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C43B7" w14:textId="77777777" w:rsidR="0074684A" w:rsidRPr="0074684A" w:rsidRDefault="0074684A" w:rsidP="0074684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line="360" w:lineRule="auto"/>
        <w:jc w:val="center"/>
        <w:rPr>
          <w:b/>
          <w:bCs/>
          <w:i/>
          <w:iCs/>
          <w:color w:val="322D29"/>
          <w:sz w:val="30"/>
          <w:szCs w:val="30"/>
          <w:u w:val="single" w:color="322D29"/>
        </w:rPr>
      </w:pPr>
      <w:r w:rsidRPr="0074684A">
        <w:rPr>
          <w:b/>
          <w:bCs/>
          <w:i/>
          <w:iCs/>
          <w:color w:val="322D29"/>
          <w:sz w:val="30"/>
          <w:szCs w:val="30"/>
          <w:u w:val="single" w:color="322D29"/>
        </w:rPr>
        <w:t xml:space="preserve">Case report </w:t>
      </w:r>
    </w:p>
    <w:p w14:paraId="6947B8CA"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jc w:val="center"/>
        <w:rPr>
          <w:rFonts w:ascii="Times New Roman" w:hAnsi="Times New Roman"/>
          <w:b/>
          <w:bCs/>
          <w:color w:val="322D29"/>
          <w:sz w:val="30"/>
          <w:szCs w:val="30"/>
          <w:u w:color="322D29"/>
        </w:rPr>
      </w:pPr>
      <w:r>
        <w:rPr>
          <w:rFonts w:ascii="Times New Roman" w:hAnsi="Times New Roman"/>
          <w:b/>
          <w:bCs/>
          <w:color w:val="322D29"/>
          <w:sz w:val="30"/>
          <w:szCs w:val="30"/>
          <w:u w:color="322D29"/>
        </w:rPr>
        <w:t xml:space="preserve">Lock and Glide: A Novel Technique for </w:t>
      </w:r>
      <w:proofErr w:type="spellStart"/>
      <w:r>
        <w:rPr>
          <w:rFonts w:ascii="Times New Roman" w:hAnsi="Times New Roman"/>
          <w:b/>
          <w:bCs/>
          <w:color w:val="322D29"/>
          <w:sz w:val="30"/>
          <w:szCs w:val="30"/>
          <w:u w:color="322D29"/>
        </w:rPr>
        <w:t>Lipswitch</w:t>
      </w:r>
      <w:proofErr w:type="spellEnd"/>
      <w:r>
        <w:rPr>
          <w:rFonts w:ascii="Times New Roman" w:hAnsi="Times New Roman"/>
          <w:b/>
          <w:bCs/>
          <w:color w:val="322D29"/>
          <w:sz w:val="30"/>
          <w:szCs w:val="30"/>
          <w:u w:color="322D29"/>
        </w:rPr>
        <w:t xml:space="preserve"> </w:t>
      </w:r>
      <w:proofErr w:type="spellStart"/>
      <w:r>
        <w:rPr>
          <w:rFonts w:ascii="Times New Roman" w:hAnsi="Times New Roman"/>
          <w:b/>
          <w:bCs/>
          <w:color w:val="322D29"/>
          <w:sz w:val="30"/>
          <w:szCs w:val="30"/>
          <w:u w:color="322D29"/>
        </w:rPr>
        <w:t>Vestibuloplasty</w:t>
      </w:r>
      <w:proofErr w:type="spellEnd"/>
    </w:p>
    <w:p w14:paraId="7F89126B"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z w:val="30"/>
          <w:szCs w:val="30"/>
          <w:u w:color="322D29"/>
        </w:rPr>
      </w:pPr>
      <w:bookmarkStart w:id="0" w:name="_GoBack"/>
      <w:bookmarkEnd w:id="0"/>
    </w:p>
    <w:p w14:paraId="4894886F"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2"/>
          <w:sz w:val="30"/>
          <w:szCs w:val="30"/>
          <w14:textFill>
            <w14:solidFill>
              <w14:srgbClr w14:val="000000">
                <w14:alpha w14:val="15293"/>
              </w14:srgbClr>
            </w14:solidFill>
          </w14:textFill>
        </w:rPr>
      </w:pPr>
      <w:r>
        <w:rPr>
          <w:rFonts w:ascii="Times New Roman" w:hAnsi="Times New Roman"/>
          <w:b/>
          <w:bCs/>
          <w:color w:val="322D29"/>
          <w:spacing w:val="-2"/>
          <w:sz w:val="30"/>
          <w:szCs w:val="30"/>
          <w:u w:color="322D29"/>
          <w:lang w:val="de-DE"/>
        </w:rPr>
        <w:t>Abstract</w:t>
      </w:r>
      <w:r>
        <w:rPr>
          <w:rFonts w:ascii="Times New Roman" w:hAnsi="Times New Roman"/>
          <w:b/>
          <w:bCs/>
          <w:color w:val="322D29"/>
          <w:spacing w:val="-2"/>
          <w:sz w:val="30"/>
          <w:szCs w:val="30"/>
          <w:u w:color="322D29"/>
        </w:rPr>
        <w:t>:</w:t>
      </w:r>
    </w:p>
    <w:p w14:paraId="0542E404"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72323130"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color w:val="322D29"/>
          <w:spacing w:val="1"/>
          <w:sz w:val="30"/>
          <w:szCs w:val="30"/>
          <w:u w:color="322D29"/>
        </w:rPr>
        <w:t xml:space="preserve">Shallow vestibular depth in the anterior mandible compromises oral hygiene and predisposes to mucogingival problems. Conventional </w:t>
      </w:r>
      <w:proofErr w:type="spellStart"/>
      <w:r>
        <w:rPr>
          <w:rFonts w:ascii="Times New Roman" w:hAnsi="Times New Roman"/>
          <w:color w:val="322D29"/>
          <w:spacing w:val="1"/>
          <w:sz w:val="30"/>
          <w:szCs w:val="30"/>
          <w:u w:color="322D29"/>
        </w:rPr>
        <w:t>lipswitch</w:t>
      </w:r>
      <w:proofErr w:type="spellEnd"/>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xml:space="preserve"> often suffers relapse due to muscular tension from the mentalis muscle. This case report presents a 25‑year‑old male with a thin gingival phenotype and inadequate vestibular depth, treated using a dual‑suturing approach that combines simple interrupted sutures for periosteal fixation with interlocking and pterygium‑inspired anchoring sutures in the lip mucosa. The technique provided immediate flap adaptation and long‑term resistance against relapse. At six months, the patient demonstrated stable vestibular depth, improved oral hygiene, and absence of gingival recession. This case highlights the potential of integrating ophthalmic suturing principles into periodontal surgery to achieve predictable outcomes in complex clinical scenarios.</w:t>
      </w:r>
    </w:p>
    <w:p w14:paraId="0A95E013"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32C1E017"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b/>
          <w:bCs/>
          <w:color w:val="322D29"/>
          <w:spacing w:val="1"/>
          <w:sz w:val="30"/>
          <w:szCs w:val="30"/>
          <w:u w:color="322D29"/>
        </w:rPr>
        <w:t>Keywords:</w:t>
      </w:r>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rPr>
        <w:t>Lipswitch</w:t>
      </w:r>
      <w:proofErr w:type="spellEnd"/>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lang w:val="fr-FR"/>
        </w:rPr>
        <w:t>Transpositional</w:t>
      </w:r>
      <w:proofErr w:type="spellEnd"/>
      <w:r>
        <w:rPr>
          <w:rFonts w:ascii="Times New Roman" w:hAnsi="Times New Roman"/>
          <w:color w:val="322D29"/>
          <w:spacing w:val="1"/>
          <w:sz w:val="30"/>
          <w:szCs w:val="30"/>
          <w:u w:color="322D29"/>
          <w:lang w:val="fr-FR"/>
        </w:rPr>
        <w:t xml:space="preserve"> </w:t>
      </w:r>
      <w:proofErr w:type="spellStart"/>
      <w:r>
        <w:rPr>
          <w:rFonts w:ascii="Times New Roman" w:hAnsi="Times New Roman"/>
          <w:color w:val="322D29"/>
          <w:spacing w:val="1"/>
          <w:sz w:val="30"/>
          <w:szCs w:val="30"/>
          <w:u w:color="322D29"/>
          <w:lang w:val="fr-FR"/>
        </w:rPr>
        <w:t>flap</w:t>
      </w:r>
      <w:proofErr w:type="spellEnd"/>
      <w:r>
        <w:rPr>
          <w:rFonts w:ascii="Times New Roman" w:hAnsi="Times New Roman"/>
          <w:color w:val="322D29"/>
          <w:spacing w:val="1"/>
          <w:sz w:val="30"/>
          <w:szCs w:val="30"/>
          <w:u w:color="322D29"/>
        </w:rPr>
        <w:t xml:space="preserve">, Simple Interrupted suture, Interlocking suture, Pterygium‑inspired suturing, Mandibular vestibular depth, </w:t>
      </w:r>
      <w:r>
        <w:rPr>
          <w:rFonts w:ascii="Times New Roman" w:hAnsi="Times New Roman"/>
          <w:color w:val="322D29"/>
          <w:spacing w:val="1"/>
          <w:sz w:val="30"/>
          <w:szCs w:val="30"/>
          <w:u w:color="322D29"/>
          <w:lang w:val="es-ES_tradnl"/>
        </w:rPr>
        <w:t xml:space="preserve">Mucogingival </w:t>
      </w:r>
      <w:proofErr w:type="spellStart"/>
      <w:r>
        <w:rPr>
          <w:rFonts w:ascii="Times New Roman" w:hAnsi="Times New Roman"/>
          <w:color w:val="322D29"/>
          <w:spacing w:val="1"/>
          <w:sz w:val="30"/>
          <w:szCs w:val="30"/>
          <w:u w:color="322D29"/>
          <w:lang w:val="es-ES_tradnl"/>
        </w:rPr>
        <w:t>surgery</w:t>
      </w:r>
      <w:proofErr w:type="spellEnd"/>
      <w:r>
        <w:rPr>
          <w:rFonts w:ascii="Times New Roman" w:hAnsi="Times New Roman"/>
          <w:color w:val="322D29"/>
          <w:spacing w:val="1"/>
          <w:sz w:val="30"/>
          <w:szCs w:val="30"/>
          <w:u w:color="322D29"/>
        </w:rPr>
        <w:t>, Relapse prevention.</w:t>
      </w:r>
    </w:p>
    <w:p w14:paraId="52BEAC1E"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77DDEBF6"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17B2403E"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2"/>
          <w:sz w:val="30"/>
          <w:szCs w:val="30"/>
          <w14:textFill>
            <w14:solidFill>
              <w14:srgbClr w14:val="000000">
                <w14:alpha w14:val="15293"/>
              </w14:srgbClr>
            </w14:solidFill>
          </w14:textFill>
        </w:rPr>
      </w:pPr>
      <w:proofErr w:type="gramStart"/>
      <w:r>
        <w:rPr>
          <w:rFonts w:ascii="Times New Roman" w:hAnsi="Times New Roman"/>
          <w:b/>
          <w:bCs/>
          <w:color w:val="322D29"/>
          <w:spacing w:val="-2"/>
          <w:sz w:val="30"/>
          <w:szCs w:val="30"/>
          <w:u w:color="322D29"/>
          <w:lang w:val="fr-FR"/>
        </w:rPr>
        <w:t>Introduction</w:t>
      </w:r>
      <w:r>
        <w:rPr>
          <w:rFonts w:ascii="Times New Roman" w:hAnsi="Times New Roman"/>
          <w:b/>
          <w:bCs/>
          <w:color w:val="322D29"/>
          <w:spacing w:val="-2"/>
          <w:sz w:val="30"/>
          <w:szCs w:val="30"/>
          <w:u w:color="322D29"/>
        </w:rPr>
        <w:t>:</w:t>
      </w:r>
      <w:proofErr w:type="gramEnd"/>
    </w:p>
    <w:p w14:paraId="2C575860"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2DE62A27"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color w:val="322D29"/>
          <w:spacing w:val="1"/>
          <w:sz w:val="30"/>
          <w:szCs w:val="30"/>
          <w:u w:color="322D29"/>
        </w:rPr>
        <w:t xml:space="preserve">Vestibular depth plays a critical role in maintaining gingival health and prosthetic stability. A shallow vestibule, particularly in the mandibular anterior region, is associated with plaque accumulation, gingival recession, and </w:t>
      </w:r>
      <w:r>
        <w:rPr>
          <w:rFonts w:ascii="Times New Roman" w:hAnsi="Times New Roman"/>
          <w:color w:val="322D29"/>
          <w:spacing w:val="1"/>
          <w:sz w:val="30"/>
          <w:szCs w:val="30"/>
          <w:u w:color="322D29"/>
        </w:rPr>
        <w:lastRenderedPageBreak/>
        <w:t xml:space="preserve">difficulty in maintaining oral </w:t>
      </w:r>
      <w:proofErr w:type="gramStart"/>
      <w:r>
        <w:rPr>
          <w:rFonts w:ascii="Times New Roman" w:hAnsi="Times New Roman"/>
          <w:color w:val="322D29"/>
          <w:spacing w:val="1"/>
          <w:sz w:val="30"/>
          <w:szCs w:val="30"/>
          <w:u w:color="322D29"/>
        </w:rPr>
        <w:t>hygiene</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1,2].</w:t>
      </w:r>
      <w:r>
        <w:rPr>
          <w:rFonts w:ascii="Times New Roman" w:hAnsi="Times New Roman"/>
          <w:color w:val="322D29"/>
          <w:spacing w:val="1"/>
          <w:sz w:val="30"/>
          <w:szCs w:val="30"/>
          <w:u w:color="322D29"/>
        </w:rPr>
        <w:t xml:space="preserve"> High insertion of the mentalis muscle exacerbates this condition, pulling marginal gingiva and limiting sulcus </w:t>
      </w:r>
      <w:proofErr w:type="gramStart"/>
      <w:r>
        <w:rPr>
          <w:rFonts w:ascii="Times New Roman" w:hAnsi="Times New Roman"/>
          <w:color w:val="322D29"/>
          <w:spacing w:val="1"/>
          <w:sz w:val="30"/>
          <w:szCs w:val="30"/>
          <w:u w:color="322D29"/>
        </w:rPr>
        <w:t>depth</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3]</w:t>
      </w:r>
      <w:r>
        <w:rPr>
          <w:rFonts w:ascii="Times New Roman" w:hAnsi="Times New Roman"/>
          <w:color w:val="322D29"/>
          <w:spacing w:val="1"/>
          <w:sz w:val="30"/>
          <w:szCs w:val="30"/>
          <w:u w:color="322D29"/>
        </w:rPr>
        <w:t>.</w:t>
      </w:r>
    </w:p>
    <w:p w14:paraId="71EBD462"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7F3FB8F8"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proofErr w:type="spellStart"/>
      <w:r>
        <w:rPr>
          <w:rFonts w:ascii="Times New Roman" w:hAnsi="Times New Roman"/>
          <w:color w:val="322D29"/>
          <w:spacing w:val="1"/>
          <w:sz w:val="30"/>
          <w:szCs w:val="30"/>
          <w:u w:color="322D29"/>
        </w:rPr>
        <w:t>Lipswitch</w:t>
      </w:r>
      <w:proofErr w:type="spellEnd"/>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xml:space="preserve">, first described by </w:t>
      </w:r>
      <w:proofErr w:type="gramStart"/>
      <w:r>
        <w:rPr>
          <w:rFonts w:ascii="Times New Roman" w:hAnsi="Times New Roman"/>
          <w:color w:val="322D29"/>
          <w:spacing w:val="1"/>
          <w:sz w:val="30"/>
          <w:szCs w:val="30"/>
          <w:u w:color="322D29"/>
        </w:rPr>
        <w:t>Kazanjian</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4]</w:t>
      </w:r>
      <w:r>
        <w:rPr>
          <w:rFonts w:ascii="Times New Roman" w:hAnsi="Times New Roman"/>
          <w:color w:val="322D29"/>
          <w:spacing w:val="1"/>
          <w:sz w:val="30"/>
          <w:szCs w:val="30"/>
          <w:u w:color="322D29"/>
        </w:rPr>
        <w:t xml:space="preserve"> and later modified by </w:t>
      </w:r>
      <w:proofErr w:type="spellStart"/>
      <w:r>
        <w:rPr>
          <w:rFonts w:ascii="Times New Roman" w:hAnsi="Times New Roman"/>
          <w:color w:val="322D29"/>
          <w:spacing w:val="1"/>
          <w:sz w:val="30"/>
          <w:szCs w:val="30"/>
          <w:u w:color="322D29"/>
        </w:rPr>
        <w:t>Edlan</w:t>
      </w:r>
      <w:proofErr w:type="spellEnd"/>
      <w:r>
        <w:rPr>
          <w:rFonts w:ascii="Times New Roman" w:hAnsi="Times New Roman"/>
          <w:color w:val="322D29"/>
          <w:spacing w:val="1"/>
          <w:sz w:val="30"/>
          <w:szCs w:val="30"/>
          <w:u w:color="322D29"/>
        </w:rPr>
        <w:t xml:space="preserve"> and </w:t>
      </w:r>
      <w:proofErr w:type="spellStart"/>
      <w:r>
        <w:rPr>
          <w:rFonts w:ascii="Times New Roman" w:hAnsi="Times New Roman"/>
          <w:color w:val="322D29"/>
          <w:spacing w:val="1"/>
          <w:sz w:val="30"/>
          <w:szCs w:val="30"/>
          <w:u w:color="322D29"/>
        </w:rPr>
        <w:t>Mejchar</w:t>
      </w:r>
      <w:proofErr w:type="spellEnd"/>
      <w:r>
        <w:rPr>
          <w:rFonts w:ascii="Times New Roman" w:hAnsi="Times New Roman"/>
          <w:color w:val="322D29"/>
          <w:spacing w:val="1"/>
          <w:sz w:val="30"/>
          <w:szCs w:val="30"/>
          <w:u w:color="322D29"/>
          <w:vertAlign w:val="superscript"/>
        </w:rPr>
        <w:t>[5]</w:t>
      </w:r>
      <w:r>
        <w:rPr>
          <w:rFonts w:ascii="Times New Roman" w:hAnsi="Times New Roman"/>
          <w:color w:val="322D29"/>
          <w:spacing w:val="1"/>
          <w:sz w:val="30"/>
          <w:szCs w:val="30"/>
          <w:u w:color="322D29"/>
        </w:rPr>
        <w:t xml:space="preserve">, remains a reliable method for deepening the sulcus. The technique involves transposition of mucosal and periosteal flaps to create a new vestibule. However, relapse due to muscular tension remains a major </w:t>
      </w:r>
      <w:proofErr w:type="gramStart"/>
      <w:r>
        <w:rPr>
          <w:rFonts w:ascii="Times New Roman" w:hAnsi="Times New Roman"/>
          <w:color w:val="322D29"/>
          <w:spacing w:val="1"/>
          <w:sz w:val="30"/>
          <w:szCs w:val="30"/>
          <w:u w:color="322D29"/>
        </w:rPr>
        <w:t>limitation</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6]</w:t>
      </w:r>
      <w:r>
        <w:rPr>
          <w:rFonts w:ascii="Times New Roman" w:hAnsi="Times New Roman"/>
          <w:color w:val="322D29"/>
          <w:spacing w:val="1"/>
          <w:sz w:val="30"/>
          <w:szCs w:val="30"/>
          <w:u w:color="322D29"/>
        </w:rPr>
        <w:t>.</w:t>
      </w:r>
    </w:p>
    <w:p w14:paraId="4AA80E95"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2C445A26"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color w:val="322D29"/>
          <w:spacing w:val="1"/>
          <w:sz w:val="30"/>
          <w:szCs w:val="30"/>
          <w:u w:color="322D29"/>
        </w:rPr>
        <w:t xml:space="preserve">Recent innovations in ophthalmology, particularly in pterygium surgery, have introduced suturing techniques designed to prevent fibrovascular recurrence by redirecting tissue </w:t>
      </w:r>
      <w:proofErr w:type="gramStart"/>
      <w:r>
        <w:rPr>
          <w:rFonts w:ascii="Times New Roman" w:hAnsi="Times New Roman"/>
          <w:color w:val="322D29"/>
          <w:spacing w:val="1"/>
          <w:sz w:val="30"/>
          <w:szCs w:val="30"/>
          <w:u w:color="322D29"/>
        </w:rPr>
        <w:t>migration</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7,8]</w:t>
      </w:r>
      <w:r>
        <w:rPr>
          <w:rFonts w:ascii="Times New Roman" w:hAnsi="Times New Roman"/>
          <w:color w:val="322D29"/>
          <w:spacing w:val="1"/>
          <w:sz w:val="30"/>
          <w:szCs w:val="30"/>
          <w:u w:color="322D29"/>
        </w:rPr>
        <w:t xml:space="preserve">. Inspired by these principles, we combined simple interrupted sutures for periosteal fixation with interlocking and pterygium‑style anchoring sutures in the lip mucosa to stabilize the </w:t>
      </w:r>
      <w:proofErr w:type="spellStart"/>
      <w:r>
        <w:rPr>
          <w:rFonts w:ascii="Times New Roman" w:hAnsi="Times New Roman"/>
          <w:color w:val="322D29"/>
          <w:spacing w:val="1"/>
          <w:sz w:val="30"/>
          <w:szCs w:val="30"/>
          <w:u w:color="322D29"/>
        </w:rPr>
        <w:t>lipswitch</w:t>
      </w:r>
      <w:proofErr w:type="spellEnd"/>
      <w:r>
        <w:rPr>
          <w:rFonts w:ascii="Times New Roman" w:hAnsi="Times New Roman"/>
          <w:color w:val="322D29"/>
          <w:spacing w:val="1"/>
          <w:sz w:val="30"/>
          <w:szCs w:val="30"/>
          <w:u w:color="322D29"/>
        </w:rPr>
        <w:t xml:space="preserve"> flap. This report describes the case of a young male with inadequate vestibular depth managed successfully with this hybrid approach.</w:t>
      </w:r>
    </w:p>
    <w:p w14:paraId="55432C7C"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0D0E723B"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7E410B76"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2"/>
          <w:sz w:val="30"/>
          <w:szCs w:val="30"/>
          <w14:textFill>
            <w14:solidFill>
              <w14:srgbClr w14:val="000000">
                <w14:alpha w14:val="15293"/>
              </w14:srgbClr>
            </w14:solidFill>
          </w14:textFill>
        </w:rPr>
      </w:pPr>
      <w:r>
        <w:rPr>
          <w:rFonts w:ascii="Times New Roman" w:hAnsi="Times New Roman"/>
          <w:b/>
          <w:bCs/>
          <w:color w:val="322D29"/>
          <w:spacing w:val="-2"/>
          <w:sz w:val="30"/>
          <w:szCs w:val="30"/>
          <w:u w:color="322D29"/>
          <w:lang w:val="it-IT"/>
        </w:rPr>
        <w:t xml:space="preserve">Case </w:t>
      </w:r>
      <w:r>
        <w:rPr>
          <w:rFonts w:ascii="Times New Roman" w:hAnsi="Times New Roman"/>
          <w:b/>
          <w:bCs/>
          <w:color w:val="322D29"/>
          <w:spacing w:val="-2"/>
          <w:sz w:val="30"/>
          <w:szCs w:val="30"/>
          <w:u w:color="322D29"/>
        </w:rPr>
        <w:t>Presentation:</w:t>
      </w:r>
    </w:p>
    <w:p w14:paraId="20619964"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5B465DFA" w14:textId="77777777" w:rsidR="000855EF" w:rsidRDefault="001950D4">
      <w:pPr>
        <w:pStyle w:val="Default"/>
        <w:suppressAutoHyphens/>
        <w:spacing w:before="0" w:after="240" w:line="360" w:lineRule="auto"/>
        <w:rPr>
          <w:rFonts w:ascii="Times New Roman" w:eastAsia="Times New Roman" w:hAnsi="Times New Roman" w:cs="Times New Roman"/>
          <w:sz w:val="30"/>
          <w:szCs w:val="30"/>
          <w14:textFill>
            <w14:solidFill>
              <w14:srgbClr w14:val="000000">
                <w14:alpha w14:val="15293"/>
              </w14:srgbClr>
            </w14:solidFill>
          </w14:textFill>
        </w:rPr>
      </w:pPr>
      <w:r>
        <w:rPr>
          <w:rFonts w:ascii="Times New Roman" w:hAnsi="Times New Roman"/>
          <w:sz w:val="30"/>
          <w:szCs w:val="30"/>
        </w:rPr>
        <w:t xml:space="preserve">A 25-year-old male patient presented to the department of periodontology with a chief complaint of difficulty in maintaining oral hygiene due to the accumulation of plaque and calculus deposits on the lower anterior teeth. On intraoral examination, a thin gingival phenotype was noted in the lower anterior region, along with shallow vestibular </w:t>
      </w:r>
      <w:proofErr w:type="gramStart"/>
      <w:r>
        <w:rPr>
          <w:rFonts w:ascii="Times New Roman" w:hAnsi="Times New Roman"/>
          <w:sz w:val="30"/>
          <w:szCs w:val="30"/>
        </w:rPr>
        <w:t>depth  (</w:t>
      </w:r>
      <w:proofErr w:type="gramEnd"/>
      <w:r>
        <w:rPr>
          <w:rFonts w:ascii="Times New Roman" w:hAnsi="Times New Roman"/>
          <w:sz w:val="30"/>
          <w:szCs w:val="30"/>
        </w:rPr>
        <w:t>~4 mm). This finding was further exacerbated by the high insertion of the mentalis muscle.</w:t>
      </w:r>
    </w:p>
    <w:p w14:paraId="3590390E" w14:textId="77777777" w:rsidR="000855EF" w:rsidRDefault="000855EF">
      <w:pPr>
        <w:pStyle w:val="Default"/>
        <w:suppressAutoHyphens/>
        <w:spacing w:before="0" w:after="24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78E9A3E0" w14:textId="77777777" w:rsidR="000855EF" w:rsidRDefault="001950D4">
      <w:pPr>
        <w:pStyle w:val="Default"/>
        <w:suppressAutoHyphens/>
        <w:spacing w:before="0" w:after="240" w:line="360" w:lineRule="auto"/>
        <w:rPr>
          <w:rFonts w:ascii="Times New Roman" w:eastAsia="Times New Roman" w:hAnsi="Times New Roman" w:cs="Times New Roman"/>
          <w:sz w:val="30"/>
          <w:szCs w:val="30"/>
        </w:rPr>
      </w:pPr>
      <w:r>
        <w:rPr>
          <w:rFonts w:ascii="Times New Roman" w:hAnsi="Times New Roman"/>
          <w:sz w:val="30"/>
          <w:szCs w:val="30"/>
        </w:rPr>
        <w:t>The patient was administered a local anesthetic containing 2% Lidocaine with 1:100,000 epinephrine. A single horizontal incision was made at the mucogingival junction. The incision was carried down to the underlying periosteum to facilitate the initial flap elevation.</w:t>
      </w:r>
    </w:p>
    <w:p w14:paraId="3640C7C1" w14:textId="77777777" w:rsidR="000855EF" w:rsidRDefault="001950D4">
      <w:pPr>
        <w:pStyle w:val="Default"/>
        <w:suppressAutoHyphens/>
        <w:spacing w:before="0" w:after="240" w:line="360" w:lineRule="auto"/>
        <w:rPr>
          <w:rFonts w:ascii="Times New Roman" w:eastAsia="Times New Roman" w:hAnsi="Times New Roman" w:cs="Times New Roman"/>
          <w:sz w:val="30"/>
          <w:szCs w:val="30"/>
        </w:rPr>
      </w:pPr>
      <w:r>
        <w:rPr>
          <w:rFonts w:ascii="Times New Roman" w:hAnsi="Times New Roman"/>
          <w:sz w:val="30"/>
          <w:szCs w:val="30"/>
        </w:rPr>
        <w:t xml:space="preserve">A full-thickness mucosal flap was raised from the crest of the alveolar ridge. A careful submucosal dissection was performed to release the underlying muscle and connective tissue attachments, with particular attention paid to the mentalis muscle. The </w:t>
      </w:r>
      <w:proofErr w:type="spellStart"/>
      <w:r>
        <w:rPr>
          <w:rFonts w:ascii="Times New Roman" w:hAnsi="Times New Roman"/>
          <w:sz w:val="30"/>
          <w:szCs w:val="30"/>
        </w:rPr>
        <w:t>supraperiosteal</w:t>
      </w:r>
      <w:proofErr w:type="spellEnd"/>
      <w:r>
        <w:rPr>
          <w:rFonts w:ascii="Times New Roman" w:hAnsi="Times New Roman"/>
          <w:sz w:val="30"/>
          <w:szCs w:val="30"/>
        </w:rPr>
        <w:t xml:space="preserve"> dissection was then extended inferiorly to the desired vestibular depth, approximately 10 mm from the crest. The exposed periosteal surface formed the new floor of the vestibule.</w:t>
      </w:r>
    </w:p>
    <w:p w14:paraId="6E3C08DC"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color w:val="322D29"/>
          <w:spacing w:val="1"/>
          <w:sz w:val="30"/>
          <w:szCs w:val="30"/>
          <w:u w:color="322D29"/>
        </w:rPr>
        <w:t>The labial mucosal flap was transposed apically to line the newly created vestibular space. Trial positioning confirmed adequate depth and symmetry across the midline.</w:t>
      </w:r>
    </w:p>
    <w:p w14:paraId="102CC048"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1FD9546A" w14:textId="77777777" w:rsidR="000855EF" w:rsidRDefault="001950D4">
      <w:pPr>
        <w:pStyle w:val="Default"/>
        <w:suppressAutoHyphens/>
        <w:spacing w:before="0" w:after="240" w:line="360" w:lineRule="auto"/>
        <w:rPr>
          <w:rFonts w:ascii="Times New Roman" w:eastAsia="Times New Roman" w:hAnsi="Times New Roman" w:cs="Times New Roman"/>
          <w:sz w:val="30"/>
          <w:szCs w:val="30"/>
        </w:rPr>
      </w:pPr>
      <w:r>
        <w:rPr>
          <w:rFonts w:ascii="Times New Roman" w:hAnsi="Times New Roman"/>
          <w:sz w:val="30"/>
          <w:szCs w:val="30"/>
        </w:rPr>
        <w:t>The stability of the newly created vestibule was ensured by a two-stage suturing technique.</w:t>
      </w:r>
    </w:p>
    <w:p w14:paraId="6F881A35" w14:textId="77777777" w:rsidR="000855EF" w:rsidRDefault="001950D4">
      <w:pPr>
        <w:pStyle w:val="Default"/>
        <w:numPr>
          <w:ilvl w:val="0"/>
          <w:numId w:val="2"/>
        </w:numPr>
        <w:suppressAutoHyphens/>
        <w:spacing w:before="0" w:line="360" w:lineRule="auto"/>
        <w:rPr>
          <w:rFonts w:ascii="Times New Roman" w:hAnsi="Times New Roman"/>
          <w:color w:val="322D29"/>
          <w:sz w:val="30"/>
          <w:szCs w:val="30"/>
        </w:rPr>
      </w:pPr>
      <w:r>
        <w:rPr>
          <w:rFonts w:ascii="Times New Roman" w:hAnsi="Times New Roman"/>
          <w:b/>
          <w:bCs/>
          <w:color w:val="322D29"/>
          <w:spacing w:val="2"/>
          <w:sz w:val="30"/>
          <w:szCs w:val="30"/>
          <w:u w:color="322D29"/>
        </w:rPr>
        <w:t>Simple Interrupted Sutures (Primary Closure):</w:t>
      </w:r>
      <w:r>
        <w:rPr>
          <w:rFonts w:ascii="Times New Roman" w:hAnsi="Times New Roman"/>
          <w:color w:val="322D29"/>
          <w:spacing w:val="1"/>
          <w:sz w:val="30"/>
          <w:szCs w:val="30"/>
          <w:u w:color="322D29"/>
        </w:rPr>
        <w:t xml:space="preserve"> The apical margin of the mucosal flap was secured to the periosteum with simple interrupted sutures, ensuring precise tissue adaptation and minimizing dead </w:t>
      </w:r>
      <w:proofErr w:type="gramStart"/>
      <w:r>
        <w:rPr>
          <w:rFonts w:ascii="Times New Roman" w:hAnsi="Times New Roman"/>
          <w:color w:val="322D29"/>
          <w:spacing w:val="1"/>
          <w:sz w:val="30"/>
          <w:szCs w:val="30"/>
          <w:u w:color="322D29"/>
        </w:rPr>
        <w:t>space</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10]</w:t>
      </w:r>
      <w:r>
        <w:rPr>
          <w:rFonts w:ascii="Times New Roman" w:hAnsi="Times New Roman"/>
          <w:color w:val="322D29"/>
          <w:spacing w:val="1"/>
          <w:sz w:val="30"/>
          <w:szCs w:val="30"/>
          <w:u w:color="322D29"/>
        </w:rPr>
        <w:t>.</w:t>
      </w:r>
    </w:p>
    <w:p w14:paraId="536249D4" w14:textId="77777777" w:rsidR="000855EF" w:rsidRDefault="001950D4">
      <w:pPr>
        <w:pStyle w:val="Default"/>
        <w:numPr>
          <w:ilvl w:val="0"/>
          <w:numId w:val="2"/>
        </w:numPr>
        <w:suppressAutoHyphens/>
        <w:spacing w:before="0" w:line="360" w:lineRule="auto"/>
        <w:rPr>
          <w:rFonts w:ascii="Times New Roman" w:hAnsi="Times New Roman"/>
          <w:color w:val="322D29"/>
          <w:sz w:val="30"/>
          <w:szCs w:val="30"/>
        </w:rPr>
      </w:pPr>
      <w:r>
        <w:rPr>
          <w:rFonts w:ascii="Times New Roman" w:hAnsi="Times New Roman"/>
          <w:b/>
          <w:bCs/>
          <w:color w:val="322D29"/>
          <w:spacing w:val="2"/>
          <w:sz w:val="30"/>
          <w:szCs w:val="30"/>
          <w:u w:color="322D29"/>
        </w:rPr>
        <w:t>Interlocking and Pterygium‑Inspired Sutures (Secondary Stabilization):</w:t>
      </w:r>
      <w:r>
        <w:rPr>
          <w:rFonts w:ascii="Times New Roman" w:hAnsi="Times New Roman"/>
          <w:color w:val="322D29"/>
          <w:spacing w:val="1"/>
          <w:sz w:val="30"/>
          <w:szCs w:val="30"/>
          <w:u w:color="322D29"/>
        </w:rPr>
        <w:t xml:space="preserve"> On the lip mucosa, a continuous interlocking suture line was placed to provide uniform tension and flap </w:t>
      </w:r>
      <w:proofErr w:type="gramStart"/>
      <w:r>
        <w:rPr>
          <w:rFonts w:ascii="Times New Roman" w:hAnsi="Times New Roman"/>
          <w:color w:val="322D29"/>
          <w:spacing w:val="1"/>
          <w:sz w:val="30"/>
          <w:szCs w:val="30"/>
          <w:u w:color="322D29"/>
        </w:rPr>
        <w:t>stability</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11]</w:t>
      </w:r>
      <w:r>
        <w:rPr>
          <w:rFonts w:ascii="Times New Roman" w:hAnsi="Times New Roman"/>
          <w:color w:val="322D29"/>
          <w:spacing w:val="1"/>
          <w:sz w:val="30"/>
          <w:szCs w:val="30"/>
          <w:u w:color="322D29"/>
        </w:rPr>
        <w:t xml:space="preserve">. In addition, pterygium‑inspired anchoring sutures were applied, passing through the periosteum, the apical margin of the mucosal flap, and into non‑mobile </w:t>
      </w:r>
      <w:r>
        <w:rPr>
          <w:rFonts w:ascii="Times New Roman" w:hAnsi="Times New Roman"/>
          <w:color w:val="322D29"/>
          <w:spacing w:val="1"/>
          <w:sz w:val="30"/>
          <w:szCs w:val="30"/>
          <w:u w:color="322D29"/>
        </w:rPr>
        <w:lastRenderedPageBreak/>
        <w:t xml:space="preserve">connective tissue of the lower </w:t>
      </w:r>
      <w:proofErr w:type="gramStart"/>
      <w:r>
        <w:rPr>
          <w:rFonts w:ascii="Times New Roman" w:hAnsi="Times New Roman"/>
          <w:color w:val="322D29"/>
          <w:spacing w:val="1"/>
          <w:sz w:val="30"/>
          <w:szCs w:val="30"/>
          <w:u w:color="322D29"/>
        </w:rPr>
        <w:t>lip</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14]</w:t>
      </w:r>
      <w:r>
        <w:rPr>
          <w:rFonts w:ascii="Times New Roman" w:hAnsi="Times New Roman"/>
          <w:color w:val="322D29"/>
          <w:spacing w:val="1"/>
          <w:sz w:val="30"/>
          <w:szCs w:val="30"/>
          <w:u w:color="322D29"/>
        </w:rPr>
        <w:t>. These sutures neutralized muscular tension and prevented relapse.</w:t>
      </w:r>
    </w:p>
    <w:p w14:paraId="7CB73D7A"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1CBE6E01" w14:textId="77777777" w:rsidR="000855EF" w:rsidRDefault="001950D4">
      <w:pPr>
        <w:pStyle w:val="Default"/>
        <w:suppressAutoHyphens/>
        <w:spacing w:before="0" w:after="240" w:line="360" w:lineRule="auto"/>
        <w:rPr>
          <w:rFonts w:ascii="Times New Roman" w:eastAsia="Times New Roman" w:hAnsi="Times New Roman" w:cs="Times New Roman"/>
          <w:sz w:val="30"/>
          <w:szCs w:val="30"/>
        </w:rPr>
      </w:pPr>
      <w:r>
        <w:rPr>
          <w:rFonts w:ascii="Times New Roman" w:hAnsi="Times New Roman"/>
          <w:sz w:val="30"/>
          <w:szCs w:val="30"/>
        </w:rPr>
        <w:t>The patient received post-operative instructions for a soft diet and was prescribed analgesics and a chlorhexidine mouth rinse. The patient was followed up at one week, one month, and six months post-operatively. Healing was uneventful. At one week, the surgical site showed good tissue adaptation with minimal inflammation. At one month, the vestibular depth was stable at ~10 mm, with improved oral hygiene and reduced plaque accumulation. At six months, the vestibular depth remained unchanged, with no relapse or gingival recession. The patient reported improved comfort in brushing and chewing, and expressed satisfaction with the outcome.</w:t>
      </w:r>
    </w:p>
    <w:p w14:paraId="508ED96E"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443DF9C7" w14:textId="77777777" w:rsidR="00EF26AA" w:rsidRDefault="00EF26AA" w:rsidP="00EF26A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2"/>
          <w:sz w:val="30"/>
          <w:szCs w:val="30"/>
          <w14:textFill>
            <w14:solidFill>
              <w14:srgbClr w14:val="000000">
                <w14:alpha w14:val="15293"/>
              </w14:srgbClr>
            </w14:solidFill>
          </w14:textFill>
        </w:rPr>
      </w:pPr>
      <w:r>
        <w:rPr>
          <w:rFonts w:ascii="Times New Roman" w:hAnsi="Times New Roman"/>
          <w:b/>
          <w:bCs/>
          <w:color w:val="322D29"/>
          <w:spacing w:val="-2"/>
          <w:sz w:val="30"/>
          <w:szCs w:val="30"/>
          <w:u w:color="322D29"/>
        </w:rPr>
        <w:t>Discussion:</w:t>
      </w:r>
    </w:p>
    <w:p w14:paraId="6D0569AF"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03B45CC2"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color w:val="322D29"/>
          <w:spacing w:val="1"/>
          <w:sz w:val="30"/>
          <w:szCs w:val="30"/>
          <w:u w:color="322D29"/>
        </w:rPr>
        <w:t>The patient achieved a significant increase in vestibular depth from ~4 mm to ~10 mm. Healing was uneventful, with no wound dehiscence or infection. Oral hygiene improved markedly, with reduced plaque accumulation and no signs of gingival recession. The dual‑suturing technique provided both immediate flap stability and long‑term resistance against relapse.</w:t>
      </w:r>
    </w:p>
    <w:p w14:paraId="39572D75"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6BB71803"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6A210933"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color w:val="322D29"/>
          <w:spacing w:val="1"/>
          <w:sz w:val="30"/>
          <w:szCs w:val="30"/>
          <w:u w:color="322D29"/>
        </w:rPr>
        <w:t xml:space="preserve">Maintaining vestibular depth in the anterior mandible is challenging due to muscular tension from the </w:t>
      </w:r>
      <w:proofErr w:type="gramStart"/>
      <w:r>
        <w:rPr>
          <w:rFonts w:ascii="Times New Roman" w:hAnsi="Times New Roman"/>
          <w:color w:val="322D29"/>
          <w:spacing w:val="1"/>
          <w:sz w:val="30"/>
          <w:szCs w:val="30"/>
          <w:u w:color="322D29"/>
        </w:rPr>
        <w:t>mentalis</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3,6]</w:t>
      </w:r>
      <w:r>
        <w:rPr>
          <w:rFonts w:ascii="Times New Roman" w:hAnsi="Times New Roman"/>
          <w:color w:val="322D29"/>
          <w:spacing w:val="1"/>
          <w:sz w:val="30"/>
          <w:szCs w:val="30"/>
          <w:u w:color="322D29"/>
        </w:rPr>
        <w:t xml:space="preserve">. Traditional </w:t>
      </w:r>
      <w:proofErr w:type="spellStart"/>
      <w:r>
        <w:rPr>
          <w:rFonts w:ascii="Times New Roman" w:hAnsi="Times New Roman"/>
          <w:color w:val="322D29"/>
          <w:spacing w:val="1"/>
          <w:sz w:val="30"/>
          <w:szCs w:val="30"/>
          <w:u w:color="322D29"/>
        </w:rPr>
        <w:t>lipswitch</w:t>
      </w:r>
      <w:proofErr w:type="spellEnd"/>
      <w:r>
        <w:rPr>
          <w:rFonts w:ascii="Times New Roman" w:hAnsi="Times New Roman"/>
          <w:color w:val="322D29"/>
          <w:spacing w:val="1"/>
          <w:sz w:val="30"/>
          <w:szCs w:val="30"/>
          <w:u w:color="322D29"/>
        </w:rPr>
        <w:t xml:space="preserve"> techniques, while effective initially, often fail to sustain long‑term </w:t>
      </w:r>
      <w:proofErr w:type="gramStart"/>
      <w:r>
        <w:rPr>
          <w:rFonts w:ascii="Times New Roman" w:hAnsi="Times New Roman"/>
          <w:color w:val="322D29"/>
          <w:spacing w:val="1"/>
          <w:sz w:val="30"/>
          <w:szCs w:val="30"/>
          <w:u w:color="322D29"/>
        </w:rPr>
        <w:t>outcomes</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4,5]</w:t>
      </w:r>
      <w:r>
        <w:rPr>
          <w:rFonts w:ascii="Times New Roman" w:hAnsi="Times New Roman"/>
          <w:color w:val="322D29"/>
          <w:spacing w:val="1"/>
          <w:sz w:val="30"/>
          <w:szCs w:val="30"/>
          <w:u w:color="322D29"/>
        </w:rPr>
        <w:t>.</w:t>
      </w:r>
    </w:p>
    <w:p w14:paraId="106AC8C4"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6BA4B582"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color w:val="322D29"/>
          <w:spacing w:val="1"/>
          <w:sz w:val="30"/>
          <w:szCs w:val="30"/>
          <w:u w:color="322D29"/>
        </w:rPr>
        <w:lastRenderedPageBreak/>
        <w:t xml:space="preserve">Simple interrupted sutures provide precise tissue adaptation and are widely used in oral </w:t>
      </w:r>
      <w:proofErr w:type="gramStart"/>
      <w:r>
        <w:rPr>
          <w:rFonts w:ascii="Times New Roman" w:hAnsi="Times New Roman"/>
          <w:color w:val="322D29"/>
          <w:spacing w:val="1"/>
          <w:sz w:val="30"/>
          <w:szCs w:val="30"/>
          <w:u w:color="322D29"/>
        </w:rPr>
        <w:t>surgery</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10]</w:t>
      </w:r>
      <w:r>
        <w:rPr>
          <w:rFonts w:ascii="Times New Roman" w:hAnsi="Times New Roman"/>
          <w:color w:val="322D29"/>
          <w:spacing w:val="1"/>
          <w:sz w:val="30"/>
          <w:szCs w:val="30"/>
          <w:u w:color="322D29"/>
        </w:rPr>
        <w:t xml:space="preserve">. Interlocking sutures add uniform tension and minimize wound </w:t>
      </w:r>
      <w:proofErr w:type="gramStart"/>
      <w:r>
        <w:rPr>
          <w:rFonts w:ascii="Times New Roman" w:hAnsi="Times New Roman"/>
          <w:color w:val="322D29"/>
          <w:spacing w:val="1"/>
          <w:sz w:val="30"/>
          <w:szCs w:val="30"/>
          <w:u w:color="322D29"/>
        </w:rPr>
        <w:t>dehiscence</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11]</w:t>
      </w:r>
      <w:r>
        <w:rPr>
          <w:rFonts w:ascii="Times New Roman" w:hAnsi="Times New Roman"/>
          <w:color w:val="322D29"/>
          <w:spacing w:val="1"/>
          <w:sz w:val="30"/>
          <w:szCs w:val="30"/>
          <w:u w:color="322D29"/>
        </w:rPr>
        <w:t xml:space="preserve">. However, they alone cannot counteract muscular pull. The addition of pterygium‑inspired sutures, adapted from ophthalmic surgery, offers a novel </w:t>
      </w:r>
      <w:proofErr w:type="gramStart"/>
      <w:r>
        <w:rPr>
          <w:rFonts w:ascii="Times New Roman" w:hAnsi="Times New Roman"/>
          <w:color w:val="322D29"/>
          <w:spacing w:val="1"/>
          <w:sz w:val="30"/>
          <w:szCs w:val="30"/>
          <w:u w:color="322D29"/>
        </w:rPr>
        <w:t>solution</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7,8]</w:t>
      </w:r>
      <w:r>
        <w:rPr>
          <w:rFonts w:ascii="Times New Roman" w:hAnsi="Times New Roman"/>
          <w:color w:val="322D29"/>
          <w:spacing w:val="1"/>
          <w:sz w:val="30"/>
          <w:szCs w:val="30"/>
          <w:u w:color="322D29"/>
        </w:rPr>
        <w:t xml:space="preserve">. In pterygium excision, these sutures redirect fibroblast proliferation away from the cornea, preventing </w:t>
      </w:r>
      <w:proofErr w:type="gramStart"/>
      <w:r>
        <w:rPr>
          <w:rFonts w:ascii="Times New Roman" w:hAnsi="Times New Roman"/>
          <w:color w:val="322D29"/>
          <w:spacing w:val="1"/>
          <w:sz w:val="30"/>
          <w:szCs w:val="30"/>
          <w:u w:color="322D29"/>
        </w:rPr>
        <w:t>recurrence</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12]</w:t>
      </w:r>
      <w:r>
        <w:rPr>
          <w:rFonts w:ascii="Times New Roman" w:hAnsi="Times New Roman"/>
          <w:color w:val="322D29"/>
          <w:spacing w:val="1"/>
          <w:sz w:val="30"/>
          <w:szCs w:val="30"/>
          <w:u w:color="322D29"/>
        </w:rPr>
        <w:t xml:space="preserve">. Applied in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they anchor the flap into stable connective tissue, resisting relapse.</w:t>
      </w:r>
    </w:p>
    <w:p w14:paraId="28D41FCF"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6CD50B1C"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color w:val="322D29"/>
          <w:spacing w:val="1"/>
          <w:sz w:val="30"/>
          <w:szCs w:val="30"/>
          <w:u w:color="322D29"/>
        </w:rPr>
        <w:t xml:space="preserve">Existing literature supports innovative suturing in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xml:space="preserve">. Wessberg et al. demonstrated predictable gains in vestibular depth with transpositional </w:t>
      </w:r>
      <w:proofErr w:type="gramStart"/>
      <w:r>
        <w:rPr>
          <w:rFonts w:ascii="Times New Roman" w:hAnsi="Times New Roman"/>
          <w:color w:val="322D29"/>
          <w:spacing w:val="1"/>
          <w:sz w:val="30"/>
          <w:szCs w:val="30"/>
          <w:u w:color="322D29"/>
        </w:rPr>
        <w:t>flaps</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9]</w:t>
      </w:r>
      <w:r>
        <w:rPr>
          <w:rFonts w:ascii="Times New Roman" w:hAnsi="Times New Roman"/>
          <w:color w:val="322D29"/>
          <w:spacing w:val="1"/>
          <w:sz w:val="30"/>
          <w:szCs w:val="30"/>
          <w:u w:color="322D29"/>
        </w:rPr>
        <w:t xml:space="preserve">. Adams et al. highlighted the role of </w:t>
      </w:r>
      <w:proofErr w:type="spellStart"/>
      <w:r>
        <w:rPr>
          <w:rFonts w:ascii="Times New Roman" w:hAnsi="Times New Roman"/>
          <w:color w:val="322D29"/>
          <w:spacing w:val="1"/>
          <w:sz w:val="30"/>
          <w:szCs w:val="30"/>
          <w:u w:color="322D29"/>
        </w:rPr>
        <w:t>lipswitch</w:t>
      </w:r>
      <w:proofErr w:type="spellEnd"/>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xml:space="preserve"> in implant </w:t>
      </w:r>
      <w:proofErr w:type="gramStart"/>
      <w:r>
        <w:rPr>
          <w:rFonts w:ascii="Times New Roman" w:hAnsi="Times New Roman"/>
          <w:color w:val="322D29"/>
          <w:spacing w:val="1"/>
          <w:sz w:val="30"/>
          <w:szCs w:val="30"/>
          <w:u w:color="322D29"/>
        </w:rPr>
        <w:t>rehabilitation</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13]</w:t>
      </w:r>
      <w:r>
        <w:rPr>
          <w:rFonts w:ascii="Times New Roman" w:hAnsi="Times New Roman"/>
          <w:color w:val="322D29"/>
          <w:spacing w:val="1"/>
          <w:sz w:val="30"/>
          <w:szCs w:val="30"/>
          <w:u w:color="322D29"/>
        </w:rPr>
        <w:t xml:space="preserve">. Nag et al. reported success using pterygium‑style sutures in periodontal </w:t>
      </w:r>
      <w:proofErr w:type="gramStart"/>
      <w:r>
        <w:rPr>
          <w:rFonts w:ascii="Times New Roman" w:hAnsi="Times New Roman"/>
          <w:color w:val="322D29"/>
          <w:spacing w:val="1"/>
          <w:sz w:val="30"/>
          <w:szCs w:val="30"/>
          <w:u w:color="322D29"/>
        </w:rPr>
        <w:t>surgery</w:t>
      </w:r>
      <w:r>
        <w:rPr>
          <w:rFonts w:ascii="Times New Roman" w:hAnsi="Times New Roman"/>
          <w:color w:val="322D29"/>
          <w:spacing w:val="1"/>
          <w:sz w:val="30"/>
          <w:szCs w:val="30"/>
          <w:u w:color="322D29"/>
          <w:vertAlign w:val="superscript"/>
        </w:rPr>
        <w:t>[</w:t>
      </w:r>
      <w:proofErr w:type="gramEnd"/>
      <w:r>
        <w:rPr>
          <w:rFonts w:ascii="Times New Roman" w:hAnsi="Times New Roman"/>
          <w:color w:val="322D29"/>
          <w:spacing w:val="1"/>
          <w:sz w:val="30"/>
          <w:szCs w:val="30"/>
          <w:u w:color="322D29"/>
          <w:vertAlign w:val="superscript"/>
        </w:rPr>
        <w:t>14]</w:t>
      </w:r>
      <w:r>
        <w:rPr>
          <w:rFonts w:ascii="Times New Roman" w:hAnsi="Times New Roman"/>
          <w:color w:val="322D29"/>
          <w:spacing w:val="1"/>
          <w:sz w:val="30"/>
          <w:szCs w:val="30"/>
          <w:u w:color="322D29"/>
        </w:rPr>
        <w:t>. This case corroborates these findings, showing that combining interlocking and pterygium sutures can yield stable, functional outcomes.</w:t>
      </w:r>
    </w:p>
    <w:p w14:paraId="441812E1"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6A99162E"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color w:val="322D29"/>
          <w:spacing w:val="1"/>
          <w:sz w:val="30"/>
          <w:szCs w:val="30"/>
          <w:u w:color="322D29"/>
        </w:rPr>
        <w:t>This hybrid approach addresses the critical issue of relapse, enhances oral hygiene, and provides long‑term stability. Limitations include the single‑case design and short follow‑up. Larger studies are needed to validate its generalizability.</w:t>
      </w:r>
    </w:p>
    <w:p w14:paraId="0DF4D7C1"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0505AFF4"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pacing w:val="-2"/>
          <w:sz w:val="30"/>
          <w:szCs w:val="30"/>
          <w:u w:color="322D29"/>
        </w:rPr>
      </w:pPr>
      <w:r>
        <w:rPr>
          <w:rFonts w:ascii="Times New Roman" w:hAnsi="Times New Roman"/>
          <w:b/>
          <w:bCs/>
          <w:color w:val="322D29"/>
          <w:spacing w:val="-2"/>
          <w:sz w:val="30"/>
          <w:szCs w:val="30"/>
          <w:u w:color="322D29"/>
          <w:lang w:val="it-IT"/>
        </w:rPr>
        <w:t>Conclusion</w:t>
      </w:r>
      <w:r>
        <w:rPr>
          <w:rFonts w:ascii="Times New Roman" w:hAnsi="Times New Roman"/>
          <w:b/>
          <w:bCs/>
          <w:color w:val="322D29"/>
          <w:spacing w:val="-2"/>
          <w:sz w:val="30"/>
          <w:szCs w:val="30"/>
          <w:u w:color="322D29"/>
        </w:rPr>
        <w:t>:</w:t>
      </w:r>
    </w:p>
    <w:p w14:paraId="463BD6E4"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00AFCBF6" w14:textId="77777777" w:rsidR="000855EF" w:rsidRDefault="001950D4">
      <w:pPr>
        <w:pStyle w:val="Default"/>
        <w:suppressAutoHyphens/>
        <w:spacing w:before="0" w:after="240" w:line="360" w:lineRule="auto"/>
        <w:rPr>
          <w:rFonts w:ascii="Times New Roman" w:eastAsia="Times New Roman" w:hAnsi="Times New Roman" w:cs="Times New Roman"/>
          <w:sz w:val="30"/>
          <w:szCs w:val="30"/>
        </w:rPr>
      </w:pPr>
      <w:r>
        <w:rPr>
          <w:rFonts w:ascii="Times New Roman" w:hAnsi="Times New Roman"/>
          <w:sz w:val="30"/>
          <w:szCs w:val="30"/>
        </w:rPr>
        <w:t xml:space="preserve">The described surgical technique, which combines a </w:t>
      </w:r>
      <w:proofErr w:type="spellStart"/>
      <w:r>
        <w:rPr>
          <w:rFonts w:ascii="Times New Roman" w:hAnsi="Times New Roman"/>
          <w:sz w:val="30"/>
          <w:szCs w:val="30"/>
        </w:rPr>
        <w:t>lipswitch</w:t>
      </w:r>
      <w:proofErr w:type="spellEnd"/>
      <w:r>
        <w:rPr>
          <w:rFonts w:ascii="Times New Roman" w:hAnsi="Times New Roman"/>
          <w:sz w:val="30"/>
          <w:szCs w:val="30"/>
        </w:rPr>
        <w:t xml:space="preserve"> </w:t>
      </w:r>
      <w:proofErr w:type="spellStart"/>
      <w:r>
        <w:rPr>
          <w:rFonts w:ascii="Times New Roman" w:hAnsi="Times New Roman"/>
          <w:sz w:val="30"/>
          <w:szCs w:val="30"/>
        </w:rPr>
        <w:t>vestibuloplasty</w:t>
      </w:r>
      <w:proofErr w:type="spellEnd"/>
      <w:r>
        <w:rPr>
          <w:rFonts w:ascii="Times New Roman" w:hAnsi="Times New Roman"/>
          <w:sz w:val="30"/>
          <w:szCs w:val="30"/>
        </w:rPr>
        <w:t xml:space="preserve"> with continuous interlocking and pterygium-inspired sutures in the lip </w:t>
      </w:r>
      <w:proofErr w:type="gramStart"/>
      <w:r>
        <w:rPr>
          <w:rFonts w:ascii="Times New Roman" w:hAnsi="Times New Roman"/>
          <w:sz w:val="30"/>
          <w:szCs w:val="30"/>
        </w:rPr>
        <w:t>mucosa  offers</w:t>
      </w:r>
      <w:proofErr w:type="gramEnd"/>
      <w:r>
        <w:rPr>
          <w:rFonts w:ascii="Times New Roman" w:hAnsi="Times New Roman"/>
          <w:sz w:val="30"/>
          <w:szCs w:val="30"/>
        </w:rPr>
        <w:t xml:space="preserve"> a highly effective method for deepening and maintaining vestibular depth in the mandible. This dual approach addresses relapse, enhances oral hygiene, </w:t>
      </w:r>
      <w:r>
        <w:rPr>
          <w:rFonts w:ascii="Times New Roman" w:hAnsi="Times New Roman"/>
          <w:sz w:val="30"/>
          <w:szCs w:val="30"/>
        </w:rPr>
        <w:lastRenderedPageBreak/>
        <w:t>and provides long‑term stability. The successful outcome of this case highlights the potential for this technique to become a valuable tool in pre-prosthetic oral and maxillofacial surgery. Further controlled studies with larger cohorts and longer follow‑up are warranted.</w:t>
      </w:r>
    </w:p>
    <w:p w14:paraId="73305BC1" w14:textId="77777777" w:rsidR="000855EF" w:rsidRDefault="000855EF">
      <w:pPr>
        <w:pStyle w:val="Default"/>
        <w:suppressAutoHyphens/>
        <w:spacing w:before="0" w:after="240" w:line="360" w:lineRule="auto"/>
        <w:rPr>
          <w:rFonts w:ascii="Times New Roman" w:eastAsia="Times New Roman" w:hAnsi="Times New Roman" w:cs="Times New Roman"/>
          <w:b/>
          <w:bCs/>
          <w:sz w:val="30"/>
          <w:szCs w:val="30"/>
        </w:rPr>
      </w:pPr>
    </w:p>
    <w:p w14:paraId="213CEE95"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2"/>
          <w:sz w:val="30"/>
          <w:szCs w:val="30"/>
          <w14:textFill>
            <w14:solidFill>
              <w14:srgbClr w14:val="000000">
                <w14:alpha w14:val="15293"/>
              </w14:srgbClr>
            </w14:solidFill>
          </w14:textFill>
        </w:rPr>
      </w:pPr>
      <w:r>
        <w:rPr>
          <w:rFonts w:ascii="Times New Roman" w:hAnsi="Times New Roman"/>
          <w:b/>
          <w:bCs/>
          <w:color w:val="322D29"/>
          <w:spacing w:val="-2"/>
          <w:sz w:val="30"/>
          <w:szCs w:val="30"/>
          <w:u w:color="322D29"/>
          <w:lang w:val="it-IT"/>
        </w:rPr>
        <w:t>Consent</w:t>
      </w:r>
      <w:r>
        <w:rPr>
          <w:rFonts w:ascii="Times New Roman" w:hAnsi="Times New Roman"/>
          <w:b/>
          <w:bCs/>
          <w:color w:val="322D29"/>
          <w:spacing w:val="-2"/>
          <w:sz w:val="30"/>
          <w:szCs w:val="30"/>
          <w:u w:color="322D29"/>
        </w:rPr>
        <w:t>:</w:t>
      </w:r>
    </w:p>
    <w:p w14:paraId="399985B3"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z w:val="30"/>
          <w:szCs w:val="30"/>
          <w14:textFill>
            <w14:solidFill>
              <w14:srgbClr w14:val="000000">
                <w14:alpha w14:val="15293"/>
              </w14:srgbClr>
            </w14:solidFill>
          </w14:textFill>
        </w:rPr>
      </w:pPr>
    </w:p>
    <w:p w14:paraId="51AAE703"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color w:val="322D29"/>
          <w:spacing w:val="1"/>
          <w:sz w:val="30"/>
          <w:szCs w:val="30"/>
          <w:u w:color="322D29"/>
        </w:rPr>
        <w:t>Informed consent was obtained from the patient prior to surgery and for publication of this case report.</w:t>
      </w:r>
    </w:p>
    <w:p w14:paraId="246D46C4"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p>
    <w:p w14:paraId="0F409D88"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pacing w:val="-2"/>
          <w:sz w:val="30"/>
          <w:szCs w:val="30"/>
          <w:u w:color="322D29"/>
        </w:rPr>
      </w:pPr>
      <w:r>
        <w:rPr>
          <w:rFonts w:ascii="Times New Roman" w:hAnsi="Times New Roman"/>
          <w:b/>
          <w:bCs/>
          <w:color w:val="322D29"/>
          <w:spacing w:val="-2"/>
          <w:sz w:val="30"/>
          <w:szCs w:val="30"/>
          <w:u w:color="322D29"/>
        </w:rPr>
        <w:t>Ethical Approval:</w:t>
      </w:r>
    </w:p>
    <w:p w14:paraId="3CE81318"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pacing w:val="-2"/>
          <w:sz w:val="30"/>
          <w:szCs w:val="30"/>
          <w:u w:color="322D29"/>
        </w:rPr>
      </w:pPr>
    </w:p>
    <w:p w14:paraId="2E314B66"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2"/>
          <w:sz w:val="30"/>
          <w:szCs w:val="30"/>
          <w:u w:color="322D29"/>
        </w:rPr>
      </w:pPr>
      <w:r>
        <w:rPr>
          <w:rFonts w:ascii="Times New Roman" w:hAnsi="Times New Roman"/>
          <w:color w:val="322D29"/>
          <w:spacing w:val="-2"/>
          <w:sz w:val="30"/>
          <w:szCs w:val="30"/>
          <w:u w:color="322D29"/>
        </w:rPr>
        <w:t>It is not applicable.</w:t>
      </w:r>
    </w:p>
    <w:p w14:paraId="34264D11"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2"/>
          <w:sz w:val="30"/>
          <w:szCs w:val="30"/>
          <w:u w:color="322D29"/>
        </w:rPr>
      </w:pPr>
    </w:p>
    <w:p w14:paraId="3C6743D1"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pacing w:val="-2"/>
          <w:sz w:val="30"/>
          <w:szCs w:val="30"/>
          <w:u w:color="322D29"/>
        </w:rPr>
      </w:pPr>
      <w:r>
        <w:rPr>
          <w:rFonts w:ascii="Times New Roman" w:hAnsi="Times New Roman"/>
          <w:b/>
          <w:bCs/>
          <w:color w:val="322D29"/>
          <w:spacing w:val="-2"/>
          <w:sz w:val="30"/>
          <w:szCs w:val="30"/>
          <w:u w:color="322D29"/>
        </w:rPr>
        <w:t>Competing Interests:</w:t>
      </w:r>
    </w:p>
    <w:p w14:paraId="60A17D12"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pacing w:val="-2"/>
          <w:sz w:val="30"/>
          <w:szCs w:val="30"/>
          <w:u w:color="322D29"/>
        </w:rPr>
      </w:pPr>
    </w:p>
    <w:p w14:paraId="2E47F4B5"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2"/>
          <w:sz w:val="30"/>
          <w:szCs w:val="30"/>
          <w:u w:color="322D29"/>
        </w:rPr>
      </w:pPr>
      <w:r>
        <w:rPr>
          <w:rFonts w:ascii="Times New Roman" w:hAnsi="Times New Roman"/>
          <w:color w:val="322D29"/>
          <w:spacing w:val="-2"/>
          <w:sz w:val="30"/>
          <w:szCs w:val="30"/>
          <w:u w:color="322D29"/>
        </w:rPr>
        <w:t>Authors have declared that no competing interests exist.</w:t>
      </w:r>
    </w:p>
    <w:p w14:paraId="19837D14" w14:textId="77777777" w:rsidR="000855EF" w:rsidRDefault="000855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pacing w:val="-2"/>
          <w:sz w:val="30"/>
          <w:szCs w:val="30"/>
          <w:u w:color="322D29"/>
        </w:rPr>
      </w:pPr>
    </w:p>
    <w:p w14:paraId="64621A04"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b/>
          <w:bCs/>
          <w:color w:val="322D29"/>
          <w:spacing w:val="-2"/>
          <w:sz w:val="30"/>
          <w:szCs w:val="30"/>
          <w:u w:color="322D29"/>
        </w:rPr>
      </w:pPr>
      <w:proofErr w:type="spellStart"/>
      <w:proofErr w:type="gramStart"/>
      <w:r>
        <w:rPr>
          <w:rFonts w:ascii="Times New Roman" w:hAnsi="Times New Roman"/>
          <w:b/>
          <w:bCs/>
          <w:color w:val="322D29"/>
          <w:spacing w:val="-2"/>
          <w:sz w:val="30"/>
          <w:szCs w:val="30"/>
          <w:u w:color="322D29"/>
          <w:lang w:val="fr-FR"/>
        </w:rPr>
        <w:t>References</w:t>
      </w:r>
      <w:proofErr w:type="spellEnd"/>
      <w:r>
        <w:rPr>
          <w:rFonts w:ascii="Times New Roman" w:hAnsi="Times New Roman"/>
          <w:b/>
          <w:bCs/>
          <w:color w:val="322D29"/>
          <w:spacing w:val="-2"/>
          <w:sz w:val="30"/>
          <w:szCs w:val="30"/>
          <w:u w:color="322D29"/>
        </w:rPr>
        <w:t>:</w:t>
      </w:r>
      <w:proofErr w:type="gramEnd"/>
    </w:p>
    <w:p w14:paraId="72513131" w14:textId="5142A3AC" w:rsidR="003C6907" w:rsidRDefault="003C690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hAnsi="Times New Roman"/>
          <w:b/>
          <w:bCs/>
          <w:color w:val="322D29"/>
          <w:spacing w:val="1"/>
          <w:sz w:val="30"/>
          <w:szCs w:val="30"/>
          <w:u w:color="322D29"/>
        </w:rPr>
      </w:pPr>
      <w:r w:rsidRPr="003C6907">
        <w:rPr>
          <w:rFonts w:ascii="Times New Roman" w:hAnsi="Times New Roman"/>
          <w:b/>
          <w:bCs/>
          <w:color w:val="322D29"/>
          <w:spacing w:val="1"/>
          <w:sz w:val="30"/>
          <w:szCs w:val="30"/>
          <w:u w:color="322D29"/>
        </w:rPr>
        <w:t xml:space="preserve">1.  </w:t>
      </w:r>
      <w:proofErr w:type="spellStart"/>
      <w:r w:rsidRPr="003C6907">
        <w:rPr>
          <w:rFonts w:ascii="Times New Roman" w:hAnsi="Times New Roman"/>
          <w:b/>
          <w:bCs/>
          <w:color w:val="322D29"/>
          <w:spacing w:val="1"/>
          <w:sz w:val="30"/>
          <w:szCs w:val="30"/>
          <w:u w:color="322D29"/>
        </w:rPr>
        <w:t>Nandkeoliar</w:t>
      </w:r>
      <w:proofErr w:type="spellEnd"/>
      <w:r w:rsidRPr="003C6907">
        <w:rPr>
          <w:rFonts w:ascii="Times New Roman" w:hAnsi="Times New Roman"/>
          <w:b/>
          <w:bCs/>
          <w:color w:val="322D29"/>
          <w:spacing w:val="1"/>
          <w:sz w:val="30"/>
          <w:szCs w:val="30"/>
          <w:u w:color="322D29"/>
        </w:rPr>
        <w:t xml:space="preserve"> T, Kumar A, </w:t>
      </w:r>
      <w:proofErr w:type="spellStart"/>
      <w:r w:rsidRPr="003C6907">
        <w:rPr>
          <w:rFonts w:ascii="Times New Roman" w:hAnsi="Times New Roman"/>
          <w:b/>
          <w:bCs/>
          <w:color w:val="322D29"/>
          <w:spacing w:val="1"/>
          <w:sz w:val="30"/>
          <w:szCs w:val="30"/>
          <w:u w:color="322D29"/>
        </w:rPr>
        <w:t>Chungkham</w:t>
      </w:r>
      <w:proofErr w:type="spellEnd"/>
      <w:r w:rsidRPr="003C6907">
        <w:rPr>
          <w:rFonts w:ascii="Times New Roman" w:hAnsi="Times New Roman"/>
          <w:b/>
          <w:bCs/>
          <w:color w:val="322D29"/>
          <w:spacing w:val="1"/>
          <w:sz w:val="30"/>
          <w:szCs w:val="30"/>
          <w:u w:color="322D29"/>
        </w:rPr>
        <w:t xml:space="preserve"> S, Singh SS. Estimation of vestibular depth: An observational cross‑sectional study. J Indian Soc </w:t>
      </w:r>
      <w:proofErr w:type="spellStart"/>
      <w:r w:rsidRPr="003C6907">
        <w:rPr>
          <w:rFonts w:ascii="Times New Roman" w:hAnsi="Times New Roman"/>
          <w:b/>
          <w:bCs/>
          <w:color w:val="322D29"/>
          <w:spacing w:val="1"/>
          <w:sz w:val="30"/>
          <w:szCs w:val="30"/>
          <w:u w:color="322D29"/>
        </w:rPr>
        <w:t>Periodontol</w:t>
      </w:r>
      <w:proofErr w:type="spellEnd"/>
      <w:r w:rsidRPr="003C6907">
        <w:rPr>
          <w:rFonts w:ascii="Times New Roman" w:hAnsi="Times New Roman"/>
          <w:b/>
          <w:bCs/>
          <w:color w:val="322D29"/>
          <w:spacing w:val="1"/>
          <w:sz w:val="30"/>
          <w:szCs w:val="30"/>
          <w:u w:color="322D29"/>
        </w:rPr>
        <w:t xml:space="preserve">. 2023;27(3):320‑324. </w:t>
      </w:r>
      <w:hyperlink r:id="rId7" w:history="1">
        <w:r w:rsidRPr="00EC1128">
          <w:rPr>
            <w:rStyle w:val="Hyperlink"/>
            <w:rFonts w:ascii="Times New Roman" w:hAnsi="Times New Roman"/>
            <w:b/>
            <w:bCs/>
            <w:spacing w:val="1"/>
            <w:sz w:val="30"/>
            <w:szCs w:val="30"/>
          </w:rPr>
          <w:t>https://doi.org/10.4103/jisp.jisp_293_22</w:t>
        </w:r>
      </w:hyperlink>
    </w:p>
    <w:p w14:paraId="15C61792" w14:textId="7FF4EDBC"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2.  </w:t>
      </w:r>
      <w:r>
        <w:rPr>
          <w:rFonts w:ascii="Times New Roman" w:hAnsi="Times New Roman"/>
          <w:color w:val="322D29"/>
          <w:spacing w:val="1"/>
          <w:sz w:val="30"/>
          <w:szCs w:val="30"/>
          <w:u w:color="322D29"/>
        </w:rPr>
        <w:t xml:space="preserve">Gottsegen R. Frenum position and vestibule depth in relation to gingival health. Oral Surg Oral Med Oral </w:t>
      </w:r>
      <w:proofErr w:type="spellStart"/>
      <w:r>
        <w:rPr>
          <w:rFonts w:ascii="Times New Roman" w:hAnsi="Times New Roman"/>
          <w:color w:val="322D29"/>
          <w:spacing w:val="1"/>
          <w:sz w:val="30"/>
          <w:szCs w:val="30"/>
          <w:u w:color="322D29"/>
        </w:rPr>
        <w:t>Pathol</w:t>
      </w:r>
      <w:proofErr w:type="spellEnd"/>
      <w:r>
        <w:rPr>
          <w:rFonts w:ascii="Times New Roman" w:hAnsi="Times New Roman"/>
          <w:color w:val="322D29"/>
          <w:spacing w:val="1"/>
          <w:sz w:val="30"/>
          <w:szCs w:val="30"/>
          <w:u w:color="322D29"/>
        </w:rPr>
        <w:t xml:space="preserve">. </w:t>
      </w:r>
      <w:proofErr w:type="gramStart"/>
      <w:r>
        <w:rPr>
          <w:rFonts w:ascii="Times New Roman" w:hAnsi="Times New Roman"/>
          <w:color w:val="322D29"/>
          <w:spacing w:val="1"/>
          <w:sz w:val="30"/>
          <w:szCs w:val="30"/>
          <w:u w:color="322D29"/>
        </w:rPr>
        <w:t>1954;7:1069</w:t>
      </w:r>
      <w:proofErr w:type="gramEnd"/>
      <w:r>
        <w:rPr>
          <w:rFonts w:ascii="Times New Roman" w:hAnsi="Times New Roman"/>
          <w:color w:val="322D29"/>
          <w:spacing w:val="1"/>
          <w:sz w:val="30"/>
          <w:szCs w:val="30"/>
          <w:u w:color="322D29"/>
        </w:rPr>
        <w:t>‑1078.</w:t>
      </w:r>
    </w:p>
    <w:p w14:paraId="6B8301A5"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3.  </w:t>
      </w:r>
      <w:r>
        <w:rPr>
          <w:rFonts w:ascii="Times New Roman" w:hAnsi="Times New Roman"/>
          <w:color w:val="322D29"/>
          <w:spacing w:val="1"/>
          <w:sz w:val="30"/>
          <w:szCs w:val="30"/>
          <w:u w:color="322D29"/>
          <w:lang w:val="it-IT"/>
        </w:rPr>
        <w:t>Rosenberg NM. Vestibular alterations in periodontics. J Periodontol. 1960;31:231</w:t>
      </w:r>
      <w:r>
        <w:rPr>
          <w:rFonts w:ascii="Times New Roman" w:hAnsi="Times New Roman"/>
          <w:color w:val="322D29"/>
          <w:spacing w:val="1"/>
          <w:sz w:val="30"/>
          <w:szCs w:val="30"/>
          <w:u w:color="322D29"/>
        </w:rPr>
        <w:t>‑237.</w:t>
      </w:r>
    </w:p>
    <w:p w14:paraId="1BE30D55"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lastRenderedPageBreak/>
        <w:t xml:space="preserve">4.  </w:t>
      </w:r>
      <w:r>
        <w:rPr>
          <w:rFonts w:ascii="Times New Roman" w:hAnsi="Times New Roman"/>
          <w:color w:val="322D29"/>
          <w:spacing w:val="1"/>
          <w:sz w:val="30"/>
          <w:szCs w:val="30"/>
          <w:u w:color="322D29"/>
        </w:rPr>
        <w:t>Kazanjian VH. Surgery as an aid to more efficient service with prosthetic dentures. J Am Dent Assoc. 1935;22(4):566‑581.</w:t>
      </w:r>
    </w:p>
    <w:p w14:paraId="7083290D"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5.  </w:t>
      </w:r>
      <w:proofErr w:type="spellStart"/>
      <w:r>
        <w:rPr>
          <w:rFonts w:ascii="Times New Roman" w:hAnsi="Times New Roman"/>
          <w:color w:val="322D29"/>
          <w:spacing w:val="1"/>
          <w:sz w:val="30"/>
          <w:szCs w:val="30"/>
          <w:u w:color="322D29"/>
        </w:rPr>
        <w:t>Edlan</w:t>
      </w:r>
      <w:proofErr w:type="spellEnd"/>
      <w:r>
        <w:rPr>
          <w:rFonts w:ascii="Times New Roman" w:hAnsi="Times New Roman"/>
          <w:color w:val="322D29"/>
          <w:spacing w:val="1"/>
          <w:sz w:val="30"/>
          <w:szCs w:val="30"/>
          <w:u w:color="322D29"/>
        </w:rPr>
        <w:t xml:space="preserve"> A, </w:t>
      </w:r>
      <w:proofErr w:type="spellStart"/>
      <w:r>
        <w:rPr>
          <w:rFonts w:ascii="Times New Roman" w:hAnsi="Times New Roman"/>
          <w:color w:val="322D29"/>
          <w:spacing w:val="1"/>
          <w:sz w:val="30"/>
          <w:szCs w:val="30"/>
          <w:u w:color="322D29"/>
        </w:rPr>
        <w:t>Mejchar</w:t>
      </w:r>
      <w:proofErr w:type="spellEnd"/>
      <w:r>
        <w:rPr>
          <w:rFonts w:ascii="Times New Roman" w:hAnsi="Times New Roman"/>
          <w:color w:val="322D29"/>
          <w:spacing w:val="1"/>
          <w:sz w:val="30"/>
          <w:szCs w:val="30"/>
          <w:u w:color="322D29"/>
        </w:rPr>
        <w:t xml:space="preserve"> B. Plastic surgery of the vestibulum in periodontal therapy. Int Dent J. </w:t>
      </w:r>
      <w:proofErr w:type="gramStart"/>
      <w:r>
        <w:rPr>
          <w:rFonts w:ascii="Times New Roman" w:hAnsi="Times New Roman"/>
          <w:color w:val="322D29"/>
          <w:spacing w:val="1"/>
          <w:sz w:val="30"/>
          <w:szCs w:val="30"/>
          <w:u w:color="322D29"/>
        </w:rPr>
        <w:t>1963;13:593</w:t>
      </w:r>
      <w:proofErr w:type="gramEnd"/>
      <w:r>
        <w:rPr>
          <w:rFonts w:ascii="Times New Roman" w:hAnsi="Times New Roman"/>
          <w:color w:val="322D29"/>
          <w:spacing w:val="1"/>
          <w:sz w:val="30"/>
          <w:szCs w:val="30"/>
          <w:u w:color="322D29"/>
        </w:rPr>
        <w:t>‑596.</w:t>
      </w:r>
    </w:p>
    <w:p w14:paraId="72CADA3F" w14:textId="330B03C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6.  </w:t>
      </w:r>
      <w:r>
        <w:rPr>
          <w:rFonts w:ascii="Times New Roman" w:hAnsi="Times New Roman"/>
          <w:color w:val="322D29"/>
          <w:spacing w:val="1"/>
          <w:sz w:val="30"/>
          <w:szCs w:val="30"/>
          <w:u w:color="322D29"/>
        </w:rPr>
        <w:t>Clark HB. Deepening the labial sulcus by mucosal flap advancement. J Oral Surg. 1953;11(2):165‑168.</w:t>
      </w:r>
      <w:r w:rsidR="008D5B8E" w:rsidRPr="008D5B8E">
        <w:t xml:space="preserve"> </w:t>
      </w:r>
      <w:r w:rsidR="008D5B8E" w:rsidRPr="008D5B8E">
        <w:rPr>
          <w:rFonts w:ascii="Times New Roman" w:hAnsi="Times New Roman"/>
          <w:color w:val="322D29"/>
          <w:spacing w:val="1"/>
          <w:sz w:val="30"/>
          <w:szCs w:val="30"/>
          <w:u w:color="322D29"/>
        </w:rPr>
        <w:t>https://pubmed.ncbi.nlm.nih.gov/13035574/</w:t>
      </w:r>
    </w:p>
    <w:p w14:paraId="6B238CE8"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7.  </w:t>
      </w:r>
      <w:r>
        <w:rPr>
          <w:rFonts w:ascii="Times New Roman" w:hAnsi="Times New Roman"/>
          <w:color w:val="322D29"/>
          <w:spacing w:val="1"/>
          <w:sz w:val="30"/>
          <w:szCs w:val="30"/>
          <w:u w:color="322D29"/>
        </w:rPr>
        <w:t>Li X, Mao XL. Application of interlocking suture combined with simple continuous suture in pterygium excision with conjunctival translocation. Int Eye Sci. 2015;15(8):1469‑1471.</w:t>
      </w:r>
    </w:p>
    <w:p w14:paraId="4DE1A162"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8.  </w:t>
      </w:r>
      <w:proofErr w:type="spellStart"/>
      <w:r>
        <w:rPr>
          <w:rFonts w:ascii="Times New Roman" w:hAnsi="Times New Roman"/>
          <w:color w:val="322D29"/>
          <w:spacing w:val="1"/>
          <w:sz w:val="30"/>
          <w:szCs w:val="30"/>
          <w:u w:color="322D29"/>
        </w:rPr>
        <w:t>Coroneo</w:t>
      </w:r>
      <w:proofErr w:type="spellEnd"/>
      <w:r>
        <w:rPr>
          <w:rFonts w:ascii="Times New Roman" w:hAnsi="Times New Roman"/>
          <w:color w:val="322D29"/>
          <w:spacing w:val="1"/>
          <w:sz w:val="30"/>
          <w:szCs w:val="30"/>
          <w:u w:color="322D29"/>
        </w:rPr>
        <w:t xml:space="preserve"> MT, Di Girolamo N, Wakefield D. The pathogenesis of pterygia. </w:t>
      </w:r>
      <w:proofErr w:type="spellStart"/>
      <w:r>
        <w:rPr>
          <w:rFonts w:ascii="Times New Roman" w:hAnsi="Times New Roman"/>
          <w:color w:val="322D29"/>
          <w:spacing w:val="1"/>
          <w:sz w:val="30"/>
          <w:szCs w:val="30"/>
          <w:u w:color="322D29"/>
        </w:rPr>
        <w:t>Curr</w:t>
      </w:r>
      <w:proofErr w:type="spellEnd"/>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rPr>
        <w:t>Opin</w:t>
      </w:r>
      <w:proofErr w:type="spellEnd"/>
      <w:r>
        <w:rPr>
          <w:rFonts w:ascii="Times New Roman" w:hAnsi="Times New Roman"/>
          <w:color w:val="322D29"/>
          <w:spacing w:val="1"/>
          <w:sz w:val="30"/>
          <w:szCs w:val="30"/>
          <w:u w:color="322D29"/>
        </w:rPr>
        <w:t xml:space="preserve"> </w:t>
      </w:r>
      <w:proofErr w:type="spellStart"/>
      <w:r>
        <w:rPr>
          <w:rFonts w:ascii="Times New Roman" w:hAnsi="Times New Roman"/>
          <w:color w:val="322D29"/>
          <w:spacing w:val="1"/>
          <w:sz w:val="30"/>
          <w:szCs w:val="30"/>
          <w:u w:color="322D29"/>
        </w:rPr>
        <w:t>Ophthalmol</w:t>
      </w:r>
      <w:proofErr w:type="spellEnd"/>
      <w:r>
        <w:rPr>
          <w:rFonts w:ascii="Times New Roman" w:hAnsi="Times New Roman"/>
          <w:color w:val="322D29"/>
          <w:spacing w:val="1"/>
          <w:sz w:val="30"/>
          <w:szCs w:val="30"/>
          <w:u w:color="322D29"/>
        </w:rPr>
        <w:t xml:space="preserve">. </w:t>
      </w:r>
      <w:proofErr w:type="gramStart"/>
      <w:r>
        <w:rPr>
          <w:rFonts w:ascii="Times New Roman" w:hAnsi="Times New Roman"/>
          <w:color w:val="322D29"/>
          <w:spacing w:val="1"/>
          <w:sz w:val="30"/>
          <w:szCs w:val="30"/>
          <w:u w:color="322D29"/>
        </w:rPr>
        <w:t>1999;10:282</w:t>
      </w:r>
      <w:proofErr w:type="gramEnd"/>
      <w:r>
        <w:rPr>
          <w:rFonts w:ascii="Times New Roman" w:hAnsi="Times New Roman"/>
          <w:color w:val="322D29"/>
          <w:spacing w:val="1"/>
          <w:sz w:val="30"/>
          <w:szCs w:val="30"/>
          <w:u w:color="322D29"/>
        </w:rPr>
        <w:t>‑288.</w:t>
      </w:r>
    </w:p>
    <w:p w14:paraId="63F9053D"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9.  </w:t>
      </w:r>
      <w:r>
        <w:rPr>
          <w:rFonts w:ascii="Times New Roman" w:hAnsi="Times New Roman"/>
          <w:color w:val="322D29"/>
          <w:spacing w:val="1"/>
          <w:sz w:val="30"/>
          <w:szCs w:val="30"/>
          <w:u w:color="322D29"/>
        </w:rPr>
        <w:t xml:space="preserve">Wessberg GA, Hill SC, </w:t>
      </w:r>
      <w:proofErr w:type="spellStart"/>
      <w:r>
        <w:rPr>
          <w:rFonts w:ascii="Times New Roman" w:hAnsi="Times New Roman"/>
          <w:color w:val="322D29"/>
          <w:spacing w:val="1"/>
          <w:sz w:val="30"/>
          <w:szCs w:val="30"/>
          <w:u w:color="322D29"/>
        </w:rPr>
        <w:t>Epker</w:t>
      </w:r>
      <w:proofErr w:type="spellEnd"/>
      <w:r>
        <w:rPr>
          <w:rFonts w:ascii="Times New Roman" w:hAnsi="Times New Roman"/>
          <w:color w:val="322D29"/>
          <w:spacing w:val="1"/>
          <w:sz w:val="30"/>
          <w:szCs w:val="30"/>
          <w:u w:color="322D29"/>
        </w:rPr>
        <w:t xml:space="preserve"> BN. Transpositional flap technique for mandibular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J Am Dent Assoc. 1979;98(6):929‑932.</w:t>
      </w:r>
    </w:p>
    <w:p w14:paraId="634AF0CA"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10.  </w:t>
      </w:r>
      <w:proofErr w:type="spellStart"/>
      <w:r>
        <w:rPr>
          <w:rFonts w:ascii="Times New Roman" w:hAnsi="Times New Roman"/>
          <w:color w:val="322D29"/>
          <w:spacing w:val="1"/>
          <w:sz w:val="30"/>
          <w:szCs w:val="30"/>
          <w:u w:color="322D29"/>
        </w:rPr>
        <w:t>Mahabaleshwara</w:t>
      </w:r>
      <w:proofErr w:type="spellEnd"/>
      <w:r>
        <w:rPr>
          <w:rFonts w:ascii="Times New Roman" w:hAnsi="Times New Roman"/>
          <w:color w:val="322D29"/>
          <w:spacing w:val="1"/>
          <w:sz w:val="30"/>
          <w:szCs w:val="30"/>
          <w:u w:color="322D29"/>
        </w:rPr>
        <w:t xml:space="preserve"> CH, Francis M, Kumar DP, Amudhan CR, Pethkar R, Shravani B. Simple interrupted and continuous interlocking suturing techniques comparison in maxillofacial trauma. RJDS. 2021;13(3):198‑201.</w:t>
      </w:r>
    </w:p>
    <w:p w14:paraId="4D046A58" w14:textId="1A3F8F51"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11.  </w:t>
      </w:r>
      <w:r>
        <w:rPr>
          <w:rFonts w:ascii="Times New Roman" w:hAnsi="Times New Roman"/>
          <w:color w:val="322D29"/>
          <w:spacing w:val="1"/>
          <w:sz w:val="30"/>
          <w:szCs w:val="30"/>
          <w:u w:color="322D29"/>
        </w:rPr>
        <w:t xml:space="preserve">Racey GL, Wallace WR, </w:t>
      </w:r>
      <w:proofErr w:type="spellStart"/>
      <w:r>
        <w:rPr>
          <w:rFonts w:ascii="Times New Roman" w:hAnsi="Times New Roman"/>
          <w:color w:val="322D29"/>
          <w:spacing w:val="1"/>
          <w:sz w:val="30"/>
          <w:szCs w:val="30"/>
          <w:u w:color="322D29"/>
        </w:rPr>
        <w:t>Cavalaris</w:t>
      </w:r>
      <w:proofErr w:type="spellEnd"/>
      <w:r>
        <w:rPr>
          <w:rFonts w:ascii="Times New Roman" w:hAnsi="Times New Roman"/>
          <w:color w:val="322D29"/>
          <w:spacing w:val="1"/>
          <w:sz w:val="30"/>
          <w:szCs w:val="30"/>
          <w:u w:color="322D29"/>
        </w:rPr>
        <w:t xml:space="preserve"> CJ, </w:t>
      </w:r>
      <w:proofErr w:type="spellStart"/>
      <w:r>
        <w:rPr>
          <w:rFonts w:ascii="Times New Roman" w:hAnsi="Times New Roman"/>
          <w:color w:val="322D29"/>
          <w:spacing w:val="1"/>
          <w:sz w:val="30"/>
          <w:szCs w:val="30"/>
          <w:u w:color="322D29"/>
        </w:rPr>
        <w:t>Marguard</w:t>
      </w:r>
      <w:proofErr w:type="spellEnd"/>
      <w:r>
        <w:rPr>
          <w:rFonts w:ascii="Times New Roman" w:hAnsi="Times New Roman"/>
          <w:color w:val="322D29"/>
          <w:spacing w:val="1"/>
          <w:sz w:val="30"/>
          <w:szCs w:val="30"/>
          <w:u w:color="322D29"/>
        </w:rPr>
        <w:t xml:space="preserve"> JV. Comparison of polyglycolic‑polylactic acid suture to silk and catgut in oral tissues. J Oral Surg. 1978;36(10):766‑770.</w:t>
      </w:r>
      <w:r w:rsidR="003C6907" w:rsidRPr="003C6907">
        <w:t xml:space="preserve"> </w:t>
      </w:r>
      <w:r w:rsidR="003C6907" w:rsidRPr="003C6907">
        <w:rPr>
          <w:rFonts w:ascii="Times New Roman" w:hAnsi="Times New Roman"/>
          <w:color w:val="322D29"/>
          <w:spacing w:val="1"/>
          <w:sz w:val="30"/>
          <w:szCs w:val="30"/>
          <w:u w:color="322D29"/>
        </w:rPr>
        <w:t>https://pubmed.ncbi.nlm.nih.gov/280644/</w:t>
      </w:r>
    </w:p>
    <w:p w14:paraId="3D70A090" w14:textId="77777777"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12.  </w:t>
      </w:r>
      <w:r>
        <w:rPr>
          <w:rFonts w:ascii="Times New Roman" w:hAnsi="Times New Roman"/>
          <w:color w:val="322D29"/>
          <w:spacing w:val="1"/>
          <w:sz w:val="30"/>
          <w:szCs w:val="30"/>
          <w:u w:color="322D29"/>
        </w:rPr>
        <w:t xml:space="preserve">Kria L, Ohira A, Amemiya T. Growth factors in cultured pterygium fibroblasts. </w:t>
      </w:r>
      <w:proofErr w:type="spellStart"/>
      <w:r>
        <w:rPr>
          <w:rFonts w:ascii="Times New Roman" w:hAnsi="Times New Roman"/>
          <w:color w:val="322D29"/>
          <w:spacing w:val="1"/>
          <w:sz w:val="30"/>
          <w:szCs w:val="30"/>
          <w:u w:color="322D29"/>
        </w:rPr>
        <w:t>Graefes</w:t>
      </w:r>
      <w:proofErr w:type="spellEnd"/>
      <w:r>
        <w:rPr>
          <w:rFonts w:ascii="Times New Roman" w:hAnsi="Times New Roman"/>
          <w:color w:val="322D29"/>
          <w:spacing w:val="1"/>
          <w:sz w:val="30"/>
          <w:szCs w:val="30"/>
          <w:u w:color="322D29"/>
        </w:rPr>
        <w:t xml:space="preserve"> Arch Clin Exp </w:t>
      </w:r>
      <w:proofErr w:type="spellStart"/>
      <w:r>
        <w:rPr>
          <w:rFonts w:ascii="Times New Roman" w:hAnsi="Times New Roman"/>
          <w:color w:val="322D29"/>
          <w:spacing w:val="1"/>
          <w:sz w:val="30"/>
          <w:szCs w:val="30"/>
          <w:u w:color="322D29"/>
        </w:rPr>
        <w:t>Ophthalmol</w:t>
      </w:r>
      <w:proofErr w:type="spellEnd"/>
      <w:r>
        <w:rPr>
          <w:rFonts w:ascii="Times New Roman" w:hAnsi="Times New Roman"/>
          <w:color w:val="322D29"/>
          <w:spacing w:val="1"/>
          <w:sz w:val="30"/>
          <w:szCs w:val="30"/>
          <w:u w:color="322D29"/>
        </w:rPr>
        <w:t xml:space="preserve">. </w:t>
      </w:r>
      <w:proofErr w:type="gramStart"/>
      <w:r>
        <w:rPr>
          <w:rFonts w:ascii="Times New Roman" w:hAnsi="Times New Roman"/>
          <w:color w:val="322D29"/>
          <w:spacing w:val="1"/>
          <w:sz w:val="30"/>
          <w:szCs w:val="30"/>
          <w:u w:color="322D29"/>
        </w:rPr>
        <w:t>1998;236:702</w:t>
      </w:r>
      <w:proofErr w:type="gramEnd"/>
      <w:r>
        <w:rPr>
          <w:rFonts w:ascii="Times New Roman" w:hAnsi="Times New Roman"/>
          <w:color w:val="322D29"/>
          <w:spacing w:val="1"/>
          <w:sz w:val="30"/>
          <w:szCs w:val="30"/>
          <w:u w:color="322D29"/>
        </w:rPr>
        <w:t>‑708.</w:t>
      </w:r>
    </w:p>
    <w:p w14:paraId="24CC920D" w14:textId="333443FC"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spacing w:val="1"/>
          <w:sz w:val="30"/>
          <w:szCs w:val="30"/>
          <w14:textFill>
            <w14:solidFill>
              <w14:srgbClr w14:val="000000">
                <w14:alpha w14:val="15293"/>
              </w14:srgbClr>
            </w14:solidFill>
          </w14:textFill>
        </w:rPr>
      </w:pPr>
      <w:r>
        <w:rPr>
          <w:rFonts w:ascii="Times New Roman" w:hAnsi="Times New Roman"/>
          <w:b/>
          <w:bCs/>
          <w:color w:val="322D29"/>
          <w:spacing w:val="1"/>
          <w:sz w:val="30"/>
          <w:szCs w:val="30"/>
          <w:u w:color="322D29"/>
        </w:rPr>
        <w:t xml:space="preserve">13.  </w:t>
      </w:r>
      <w:r>
        <w:rPr>
          <w:rFonts w:ascii="Times New Roman" w:hAnsi="Times New Roman"/>
          <w:color w:val="322D29"/>
          <w:spacing w:val="1"/>
          <w:sz w:val="30"/>
          <w:szCs w:val="30"/>
          <w:u w:color="322D29"/>
        </w:rPr>
        <w:t xml:space="preserve">Adams DR, Petukhova Y, Halpern LR. The versatile </w:t>
      </w:r>
      <w:r>
        <w:rPr>
          <w:rFonts w:ascii="Arial Unicode MS" w:hAnsi="Arial Unicode MS"/>
          <w:color w:val="322D29"/>
          <w:spacing w:val="1"/>
          <w:sz w:val="30"/>
          <w:szCs w:val="30"/>
          <w:u w:color="322D29"/>
          <w:rtl/>
          <w:lang w:val="ar-SA"/>
        </w:rPr>
        <w:t>“</w:t>
      </w:r>
      <w:r>
        <w:rPr>
          <w:rFonts w:ascii="Times New Roman" w:hAnsi="Times New Roman"/>
          <w:color w:val="322D29"/>
          <w:spacing w:val="1"/>
          <w:sz w:val="30"/>
          <w:szCs w:val="30"/>
          <w:u w:color="322D29"/>
        </w:rPr>
        <w:t xml:space="preserve">lip switch”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xml:space="preserve"> combined with </w:t>
      </w:r>
      <w:proofErr w:type="spellStart"/>
      <w:r>
        <w:rPr>
          <w:rFonts w:ascii="Times New Roman" w:hAnsi="Times New Roman"/>
          <w:color w:val="322D29"/>
          <w:spacing w:val="1"/>
          <w:sz w:val="30"/>
          <w:szCs w:val="30"/>
          <w:u w:color="322D29"/>
        </w:rPr>
        <w:t>alveoloplasty</w:t>
      </w:r>
      <w:proofErr w:type="spellEnd"/>
      <w:r>
        <w:rPr>
          <w:rFonts w:ascii="Times New Roman" w:hAnsi="Times New Roman"/>
          <w:color w:val="322D29"/>
          <w:spacing w:val="1"/>
          <w:sz w:val="30"/>
          <w:szCs w:val="30"/>
          <w:u w:color="322D29"/>
        </w:rPr>
        <w:t xml:space="preserve"> and implant placement. Spec Care Dentist. 2021;41(1):122‑128.</w:t>
      </w:r>
      <w:r w:rsidR="003C6907">
        <w:rPr>
          <w:rFonts w:ascii="Times New Roman" w:hAnsi="Times New Roman"/>
          <w:color w:val="322D29"/>
          <w:spacing w:val="1"/>
          <w:sz w:val="30"/>
          <w:szCs w:val="30"/>
          <w:u w:color="322D29"/>
        </w:rPr>
        <w:t xml:space="preserve"> </w:t>
      </w:r>
      <w:r w:rsidR="003C6907" w:rsidRPr="003C6907">
        <w:rPr>
          <w:rFonts w:ascii="Times New Roman" w:hAnsi="Times New Roman"/>
          <w:color w:val="322D29"/>
          <w:spacing w:val="1"/>
          <w:sz w:val="30"/>
          <w:szCs w:val="30"/>
          <w:u w:color="322D29"/>
        </w:rPr>
        <w:t>https://doi.org/10.1111/scd.12546</w:t>
      </w:r>
    </w:p>
    <w:p w14:paraId="570BB91D" w14:textId="283B8CB3" w:rsidR="000855EF" w:rsidRDefault="001950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rFonts w:ascii="Times New Roman" w:hAnsi="Times New Roman"/>
          <w:b/>
          <w:bCs/>
          <w:color w:val="322D29"/>
          <w:spacing w:val="1"/>
          <w:sz w:val="30"/>
          <w:szCs w:val="30"/>
          <w:u w:color="322D29"/>
        </w:rPr>
        <w:t xml:space="preserve">14.  </w:t>
      </w:r>
      <w:r>
        <w:rPr>
          <w:rFonts w:ascii="Times New Roman" w:hAnsi="Times New Roman"/>
          <w:color w:val="322D29"/>
          <w:spacing w:val="1"/>
          <w:sz w:val="30"/>
          <w:szCs w:val="30"/>
          <w:u w:color="322D29"/>
        </w:rPr>
        <w:t xml:space="preserve">Nag A, Dholakia S, Rathod V, Rao P. A novel suturing technique for </w:t>
      </w:r>
      <w:proofErr w:type="spellStart"/>
      <w:r>
        <w:rPr>
          <w:rFonts w:ascii="Times New Roman" w:hAnsi="Times New Roman"/>
          <w:color w:val="322D29"/>
          <w:spacing w:val="1"/>
          <w:sz w:val="30"/>
          <w:szCs w:val="30"/>
          <w:u w:color="322D29"/>
        </w:rPr>
        <w:t>vestibuloplasty</w:t>
      </w:r>
      <w:proofErr w:type="spellEnd"/>
      <w:r>
        <w:rPr>
          <w:rFonts w:ascii="Times New Roman" w:hAnsi="Times New Roman"/>
          <w:color w:val="322D29"/>
          <w:spacing w:val="1"/>
          <w:sz w:val="30"/>
          <w:szCs w:val="30"/>
          <w:u w:color="322D29"/>
        </w:rPr>
        <w:t xml:space="preserve"> – report of two cases. J </w:t>
      </w:r>
      <w:proofErr w:type="spellStart"/>
      <w:r>
        <w:rPr>
          <w:rFonts w:ascii="Times New Roman" w:hAnsi="Times New Roman"/>
          <w:color w:val="322D29"/>
          <w:spacing w:val="1"/>
          <w:sz w:val="30"/>
          <w:szCs w:val="30"/>
          <w:u w:color="322D29"/>
        </w:rPr>
        <w:t>Emerg</w:t>
      </w:r>
      <w:proofErr w:type="spellEnd"/>
      <w:r>
        <w:rPr>
          <w:rFonts w:ascii="Times New Roman" w:hAnsi="Times New Roman"/>
          <w:color w:val="322D29"/>
          <w:spacing w:val="1"/>
          <w:sz w:val="30"/>
          <w:szCs w:val="30"/>
          <w:u w:color="322D29"/>
        </w:rPr>
        <w:t xml:space="preserve"> Technol </w:t>
      </w:r>
      <w:proofErr w:type="spellStart"/>
      <w:r>
        <w:rPr>
          <w:rFonts w:ascii="Times New Roman" w:hAnsi="Times New Roman"/>
          <w:color w:val="322D29"/>
          <w:spacing w:val="1"/>
          <w:sz w:val="30"/>
          <w:szCs w:val="30"/>
          <w:u w:color="322D29"/>
        </w:rPr>
        <w:t>Innov</w:t>
      </w:r>
      <w:proofErr w:type="spellEnd"/>
      <w:r>
        <w:rPr>
          <w:rFonts w:ascii="Times New Roman" w:hAnsi="Times New Roman"/>
          <w:color w:val="322D29"/>
          <w:spacing w:val="1"/>
          <w:sz w:val="30"/>
          <w:szCs w:val="30"/>
          <w:u w:color="322D29"/>
        </w:rPr>
        <w:t xml:space="preserve"> Res. 2020;7(3):282‑288.</w:t>
      </w:r>
      <w:r w:rsidR="003C6907">
        <w:rPr>
          <w:rFonts w:ascii="Times New Roman" w:hAnsi="Times New Roman"/>
          <w:color w:val="322D29"/>
          <w:spacing w:val="1"/>
          <w:sz w:val="30"/>
          <w:szCs w:val="30"/>
          <w:u w:color="322D29"/>
        </w:rPr>
        <w:t xml:space="preserve"> </w:t>
      </w:r>
      <w:hyperlink r:id="rId8" w:history="1">
        <w:r w:rsidR="003C6907" w:rsidRPr="00EC1128">
          <w:rPr>
            <w:rStyle w:val="Hyperlink"/>
            <w:rFonts w:ascii="Times New Roman" w:hAnsi="Times New Roman"/>
            <w:spacing w:val="1"/>
            <w:sz w:val="30"/>
            <w:szCs w:val="30"/>
          </w:rPr>
          <w:t>https://doi.org/http://doi.one/10.1729/Journal.23216</w:t>
        </w:r>
      </w:hyperlink>
      <w:r w:rsidR="003C6907">
        <w:rPr>
          <w:rFonts w:ascii="Times New Roman" w:hAnsi="Times New Roman"/>
          <w:color w:val="322D29"/>
          <w:spacing w:val="1"/>
          <w:sz w:val="30"/>
          <w:szCs w:val="30"/>
          <w:u w:color="322D29"/>
        </w:rPr>
        <w:t xml:space="preserve"> </w:t>
      </w:r>
    </w:p>
    <w:p w14:paraId="77C976CE" w14:textId="6C837513" w:rsidR="000855EF" w:rsidRDefault="00CA2F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360" w:lineRule="auto"/>
        <w:rPr>
          <w:rFonts w:ascii="Times New Roman" w:eastAsia="Times New Roman" w:hAnsi="Times New Roman" w:cs="Times New Roman"/>
          <w:color w:val="322D29"/>
          <w:spacing w:val="1"/>
          <w:sz w:val="30"/>
          <w:szCs w:val="30"/>
          <w:u w:color="322D29"/>
        </w:rPr>
      </w:pPr>
      <w:r>
        <w:rPr>
          <w:noProof/>
        </w:rPr>
        <w:lastRenderedPageBreak/>
        <w:drawing>
          <wp:anchor distT="152400" distB="152400" distL="152400" distR="152400" simplePos="0" relativeHeight="251659264" behindDoc="0" locked="0" layoutInCell="1" allowOverlap="1" wp14:anchorId="0A2F5C95" wp14:editId="55FF6B36">
            <wp:simplePos x="0" y="0"/>
            <wp:positionH relativeFrom="page">
              <wp:posOffset>720090</wp:posOffset>
            </wp:positionH>
            <wp:positionV relativeFrom="page">
              <wp:posOffset>2185670</wp:posOffset>
            </wp:positionV>
            <wp:extent cx="3268290" cy="2231391"/>
            <wp:effectExtent l="0" t="0" r="0" b="0"/>
            <wp:wrapThrough wrapText="bothSides" distL="152400" distR="152400">
              <wp:wrapPolygon edited="1">
                <wp:start x="0" y="0"/>
                <wp:lineTo x="21600" y="0"/>
                <wp:lineTo x="21600" y="21600"/>
                <wp:lineTo x="0" y="21600"/>
                <wp:lineTo x="0" y="0"/>
              </wp:wrapPolygon>
            </wp:wrapThrough>
            <wp:docPr id="1073741825" name="officeArt object" descr="IMG_5217.JPG"/>
            <wp:cNvGraphicFramePr/>
            <a:graphic xmlns:a="http://schemas.openxmlformats.org/drawingml/2006/main">
              <a:graphicData uri="http://schemas.openxmlformats.org/drawingml/2006/picture">
                <pic:pic xmlns:pic="http://schemas.openxmlformats.org/drawingml/2006/picture">
                  <pic:nvPicPr>
                    <pic:cNvPr id="1073741825" name="IMG_5217.JPG" descr="IMG_5217.JPG"/>
                    <pic:cNvPicPr>
                      <a:picLocks noChangeAspect="1"/>
                    </pic:cNvPicPr>
                  </pic:nvPicPr>
                  <pic:blipFill>
                    <a:blip r:embed="rId9"/>
                    <a:stretch>
                      <a:fillRect/>
                    </a:stretch>
                  </pic:blipFill>
                  <pic:spPr>
                    <a:xfrm>
                      <a:off x="0" y="0"/>
                      <a:ext cx="3268290" cy="2231391"/>
                    </a:xfrm>
                    <a:prstGeom prst="rect">
                      <a:avLst/>
                    </a:prstGeom>
                    <a:ln w="12700" cap="flat">
                      <a:noFill/>
                      <a:miter lim="400000"/>
                    </a:ln>
                    <a:effectLst/>
                  </pic:spPr>
                </pic:pic>
              </a:graphicData>
            </a:graphic>
          </wp:anchor>
        </w:drawing>
      </w:r>
    </w:p>
    <w:p w14:paraId="33590229" w14:textId="77777777" w:rsidR="00CA2F54" w:rsidRDefault="00CA2F54">
      <w:pPr>
        <w:pStyle w:val="Default"/>
        <w:spacing w:before="0" w:line="360" w:lineRule="auto"/>
        <w:rPr>
          <w:rFonts w:ascii="Times New Roman" w:hAnsi="Times New Roman"/>
          <w:sz w:val="30"/>
          <w:szCs w:val="30"/>
        </w:rPr>
      </w:pPr>
    </w:p>
    <w:p w14:paraId="493F4909" w14:textId="77777777" w:rsidR="00CA2F54" w:rsidRDefault="00CA2F54">
      <w:pPr>
        <w:pStyle w:val="Default"/>
        <w:spacing w:before="0" w:line="360" w:lineRule="auto"/>
        <w:rPr>
          <w:rFonts w:ascii="Times New Roman" w:hAnsi="Times New Roman"/>
          <w:sz w:val="30"/>
          <w:szCs w:val="30"/>
        </w:rPr>
      </w:pPr>
    </w:p>
    <w:p w14:paraId="3ED0CB4A" w14:textId="77777777" w:rsidR="00CA2F54" w:rsidRDefault="00CA2F54">
      <w:pPr>
        <w:pStyle w:val="Default"/>
        <w:spacing w:before="0" w:line="360" w:lineRule="auto"/>
        <w:rPr>
          <w:rFonts w:ascii="Times New Roman" w:hAnsi="Times New Roman"/>
          <w:sz w:val="30"/>
          <w:szCs w:val="30"/>
        </w:rPr>
      </w:pPr>
    </w:p>
    <w:p w14:paraId="6EA7CE19" w14:textId="77777777" w:rsidR="00CA2F54" w:rsidRDefault="00CA2F54">
      <w:pPr>
        <w:pStyle w:val="Default"/>
        <w:spacing w:before="0" w:line="360" w:lineRule="auto"/>
        <w:rPr>
          <w:rFonts w:ascii="Times New Roman" w:hAnsi="Times New Roman"/>
          <w:sz w:val="30"/>
          <w:szCs w:val="30"/>
        </w:rPr>
      </w:pPr>
    </w:p>
    <w:p w14:paraId="62B16B06" w14:textId="77777777" w:rsidR="00CA2F54" w:rsidRDefault="00CA2F54">
      <w:pPr>
        <w:pStyle w:val="Default"/>
        <w:spacing w:before="0" w:line="360" w:lineRule="auto"/>
        <w:rPr>
          <w:rFonts w:ascii="Times New Roman" w:hAnsi="Times New Roman"/>
          <w:sz w:val="30"/>
          <w:szCs w:val="30"/>
        </w:rPr>
      </w:pPr>
    </w:p>
    <w:p w14:paraId="4B61CBC0" w14:textId="77777777" w:rsidR="00CA2F54" w:rsidRDefault="00CA2F54">
      <w:pPr>
        <w:pStyle w:val="Default"/>
        <w:spacing w:before="0" w:line="360" w:lineRule="auto"/>
        <w:rPr>
          <w:rFonts w:ascii="Times New Roman" w:hAnsi="Times New Roman"/>
          <w:sz w:val="30"/>
          <w:szCs w:val="30"/>
        </w:rPr>
      </w:pPr>
    </w:p>
    <w:p w14:paraId="7F60EE91" w14:textId="77777777" w:rsidR="00CA2F54" w:rsidRDefault="00CA2F54">
      <w:pPr>
        <w:pStyle w:val="Default"/>
        <w:spacing w:before="0" w:line="360" w:lineRule="auto"/>
        <w:rPr>
          <w:rFonts w:ascii="Times New Roman" w:hAnsi="Times New Roman"/>
          <w:sz w:val="30"/>
          <w:szCs w:val="30"/>
        </w:rPr>
      </w:pPr>
    </w:p>
    <w:p w14:paraId="4198433E" w14:textId="77777777" w:rsidR="00CA2F54" w:rsidRDefault="00CA2F54">
      <w:pPr>
        <w:pStyle w:val="Default"/>
        <w:spacing w:before="0" w:line="360" w:lineRule="auto"/>
        <w:rPr>
          <w:rFonts w:ascii="Times New Roman" w:hAnsi="Times New Roman"/>
          <w:sz w:val="30"/>
          <w:szCs w:val="30"/>
        </w:rPr>
      </w:pPr>
    </w:p>
    <w:p w14:paraId="06DFC4E9" w14:textId="44AD2604" w:rsidR="000855EF" w:rsidRDefault="001950D4">
      <w:pPr>
        <w:pStyle w:val="Default"/>
        <w:spacing w:before="0" w:line="360" w:lineRule="auto"/>
        <w:rPr>
          <w:rFonts w:ascii="Times New Roman" w:hAnsi="Times New Roman"/>
          <w:sz w:val="30"/>
          <w:szCs w:val="30"/>
        </w:rPr>
      </w:pPr>
      <w:r>
        <w:rPr>
          <w:rFonts w:ascii="Times New Roman" w:hAnsi="Times New Roman"/>
          <w:sz w:val="30"/>
          <w:szCs w:val="30"/>
        </w:rPr>
        <w:t xml:space="preserve">Figure 1: The preoperative view revealed the shallow vestibule </w:t>
      </w:r>
    </w:p>
    <w:p w14:paraId="78D0DC95" w14:textId="7FAB3D8E" w:rsidR="00CA2F54" w:rsidRDefault="00CA2F54">
      <w:pPr>
        <w:pStyle w:val="Default"/>
        <w:spacing w:before="0" w:line="360" w:lineRule="auto"/>
        <w:rPr>
          <w:rFonts w:ascii="Times New Roman" w:eastAsia="Times New Roman" w:hAnsi="Times New Roman" w:cs="Times New Roman"/>
          <w:sz w:val="30"/>
          <w:szCs w:val="30"/>
        </w:rPr>
      </w:pPr>
      <w:r>
        <w:rPr>
          <w:noProof/>
        </w:rPr>
        <w:drawing>
          <wp:anchor distT="152400" distB="152400" distL="152400" distR="152400" simplePos="0" relativeHeight="251661312" behindDoc="0" locked="0" layoutInCell="1" allowOverlap="1" wp14:anchorId="6765737C" wp14:editId="3A0C4279">
            <wp:simplePos x="0" y="0"/>
            <wp:positionH relativeFrom="page">
              <wp:posOffset>720090</wp:posOffset>
            </wp:positionH>
            <wp:positionV relativeFrom="page">
              <wp:posOffset>5471160</wp:posOffset>
            </wp:positionV>
            <wp:extent cx="3268290" cy="2825044"/>
            <wp:effectExtent l="0" t="0" r="0" b="0"/>
            <wp:wrapThrough wrapText="bothSides" distL="152400" distR="152400">
              <wp:wrapPolygon edited="1">
                <wp:start x="0" y="0"/>
                <wp:lineTo x="21600" y="0"/>
                <wp:lineTo x="21600" y="21600"/>
                <wp:lineTo x="0" y="21600"/>
                <wp:lineTo x="0" y="0"/>
              </wp:wrapPolygon>
            </wp:wrapThrough>
            <wp:docPr id="1073741826" name="officeArt object" descr="IMG_5221.JPG"/>
            <wp:cNvGraphicFramePr/>
            <a:graphic xmlns:a="http://schemas.openxmlformats.org/drawingml/2006/main">
              <a:graphicData uri="http://schemas.openxmlformats.org/drawingml/2006/picture">
                <pic:pic xmlns:pic="http://schemas.openxmlformats.org/drawingml/2006/picture">
                  <pic:nvPicPr>
                    <pic:cNvPr id="1073741826" name="IMG_5221.JPG" descr="IMG_5221.JPG"/>
                    <pic:cNvPicPr>
                      <a:picLocks noChangeAspect="1"/>
                    </pic:cNvPicPr>
                  </pic:nvPicPr>
                  <pic:blipFill>
                    <a:blip r:embed="rId10"/>
                    <a:stretch>
                      <a:fillRect/>
                    </a:stretch>
                  </pic:blipFill>
                  <pic:spPr>
                    <a:xfrm>
                      <a:off x="0" y="0"/>
                      <a:ext cx="3268290" cy="2825044"/>
                    </a:xfrm>
                    <a:prstGeom prst="rect">
                      <a:avLst/>
                    </a:prstGeom>
                    <a:ln w="12700" cap="flat">
                      <a:noFill/>
                      <a:miter lim="400000"/>
                    </a:ln>
                    <a:effectLst/>
                  </pic:spPr>
                </pic:pic>
              </a:graphicData>
            </a:graphic>
          </wp:anchor>
        </w:drawing>
      </w:r>
    </w:p>
    <w:p w14:paraId="5BB57774" w14:textId="77777777" w:rsidR="00CA2F54" w:rsidRDefault="00CA2F54">
      <w:pPr>
        <w:pStyle w:val="Default"/>
        <w:spacing w:before="0" w:line="360" w:lineRule="auto"/>
        <w:rPr>
          <w:rFonts w:ascii="Times New Roman" w:hAnsi="Times New Roman"/>
          <w:sz w:val="30"/>
          <w:szCs w:val="30"/>
        </w:rPr>
      </w:pPr>
    </w:p>
    <w:p w14:paraId="3941BEF2" w14:textId="77777777" w:rsidR="00CA2F54" w:rsidRDefault="00CA2F54">
      <w:pPr>
        <w:pStyle w:val="Default"/>
        <w:spacing w:before="0" w:line="360" w:lineRule="auto"/>
        <w:rPr>
          <w:rFonts w:ascii="Times New Roman" w:hAnsi="Times New Roman"/>
          <w:sz w:val="30"/>
          <w:szCs w:val="30"/>
        </w:rPr>
      </w:pPr>
    </w:p>
    <w:p w14:paraId="055BDE7D" w14:textId="77777777" w:rsidR="00CA2F54" w:rsidRDefault="00CA2F54">
      <w:pPr>
        <w:pStyle w:val="Default"/>
        <w:spacing w:before="0" w:line="360" w:lineRule="auto"/>
        <w:rPr>
          <w:rFonts w:ascii="Times New Roman" w:hAnsi="Times New Roman"/>
          <w:sz w:val="30"/>
          <w:szCs w:val="30"/>
        </w:rPr>
      </w:pPr>
    </w:p>
    <w:p w14:paraId="4A373729" w14:textId="77777777" w:rsidR="00CA2F54" w:rsidRDefault="00CA2F54">
      <w:pPr>
        <w:pStyle w:val="Default"/>
        <w:spacing w:before="0" w:line="360" w:lineRule="auto"/>
        <w:rPr>
          <w:rFonts w:ascii="Times New Roman" w:hAnsi="Times New Roman"/>
          <w:sz w:val="30"/>
          <w:szCs w:val="30"/>
        </w:rPr>
      </w:pPr>
    </w:p>
    <w:p w14:paraId="57B230B2" w14:textId="77777777" w:rsidR="00CA2F54" w:rsidRDefault="00CA2F54">
      <w:pPr>
        <w:pStyle w:val="Default"/>
        <w:spacing w:before="0" w:line="360" w:lineRule="auto"/>
        <w:rPr>
          <w:rFonts w:ascii="Times New Roman" w:hAnsi="Times New Roman"/>
          <w:sz w:val="30"/>
          <w:szCs w:val="30"/>
        </w:rPr>
      </w:pPr>
    </w:p>
    <w:p w14:paraId="11B70202" w14:textId="77777777" w:rsidR="00CA2F54" w:rsidRDefault="00CA2F54">
      <w:pPr>
        <w:pStyle w:val="Default"/>
        <w:spacing w:before="0" w:line="360" w:lineRule="auto"/>
        <w:rPr>
          <w:rFonts w:ascii="Times New Roman" w:hAnsi="Times New Roman"/>
          <w:sz w:val="30"/>
          <w:szCs w:val="30"/>
        </w:rPr>
      </w:pPr>
    </w:p>
    <w:p w14:paraId="61BB7A42" w14:textId="77777777" w:rsidR="00CA2F54" w:rsidRDefault="00CA2F54">
      <w:pPr>
        <w:pStyle w:val="Default"/>
        <w:spacing w:before="0" w:line="360" w:lineRule="auto"/>
        <w:rPr>
          <w:rFonts w:ascii="Times New Roman" w:hAnsi="Times New Roman"/>
          <w:sz w:val="30"/>
          <w:szCs w:val="30"/>
        </w:rPr>
      </w:pPr>
    </w:p>
    <w:p w14:paraId="7E76AE72" w14:textId="77777777" w:rsidR="00CA2F54" w:rsidRDefault="00CA2F54">
      <w:pPr>
        <w:pStyle w:val="Default"/>
        <w:spacing w:before="0" w:line="360" w:lineRule="auto"/>
        <w:rPr>
          <w:rFonts w:ascii="Times New Roman" w:hAnsi="Times New Roman"/>
          <w:sz w:val="30"/>
          <w:szCs w:val="30"/>
        </w:rPr>
      </w:pPr>
    </w:p>
    <w:p w14:paraId="291C6F67" w14:textId="77777777" w:rsidR="00CA2F54" w:rsidRDefault="00CA2F54">
      <w:pPr>
        <w:pStyle w:val="Default"/>
        <w:spacing w:before="0" w:line="360" w:lineRule="auto"/>
        <w:rPr>
          <w:rFonts w:ascii="Times New Roman" w:hAnsi="Times New Roman"/>
          <w:sz w:val="30"/>
          <w:szCs w:val="30"/>
        </w:rPr>
      </w:pPr>
    </w:p>
    <w:p w14:paraId="3D0946B1" w14:textId="77777777" w:rsidR="00CA2F54" w:rsidRDefault="00CA2F54">
      <w:pPr>
        <w:pStyle w:val="Default"/>
        <w:spacing w:before="0" w:line="360" w:lineRule="auto"/>
        <w:rPr>
          <w:rFonts w:ascii="Times New Roman" w:hAnsi="Times New Roman"/>
          <w:sz w:val="30"/>
          <w:szCs w:val="30"/>
        </w:rPr>
      </w:pPr>
    </w:p>
    <w:p w14:paraId="509BA0FB" w14:textId="77777777" w:rsidR="00CA2F54" w:rsidRDefault="00CA2F54">
      <w:pPr>
        <w:pStyle w:val="Default"/>
        <w:spacing w:before="0" w:line="360" w:lineRule="auto"/>
        <w:rPr>
          <w:rFonts w:ascii="Times New Roman" w:hAnsi="Times New Roman"/>
          <w:sz w:val="30"/>
          <w:szCs w:val="30"/>
        </w:rPr>
      </w:pPr>
    </w:p>
    <w:p w14:paraId="5191CCBA" w14:textId="27E9D4F6" w:rsidR="000855EF" w:rsidRDefault="001950D4">
      <w:pPr>
        <w:pStyle w:val="Default"/>
        <w:spacing w:before="0" w:line="360" w:lineRule="auto"/>
        <w:rPr>
          <w:rFonts w:ascii="Times New Roman" w:hAnsi="Times New Roman"/>
          <w:sz w:val="30"/>
          <w:szCs w:val="30"/>
        </w:rPr>
      </w:pPr>
      <w:r>
        <w:rPr>
          <w:rFonts w:ascii="Times New Roman" w:hAnsi="Times New Roman"/>
          <w:sz w:val="30"/>
          <w:szCs w:val="30"/>
        </w:rPr>
        <w:t>Figure 2: A horizontal incision was given at the level of the mucogingival junction. A partial-thickness flap was carefully elevated.</w:t>
      </w:r>
    </w:p>
    <w:p w14:paraId="0A96E4C2" w14:textId="77777777" w:rsidR="00CA2F54" w:rsidRDefault="00CA2F54">
      <w:pPr>
        <w:pStyle w:val="Default"/>
        <w:spacing w:before="0" w:line="360" w:lineRule="auto"/>
        <w:rPr>
          <w:rFonts w:ascii="Times New Roman" w:hAnsi="Times New Roman"/>
          <w:sz w:val="30"/>
          <w:szCs w:val="30"/>
        </w:rPr>
      </w:pPr>
    </w:p>
    <w:p w14:paraId="0106E4B2" w14:textId="77777777" w:rsidR="00CA2F54" w:rsidRDefault="00CA2F54">
      <w:pPr>
        <w:pStyle w:val="Default"/>
        <w:spacing w:before="0" w:line="360" w:lineRule="auto"/>
        <w:rPr>
          <w:rFonts w:ascii="Times New Roman" w:hAnsi="Times New Roman"/>
          <w:sz w:val="30"/>
          <w:szCs w:val="30"/>
        </w:rPr>
      </w:pPr>
    </w:p>
    <w:p w14:paraId="4E99FA91" w14:textId="77777777" w:rsidR="00CA2F54" w:rsidRDefault="00CA2F54">
      <w:pPr>
        <w:pStyle w:val="Default"/>
        <w:spacing w:before="0" w:line="360" w:lineRule="auto"/>
        <w:rPr>
          <w:rFonts w:ascii="Times New Roman" w:hAnsi="Times New Roman"/>
          <w:sz w:val="30"/>
          <w:szCs w:val="30"/>
        </w:rPr>
      </w:pPr>
    </w:p>
    <w:p w14:paraId="017A739C" w14:textId="048082F6" w:rsidR="00CA2F54" w:rsidRDefault="00CA2F54">
      <w:pPr>
        <w:pStyle w:val="Default"/>
        <w:spacing w:before="0" w:line="360" w:lineRule="auto"/>
        <w:rPr>
          <w:rFonts w:ascii="Times New Roman" w:eastAsia="Times New Roman" w:hAnsi="Times New Roman" w:cs="Times New Roman"/>
          <w:sz w:val="30"/>
          <w:szCs w:val="30"/>
        </w:rPr>
      </w:pPr>
      <w:r>
        <w:rPr>
          <w:noProof/>
        </w:rPr>
        <w:drawing>
          <wp:anchor distT="152400" distB="152400" distL="152400" distR="152400" simplePos="0" relativeHeight="251663360" behindDoc="0" locked="0" layoutInCell="1" allowOverlap="1" wp14:anchorId="512CBCAE" wp14:editId="3C4F4A95">
            <wp:simplePos x="0" y="0"/>
            <wp:positionH relativeFrom="page">
              <wp:posOffset>720090</wp:posOffset>
            </wp:positionH>
            <wp:positionV relativeFrom="page">
              <wp:posOffset>1856740</wp:posOffset>
            </wp:positionV>
            <wp:extent cx="2420332" cy="2945125"/>
            <wp:effectExtent l="0" t="0" r="0" b="0"/>
            <wp:wrapThrough wrapText="bothSides" distL="152400" distR="152400">
              <wp:wrapPolygon edited="1">
                <wp:start x="0" y="0"/>
                <wp:lineTo x="21600" y="0"/>
                <wp:lineTo x="21600" y="21600"/>
                <wp:lineTo x="0" y="21600"/>
                <wp:lineTo x="0" y="0"/>
              </wp:wrapPolygon>
            </wp:wrapThrough>
            <wp:docPr id="1073741827" name="officeArt object" descr="IMG_5224.JPG"/>
            <wp:cNvGraphicFramePr/>
            <a:graphic xmlns:a="http://schemas.openxmlformats.org/drawingml/2006/main">
              <a:graphicData uri="http://schemas.openxmlformats.org/drawingml/2006/picture">
                <pic:pic xmlns:pic="http://schemas.openxmlformats.org/drawingml/2006/picture">
                  <pic:nvPicPr>
                    <pic:cNvPr id="1073741827" name="IMG_5224.JPG" descr="IMG_5224.JPG"/>
                    <pic:cNvPicPr>
                      <a:picLocks noChangeAspect="1"/>
                    </pic:cNvPicPr>
                  </pic:nvPicPr>
                  <pic:blipFill>
                    <a:blip r:embed="rId11"/>
                    <a:stretch>
                      <a:fillRect/>
                    </a:stretch>
                  </pic:blipFill>
                  <pic:spPr>
                    <a:xfrm>
                      <a:off x="0" y="0"/>
                      <a:ext cx="2420332" cy="2945125"/>
                    </a:xfrm>
                    <a:prstGeom prst="rect">
                      <a:avLst/>
                    </a:prstGeom>
                    <a:ln w="12700" cap="flat">
                      <a:noFill/>
                      <a:miter lim="400000"/>
                    </a:ln>
                    <a:effectLst/>
                  </pic:spPr>
                </pic:pic>
              </a:graphicData>
            </a:graphic>
          </wp:anchor>
        </w:drawing>
      </w:r>
    </w:p>
    <w:p w14:paraId="68FC40A0" w14:textId="77777777" w:rsidR="00CA2F54" w:rsidRDefault="00CA2F54">
      <w:pPr>
        <w:pStyle w:val="Default"/>
        <w:spacing w:before="0" w:line="360" w:lineRule="auto"/>
        <w:rPr>
          <w:rFonts w:ascii="Times New Roman" w:hAnsi="Times New Roman"/>
          <w:sz w:val="30"/>
          <w:szCs w:val="30"/>
        </w:rPr>
      </w:pPr>
    </w:p>
    <w:p w14:paraId="5B015C12" w14:textId="77777777" w:rsidR="00CA2F54" w:rsidRDefault="00CA2F54">
      <w:pPr>
        <w:pStyle w:val="Default"/>
        <w:spacing w:before="0" w:line="360" w:lineRule="auto"/>
        <w:rPr>
          <w:rFonts w:ascii="Times New Roman" w:hAnsi="Times New Roman"/>
          <w:sz w:val="30"/>
          <w:szCs w:val="30"/>
        </w:rPr>
      </w:pPr>
    </w:p>
    <w:p w14:paraId="5849EA1D" w14:textId="77777777" w:rsidR="00CA2F54" w:rsidRDefault="00CA2F54">
      <w:pPr>
        <w:pStyle w:val="Default"/>
        <w:spacing w:before="0" w:line="360" w:lineRule="auto"/>
        <w:rPr>
          <w:rFonts w:ascii="Times New Roman" w:hAnsi="Times New Roman"/>
          <w:sz w:val="30"/>
          <w:szCs w:val="30"/>
        </w:rPr>
      </w:pPr>
    </w:p>
    <w:p w14:paraId="7B7F2B48" w14:textId="77777777" w:rsidR="00CA2F54" w:rsidRDefault="00CA2F54">
      <w:pPr>
        <w:pStyle w:val="Default"/>
        <w:spacing w:before="0" w:line="360" w:lineRule="auto"/>
        <w:rPr>
          <w:rFonts w:ascii="Times New Roman" w:hAnsi="Times New Roman"/>
          <w:sz w:val="30"/>
          <w:szCs w:val="30"/>
        </w:rPr>
      </w:pPr>
    </w:p>
    <w:p w14:paraId="65D1E884" w14:textId="77777777" w:rsidR="00CA2F54" w:rsidRDefault="00CA2F54">
      <w:pPr>
        <w:pStyle w:val="Default"/>
        <w:spacing w:before="0" w:line="360" w:lineRule="auto"/>
        <w:rPr>
          <w:rFonts w:ascii="Times New Roman" w:hAnsi="Times New Roman"/>
          <w:sz w:val="30"/>
          <w:szCs w:val="30"/>
        </w:rPr>
      </w:pPr>
    </w:p>
    <w:p w14:paraId="53F3D506" w14:textId="77777777" w:rsidR="00CA2F54" w:rsidRDefault="00CA2F54">
      <w:pPr>
        <w:pStyle w:val="Default"/>
        <w:spacing w:before="0" w:line="360" w:lineRule="auto"/>
        <w:rPr>
          <w:rFonts w:ascii="Times New Roman" w:hAnsi="Times New Roman"/>
          <w:sz w:val="30"/>
          <w:szCs w:val="30"/>
        </w:rPr>
      </w:pPr>
    </w:p>
    <w:p w14:paraId="54E05BBC" w14:textId="77777777" w:rsidR="00CA2F54" w:rsidRDefault="00CA2F54">
      <w:pPr>
        <w:pStyle w:val="Default"/>
        <w:spacing w:before="0" w:line="360" w:lineRule="auto"/>
        <w:rPr>
          <w:rFonts w:ascii="Times New Roman" w:hAnsi="Times New Roman"/>
          <w:sz w:val="30"/>
          <w:szCs w:val="30"/>
        </w:rPr>
      </w:pPr>
    </w:p>
    <w:p w14:paraId="3E923619" w14:textId="77777777" w:rsidR="00CA2F54" w:rsidRDefault="00CA2F54">
      <w:pPr>
        <w:pStyle w:val="Default"/>
        <w:spacing w:before="0" w:line="360" w:lineRule="auto"/>
        <w:rPr>
          <w:rFonts w:ascii="Times New Roman" w:hAnsi="Times New Roman"/>
          <w:sz w:val="30"/>
          <w:szCs w:val="30"/>
        </w:rPr>
      </w:pPr>
    </w:p>
    <w:p w14:paraId="454C1811" w14:textId="77777777" w:rsidR="00CA2F54" w:rsidRDefault="00CA2F54">
      <w:pPr>
        <w:pStyle w:val="Default"/>
        <w:spacing w:before="0" w:line="360" w:lineRule="auto"/>
        <w:rPr>
          <w:rFonts w:ascii="Times New Roman" w:hAnsi="Times New Roman"/>
          <w:sz w:val="30"/>
          <w:szCs w:val="30"/>
        </w:rPr>
      </w:pPr>
    </w:p>
    <w:p w14:paraId="38C45FAB" w14:textId="77777777" w:rsidR="00CA2F54" w:rsidRDefault="00CA2F54">
      <w:pPr>
        <w:pStyle w:val="Default"/>
        <w:spacing w:before="0" w:line="360" w:lineRule="auto"/>
        <w:rPr>
          <w:rFonts w:ascii="Times New Roman" w:hAnsi="Times New Roman"/>
          <w:sz w:val="30"/>
          <w:szCs w:val="30"/>
        </w:rPr>
      </w:pPr>
    </w:p>
    <w:p w14:paraId="187F3D0E" w14:textId="77777777" w:rsidR="00CA2F54" w:rsidRDefault="00CA2F54">
      <w:pPr>
        <w:pStyle w:val="Default"/>
        <w:spacing w:before="0" w:line="360" w:lineRule="auto"/>
        <w:rPr>
          <w:rFonts w:ascii="Times New Roman" w:hAnsi="Times New Roman"/>
          <w:sz w:val="30"/>
          <w:szCs w:val="30"/>
        </w:rPr>
      </w:pPr>
    </w:p>
    <w:p w14:paraId="6167CA3E" w14:textId="6096E941" w:rsidR="000855EF" w:rsidRDefault="001950D4">
      <w:pPr>
        <w:pStyle w:val="Default"/>
        <w:spacing w:before="0" w:line="360" w:lineRule="auto"/>
        <w:rPr>
          <w:rFonts w:ascii="Times New Roman" w:hAnsi="Times New Roman"/>
          <w:sz w:val="30"/>
          <w:szCs w:val="30"/>
        </w:rPr>
      </w:pPr>
      <w:r>
        <w:rPr>
          <w:rFonts w:ascii="Times New Roman" w:hAnsi="Times New Roman"/>
          <w:sz w:val="30"/>
          <w:szCs w:val="30"/>
        </w:rPr>
        <w:t>Figure 3: Vestibular deepening was performed by dissecting the muscle and connective tissue attachments to create additional vertical depth. The periosteum was then gently stripped from the underlying bone to reduce muscular tension and enhance flap mobility, thereby improving postoperative vestibular depth.</w:t>
      </w:r>
    </w:p>
    <w:p w14:paraId="224830D0" w14:textId="4685564E" w:rsidR="00CA2F54" w:rsidRDefault="00CA2F54">
      <w:pPr>
        <w:pStyle w:val="Default"/>
        <w:spacing w:before="0" w:line="360" w:lineRule="auto"/>
        <w:rPr>
          <w:rFonts w:ascii="Times New Roman" w:eastAsia="Times New Roman" w:hAnsi="Times New Roman" w:cs="Times New Roman"/>
          <w:sz w:val="30"/>
          <w:szCs w:val="30"/>
        </w:rPr>
      </w:pPr>
      <w:r>
        <w:rPr>
          <w:noProof/>
        </w:rPr>
        <w:drawing>
          <wp:anchor distT="152400" distB="152400" distL="152400" distR="152400" simplePos="0" relativeHeight="251665408" behindDoc="0" locked="0" layoutInCell="1" allowOverlap="1" wp14:anchorId="044CD7C4" wp14:editId="12FE1D1F">
            <wp:simplePos x="0" y="0"/>
            <wp:positionH relativeFrom="page">
              <wp:posOffset>720090</wp:posOffset>
            </wp:positionH>
            <wp:positionV relativeFrom="page">
              <wp:posOffset>7442835</wp:posOffset>
            </wp:positionV>
            <wp:extent cx="3098427" cy="3154865"/>
            <wp:effectExtent l="0" t="0" r="0" b="0"/>
            <wp:wrapThrough wrapText="bothSides" distL="152400" distR="152400">
              <wp:wrapPolygon edited="1">
                <wp:start x="0" y="0"/>
                <wp:lineTo x="21600" y="0"/>
                <wp:lineTo x="21600" y="21600"/>
                <wp:lineTo x="0" y="21600"/>
                <wp:lineTo x="0" y="0"/>
              </wp:wrapPolygon>
            </wp:wrapThrough>
            <wp:docPr id="1073741828" name="officeArt object" descr="IMG_5228.JPG"/>
            <wp:cNvGraphicFramePr/>
            <a:graphic xmlns:a="http://schemas.openxmlformats.org/drawingml/2006/main">
              <a:graphicData uri="http://schemas.openxmlformats.org/drawingml/2006/picture">
                <pic:pic xmlns:pic="http://schemas.openxmlformats.org/drawingml/2006/picture">
                  <pic:nvPicPr>
                    <pic:cNvPr id="1073741828" name="IMG_5228.JPG" descr="IMG_5228.JPG"/>
                    <pic:cNvPicPr>
                      <a:picLocks noChangeAspect="1"/>
                    </pic:cNvPicPr>
                  </pic:nvPicPr>
                  <pic:blipFill>
                    <a:blip r:embed="rId12"/>
                    <a:stretch>
                      <a:fillRect/>
                    </a:stretch>
                  </pic:blipFill>
                  <pic:spPr>
                    <a:xfrm>
                      <a:off x="0" y="0"/>
                      <a:ext cx="3098427" cy="3154865"/>
                    </a:xfrm>
                    <a:prstGeom prst="rect">
                      <a:avLst/>
                    </a:prstGeom>
                    <a:ln w="12700" cap="flat">
                      <a:noFill/>
                      <a:miter lim="400000"/>
                    </a:ln>
                    <a:effectLst/>
                  </pic:spPr>
                </pic:pic>
              </a:graphicData>
            </a:graphic>
          </wp:anchor>
        </w:drawing>
      </w:r>
    </w:p>
    <w:p w14:paraId="0100422C" w14:textId="77777777" w:rsidR="00CA2F54" w:rsidRDefault="00CA2F54">
      <w:pPr>
        <w:pStyle w:val="Default"/>
        <w:spacing w:before="0" w:line="360" w:lineRule="auto"/>
        <w:rPr>
          <w:rFonts w:ascii="Times New Roman" w:hAnsi="Times New Roman"/>
          <w:sz w:val="30"/>
          <w:szCs w:val="30"/>
        </w:rPr>
      </w:pPr>
    </w:p>
    <w:p w14:paraId="046D45D9" w14:textId="77777777" w:rsidR="00CA2F54" w:rsidRDefault="00CA2F54">
      <w:pPr>
        <w:pStyle w:val="Default"/>
        <w:spacing w:before="0" w:line="360" w:lineRule="auto"/>
        <w:rPr>
          <w:rFonts w:ascii="Times New Roman" w:hAnsi="Times New Roman"/>
          <w:sz w:val="30"/>
          <w:szCs w:val="30"/>
        </w:rPr>
      </w:pPr>
    </w:p>
    <w:p w14:paraId="5273BC39" w14:textId="77777777" w:rsidR="00CA2F54" w:rsidRDefault="00CA2F54">
      <w:pPr>
        <w:pStyle w:val="Default"/>
        <w:spacing w:before="0" w:line="360" w:lineRule="auto"/>
        <w:rPr>
          <w:rFonts w:ascii="Times New Roman" w:hAnsi="Times New Roman"/>
          <w:sz w:val="30"/>
          <w:szCs w:val="30"/>
        </w:rPr>
      </w:pPr>
    </w:p>
    <w:p w14:paraId="15634EC1" w14:textId="77777777" w:rsidR="00CA2F54" w:rsidRDefault="00CA2F54">
      <w:pPr>
        <w:pStyle w:val="Default"/>
        <w:spacing w:before="0" w:line="360" w:lineRule="auto"/>
        <w:rPr>
          <w:rFonts w:ascii="Times New Roman" w:hAnsi="Times New Roman"/>
          <w:sz w:val="30"/>
          <w:szCs w:val="30"/>
        </w:rPr>
      </w:pPr>
    </w:p>
    <w:p w14:paraId="7430F61C" w14:textId="77777777" w:rsidR="00CA2F54" w:rsidRDefault="00CA2F54">
      <w:pPr>
        <w:pStyle w:val="Default"/>
        <w:spacing w:before="0" w:line="360" w:lineRule="auto"/>
        <w:rPr>
          <w:rFonts w:ascii="Times New Roman" w:hAnsi="Times New Roman"/>
          <w:sz w:val="30"/>
          <w:szCs w:val="30"/>
        </w:rPr>
      </w:pPr>
    </w:p>
    <w:p w14:paraId="689EBB91" w14:textId="77777777" w:rsidR="00CA2F54" w:rsidRDefault="00CA2F54">
      <w:pPr>
        <w:pStyle w:val="Default"/>
        <w:spacing w:before="0" w:line="360" w:lineRule="auto"/>
        <w:rPr>
          <w:rFonts w:ascii="Times New Roman" w:hAnsi="Times New Roman"/>
          <w:sz w:val="30"/>
          <w:szCs w:val="30"/>
        </w:rPr>
      </w:pPr>
    </w:p>
    <w:p w14:paraId="7615658E" w14:textId="77777777" w:rsidR="00CA2F54" w:rsidRDefault="00CA2F54">
      <w:pPr>
        <w:pStyle w:val="Default"/>
        <w:spacing w:before="0" w:line="360" w:lineRule="auto"/>
        <w:rPr>
          <w:rFonts w:ascii="Times New Roman" w:hAnsi="Times New Roman"/>
          <w:sz w:val="30"/>
          <w:szCs w:val="30"/>
        </w:rPr>
      </w:pPr>
    </w:p>
    <w:p w14:paraId="6BC540D9" w14:textId="77777777" w:rsidR="00CA2F54" w:rsidRDefault="00CA2F54">
      <w:pPr>
        <w:pStyle w:val="Default"/>
        <w:spacing w:before="0" w:line="360" w:lineRule="auto"/>
        <w:rPr>
          <w:rFonts w:ascii="Times New Roman" w:hAnsi="Times New Roman"/>
          <w:sz w:val="30"/>
          <w:szCs w:val="30"/>
        </w:rPr>
      </w:pPr>
    </w:p>
    <w:p w14:paraId="65C6A215" w14:textId="2DE6011B" w:rsidR="000855EF" w:rsidRDefault="001950D4">
      <w:pPr>
        <w:pStyle w:val="Default"/>
        <w:spacing w:before="0" w:line="360" w:lineRule="auto"/>
        <w:rPr>
          <w:rFonts w:ascii="Times New Roman" w:hAnsi="Times New Roman"/>
          <w:sz w:val="30"/>
          <w:szCs w:val="30"/>
        </w:rPr>
      </w:pPr>
      <w:r>
        <w:rPr>
          <w:rFonts w:ascii="Times New Roman" w:hAnsi="Times New Roman"/>
          <w:sz w:val="30"/>
          <w:szCs w:val="30"/>
        </w:rPr>
        <w:lastRenderedPageBreak/>
        <w:t>Figure 4: The elevated flap was stabilized by securing it to the underlying periosteum using simple interrupted sutures.</w:t>
      </w:r>
    </w:p>
    <w:p w14:paraId="63CDF56E" w14:textId="77777777" w:rsidR="00CA2F54" w:rsidRDefault="00CA2F54">
      <w:pPr>
        <w:pStyle w:val="Default"/>
        <w:spacing w:before="0" w:line="360" w:lineRule="auto"/>
        <w:rPr>
          <w:rFonts w:ascii="Times New Roman" w:hAnsi="Times New Roman"/>
          <w:sz w:val="30"/>
          <w:szCs w:val="30"/>
        </w:rPr>
      </w:pPr>
    </w:p>
    <w:p w14:paraId="0A126E15" w14:textId="0015C5D1" w:rsidR="00CA2F54" w:rsidRDefault="00CA2F54">
      <w:pPr>
        <w:pStyle w:val="Default"/>
        <w:spacing w:before="0" w:line="360" w:lineRule="auto"/>
        <w:rPr>
          <w:rFonts w:ascii="Times New Roman" w:eastAsia="Times New Roman" w:hAnsi="Times New Roman" w:cs="Times New Roman"/>
          <w:sz w:val="30"/>
          <w:szCs w:val="30"/>
        </w:rPr>
      </w:pPr>
      <w:r>
        <w:rPr>
          <w:noProof/>
        </w:rPr>
        <w:drawing>
          <wp:anchor distT="152400" distB="152400" distL="152400" distR="152400" simplePos="0" relativeHeight="251667456" behindDoc="0" locked="0" layoutInCell="1" allowOverlap="1" wp14:anchorId="5E52A084" wp14:editId="22E4CDA2">
            <wp:simplePos x="0" y="0"/>
            <wp:positionH relativeFrom="page">
              <wp:posOffset>720090</wp:posOffset>
            </wp:positionH>
            <wp:positionV relativeFrom="page">
              <wp:posOffset>2185670</wp:posOffset>
            </wp:positionV>
            <wp:extent cx="3098427" cy="3082994"/>
            <wp:effectExtent l="0" t="0" r="0" b="0"/>
            <wp:wrapThrough wrapText="bothSides" distL="152400" distR="152400">
              <wp:wrapPolygon edited="1">
                <wp:start x="0" y="0"/>
                <wp:lineTo x="21600" y="0"/>
                <wp:lineTo x="21600" y="21600"/>
                <wp:lineTo x="0" y="21600"/>
                <wp:lineTo x="0" y="0"/>
              </wp:wrapPolygon>
            </wp:wrapThrough>
            <wp:docPr id="1073741829" name="officeArt object" descr="IMG_5234.JPG"/>
            <wp:cNvGraphicFramePr/>
            <a:graphic xmlns:a="http://schemas.openxmlformats.org/drawingml/2006/main">
              <a:graphicData uri="http://schemas.openxmlformats.org/drawingml/2006/picture">
                <pic:pic xmlns:pic="http://schemas.openxmlformats.org/drawingml/2006/picture">
                  <pic:nvPicPr>
                    <pic:cNvPr id="1073741829" name="IMG_5234.JPG" descr="IMG_5234.JPG"/>
                    <pic:cNvPicPr>
                      <a:picLocks noChangeAspect="1"/>
                    </pic:cNvPicPr>
                  </pic:nvPicPr>
                  <pic:blipFill>
                    <a:blip r:embed="rId13"/>
                    <a:stretch>
                      <a:fillRect/>
                    </a:stretch>
                  </pic:blipFill>
                  <pic:spPr>
                    <a:xfrm>
                      <a:off x="0" y="0"/>
                      <a:ext cx="3098427" cy="3082994"/>
                    </a:xfrm>
                    <a:prstGeom prst="rect">
                      <a:avLst/>
                    </a:prstGeom>
                    <a:ln w="12700" cap="flat">
                      <a:noFill/>
                      <a:miter lim="400000"/>
                    </a:ln>
                    <a:effectLst/>
                  </pic:spPr>
                </pic:pic>
              </a:graphicData>
            </a:graphic>
          </wp:anchor>
        </w:drawing>
      </w:r>
    </w:p>
    <w:p w14:paraId="720BC2DD" w14:textId="77777777" w:rsidR="00CA2F54" w:rsidRDefault="00CA2F54">
      <w:pPr>
        <w:pStyle w:val="Default"/>
        <w:spacing w:before="0" w:line="360" w:lineRule="auto"/>
        <w:rPr>
          <w:rFonts w:ascii="Times New Roman" w:hAnsi="Times New Roman"/>
          <w:sz w:val="30"/>
          <w:szCs w:val="30"/>
        </w:rPr>
      </w:pPr>
    </w:p>
    <w:p w14:paraId="48799FCC" w14:textId="77777777" w:rsidR="00CA2F54" w:rsidRDefault="00CA2F54">
      <w:pPr>
        <w:pStyle w:val="Default"/>
        <w:spacing w:before="0" w:line="360" w:lineRule="auto"/>
        <w:rPr>
          <w:rFonts w:ascii="Times New Roman" w:hAnsi="Times New Roman"/>
          <w:sz w:val="30"/>
          <w:szCs w:val="30"/>
        </w:rPr>
      </w:pPr>
    </w:p>
    <w:p w14:paraId="4071BE2A" w14:textId="77777777" w:rsidR="00CA2F54" w:rsidRDefault="00CA2F54">
      <w:pPr>
        <w:pStyle w:val="Default"/>
        <w:spacing w:before="0" w:line="360" w:lineRule="auto"/>
        <w:rPr>
          <w:rFonts w:ascii="Times New Roman" w:hAnsi="Times New Roman"/>
          <w:sz w:val="30"/>
          <w:szCs w:val="30"/>
        </w:rPr>
      </w:pPr>
    </w:p>
    <w:p w14:paraId="1A87CD3E" w14:textId="77777777" w:rsidR="00CA2F54" w:rsidRDefault="00CA2F54">
      <w:pPr>
        <w:pStyle w:val="Default"/>
        <w:spacing w:before="0" w:line="360" w:lineRule="auto"/>
        <w:rPr>
          <w:rFonts w:ascii="Times New Roman" w:hAnsi="Times New Roman"/>
          <w:sz w:val="30"/>
          <w:szCs w:val="30"/>
        </w:rPr>
      </w:pPr>
    </w:p>
    <w:p w14:paraId="427A2CDC" w14:textId="77777777" w:rsidR="00CA2F54" w:rsidRDefault="00CA2F54">
      <w:pPr>
        <w:pStyle w:val="Default"/>
        <w:spacing w:before="0" w:line="360" w:lineRule="auto"/>
        <w:rPr>
          <w:rFonts w:ascii="Times New Roman" w:hAnsi="Times New Roman"/>
          <w:sz w:val="30"/>
          <w:szCs w:val="30"/>
        </w:rPr>
      </w:pPr>
    </w:p>
    <w:p w14:paraId="7DB9A07A" w14:textId="77777777" w:rsidR="00CA2F54" w:rsidRDefault="00CA2F54">
      <w:pPr>
        <w:pStyle w:val="Default"/>
        <w:spacing w:before="0" w:line="360" w:lineRule="auto"/>
        <w:rPr>
          <w:rFonts w:ascii="Times New Roman" w:hAnsi="Times New Roman"/>
          <w:sz w:val="30"/>
          <w:szCs w:val="30"/>
        </w:rPr>
      </w:pPr>
    </w:p>
    <w:p w14:paraId="3C576B11" w14:textId="77777777" w:rsidR="00CA2F54" w:rsidRDefault="00CA2F54">
      <w:pPr>
        <w:pStyle w:val="Default"/>
        <w:spacing w:before="0" w:line="360" w:lineRule="auto"/>
        <w:rPr>
          <w:rFonts w:ascii="Times New Roman" w:hAnsi="Times New Roman"/>
          <w:sz w:val="30"/>
          <w:szCs w:val="30"/>
        </w:rPr>
      </w:pPr>
    </w:p>
    <w:p w14:paraId="74D68561" w14:textId="77777777" w:rsidR="00CA2F54" w:rsidRDefault="00CA2F54">
      <w:pPr>
        <w:pStyle w:val="Default"/>
        <w:spacing w:before="0" w:line="360" w:lineRule="auto"/>
        <w:rPr>
          <w:rFonts w:ascii="Times New Roman" w:hAnsi="Times New Roman"/>
          <w:sz w:val="30"/>
          <w:szCs w:val="30"/>
        </w:rPr>
      </w:pPr>
    </w:p>
    <w:p w14:paraId="5DCCCF89" w14:textId="77777777" w:rsidR="00CA2F54" w:rsidRDefault="00CA2F54">
      <w:pPr>
        <w:pStyle w:val="Default"/>
        <w:spacing w:before="0" w:line="360" w:lineRule="auto"/>
        <w:rPr>
          <w:rFonts w:ascii="Times New Roman" w:hAnsi="Times New Roman"/>
          <w:sz w:val="30"/>
          <w:szCs w:val="30"/>
        </w:rPr>
      </w:pPr>
    </w:p>
    <w:p w14:paraId="35A81DB7" w14:textId="77777777" w:rsidR="00CA2F54" w:rsidRDefault="00CA2F54">
      <w:pPr>
        <w:pStyle w:val="Default"/>
        <w:spacing w:before="0" w:line="360" w:lineRule="auto"/>
        <w:rPr>
          <w:rFonts w:ascii="Times New Roman" w:hAnsi="Times New Roman"/>
          <w:sz w:val="30"/>
          <w:szCs w:val="30"/>
        </w:rPr>
      </w:pPr>
    </w:p>
    <w:p w14:paraId="552A2717" w14:textId="77777777" w:rsidR="00CA2F54" w:rsidRDefault="00CA2F54">
      <w:pPr>
        <w:pStyle w:val="Default"/>
        <w:spacing w:before="0" w:line="360" w:lineRule="auto"/>
        <w:rPr>
          <w:rFonts w:ascii="Times New Roman" w:hAnsi="Times New Roman"/>
          <w:sz w:val="30"/>
          <w:szCs w:val="30"/>
        </w:rPr>
      </w:pPr>
    </w:p>
    <w:p w14:paraId="1044FF9C" w14:textId="0D88D398" w:rsidR="000855EF" w:rsidRDefault="001950D4">
      <w:pPr>
        <w:pStyle w:val="Default"/>
        <w:spacing w:before="0" w:line="360" w:lineRule="auto"/>
        <w:rPr>
          <w:rFonts w:ascii="Times New Roman" w:hAnsi="Times New Roman"/>
          <w:sz w:val="30"/>
          <w:szCs w:val="30"/>
        </w:rPr>
      </w:pPr>
      <w:r>
        <w:rPr>
          <w:rFonts w:ascii="Times New Roman" w:hAnsi="Times New Roman"/>
          <w:sz w:val="30"/>
          <w:szCs w:val="30"/>
        </w:rPr>
        <w:t>Figure 5: On the lip mucosa, continuous interlocking sutures were placed to ensure uniform tension distribution and precise tissue adaptation, followed by the placement of pterygium sutures to provide additional stabilization and prevent mucosal retraction during healing.</w:t>
      </w:r>
    </w:p>
    <w:p w14:paraId="2FA3DD9F" w14:textId="3C79EB5D" w:rsidR="00CA2F54" w:rsidRDefault="00CA2F54">
      <w:pPr>
        <w:pStyle w:val="Default"/>
        <w:spacing w:before="0" w:line="360" w:lineRule="auto"/>
        <w:rPr>
          <w:rFonts w:ascii="Times New Roman" w:eastAsia="Times New Roman" w:hAnsi="Times New Roman" w:cs="Times New Roman"/>
          <w:sz w:val="30"/>
          <w:szCs w:val="30"/>
        </w:rPr>
      </w:pPr>
      <w:r>
        <w:rPr>
          <w:noProof/>
        </w:rPr>
        <w:drawing>
          <wp:anchor distT="152400" distB="152400" distL="152400" distR="152400" simplePos="0" relativeHeight="251669504" behindDoc="0" locked="0" layoutInCell="1" allowOverlap="1" wp14:anchorId="2C471704" wp14:editId="3E4AD230">
            <wp:simplePos x="0" y="0"/>
            <wp:positionH relativeFrom="page">
              <wp:posOffset>720090</wp:posOffset>
            </wp:positionH>
            <wp:positionV relativeFrom="page">
              <wp:posOffset>7442835</wp:posOffset>
            </wp:positionV>
            <wp:extent cx="3098432" cy="2384857"/>
            <wp:effectExtent l="0" t="0" r="0" b="0"/>
            <wp:wrapThrough wrapText="bothSides" distL="152400" distR="152400">
              <wp:wrapPolygon edited="1">
                <wp:start x="0" y="0"/>
                <wp:lineTo x="0" y="21600"/>
                <wp:lineTo x="21600" y="21600"/>
                <wp:lineTo x="21600" y="0"/>
                <wp:lineTo x="0" y="0"/>
              </wp:wrapPolygon>
            </wp:wrapThrough>
            <wp:docPr id="1073741830" name="officeArt object" descr="IMG_5928.jpeg"/>
            <wp:cNvGraphicFramePr/>
            <a:graphic xmlns:a="http://schemas.openxmlformats.org/drawingml/2006/main">
              <a:graphicData uri="http://schemas.openxmlformats.org/drawingml/2006/picture">
                <pic:pic xmlns:pic="http://schemas.openxmlformats.org/drawingml/2006/picture">
                  <pic:nvPicPr>
                    <pic:cNvPr id="1073741830" name="IMG_5928.jpeg" descr="IMG_5928.jpeg"/>
                    <pic:cNvPicPr>
                      <a:picLocks noChangeAspect="1"/>
                    </pic:cNvPicPr>
                  </pic:nvPicPr>
                  <pic:blipFill>
                    <a:blip r:embed="rId14"/>
                    <a:srcRect l="19304" t="22653" r="22167" b="17280"/>
                    <a:stretch>
                      <a:fillRect/>
                    </a:stretch>
                  </pic:blipFill>
                  <pic:spPr>
                    <a:xfrm>
                      <a:off x="0" y="0"/>
                      <a:ext cx="3098432" cy="2384857"/>
                    </a:xfrm>
                    <a:prstGeom prst="rect">
                      <a:avLst/>
                    </a:prstGeom>
                    <a:ln w="12700" cap="flat">
                      <a:noFill/>
                      <a:miter lim="400000"/>
                    </a:ln>
                    <a:effectLst/>
                  </pic:spPr>
                </pic:pic>
              </a:graphicData>
            </a:graphic>
          </wp:anchor>
        </w:drawing>
      </w:r>
    </w:p>
    <w:p w14:paraId="3D13F88F" w14:textId="77777777" w:rsidR="00CA2F54" w:rsidRDefault="00CA2F54">
      <w:pPr>
        <w:pStyle w:val="Default"/>
        <w:spacing w:before="0" w:line="360" w:lineRule="auto"/>
        <w:rPr>
          <w:rFonts w:ascii="Times New Roman" w:hAnsi="Times New Roman"/>
          <w:sz w:val="30"/>
          <w:szCs w:val="30"/>
        </w:rPr>
      </w:pPr>
    </w:p>
    <w:p w14:paraId="49C604D8" w14:textId="77777777" w:rsidR="00CA2F54" w:rsidRDefault="00CA2F54">
      <w:pPr>
        <w:pStyle w:val="Default"/>
        <w:spacing w:before="0" w:line="360" w:lineRule="auto"/>
        <w:rPr>
          <w:rFonts w:ascii="Times New Roman" w:hAnsi="Times New Roman"/>
          <w:sz w:val="30"/>
          <w:szCs w:val="30"/>
        </w:rPr>
      </w:pPr>
    </w:p>
    <w:p w14:paraId="4C654BCC" w14:textId="77777777" w:rsidR="00CA2F54" w:rsidRDefault="00CA2F54">
      <w:pPr>
        <w:pStyle w:val="Default"/>
        <w:spacing w:before="0" w:line="360" w:lineRule="auto"/>
        <w:rPr>
          <w:rFonts w:ascii="Times New Roman" w:hAnsi="Times New Roman"/>
          <w:sz w:val="30"/>
          <w:szCs w:val="30"/>
        </w:rPr>
      </w:pPr>
    </w:p>
    <w:p w14:paraId="2812D7AC" w14:textId="77777777" w:rsidR="00CA2F54" w:rsidRDefault="00CA2F54">
      <w:pPr>
        <w:pStyle w:val="Default"/>
        <w:spacing w:before="0" w:line="360" w:lineRule="auto"/>
        <w:rPr>
          <w:rFonts w:ascii="Times New Roman" w:hAnsi="Times New Roman"/>
          <w:sz w:val="30"/>
          <w:szCs w:val="30"/>
        </w:rPr>
      </w:pPr>
    </w:p>
    <w:p w14:paraId="77C1265D" w14:textId="77777777" w:rsidR="00CA2F54" w:rsidRDefault="00CA2F54">
      <w:pPr>
        <w:pStyle w:val="Default"/>
        <w:spacing w:before="0" w:line="360" w:lineRule="auto"/>
        <w:rPr>
          <w:rFonts w:ascii="Times New Roman" w:hAnsi="Times New Roman"/>
          <w:sz w:val="30"/>
          <w:szCs w:val="30"/>
        </w:rPr>
      </w:pPr>
    </w:p>
    <w:p w14:paraId="6A110859" w14:textId="77777777" w:rsidR="00CA2F54" w:rsidRDefault="00CA2F54">
      <w:pPr>
        <w:pStyle w:val="Default"/>
        <w:spacing w:before="0" w:line="360" w:lineRule="auto"/>
        <w:rPr>
          <w:rFonts w:ascii="Times New Roman" w:hAnsi="Times New Roman"/>
          <w:sz w:val="30"/>
          <w:szCs w:val="30"/>
        </w:rPr>
      </w:pPr>
    </w:p>
    <w:p w14:paraId="2DB28B78" w14:textId="77777777" w:rsidR="00CA2F54" w:rsidRDefault="00CA2F54">
      <w:pPr>
        <w:pStyle w:val="Default"/>
        <w:spacing w:before="0" w:line="360" w:lineRule="auto"/>
        <w:rPr>
          <w:rFonts w:ascii="Times New Roman" w:hAnsi="Times New Roman"/>
          <w:sz w:val="30"/>
          <w:szCs w:val="30"/>
        </w:rPr>
      </w:pPr>
    </w:p>
    <w:p w14:paraId="6F9D596B" w14:textId="77777777" w:rsidR="00CA2F54" w:rsidRDefault="00CA2F54">
      <w:pPr>
        <w:pStyle w:val="Default"/>
        <w:spacing w:before="0" w:line="360" w:lineRule="auto"/>
        <w:rPr>
          <w:rFonts w:ascii="Times New Roman" w:hAnsi="Times New Roman"/>
          <w:sz w:val="30"/>
          <w:szCs w:val="30"/>
        </w:rPr>
      </w:pPr>
    </w:p>
    <w:p w14:paraId="420EC070" w14:textId="359D539C" w:rsidR="000855EF" w:rsidRDefault="001950D4">
      <w:pPr>
        <w:pStyle w:val="Default"/>
        <w:spacing w:before="0" w:line="360" w:lineRule="auto"/>
        <w:rPr>
          <w:rFonts w:ascii="Times New Roman" w:eastAsia="Times New Roman" w:hAnsi="Times New Roman" w:cs="Times New Roman"/>
          <w:sz w:val="30"/>
          <w:szCs w:val="30"/>
        </w:rPr>
      </w:pPr>
      <w:r>
        <w:rPr>
          <w:rFonts w:ascii="Times New Roman" w:hAnsi="Times New Roman"/>
          <w:sz w:val="30"/>
          <w:szCs w:val="30"/>
        </w:rPr>
        <w:lastRenderedPageBreak/>
        <w:t>Figure 6:  At the 6-month postoperative evaluation, the surgical site exhibited increased width of attached gingiva, and improved vestibular depth.</w:t>
      </w:r>
    </w:p>
    <w:p w14:paraId="4AF96E71" w14:textId="77777777" w:rsidR="000855EF" w:rsidRDefault="000855EF">
      <w:pPr>
        <w:pStyle w:val="Default"/>
        <w:spacing w:before="0" w:line="240" w:lineRule="auto"/>
      </w:pPr>
    </w:p>
    <w:sectPr w:rsidR="000855EF">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BB919" w14:textId="77777777" w:rsidR="009511F7" w:rsidRDefault="009511F7">
      <w:r>
        <w:separator/>
      </w:r>
    </w:p>
  </w:endnote>
  <w:endnote w:type="continuationSeparator" w:id="0">
    <w:p w14:paraId="641B0805" w14:textId="77777777" w:rsidR="009511F7" w:rsidRDefault="00951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SimSu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8E288" w14:textId="77777777" w:rsidR="00EB112C" w:rsidRDefault="00EB1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7CC5E" w14:textId="77777777" w:rsidR="000855EF" w:rsidRDefault="000855EF">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827F8" w14:textId="77777777" w:rsidR="00EB112C" w:rsidRDefault="00EB1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211FD" w14:textId="77777777" w:rsidR="009511F7" w:rsidRDefault="009511F7">
      <w:r>
        <w:separator/>
      </w:r>
    </w:p>
  </w:footnote>
  <w:footnote w:type="continuationSeparator" w:id="0">
    <w:p w14:paraId="18E5D700" w14:textId="77777777" w:rsidR="009511F7" w:rsidRDefault="00951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6832" w14:textId="63BD4A45" w:rsidR="00EB112C" w:rsidRDefault="00EB112C">
    <w:pPr>
      <w:pStyle w:val="Header"/>
    </w:pPr>
    <w:r>
      <w:rPr>
        <w:noProof/>
      </w:rPr>
      <w:pict w14:anchorId="2DC46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24907" o:spid="_x0000_s2050" type="#_x0000_t136" style="position:absolute;margin-left:0;margin-top:0;width:610.1pt;height:68.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6C136" w14:textId="0B3EE734" w:rsidR="000855EF" w:rsidRDefault="00EB112C">
    <w:pPr>
      <w:pStyle w:val="HeaderFooter"/>
    </w:pPr>
    <w:r>
      <w:rPr>
        <w:noProof/>
      </w:rPr>
      <w:pict w14:anchorId="47BF2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24908" o:spid="_x0000_s2051" type="#_x0000_t136" style="position:absolute;margin-left:0;margin-top:0;width:610.1pt;height:68.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AEE92" w14:textId="2DE23F65" w:rsidR="00EB112C" w:rsidRDefault="00EB112C">
    <w:pPr>
      <w:pStyle w:val="Header"/>
    </w:pPr>
    <w:r>
      <w:rPr>
        <w:noProof/>
      </w:rPr>
      <w:pict w14:anchorId="0C6C3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024906" o:spid="_x0000_s2049" type="#_x0000_t136" style="position:absolute;margin-left:0;margin-top:0;width:610.1pt;height:68.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657AA"/>
    <w:multiLevelType w:val="hybridMultilevel"/>
    <w:tmpl w:val="7DF0E51C"/>
    <w:numStyleLink w:val="Numbered"/>
  </w:abstractNum>
  <w:abstractNum w:abstractNumId="1" w15:restartNumberingAfterBreak="0">
    <w:nsid w:val="31CE732C"/>
    <w:multiLevelType w:val="hybridMultilevel"/>
    <w:tmpl w:val="7DF0E51C"/>
    <w:styleLink w:val="Numbered"/>
    <w:lvl w:ilvl="0" w:tplc="0890C8DA">
      <w:start w:val="1"/>
      <w:numFmt w:val="decimal"/>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0A2A2F46">
      <w:start w:val="1"/>
      <w:numFmt w:val="decimal"/>
      <w:suff w:val="nothing"/>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60" w:hanging="200"/>
      </w:pPr>
      <w:rPr>
        <w:rFonts w:hAnsi="Arial Unicode MS"/>
        <w:caps w:val="0"/>
        <w:smallCaps w:val="0"/>
        <w:strike w:val="0"/>
        <w:dstrike w:val="0"/>
        <w:outline w:val="0"/>
        <w:emboss w:val="0"/>
        <w:imprint w:val="0"/>
        <w:spacing w:val="0"/>
        <w:w w:val="100"/>
        <w:kern w:val="0"/>
        <w:position w:val="0"/>
        <w:highlight w:val="none"/>
        <w:vertAlign w:val="baseline"/>
      </w:rPr>
    </w:lvl>
    <w:lvl w:ilvl="2" w:tplc="20D4CFF2">
      <w:start w:val="1"/>
      <w:numFmt w:val="decimal"/>
      <w:lvlText w:val="%3."/>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0C9288D8">
      <w:start w:val="1"/>
      <w:numFmt w:val="decimal"/>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5106BAFE">
      <w:start w:val="1"/>
      <w:numFmt w:val="decimal"/>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1A5EC776">
      <w:start w:val="1"/>
      <w:numFmt w:val="decimal"/>
      <w:lvlText w:val="%6."/>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80606DCA">
      <w:start w:val="1"/>
      <w:numFmt w:val="decimal"/>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45486668">
      <w:start w:val="1"/>
      <w:numFmt w:val="decimal"/>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13DAE9BA">
      <w:start w:val="1"/>
      <w:numFmt w:val="decimal"/>
      <w:lvlText w:val="%9."/>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EF"/>
    <w:rsid w:val="000131EE"/>
    <w:rsid w:val="000855EF"/>
    <w:rsid w:val="0018072D"/>
    <w:rsid w:val="001950D4"/>
    <w:rsid w:val="002F2598"/>
    <w:rsid w:val="003C6907"/>
    <w:rsid w:val="00464899"/>
    <w:rsid w:val="0051763F"/>
    <w:rsid w:val="0074684A"/>
    <w:rsid w:val="008D5B8E"/>
    <w:rsid w:val="008E3E19"/>
    <w:rsid w:val="009511F7"/>
    <w:rsid w:val="00BD70E4"/>
    <w:rsid w:val="00CA2F54"/>
    <w:rsid w:val="00EB112C"/>
    <w:rsid w:val="00EF26AA"/>
    <w:rsid w:val="00FB4F6D"/>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0B49CA"/>
  <w15:docId w15:val="{64FE3ABC-114F-4A9E-9C35-3A31BA02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numbering" w:customStyle="1" w:styleId="Numbered">
    <w:name w:val="Numbered"/>
    <w:pPr>
      <w:numPr>
        <w:numId w:val="1"/>
      </w:numPr>
    </w:pPr>
  </w:style>
  <w:style w:type="character" w:styleId="UnresolvedMention">
    <w:name w:val="Unresolved Mention"/>
    <w:basedOn w:val="DefaultParagraphFont"/>
    <w:uiPriority w:val="99"/>
    <w:semiHidden/>
    <w:unhideWhenUsed/>
    <w:rsid w:val="00464899"/>
    <w:rPr>
      <w:color w:val="605E5C"/>
      <w:shd w:val="clear" w:color="auto" w:fill="E1DFDD"/>
    </w:rPr>
  </w:style>
  <w:style w:type="character" w:customStyle="1" w:styleId="None">
    <w:name w:val="None"/>
    <w:rsid w:val="00FB4F6D"/>
  </w:style>
  <w:style w:type="character" w:customStyle="1" w:styleId="Hyperlink0">
    <w:name w:val="Hyperlink.0"/>
    <w:basedOn w:val="None"/>
    <w:rsid w:val="00FB4F6D"/>
    <w:rPr>
      <w:rFonts w:ascii="Times New Roman" w:eastAsia="Times New Roman" w:hAnsi="Times New Roman" w:cs="Times New Roman"/>
      <w:kern w:val="2"/>
      <w:sz w:val="36"/>
      <w:szCs w:val="36"/>
      <w:u w:val="single" w:color="000000"/>
      <w:vertAlign w:val="superscript"/>
      <w14:textOutline w14:w="12700" w14:cap="flat" w14:cmpd="sng" w14:algn="ctr">
        <w14:noFill/>
        <w14:prstDash w14:val="solid"/>
        <w14:miter w14:lim="400000"/>
      </w14:textOutline>
    </w:rPr>
  </w:style>
  <w:style w:type="character" w:customStyle="1" w:styleId="Hyperlink1">
    <w:name w:val="Hyperlink.1"/>
    <w:basedOn w:val="None"/>
    <w:rsid w:val="00FB4F6D"/>
    <w:rPr>
      <w:kern w:val="2"/>
      <w:sz w:val="36"/>
      <w:szCs w:val="36"/>
      <w:u w:val="single"/>
      <w:vertAlign w:val="superscript"/>
    </w:rPr>
  </w:style>
  <w:style w:type="paragraph" w:styleId="Header">
    <w:name w:val="header"/>
    <w:basedOn w:val="Normal"/>
    <w:link w:val="HeaderChar"/>
    <w:uiPriority w:val="99"/>
    <w:unhideWhenUsed/>
    <w:rsid w:val="00EB112C"/>
    <w:pPr>
      <w:tabs>
        <w:tab w:val="center" w:pos="4680"/>
        <w:tab w:val="right" w:pos="9360"/>
      </w:tabs>
    </w:pPr>
  </w:style>
  <w:style w:type="character" w:customStyle="1" w:styleId="HeaderChar">
    <w:name w:val="Header Char"/>
    <w:basedOn w:val="DefaultParagraphFont"/>
    <w:link w:val="Header"/>
    <w:uiPriority w:val="99"/>
    <w:rsid w:val="00EB112C"/>
    <w:rPr>
      <w:sz w:val="24"/>
      <w:szCs w:val="24"/>
      <w:lang w:val="en-US" w:eastAsia="en-US"/>
    </w:rPr>
  </w:style>
  <w:style w:type="paragraph" w:styleId="Footer">
    <w:name w:val="footer"/>
    <w:basedOn w:val="Normal"/>
    <w:link w:val="FooterChar"/>
    <w:uiPriority w:val="99"/>
    <w:unhideWhenUsed/>
    <w:rsid w:val="00EB112C"/>
    <w:pPr>
      <w:tabs>
        <w:tab w:val="center" w:pos="4680"/>
        <w:tab w:val="right" w:pos="9360"/>
      </w:tabs>
    </w:pPr>
  </w:style>
  <w:style w:type="character" w:customStyle="1" w:styleId="FooterChar">
    <w:name w:val="Footer Char"/>
    <w:basedOn w:val="DefaultParagraphFont"/>
    <w:link w:val="Footer"/>
    <w:uiPriority w:val="99"/>
    <w:rsid w:val="00EB112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http://doi.one/10.1729/Journal.23216"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4103/jisp.jisp_293_22" TargetMode="Externa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1704</Words>
  <Characters>9717</Characters>
  <Application>Microsoft Office Word</Application>
  <DocSecurity>0</DocSecurity>
  <Lines>80</Lines>
  <Paragraphs>22</Paragraphs>
  <ScaleCrop>false</ScaleCrop>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11</cp:revision>
  <dcterms:created xsi:type="dcterms:W3CDTF">2025-12-13T13:05:00Z</dcterms:created>
  <dcterms:modified xsi:type="dcterms:W3CDTF">2025-12-15T08:21:00Z</dcterms:modified>
</cp:coreProperties>
</file>