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61122" w14:textId="77777777" w:rsidR="00E0438E" w:rsidRPr="00E0438E" w:rsidRDefault="00E0438E" w:rsidP="00E0438E">
      <w:pPr>
        <w:pStyle w:val="ds-markdown-paragraph"/>
        <w:shd w:val="clear" w:color="auto" w:fill="FFFFFF"/>
        <w:spacing w:before="240" w:after="240" w:line="360" w:lineRule="auto"/>
        <w:rPr>
          <w:b/>
          <w:bCs/>
          <w:i/>
          <w:iCs/>
          <w:u w:val="single"/>
        </w:rPr>
      </w:pPr>
      <w:r w:rsidRPr="00E0438E">
        <w:rPr>
          <w:b/>
          <w:bCs/>
          <w:i/>
          <w:iCs/>
          <w:u w:val="single"/>
        </w:rPr>
        <w:t xml:space="preserve">Case report </w:t>
      </w:r>
    </w:p>
    <w:p w14:paraId="6C401A45" w14:textId="61CF1192" w:rsidR="00EE44CE" w:rsidRDefault="000D5E5E" w:rsidP="00EE44CE">
      <w:pPr>
        <w:pStyle w:val="ds-markdown-paragraph"/>
        <w:shd w:val="clear" w:color="auto" w:fill="FFFFFF"/>
        <w:spacing w:before="240" w:beforeAutospacing="0" w:after="240" w:afterAutospacing="0" w:line="360" w:lineRule="auto"/>
        <w:rPr>
          <w:color w:val="0F1115"/>
        </w:rPr>
      </w:pPr>
      <w:r w:rsidRPr="000D5E5E">
        <w:rPr>
          <w:b/>
        </w:rPr>
        <w:t>FISTULATING RICHTER’S INGUINAL HERNIA COMPLICATED BY FOURNIER’S GANGRENE AND GANGRENOUS TESTIS: A CASE REPORT AND LITERATURE REVIEW</w:t>
      </w:r>
    </w:p>
    <w:p w14:paraId="015E0946" w14:textId="77777777" w:rsidR="00464305" w:rsidRDefault="00464305" w:rsidP="00EE44CE">
      <w:pPr>
        <w:pStyle w:val="ds-markdown-paragraph"/>
        <w:shd w:val="clear" w:color="auto" w:fill="FFFFFF"/>
        <w:spacing w:before="240" w:beforeAutospacing="0" w:after="240" w:afterAutospacing="0" w:line="360" w:lineRule="auto"/>
        <w:rPr>
          <w:rStyle w:val="Strong"/>
          <w:color w:val="0F1115"/>
        </w:rPr>
      </w:pPr>
    </w:p>
    <w:p w14:paraId="723CC5BF" w14:textId="099A593C" w:rsidR="00EE44CE" w:rsidRPr="00EE44CE" w:rsidRDefault="00EE44CE" w:rsidP="00EE44CE">
      <w:pPr>
        <w:pStyle w:val="ds-markdown-paragraph"/>
        <w:shd w:val="clear" w:color="auto" w:fill="FFFFFF"/>
        <w:spacing w:before="240" w:beforeAutospacing="0" w:after="240" w:afterAutospacing="0" w:line="360" w:lineRule="auto"/>
        <w:rPr>
          <w:color w:val="0F1115"/>
        </w:rPr>
      </w:pPr>
      <w:bookmarkStart w:id="0" w:name="_GoBack"/>
      <w:bookmarkEnd w:id="0"/>
      <w:r w:rsidRPr="00EE44CE">
        <w:rPr>
          <w:rStyle w:val="Strong"/>
          <w:color w:val="0F1115"/>
        </w:rPr>
        <w:t>Abstract</w:t>
      </w:r>
      <w:r w:rsidRPr="00EE44CE">
        <w:rPr>
          <w:color w:val="0F1115"/>
        </w:rPr>
        <w:br/>
      </w:r>
      <w:r w:rsidRPr="00EE44CE">
        <w:rPr>
          <w:rStyle w:val="Strong"/>
          <w:color w:val="0F1115"/>
        </w:rPr>
        <w:t>Introduction:</w:t>
      </w:r>
      <w:r w:rsidRPr="00EE44CE">
        <w:rPr>
          <w:color w:val="0F1115"/>
        </w:rPr>
        <w:t> Richter's hernia, a rare form of abdominal wall hernia involving the partial incarceration of the antimesenteric bowel wall, poses a significant diagnostic and therapeutic challenge. Its insidious onset, often without features of intestinal obstruction, frequently leads to delayed presentation with catastrophic complications.</w:t>
      </w:r>
      <w:r w:rsidR="000D5E5E">
        <w:rPr>
          <w:color w:val="0F1115"/>
        </w:rPr>
        <w:t xml:space="preserve"> We therefore report a case of </w:t>
      </w:r>
      <w:proofErr w:type="spellStart"/>
      <w:r w:rsidR="000D5E5E">
        <w:rPr>
          <w:color w:val="0F1115"/>
        </w:rPr>
        <w:t>fistulating</w:t>
      </w:r>
      <w:proofErr w:type="spellEnd"/>
      <w:r w:rsidR="000D5E5E">
        <w:rPr>
          <w:color w:val="0F1115"/>
        </w:rPr>
        <w:t xml:space="preserve"> </w:t>
      </w:r>
      <w:proofErr w:type="spellStart"/>
      <w:r w:rsidR="000D5E5E">
        <w:rPr>
          <w:color w:val="0F1115"/>
        </w:rPr>
        <w:t>richter’s</w:t>
      </w:r>
      <w:proofErr w:type="spellEnd"/>
      <w:r w:rsidR="000D5E5E">
        <w:rPr>
          <w:color w:val="0F1115"/>
        </w:rPr>
        <w:t xml:space="preserve"> hernia complicated by Fournier’s gangrene and gangrenous orchitis</w:t>
      </w:r>
      <w:r w:rsidRPr="00EE44CE">
        <w:rPr>
          <w:color w:val="0F1115"/>
        </w:rPr>
        <w:br/>
      </w:r>
      <w:r w:rsidRPr="00EE44CE">
        <w:rPr>
          <w:rStyle w:val="Strong"/>
          <w:color w:val="0F1115"/>
        </w:rPr>
        <w:t>Case Presentation:</w:t>
      </w:r>
      <w:r w:rsidRPr="00EE44CE">
        <w:rPr>
          <w:color w:val="0F1115"/>
        </w:rPr>
        <w:t xml:space="preserve"> We present the case of a 40-year-old male with a one-year history of an intermittent left groin swelling who presented with a 6-day history of progressive, painful groin and scrotal swelling. This was complicated by the spontaneous development of a rapidly expanding scrotal wound draining </w:t>
      </w:r>
      <w:proofErr w:type="spellStart"/>
      <w:r w:rsidRPr="00EE44CE">
        <w:rPr>
          <w:color w:val="0F1115"/>
        </w:rPr>
        <w:t>faeculent</w:t>
      </w:r>
      <w:proofErr w:type="spellEnd"/>
      <w:r w:rsidRPr="00EE44CE">
        <w:rPr>
          <w:color w:val="0F1115"/>
        </w:rPr>
        <w:t xml:space="preserve"> material. Examination revealed an acutely ill patient with a full-thickness scrotal wound, necrotic skin changes consistent with Fournier's gangrene, and a gangrenous ipsilateral testis. Exploratory laparotomy confirmed a perforated Richter's hernia of the ileum incarcerated at the deep inguinal ring. Management involved segmental ileal resection and primary anastomosis, scrotal debridement, and orchidectomy.</w:t>
      </w:r>
      <w:r w:rsidRPr="00EE44CE">
        <w:rPr>
          <w:color w:val="0F1115"/>
        </w:rPr>
        <w:br/>
      </w:r>
      <w:r w:rsidRPr="00EE44CE">
        <w:rPr>
          <w:rStyle w:val="Strong"/>
          <w:color w:val="0F1115"/>
        </w:rPr>
        <w:t>Conclusion:</w:t>
      </w:r>
      <w:r w:rsidRPr="00EE44CE">
        <w:rPr>
          <w:color w:val="0F1115"/>
        </w:rPr>
        <w:t xml:space="preserve"> This case underscores the lethal potential of Richter's hernia. It highlights the critical importance of early suspicion in any patient with a known hernia and persistent </w:t>
      </w:r>
      <w:proofErr w:type="spellStart"/>
      <w:r w:rsidRPr="00EE44CE">
        <w:rPr>
          <w:color w:val="0F1115"/>
        </w:rPr>
        <w:t>localised</w:t>
      </w:r>
      <w:proofErr w:type="spellEnd"/>
      <w:r w:rsidRPr="00EE44CE">
        <w:rPr>
          <w:color w:val="0F1115"/>
        </w:rPr>
        <w:t xml:space="preserve"> pain, even in the absence of obstruction. A midline laparotomy is the recommended approach for managing complex, </w:t>
      </w:r>
      <w:proofErr w:type="spellStart"/>
      <w:r w:rsidRPr="00EE44CE">
        <w:rPr>
          <w:color w:val="0F1115"/>
        </w:rPr>
        <w:t>fistulating</w:t>
      </w:r>
      <w:proofErr w:type="spellEnd"/>
      <w:r w:rsidRPr="00EE44CE">
        <w:rPr>
          <w:color w:val="0F1115"/>
        </w:rPr>
        <w:t xml:space="preserve"> cases to ensure adequate intra-abdominal control and repair.</w:t>
      </w:r>
      <w:r w:rsidRPr="00EE44CE">
        <w:rPr>
          <w:color w:val="0F1115"/>
        </w:rPr>
        <w:br/>
      </w:r>
      <w:r w:rsidRPr="00EE44CE">
        <w:rPr>
          <w:rStyle w:val="Strong"/>
          <w:color w:val="0F1115"/>
        </w:rPr>
        <w:t>Keywords:</w:t>
      </w:r>
      <w:r w:rsidRPr="00EE44CE">
        <w:rPr>
          <w:color w:val="0F1115"/>
        </w:rPr>
        <w:t> Richter’s Hernia, Fournier’s Gangrene, Enterocutaneou</w:t>
      </w:r>
      <w:r w:rsidR="00F04D6C">
        <w:rPr>
          <w:color w:val="0F1115"/>
        </w:rPr>
        <w:t>s Fistula, Gangrenous Orchitis.</w:t>
      </w:r>
    </w:p>
    <w:p w14:paraId="207B13D2" w14:textId="77777777" w:rsidR="00EE44CE" w:rsidRPr="00EE44CE" w:rsidRDefault="006B2426" w:rsidP="00EE44CE">
      <w:pPr>
        <w:spacing w:before="480" w:after="480" w:line="360" w:lineRule="auto"/>
      </w:pPr>
      <w:r>
        <w:rPr>
          <w:noProof/>
        </w:rPr>
        <w:pict w14:anchorId="0EA7E987">
          <v:rect id="_x0000_i1025" alt="" style="width:451.3pt;height:.05pt;mso-width-percent:0;mso-height-percent:0;mso-width-percent:0;mso-height-percent:0" o:hralign="center" o:hrstd="t" o:hr="t" fillcolor="#a0a0a0" stroked="f"/>
        </w:pict>
      </w:r>
    </w:p>
    <w:p w14:paraId="2CB41444"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lastRenderedPageBreak/>
        <w:t>1. INTRODUCTION</w:t>
      </w:r>
      <w:r w:rsidRPr="00EE44CE">
        <w:rPr>
          <w:color w:val="0F1115"/>
        </w:rPr>
        <w:br/>
        <w:t>Hernias represent one of the most common pathologies encountered in general surgery, with groin hernias accounting for approximately 80% of all cases [1]. While the majority are managed electively, an estimated 5% present as surgical emergencies, carrying a significantly higher risk of morbidity and mortality [2]. Richter's hernia, first described by August Gottlieb Richter in 1778, is an uncommon but perilous variant defined by the incarceration of only the antimesenteric border of the bowel wall through a rigid, narrow fascial defect [3, 4].</w:t>
      </w:r>
      <w:r w:rsidRPr="00EE44CE">
        <w:rPr>
          <w:color w:val="0F1115"/>
        </w:rPr>
        <w:br/>
        <w:t xml:space="preserve">The cardinal danger of Richter's hernia lies in its clinical subtlety. The partial nature of the incarceration often spares the intestinal lumen, thereby avoiding the classic signs of intestinal obstruction such as vomiting, absolute constipation, and abdominal distension [5, 6]. This frequently results in a diagnostic delay, allowing the pathological sequence of incarceration, strangulation, </w:t>
      </w:r>
      <w:proofErr w:type="spellStart"/>
      <w:r w:rsidRPr="00EE44CE">
        <w:rPr>
          <w:color w:val="0F1115"/>
        </w:rPr>
        <w:t>ischaemia</w:t>
      </w:r>
      <w:proofErr w:type="spellEnd"/>
      <w:r w:rsidRPr="00EE44CE">
        <w:rPr>
          <w:color w:val="0F1115"/>
        </w:rPr>
        <w:t xml:space="preserve">, and gangrene to progress unabated. Consequently, patients often present late with advanced complications such as bowel perforation, spontaneous enterocutaneous fistula, and </w:t>
      </w:r>
      <w:proofErr w:type="spellStart"/>
      <w:r w:rsidRPr="00EE44CE">
        <w:rPr>
          <w:color w:val="0F1115"/>
        </w:rPr>
        <w:t>necrotising</w:t>
      </w:r>
      <w:proofErr w:type="spellEnd"/>
      <w:r w:rsidRPr="00EE44CE">
        <w:rPr>
          <w:color w:val="0F1115"/>
        </w:rPr>
        <w:t xml:space="preserve"> soft tissue infections of the groin and scrotum [7, 8]. We report a dramatic case of a neglected Richter’s inguinal hernia that progressed to form a spontaneous entero-scrotal fistula, culminating in Fournier’s gangrene and gangrenous orchitis.</w:t>
      </w:r>
    </w:p>
    <w:p w14:paraId="137A384B" w14:textId="77777777" w:rsidR="004244C9"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2. CASE PRESENTATION</w:t>
      </w:r>
      <w:r w:rsidRPr="00EE44CE">
        <w:rPr>
          <w:color w:val="0F1115"/>
        </w:rPr>
        <w:br/>
        <w:t xml:space="preserve">A 40-year-old man presented to our emergency department with a 6-day history of persistent abdominal pain and a progressively enlarging, tender swelling in the left groin extending into the scrotum. He reported a background of an intermittent, reducible left groin swelling for one year. Three (3) days prior to presentation, a small scrotal "boil" had spontaneously ruptured with drainage of foul-smelling </w:t>
      </w:r>
      <w:proofErr w:type="spellStart"/>
      <w:r w:rsidRPr="00EE44CE">
        <w:rPr>
          <w:color w:val="0F1115"/>
        </w:rPr>
        <w:t>faeco</w:t>
      </w:r>
      <w:proofErr w:type="spellEnd"/>
      <w:r w:rsidRPr="00EE44CE">
        <w:rPr>
          <w:color w:val="0F1115"/>
        </w:rPr>
        <w:t>-purulent matter and a rapidly expanding scrotal wound. Notably, there was no history of abdominal distension, vomiting, or constipation.</w:t>
      </w:r>
      <w:r w:rsidRPr="00EE44CE">
        <w:rPr>
          <w:color w:val="0F1115"/>
        </w:rPr>
        <w:br/>
        <w:t xml:space="preserve">On examination, the patient was acutely ill-looking, febrile (37.8°C) and tachycardic (pulse 108 bpm), with a normal blood pressure. Abdominal examination revealed mild suprapubic tenderness but was otherwise soft and non-distended, with normoactive bowel sounds. There was a diffuse tender </w:t>
      </w:r>
      <w:proofErr w:type="spellStart"/>
      <w:r w:rsidRPr="00EE44CE">
        <w:rPr>
          <w:color w:val="0F1115"/>
        </w:rPr>
        <w:t>hyperaemic</w:t>
      </w:r>
      <w:proofErr w:type="spellEnd"/>
      <w:r w:rsidRPr="00EE44CE">
        <w:rPr>
          <w:color w:val="0F1115"/>
        </w:rPr>
        <w:t xml:space="preserve"> swelling extending from the left groin into the ipsilateral </w:t>
      </w:r>
      <w:proofErr w:type="spellStart"/>
      <w:r w:rsidRPr="00EE44CE">
        <w:rPr>
          <w:color w:val="0F1115"/>
        </w:rPr>
        <w:t>hemiscrotum</w:t>
      </w:r>
      <w:proofErr w:type="spellEnd"/>
      <w:r w:rsidRPr="00EE44CE">
        <w:rPr>
          <w:color w:val="0F1115"/>
        </w:rPr>
        <w:t xml:space="preserve">. A large (8cm x 6cm) full-thickness scrotal wound was present, discharging copious </w:t>
      </w:r>
      <w:proofErr w:type="spellStart"/>
      <w:r w:rsidRPr="00EE44CE">
        <w:rPr>
          <w:color w:val="0F1115"/>
        </w:rPr>
        <w:t>faeco</w:t>
      </w:r>
      <w:proofErr w:type="spellEnd"/>
      <w:r w:rsidRPr="00EE44CE">
        <w:rPr>
          <w:color w:val="0F1115"/>
        </w:rPr>
        <w:t>-purulent effluent and exposing the underlying testis,</w:t>
      </w:r>
      <w:r w:rsidR="004244C9">
        <w:rPr>
          <w:color w:val="0F1115"/>
        </w:rPr>
        <w:t xml:space="preserve"> which appeared necrotic. </w:t>
      </w:r>
      <w:r w:rsidRPr="00EE44CE">
        <w:rPr>
          <w:color w:val="0F1115"/>
        </w:rPr>
        <w:t>Digital rectal examination was unremarkable.</w:t>
      </w:r>
    </w:p>
    <w:p w14:paraId="52CE4294" w14:textId="77777777" w:rsidR="004244C9" w:rsidRPr="004244C9" w:rsidRDefault="004244C9" w:rsidP="00EE44CE">
      <w:pPr>
        <w:pStyle w:val="ds-markdown-paragraph"/>
        <w:shd w:val="clear" w:color="auto" w:fill="FFFFFF"/>
        <w:spacing w:before="240" w:beforeAutospacing="0" w:after="240" w:afterAutospacing="0" w:line="360" w:lineRule="auto"/>
        <w:rPr>
          <w:b/>
          <w:color w:val="0F1115"/>
        </w:rPr>
      </w:pPr>
      <w:r>
        <w:rPr>
          <w:noProof/>
        </w:rPr>
        <w:lastRenderedPageBreak/>
        <w:drawing>
          <wp:inline distT="0" distB="0" distL="0" distR="0" wp14:anchorId="095B9BA3" wp14:editId="1A6E7517">
            <wp:extent cx="5376672" cy="3024449"/>
            <wp:effectExtent l="0" t="0" r="0" b="5080"/>
            <wp:docPr id="1" name="Picture 1" descr="C:\Users\HP\AppData\Local\Microsoft\Windows\INetCache\Content.Word\Picsart_25-11-22_22-58-16-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Picsart_25-11-22_22-58-16-9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3526" cy="3028305"/>
                    </a:xfrm>
                    <a:prstGeom prst="rect">
                      <a:avLst/>
                    </a:prstGeom>
                    <a:noFill/>
                    <a:ln>
                      <a:noFill/>
                    </a:ln>
                  </pic:spPr>
                </pic:pic>
              </a:graphicData>
            </a:graphic>
          </wp:inline>
        </w:drawing>
      </w:r>
      <w:r>
        <w:rPr>
          <w:color w:val="0F1115"/>
        </w:rPr>
        <w:br/>
      </w:r>
      <w:r w:rsidR="00EE44CE" w:rsidRPr="004244C9">
        <w:rPr>
          <w:b/>
          <w:color w:val="0F1115"/>
        </w:rPr>
        <w:t xml:space="preserve">Figure 1. Clinical photograph of the left </w:t>
      </w:r>
      <w:proofErr w:type="spellStart"/>
      <w:r w:rsidR="00EE44CE" w:rsidRPr="004244C9">
        <w:rPr>
          <w:b/>
          <w:color w:val="0F1115"/>
        </w:rPr>
        <w:t>hemiscrotum</w:t>
      </w:r>
      <w:proofErr w:type="spellEnd"/>
      <w:r w:rsidR="00EE44CE" w:rsidRPr="004244C9">
        <w:rPr>
          <w:b/>
          <w:color w:val="0F1115"/>
        </w:rPr>
        <w:t xml:space="preserve"> showing a large full-thickness skin </w:t>
      </w:r>
      <w:r w:rsidRPr="004244C9">
        <w:rPr>
          <w:b/>
          <w:color w:val="0F1115"/>
        </w:rPr>
        <w:t xml:space="preserve">defect, necrotic soft tissue, and the exposed gangrenous testis, consistent with Fournier's gangrene secondary to a </w:t>
      </w:r>
      <w:proofErr w:type="spellStart"/>
      <w:r w:rsidRPr="004244C9">
        <w:rPr>
          <w:b/>
          <w:color w:val="0F1115"/>
        </w:rPr>
        <w:t>fistulating</w:t>
      </w:r>
      <w:proofErr w:type="spellEnd"/>
      <w:r w:rsidRPr="004244C9">
        <w:rPr>
          <w:b/>
          <w:color w:val="0F1115"/>
        </w:rPr>
        <w:t xml:space="preserve"> process.</w:t>
      </w:r>
    </w:p>
    <w:p w14:paraId="4DDCFD7C"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color w:val="0F1115"/>
        </w:rPr>
        <w:br/>
        <w:t xml:space="preserve">Initial investigations revealed moderate </w:t>
      </w:r>
      <w:proofErr w:type="spellStart"/>
      <w:r w:rsidRPr="00EE44CE">
        <w:rPr>
          <w:color w:val="0F1115"/>
        </w:rPr>
        <w:t>anaemia</w:t>
      </w:r>
      <w:proofErr w:type="spellEnd"/>
      <w:r w:rsidRPr="00EE44CE">
        <w:rPr>
          <w:color w:val="0F1115"/>
        </w:rPr>
        <w:t xml:space="preserve"> with a </w:t>
      </w:r>
      <w:proofErr w:type="spellStart"/>
      <w:r w:rsidRPr="00EE44CE">
        <w:rPr>
          <w:color w:val="0F1115"/>
        </w:rPr>
        <w:t>haematocrit</w:t>
      </w:r>
      <w:proofErr w:type="spellEnd"/>
      <w:r w:rsidRPr="00EE44CE">
        <w:rPr>
          <w:color w:val="0F1115"/>
        </w:rPr>
        <w:t xml:space="preserve"> of 25.2% (Hb 8.4 g/dL). Serum electrolytes and other routine blood tests were within normal limits.</w:t>
      </w:r>
      <w:r w:rsidRPr="00EE44CE">
        <w:rPr>
          <w:color w:val="0F1115"/>
        </w:rPr>
        <w:br/>
        <w:t>The patient was vigorously resuscitated with intravenous crystalloids, transfused with 2 units of packed red blood cells, and commenced on broad-spectrum intravenous antibiotics (Ceftriaxone-Sulbactam and Metronidazole).</w:t>
      </w:r>
      <w:r w:rsidRPr="00EE44CE">
        <w:rPr>
          <w:color w:val="0F1115"/>
        </w:rPr>
        <w:br/>
        <w:t xml:space="preserve">Within 24 hours of presentation, he underwent exploratory surgery via a lower midline laparotomy. Intra-operative findings confirmed a Richter's hernia: a 3cm x 2cm gangrenous perforation on the antimesenteric border of the ileum, approximately 80 cm from the </w:t>
      </w:r>
      <w:proofErr w:type="spellStart"/>
      <w:r w:rsidRPr="00EE44CE">
        <w:rPr>
          <w:color w:val="0F1115"/>
        </w:rPr>
        <w:t>ileocaecal</w:t>
      </w:r>
      <w:proofErr w:type="spellEnd"/>
      <w:r w:rsidRPr="00EE44CE">
        <w:rPr>
          <w:color w:val="0F1115"/>
        </w:rPr>
        <w:t xml:space="preserve"> junction, was firmly adherent to the left deep inguinal ring via fibrous adhesions and </w:t>
      </w:r>
      <w:proofErr w:type="spellStart"/>
      <w:r w:rsidRPr="00EE44CE">
        <w:rPr>
          <w:color w:val="0F1115"/>
        </w:rPr>
        <w:t>omentum</w:t>
      </w:r>
      <w:proofErr w:type="spellEnd"/>
      <w:r w:rsidRPr="00EE44CE">
        <w:rPr>
          <w:color w:val="0F1115"/>
        </w:rPr>
        <w:t xml:space="preserve">. </w:t>
      </w:r>
      <w:proofErr w:type="spellStart"/>
      <w:r w:rsidRPr="00EE44CE">
        <w:rPr>
          <w:color w:val="0F1115"/>
        </w:rPr>
        <w:t>Adhesiolysis</w:t>
      </w:r>
      <w:proofErr w:type="spellEnd"/>
      <w:r w:rsidRPr="00EE44CE">
        <w:rPr>
          <w:color w:val="0F1115"/>
        </w:rPr>
        <w:t xml:space="preserve"> was performed, followed by segmental resection of the affected ileum and a primary end-to-end anastomosis. The deep inguinal ring was narrowed with interrupted PDS 0 sutures. Subsequently, the scrotum was extensively debrided, a left orchidectomy was performed, and the wound was packed with povidone-iodine soaked gauze.</w:t>
      </w:r>
      <w:r w:rsidRPr="00EE44CE">
        <w:rPr>
          <w:color w:val="0F1115"/>
        </w:rPr>
        <w:br/>
        <w:t xml:space="preserve">The patient's postoperative course was uneventful. The midline incision healed primarily. The scrotal wound was managed with daily dressings, forming healthy granulation tissue, and </w:t>
      </w:r>
      <w:r w:rsidRPr="00EE44CE">
        <w:rPr>
          <w:color w:val="0F1115"/>
        </w:rPr>
        <w:lastRenderedPageBreak/>
        <w:t>underwent secondary closure on the 21st postoperative day. He was discharged with plans for elective right inguinal herniorrhaphy but was unfortunately lost to long-term follow-up.</w:t>
      </w:r>
    </w:p>
    <w:p w14:paraId="31F55018" w14:textId="77777777" w:rsidR="00EE44CE" w:rsidRPr="00EE44CE" w:rsidRDefault="006B2426" w:rsidP="00EE44CE">
      <w:pPr>
        <w:spacing w:before="480" w:after="480" w:line="360" w:lineRule="auto"/>
      </w:pPr>
      <w:r>
        <w:rPr>
          <w:noProof/>
        </w:rPr>
        <w:pict w14:anchorId="2219FA04">
          <v:rect id="_x0000_i1026" alt="" style="width:451.3pt;height:.05pt;mso-width-percent:0;mso-height-percent:0;mso-width-percent:0;mso-height-percent:0" o:hralign="center" o:hrstd="t" o:hr="t" fillcolor="#a0a0a0" stroked="f"/>
        </w:pict>
      </w:r>
    </w:p>
    <w:p w14:paraId="2B0E7E97"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3. DISCUSSION</w:t>
      </w:r>
      <w:r w:rsidRPr="00EE44CE">
        <w:rPr>
          <w:color w:val="0F1115"/>
        </w:rPr>
        <w:br/>
        <w:t>This case exemplifies a cascade of severe complications arising from a neglected Richter's hernia, underscoring its significant morbidity and mortality. Although groin hernias are commonplace, Richter's hernia is rare, accounting for about 15% of all strangulated hernias, with some African series reporting a prevalence as high as 25% [9, 10]. The mortality rate for emergency hernia surgery jumps from 0.28% in simple cases to over 9% in the context of strangulation, highlighting the gravity of this condition [2, 11].</w:t>
      </w:r>
    </w:p>
    <w:p w14:paraId="661B2079"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3.1. Classification and Pathophysiology</w:t>
      </w:r>
      <w:r w:rsidRPr="00EE44CE">
        <w:rPr>
          <w:color w:val="0F1115"/>
        </w:rPr>
        <w:br/>
        <w:t xml:space="preserve">Richter's hernia possesses a distinct </w:t>
      </w:r>
      <w:proofErr w:type="spellStart"/>
      <w:r w:rsidRPr="00EE44CE">
        <w:rPr>
          <w:color w:val="0F1115"/>
        </w:rPr>
        <w:t>patho</w:t>
      </w:r>
      <w:proofErr w:type="spellEnd"/>
      <w:r w:rsidRPr="00EE44CE">
        <w:rPr>
          <w:color w:val="0F1115"/>
        </w:rPr>
        <w:t>-anatomical basis, defined by the incarceration of only the antimesenteric border of the bowel wall through a small, rigid fascial defect [3, 4]. This mechanism explains its anatomical distribution, with the majority (36-88%) arising in the constricted femoral canal [5, 12]. However, it can manifest at any site of abdominal wall weakness, including the deep inguinal ring (as in our case), incisional scars, umbilicus, laparoscopic port sites and the Spigelian line [5, 12, 13].</w:t>
      </w:r>
      <w:r w:rsidRPr="00EE44CE">
        <w:rPr>
          <w:color w:val="0F1115"/>
        </w:rPr>
        <w:br/>
        <w:t xml:space="preserve">The clinical presentation is further clarified by a classification system based on the extent of bowel wall involvement. Our patient had a Type I hernia (involving less than one-third of the circumference), which typically lacks signs of intestinal obstruction and is a primary reason for diagnostic delay. The more extensive Type II (involves greater than one-third of bowel circumference) and Type III (involves two-third of bowel circumference) incarcerations are rarer and more frequently present with partial or complete intestinal obstruction [13]. The tight constriction of the fascial ring rapidly compromises vascular supply, leading to a swift progression from venous congestion to </w:t>
      </w:r>
      <w:proofErr w:type="spellStart"/>
      <w:r w:rsidRPr="00EE44CE">
        <w:rPr>
          <w:color w:val="0F1115"/>
        </w:rPr>
        <w:t>ischaemia</w:t>
      </w:r>
      <w:proofErr w:type="spellEnd"/>
      <w:r w:rsidRPr="00EE44CE">
        <w:rPr>
          <w:color w:val="0F1115"/>
        </w:rPr>
        <w:t xml:space="preserve"> and gangrene, with studies reporting a 69% incidence of necrosis at surgery [12], a statistic reflected in our patient who had an established gangrenous perforation.</w:t>
      </w:r>
    </w:p>
    <w:p w14:paraId="39B9B5F2"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lastRenderedPageBreak/>
        <w:t>3.2. Diagnostic Considerations</w:t>
      </w:r>
      <w:r w:rsidRPr="00EE44CE">
        <w:rPr>
          <w:color w:val="0F1115"/>
        </w:rPr>
        <w:br/>
        <w:t xml:space="preserve">The diagnosis of Richter's hernia is notoriously challenging. The absence of luminal obstruction in Type I hernias results in innocuous, non-specific initial symptoms, which often mislead both patients and clinicians [6, 12]. A critical clinical clue is a history of a known hernia with new-onset, persistent </w:t>
      </w:r>
      <w:proofErr w:type="spellStart"/>
      <w:r w:rsidRPr="00EE44CE">
        <w:rPr>
          <w:color w:val="0F1115"/>
        </w:rPr>
        <w:t>localised</w:t>
      </w:r>
      <w:proofErr w:type="spellEnd"/>
      <w:r w:rsidRPr="00EE44CE">
        <w:rPr>
          <w:color w:val="0F1115"/>
        </w:rPr>
        <w:t xml:space="preserve"> pain, even in the absence of obstructive features [6].</w:t>
      </w:r>
      <w:r w:rsidRPr="00EE44CE">
        <w:rPr>
          <w:color w:val="0F1115"/>
        </w:rPr>
        <w:br/>
        <w:t xml:space="preserve">While medical imaging, particularly ultrasonography and computed tomography (CT), plays a crucial role, its sensitivity is often limited in the early stages of the disease, frequently leading to inconclusive initial findings [1, 12, 19]. Consequently, a high index of suspicion remains the most important diagnostic tool. As </w:t>
      </w:r>
      <w:proofErr w:type="spellStart"/>
      <w:r w:rsidRPr="00EE44CE">
        <w:rPr>
          <w:color w:val="0F1115"/>
        </w:rPr>
        <w:t>Bätz</w:t>
      </w:r>
      <w:proofErr w:type="spellEnd"/>
      <w:r w:rsidRPr="00EE44CE">
        <w:rPr>
          <w:color w:val="0F1115"/>
        </w:rPr>
        <w:t xml:space="preserve"> et al. aptly stated, "the possibility of a perforated parietal hernia should always be considered in </w:t>
      </w:r>
      <w:proofErr w:type="spellStart"/>
      <w:r w:rsidRPr="00EE44CE">
        <w:rPr>
          <w:color w:val="0F1115"/>
        </w:rPr>
        <w:t>necrotising</w:t>
      </w:r>
      <w:proofErr w:type="spellEnd"/>
      <w:r w:rsidRPr="00EE44CE">
        <w:rPr>
          <w:color w:val="0F1115"/>
        </w:rPr>
        <w:t xml:space="preserve"> inflammations in the inguinal... regions, even if abdominal symptoms and signs are absent" [17]. This was demonstrated in our case, where the delayed diagnosis led to the subsequent development of a spontaneous entero-cutaneous fistula (ECF) into the scrotum, a dire but </w:t>
      </w:r>
      <w:proofErr w:type="spellStart"/>
      <w:r w:rsidRPr="00EE44CE">
        <w:rPr>
          <w:color w:val="0F1115"/>
        </w:rPr>
        <w:t>recognised</w:t>
      </w:r>
      <w:proofErr w:type="spellEnd"/>
      <w:r w:rsidRPr="00EE44CE">
        <w:rPr>
          <w:color w:val="0F1115"/>
        </w:rPr>
        <w:t xml:space="preserve"> sequelae of perforated Richter's hernia [7, 14]. The </w:t>
      </w:r>
      <w:proofErr w:type="spellStart"/>
      <w:r w:rsidRPr="00EE44CE">
        <w:rPr>
          <w:color w:val="0F1115"/>
        </w:rPr>
        <w:t>faeculent</w:t>
      </w:r>
      <w:proofErr w:type="spellEnd"/>
      <w:r w:rsidRPr="00EE44CE">
        <w:rPr>
          <w:color w:val="0F1115"/>
        </w:rPr>
        <w:t xml:space="preserve"> effluent initiated a </w:t>
      </w:r>
      <w:proofErr w:type="spellStart"/>
      <w:r w:rsidRPr="00EE44CE">
        <w:rPr>
          <w:color w:val="0F1115"/>
        </w:rPr>
        <w:t>necrotising</w:t>
      </w:r>
      <w:proofErr w:type="spellEnd"/>
      <w:r w:rsidRPr="00EE44CE">
        <w:rPr>
          <w:color w:val="0F1115"/>
        </w:rPr>
        <w:t xml:space="preserve"> soft tissue infection (Fournier's gangrene) and gangrenous orchitis, a devastating triad that has been sporadically reported in the literature [8, 15, 16]. Similarly, </w:t>
      </w:r>
      <w:proofErr w:type="spellStart"/>
      <w:r w:rsidRPr="00EE44CE">
        <w:rPr>
          <w:color w:val="0F1115"/>
        </w:rPr>
        <w:t>fistulating</w:t>
      </w:r>
      <w:proofErr w:type="spellEnd"/>
      <w:r w:rsidRPr="00EE44CE">
        <w:rPr>
          <w:color w:val="0F1115"/>
        </w:rPr>
        <w:t xml:space="preserve"> Richter’s </w:t>
      </w:r>
      <w:proofErr w:type="spellStart"/>
      <w:r w:rsidRPr="00EE44CE">
        <w:rPr>
          <w:color w:val="0F1115"/>
        </w:rPr>
        <w:t>herniae</w:t>
      </w:r>
      <w:proofErr w:type="spellEnd"/>
      <w:r w:rsidRPr="00EE44CE">
        <w:rPr>
          <w:color w:val="0F1115"/>
        </w:rPr>
        <w:t xml:space="preserve"> has been reported in other regions such as the groin [12, 17], umbilicus [18] and the labia majora in females [14].</w:t>
      </w:r>
    </w:p>
    <w:p w14:paraId="2485E5A6"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3.3. Therapeutic Considerations</w:t>
      </w:r>
      <w:r w:rsidRPr="00EE44CE">
        <w:rPr>
          <w:color w:val="0F1115"/>
        </w:rPr>
        <w:br/>
        <w:t>The management of a complicated Richter's hernia is multifaceted and involves several critical decisions.</w:t>
      </w:r>
      <w:r w:rsidRPr="00EE44CE">
        <w:rPr>
          <w:color w:val="0F1115"/>
        </w:rPr>
        <w:br/>
        <w:t>• </w:t>
      </w:r>
      <w:r w:rsidRPr="00EE44CE">
        <w:rPr>
          <w:rStyle w:val="Strong"/>
          <w:color w:val="0F1115"/>
        </w:rPr>
        <w:t>Initial Resuscitation and Principle:</w:t>
      </w:r>
      <w:r w:rsidRPr="00EE44CE">
        <w:rPr>
          <w:color w:val="0F1115"/>
        </w:rPr>
        <w:t xml:space="preserve"> Initial </w:t>
      </w:r>
      <w:proofErr w:type="spellStart"/>
      <w:r w:rsidRPr="00EE44CE">
        <w:rPr>
          <w:color w:val="0F1115"/>
        </w:rPr>
        <w:t>stabilisation</w:t>
      </w:r>
      <w:proofErr w:type="spellEnd"/>
      <w:r w:rsidRPr="00EE44CE">
        <w:rPr>
          <w:color w:val="0F1115"/>
        </w:rPr>
        <w:t xml:space="preserve"> with fluid resuscitation and broad-spectrum antibiotics is paramount. A critical tenet is the absolute contraindication of manual reduction of a suspected Richter's hernia, as this can reduce a gangrenous bowel loop into the peritoneal cavity, precipitating </w:t>
      </w:r>
      <w:proofErr w:type="spellStart"/>
      <w:r w:rsidRPr="00EE44CE">
        <w:rPr>
          <w:color w:val="0F1115"/>
        </w:rPr>
        <w:t>generalised</w:t>
      </w:r>
      <w:proofErr w:type="spellEnd"/>
      <w:r w:rsidRPr="00EE44CE">
        <w:rPr>
          <w:color w:val="0F1115"/>
        </w:rPr>
        <w:t xml:space="preserve"> </w:t>
      </w:r>
      <w:proofErr w:type="spellStart"/>
      <w:r w:rsidRPr="00EE44CE">
        <w:rPr>
          <w:color w:val="0F1115"/>
        </w:rPr>
        <w:t>faecal</w:t>
      </w:r>
      <w:proofErr w:type="spellEnd"/>
      <w:r w:rsidRPr="00EE44CE">
        <w:rPr>
          <w:color w:val="0F1115"/>
        </w:rPr>
        <w:t xml:space="preserve"> peritonitis and sepsis [5, 12].</w:t>
      </w:r>
      <w:r w:rsidRPr="00EE44CE">
        <w:rPr>
          <w:color w:val="0F1115"/>
        </w:rPr>
        <w:br/>
        <w:t>• </w:t>
      </w:r>
      <w:r w:rsidRPr="00EE44CE">
        <w:rPr>
          <w:rStyle w:val="Strong"/>
          <w:color w:val="0F1115"/>
        </w:rPr>
        <w:t>Surgical Approach:</w:t>
      </w:r>
      <w:r w:rsidRPr="00EE44CE">
        <w:rPr>
          <w:color w:val="0F1115"/>
        </w:rPr>
        <w:t xml:space="preserve"> The choice of operative approach is pivotal. While a groin incision may be sufficient for early, uncomplicated cases [5], a midline laparotomy is unequivocally superior for complex or </w:t>
      </w:r>
      <w:proofErr w:type="spellStart"/>
      <w:r w:rsidRPr="00EE44CE">
        <w:rPr>
          <w:color w:val="0F1115"/>
        </w:rPr>
        <w:t>fistulating</w:t>
      </w:r>
      <w:proofErr w:type="spellEnd"/>
      <w:r w:rsidRPr="00EE44CE">
        <w:rPr>
          <w:color w:val="0F1115"/>
        </w:rPr>
        <w:t xml:space="preserve"> hernias [8, 12, 18]. This approach provides unrestricted access for comprehensive bowel inspection, safe resection and anastomosis, and effective source control—advantages that were indispensable in managing our patient.</w:t>
      </w:r>
      <w:r w:rsidRPr="00EE44CE">
        <w:rPr>
          <w:color w:val="0F1115"/>
        </w:rPr>
        <w:br/>
        <w:t>• </w:t>
      </w:r>
      <w:r w:rsidRPr="00EE44CE">
        <w:rPr>
          <w:rStyle w:val="Strong"/>
          <w:color w:val="0F1115"/>
        </w:rPr>
        <w:t>Bowel repair:</w:t>
      </w:r>
      <w:r w:rsidRPr="00EE44CE">
        <w:rPr>
          <w:color w:val="0F1115"/>
        </w:rPr>
        <w:t xml:space="preserve"> The definitive management of the gangrenous segment typically consists of wedge or segmental resection and primary end-to-end anastomosis. However, in highly select </w:t>
      </w:r>
      <w:r w:rsidRPr="00EE44CE">
        <w:rPr>
          <w:color w:val="0F1115"/>
        </w:rPr>
        <w:lastRenderedPageBreak/>
        <w:t xml:space="preserve">cases where necrosis is limited to a small (less than one third of the bowel circumference), well-demarcated patch, a bowel-sparing technique involving </w:t>
      </w:r>
      <w:proofErr w:type="spellStart"/>
      <w:r w:rsidRPr="00EE44CE">
        <w:rPr>
          <w:color w:val="0F1115"/>
        </w:rPr>
        <w:t>extramucosal</w:t>
      </w:r>
      <w:proofErr w:type="spellEnd"/>
      <w:r w:rsidRPr="00EE44CE">
        <w:rPr>
          <w:color w:val="0F1115"/>
        </w:rPr>
        <w:t xml:space="preserve"> suture invagination, as described by Horbach, can be considered to avoid a formal resection [12, 21].</w:t>
      </w:r>
      <w:r w:rsidRPr="00EE44CE">
        <w:rPr>
          <w:color w:val="0F1115"/>
        </w:rPr>
        <w:br/>
        <w:t>• </w:t>
      </w:r>
      <w:r w:rsidRPr="00EE44CE">
        <w:rPr>
          <w:rStyle w:val="Strong"/>
          <w:color w:val="0F1115"/>
        </w:rPr>
        <w:t>Definitive Hernia Repair:</w:t>
      </w:r>
      <w:r w:rsidRPr="00EE44CE">
        <w:rPr>
          <w:color w:val="0F1115"/>
        </w:rPr>
        <w:t xml:space="preserve"> The timing of the repair of the hernia defect itself is a major controversy. In the context of significant inflammation, </w:t>
      </w:r>
      <w:proofErr w:type="spellStart"/>
      <w:r w:rsidRPr="00EE44CE">
        <w:rPr>
          <w:color w:val="0F1115"/>
        </w:rPr>
        <w:t>oedema</w:t>
      </w:r>
      <w:proofErr w:type="spellEnd"/>
      <w:r w:rsidRPr="00EE44CE">
        <w:rPr>
          <w:color w:val="0F1115"/>
        </w:rPr>
        <w:t xml:space="preserve"> and </w:t>
      </w:r>
      <w:proofErr w:type="spellStart"/>
      <w:r w:rsidRPr="00EE44CE">
        <w:rPr>
          <w:color w:val="0F1115"/>
        </w:rPr>
        <w:t>faecal</w:t>
      </w:r>
      <w:proofErr w:type="spellEnd"/>
      <w:r w:rsidRPr="00EE44CE">
        <w:rPr>
          <w:color w:val="0F1115"/>
        </w:rPr>
        <w:t xml:space="preserve"> contamination, many surgeons avoid definitive herniorrhaphy [12, 22, 23]. The initial surgery focuses on source control, with the hernia defect either left untreated or narrowed with a delayed absorbable suture (as done in this patient) to prevent immediate recurrence while planning for an elective hernioplasty [12]. Conversely, other authorities support an immediate definitive repair during the index operation using suture-based techniques or, in selected cases with lower-grade contamination, biologic meshes [24, 25]. However, this approach is reported to be associated with a higher risk of recurrence [16, 26].</w:t>
      </w:r>
    </w:p>
    <w:p w14:paraId="3FC7D7E3"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4. Conclusion</w:t>
      </w:r>
      <w:r w:rsidRPr="00EE44CE">
        <w:rPr>
          <w:color w:val="0F1115"/>
        </w:rPr>
        <w:br/>
        <w:t xml:space="preserve">This report serves as a stark reminder of the lethal potential of Richter's hernia. Its insidious clinical presentation demands a high index of suspicion from clinicians. Any patient with a known hernia and new, persistent </w:t>
      </w:r>
      <w:proofErr w:type="spellStart"/>
      <w:r w:rsidRPr="00EE44CE">
        <w:rPr>
          <w:color w:val="0F1115"/>
        </w:rPr>
        <w:t>localised</w:t>
      </w:r>
      <w:proofErr w:type="spellEnd"/>
      <w:r w:rsidRPr="00EE44CE">
        <w:rPr>
          <w:color w:val="0F1115"/>
        </w:rPr>
        <w:t xml:space="preserve"> pain should be considered to have a Richter's hernia until proven otherwise. Once suspected, expedient surgical intervention via a midline laparotomy is crucial to interrupt the predictable progression to bowel gangrene, fistula formation, and life-threatening </w:t>
      </w:r>
      <w:proofErr w:type="spellStart"/>
      <w:r w:rsidRPr="00EE44CE">
        <w:rPr>
          <w:color w:val="0F1115"/>
        </w:rPr>
        <w:t>necrotising</w:t>
      </w:r>
      <w:proofErr w:type="spellEnd"/>
      <w:r w:rsidRPr="00EE44CE">
        <w:rPr>
          <w:color w:val="0F1115"/>
        </w:rPr>
        <w:t xml:space="preserve"> fasciitis. The intraoperative strategy must then be tailored, balancing the imperative of source control against the long-term goal of a definitive hernia repair, often </w:t>
      </w:r>
      <w:proofErr w:type="spellStart"/>
      <w:r w:rsidRPr="00EE44CE">
        <w:rPr>
          <w:color w:val="0F1115"/>
        </w:rPr>
        <w:t>favouring</w:t>
      </w:r>
      <w:proofErr w:type="spellEnd"/>
      <w:r w:rsidRPr="00EE44CE">
        <w:rPr>
          <w:color w:val="0F1115"/>
        </w:rPr>
        <w:t xml:space="preserve"> a staged approach in contaminated fields. Through early recognition and a structured surgical approach, outcomes can be improved for this high-risk surgical emergency.</w:t>
      </w:r>
    </w:p>
    <w:p w14:paraId="70B1FD59" w14:textId="77777777" w:rsidR="00EE44CE" w:rsidRPr="00EE44CE" w:rsidRDefault="006B2426" w:rsidP="00EE44CE">
      <w:pPr>
        <w:spacing w:before="480" w:after="480" w:line="360" w:lineRule="auto"/>
      </w:pPr>
      <w:r>
        <w:rPr>
          <w:noProof/>
        </w:rPr>
        <w:pict w14:anchorId="469D9510">
          <v:rect id="_x0000_i1027" alt="" style="width:451.3pt;height:.05pt;mso-width-percent:0;mso-height-percent:0;mso-width-percent:0;mso-height-percent:0" o:hralign="center" o:hrstd="t" o:hr="t" fillcolor="#a0a0a0" stroked="f"/>
        </w:pict>
      </w:r>
    </w:p>
    <w:p w14:paraId="77513005" w14:textId="77777777" w:rsidR="00EE44CE" w:rsidRPr="00EE44CE" w:rsidRDefault="00EE44CE" w:rsidP="00EE44CE">
      <w:pPr>
        <w:pStyle w:val="ds-markdown-paragraph"/>
        <w:shd w:val="clear" w:color="auto" w:fill="FFFFFF"/>
        <w:spacing w:before="240" w:beforeAutospacing="0" w:after="240" w:afterAutospacing="0" w:line="360" w:lineRule="auto"/>
        <w:rPr>
          <w:color w:val="0F1115"/>
        </w:rPr>
      </w:pPr>
      <w:r w:rsidRPr="00EE44CE">
        <w:rPr>
          <w:rStyle w:val="Strong"/>
          <w:color w:val="0F1115"/>
        </w:rPr>
        <w:t>REFERENCES</w:t>
      </w:r>
    </w:p>
    <w:p w14:paraId="1C10C300" w14:textId="572FDDCA"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Jenkins, J. T., &amp; </w:t>
      </w:r>
      <w:proofErr w:type="spellStart"/>
      <w:r w:rsidRPr="00D71C2A">
        <w:rPr>
          <w:color w:val="0F1115"/>
        </w:rPr>
        <w:t>O'Dwyer</w:t>
      </w:r>
      <w:proofErr w:type="spellEnd"/>
      <w:r w:rsidRPr="00D71C2A">
        <w:rPr>
          <w:color w:val="0F1115"/>
        </w:rPr>
        <w:t xml:space="preserve">, P. J. (2008). Inguinal hernias. BMJ, 336(7638), 269-272. </w:t>
      </w:r>
      <w:hyperlink r:id="rId8" w:history="1">
        <w:r w:rsidRPr="002F7F40">
          <w:rPr>
            <w:rStyle w:val="Hyperlink"/>
          </w:rPr>
          <w:t>https://doi.org/10.1136/bmj.39450.428275.AD</w:t>
        </w:r>
      </w:hyperlink>
    </w:p>
    <w:p w14:paraId="5E2D914D" w14:textId="55C5CE95"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lastRenderedPageBreak/>
        <w:t>Misiakos</w:t>
      </w:r>
      <w:proofErr w:type="spellEnd"/>
      <w:r w:rsidRPr="00D71C2A">
        <w:rPr>
          <w:color w:val="0F1115"/>
        </w:rPr>
        <w:t xml:space="preserve">, E. P., </w:t>
      </w:r>
      <w:proofErr w:type="spellStart"/>
      <w:r w:rsidRPr="00D71C2A">
        <w:rPr>
          <w:color w:val="0F1115"/>
        </w:rPr>
        <w:t>Bagias</w:t>
      </w:r>
      <w:proofErr w:type="spellEnd"/>
      <w:r w:rsidRPr="00D71C2A">
        <w:rPr>
          <w:color w:val="0F1115"/>
        </w:rPr>
        <w:t xml:space="preserve">, G., </w:t>
      </w:r>
      <w:proofErr w:type="spellStart"/>
      <w:r w:rsidRPr="00D71C2A">
        <w:rPr>
          <w:color w:val="0F1115"/>
        </w:rPr>
        <w:t>Zavras</w:t>
      </w:r>
      <w:proofErr w:type="spellEnd"/>
      <w:r w:rsidRPr="00D71C2A">
        <w:rPr>
          <w:color w:val="0F1115"/>
        </w:rPr>
        <w:t xml:space="preserve">, N., </w:t>
      </w:r>
      <w:proofErr w:type="spellStart"/>
      <w:r w:rsidRPr="00D71C2A">
        <w:rPr>
          <w:color w:val="0F1115"/>
        </w:rPr>
        <w:t>Tzanetis</w:t>
      </w:r>
      <w:proofErr w:type="spellEnd"/>
      <w:r w:rsidRPr="00D71C2A">
        <w:rPr>
          <w:color w:val="0F1115"/>
        </w:rPr>
        <w:t xml:space="preserve">, P., </w:t>
      </w:r>
      <w:proofErr w:type="spellStart"/>
      <w:r w:rsidRPr="00D71C2A">
        <w:rPr>
          <w:color w:val="0F1115"/>
        </w:rPr>
        <w:t>Patapis</w:t>
      </w:r>
      <w:proofErr w:type="spellEnd"/>
      <w:r w:rsidRPr="00D71C2A">
        <w:rPr>
          <w:color w:val="0F1115"/>
        </w:rPr>
        <w:t xml:space="preserve">, P., &amp; </w:t>
      </w:r>
      <w:proofErr w:type="spellStart"/>
      <w:r w:rsidRPr="00D71C2A">
        <w:rPr>
          <w:color w:val="0F1115"/>
        </w:rPr>
        <w:t>Machairas</w:t>
      </w:r>
      <w:proofErr w:type="spellEnd"/>
      <w:r w:rsidRPr="00D71C2A">
        <w:rPr>
          <w:color w:val="0F1115"/>
        </w:rPr>
        <w:t xml:space="preserve">, A. (2014). Strangulated Inguinal Hernia. In S. </w:t>
      </w:r>
      <w:proofErr w:type="spellStart"/>
      <w:r w:rsidRPr="00D71C2A">
        <w:rPr>
          <w:color w:val="0F1115"/>
        </w:rPr>
        <w:t>Canonico</w:t>
      </w:r>
      <w:proofErr w:type="spellEnd"/>
      <w:r w:rsidRPr="00D71C2A">
        <w:rPr>
          <w:color w:val="0F1115"/>
        </w:rPr>
        <w:t xml:space="preserve"> (Ed.), Inguinal Hernia. </w:t>
      </w:r>
      <w:hyperlink r:id="rId9" w:history="1">
        <w:r w:rsidRPr="002F7F40">
          <w:rPr>
            <w:rStyle w:val="Hyperlink"/>
          </w:rPr>
          <w:t>https://doi.org/10.5772/57379</w:t>
        </w:r>
      </w:hyperlink>
    </w:p>
    <w:p w14:paraId="439F872D" w14:textId="695432CB" w:rsidR="00EE44CE" w:rsidRPr="00EE44CE" w:rsidRDefault="00EE44CE" w:rsidP="00EE44CE">
      <w:pPr>
        <w:pStyle w:val="ds-markdown-paragraph"/>
        <w:numPr>
          <w:ilvl w:val="0"/>
          <w:numId w:val="2"/>
        </w:numPr>
        <w:shd w:val="clear" w:color="auto" w:fill="FFFFFF"/>
        <w:spacing w:after="0" w:afterAutospacing="0" w:line="360" w:lineRule="auto"/>
        <w:ind w:left="0"/>
        <w:rPr>
          <w:color w:val="0F1115"/>
        </w:rPr>
      </w:pPr>
      <w:r w:rsidRPr="00EE44CE">
        <w:rPr>
          <w:color w:val="0F1115"/>
        </w:rPr>
        <w:t xml:space="preserve">Richter A. </w:t>
      </w:r>
      <w:proofErr w:type="spellStart"/>
      <w:r w:rsidRPr="00EE44CE">
        <w:rPr>
          <w:color w:val="0F1115"/>
        </w:rPr>
        <w:t>Abhandlung</w:t>
      </w:r>
      <w:proofErr w:type="spellEnd"/>
      <w:r w:rsidRPr="00EE44CE">
        <w:rPr>
          <w:color w:val="0F1115"/>
        </w:rPr>
        <w:t xml:space="preserve"> von den </w:t>
      </w:r>
      <w:proofErr w:type="spellStart"/>
      <w:r w:rsidRPr="00EE44CE">
        <w:rPr>
          <w:color w:val="0F1115"/>
        </w:rPr>
        <w:t>Brüchen</w:t>
      </w:r>
      <w:proofErr w:type="spellEnd"/>
      <w:r w:rsidRPr="00EE44CE">
        <w:rPr>
          <w:color w:val="0F1115"/>
        </w:rPr>
        <w:t>. Göttingen: JC Dieterich; 1778.</w:t>
      </w:r>
    </w:p>
    <w:p w14:paraId="4A789287" w14:textId="5AC61B48" w:rsidR="00D71C2A" w:rsidRP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lang w:val="fr-FR"/>
        </w:rPr>
        <w:t>Malangoni</w:t>
      </w:r>
      <w:proofErr w:type="spellEnd"/>
      <w:r w:rsidRPr="00D71C2A">
        <w:rPr>
          <w:color w:val="0F1115"/>
          <w:lang w:val="fr-FR"/>
        </w:rPr>
        <w:t xml:space="preserve">, M. A., &amp; </w:t>
      </w:r>
      <w:proofErr w:type="spellStart"/>
      <w:r w:rsidRPr="00D71C2A">
        <w:rPr>
          <w:color w:val="0F1115"/>
          <w:lang w:val="fr-FR"/>
        </w:rPr>
        <w:t>Rosen</w:t>
      </w:r>
      <w:proofErr w:type="spellEnd"/>
      <w:r w:rsidRPr="00D71C2A">
        <w:rPr>
          <w:color w:val="0F1115"/>
          <w:lang w:val="fr-FR"/>
        </w:rPr>
        <w:t xml:space="preserve">, M. J. (2017). </w:t>
      </w:r>
      <w:proofErr w:type="spellStart"/>
      <w:r w:rsidRPr="00D71C2A">
        <w:rPr>
          <w:color w:val="0F1115"/>
          <w:lang w:val="fr-FR"/>
        </w:rPr>
        <w:t>Hernias</w:t>
      </w:r>
      <w:proofErr w:type="spellEnd"/>
      <w:r w:rsidRPr="00D71C2A">
        <w:rPr>
          <w:color w:val="0F1115"/>
          <w:lang w:val="fr-FR"/>
        </w:rPr>
        <w:t xml:space="preserve">. In C. M. Townsend, R. D. Beauchamp, B. M. </w:t>
      </w:r>
      <w:proofErr w:type="spellStart"/>
      <w:r w:rsidRPr="00D71C2A">
        <w:rPr>
          <w:color w:val="0F1115"/>
          <w:lang w:val="fr-FR"/>
        </w:rPr>
        <w:t>Evers</w:t>
      </w:r>
      <w:proofErr w:type="spellEnd"/>
      <w:r w:rsidRPr="00D71C2A">
        <w:rPr>
          <w:color w:val="0F1115"/>
          <w:lang w:val="fr-FR"/>
        </w:rPr>
        <w:t xml:space="preserve">, &amp; K. L. </w:t>
      </w:r>
      <w:proofErr w:type="spellStart"/>
      <w:r w:rsidRPr="00D71C2A">
        <w:rPr>
          <w:color w:val="0F1115"/>
          <w:lang w:val="fr-FR"/>
        </w:rPr>
        <w:t>Mattox</w:t>
      </w:r>
      <w:proofErr w:type="spellEnd"/>
      <w:r w:rsidRPr="00D71C2A">
        <w:rPr>
          <w:color w:val="0F1115"/>
          <w:lang w:val="fr-FR"/>
        </w:rPr>
        <w:t xml:space="preserve"> (</w:t>
      </w:r>
      <w:proofErr w:type="spellStart"/>
      <w:r w:rsidRPr="00D71C2A">
        <w:rPr>
          <w:color w:val="0F1115"/>
          <w:lang w:val="fr-FR"/>
        </w:rPr>
        <w:t>Eds</w:t>
      </w:r>
      <w:proofErr w:type="spellEnd"/>
      <w:r w:rsidRPr="00D71C2A">
        <w:rPr>
          <w:color w:val="0F1115"/>
          <w:lang w:val="fr-FR"/>
        </w:rPr>
        <w:t>.), *</w:t>
      </w:r>
      <w:proofErr w:type="spellStart"/>
      <w:r w:rsidRPr="00D71C2A">
        <w:rPr>
          <w:color w:val="0F1115"/>
          <w:lang w:val="fr-FR"/>
        </w:rPr>
        <w:t>Sabiston</w:t>
      </w:r>
      <w:proofErr w:type="spellEnd"/>
      <w:r w:rsidRPr="00D71C2A">
        <w:rPr>
          <w:color w:val="0F1115"/>
          <w:lang w:val="fr-FR"/>
        </w:rPr>
        <w:t xml:space="preserve"> </w:t>
      </w:r>
      <w:proofErr w:type="spellStart"/>
      <w:r w:rsidRPr="00D71C2A">
        <w:rPr>
          <w:color w:val="0F1115"/>
          <w:lang w:val="fr-FR"/>
        </w:rPr>
        <w:t>Textbook</w:t>
      </w:r>
      <w:proofErr w:type="spellEnd"/>
      <w:r w:rsidRPr="00D71C2A">
        <w:rPr>
          <w:color w:val="0F1115"/>
          <w:lang w:val="fr-FR"/>
        </w:rPr>
        <w:t xml:space="preserve"> of </w:t>
      </w:r>
      <w:proofErr w:type="spellStart"/>
      <w:proofErr w:type="gramStart"/>
      <w:r w:rsidRPr="00D71C2A">
        <w:rPr>
          <w:color w:val="0F1115"/>
          <w:lang w:val="fr-FR"/>
        </w:rPr>
        <w:t>Surgery</w:t>
      </w:r>
      <w:proofErr w:type="spellEnd"/>
      <w:r w:rsidRPr="00D71C2A">
        <w:rPr>
          <w:color w:val="0F1115"/>
          <w:lang w:val="fr-FR"/>
        </w:rPr>
        <w:t>:</w:t>
      </w:r>
      <w:proofErr w:type="gramEnd"/>
      <w:r w:rsidRPr="00D71C2A">
        <w:rPr>
          <w:color w:val="0F1115"/>
          <w:lang w:val="fr-FR"/>
        </w:rPr>
        <w:t xml:space="preserve"> The </w:t>
      </w:r>
      <w:proofErr w:type="spellStart"/>
      <w:r w:rsidRPr="00D71C2A">
        <w:rPr>
          <w:color w:val="0F1115"/>
          <w:lang w:val="fr-FR"/>
        </w:rPr>
        <w:t>Biological</w:t>
      </w:r>
      <w:proofErr w:type="spellEnd"/>
      <w:r w:rsidRPr="00D71C2A">
        <w:rPr>
          <w:color w:val="0F1115"/>
          <w:lang w:val="fr-FR"/>
        </w:rPr>
        <w:t xml:space="preserve"> Basis of Modern </w:t>
      </w:r>
      <w:proofErr w:type="spellStart"/>
      <w:r w:rsidRPr="00D71C2A">
        <w:rPr>
          <w:color w:val="0F1115"/>
          <w:lang w:val="fr-FR"/>
        </w:rPr>
        <w:t>Surgical</w:t>
      </w:r>
      <w:proofErr w:type="spellEnd"/>
      <w:r w:rsidRPr="00D71C2A">
        <w:rPr>
          <w:color w:val="0F1115"/>
          <w:lang w:val="fr-FR"/>
        </w:rPr>
        <w:t xml:space="preserve"> Practice* (20th </w:t>
      </w:r>
      <w:proofErr w:type="spellStart"/>
      <w:r w:rsidRPr="00D71C2A">
        <w:rPr>
          <w:color w:val="0F1115"/>
          <w:lang w:val="fr-FR"/>
        </w:rPr>
        <w:t>ed</w:t>
      </w:r>
      <w:proofErr w:type="spellEnd"/>
      <w:r w:rsidRPr="00D71C2A">
        <w:rPr>
          <w:color w:val="0F1115"/>
          <w:lang w:val="fr-FR"/>
        </w:rPr>
        <w:t xml:space="preserve">., pp. 1092–1106). Elsevier. </w:t>
      </w:r>
      <w:hyperlink r:id="rId10" w:history="1">
        <w:r w:rsidRPr="002F7F40">
          <w:rPr>
            <w:rStyle w:val="Hyperlink"/>
            <w:lang w:val="fr-FR"/>
          </w:rPr>
          <w:t>https://www.vitalsource.com/products/sabiston-textbook-of-surgery-courtney-townsend-v9780323299879</w:t>
        </w:r>
      </w:hyperlink>
    </w:p>
    <w:p w14:paraId="754D6A87" w14:textId="17710F1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Boughey</w:t>
      </w:r>
      <w:proofErr w:type="spellEnd"/>
      <w:r w:rsidRPr="00D71C2A">
        <w:rPr>
          <w:color w:val="0F1115"/>
        </w:rPr>
        <w:t xml:space="preserve">, J. C., Nottingham, J. M., &amp; Walls, A. C. (2003). Richter's hernia in the laparoscopic era: Four case reports and review of the literature. Surgical Laparoscopy, Endoscopy and Percutaneous Techniques, 13(1), 55-58. </w:t>
      </w:r>
      <w:hyperlink r:id="rId11" w:history="1">
        <w:r w:rsidRPr="002F7F40">
          <w:rPr>
            <w:rStyle w:val="Hyperlink"/>
          </w:rPr>
          <w:t>https://doi.org/10.1097/00129689-200302000-00014</w:t>
        </w:r>
      </w:hyperlink>
    </w:p>
    <w:p w14:paraId="7134485A" w14:textId="1140E734"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Tsopmene</w:t>
      </w:r>
      <w:proofErr w:type="spellEnd"/>
      <w:r w:rsidRPr="00D71C2A">
        <w:rPr>
          <w:color w:val="0F1115"/>
        </w:rPr>
        <w:t xml:space="preserve">, M. R., </w:t>
      </w:r>
      <w:proofErr w:type="spellStart"/>
      <w:r w:rsidRPr="00D71C2A">
        <w:rPr>
          <w:color w:val="0F1115"/>
        </w:rPr>
        <w:t>Nkeck</w:t>
      </w:r>
      <w:proofErr w:type="spellEnd"/>
      <w:r w:rsidRPr="00D71C2A">
        <w:rPr>
          <w:color w:val="0F1115"/>
        </w:rPr>
        <w:t xml:space="preserve">, J. R., &amp; </w:t>
      </w:r>
      <w:proofErr w:type="spellStart"/>
      <w:r w:rsidRPr="00D71C2A">
        <w:rPr>
          <w:color w:val="0F1115"/>
        </w:rPr>
        <w:t>Eloundou</w:t>
      </w:r>
      <w:proofErr w:type="spellEnd"/>
      <w:r w:rsidRPr="00D71C2A">
        <w:rPr>
          <w:color w:val="0F1115"/>
        </w:rPr>
        <w:t xml:space="preserve">, N. J. (2017). Richter’s hernia: Two observations in the Baka pygmies of Eastern Cameroon. *International Journal of Case Reports and Images*, *8*(11), 689–691. </w:t>
      </w:r>
      <w:hyperlink r:id="rId12" w:history="1">
        <w:r w:rsidRPr="002F7F40">
          <w:rPr>
            <w:rStyle w:val="Hyperlink"/>
          </w:rPr>
          <w:t>https://doi.org/10.5348/ijcri-201713-CS-10092</w:t>
        </w:r>
      </w:hyperlink>
    </w:p>
    <w:p w14:paraId="547CD3FE" w14:textId="233F34F6"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Faridi</w:t>
      </w:r>
      <w:proofErr w:type="spellEnd"/>
      <w:r w:rsidRPr="00D71C2A">
        <w:rPr>
          <w:color w:val="0F1115"/>
        </w:rPr>
        <w:t xml:space="preserve">, S. H., Siddiqui, B., Khan, M. A., </w:t>
      </w:r>
      <w:proofErr w:type="spellStart"/>
      <w:r w:rsidRPr="00D71C2A">
        <w:rPr>
          <w:color w:val="0F1115"/>
        </w:rPr>
        <w:t>Anees</w:t>
      </w:r>
      <w:proofErr w:type="spellEnd"/>
      <w:r w:rsidRPr="00D71C2A">
        <w:rPr>
          <w:color w:val="0F1115"/>
        </w:rPr>
        <w:t xml:space="preserve">, A., &amp; Ali, S. A. (2013). Suprapubic Fecal Fistula Due </w:t>
      </w:r>
      <w:proofErr w:type="gramStart"/>
      <w:r w:rsidRPr="00D71C2A">
        <w:rPr>
          <w:color w:val="0F1115"/>
        </w:rPr>
        <w:t>To</w:t>
      </w:r>
      <w:proofErr w:type="gramEnd"/>
      <w:r w:rsidRPr="00D71C2A">
        <w:rPr>
          <w:color w:val="0F1115"/>
        </w:rPr>
        <w:t xml:space="preserve"> Richter's Inguinal Hernia: A Case Report and Review of Literature. Iranian Journal of Medical Sciences, 38(2), 129–131. </w:t>
      </w:r>
      <w:hyperlink r:id="rId13" w:history="1">
        <w:r w:rsidRPr="002F7F40">
          <w:rPr>
            <w:rStyle w:val="Hyperlink"/>
          </w:rPr>
          <w:t>https://pubmed.ncbi.nlm.nih.gov/23825893/</w:t>
        </w:r>
      </w:hyperlink>
    </w:p>
    <w:p w14:paraId="70D4E6B2" w14:textId="7439598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Talukder</w:t>
      </w:r>
      <w:proofErr w:type="spellEnd"/>
      <w:r w:rsidRPr="00D71C2A">
        <w:rPr>
          <w:color w:val="0F1115"/>
        </w:rPr>
        <w:t xml:space="preserve">, S., Gupta, A., Singh, B. N., Kaman, L., &amp; Reddy, P. A. (2017). </w:t>
      </w:r>
      <w:proofErr w:type="spellStart"/>
      <w:r w:rsidRPr="00D71C2A">
        <w:rPr>
          <w:color w:val="0F1115"/>
        </w:rPr>
        <w:t>Fistulating</w:t>
      </w:r>
      <w:proofErr w:type="spellEnd"/>
      <w:r w:rsidRPr="00D71C2A">
        <w:rPr>
          <w:color w:val="0F1115"/>
        </w:rPr>
        <w:t xml:space="preserve"> Richter's Hernia of Groin with Necrotizing Soft Tissue Infection: A Lethal Combination. Journal of Clinical and Diagnostic Research, 11(7), PD05–PD07. </w:t>
      </w:r>
      <w:hyperlink r:id="rId14" w:history="1">
        <w:r w:rsidRPr="002F7F40">
          <w:rPr>
            <w:rStyle w:val="Hyperlink"/>
          </w:rPr>
          <w:t>https://doi.org/10.7860/JCDR/2017/28201.10195</w:t>
        </w:r>
      </w:hyperlink>
    </w:p>
    <w:p w14:paraId="7E721676" w14:textId="101934CB"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Hancock, B. D. (1974). </w:t>
      </w:r>
      <w:proofErr w:type="spellStart"/>
      <w:r w:rsidRPr="00D71C2A">
        <w:rPr>
          <w:color w:val="0F1115"/>
        </w:rPr>
        <w:t>Basoga</w:t>
      </w:r>
      <w:proofErr w:type="spellEnd"/>
      <w:r w:rsidRPr="00D71C2A">
        <w:rPr>
          <w:color w:val="0F1115"/>
        </w:rPr>
        <w:t xml:space="preserve"> hernia prevalence in abdominal emergencies in Busoga, Uganda. Trop </w:t>
      </w:r>
      <w:proofErr w:type="spellStart"/>
      <w:r w:rsidRPr="00D71C2A">
        <w:rPr>
          <w:color w:val="0F1115"/>
        </w:rPr>
        <w:t>Geogr</w:t>
      </w:r>
      <w:proofErr w:type="spellEnd"/>
      <w:r w:rsidRPr="00D71C2A">
        <w:rPr>
          <w:color w:val="0F1115"/>
        </w:rPr>
        <w:t xml:space="preserve"> Med, 26(1), 15–25. </w:t>
      </w:r>
      <w:hyperlink r:id="rId15" w:history="1">
        <w:r w:rsidRPr="002F7F40">
          <w:rPr>
            <w:rStyle w:val="Hyperlink"/>
          </w:rPr>
          <w:t>https://pubmed.ncbi.nlm.nih.gov/4830614/</w:t>
        </w:r>
      </w:hyperlink>
    </w:p>
    <w:p w14:paraId="78257405" w14:textId="118D8D4A" w:rsidR="00EE44CE" w:rsidRPr="00EE44CE" w:rsidRDefault="00EE44CE" w:rsidP="00EE44CE">
      <w:pPr>
        <w:pStyle w:val="ds-markdown-paragraph"/>
        <w:numPr>
          <w:ilvl w:val="0"/>
          <w:numId w:val="2"/>
        </w:numPr>
        <w:shd w:val="clear" w:color="auto" w:fill="FFFFFF"/>
        <w:spacing w:after="0" w:afterAutospacing="0" w:line="360" w:lineRule="auto"/>
        <w:ind w:left="0"/>
        <w:rPr>
          <w:color w:val="0F1115"/>
        </w:rPr>
      </w:pPr>
      <w:r w:rsidRPr="00EE44CE">
        <w:rPr>
          <w:color w:val="0F1115"/>
        </w:rPr>
        <w:t xml:space="preserve">Darko R, Ohene-Yeboah M. Hernia. In: </w:t>
      </w:r>
      <w:proofErr w:type="spellStart"/>
      <w:r w:rsidRPr="00EE44CE">
        <w:rPr>
          <w:color w:val="0F1115"/>
        </w:rPr>
        <w:t>Archampong</w:t>
      </w:r>
      <w:proofErr w:type="spellEnd"/>
      <w:r w:rsidRPr="00EE44CE">
        <w:rPr>
          <w:color w:val="0F1115"/>
        </w:rPr>
        <w:t xml:space="preserve"> EQ, </w:t>
      </w:r>
      <w:proofErr w:type="spellStart"/>
      <w:r w:rsidRPr="00EE44CE">
        <w:rPr>
          <w:color w:val="0F1115"/>
        </w:rPr>
        <w:t>Naeder</w:t>
      </w:r>
      <w:proofErr w:type="spellEnd"/>
      <w:r w:rsidRPr="00EE44CE">
        <w:rPr>
          <w:color w:val="0F1115"/>
        </w:rPr>
        <w:t xml:space="preserve"> SB, Ugwu BT, editors. Baja’s Principles and Practice of Surgery Including Pathology in the Tropics. 5th ed. Tema: University of Ghana Medical School; 2015. p. 542-562.</w:t>
      </w:r>
    </w:p>
    <w:p w14:paraId="3589C6AB" w14:textId="1B934F0B"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Regelsberger</w:t>
      </w:r>
      <w:proofErr w:type="spellEnd"/>
      <w:r w:rsidRPr="00D71C2A">
        <w:rPr>
          <w:color w:val="0F1115"/>
        </w:rPr>
        <w:t xml:space="preserve">-Alvarez, C. M., &amp; Pfeifer, C. (2023). Richter Hernia. In </w:t>
      </w:r>
      <w:proofErr w:type="spellStart"/>
      <w:r w:rsidRPr="00D71C2A">
        <w:rPr>
          <w:color w:val="0F1115"/>
        </w:rPr>
        <w:t>StatPearls</w:t>
      </w:r>
      <w:proofErr w:type="spellEnd"/>
      <w:r w:rsidRPr="00D71C2A">
        <w:rPr>
          <w:color w:val="0F1115"/>
        </w:rPr>
        <w:t xml:space="preserve">. </w:t>
      </w:r>
      <w:proofErr w:type="spellStart"/>
      <w:r w:rsidRPr="00D71C2A">
        <w:rPr>
          <w:color w:val="0F1115"/>
        </w:rPr>
        <w:t>StatPearls</w:t>
      </w:r>
      <w:proofErr w:type="spellEnd"/>
      <w:r w:rsidRPr="00D71C2A">
        <w:rPr>
          <w:color w:val="0F1115"/>
        </w:rPr>
        <w:t xml:space="preserve"> Publishing. </w:t>
      </w:r>
      <w:hyperlink r:id="rId16" w:history="1">
        <w:r w:rsidRPr="002F7F40">
          <w:rPr>
            <w:rStyle w:val="Hyperlink"/>
          </w:rPr>
          <w:t>https://www.ncbi.nlm.nih.gov/books/NBK537227/</w:t>
        </w:r>
      </w:hyperlink>
    </w:p>
    <w:p w14:paraId="542618B1" w14:textId="6968B0D4"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lastRenderedPageBreak/>
        <w:t xml:space="preserve">Steinke, W., &amp; Zellweger, R. (2000). Richter's hernia and Sir Frederick Treves: an original clinical experience, review, and historical overview. Annals of Surgery, 232(5), 710–718. </w:t>
      </w:r>
      <w:hyperlink r:id="rId17" w:history="1">
        <w:r w:rsidRPr="002F7F40">
          <w:rPr>
            <w:rStyle w:val="Hyperlink"/>
          </w:rPr>
          <w:t>https://doi.org/10.1097/00000658-200011000-00014</w:t>
        </w:r>
      </w:hyperlink>
    </w:p>
    <w:p w14:paraId="1398D748" w14:textId="4DBC8423" w:rsidR="00EE44CE" w:rsidRPr="00EE44CE" w:rsidRDefault="00EE44CE" w:rsidP="00EE44CE">
      <w:pPr>
        <w:pStyle w:val="ds-markdown-paragraph"/>
        <w:numPr>
          <w:ilvl w:val="0"/>
          <w:numId w:val="2"/>
        </w:numPr>
        <w:shd w:val="clear" w:color="auto" w:fill="FFFFFF"/>
        <w:spacing w:after="0" w:afterAutospacing="0" w:line="360" w:lineRule="auto"/>
        <w:ind w:left="0"/>
        <w:rPr>
          <w:color w:val="0F1115"/>
        </w:rPr>
      </w:pPr>
      <w:r w:rsidRPr="00EE44CE">
        <w:rPr>
          <w:color w:val="0F1115"/>
        </w:rPr>
        <w:t>Horgan PG, O’Connell PR. Richter’s hernia: a rare cause of small bowel obstruction. J R Soc Med. 1989;82(8):501-502.</w:t>
      </w:r>
    </w:p>
    <w:p w14:paraId="197F9580" w14:textId="2D213966"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Elenwo</w:t>
      </w:r>
      <w:proofErr w:type="spellEnd"/>
      <w:r w:rsidRPr="00D71C2A">
        <w:rPr>
          <w:color w:val="0F1115"/>
        </w:rPr>
        <w:t xml:space="preserve">, S. N., </w:t>
      </w:r>
      <w:proofErr w:type="spellStart"/>
      <w:r w:rsidRPr="00D71C2A">
        <w:rPr>
          <w:color w:val="0F1115"/>
        </w:rPr>
        <w:t>Igwe</w:t>
      </w:r>
      <w:proofErr w:type="spellEnd"/>
      <w:r w:rsidRPr="00D71C2A">
        <w:rPr>
          <w:color w:val="0F1115"/>
        </w:rPr>
        <w:t xml:space="preserve">, P. O., Jamabo, R. S., &amp; </w:t>
      </w:r>
      <w:proofErr w:type="spellStart"/>
      <w:r w:rsidRPr="00D71C2A">
        <w:rPr>
          <w:color w:val="0F1115"/>
        </w:rPr>
        <w:t>Sonye</w:t>
      </w:r>
      <w:proofErr w:type="spellEnd"/>
      <w:r w:rsidRPr="00D71C2A">
        <w:rPr>
          <w:color w:val="0F1115"/>
        </w:rPr>
        <w:t xml:space="preserve">, U. S. (2016). Spontaneous entero-labial fistula complicating </w:t>
      </w:r>
      <w:proofErr w:type="spellStart"/>
      <w:r w:rsidRPr="00D71C2A">
        <w:rPr>
          <w:color w:val="0F1115"/>
        </w:rPr>
        <w:t>Richters</w:t>
      </w:r>
      <w:proofErr w:type="spellEnd"/>
      <w:r w:rsidRPr="00D71C2A">
        <w:rPr>
          <w:color w:val="0F1115"/>
        </w:rPr>
        <w:t xml:space="preserve"> hernia: Report of a case. International Journal of Surgery Case Reports, 20, 27-29. </w:t>
      </w:r>
      <w:hyperlink r:id="rId18" w:history="1">
        <w:r w:rsidRPr="002F7F40">
          <w:rPr>
            <w:rStyle w:val="Hyperlink"/>
          </w:rPr>
          <w:t>https://doi.org/10.1016/j.ijscr.2016.01.003</w:t>
        </w:r>
      </w:hyperlink>
    </w:p>
    <w:p w14:paraId="3D831300" w14:textId="69DB85D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Ahki</w:t>
      </w:r>
      <w:proofErr w:type="spellEnd"/>
      <w:r w:rsidRPr="00D71C2A">
        <w:rPr>
          <w:color w:val="0F1115"/>
        </w:rPr>
        <w:t xml:space="preserve">, K. S., Moudgil, A., Aggarwal, K., Sharma, C., &amp; Singh, K. (2015). A rare case of spontaneous inguinal </w:t>
      </w:r>
      <w:proofErr w:type="spellStart"/>
      <w:r w:rsidRPr="00D71C2A">
        <w:rPr>
          <w:color w:val="0F1115"/>
        </w:rPr>
        <w:t>faecal</w:t>
      </w:r>
      <w:proofErr w:type="spellEnd"/>
      <w:r w:rsidRPr="00D71C2A">
        <w:rPr>
          <w:color w:val="0F1115"/>
        </w:rPr>
        <w:t xml:space="preserve"> fistula as a complication of incarcerated Richter’s hernia with brief review of literature. BMC Surgery, 15, 67. </w:t>
      </w:r>
      <w:hyperlink r:id="rId19" w:history="1">
        <w:r w:rsidRPr="002F7F40">
          <w:rPr>
            <w:rStyle w:val="Hyperlink"/>
          </w:rPr>
          <w:t>https://doi.org/10.1186/s12893-015-0055-8</w:t>
        </w:r>
      </w:hyperlink>
    </w:p>
    <w:p w14:paraId="0F356AEF" w14:textId="22408D7B"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Onakpoya</w:t>
      </w:r>
      <w:proofErr w:type="spellEnd"/>
      <w:r w:rsidRPr="00D71C2A">
        <w:rPr>
          <w:color w:val="0F1115"/>
        </w:rPr>
        <w:t xml:space="preserve">, U. U., Lawal, O. O., </w:t>
      </w:r>
      <w:proofErr w:type="spellStart"/>
      <w:r w:rsidRPr="00D71C2A">
        <w:rPr>
          <w:color w:val="0F1115"/>
        </w:rPr>
        <w:t>Onovo</w:t>
      </w:r>
      <w:proofErr w:type="spellEnd"/>
      <w:r w:rsidRPr="00D71C2A">
        <w:rPr>
          <w:color w:val="0F1115"/>
        </w:rPr>
        <w:t xml:space="preserve">, O. D., &amp; </w:t>
      </w:r>
      <w:proofErr w:type="spellStart"/>
      <w:r w:rsidRPr="00D71C2A">
        <w:rPr>
          <w:color w:val="0F1115"/>
        </w:rPr>
        <w:t>Oribabor</w:t>
      </w:r>
      <w:proofErr w:type="spellEnd"/>
      <w:r w:rsidRPr="00D71C2A">
        <w:rPr>
          <w:color w:val="0F1115"/>
        </w:rPr>
        <w:t xml:space="preserve">, F. O. (2007). Fournier's gangrene complicating ruptured Richter's inguinal hernia. West African Journal of Medicine, 26(4), 316-318. </w:t>
      </w:r>
      <w:hyperlink r:id="rId20" w:history="1">
        <w:r w:rsidRPr="002F7F40">
          <w:rPr>
            <w:rStyle w:val="Hyperlink"/>
          </w:rPr>
          <w:t>https://pubmed.ncbi.nlm.nih.gov/18705434/</w:t>
        </w:r>
      </w:hyperlink>
    </w:p>
    <w:p w14:paraId="485D7AAB" w14:textId="3522B2E2" w:rsidR="00EE44CE" w:rsidRPr="00EE44CE" w:rsidRDefault="00EE44CE" w:rsidP="00EE44CE">
      <w:pPr>
        <w:pStyle w:val="ds-markdown-paragraph"/>
        <w:numPr>
          <w:ilvl w:val="0"/>
          <w:numId w:val="2"/>
        </w:numPr>
        <w:shd w:val="clear" w:color="auto" w:fill="FFFFFF"/>
        <w:spacing w:after="0" w:afterAutospacing="0" w:line="360" w:lineRule="auto"/>
        <w:ind w:left="0"/>
        <w:rPr>
          <w:color w:val="0F1115"/>
        </w:rPr>
      </w:pPr>
      <w:proofErr w:type="spellStart"/>
      <w:r w:rsidRPr="005B7528">
        <w:rPr>
          <w:color w:val="0F1115"/>
          <w:lang w:val="fr-FR"/>
        </w:rPr>
        <w:t>Bätz</w:t>
      </w:r>
      <w:proofErr w:type="spellEnd"/>
      <w:r w:rsidRPr="005B7528">
        <w:rPr>
          <w:color w:val="0F1115"/>
          <w:lang w:val="fr-FR"/>
        </w:rPr>
        <w:t xml:space="preserve"> A, </w:t>
      </w:r>
      <w:proofErr w:type="spellStart"/>
      <w:r w:rsidRPr="005B7528">
        <w:rPr>
          <w:color w:val="0F1115"/>
          <w:lang w:val="fr-FR"/>
        </w:rPr>
        <w:t>Gellhaus</w:t>
      </w:r>
      <w:proofErr w:type="spellEnd"/>
      <w:r w:rsidRPr="005B7528">
        <w:rPr>
          <w:color w:val="0F1115"/>
          <w:lang w:val="fr-FR"/>
        </w:rPr>
        <w:t xml:space="preserve"> T, Sturm A, et al. </w:t>
      </w:r>
      <w:r w:rsidRPr="00EE44CE">
        <w:rPr>
          <w:color w:val="0F1115"/>
        </w:rPr>
        <w:t xml:space="preserve">[Necrotizing fasciitis of the abdominal wall as a rare complication of perforated Richter’s hernia]. </w:t>
      </w:r>
      <w:proofErr w:type="spellStart"/>
      <w:r w:rsidRPr="00EE44CE">
        <w:rPr>
          <w:color w:val="0F1115"/>
        </w:rPr>
        <w:t>Chirurg</w:t>
      </w:r>
      <w:proofErr w:type="spellEnd"/>
      <w:r w:rsidRPr="00EE44CE">
        <w:rPr>
          <w:color w:val="0F1115"/>
        </w:rPr>
        <w:t>. 2021;92(1):1-5.</w:t>
      </w:r>
    </w:p>
    <w:p w14:paraId="43EA4A2E" w14:textId="046C50B2"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Chen, W., Liu, L., Huang, H., Jiang, M., &amp; Zhang, T. (2017). A case report of spontaneous umbilical enterocutaneous fistula resulting from an incarcerated Richter’s hernia, with a brief literature review. BMC Surgery, 17(1), 15. </w:t>
      </w:r>
      <w:hyperlink r:id="rId21" w:history="1">
        <w:r w:rsidRPr="002F7F40">
          <w:rPr>
            <w:rStyle w:val="Hyperlink"/>
          </w:rPr>
          <w:t>https://doi.org/10.1186/s12893-017-0216-z</w:t>
        </w:r>
      </w:hyperlink>
    </w:p>
    <w:p w14:paraId="5F43983C" w14:textId="24CEE8BA"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Middlebrook, M. R., &amp; </w:t>
      </w:r>
      <w:proofErr w:type="spellStart"/>
      <w:r w:rsidRPr="00D71C2A">
        <w:rPr>
          <w:color w:val="0F1115"/>
        </w:rPr>
        <w:t>Eftekhari</w:t>
      </w:r>
      <w:proofErr w:type="spellEnd"/>
      <w:r w:rsidRPr="00D71C2A">
        <w:rPr>
          <w:color w:val="0F1115"/>
        </w:rPr>
        <w:t xml:space="preserve">, F. (1992). Sonographic findings in Richter's hernia. Gastrointestinal Radiology, 17(3), 229–230. </w:t>
      </w:r>
      <w:hyperlink r:id="rId22" w:history="1">
        <w:r w:rsidRPr="002F7F40">
          <w:rPr>
            <w:rStyle w:val="Hyperlink"/>
          </w:rPr>
          <w:t>https://doi.org/10.1007/BF01888555</w:t>
        </w:r>
      </w:hyperlink>
    </w:p>
    <w:p w14:paraId="6F08773C" w14:textId="48A5546C"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Khuroo</w:t>
      </w:r>
      <w:proofErr w:type="spellEnd"/>
      <w:r w:rsidRPr="00D71C2A">
        <w:rPr>
          <w:color w:val="0F1115"/>
        </w:rPr>
        <w:t xml:space="preserve">, S., </w:t>
      </w:r>
      <w:proofErr w:type="spellStart"/>
      <w:r w:rsidRPr="00D71C2A">
        <w:rPr>
          <w:color w:val="0F1115"/>
        </w:rPr>
        <w:t>Wani</w:t>
      </w:r>
      <w:proofErr w:type="spellEnd"/>
      <w:r w:rsidRPr="00D71C2A">
        <w:rPr>
          <w:color w:val="0F1115"/>
        </w:rPr>
        <w:t xml:space="preserve">, A. A., Kaur, I., </w:t>
      </w:r>
      <w:proofErr w:type="spellStart"/>
      <w:r w:rsidRPr="00D71C2A">
        <w:rPr>
          <w:color w:val="0F1115"/>
        </w:rPr>
        <w:t>Razdan</w:t>
      </w:r>
      <w:proofErr w:type="spellEnd"/>
      <w:r w:rsidRPr="00D71C2A">
        <w:rPr>
          <w:color w:val="0F1115"/>
        </w:rPr>
        <w:t xml:space="preserve">, A., &amp; Gupta, G. (2021). Unusual Richter's Hernia: Impacted foreign body leading to incarceration and perforation - A rare clinical entity. *International Journal of Surgery Case Reports*, *79*, 492–495. </w:t>
      </w:r>
      <w:hyperlink r:id="rId23" w:history="1">
        <w:r w:rsidRPr="002F7F40">
          <w:rPr>
            <w:rStyle w:val="Hyperlink"/>
          </w:rPr>
          <w:t>https://doi.org/10.1016/j.ijscr.2021.01.088</w:t>
        </w:r>
      </w:hyperlink>
    </w:p>
    <w:p w14:paraId="05D02122" w14:textId="25B25583"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Horbach</w:t>
      </w:r>
      <w:proofErr w:type="spellEnd"/>
      <w:r w:rsidRPr="00D71C2A">
        <w:rPr>
          <w:color w:val="0F1115"/>
        </w:rPr>
        <w:t xml:space="preserve">, J. M. (1986). Invagination for Richter-type strangulated hernias. Tropical Doctor, 16(4), 163–168. </w:t>
      </w:r>
      <w:hyperlink r:id="rId24" w:history="1">
        <w:r w:rsidRPr="002F7F40">
          <w:rPr>
            <w:rStyle w:val="Hyperlink"/>
          </w:rPr>
          <w:t>https://doi.org/10.1177/004947558601600409</w:t>
        </w:r>
      </w:hyperlink>
    </w:p>
    <w:p w14:paraId="3EAF4AA3" w14:textId="5C57E9B8"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Birolini</w:t>
      </w:r>
      <w:proofErr w:type="spellEnd"/>
      <w:r w:rsidRPr="00D71C2A">
        <w:rPr>
          <w:color w:val="0F1115"/>
        </w:rPr>
        <w:t xml:space="preserve">, C., </w:t>
      </w:r>
      <w:proofErr w:type="spellStart"/>
      <w:r w:rsidRPr="00D71C2A">
        <w:rPr>
          <w:color w:val="0F1115"/>
        </w:rPr>
        <w:t>Utiyama</w:t>
      </w:r>
      <w:proofErr w:type="spellEnd"/>
      <w:r w:rsidRPr="00D71C2A">
        <w:rPr>
          <w:color w:val="0F1115"/>
        </w:rPr>
        <w:t xml:space="preserve">, E. M., Rodrigues Jr, A. J., &amp; </w:t>
      </w:r>
      <w:proofErr w:type="spellStart"/>
      <w:r w:rsidRPr="00D71C2A">
        <w:rPr>
          <w:color w:val="0F1115"/>
        </w:rPr>
        <w:t>Birolini</w:t>
      </w:r>
      <w:proofErr w:type="spellEnd"/>
      <w:r w:rsidRPr="00D71C2A">
        <w:rPr>
          <w:color w:val="0F1115"/>
        </w:rPr>
        <w:t xml:space="preserve">, D. (2000). Elective colonic operation and prosthetic repair of incisional hernia: does contamination contraindicate abdominal wall prosthesis use? Journal of the American College of Surgeons, 191(4), 366-372. </w:t>
      </w:r>
      <w:hyperlink r:id="rId25" w:history="1">
        <w:r w:rsidRPr="002F7F40">
          <w:rPr>
            <w:rStyle w:val="Hyperlink"/>
          </w:rPr>
          <w:t>https://doi.org/10.1016/s1072-7515(00)00703-1</w:t>
        </w:r>
      </w:hyperlink>
    </w:p>
    <w:p w14:paraId="2915DA2B" w14:textId="693D5DC2" w:rsidR="00D71C2A" w:rsidRDefault="00D71C2A" w:rsidP="00EE44CE">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lastRenderedPageBreak/>
        <w:t>Breuing</w:t>
      </w:r>
      <w:proofErr w:type="spellEnd"/>
      <w:r w:rsidRPr="00D71C2A">
        <w:rPr>
          <w:color w:val="0F1115"/>
        </w:rPr>
        <w:t xml:space="preserve">, K., Butler, C., </w:t>
      </w:r>
      <w:proofErr w:type="spellStart"/>
      <w:r w:rsidRPr="00D71C2A">
        <w:rPr>
          <w:color w:val="0F1115"/>
        </w:rPr>
        <w:t>Ferzoco</w:t>
      </w:r>
      <w:proofErr w:type="spellEnd"/>
      <w:r w:rsidRPr="00D71C2A">
        <w:rPr>
          <w:color w:val="0F1115"/>
        </w:rPr>
        <w:t xml:space="preserve">, S., Franz, M., </w:t>
      </w:r>
      <w:proofErr w:type="spellStart"/>
      <w:r w:rsidRPr="00D71C2A">
        <w:rPr>
          <w:color w:val="0F1115"/>
        </w:rPr>
        <w:t>Hultman</w:t>
      </w:r>
      <w:proofErr w:type="spellEnd"/>
      <w:r w:rsidRPr="00D71C2A">
        <w:rPr>
          <w:color w:val="0F1115"/>
        </w:rPr>
        <w:t xml:space="preserve">, C. S., </w:t>
      </w:r>
      <w:proofErr w:type="spellStart"/>
      <w:r w:rsidRPr="00D71C2A">
        <w:rPr>
          <w:color w:val="0F1115"/>
        </w:rPr>
        <w:t>Kilbridge</w:t>
      </w:r>
      <w:proofErr w:type="spellEnd"/>
      <w:r w:rsidRPr="00D71C2A">
        <w:rPr>
          <w:color w:val="0F1115"/>
        </w:rPr>
        <w:t xml:space="preserve">, J. F., Rosen, M., Silverman, R. P., &amp; Vargo, D. (2010). Incisional ventral hernias: review of the literature and recommendations regarding the grading and technique of repair. Surgery, 148(3), 544-558. </w:t>
      </w:r>
      <w:hyperlink r:id="rId26" w:history="1">
        <w:r w:rsidRPr="002F7F40">
          <w:rPr>
            <w:rStyle w:val="Hyperlink"/>
          </w:rPr>
          <w:t>https://doi.org/10.1016/j.surg.2010.01.008</w:t>
        </w:r>
      </w:hyperlink>
    </w:p>
    <w:p w14:paraId="2BB04F09" w14:textId="35D4D6BC" w:rsid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rPr>
        <w:t xml:space="preserve">Kelly, M. E., &amp; Behrman, S. W. (2002). The safety and efficacy of prosthetic hernia repair in clean-contaminated and contaminated wounds. American Surgeon, 68(6), 524-528. </w:t>
      </w:r>
      <w:hyperlink r:id="rId27" w:history="1">
        <w:r w:rsidRPr="002F7F40">
          <w:rPr>
            <w:rStyle w:val="Hyperlink"/>
          </w:rPr>
          <w:t>https://pubmed.ncbi.nlm.nih.gov/12079133/</w:t>
        </w:r>
      </w:hyperlink>
    </w:p>
    <w:p w14:paraId="5C9DE9A5" w14:textId="48E88ACE" w:rsidR="00D71C2A" w:rsidRPr="00D71C2A" w:rsidRDefault="00D71C2A" w:rsidP="00EE44CE">
      <w:pPr>
        <w:pStyle w:val="ds-markdown-paragraph"/>
        <w:numPr>
          <w:ilvl w:val="0"/>
          <w:numId w:val="2"/>
        </w:numPr>
        <w:shd w:val="clear" w:color="auto" w:fill="FFFFFF"/>
        <w:spacing w:after="0" w:afterAutospacing="0" w:line="360" w:lineRule="auto"/>
        <w:ind w:left="0"/>
        <w:rPr>
          <w:color w:val="0F1115"/>
        </w:rPr>
      </w:pPr>
      <w:r w:rsidRPr="00D71C2A">
        <w:rPr>
          <w:color w:val="0F1115"/>
          <w:lang w:val="fr-FR"/>
        </w:rPr>
        <w:t xml:space="preserve">Choi, J. J., </w:t>
      </w:r>
      <w:proofErr w:type="spellStart"/>
      <w:r w:rsidRPr="00D71C2A">
        <w:rPr>
          <w:color w:val="0F1115"/>
          <w:lang w:val="fr-FR"/>
        </w:rPr>
        <w:t>Palaniappa</w:t>
      </w:r>
      <w:proofErr w:type="spellEnd"/>
      <w:r w:rsidRPr="00D71C2A">
        <w:rPr>
          <w:color w:val="0F1115"/>
          <w:lang w:val="fr-FR"/>
        </w:rPr>
        <w:t xml:space="preserve">, N. C., Dallas, K. B., </w:t>
      </w:r>
      <w:proofErr w:type="spellStart"/>
      <w:r w:rsidRPr="00D71C2A">
        <w:rPr>
          <w:color w:val="0F1115"/>
          <w:lang w:val="fr-FR"/>
        </w:rPr>
        <w:t>Rudich</w:t>
      </w:r>
      <w:proofErr w:type="spellEnd"/>
      <w:r w:rsidRPr="00D71C2A">
        <w:rPr>
          <w:color w:val="0F1115"/>
          <w:lang w:val="fr-FR"/>
        </w:rPr>
        <w:t xml:space="preserve">, T. B., Colon, M. J., &amp; Divino, C. M. (2012). Use of </w:t>
      </w:r>
      <w:proofErr w:type="spellStart"/>
      <w:r w:rsidRPr="00D71C2A">
        <w:rPr>
          <w:color w:val="0F1115"/>
          <w:lang w:val="fr-FR"/>
        </w:rPr>
        <w:t>mesh</w:t>
      </w:r>
      <w:proofErr w:type="spellEnd"/>
      <w:r w:rsidRPr="00D71C2A">
        <w:rPr>
          <w:color w:val="0F1115"/>
          <w:lang w:val="fr-FR"/>
        </w:rPr>
        <w:t xml:space="preserve"> </w:t>
      </w:r>
      <w:proofErr w:type="spellStart"/>
      <w:r w:rsidRPr="00D71C2A">
        <w:rPr>
          <w:color w:val="0F1115"/>
          <w:lang w:val="fr-FR"/>
        </w:rPr>
        <w:t>during</w:t>
      </w:r>
      <w:proofErr w:type="spellEnd"/>
      <w:r w:rsidRPr="00D71C2A">
        <w:rPr>
          <w:color w:val="0F1115"/>
          <w:lang w:val="fr-FR"/>
        </w:rPr>
        <w:t xml:space="preserve"> ventral </w:t>
      </w:r>
      <w:proofErr w:type="spellStart"/>
      <w:r w:rsidRPr="00D71C2A">
        <w:rPr>
          <w:color w:val="0F1115"/>
          <w:lang w:val="fr-FR"/>
        </w:rPr>
        <w:t>hernia</w:t>
      </w:r>
      <w:proofErr w:type="spellEnd"/>
      <w:r w:rsidRPr="00D71C2A">
        <w:rPr>
          <w:color w:val="0F1115"/>
          <w:lang w:val="fr-FR"/>
        </w:rPr>
        <w:t xml:space="preserve"> </w:t>
      </w:r>
      <w:proofErr w:type="spellStart"/>
      <w:r w:rsidRPr="00D71C2A">
        <w:rPr>
          <w:color w:val="0F1115"/>
          <w:lang w:val="fr-FR"/>
        </w:rPr>
        <w:t>repair</w:t>
      </w:r>
      <w:proofErr w:type="spellEnd"/>
      <w:r w:rsidRPr="00D71C2A">
        <w:rPr>
          <w:color w:val="0F1115"/>
          <w:lang w:val="fr-FR"/>
        </w:rPr>
        <w:t xml:space="preserve"> in clean-</w:t>
      </w:r>
      <w:proofErr w:type="spellStart"/>
      <w:r w:rsidRPr="00D71C2A">
        <w:rPr>
          <w:color w:val="0F1115"/>
          <w:lang w:val="fr-FR"/>
        </w:rPr>
        <w:t>contaminated</w:t>
      </w:r>
      <w:proofErr w:type="spellEnd"/>
      <w:r w:rsidRPr="00D71C2A">
        <w:rPr>
          <w:color w:val="0F1115"/>
          <w:lang w:val="fr-FR"/>
        </w:rPr>
        <w:t xml:space="preserve"> and </w:t>
      </w:r>
      <w:proofErr w:type="spellStart"/>
      <w:r w:rsidRPr="00D71C2A">
        <w:rPr>
          <w:color w:val="0F1115"/>
          <w:lang w:val="fr-FR"/>
        </w:rPr>
        <w:t>contaminated</w:t>
      </w:r>
      <w:proofErr w:type="spellEnd"/>
      <w:r w:rsidRPr="00D71C2A">
        <w:rPr>
          <w:color w:val="0F1115"/>
          <w:lang w:val="fr-FR"/>
        </w:rPr>
        <w:t xml:space="preserve"> </w:t>
      </w:r>
      <w:proofErr w:type="gramStart"/>
      <w:r w:rsidRPr="00D71C2A">
        <w:rPr>
          <w:color w:val="0F1115"/>
          <w:lang w:val="fr-FR"/>
        </w:rPr>
        <w:t>cases:</w:t>
      </w:r>
      <w:proofErr w:type="gramEnd"/>
      <w:r w:rsidRPr="00D71C2A">
        <w:rPr>
          <w:color w:val="0F1115"/>
          <w:lang w:val="fr-FR"/>
        </w:rPr>
        <w:t xml:space="preserve"> </w:t>
      </w:r>
      <w:proofErr w:type="spellStart"/>
      <w:r w:rsidRPr="00D71C2A">
        <w:rPr>
          <w:color w:val="0F1115"/>
          <w:lang w:val="fr-FR"/>
        </w:rPr>
        <w:t>outcomes</w:t>
      </w:r>
      <w:proofErr w:type="spellEnd"/>
      <w:r w:rsidRPr="00D71C2A">
        <w:rPr>
          <w:color w:val="0F1115"/>
          <w:lang w:val="fr-FR"/>
        </w:rPr>
        <w:t xml:space="preserve"> of 33,832 cases. </w:t>
      </w:r>
      <w:proofErr w:type="spellStart"/>
      <w:r w:rsidRPr="00D71C2A">
        <w:rPr>
          <w:color w:val="0F1115"/>
          <w:lang w:val="fr-FR"/>
        </w:rPr>
        <w:t>Annals</w:t>
      </w:r>
      <w:proofErr w:type="spellEnd"/>
      <w:r w:rsidRPr="00D71C2A">
        <w:rPr>
          <w:color w:val="0F1115"/>
          <w:lang w:val="fr-FR"/>
        </w:rPr>
        <w:t xml:space="preserve"> of </w:t>
      </w:r>
      <w:proofErr w:type="spellStart"/>
      <w:r w:rsidRPr="00D71C2A">
        <w:rPr>
          <w:color w:val="0F1115"/>
          <w:lang w:val="fr-FR"/>
        </w:rPr>
        <w:t>Surgery</w:t>
      </w:r>
      <w:proofErr w:type="spellEnd"/>
      <w:r w:rsidRPr="00D71C2A">
        <w:rPr>
          <w:color w:val="0F1115"/>
          <w:lang w:val="fr-FR"/>
        </w:rPr>
        <w:t xml:space="preserve">, 255(1), 176-180. </w:t>
      </w:r>
      <w:hyperlink r:id="rId28" w:history="1">
        <w:r w:rsidRPr="002F7F40">
          <w:rPr>
            <w:rStyle w:val="Hyperlink"/>
            <w:lang w:val="fr-FR"/>
          </w:rPr>
          <w:t>https://doi.org/10.1097/SLA.0b013e31822518e6</w:t>
        </w:r>
      </w:hyperlink>
    </w:p>
    <w:p w14:paraId="400C0157" w14:textId="585215E9" w:rsidR="00EE44CE" w:rsidRPr="00EE44CE" w:rsidRDefault="00D71C2A" w:rsidP="00D71C2A">
      <w:pPr>
        <w:pStyle w:val="ds-markdown-paragraph"/>
        <w:numPr>
          <w:ilvl w:val="0"/>
          <w:numId w:val="2"/>
        </w:numPr>
        <w:shd w:val="clear" w:color="auto" w:fill="FFFFFF"/>
        <w:spacing w:after="0" w:afterAutospacing="0" w:line="360" w:lineRule="auto"/>
        <w:ind w:left="0"/>
        <w:rPr>
          <w:color w:val="0F1115"/>
        </w:rPr>
      </w:pPr>
      <w:proofErr w:type="spellStart"/>
      <w:r w:rsidRPr="00D71C2A">
        <w:rPr>
          <w:color w:val="0F1115"/>
        </w:rPr>
        <w:t>Limjoco</w:t>
      </w:r>
      <w:proofErr w:type="spellEnd"/>
      <w:r w:rsidRPr="00D71C2A">
        <w:rPr>
          <w:color w:val="0F1115"/>
        </w:rPr>
        <w:t xml:space="preserve">, U. R., Grubbs, J. M., &amp; Thomas, M. D. (1998). Richter's hernia with bowel perforation. American Family Physician, 58(2), 352, 354. </w:t>
      </w:r>
      <w:hyperlink r:id="rId29" w:history="1">
        <w:r w:rsidRPr="002F7F40">
          <w:rPr>
            <w:rStyle w:val="Hyperlink"/>
          </w:rPr>
          <w:t>https://pubmed.ncbi.nlm.nih.gov/9713392/</w:t>
        </w:r>
      </w:hyperlink>
      <w:r>
        <w:rPr>
          <w:color w:val="0F1115"/>
        </w:rPr>
        <w:t xml:space="preserve"> </w:t>
      </w:r>
    </w:p>
    <w:sectPr w:rsidR="00EE44CE" w:rsidRPr="00EE44C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D37A0" w14:textId="77777777" w:rsidR="006B2426" w:rsidRDefault="006B2426" w:rsidP="00464305">
      <w:r>
        <w:separator/>
      </w:r>
    </w:p>
  </w:endnote>
  <w:endnote w:type="continuationSeparator" w:id="0">
    <w:p w14:paraId="61A2D5FD" w14:textId="77777777" w:rsidR="006B2426" w:rsidRDefault="006B2426" w:rsidP="0046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5B57" w14:textId="77777777" w:rsidR="00464305" w:rsidRDefault="00464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2510" w14:textId="77777777" w:rsidR="00464305" w:rsidRDefault="0046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ED7" w14:textId="77777777" w:rsidR="00464305" w:rsidRDefault="0046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D7230" w14:textId="77777777" w:rsidR="006B2426" w:rsidRDefault="006B2426" w:rsidP="00464305">
      <w:r>
        <w:separator/>
      </w:r>
    </w:p>
  </w:footnote>
  <w:footnote w:type="continuationSeparator" w:id="0">
    <w:p w14:paraId="55B39316" w14:textId="77777777" w:rsidR="006B2426" w:rsidRDefault="006B2426" w:rsidP="0046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FB97" w14:textId="3DDA1C57" w:rsidR="00464305" w:rsidRDefault="00464305">
    <w:pPr>
      <w:pStyle w:val="Header"/>
    </w:pPr>
    <w:r>
      <w:rPr>
        <w:noProof/>
      </w:rPr>
      <w:pict w14:anchorId="7A202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20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63DA" w14:textId="2AE81E31" w:rsidR="00464305" w:rsidRDefault="00464305">
    <w:pPr>
      <w:pStyle w:val="Header"/>
    </w:pPr>
    <w:r>
      <w:rPr>
        <w:noProof/>
      </w:rPr>
      <w:pict w14:anchorId="7329E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20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2AAE" w14:textId="00209D0B" w:rsidR="00464305" w:rsidRDefault="00464305">
    <w:pPr>
      <w:pStyle w:val="Header"/>
    </w:pPr>
    <w:r>
      <w:rPr>
        <w:noProof/>
      </w:rPr>
      <w:pict w14:anchorId="2D786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20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A473D"/>
    <w:multiLevelType w:val="hybridMultilevel"/>
    <w:tmpl w:val="9B4882EA"/>
    <w:lvl w:ilvl="0" w:tplc="79C850A0">
      <w:start w:val="1"/>
      <w:numFmt w:val="decimal"/>
      <w:lvlText w:val="%1."/>
      <w:lvlJc w:val="left"/>
      <w:pPr>
        <w:ind w:left="720" w:hanging="360"/>
      </w:pPr>
      <w:rPr>
        <w:rFonts w:hint="default"/>
        <w:b/>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46EF9"/>
    <w:multiLevelType w:val="multilevel"/>
    <w:tmpl w:val="16F0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2551E"/>
    <w:multiLevelType w:val="multilevel"/>
    <w:tmpl w:val="4718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CE"/>
    <w:rsid w:val="00031C05"/>
    <w:rsid w:val="000D5E5E"/>
    <w:rsid w:val="001E7137"/>
    <w:rsid w:val="00277A7B"/>
    <w:rsid w:val="00393033"/>
    <w:rsid w:val="00393B8C"/>
    <w:rsid w:val="004244C9"/>
    <w:rsid w:val="00464305"/>
    <w:rsid w:val="004B5F75"/>
    <w:rsid w:val="005127B9"/>
    <w:rsid w:val="005B7528"/>
    <w:rsid w:val="006B2426"/>
    <w:rsid w:val="00790D6B"/>
    <w:rsid w:val="008B27AF"/>
    <w:rsid w:val="009239FA"/>
    <w:rsid w:val="00B83D00"/>
    <w:rsid w:val="00D71C2A"/>
    <w:rsid w:val="00E0438E"/>
    <w:rsid w:val="00E30CD4"/>
    <w:rsid w:val="00EE44CE"/>
    <w:rsid w:val="00F04D6C"/>
    <w:rsid w:val="00FC64C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22E9C6"/>
  <w15:chartTrackingRefBased/>
  <w15:docId w15:val="{966BC566-B869-4002-A01C-60D69BBB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4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EE44CE"/>
    <w:pPr>
      <w:spacing w:before="100" w:beforeAutospacing="1" w:after="100" w:afterAutospacing="1"/>
    </w:pPr>
  </w:style>
  <w:style w:type="character" w:styleId="Strong">
    <w:name w:val="Strong"/>
    <w:basedOn w:val="DefaultParagraphFont"/>
    <w:uiPriority w:val="22"/>
    <w:qFormat/>
    <w:rsid w:val="00EE44CE"/>
    <w:rPr>
      <w:b/>
      <w:bCs/>
    </w:rPr>
  </w:style>
  <w:style w:type="character" w:styleId="CommentReference">
    <w:name w:val="annotation reference"/>
    <w:basedOn w:val="DefaultParagraphFont"/>
    <w:uiPriority w:val="99"/>
    <w:semiHidden/>
    <w:unhideWhenUsed/>
    <w:rsid w:val="005B7528"/>
    <w:rPr>
      <w:sz w:val="16"/>
      <w:szCs w:val="16"/>
    </w:rPr>
  </w:style>
  <w:style w:type="paragraph" w:styleId="CommentText">
    <w:name w:val="annotation text"/>
    <w:basedOn w:val="Normal"/>
    <w:link w:val="CommentTextChar"/>
    <w:uiPriority w:val="99"/>
    <w:semiHidden/>
    <w:unhideWhenUsed/>
    <w:rsid w:val="005B7528"/>
    <w:rPr>
      <w:sz w:val="20"/>
      <w:szCs w:val="20"/>
    </w:rPr>
  </w:style>
  <w:style w:type="character" w:customStyle="1" w:styleId="CommentTextChar">
    <w:name w:val="Comment Text Char"/>
    <w:basedOn w:val="DefaultParagraphFont"/>
    <w:link w:val="CommentText"/>
    <w:uiPriority w:val="99"/>
    <w:semiHidden/>
    <w:rsid w:val="005B7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528"/>
    <w:rPr>
      <w:b/>
      <w:bCs/>
    </w:rPr>
  </w:style>
  <w:style w:type="character" w:customStyle="1" w:styleId="CommentSubjectChar">
    <w:name w:val="Comment Subject Char"/>
    <w:basedOn w:val="CommentTextChar"/>
    <w:link w:val="CommentSubject"/>
    <w:uiPriority w:val="99"/>
    <w:semiHidden/>
    <w:rsid w:val="005B75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5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5E"/>
    <w:rPr>
      <w:rFonts w:ascii="Segoe UI" w:eastAsia="Times New Roman" w:hAnsi="Segoe UI" w:cs="Segoe UI"/>
      <w:sz w:val="18"/>
      <w:szCs w:val="18"/>
    </w:rPr>
  </w:style>
  <w:style w:type="character" w:customStyle="1" w:styleId="fontstyle01">
    <w:name w:val="fontstyle01"/>
    <w:basedOn w:val="DefaultParagraphFont"/>
    <w:rsid w:val="000D5E5E"/>
    <w:rPr>
      <w:rFonts w:ascii="Times-Roman" w:hAnsi="Times-Roman" w:hint="default"/>
      <w:b w:val="0"/>
      <w:bCs w:val="0"/>
      <w:i w:val="0"/>
      <w:iCs w:val="0"/>
      <w:color w:val="000000"/>
      <w:sz w:val="20"/>
      <w:szCs w:val="20"/>
    </w:rPr>
  </w:style>
  <w:style w:type="character" w:styleId="Hyperlink">
    <w:name w:val="Hyperlink"/>
    <w:basedOn w:val="DefaultParagraphFont"/>
    <w:uiPriority w:val="99"/>
    <w:unhideWhenUsed/>
    <w:rsid w:val="000D5E5E"/>
    <w:rPr>
      <w:color w:val="0563C1" w:themeColor="hyperlink"/>
      <w:u w:val="single"/>
    </w:rPr>
  </w:style>
  <w:style w:type="paragraph" w:styleId="ListParagraph">
    <w:name w:val="List Paragraph"/>
    <w:basedOn w:val="Normal"/>
    <w:uiPriority w:val="34"/>
    <w:qFormat/>
    <w:rsid w:val="000D5E5E"/>
    <w:pPr>
      <w:ind w:left="720"/>
      <w:contextualSpacing/>
    </w:pPr>
  </w:style>
  <w:style w:type="table" w:styleId="TableGrid">
    <w:name w:val="Table Grid"/>
    <w:basedOn w:val="TableNormal"/>
    <w:uiPriority w:val="39"/>
    <w:rsid w:val="00790D6B"/>
    <w:pPr>
      <w:spacing w:after="0" w:line="240" w:lineRule="auto"/>
    </w:pPr>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1C2A"/>
    <w:rPr>
      <w:color w:val="605E5C"/>
      <w:shd w:val="clear" w:color="auto" w:fill="E1DFDD"/>
    </w:rPr>
  </w:style>
  <w:style w:type="paragraph" w:styleId="Header">
    <w:name w:val="header"/>
    <w:basedOn w:val="Normal"/>
    <w:link w:val="HeaderChar"/>
    <w:uiPriority w:val="99"/>
    <w:unhideWhenUsed/>
    <w:rsid w:val="00464305"/>
    <w:pPr>
      <w:tabs>
        <w:tab w:val="center" w:pos="4680"/>
        <w:tab w:val="right" w:pos="9360"/>
      </w:tabs>
    </w:pPr>
  </w:style>
  <w:style w:type="character" w:customStyle="1" w:styleId="HeaderChar">
    <w:name w:val="Header Char"/>
    <w:basedOn w:val="DefaultParagraphFont"/>
    <w:link w:val="Header"/>
    <w:uiPriority w:val="99"/>
    <w:rsid w:val="004643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4305"/>
    <w:pPr>
      <w:tabs>
        <w:tab w:val="center" w:pos="4680"/>
        <w:tab w:val="right" w:pos="9360"/>
      </w:tabs>
    </w:pPr>
  </w:style>
  <w:style w:type="character" w:customStyle="1" w:styleId="FooterChar">
    <w:name w:val="Footer Char"/>
    <w:basedOn w:val="DefaultParagraphFont"/>
    <w:link w:val="Footer"/>
    <w:uiPriority w:val="99"/>
    <w:rsid w:val="004643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3825893/" TargetMode="External"/><Relationship Id="rId18" Type="http://schemas.openxmlformats.org/officeDocument/2006/relationships/hyperlink" Target="https://doi.org/10.1016/j.ijscr.2016.01.003" TargetMode="External"/><Relationship Id="rId26" Type="http://schemas.openxmlformats.org/officeDocument/2006/relationships/hyperlink" Target="https://doi.org/10.1016/j.surg.2010.01.008" TargetMode="External"/><Relationship Id="rId21" Type="http://schemas.openxmlformats.org/officeDocument/2006/relationships/hyperlink" Target="https://doi.org/10.1186/s12893-017-0216-z"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5348/ijcri-201713-CS-10092" TargetMode="External"/><Relationship Id="rId17" Type="http://schemas.openxmlformats.org/officeDocument/2006/relationships/hyperlink" Target="https://doi.org/10.1097/00000658-200011000-00014" TargetMode="External"/><Relationship Id="rId25" Type="http://schemas.openxmlformats.org/officeDocument/2006/relationships/hyperlink" Target="https://doi.org/10.1016/s1072-7515(00)00703-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books/NBK537227/" TargetMode="External"/><Relationship Id="rId20" Type="http://schemas.openxmlformats.org/officeDocument/2006/relationships/hyperlink" Target="https://pubmed.ncbi.nlm.nih.gov/18705434/" TargetMode="External"/><Relationship Id="rId29" Type="http://schemas.openxmlformats.org/officeDocument/2006/relationships/hyperlink" Target="https://pubmed.ncbi.nlm.nih.gov/97133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00129689-200302000-00014" TargetMode="External"/><Relationship Id="rId24" Type="http://schemas.openxmlformats.org/officeDocument/2006/relationships/hyperlink" Target="https://doi.org/10.1177/00494755860160040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4830614/" TargetMode="External"/><Relationship Id="rId23" Type="http://schemas.openxmlformats.org/officeDocument/2006/relationships/hyperlink" Target="https://doi.org/10.1016/j.ijscr.2021.01.088" TargetMode="External"/><Relationship Id="rId28" Type="http://schemas.openxmlformats.org/officeDocument/2006/relationships/hyperlink" Target="https://doi.org/10.1097/SLA.0b013e31822518e6" TargetMode="External"/><Relationship Id="rId36" Type="http://schemas.openxmlformats.org/officeDocument/2006/relationships/fontTable" Target="fontTable.xml"/><Relationship Id="rId10" Type="http://schemas.openxmlformats.org/officeDocument/2006/relationships/hyperlink" Target="https://www.vitalsource.com/products/sabiston-textbook-of-surgery-courtney-townsend-v9780323299879" TargetMode="External"/><Relationship Id="rId19" Type="http://schemas.openxmlformats.org/officeDocument/2006/relationships/hyperlink" Target="https://doi.org/10.1186/s12893-015-0055-8"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772/57379" TargetMode="External"/><Relationship Id="rId14" Type="http://schemas.openxmlformats.org/officeDocument/2006/relationships/hyperlink" Target="https://doi.org/10.7860/JCDR/2017/28201.10195" TargetMode="External"/><Relationship Id="rId22" Type="http://schemas.openxmlformats.org/officeDocument/2006/relationships/hyperlink" Target="https://doi.org/10.1007/BF01888555" TargetMode="External"/><Relationship Id="rId27" Type="http://schemas.openxmlformats.org/officeDocument/2006/relationships/hyperlink" Target="https://pubmed.ncbi.nlm.nih.gov/1207913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136/bmj.39450.428275.A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9</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17</cp:revision>
  <dcterms:created xsi:type="dcterms:W3CDTF">2025-11-23T07:26:00Z</dcterms:created>
  <dcterms:modified xsi:type="dcterms:W3CDTF">2025-12-02T07:06:00Z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b5ed1789-de61-4fca-bc81-2187412adc70</vt:lpwstr>
  </property>
</Properties>
</file>