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FFC69" w14:textId="77777777" w:rsidR="00B830B0" w:rsidRDefault="00B830B0">
      <w:pPr>
        <w:rPr>
          <w:rFonts w:ascii="Times New Roman" w:eastAsia="Times New Roman" w:hAnsi="Times New Roman" w:cs="Times New Roman"/>
          <w:b/>
          <w:bCs/>
          <w:sz w:val="28"/>
          <w:szCs w:val="28"/>
        </w:rPr>
      </w:pPr>
      <w:r w:rsidRPr="00B830B0">
        <w:rPr>
          <w:rFonts w:ascii="Times New Roman" w:eastAsia="Times New Roman" w:hAnsi="Times New Roman" w:cs="Times New Roman"/>
          <w:b/>
          <w:bCs/>
          <w:sz w:val="28"/>
          <w:szCs w:val="28"/>
        </w:rPr>
        <w:t>Case Report</w:t>
      </w:r>
    </w:p>
    <w:p w14:paraId="32730F54" w14:textId="77777777" w:rsidR="00C01C4B" w:rsidRDefault="00F931E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“NECROTISING SIALOMETAPLASIA OF THE PALATE MIMICKING </w:t>
      </w:r>
      <w:proofErr w:type="gramStart"/>
      <w:r>
        <w:rPr>
          <w:rFonts w:ascii="Times New Roman" w:eastAsia="Times New Roman" w:hAnsi="Times New Roman" w:cs="Times New Roman"/>
          <w:b/>
          <w:bCs/>
          <w:sz w:val="28"/>
          <w:szCs w:val="28"/>
        </w:rPr>
        <w:t>MALIGNANCY :</w:t>
      </w:r>
      <w:proofErr w:type="gramEnd"/>
      <w:r>
        <w:rPr>
          <w:rFonts w:ascii="Times New Roman" w:eastAsia="Times New Roman" w:hAnsi="Times New Roman" w:cs="Times New Roman"/>
          <w:b/>
          <w:bCs/>
          <w:sz w:val="28"/>
          <w:szCs w:val="28"/>
        </w:rPr>
        <w:t xml:space="preserve"> A REPORT OF TWO CASES AND REVIEW OF DIAGNOSTIC CHALLENGES ”</w:t>
      </w:r>
    </w:p>
    <w:p w14:paraId="031FD26D" w14:textId="77777777" w:rsidR="00C01C4B" w:rsidRDefault="00C01C4B">
      <w:pPr>
        <w:rPr>
          <w:rFonts w:ascii="Times New Roman" w:eastAsia="Times New Roman" w:hAnsi="Times New Roman" w:cs="Times New Roman"/>
          <w:sz w:val="24"/>
        </w:rPr>
      </w:pPr>
    </w:p>
    <w:p w14:paraId="326E8D75" w14:textId="77777777" w:rsidR="00C01C4B" w:rsidRDefault="00C01C4B">
      <w:pPr>
        <w:rPr>
          <w:rFonts w:ascii="Times New Roman" w:eastAsia="Times New Roman" w:hAnsi="Times New Roman" w:cs="Times New Roman"/>
          <w:b/>
          <w:bCs/>
          <w:sz w:val="24"/>
        </w:rPr>
      </w:pPr>
    </w:p>
    <w:p w14:paraId="56358D2E" w14:textId="77777777" w:rsidR="00C01C4B" w:rsidRDefault="00F931EA">
      <w:pPr>
        <w:rPr>
          <w:rFonts w:ascii="Times New Roman" w:eastAsia="Times New Roman" w:hAnsi="Times New Roman" w:cs="Times New Roman"/>
          <w:b/>
          <w:bCs/>
          <w:sz w:val="24"/>
        </w:rPr>
      </w:pPr>
      <w:r>
        <w:rPr>
          <w:rFonts w:ascii="Times New Roman" w:eastAsia="Times New Roman" w:hAnsi="Times New Roman" w:cs="Times New Roman"/>
          <w:b/>
          <w:bCs/>
          <w:sz w:val="24"/>
        </w:rPr>
        <w:t xml:space="preserve">Abstract: </w:t>
      </w:r>
    </w:p>
    <w:p w14:paraId="5F760915" w14:textId="77777777" w:rsidR="00C01C4B" w:rsidRDefault="00C01C4B">
      <w:pPr>
        <w:rPr>
          <w:rFonts w:ascii="Times New Roman" w:eastAsia="Times New Roman" w:hAnsi="Times New Roman" w:cs="Times New Roman"/>
          <w:b/>
          <w:bCs/>
          <w:sz w:val="24"/>
        </w:rPr>
      </w:pPr>
    </w:p>
    <w:p w14:paraId="4E474FA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 is an infrequent, benign, and self-limiting inflammatory condition of the salivary glands. Owing to its close clinical and histological </w:t>
      </w:r>
      <w:r>
        <w:rPr>
          <w:rFonts w:ascii="Times New Roman" w:eastAsia="Times New Roman" w:hAnsi="Times New Roman" w:cs="Times New Roman"/>
          <w:sz w:val="24"/>
        </w:rPr>
        <w:t>resemblance to malignant salivary gland tumors, it often creates significant diagnostic and therapeutic challenges. The hard palate is the most common site, although other regions containing salivary tissue may also be affected. We present two cases of pal</w:t>
      </w:r>
      <w:r>
        <w:rPr>
          <w:rFonts w:ascii="Times New Roman" w:eastAsia="Times New Roman" w:hAnsi="Times New Roman" w:cs="Times New Roman"/>
          <w:sz w:val="24"/>
        </w:rPr>
        <w:t>atal NSM with contrasting presentations and management approaches. In the first case, a 42-year-old man with a submucosal palatal swelling underwent surgical excision following a diagnosis of malignancy on cytology. Histopathology subsequently confirmed NS</w:t>
      </w:r>
      <w:r>
        <w:rPr>
          <w:rFonts w:ascii="Times New Roman" w:eastAsia="Times New Roman" w:hAnsi="Times New Roman" w:cs="Times New Roman"/>
          <w:sz w:val="24"/>
        </w:rPr>
        <w:t>M. The second case involved a 73-year-old woman with diabetes mellitus who presented with a painful ulcer on the palate; biopsy confirmed NSM, and she was successfully managed with conservative therapy. These cases highlight the importance of recognizing N</w:t>
      </w:r>
      <w:r>
        <w:rPr>
          <w:rFonts w:ascii="Times New Roman" w:eastAsia="Times New Roman" w:hAnsi="Times New Roman" w:cs="Times New Roman"/>
          <w:sz w:val="24"/>
        </w:rPr>
        <w:t>SM in the differential diagnosis of palatal lesions to prevent unnecessary aggressive interventions.</w:t>
      </w:r>
    </w:p>
    <w:p w14:paraId="20C6CE00" w14:textId="77777777" w:rsidR="00C01C4B" w:rsidRDefault="00C01C4B">
      <w:pPr>
        <w:rPr>
          <w:rFonts w:ascii="Times New Roman" w:eastAsia="Times New Roman" w:hAnsi="Times New Roman" w:cs="Times New Roman"/>
          <w:sz w:val="24"/>
        </w:rPr>
      </w:pPr>
    </w:p>
    <w:p w14:paraId="05D988CE" w14:textId="77777777" w:rsidR="00C01C4B" w:rsidRDefault="00F931EA">
      <w:pPr>
        <w:rPr>
          <w:rFonts w:ascii="Times New Roman" w:eastAsia="Times New Roman" w:hAnsi="Times New Roman" w:cs="Times New Roman"/>
          <w:b/>
          <w:bCs/>
          <w:sz w:val="24"/>
        </w:rPr>
      </w:pPr>
      <w:proofErr w:type="gramStart"/>
      <w:r>
        <w:rPr>
          <w:rFonts w:ascii="Times New Roman" w:eastAsia="Times New Roman" w:hAnsi="Times New Roman" w:cs="Times New Roman"/>
          <w:b/>
          <w:bCs/>
          <w:sz w:val="24"/>
        </w:rPr>
        <w:t>Keywords :</w:t>
      </w:r>
      <w:proofErr w:type="gramEnd"/>
    </w:p>
    <w:p w14:paraId="05620029" w14:textId="77777777" w:rsidR="00C01C4B" w:rsidRDefault="00C01C4B">
      <w:pPr>
        <w:rPr>
          <w:rFonts w:ascii="Times New Roman" w:eastAsia="Times New Roman" w:hAnsi="Times New Roman" w:cs="Times New Roman"/>
          <w:b/>
          <w:bCs/>
          <w:sz w:val="24"/>
        </w:rPr>
      </w:pPr>
    </w:p>
    <w:p w14:paraId="1BACD6A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proofErr w:type="gram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Palatal ulcer ; Salivary gland pathology ; Benign mimic of malignancy ; Diagnostic pitfall</w:t>
      </w:r>
      <w:bookmarkStart w:id="0" w:name="_GoBack"/>
    </w:p>
    <w:p w14:paraId="50B36928" w14:textId="5D32DEAD" w:rsidR="00C01C4B" w:rsidRDefault="00C01C4B">
      <w:pPr>
        <w:rPr>
          <w:rFonts w:ascii="Times New Roman" w:eastAsia="Times New Roman" w:hAnsi="Times New Roman" w:cs="Times New Roman"/>
          <w:sz w:val="24"/>
        </w:rPr>
      </w:pPr>
    </w:p>
    <w:p w14:paraId="03958498" w14:textId="1A0C645B" w:rsidR="00F80E3A" w:rsidRDefault="00F80E3A">
      <w:pPr>
        <w:rPr>
          <w:rFonts w:ascii="Times New Roman" w:eastAsia="Times New Roman" w:hAnsi="Times New Roman" w:cs="Times New Roman"/>
          <w:sz w:val="24"/>
        </w:rPr>
      </w:pPr>
    </w:p>
    <w:p w14:paraId="6872C62E" w14:textId="77777777" w:rsidR="00F80E3A" w:rsidRDefault="00F80E3A">
      <w:pPr>
        <w:rPr>
          <w:rFonts w:ascii="Times New Roman" w:eastAsia="Times New Roman" w:hAnsi="Times New Roman" w:cs="Times New Roman"/>
          <w:sz w:val="24"/>
        </w:rPr>
      </w:pPr>
    </w:p>
    <w:bookmarkEnd w:id="0"/>
    <w:p w14:paraId="0DD60EFB" w14:textId="77777777" w:rsidR="00C01C4B" w:rsidRDefault="00C01C4B">
      <w:pPr>
        <w:rPr>
          <w:rFonts w:ascii="Times New Roman" w:eastAsia="Times New Roman" w:hAnsi="Times New Roman" w:cs="Times New Roman"/>
          <w:b/>
          <w:bCs/>
          <w:sz w:val="24"/>
        </w:rPr>
      </w:pPr>
    </w:p>
    <w:p w14:paraId="680978CA" w14:textId="77777777" w:rsidR="00C01C4B" w:rsidRDefault="00F931EA">
      <w:pPr>
        <w:rPr>
          <w:rFonts w:ascii="Times New Roman" w:eastAsia="Times New Roman" w:hAnsi="Times New Roman" w:cs="Times New Roman"/>
          <w:sz w:val="24"/>
        </w:rPr>
      </w:pPr>
      <w:proofErr w:type="gramStart"/>
      <w:r>
        <w:rPr>
          <w:rFonts w:ascii="Times New Roman" w:eastAsia="Times New Roman" w:hAnsi="Times New Roman" w:cs="Times New Roman"/>
          <w:b/>
          <w:bCs/>
          <w:sz w:val="24"/>
        </w:rPr>
        <w:t>Introduction :</w:t>
      </w:r>
      <w:proofErr w:type="gramEnd"/>
    </w:p>
    <w:p w14:paraId="4E6BD3C5" w14:textId="77777777" w:rsidR="00C01C4B" w:rsidRDefault="00C01C4B">
      <w:pPr>
        <w:rPr>
          <w:rFonts w:ascii="Times New Roman" w:eastAsia="Times New Roman" w:hAnsi="Times New Roman" w:cs="Times New Roman"/>
          <w:sz w:val="24"/>
        </w:rPr>
      </w:pPr>
    </w:p>
    <w:p w14:paraId="19A8061C"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Nec</w:t>
      </w:r>
      <w:r>
        <w:rPr>
          <w:rFonts w:ascii="Times New Roman" w:eastAsia="Times New Roman" w:hAnsi="Times New Roman" w:cs="Times New Roman"/>
          <w:sz w:val="24"/>
        </w:rPr>
        <w:t xml:space="preserve">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 is an uncommon non-neoplastic inflammatory lesion of the salivary glands, first documented by Abrams and colleagues in 1973 </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Although histologically benign, NSM can clinically and microscopically imitate malignant tumors su</w:t>
      </w:r>
      <w:r>
        <w:rPr>
          <w:rFonts w:ascii="Times New Roman" w:eastAsia="Times New Roman" w:hAnsi="Times New Roman" w:cs="Times New Roman"/>
          <w:sz w:val="24"/>
        </w:rPr>
        <w:t xml:space="preserve">ch as squamous cell carcinoma or mucoepidermoid carcinoma </w:t>
      </w:r>
      <w:r>
        <w:rPr>
          <w:rFonts w:ascii="Times New Roman" w:eastAsia="Times New Roman" w:hAnsi="Times New Roman" w:cs="Times New Roman"/>
          <w:sz w:val="24"/>
          <w:vertAlign w:val="superscript"/>
        </w:rPr>
        <w:t>2,</w:t>
      </w:r>
      <w:proofErr w:type="gramStart"/>
      <w:r>
        <w:rPr>
          <w:rFonts w:ascii="Times New Roman" w:eastAsia="Times New Roman" w:hAnsi="Times New Roman" w:cs="Times New Roman"/>
          <w:sz w:val="24"/>
          <w:vertAlign w:val="superscript"/>
        </w:rPr>
        <w:t xml:space="preserve">3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This close resemblance often leads to misdiagnosis and, consequently, unnecessary radical surgical treatment.</w:t>
      </w:r>
    </w:p>
    <w:p w14:paraId="5DFF15F8" w14:textId="77777777" w:rsidR="00C01C4B" w:rsidRDefault="00C01C4B">
      <w:pPr>
        <w:rPr>
          <w:rFonts w:ascii="Times New Roman" w:eastAsia="Times New Roman" w:hAnsi="Times New Roman" w:cs="Times New Roman"/>
          <w:sz w:val="24"/>
        </w:rPr>
      </w:pPr>
    </w:p>
    <w:p w14:paraId="1DFAB4F8"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The pathogenesis of NSM is considered ischemic in nature, where vascular compromi</w:t>
      </w:r>
      <w:r>
        <w:rPr>
          <w:rFonts w:ascii="Times New Roman" w:eastAsia="Times New Roman" w:hAnsi="Times New Roman" w:cs="Times New Roman"/>
          <w:sz w:val="24"/>
        </w:rPr>
        <w:t>se leads to coagulative necrosis of salivary gland acini and subsequent squamous metaplasia of ducts</w:t>
      </w:r>
      <w:proofErr w:type="gramStart"/>
      <w:r>
        <w:rPr>
          <w:rFonts w:ascii="Times New Roman" w:eastAsia="Times New Roman" w:hAnsi="Times New Roman" w:cs="Times New Roman"/>
          <w:sz w:val="24"/>
          <w:vertAlign w:val="superscript"/>
        </w:rPr>
        <w:t xml:space="preserve">4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Contributing factors include local trauma, smoking, alcohol consumption, denture irritation, infections, surgery, radiation, systemic diseases such as d</w:t>
      </w:r>
      <w:r>
        <w:rPr>
          <w:rFonts w:ascii="Times New Roman" w:eastAsia="Times New Roman" w:hAnsi="Times New Roman" w:cs="Times New Roman"/>
          <w:sz w:val="24"/>
        </w:rPr>
        <w:t xml:space="preserve">iabetes mellitus or sickle cell disease, and immunosuppression </w:t>
      </w:r>
      <w:r>
        <w:rPr>
          <w:rFonts w:ascii="Times New Roman" w:eastAsia="Times New Roman" w:hAnsi="Times New Roman" w:cs="Times New Roman"/>
          <w:sz w:val="24"/>
          <w:vertAlign w:val="superscript"/>
        </w:rPr>
        <w:t>5,6</w:t>
      </w:r>
      <w:r>
        <w:rPr>
          <w:rFonts w:ascii="Times New Roman" w:eastAsia="Times New Roman" w:hAnsi="Times New Roman" w:cs="Times New Roman"/>
          <w:sz w:val="24"/>
        </w:rPr>
        <w:t>. While approximately 80% of cases occur in the hard palate, lesions have been described in other intraoral and extraoral sites, including the tongue, retromolar region, nasal cavity, larynx</w:t>
      </w:r>
      <w:r>
        <w:rPr>
          <w:rFonts w:ascii="Times New Roman" w:eastAsia="Times New Roman" w:hAnsi="Times New Roman" w:cs="Times New Roman"/>
          <w:sz w:val="24"/>
        </w:rPr>
        <w:t xml:space="preserve">, and even extra-salivary tissues such as the lungs and breast </w:t>
      </w:r>
      <w:r>
        <w:rPr>
          <w:rFonts w:ascii="Times New Roman" w:eastAsia="Times New Roman" w:hAnsi="Times New Roman" w:cs="Times New Roman"/>
          <w:sz w:val="24"/>
          <w:vertAlign w:val="superscript"/>
        </w:rPr>
        <w:t>7,8</w:t>
      </w:r>
      <w:r>
        <w:rPr>
          <w:rFonts w:ascii="Times New Roman" w:eastAsia="Times New Roman" w:hAnsi="Times New Roman" w:cs="Times New Roman"/>
          <w:sz w:val="24"/>
        </w:rPr>
        <w:t>.</w:t>
      </w:r>
    </w:p>
    <w:p w14:paraId="35FD5AD2" w14:textId="77777777" w:rsidR="00C01C4B" w:rsidRDefault="00C01C4B">
      <w:pPr>
        <w:rPr>
          <w:rFonts w:ascii="Times New Roman" w:eastAsia="Times New Roman" w:hAnsi="Times New Roman" w:cs="Times New Roman"/>
          <w:sz w:val="24"/>
        </w:rPr>
      </w:pPr>
    </w:p>
    <w:p w14:paraId="53920421" w14:textId="77777777" w:rsidR="00C01C4B" w:rsidRDefault="00F931EA">
      <w:pPr>
        <w:rPr>
          <w:rFonts w:ascii="Times New Roman" w:eastAsia="Times New Roman" w:hAnsi="Times New Roman" w:cs="Times New Roman"/>
          <w:b/>
          <w:bCs/>
          <w:sz w:val="24"/>
        </w:rPr>
      </w:pPr>
      <w:r>
        <w:rPr>
          <w:rFonts w:ascii="Times New Roman" w:eastAsia="Times New Roman" w:hAnsi="Times New Roman" w:cs="Times New Roman"/>
          <w:sz w:val="24"/>
        </w:rPr>
        <w:t>Given its potential for clinical misinterpretation as malignancy, awareness of NSM’s diagnostic features is essential for optimal patient management. We report two palatal cases that illu</w:t>
      </w:r>
      <w:r>
        <w:rPr>
          <w:rFonts w:ascii="Times New Roman" w:eastAsia="Times New Roman" w:hAnsi="Times New Roman" w:cs="Times New Roman"/>
          <w:sz w:val="24"/>
        </w:rPr>
        <w:t xml:space="preserve">strate the diagnostic dilemma and emphasize the importance of clinicopathological </w:t>
      </w:r>
      <w:proofErr w:type="spellStart"/>
      <w:proofErr w:type="gramStart"/>
      <w:r>
        <w:rPr>
          <w:rFonts w:ascii="Times New Roman" w:eastAsia="Times New Roman" w:hAnsi="Times New Roman" w:cs="Times New Roman"/>
          <w:sz w:val="24"/>
        </w:rPr>
        <w:t>correlation.</w:t>
      </w:r>
      <w:r>
        <w:rPr>
          <w:rFonts w:ascii="Times New Roman" w:eastAsia="Times New Roman" w:hAnsi="Times New Roman" w:cs="Times New Roman"/>
          <w:b/>
          <w:bCs/>
          <w:sz w:val="24"/>
        </w:rPr>
        <w:t>Case</w:t>
      </w:r>
      <w:proofErr w:type="spellEnd"/>
      <w:proofErr w:type="gramEnd"/>
      <w:r>
        <w:rPr>
          <w:rFonts w:ascii="Times New Roman" w:eastAsia="Times New Roman" w:hAnsi="Times New Roman" w:cs="Times New Roman"/>
          <w:b/>
          <w:bCs/>
          <w:sz w:val="24"/>
        </w:rPr>
        <w:t xml:space="preserve"> Reports :</w:t>
      </w:r>
    </w:p>
    <w:p w14:paraId="23B537AA" w14:textId="77777777" w:rsidR="00C01C4B" w:rsidRDefault="00C01C4B">
      <w:pPr>
        <w:rPr>
          <w:rFonts w:ascii="Times New Roman" w:eastAsia="Times New Roman" w:hAnsi="Times New Roman" w:cs="Times New Roman"/>
          <w:sz w:val="24"/>
        </w:rPr>
      </w:pPr>
    </w:p>
    <w:p w14:paraId="7A2527C8"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b/>
          <w:bCs/>
          <w:sz w:val="24"/>
        </w:rPr>
        <w:t>Case 1</w:t>
      </w:r>
    </w:p>
    <w:p w14:paraId="7E74183E" w14:textId="77777777" w:rsidR="00C01C4B" w:rsidRDefault="00C01C4B">
      <w:pPr>
        <w:rPr>
          <w:rFonts w:ascii="Times New Roman" w:eastAsia="Times New Roman" w:hAnsi="Times New Roman" w:cs="Times New Roman"/>
          <w:sz w:val="24"/>
        </w:rPr>
      </w:pPr>
    </w:p>
    <w:p w14:paraId="46D2F4A4"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A 42-year-old male presented with a painless swelling on the hard palate. Clinical examination revealed a 3x3cm, smooth, firm, submucosal </w:t>
      </w:r>
      <w:r>
        <w:rPr>
          <w:rFonts w:ascii="Times New Roman" w:eastAsia="Times New Roman" w:hAnsi="Times New Roman" w:cs="Times New Roman"/>
          <w:sz w:val="24"/>
        </w:rPr>
        <w:t>lesion without ulceration. Fine-needle aspiration cytology (FNAC) suggested a malignant salivary gland neoplasm. A CT paranasal sinus was done to rule out any bony erosion or defect if present at the base of the swelling. Coronal cuts of CT PNS shows norma</w:t>
      </w:r>
      <w:r>
        <w:rPr>
          <w:rFonts w:ascii="Times New Roman" w:eastAsia="Times New Roman" w:hAnsi="Times New Roman" w:cs="Times New Roman"/>
          <w:sz w:val="24"/>
        </w:rPr>
        <w:t>l bony surface with no evidence of osteolysis (Fig-01</w:t>
      </w:r>
      <w:proofErr w:type="gramStart"/>
      <w:r>
        <w:rPr>
          <w:rFonts w:ascii="Times New Roman" w:eastAsia="Times New Roman" w:hAnsi="Times New Roman" w:cs="Times New Roman"/>
          <w:sz w:val="24"/>
        </w:rPr>
        <w:t>) .Based</w:t>
      </w:r>
      <w:proofErr w:type="gramEnd"/>
      <w:r>
        <w:rPr>
          <w:rFonts w:ascii="Times New Roman" w:eastAsia="Times New Roman" w:hAnsi="Times New Roman" w:cs="Times New Roman"/>
          <w:sz w:val="24"/>
        </w:rPr>
        <w:t xml:space="preserve"> on this preliminary impression, the patient underwent wide local excision with a 1 cm margin. Reconstruction was </w:t>
      </w:r>
      <w:r>
        <w:rPr>
          <w:rFonts w:ascii="Times New Roman" w:eastAsia="Times New Roman" w:hAnsi="Times New Roman" w:cs="Times New Roman"/>
          <w:sz w:val="24"/>
        </w:rPr>
        <w:lastRenderedPageBreak/>
        <w:t>achieved using a palatal rotation flap based on the greater palatine artery.</w:t>
      </w:r>
    </w:p>
    <w:p w14:paraId="260003A2" w14:textId="77777777" w:rsidR="00C01C4B" w:rsidRDefault="00C01C4B">
      <w:pPr>
        <w:rPr>
          <w:rFonts w:ascii="Times New Roman" w:eastAsia="Times New Roman" w:hAnsi="Times New Roman" w:cs="Times New Roman"/>
          <w:sz w:val="24"/>
        </w:rPr>
      </w:pPr>
    </w:p>
    <w:p w14:paraId="69981F5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His</w:t>
      </w:r>
      <w:r>
        <w:rPr>
          <w:rFonts w:ascii="Times New Roman" w:eastAsia="Times New Roman" w:hAnsi="Times New Roman" w:cs="Times New Roman"/>
          <w:sz w:val="24"/>
        </w:rPr>
        <w:t>topathological evaluation of the resected specimen, however, revealed preservation of the lobular architecture, with areas of coagulative necrosis, squamous metaplasia of ducts and acini, and an inflammatory infiltrate predominantly composed of neutrophils</w:t>
      </w:r>
      <w:r>
        <w:rPr>
          <w:rFonts w:ascii="Times New Roman" w:eastAsia="Times New Roman" w:hAnsi="Times New Roman" w:cs="Times New Roman"/>
          <w:sz w:val="24"/>
        </w:rPr>
        <w:t xml:space="preserve">. No cytological atypia or evidence of malignant transformation was observed. These findings were diagnostic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The patient remained disease-free on follow-up.</w:t>
      </w:r>
    </w:p>
    <w:p w14:paraId="0BF71D02" w14:textId="77777777" w:rsidR="00C01C4B" w:rsidRDefault="00C01C4B">
      <w:pPr>
        <w:rPr>
          <w:rFonts w:ascii="Times New Roman" w:eastAsia="Times New Roman" w:hAnsi="Times New Roman" w:cs="Times New Roman"/>
          <w:sz w:val="24"/>
        </w:rPr>
      </w:pPr>
    </w:p>
    <w:p w14:paraId="2220856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b/>
          <w:bCs/>
          <w:sz w:val="24"/>
        </w:rPr>
        <w:t>Case 2</w:t>
      </w:r>
    </w:p>
    <w:p w14:paraId="54A9C828" w14:textId="77777777" w:rsidR="00C01C4B" w:rsidRDefault="00C01C4B">
      <w:pPr>
        <w:rPr>
          <w:rFonts w:ascii="Times New Roman" w:eastAsia="Times New Roman" w:hAnsi="Times New Roman" w:cs="Times New Roman"/>
          <w:sz w:val="24"/>
        </w:rPr>
      </w:pPr>
    </w:p>
    <w:p w14:paraId="10709248"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 73-year-old female with a history of diabetes mellitus p</w:t>
      </w:r>
      <w:r>
        <w:rPr>
          <w:rFonts w:ascii="Times New Roman" w:eastAsia="Times New Roman" w:hAnsi="Times New Roman" w:cs="Times New Roman"/>
          <w:sz w:val="24"/>
        </w:rPr>
        <w:t>resented with severe oral pain, difficulty in mastication and swallowing, and insomnia for two weeks. Intraoral examination revealed an ulcerative lesion measuring about 3x4cm on the left hard palate (Fig-02), and an incisional biopsy confirmed necrotizing</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characterized by </w:t>
      </w:r>
      <w:proofErr w:type="spellStart"/>
      <w:r>
        <w:rPr>
          <w:rFonts w:ascii="Times New Roman" w:eastAsia="Times New Roman" w:hAnsi="Times New Roman" w:cs="Times New Roman"/>
          <w:sz w:val="24"/>
        </w:rPr>
        <w:t>pseudoepitheliomatous</w:t>
      </w:r>
      <w:proofErr w:type="spellEnd"/>
      <w:r>
        <w:rPr>
          <w:rFonts w:ascii="Times New Roman" w:eastAsia="Times New Roman" w:hAnsi="Times New Roman" w:cs="Times New Roman"/>
          <w:sz w:val="24"/>
        </w:rPr>
        <w:t xml:space="preserve"> hyperplasia, squamous metaplasia of ducts, preservation of lobular architecture, mucin extravasation, and associated inflammation. Previous treatment with broad-spectrum antibiotics and antifungals h</w:t>
      </w:r>
      <w:r>
        <w:rPr>
          <w:rFonts w:ascii="Times New Roman" w:eastAsia="Times New Roman" w:hAnsi="Times New Roman" w:cs="Times New Roman"/>
          <w:sz w:val="24"/>
        </w:rPr>
        <w:t xml:space="preserve">ad been ineffective. </w:t>
      </w:r>
    </w:p>
    <w:p w14:paraId="49A88F46" w14:textId="77777777" w:rsidR="00C01C4B" w:rsidRDefault="00C01C4B">
      <w:pPr>
        <w:rPr>
          <w:rFonts w:ascii="Times New Roman" w:eastAsia="Times New Roman" w:hAnsi="Times New Roman" w:cs="Times New Roman"/>
          <w:sz w:val="24"/>
        </w:rPr>
      </w:pPr>
    </w:p>
    <w:p w14:paraId="628D5655"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She was managed conservatively with strict glycemic control, topical analgesics and anesthetics (choline salicylate and lignocaine), topical steroids (triamcinolone acetonide), topical antibacterial gel (metronidazole), chlorhexidine</w:t>
      </w:r>
      <w:r>
        <w:rPr>
          <w:rFonts w:ascii="Times New Roman" w:eastAsia="Times New Roman" w:hAnsi="Times New Roman" w:cs="Times New Roman"/>
          <w:sz w:val="24"/>
        </w:rPr>
        <w:t xml:space="preserve"> mouthwash, systemic analgesics (tramadol), and a tapering course of oral prednisolone 40mg over 10 </w:t>
      </w:r>
      <w:proofErr w:type="gramStart"/>
      <w:r>
        <w:rPr>
          <w:rFonts w:ascii="Times New Roman" w:eastAsia="Times New Roman" w:hAnsi="Times New Roman" w:cs="Times New Roman"/>
          <w:sz w:val="24"/>
        </w:rPr>
        <w:t>days .</w:t>
      </w:r>
      <w:proofErr w:type="gramEnd"/>
      <w:r>
        <w:rPr>
          <w:rFonts w:ascii="Times New Roman" w:eastAsia="Times New Roman" w:hAnsi="Times New Roman" w:cs="Times New Roman"/>
          <w:sz w:val="24"/>
        </w:rPr>
        <w:t xml:space="preserve"> The patient experienced significant symptomatic relief, and the lesion completely resolved over the following weeks (Fig-03), demonstrating the self-</w:t>
      </w:r>
      <w:r>
        <w:rPr>
          <w:rFonts w:ascii="Times New Roman" w:eastAsia="Times New Roman" w:hAnsi="Times New Roman" w:cs="Times New Roman"/>
          <w:sz w:val="24"/>
        </w:rPr>
        <w:t xml:space="preserve">limiting nature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and highlighting the importance of accurate diagnosis to prevent unnecessary invasive treatment</w:t>
      </w:r>
    </w:p>
    <w:p w14:paraId="6335D5EA" w14:textId="77777777" w:rsidR="00C01C4B" w:rsidRDefault="00C01C4B">
      <w:pPr>
        <w:rPr>
          <w:rFonts w:ascii="Times New Roman" w:eastAsia="Times New Roman" w:hAnsi="Times New Roman" w:cs="Times New Roman"/>
          <w:sz w:val="24"/>
        </w:rPr>
      </w:pPr>
    </w:p>
    <w:p w14:paraId="235C6673" w14:textId="77777777" w:rsidR="00C01C4B" w:rsidRDefault="00C01C4B">
      <w:pPr>
        <w:rPr>
          <w:rFonts w:ascii="Times New Roman" w:eastAsia="Times New Roman" w:hAnsi="Times New Roman" w:cs="Times New Roman"/>
          <w:b/>
          <w:bCs/>
          <w:sz w:val="24"/>
        </w:rPr>
      </w:pPr>
    </w:p>
    <w:p w14:paraId="2AD30798" w14:textId="77777777" w:rsidR="00C01C4B" w:rsidRDefault="00C01C4B">
      <w:pPr>
        <w:rPr>
          <w:rFonts w:ascii="Times New Roman" w:eastAsia="Times New Roman" w:hAnsi="Times New Roman" w:cs="Times New Roman"/>
          <w:b/>
          <w:bCs/>
          <w:sz w:val="24"/>
        </w:rPr>
      </w:pPr>
    </w:p>
    <w:p w14:paraId="7CD7266F" w14:textId="77777777" w:rsidR="00C01C4B" w:rsidRDefault="00C01C4B">
      <w:pPr>
        <w:rPr>
          <w:rFonts w:ascii="Times New Roman" w:eastAsia="Times New Roman" w:hAnsi="Times New Roman" w:cs="Times New Roman"/>
          <w:b/>
          <w:bCs/>
          <w:sz w:val="24"/>
        </w:rPr>
      </w:pPr>
    </w:p>
    <w:p w14:paraId="64EA76D2" w14:textId="77777777" w:rsidR="00C01C4B" w:rsidRDefault="00C01C4B">
      <w:pPr>
        <w:rPr>
          <w:rFonts w:ascii="Times New Roman" w:eastAsia="Times New Roman" w:hAnsi="Times New Roman" w:cs="Times New Roman"/>
          <w:b/>
          <w:bCs/>
          <w:sz w:val="24"/>
        </w:rPr>
      </w:pPr>
    </w:p>
    <w:p w14:paraId="11DD31EE" w14:textId="77777777" w:rsidR="00C01C4B" w:rsidRDefault="00C01C4B">
      <w:pPr>
        <w:rPr>
          <w:rFonts w:ascii="Times New Roman" w:eastAsia="Times New Roman" w:hAnsi="Times New Roman" w:cs="Times New Roman"/>
          <w:b/>
          <w:bCs/>
          <w:sz w:val="24"/>
        </w:rPr>
      </w:pPr>
    </w:p>
    <w:p w14:paraId="6DD1308E" w14:textId="77777777" w:rsidR="00C01C4B" w:rsidRDefault="00F931EA">
      <w:pPr>
        <w:rPr>
          <w:rFonts w:ascii="Times New Roman" w:eastAsia="Times New Roman" w:hAnsi="Times New Roman" w:cs="Times New Roman"/>
          <w:sz w:val="24"/>
        </w:rPr>
      </w:pPr>
      <w:proofErr w:type="gramStart"/>
      <w:r>
        <w:rPr>
          <w:rFonts w:ascii="Times New Roman" w:eastAsia="Times New Roman" w:hAnsi="Times New Roman" w:cs="Times New Roman"/>
          <w:b/>
          <w:bCs/>
          <w:sz w:val="24"/>
        </w:rPr>
        <w:t>Discussion :</w:t>
      </w:r>
      <w:proofErr w:type="gramEnd"/>
    </w:p>
    <w:p w14:paraId="0D40A12A" w14:textId="77777777" w:rsidR="00C01C4B" w:rsidRDefault="00C01C4B">
      <w:pPr>
        <w:rPr>
          <w:rFonts w:ascii="Times New Roman" w:eastAsia="Times New Roman" w:hAnsi="Times New Roman" w:cs="Times New Roman"/>
          <w:sz w:val="24"/>
        </w:rPr>
      </w:pPr>
    </w:p>
    <w:p w14:paraId="03737931"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though rare, is a well-recognized mimic of salivary gland malign</w:t>
      </w:r>
      <w:r>
        <w:rPr>
          <w:rFonts w:ascii="Times New Roman" w:eastAsia="Times New Roman" w:hAnsi="Times New Roman" w:cs="Times New Roman"/>
          <w:sz w:val="24"/>
        </w:rPr>
        <w:t xml:space="preserve">ancy. The condition is considered ischemic in origin, as shown experimentally by Standish and Shafer, who reproduced the lesion in rats by ligating the palatal blood supply </w:t>
      </w:r>
      <w:r>
        <w:rPr>
          <w:rFonts w:ascii="Times New Roman" w:eastAsia="Times New Roman" w:hAnsi="Times New Roman" w:cs="Times New Roman"/>
          <w:sz w:val="24"/>
          <w:vertAlign w:val="superscript"/>
        </w:rPr>
        <w:t>4</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Anneroth</w:t>
      </w:r>
      <w:proofErr w:type="spellEnd"/>
      <w:r>
        <w:rPr>
          <w:rFonts w:ascii="Times New Roman" w:eastAsia="Times New Roman" w:hAnsi="Times New Roman" w:cs="Times New Roman"/>
          <w:sz w:val="24"/>
        </w:rPr>
        <w:t xml:space="preserve"> and Hansen described the pathological evolution of NSM in five stages: </w:t>
      </w:r>
      <w:r>
        <w:rPr>
          <w:rFonts w:ascii="Times New Roman" w:eastAsia="Times New Roman" w:hAnsi="Times New Roman" w:cs="Times New Roman"/>
          <w:sz w:val="24"/>
        </w:rPr>
        <w:t xml:space="preserve">infarction, sequestration, ulceration, reparative phase, and healing </w:t>
      </w:r>
      <w:r>
        <w:rPr>
          <w:rFonts w:ascii="Times New Roman" w:eastAsia="Times New Roman" w:hAnsi="Times New Roman" w:cs="Times New Roman"/>
          <w:sz w:val="24"/>
          <w:vertAlign w:val="superscript"/>
        </w:rPr>
        <w:t>9</w:t>
      </w:r>
      <w:r>
        <w:rPr>
          <w:rFonts w:ascii="Times New Roman" w:eastAsia="Times New Roman" w:hAnsi="Times New Roman" w:cs="Times New Roman"/>
          <w:sz w:val="24"/>
        </w:rPr>
        <w:t>.</w:t>
      </w:r>
    </w:p>
    <w:p w14:paraId="7FFCF15D" w14:textId="77777777" w:rsidR="00C01C4B" w:rsidRDefault="00C01C4B">
      <w:pPr>
        <w:rPr>
          <w:rFonts w:ascii="Times New Roman" w:eastAsia="Times New Roman" w:hAnsi="Times New Roman" w:cs="Times New Roman"/>
          <w:sz w:val="24"/>
        </w:rPr>
      </w:pPr>
    </w:p>
    <w:p w14:paraId="25C46F34" w14:textId="77777777" w:rsidR="00C01C4B" w:rsidRDefault="00C01C4B">
      <w:pPr>
        <w:rPr>
          <w:rFonts w:ascii="Times New Roman" w:eastAsia="Times New Roman" w:hAnsi="Times New Roman" w:cs="Times New Roman"/>
          <w:sz w:val="24"/>
        </w:rPr>
      </w:pPr>
    </w:p>
    <w:p w14:paraId="7BEADF73"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Histologically, Carlson outlined five diagnostic hallmarks</w:t>
      </w:r>
      <w:proofErr w:type="gramStart"/>
      <w:r>
        <w:rPr>
          <w:rFonts w:ascii="Times New Roman" w:eastAsia="Times New Roman" w:hAnsi="Times New Roman" w:cs="Times New Roman"/>
          <w:sz w:val="24"/>
          <w:vertAlign w:val="superscript"/>
        </w:rPr>
        <w:t xml:space="preserve">10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14:paraId="7C8B3C81"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pseudoepitheliomatous</w:t>
      </w:r>
      <w:proofErr w:type="spellEnd"/>
      <w:r>
        <w:rPr>
          <w:rFonts w:ascii="Times New Roman" w:eastAsia="Times New Roman" w:hAnsi="Times New Roman" w:cs="Times New Roman"/>
          <w:sz w:val="24"/>
        </w:rPr>
        <w:t xml:space="preserve"> hyperplasia of the overlying epithelium</w:t>
      </w:r>
    </w:p>
    <w:p w14:paraId="049D194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squamous metaplasia of salivary ducts and acini</w:t>
      </w:r>
    </w:p>
    <w:p w14:paraId="19DF6860"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pr</w:t>
      </w:r>
      <w:r>
        <w:rPr>
          <w:rFonts w:ascii="Times New Roman" w:eastAsia="Times New Roman" w:hAnsi="Times New Roman" w:cs="Times New Roman"/>
          <w:sz w:val="24"/>
        </w:rPr>
        <w:t>eservation of lobular architecture</w:t>
      </w:r>
    </w:p>
    <w:p w14:paraId="2AB3EB7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coagulative necrosis of lobules with mucin spillage</w:t>
      </w:r>
    </w:p>
    <w:p w14:paraId="535CFDBC"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-secondary inflammatory response.</w:t>
      </w:r>
    </w:p>
    <w:p w14:paraId="317EF668"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These features allow differentiation from squamous cell carcinoma or mucoepidermoid carcinoma, which show cellular atypia, invasion, </w:t>
      </w:r>
      <w:r>
        <w:rPr>
          <w:rFonts w:ascii="Times New Roman" w:eastAsia="Times New Roman" w:hAnsi="Times New Roman" w:cs="Times New Roman"/>
          <w:sz w:val="24"/>
        </w:rPr>
        <w:t>and architectural distortion.</w:t>
      </w:r>
    </w:p>
    <w:p w14:paraId="6EBFB6D7" w14:textId="77777777" w:rsidR="00C01C4B" w:rsidRDefault="00C01C4B">
      <w:pPr>
        <w:rPr>
          <w:rFonts w:ascii="Times New Roman" w:eastAsia="Times New Roman" w:hAnsi="Times New Roman" w:cs="Times New Roman"/>
          <w:sz w:val="24"/>
        </w:rPr>
      </w:pPr>
    </w:p>
    <w:p w14:paraId="4BD645C0"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The primary diagnostic challenge arises from the lesion’s ability to present either as a submucosal mass (as in case 1) or as an ulcer (as in case 2). In both scenarios, malignancy is a strong clinical consideration, particul</w:t>
      </w:r>
      <w:r>
        <w:rPr>
          <w:rFonts w:ascii="Times New Roman" w:eastAsia="Times New Roman" w:hAnsi="Times New Roman" w:cs="Times New Roman"/>
          <w:sz w:val="24"/>
        </w:rPr>
        <w:t xml:space="preserve">arly squamous cell carcinoma. Other differential diagnoses include nicotinic stomatitis, minor salivary gland tumors, and Crohn’s disease involving the oral mucosa </w:t>
      </w:r>
      <w:r>
        <w:rPr>
          <w:rFonts w:ascii="Times New Roman" w:eastAsia="Times New Roman" w:hAnsi="Times New Roman" w:cs="Times New Roman"/>
          <w:sz w:val="24"/>
          <w:vertAlign w:val="superscript"/>
        </w:rPr>
        <w:t>12,13</w:t>
      </w:r>
      <w:r>
        <w:rPr>
          <w:rFonts w:ascii="Times New Roman" w:eastAsia="Times New Roman" w:hAnsi="Times New Roman" w:cs="Times New Roman"/>
          <w:sz w:val="24"/>
        </w:rPr>
        <w:t>.</w:t>
      </w:r>
    </w:p>
    <w:p w14:paraId="763EA319" w14:textId="77777777" w:rsidR="00C01C4B" w:rsidRDefault="00C01C4B">
      <w:pPr>
        <w:rPr>
          <w:rFonts w:ascii="Times New Roman" w:eastAsia="Times New Roman" w:hAnsi="Times New Roman" w:cs="Times New Roman"/>
          <w:sz w:val="24"/>
        </w:rPr>
      </w:pPr>
    </w:p>
    <w:p w14:paraId="5C03F9CE"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Management is usually conservative, NSM is a self-limiting condition, its strong </w:t>
      </w:r>
      <w:r>
        <w:rPr>
          <w:rFonts w:ascii="Times New Roman" w:eastAsia="Times New Roman" w:hAnsi="Times New Roman" w:cs="Times New Roman"/>
          <w:sz w:val="24"/>
        </w:rPr>
        <w:t>clinical and histological resemblance to malignancy often necessitates biopsy for confirmation. Once diagnosed, the management strategy focuses on symptom relief, elimination of predisposing factors, and prevention of secondary infection. Treatment options</w:t>
      </w:r>
      <w:r>
        <w:rPr>
          <w:rFonts w:ascii="Times New Roman" w:eastAsia="Times New Roman" w:hAnsi="Times New Roman" w:cs="Times New Roman"/>
          <w:sz w:val="24"/>
        </w:rPr>
        <w:t xml:space="preserve"> can be categorized as follows:</w:t>
      </w:r>
    </w:p>
    <w:p w14:paraId="1F933A44" w14:textId="77777777" w:rsidR="00C01C4B" w:rsidRDefault="00C01C4B">
      <w:pPr>
        <w:rPr>
          <w:rFonts w:ascii="Times New Roman" w:eastAsia="Times New Roman" w:hAnsi="Times New Roman" w:cs="Times New Roman"/>
          <w:sz w:val="24"/>
        </w:rPr>
      </w:pPr>
    </w:p>
    <w:p w14:paraId="6E2F01CA" w14:textId="77777777" w:rsidR="00C01C4B" w:rsidRDefault="00C01C4B">
      <w:pPr>
        <w:rPr>
          <w:rFonts w:ascii="Times New Roman" w:eastAsia="Times New Roman" w:hAnsi="Times New Roman" w:cs="Times New Roman"/>
          <w:sz w:val="24"/>
        </w:rPr>
      </w:pPr>
    </w:p>
    <w:p w14:paraId="1C64A05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b/>
          <w:bCs/>
          <w:sz w:val="24"/>
        </w:rPr>
        <w:t>Table</w:t>
      </w:r>
      <w:r w:rsidR="00270EB4">
        <w:rPr>
          <w:rFonts w:ascii="Times New Roman" w:eastAsia="Times New Roman" w:hAnsi="Times New Roman" w:cs="Times New Roman"/>
          <w:b/>
          <w:bCs/>
          <w:sz w:val="24"/>
        </w:rPr>
        <w:t xml:space="preserve"> 1</w:t>
      </w:r>
      <w:r>
        <w:rPr>
          <w:rFonts w:ascii="Times New Roman" w:eastAsia="Times New Roman" w:hAnsi="Times New Roman" w:cs="Times New Roman"/>
          <w:sz w:val="24"/>
        </w:rPr>
        <w:t xml:space="preserve">: Summary of Medical Management of </w:t>
      </w:r>
      <w:proofErr w:type="spellStart"/>
      <w:r>
        <w:rPr>
          <w:rFonts w:ascii="Times New Roman" w:eastAsia="Times New Roman" w:hAnsi="Times New Roman" w:cs="Times New Roman"/>
          <w:sz w:val="24"/>
        </w:rPr>
        <w:t>Necrotising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w:t>
      </w:r>
    </w:p>
    <w:p w14:paraId="5B67EA1E" w14:textId="77777777" w:rsidR="00C01C4B" w:rsidRDefault="00C01C4B">
      <w:pPr>
        <w:rPr>
          <w:rFonts w:ascii="Times New Roman" w:eastAsia="Times New Roman" w:hAnsi="Times New Roman" w:cs="Times New Roman"/>
          <w:sz w:val="24"/>
        </w:rPr>
      </w:pPr>
    </w:p>
    <w:p w14:paraId="3C8D69CC" w14:textId="77777777" w:rsidR="00C01C4B" w:rsidRDefault="00C01C4B">
      <w:pPr>
        <w:rPr>
          <w:rFonts w:ascii="Times New Roman" w:eastAsia="Times New Roman" w:hAnsi="Times New Roman" w:cs="Times New Roman"/>
          <w:sz w:val="24"/>
        </w:rPr>
      </w:pPr>
    </w:p>
    <w:p w14:paraId="18209C57" w14:textId="77777777" w:rsidR="00C01C4B" w:rsidRDefault="00C01C4B">
      <w:pPr>
        <w:rPr>
          <w:rFonts w:ascii="Times New Roman" w:eastAsia="Times New Roman" w:hAnsi="Times New Roman" w:cs="Times New Roman"/>
          <w:sz w:val="24"/>
        </w:rPr>
      </w:pPr>
    </w:p>
    <w:p w14:paraId="361A784B" w14:textId="77777777" w:rsidR="00C01C4B" w:rsidRDefault="00C01C4B">
      <w:pPr>
        <w:rPr>
          <w:rFonts w:ascii="Times New Roman" w:eastAsia="Times New Roman" w:hAnsi="Times New Roman" w:cs="Times New Roman"/>
          <w:sz w:val="24"/>
        </w:rPr>
      </w:pPr>
    </w:p>
    <w:p w14:paraId="3085A20D" w14:textId="77777777" w:rsidR="00C01C4B" w:rsidRDefault="00C01C4B">
      <w:pPr>
        <w:rPr>
          <w:rFonts w:ascii="Times New Roman" w:eastAsia="Times New Roman" w:hAnsi="Times New Roman" w:cs="Times New Roman"/>
          <w:sz w:val="24"/>
        </w:rPr>
      </w:pPr>
    </w:p>
    <w:p w14:paraId="11A6872B" w14:textId="77777777" w:rsidR="00C01C4B" w:rsidRDefault="00C01C4B">
      <w:pPr>
        <w:rPr>
          <w:rFonts w:ascii="Times New Roman" w:eastAsia="Times New Roman" w:hAnsi="Times New Roman" w:cs="Times New Roman"/>
          <w:sz w:val="24"/>
        </w:rPr>
      </w:pPr>
    </w:p>
    <w:p w14:paraId="3C9C4A2C" w14:textId="77777777" w:rsidR="00C01C4B" w:rsidRDefault="00C01C4B">
      <w:pPr>
        <w:rPr>
          <w:rFonts w:ascii="Times New Roman" w:eastAsia="Times New Roman" w:hAnsi="Times New Roman" w:cs="Times New Roman"/>
          <w:sz w:val="24"/>
        </w:rPr>
      </w:pPr>
    </w:p>
    <w:p w14:paraId="52D653BF" w14:textId="77777777" w:rsidR="00C01C4B" w:rsidRDefault="00C01C4B">
      <w:pPr>
        <w:rPr>
          <w:rFonts w:ascii="Times New Roman" w:eastAsia="Times New Roman" w:hAnsi="Times New Roman" w:cs="Times New Roman"/>
          <w:sz w:val="24"/>
        </w:rPr>
      </w:pPr>
    </w:p>
    <w:p w14:paraId="0357B775" w14:textId="77777777" w:rsidR="00C01C4B" w:rsidRDefault="00C01C4B">
      <w:pPr>
        <w:rPr>
          <w:rFonts w:ascii="Times New Roman" w:eastAsia="Times New Roman" w:hAnsi="Times New Roman" w:cs="Times New Roman"/>
          <w:sz w:val="24"/>
        </w:rPr>
      </w:pPr>
    </w:p>
    <w:p w14:paraId="5725BAA6" w14:textId="77777777" w:rsidR="00C01C4B" w:rsidRDefault="00C01C4B">
      <w:pPr>
        <w:rPr>
          <w:rFonts w:ascii="Times New Roman" w:eastAsia="Times New Roman" w:hAnsi="Times New Roman" w:cs="Times New Roman"/>
          <w:sz w:val="24"/>
        </w:rPr>
      </w:pPr>
    </w:p>
    <w:p w14:paraId="5D766684" w14:textId="77777777" w:rsidR="00C01C4B" w:rsidRDefault="00C01C4B">
      <w:pPr>
        <w:rPr>
          <w:rFonts w:ascii="Times New Roman" w:eastAsia="Times New Roman" w:hAnsi="Times New Roman" w:cs="Times New Roman"/>
          <w:sz w:val="24"/>
        </w:rPr>
      </w:pPr>
    </w:p>
    <w:p w14:paraId="2247CB98" w14:textId="77777777" w:rsidR="00C01C4B" w:rsidRDefault="00C01C4B">
      <w:pPr>
        <w:rPr>
          <w:rFonts w:ascii="Times New Roman" w:eastAsia="Times New Roman" w:hAnsi="Times New Roman" w:cs="Times New Roman"/>
          <w:sz w:val="24"/>
        </w:rPr>
      </w:pPr>
    </w:p>
    <w:tbl>
      <w:tblPr>
        <w:tblW w:w="0" w:type="auto"/>
        <w:jc w:val="center"/>
        <w:tblLayout w:type="fixed"/>
        <w:tblLook w:val="04A0" w:firstRow="1" w:lastRow="0" w:firstColumn="1" w:lastColumn="0" w:noHBand="0" w:noVBand="1"/>
      </w:tblPr>
      <w:tblGrid>
        <w:gridCol w:w="2880"/>
        <w:gridCol w:w="2880"/>
        <w:gridCol w:w="2880"/>
      </w:tblGrid>
      <w:tr w:rsidR="00C01C4B" w14:paraId="768D9E53" w14:textId="77777777">
        <w:trPr>
          <w:jc w:val="center"/>
        </w:trPr>
        <w:tc>
          <w:tcPr>
            <w:tcW w:w="2880" w:type="dxa"/>
            <w:tcBorders>
              <w:top w:val="single" w:sz="4" w:space="0" w:color="05A7B6"/>
              <w:left w:val="single" w:sz="4" w:space="0" w:color="05A7B6"/>
              <w:bottom w:val="single" w:sz="0" w:space="0" w:color="05A7B6"/>
              <w:right w:val="single" w:sz="0" w:space="0" w:color="05A7B6"/>
            </w:tcBorders>
            <w:shd w:val="clear" w:color="auto" w:fill="9CC2E5" w:themeFill="accent1" w:themeFillTint="99"/>
          </w:tcPr>
          <w:p w14:paraId="375A4070" w14:textId="77777777" w:rsidR="00C01C4B" w:rsidRDefault="00F931E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Management Approach</w:t>
            </w:r>
          </w:p>
        </w:tc>
        <w:tc>
          <w:tcPr>
            <w:tcW w:w="2880" w:type="dxa"/>
            <w:tcBorders>
              <w:top w:val="single" w:sz="4" w:space="0" w:color="05A7B6"/>
              <w:left w:val="single" w:sz="0" w:space="0" w:color="05A7B6"/>
              <w:bottom w:val="single" w:sz="0" w:space="0" w:color="05A7B6"/>
              <w:right w:val="single" w:sz="0" w:space="0" w:color="05A7B6"/>
            </w:tcBorders>
            <w:shd w:val="clear" w:color="auto" w:fill="9CC2E5" w:themeFill="accent1" w:themeFillTint="99"/>
          </w:tcPr>
          <w:p w14:paraId="1C66E7B3" w14:textId="77777777" w:rsidR="00C01C4B" w:rsidRDefault="00F931E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Interventions</w:t>
            </w:r>
          </w:p>
        </w:tc>
        <w:tc>
          <w:tcPr>
            <w:tcW w:w="2880" w:type="dxa"/>
            <w:tcBorders>
              <w:top w:val="single" w:sz="4" w:space="0" w:color="05A7B6"/>
              <w:left w:val="single" w:sz="0" w:space="0" w:color="05A7B6"/>
              <w:bottom w:val="single" w:sz="0" w:space="0" w:color="05A7B6"/>
              <w:right w:val="single" w:sz="4" w:space="0" w:color="05A7B6"/>
            </w:tcBorders>
            <w:shd w:val="clear" w:color="auto" w:fill="9CC2E5" w:themeFill="accent1" w:themeFillTint="99"/>
          </w:tcPr>
          <w:p w14:paraId="32D37DCB" w14:textId="77777777" w:rsidR="00C01C4B" w:rsidRDefault="00F931E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Remarks/Considerations</w:t>
            </w:r>
          </w:p>
        </w:tc>
      </w:tr>
      <w:tr w:rsidR="00C01C4B" w14:paraId="0F4E5775" w14:textId="77777777">
        <w:trPr>
          <w:trHeight w:val="3717"/>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31FFBE3B"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Conservative / Supportive</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3B319C73"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Reassurance and patient education </w:t>
            </w:r>
            <w:r>
              <w:rPr>
                <w:rFonts w:ascii="Times New Roman" w:eastAsia="Times New Roman" w:hAnsi="Times New Roman" w:cs="Times New Roman"/>
                <w:color w:val="000000"/>
                <w:sz w:val="24"/>
                <w:vertAlign w:val="superscript"/>
              </w:rPr>
              <w:t>6,11</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 xml:space="preserve">• Analgesics and NSAIDs (ibuprofen, diclofenac) </w:t>
            </w:r>
            <w:r>
              <w:rPr>
                <w:rFonts w:ascii="Times New Roman" w:eastAsia="Times New Roman" w:hAnsi="Times New Roman" w:cs="Times New Roman"/>
                <w:color w:val="000000"/>
                <w:sz w:val="24"/>
                <w:vertAlign w:val="superscript"/>
              </w:rPr>
              <w:t>11</w:t>
            </w: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br/>
              <w:t xml:space="preserve">• Antibiotics (only if secondary infection suspected) </w:t>
            </w:r>
            <w:r>
              <w:rPr>
                <w:rFonts w:ascii="Times New Roman" w:eastAsia="Times New Roman" w:hAnsi="Times New Roman" w:cs="Times New Roman"/>
                <w:color w:val="000000"/>
                <w:sz w:val="24"/>
                <w:vertAlign w:val="superscript"/>
              </w:rPr>
              <w:t>12</w:t>
            </w:r>
            <w:r>
              <w:rPr>
                <w:rFonts w:ascii="Times New Roman" w:eastAsia="Times New Roman" w:hAnsi="Times New Roman" w:cs="Times New Roman"/>
                <w:color w:val="000000"/>
                <w:sz w:val="24"/>
              </w:rPr>
              <w:br/>
              <w:t xml:space="preserve">• Topical anesthetic rinses (lidocaine, </w:t>
            </w:r>
            <w:proofErr w:type="spellStart"/>
            <w:r>
              <w:rPr>
                <w:rFonts w:ascii="Times New Roman" w:eastAsia="Times New Roman" w:hAnsi="Times New Roman" w:cs="Times New Roman"/>
                <w:color w:val="000000"/>
                <w:sz w:val="24"/>
              </w:rPr>
              <w:t>benzydamine</w:t>
            </w:r>
            <w:proofErr w:type="spellEnd"/>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br/>
              <w:t>• Oral hygiene with chlorhexidine mouthwash</w:t>
            </w:r>
            <w:r>
              <w:rPr>
                <w:rFonts w:ascii="Times New Roman" w:eastAsia="Times New Roman" w:hAnsi="Times New Roman" w:cs="Times New Roman"/>
                <w:color w:val="000000"/>
                <w:sz w:val="24"/>
                <w:vertAlign w:val="superscript"/>
              </w:rPr>
              <w:t>11</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794BB86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First-line approach; </w:t>
            </w:r>
          </w:p>
          <w:p w14:paraId="68EE0BFA"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lesion usually resolves sp</w:t>
            </w:r>
            <w:r>
              <w:rPr>
                <w:rFonts w:ascii="Times New Roman" w:eastAsia="Times New Roman" w:hAnsi="Times New Roman" w:cs="Times New Roman"/>
                <w:color w:val="000000"/>
                <w:sz w:val="24"/>
              </w:rPr>
              <w:t xml:space="preserve">ontaneously in 4–10 weeks </w:t>
            </w:r>
          </w:p>
        </w:tc>
      </w:tr>
      <w:tr w:rsidR="00C01C4B" w14:paraId="02C4FEBC" w14:textId="77777777">
        <w:trPr>
          <w:trHeight w:val="1780"/>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4B7DCA9E"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Corticosteroid Therapy</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33D2E232"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Topical or systemic </w:t>
            </w:r>
            <w:proofErr w:type="gramStart"/>
            <w:r>
              <w:rPr>
                <w:rFonts w:ascii="Times New Roman" w:eastAsia="Times New Roman" w:hAnsi="Times New Roman" w:cs="Times New Roman"/>
                <w:color w:val="000000"/>
                <w:sz w:val="24"/>
              </w:rPr>
              <w:t>corticosteroids(</w:t>
            </w:r>
            <w:proofErr w:type="gramEnd"/>
            <w:r>
              <w:rPr>
                <w:rFonts w:ascii="Times New Roman" w:eastAsia="Times New Roman" w:hAnsi="Times New Roman" w:cs="Times New Roman"/>
                <w:color w:val="000000"/>
                <w:sz w:val="24"/>
              </w:rPr>
              <w:t xml:space="preserve">short tapering course) </w:t>
            </w:r>
            <w:r>
              <w:rPr>
                <w:rFonts w:ascii="Times New Roman" w:eastAsia="Times New Roman" w:hAnsi="Times New Roman" w:cs="Times New Roman"/>
                <w:color w:val="000000"/>
                <w:sz w:val="24"/>
                <w:vertAlign w:val="superscript"/>
              </w:rPr>
              <w:t>12</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3C3C66FD"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Reserved for severe pain or extensive lesions; </w:t>
            </w:r>
          </w:p>
          <w:p w14:paraId="7447D50B"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use cautiously in diabetics due to risk of hyperglycemia </w:t>
            </w:r>
            <w:r>
              <w:rPr>
                <w:rFonts w:ascii="Times New Roman" w:eastAsia="Times New Roman" w:hAnsi="Times New Roman" w:cs="Times New Roman"/>
                <w:color w:val="000000"/>
                <w:sz w:val="24"/>
                <w:vertAlign w:val="superscript"/>
              </w:rPr>
              <w:t>13</w:t>
            </w:r>
          </w:p>
        </w:tc>
      </w:tr>
      <w:tr w:rsidR="00C01C4B" w14:paraId="0E00BC58" w14:textId="77777777">
        <w:trPr>
          <w:trHeight w:val="2057"/>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5A6D2FF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Adjunctive Therapies</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29D5DD04"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Photobiomodulation</w:t>
            </w:r>
            <w:proofErr w:type="spellEnd"/>
            <w:r>
              <w:rPr>
                <w:rFonts w:ascii="Times New Roman" w:eastAsia="Times New Roman" w:hAnsi="Times New Roman" w:cs="Times New Roman"/>
                <w:color w:val="000000"/>
                <w:sz w:val="24"/>
              </w:rPr>
              <w:t xml:space="preserve"> (Low-Level Laser Therapy, LLLT) </w:t>
            </w:r>
            <w:r>
              <w:rPr>
                <w:rFonts w:ascii="Times New Roman" w:eastAsia="Times New Roman" w:hAnsi="Times New Roman" w:cs="Times New Roman"/>
                <w:color w:val="000000"/>
                <w:sz w:val="24"/>
                <w:vertAlign w:val="superscript"/>
              </w:rPr>
              <w:t>11</w:t>
            </w:r>
            <w:r>
              <w:rPr>
                <w:rFonts w:ascii="Times New Roman" w:eastAsia="Times New Roman" w:hAnsi="Times New Roman" w:cs="Times New Roman"/>
                <w:color w:val="000000"/>
                <w:sz w:val="24"/>
              </w:rPr>
              <w:br/>
              <w:t>• Conservative debridement or laser excision (rare cases)</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0C8CBB79"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LLLT shown to accelerate healing and reduce pain; surgery only when malignancy cannot be excluded</w:t>
            </w:r>
          </w:p>
        </w:tc>
      </w:tr>
      <w:tr w:rsidR="00C01C4B" w14:paraId="3F827A78" w14:textId="77777777">
        <w:trPr>
          <w:trHeight w:val="2616"/>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4D4635F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Systemic Disease Management</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19910ED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Diabetes </w:t>
            </w:r>
            <w:r>
              <w:rPr>
                <w:rFonts w:ascii="Times New Roman" w:eastAsia="Times New Roman" w:hAnsi="Times New Roman" w:cs="Times New Roman"/>
                <w:color w:val="000000"/>
                <w:sz w:val="24"/>
              </w:rPr>
              <w:t>control (glycemic monitoring, adjustment of medication, diet/lifestyle modification)</w:t>
            </w:r>
            <w:r>
              <w:rPr>
                <w:rFonts w:ascii="Times New Roman" w:eastAsia="Times New Roman" w:hAnsi="Times New Roman" w:cs="Times New Roman"/>
                <w:color w:val="000000"/>
                <w:sz w:val="24"/>
                <w:vertAlign w:val="superscript"/>
              </w:rPr>
              <w:t>13</w:t>
            </w:r>
            <w:r>
              <w:rPr>
                <w:rFonts w:ascii="Times New Roman" w:eastAsia="Times New Roman" w:hAnsi="Times New Roman" w:cs="Times New Roman"/>
                <w:color w:val="000000"/>
                <w:sz w:val="24"/>
              </w:rPr>
              <w:br/>
              <w:t xml:space="preserve">• Address risk factors: smoking, alcohol, denture irritation, local trauma </w:t>
            </w:r>
            <w:r>
              <w:rPr>
                <w:rFonts w:ascii="Times New Roman" w:eastAsia="Times New Roman" w:hAnsi="Times New Roman" w:cs="Times New Roman"/>
                <w:color w:val="000000"/>
                <w:sz w:val="24"/>
                <w:vertAlign w:val="superscript"/>
              </w:rPr>
              <w:t>4,11</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6CF2F3DE"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Essential for healing and recurrence prevention; coordinate with endocrinologist in </w:t>
            </w:r>
            <w:r>
              <w:rPr>
                <w:rFonts w:ascii="Times New Roman" w:eastAsia="Times New Roman" w:hAnsi="Times New Roman" w:cs="Times New Roman"/>
                <w:color w:val="000000"/>
                <w:sz w:val="24"/>
              </w:rPr>
              <w:t>diabetic patients</w:t>
            </w:r>
          </w:p>
        </w:tc>
      </w:tr>
    </w:tbl>
    <w:p w14:paraId="0BA119F3" w14:textId="77777777" w:rsidR="00C01C4B" w:rsidRDefault="00C01C4B">
      <w:pPr>
        <w:rPr>
          <w:rFonts w:ascii="Times New Roman" w:eastAsia="Times New Roman" w:hAnsi="Times New Roman" w:cs="Times New Roman"/>
          <w:sz w:val="24"/>
          <w:highlight w:val="red"/>
        </w:rPr>
      </w:pPr>
    </w:p>
    <w:p w14:paraId="3E6D364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Diabetes mellitus is an important systemic factor influencing the onset, progression, and healing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 Chronic hyperglycemia induces microvascular alterations that impair tissue perfusion, promote </w:t>
      </w:r>
      <w:r>
        <w:rPr>
          <w:rFonts w:ascii="Times New Roman" w:eastAsia="Times New Roman" w:hAnsi="Times New Roman" w:cs="Times New Roman"/>
          <w:sz w:val="24"/>
        </w:rPr>
        <w:t>ischemia, and delay wound healing, which are central to the pathogenesis of NSM</w:t>
      </w:r>
      <w:r>
        <w:rPr>
          <w:rFonts w:ascii="Times New Roman" w:eastAsia="Times New Roman" w:hAnsi="Times New Roman" w:cs="Times New Roman"/>
          <w:sz w:val="24"/>
          <w:vertAlign w:val="superscript"/>
        </w:rPr>
        <w:t xml:space="preserve"> 4,</w:t>
      </w:r>
      <w:proofErr w:type="gramStart"/>
      <w:r>
        <w:rPr>
          <w:rFonts w:ascii="Times New Roman" w:eastAsia="Times New Roman" w:hAnsi="Times New Roman" w:cs="Times New Roman"/>
          <w:sz w:val="24"/>
          <w:vertAlign w:val="superscript"/>
        </w:rPr>
        <w:t xml:space="preserve">13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Clinically, diabetic patients with palatal ulcers, such as those observed in NSM, tend to experience more painful and persistent lesions, which are slower to resolve and</w:t>
      </w:r>
      <w:r>
        <w:rPr>
          <w:rFonts w:ascii="Times New Roman" w:eastAsia="Times New Roman" w:hAnsi="Times New Roman" w:cs="Times New Roman"/>
          <w:sz w:val="24"/>
        </w:rPr>
        <w:t xml:space="preserve"> more prone to secondary infection </w:t>
      </w:r>
      <w:r>
        <w:rPr>
          <w:rFonts w:ascii="Times New Roman" w:eastAsia="Times New Roman" w:hAnsi="Times New Roman" w:cs="Times New Roman"/>
          <w:sz w:val="24"/>
          <w:vertAlign w:val="superscript"/>
        </w:rPr>
        <w:t xml:space="preserve">11,12 </w:t>
      </w:r>
      <w:r>
        <w:rPr>
          <w:rFonts w:ascii="Times New Roman" w:eastAsia="Times New Roman" w:hAnsi="Times New Roman" w:cs="Times New Roman"/>
          <w:sz w:val="24"/>
        </w:rPr>
        <w:t xml:space="preserve">.Achieving and maintaining optimal glycemic control is therefore fundamental, not only to ensure resolution of NSM but also to prevent recurrence and support the effectiveness of adjunctive </w:t>
      </w:r>
      <w:proofErr w:type="spellStart"/>
      <w:r>
        <w:rPr>
          <w:rFonts w:ascii="Times New Roman" w:eastAsia="Times New Roman" w:hAnsi="Times New Roman" w:cs="Times New Roman"/>
          <w:sz w:val="24"/>
        </w:rPr>
        <w:t>therapies.In</w:t>
      </w:r>
      <w:proofErr w:type="spellEnd"/>
      <w:r>
        <w:rPr>
          <w:rFonts w:ascii="Times New Roman" w:eastAsia="Times New Roman" w:hAnsi="Times New Roman" w:cs="Times New Roman"/>
          <w:sz w:val="24"/>
        </w:rPr>
        <w:t xml:space="preserve"> the second c</w:t>
      </w:r>
      <w:r>
        <w:rPr>
          <w:rFonts w:ascii="Times New Roman" w:eastAsia="Times New Roman" w:hAnsi="Times New Roman" w:cs="Times New Roman"/>
          <w:sz w:val="24"/>
        </w:rPr>
        <w:t>ase described, effective lesion resolution was achieved only after a combination of local therapy and strict diabetes control, emphasizing the pivotal role of systemic disease management in favorable clinical outcomes</w:t>
      </w:r>
    </w:p>
    <w:p w14:paraId="7EC801B4" w14:textId="77777777" w:rsidR="00C01C4B" w:rsidRDefault="00C01C4B">
      <w:pPr>
        <w:rPr>
          <w:rFonts w:ascii="Times New Roman" w:eastAsia="Times New Roman" w:hAnsi="Times New Roman" w:cs="Times New Roman"/>
          <w:sz w:val="24"/>
        </w:rPr>
      </w:pPr>
    </w:p>
    <w:p w14:paraId="59F65445"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The two contrasting cases presented h</w:t>
      </w:r>
      <w:r>
        <w:rPr>
          <w:rFonts w:ascii="Times New Roman" w:eastAsia="Times New Roman" w:hAnsi="Times New Roman" w:cs="Times New Roman"/>
          <w:sz w:val="24"/>
        </w:rPr>
        <w:t xml:space="preserve">ere highlight the importance of accurate diagnosis. In case 1, surgical excision was warranted based on cytology report. In </w:t>
      </w:r>
      <w:r>
        <w:rPr>
          <w:rFonts w:ascii="Times New Roman" w:eastAsia="Times New Roman" w:hAnsi="Times New Roman" w:cs="Times New Roman"/>
          <w:sz w:val="24"/>
        </w:rPr>
        <w:lastRenderedPageBreak/>
        <w:t>contrast, case 2 was successfully managed with biopsy confirmation, conservative therapy, and systemic control of diabetes. These ca</w:t>
      </w:r>
      <w:r>
        <w:rPr>
          <w:rFonts w:ascii="Times New Roman" w:eastAsia="Times New Roman" w:hAnsi="Times New Roman" w:cs="Times New Roman"/>
          <w:sz w:val="24"/>
        </w:rPr>
        <w:t>ses underscore that while NSM is self-limiting, misdiagnosis can expose patients to overtreatment, morbidity, and psychological distress</w:t>
      </w:r>
    </w:p>
    <w:p w14:paraId="5A0BBAE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Based on extensive literature review as mentioned </w:t>
      </w:r>
      <w:proofErr w:type="gramStart"/>
      <w:r>
        <w:rPr>
          <w:rFonts w:ascii="Times New Roman" w:eastAsia="Times New Roman" w:hAnsi="Times New Roman" w:cs="Times New Roman"/>
          <w:sz w:val="24"/>
        </w:rPr>
        <w:t>above ,</w:t>
      </w:r>
      <w:proofErr w:type="gramEnd"/>
      <w:r>
        <w:rPr>
          <w:rFonts w:ascii="Times New Roman" w:eastAsia="Times New Roman" w:hAnsi="Times New Roman" w:cs="Times New Roman"/>
          <w:sz w:val="24"/>
        </w:rPr>
        <w:t xml:space="preserve"> this is our proposed management flowchart for NSM , which wil</w:t>
      </w:r>
      <w:r>
        <w:rPr>
          <w:rFonts w:ascii="Times New Roman" w:eastAsia="Times New Roman" w:hAnsi="Times New Roman" w:cs="Times New Roman"/>
          <w:sz w:val="24"/>
        </w:rPr>
        <w:t>l guide clinicians for appropriate treatment .</w:t>
      </w:r>
    </w:p>
    <w:p w14:paraId="0F0DEF9C" w14:textId="56FDF995" w:rsidR="00C01C4B" w:rsidRDefault="00270EB4">
      <w:pPr>
        <w:rPr>
          <w:rFonts w:ascii="Times New Roman" w:eastAsia="Times New Roman" w:hAnsi="Times New Roman" w:cs="Times New Roman"/>
          <w:b/>
          <w:bCs/>
          <w:sz w:val="24"/>
        </w:rPr>
      </w:pPr>
      <w:r>
        <w:rPr>
          <w:rFonts w:ascii="Times New Roman" w:eastAsia="Times New Roman" w:hAnsi="Times New Roman" w:cs="Times New Roman"/>
          <w:b/>
          <w:bCs/>
          <w:sz w:val="24"/>
        </w:rPr>
        <w:t xml:space="preserve">Flow chart 1: </w:t>
      </w:r>
      <w:r w:rsidR="00FE2BC4" w:rsidRPr="00FE2BC4">
        <w:rPr>
          <w:rFonts w:ascii="Times New Roman" w:eastAsia="Times New Roman" w:hAnsi="Times New Roman" w:cs="Times New Roman"/>
          <w:b/>
          <w:bCs/>
          <w:sz w:val="24"/>
        </w:rPr>
        <w:t xml:space="preserve">Necrotizing </w:t>
      </w:r>
      <w:proofErr w:type="spellStart"/>
      <w:r w:rsidR="00FE2BC4" w:rsidRPr="00FE2BC4">
        <w:rPr>
          <w:rFonts w:ascii="Times New Roman" w:eastAsia="Times New Roman" w:hAnsi="Times New Roman" w:cs="Times New Roman"/>
          <w:b/>
          <w:bCs/>
          <w:sz w:val="24"/>
        </w:rPr>
        <w:t>Sialometaplasia</w:t>
      </w:r>
      <w:proofErr w:type="spellEnd"/>
      <w:r w:rsidR="00FE2BC4" w:rsidRPr="00FE2BC4">
        <w:rPr>
          <w:rFonts w:ascii="Times New Roman" w:eastAsia="Times New Roman" w:hAnsi="Times New Roman" w:cs="Times New Roman"/>
          <w:b/>
          <w:bCs/>
          <w:sz w:val="24"/>
        </w:rPr>
        <w:t>: Diagnostic and Management Algorithm</w:t>
      </w:r>
    </w:p>
    <w:p w14:paraId="24ADF649" w14:textId="77777777" w:rsidR="00C01C4B" w:rsidRDefault="00F931EA">
      <w:pPr>
        <w:rPr>
          <w:rFonts w:ascii="Times New Roman" w:eastAsia="Times New Roman" w:hAnsi="Times New Roman" w:cs="Times New Roman"/>
          <w:b/>
          <w:bCs/>
          <w:sz w:val="24"/>
        </w:rPr>
      </w:pPr>
      <w:r>
        <w:rPr>
          <w:rFonts w:ascii="Times New Roman" w:eastAsia="Times New Roman" w:hAnsi="Times New Roman" w:cs="Times New Roman"/>
          <w:b/>
          <w:bCs/>
          <w:noProof/>
          <w:sz w:val="24"/>
        </w:rPr>
        <w:drawing>
          <wp:inline distT="0" distB="0" distL="114300" distR="114300" wp14:anchorId="67665CC5" wp14:editId="5D01DF2F">
            <wp:extent cx="4191635" cy="5702300"/>
            <wp:effectExtent l="0" t="0" r="6350" b="4445"/>
            <wp:docPr id="3" name="Picture 3" descr="2025-10-06 10:32:25.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10-06 10:32:25.104000"/>
                    <pic:cNvPicPr>
                      <a:picLocks noChangeAspect="1"/>
                    </pic:cNvPicPr>
                  </pic:nvPicPr>
                  <pic:blipFill>
                    <a:blip r:embed="rId7"/>
                    <a:stretch>
                      <a:fillRect/>
                    </a:stretch>
                  </pic:blipFill>
                  <pic:spPr>
                    <a:xfrm>
                      <a:off x="0" y="0"/>
                      <a:ext cx="4191635" cy="5702300"/>
                    </a:xfrm>
                    <a:prstGeom prst="rect">
                      <a:avLst/>
                    </a:prstGeom>
                  </pic:spPr>
                </pic:pic>
              </a:graphicData>
            </a:graphic>
          </wp:inline>
        </w:drawing>
      </w:r>
    </w:p>
    <w:p w14:paraId="40CE145A" w14:textId="77777777" w:rsidR="00C01C4B" w:rsidRDefault="00C01C4B">
      <w:pPr>
        <w:rPr>
          <w:rFonts w:ascii="Times New Roman" w:eastAsia="Times New Roman" w:hAnsi="Times New Roman" w:cs="Times New Roman"/>
          <w:b/>
          <w:bCs/>
          <w:sz w:val="24"/>
        </w:rPr>
      </w:pPr>
    </w:p>
    <w:p w14:paraId="3CEFA5A0" w14:textId="77777777" w:rsidR="00C01C4B" w:rsidRDefault="00F931EA">
      <w:pPr>
        <w:rPr>
          <w:rFonts w:ascii="Times New Roman" w:eastAsia="Times New Roman" w:hAnsi="Times New Roman" w:cs="Times New Roman"/>
          <w:sz w:val="24"/>
        </w:rPr>
      </w:pPr>
      <w:proofErr w:type="gramStart"/>
      <w:r>
        <w:rPr>
          <w:rFonts w:ascii="Times New Roman" w:eastAsia="Times New Roman" w:hAnsi="Times New Roman" w:cs="Times New Roman"/>
          <w:b/>
          <w:bCs/>
          <w:sz w:val="24"/>
        </w:rPr>
        <w:t>Conclusion :</w:t>
      </w:r>
      <w:proofErr w:type="gramEnd"/>
      <w:r>
        <w:rPr>
          <w:rFonts w:ascii="Times New Roman" w:eastAsia="Times New Roman" w:hAnsi="Times New Roman" w:cs="Times New Roman"/>
          <w:b/>
          <w:bCs/>
          <w:sz w:val="24"/>
        </w:rPr>
        <w:t xml:space="preserve"> </w:t>
      </w:r>
    </w:p>
    <w:p w14:paraId="50B1B84D" w14:textId="77777777" w:rsidR="00C01C4B" w:rsidRDefault="00C01C4B">
      <w:pPr>
        <w:rPr>
          <w:rFonts w:ascii="Times New Roman" w:eastAsia="Times New Roman" w:hAnsi="Times New Roman" w:cs="Times New Roman"/>
          <w:sz w:val="24"/>
        </w:rPr>
      </w:pPr>
    </w:p>
    <w:p w14:paraId="4CF83F4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is a benign, self-limiting condition that closely simulates malignant salivary gland</w:t>
      </w:r>
      <w:r>
        <w:rPr>
          <w:rFonts w:ascii="Times New Roman" w:eastAsia="Times New Roman" w:hAnsi="Times New Roman" w:cs="Times New Roman"/>
          <w:sz w:val="24"/>
        </w:rPr>
        <w:t xml:space="preserve"> tumors both clinically and histologically. Biopsy remains the diagnostic gold standard and is essential for avoiding unnecessary radical surgery. Increased awareness among clinicians and pathologists can help prevent overtreatment and reduce morbidity.</w:t>
      </w:r>
    </w:p>
    <w:p w14:paraId="6A9FA648" w14:textId="77777777" w:rsidR="00C01C4B" w:rsidRDefault="00C01C4B">
      <w:pPr>
        <w:rPr>
          <w:rFonts w:ascii="Times New Roman" w:eastAsia="Times New Roman" w:hAnsi="Times New Roman" w:cs="Times New Roman"/>
          <w:sz w:val="24"/>
        </w:rPr>
      </w:pPr>
    </w:p>
    <w:p w14:paraId="09BB1A29" w14:textId="77777777" w:rsidR="00C01C4B" w:rsidRDefault="00C01C4B">
      <w:pPr>
        <w:rPr>
          <w:rFonts w:ascii="Times New Roman" w:eastAsia="Times New Roman" w:hAnsi="Times New Roman" w:cs="Times New Roman"/>
          <w:sz w:val="24"/>
        </w:rPr>
      </w:pPr>
    </w:p>
    <w:p w14:paraId="69E74FFD" w14:textId="77777777" w:rsidR="00C01C4B" w:rsidRDefault="00F931EA">
      <w:pPr>
        <w:rPr>
          <w:rFonts w:ascii="Times New Roman" w:eastAsia="Times New Roman" w:hAnsi="Times New Roman" w:cs="Times New Roman"/>
          <w:b/>
          <w:bCs/>
          <w:sz w:val="24"/>
        </w:rPr>
      </w:pPr>
      <w:r>
        <w:rPr>
          <w:rFonts w:ascii="Times New Roman" w:eastAsia="Times New Roman" w:hAnsi="Times New Roman" w:cs="Times New Roman"/>
          <w:b/>
          <w:bCs/>
          <w:sz w:val="24"/>
        </w:rPr>
        <w:t>Competing Interest:</w:t>
      </w:r>
    </w:p>
    <w:p w14:paraId="69F4867B" w14:textId="77777777" w:rsidR="00C01C4B" w:rsidRDefault="00C01C4B">
      <w:pPr>
        <w:rPr>
          <w:rFonts w:ascii="Times New Roman" w:eastAsia="Times New Roman" w:hAnsi="Times New Roman" w:cs="Times New Roman"/>
          <w:b/>
          <w:bCs/>
          <w:sz w:val="24"/>
        </w:rPr>
      </w:pPr>
    </w:p>
    <w:p w14:paraId="64D81A43"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The Authors declare that there is no conflict of interests regarding the publication of this paper.</w:t>
      </w:r>
    </w:p>
    <w:p w14:paraId="517466AA" w14:textId="77777777" w:rsidR="00C01C4B" w:rsidRDefault="00C01C4B">
      <w:pPr>
        <w:rPr>
          <w:rFonts w:ascii="Times New Roman" w:eastAsia="Times New Roman" w:hAnsi="Times New Roman" w:cs="Times New Roman"/>
          <w:b/>
          <w:bCs/>
          <w:sz w:val="24"/>
        </w:rPr>
      </w:pPr>
    </w:p>
    <w:p w14:paraId="799357EE" w14:textId="77777777" w:rsidR="00C01C4B" w:rsidRDefault="00C01C4B">
      <w:pPr>
        <w:rPr>
          <w:rFonts w:ascii="Times New Roman" w:eastAsia="Times New Roman" w:hAnsi="Times New Roman" w:cs="Times New Roman"/>
          <w:b/>
          <w:bCs/>
          <w:sz w:val="24"/>
        </w:rPr>
      </w:pPr>
    </w:p>
    <w:p w14:paraId="24A12CF0" w14:textId="77777777" w:rsidR="00C01C4B" w:rsidRDefault="00F931EA">
      <w:pPr>
        <w:rPr>
          <w:rFonts w:ascii="Times New Roman" w:eastAsia="Times New Roman" w:hAnsi="Times New Roman" w:cs="Times New Roman"/>
          <w:b/>
          <w:bCs/>
          <w:sz w:val="24"/>
        </w:rPr>
      </w:pPr>
      <w:proofErr w:type="gramStart"/>
      <w:r>
        <w:rPr>
          <w:rFonts w:ascii="Times New Roman" w:eastAsia="Times New Roman" w:hAnsi="Times New Roman" w:cs="Times New Roman"/>
          <w:b/>
          <w:bCs/>
          <w:sz w:val="24"/>
        </w:rPr>
        <w:t>References :</w:t>
      </w:r>
      <w:proofErr w:type="gramEnd"/>
    </w:p>
    <w:p w14:paraId="5645C72E" w14:textId="77777777" w:rsidR="00C01C4B" w:rsidRDefault="00C01C4B">
      <w:pPr>
        <w:rPr>
          <w:rFonts w:ascii="Times New Roman" w:eastAsia="Times New Roman" w:hAnsi="Times New Roman" w:cs="Times New Roman"/>
          <w:b/>
          <w:bCs/>
          <w:sz w:val="24"/>
        </w:rPr>
      </w:pPr>
    </w:p>
    <w:p w14:paraId="4DF7214D"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1.</w:t>
      </w:r>
      <w:r>
        <w:rPr>
          <w:rFonts w:ascii="Times New Roman" w:eastAsia="Times New Roman" w:hAnsi="Times New Roman" w:cs="Times New Roman"/>
          <w:sz w:val="24"/>
        </w:rPr>
        <w:tab/>
        <w:t xml:space="preserve">Abrams AM, Melrose RJ, Howell FV.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 disease simulating malignancy. Cancer. </w:t>
      </w:r>
      <w:r>
        <w:rPr>
          <w:rFonts w:ascii="Times New Roman" w:eastAsia="Times New Roman" w:hAnsi="Times New Roman" w:cs="Times New Roman"/>
          <w:sz w:val="24"/>
        </w:rPr>
        <w:t>1973;32(1):130–135.</w:t>
      </w:r>
    </w:p>
    <w:p w14:paraId="1CC56EE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2.</w:t>
      </w:r>
      <w:r>
        <w:rPr>
          <w:rFonts w:ascii="Times New Roman" w:eastAsia="Times New Roman" w:hAnsi="Times New Roman" w:cs="Times New Roman"/>
          <w:sz w:val="24"/>
        </w:rPr>
        <w:tab/>
        <w:t xml:space="preserve">Seifert G, Donath K.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of the salivary glands: a histological study of 14 cases. J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1977;6(2):64–71.</w:t>
      </w:r>
    </w:p>
    <w:p w14:paraId="5D3C44EB"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t xml:space="preserve">Brannon RB, Fowler CB, Hartman KS.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A clinicopathologic study</w:t>
      </w:r>
      <w:r>
        <w:rPr>
          <w:rFonts w:ascii="Times New Roman" w:eastAsia="Times New Roman" w:hAnsi="Times New Roman" w:cs="Times New Roman"/>
          <w:sz w:val="24"/>
        </w:rPr>
        <w:t xml:space="preserve"> of sixty-nine cases and review of the literature. Oral Surg Oral Med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1991;72(3):317–325.</w:t>
      </w:r>
    </w:p>
    <w:p w14:paraId="6C2CE3A1"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4.</w:t>
      </w:r>
      <w:r>
        <w:rPr>
          <w:rFonts w:ascii="Times New Roman" w:eastAsia="Times New Roman" w:hAnsi="Times New Roman" w:cs="Times New Roman"/>
          <w:sz w:val="24"/>
        </w:rPr>
        <w:tab/>
        <w:t xml:space="preserve">Standish SM, Shafer WG. Experimental production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in the rat. Oral Surg Oral Med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1971;31(6):784–790.</w:t>
      </w:r>
    </w:p>
    <w:p w14:paraId="112585C9"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5.</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An</w:t>
      </w:r>
      <w:r>
        <w:rPr>
          <w:rFonts w:ascii="Times New Roman" w:eastAsia="Times New Roman" w:hAnsi="Times New Roman" w:cs="Times New Roman"/>
          <w:sz w:val="24"/>
        </w:rPr>
        <w:t>neroth</w:t>
      </w:r>
      <w:proofErr w:type="spellEnd"/>
      <w:r>
        <w:rPr>
          <w:rFonts w:ascii="Times New Roman" w:eastAsia="Times New Roman" w:hAnsi="Times New Roman" w:cs="Times New Roman"/>
          <w:sz w:val="24"/>
        </w:rPr>
        <w:t xml:space="preserve"> G, Hansen LS.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The relationship of its pathogenesis to its clinical characteristics. Int J Oral Surg. 1982;11(5):283–291.</w:t>
      </w:r>
    </w:p>
    <w:p w14:paraId="678A31E1"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6.</w:t>
      </w:r>
      <w:r>
        <w:rPr>
          <w:rFonts w:ascii="Times New Roman" w:eastAsia="Times New Roman" w:hAnsi="Times New Roman" w:cs="Times New Roman"/>
          <w:sz w:val="24"/>
        </w:rPr>
        <w:tab/>
        <w:t xml:space="preserve">Neville BW, </w:t>
      </w:r>
      <w:proofErr w:type="spellStart"/>
      <w:r>
        <w:rPr>
          <w:rFonts w:ascii="Times New Roman" w:eastAsia="Times New Roman" w:hAnsi="Times New Roman" w:cs="Times New Roman"/>
          <w:sz w:val="24"/>
        </w:rPr>
        <w:t>Damm</w:t>
      </w:r>
      <w:proofErr w:type="spellEnd"/>
      <w:r>
        <w:rPr>
          <w:rFonts w:ascii="Times New Roman" w:eastAsia="Times New Roman" w:hAnsi="Times New Roman" w:cs="Times New Roman"/>
          <w:sz w:val="24"/>
        </w:rPr>
        <w:t xml:space="preserve"> DD, Allen CM, Chi AC. Oral and Maxillofacial Pathology. 4th ed. Elsevier; 2016</w:t>
      </w:r>
      <w:r>
        <w:rPr>
          <w:rFonts w:ascii="Times New Roman" w:eastAsia="Times New Roman" w:hAnsi="Times New Roman" w:cs="Times New Roman"/>
          <w:sz w:val="24"/>
        </w:rPr>
        <w:t>.</w:t>
      </w:r>
    </w:p>
    <w:p w14:paraId="3BA877FB"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7.</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Imbery</w:t>
      </w:r>
      <w:proofErr w:type="spellEnd"/>
      <w:r>
        <w:rPr>
          <w:rFonts w:ascii="Times New Roman" w:eastAsia="Times New Roman" w:hAnsi="Times New Roman" w:cs="Times New Roman"/>
          <w:sz w:val="24"/>
        </w:rPr>
        <w:t xml:space="preserve"> TA, Edwards PA.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literature review and case reports. J Am Dent Assoc. 1996;127(7):1087–1092.</w:t>
      </w:r>
    </w:p>
    <w:p w14:paraId="490F9999"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lastRenderedPageBreak/>
        <w:tab/>
        <w:t>8.</w:t>
      </w:r>
      <w:r>
        <w:rPr>
          <w:rFonts w:ascii="Times New Roman" w:eastAsia="Times New Roman" w:hAnsi="Times New Roman" w:cs="Times New Roman"/>
          <w:sz w:val="24"/>
        </w:rPr>
        <w:tab/>
        <w:t xml:space="preserve">Jensen JL, </w:t>
      </w:r>
      <w:proofErr w:type="spellStart"/>
      <w:r>
        <w:rPr>
          <w:rFonts w:ascii="Times New Roman" w:eastAsia="Times New Roman" w:hAnsi="Times New Roman" w:cs="Times New Roman"/>
          <w:sz w:val="24"/>
        </w:rPr>
        <w:t>Reibel</w:t>
      </w:r>
      <w:proofErr w:type="spellEnd"/>
      <w:r>
        <w:rPr>
          <w:rFonts w:ascii="Times New Roman" w:eastAsia="Times New Roman" w:hAnsi="Times New Roman" w:cs="Times New Roman"/>
          <w:sz w:val="24"/>
        </w:rPr>
        <w:t xml:space="preserve"> J.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affecting extraoral sites: review of the literature. Oral Surg Oral M</w:t>
      </w:r>
      <w:r>
        <w:rPr>
          <w:rFonts w:ascii="Times New Roman" w:eastAsia="Times New Roman" w:hAnsi="Times New Roman" w:cs="Times New Roman"/>
          <w:sz w:val="24"/>
        </w:rPr>
        <w:t xml:space="preserve">ed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1987;63(5):602–606.</w:t>
      </w:r>
    </w:p>
    <w:p w14:paraId="76844C0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9.</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Anneroth</w:t>
      </w:r>
      <w:proofErr w:type="spellEnd"/>
      <w:r>
        <w:rPr>
          <w:rFonts w:ascii="Times New Roman" w:eastAsia="Times New Roman" w:hAnsi="Times New Roman" w:cs="Times New Roman"/>
          <w:sz w:val="24"/>
        </w:rPr>
        <w:t xml:space="preserve"> G, Hansen LS.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histologic evolution of 31 cases. J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1982;11(5):283–291.</w:t>
      </w:r>
    </w:p>
    <w:p w14:paraId="4C64E93A"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10.</w:t>
      </w:r>
      <w:r>
        <w:rPr>
          <w:rFonts w:ascii="Times New Roman" w:eastAsia="Times New Roman" w:hAnsi="Times New Roman" w:cs="Times New Roman"/>
          <w:sz w:val="24"/>
        </w:rPr>
        <w:tab/>
        <w:t xml:space="preserve">Carlson DL.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 practical approach to diagnosis. Arch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xml:space="preserve"> La</w:t>
      </w:r>
      <w:r>
        <w:rPr>
          <w:rFonts w:ascii="Times New Roman" w:eastAsia="Times New Roman" w:hAnsi="Times New Roman" w:cs="Times New Roman"/>
          <w:sz w:val="24"/>
        </w:rPr>
        <w:t>b Med. 2009;133(5):692–698.</w:t>
      </w:r>
    </w:p>
    <w:p w14:paraId="565443B0"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    11. Lee T, Wong WL, Li WY, Ng SH.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of the palate mimicking carcinoma: a report of 2 cases. Hong Kong Med J. 2007;13(5):394–397</w:t>
      </w:r>
    </w:p>
    <w:p w14:paraId="79B5AD2C"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    12. Kaplan I, </w:t>
      </w:r>
      <w:proofErr w:type="spellStart"/>
      <w:r>
        <w:rPr>
          <w:rFonts w:ascii="Times New Roman" w:eastAsia="Times New Roman" w:hAnsi="Times New Roman" w:cs="Times New Roman"/>
          <w:sz w:val="24"/>
        </w:rPr>
        <w:t>Anavi</w:t>
      </w:r>
      <w:proofErr w:type="spellEnd"/>
      <w:r>
        <w:rPr>
          <w:rFonts w:ascii="Times New Roman" w:eastAsia="Times New Roman" w:hAnsi="Times New Roman" w:cs="Times New Roman"/>
          <w:sz w:val="24"/>
        </w:rPr>
        <w:t xml:space="preserve"> Y, Hirshberg A.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a</w:t>
      </w:r>
      <w:r>
        <w:rPr>
          <w:rFonts w:ascii="Times New Roman" w:eastAsia="Times New Roman" w:hAnsi="Times New Roman" w:cs="Times New Roman"/>
          <w:sz w:val="24"/>
        </w:rPr>
        <w:t xml:space="preserve"> clinicopathologic study of 46 cases and review of the literature. Oral Surg Oral Med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xml:space="preserve"> Oral </w:t>
      </w:r>
      <w:proofErr w:type="spellStart"/>
      <w:r>
        <w:rPr>
          <w:rFonts w:ascii="Times New Roman" w:eastAsia="Times New Roman" w:hAnsi="Times New Roman" w:cs="Times New Roman"/>
          <w:sz w:val="24"/>
        </w:rPr>
        <w:t>Radiol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Endod</w:t>
      </w:r>
      <w:proofErr w:type="spellEnd"/>
      <w:r>
        <w:rPr>
          <w:rFonts w:ascii="Times New Roman" w:eastAsia="Times New Roman" w:hAnsi="Times New Roman" w:cs="Times New Roman"/>
          <w:sz w:val="24"/>
        </w:rPr>
        <w:t>. 2005;99(5):620–628</w:t>
      </w:r>
    </w:p>
    <w:p w14:paraId="49C162F3"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    13. American Diabetes Association. Standards of Medical Care in Diabetes—2023. Diabetes Care. 2023;46(Suppl. 1</w:t>
      </w:r>
      <w:proofErr w:type="gramStart"/>
      <w:r>
        <w:rPr>
          <w:rFonts w:ascii="Times New Roman" w:eastAsia="Times New Roman" w:hAnsi="Times New Roman" w:cs="Times New Roman"/>
          <w:sz w:val="24"/>
        </w:rPr>
        <w:t>):S</w:t>
      </w:r>
      <w:proofErr w:type="gramEnd"/>
      <w:r>
        <w:rPr>
          <w:rFonts w:ascii="Times New Roman" w:eastAsia="Times New Roman" w:hAnsi="Times New Roman" w:cs="Times New Roman"/>
          <w:sz w:val="24"/>
        </w:rPr>
        <w:t>1–S</w:t>
      </w:r>
      <w:r>
        <w:rPr>
          <w:rFonts w:ascii="Times New Roman" w:eastAsia="Times New Roman" w:hAnsi="Times New Roman" w:cs="Times New Roman"/>
          <w:sz w:val="24"/>
        </w:rPr>
        <w:t>300</w:t>
      </w:r>
    </w:p>
    <w:p w14:paraId="1AFDE8C2" w14:textId="77777777" w:rsidR="00C01C4B" w:rsidRDefault="00C01C4B">
      <w:pPr>
        <w:rPr>
          <w:rFonts w:ascii="Times New Roman" w:eastAsia="Times New Roman" w:hAnsi="Times New Roman" w:cs="Times New Roman"/>
          <w:sz w:val="24"/>
        </w:rPr>
      </w:pPr>
    </w:p>
    <w:p w14:paraId="19D72435"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114300" distR="114300" wp14:anchorId="2BDC0450" wp14:editId="329E3CAB">
            <wp:extent cx="3449320" cy="3355975"/>
            <wp:effectExtent l="0" t="0" r="1270" b="3810"/>
            <wp:docPr id="1" name="Picture 1" descr="2025-09-30 22:20:28.5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9-30 22:20:28.517000"/>
                    <pic:cNvPicPr>
                      <a:picLocks noChangeAspect="1"/>
                    </pic:cNvPicPr>
                  </pic:nvPicPr>
                  <pic:blipFill>
                    <a:blip r:embed="rId8"/>
                    <a:stretch>
                      <a:fillRect/>
                    </a:stretch>
                  </pic:blipFill>
                  <pic:spPr>
                    <a:xfrm>
                      <a:off x="0" y="0"/>
                      <a:ext cx="3449320" cy="3355975"/>
                    </a:xfrm>
                    <a:prstGeom prst="rect">
                      <a:avLst/>
                    </a:prstGeom>
                  </pic:spPr>
                </pic:pic>
              </a:graphicData>
            </a:graphic>
          </wp:inline>
        </w:drawing>
      </w:r>
    </w:p>
    <w:p w14:paraId="6D94D4E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Fig-01- CT PNS of Case 01, showing lesion over right side of palate without any bony erosion.</w:t>
      </w:r>
    </w:p>
    <w:p w14:paraId="01B87EFC" w14:textId="77777777" w:rsidR="00C01C4B" w:rsidRDefault="00C01C4B">
      <w:pPr>
        <w:rPr>
          <w:rFonts w:ascii="Times New Roman" w:eastAsia="Times New Roman" w:hAnsi="Times New Roman" w:cs="Times New Roman"/>
          <w:sz w:val="24"/>
        </w:rPr>
      </w:pPr>
    </w:p>
    <w:p w14:paraId="1DEC2DBD" w14:textId="77777777" w:rsidR="00C01C4B" w:rsidRDefault="00C01C4B">
      <w:pPr>
        <w:rPr>
          <w:rFonts w:ascii="Times New Roman" w:eastAsia="Times New Roman" w:hAnsi="Times New Roman" w:cs="Times New Roman"/>
          <w:sz w:val="24"/>
        </w:rPr>
      </w:pPr>
    </w:p>
    <w:p w14:paraId="08A37B3D"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114300" distR="114300" wp14:anchorId="7B8A2A29" wp14:editId="7E805004">
            <wp:extent cx="3215640" cy="3541395"/>
            <wp:effectExtent l="0" t="0" r="4445" b="0"/>
            <wp:docPr id="2" name="Picture 2" descr="2025-09-30 22:20:28.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9-30 22:20:28.602000"/>
                    <pic:cNvPicPr>
                      <a:picLocks noChangeAspect="1"/>
                    </pic:cNvPicPr>
                  </pic:nvPicPr>
                  <pic:blipFill>
                    <a:blip r:embed="rId9"/>
                    <a:stretch>
                      <a:fillRect/>
                    </a:stretch>
                  </pic:blipFill>
                  <pic:spPr>
                    <a:xfrm>
                      <a:off x="0" y="0"/>
                      <a:ext cx="3215640" cy="3541395"/>
                    </a:xfrm>
                    <a:prstGeom prst="rect">
                      <a:avLst/>
                    </a:prstGeom>
                  </pic:spPr>
                </pic:pic>
              </a:graphicData>
            </a:graphic>
          </wp:inline>
        </w:drawing>
      </w:r>
    </w:p>
    <w:p w14:paraId="02BB99E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Fig-02 - Case -02, Ulcerative lesion over left side of palate.</w:t>
      </w:r>
    </w:p>
    <w:p w14:paraId="720BABA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114300" distR="114300" wp14:anchorId="1B8AA3AA" wp14:editId="30B56E20">
            <wp:extent cx="3289935" cy="3509010"/>
            <wp:effectExtent l="0" t="0" r="0" b="4445"/>
            <wp:docPr id="4" name="Picture 4" descr="2025-10-14 10:31:26.48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10-14 10:31:26.487000"/>
                    <pic:cNvPicPr>
                      <a:picLocks noChangeAspect="1"/>
                    </pic:cNvPicPr>
                  </pic:nvPicPr>
                  <pic:blipFill>
                    <a:blip r:embed="rId10"/>
                    <a:stretch>
                      <a:fillRect/>
                    </a:stretch>
                  </pic:blipFill>
                  <pic:spPr>
                    <a:xfrm>
                      <a:off x="0" y="0"/>
                      <a:ext cx="3289935" cy="3509010"/>
                    </a:xfrm>
                    <a:prstGeom prst="rect">
                      <a:avLst/>
                    </a:prstGeom>
                  </pic:spPr>
                </pic:pic>
              </a:graphicData>
            </a:graphic>
          </wp:inline>
        </w:drawing>
      </w:r>
    </w:p>
    <w:p w14:paraId="44C4E7C2" w14:textId="77777777" w:rsidR="00C01C4B" w:rsidRDefault="00C01C4B">
      <w:pPr>
        <w:rPr>
          <w:rFonts w:ascii="Times New Roman" w:eastAsia="Times New Roman" w:hAnsi="Times New Roman" w:cs="Times New Roman"/>
          <w:sz w:val="24"/>
        </w:rPr>
      </w:pPr>
    </w:p>
    <w:p w14:paraId="50FBCFF9"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Fig-03 - Case 02- Lesion resolves post medical treatment </w:t>
      </w:r>
    </w:p>
    <w:sectPr w:rsidR="00C01C4B">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D8A5F" w14:textId="77777777" w:rsidR="00F931EA" w:rsidRDefault="00F931EA" w:rsidP="00F80E3A">
      <w:pPr>
        <w:spacing w:after="0" w:line="240" w:lineRule="auto"/>
      </w:pPr>
      <w:r>
        <w:separator/>
      </w:r>
    </w:p>
  </w:endnote>
  <w:endnote w:type="continuationSeparator" w:id="0">
    <w:p w14:paraId="28768958" w14:textId="77777777" w:rsidR="00F931EA" w:rsidRDefault="00F931EA" w:rsidP="00F80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E77E8" w14:textId="77777777" w:rsidR="00F80E3A" w:rsidRDefault="00F80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0FC1A" w14:textId="77777777" w:rsidR="00F80E3A" w:rsidRDefault="00F80E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FEF57" w14:textId="77777777" w:rsidR="00F80E3A" w:rsidRDefault="00F80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BE49D" w14:textId="77777777" w:rsidR="00F931EA" w:rsidRDefault="00F931EA" w:rsidP="00F80E3A">
      <w:pPr>
        <w:spacing w:after="0" w:line="240" w:lineRule="auto"/>
      </w:pPr>
      <w:r>
        <w:separator/>
      </w:r>
    </w:p>
  </w:footnote>
  <w:footnote w:type="continuationSeparator" w:id="0">
    <w:p w14:paraId="39DBD5FE" w14:textId="77777777" w:rsidR="00F931EA" w:rsidRDefault="00F931EA" w:rsidP="00F80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90BA9" w14:textId="0CB87330" w:rsidR="00F80E3A" w:rsidRDefault="00F80E3A">
    <w:pPr>
      <w:pStyle w:val="Header"/>
    </w:pPr>
    <w:r>
      <w:rPr>
        <w:noProof/>
      </w:rPr>
      <w:pict w14:anchorId="6D345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053360"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60AA3" w14:textId="01E638B0" w:rsidR="00F80E3A" w:rsidRDefault="00F80E3A">
    <w:pPr>
      <w:pStyle w:val="Header"/>
    </w:pPr>
    <w:r>
      <w:rPr>
        <w:noProof/>
      </w:rPr>
      <w:pict w14:anchorId="1CFF1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053361"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D87DB" w14:textId="7917089E" w:rsidR="00F80E3A" w:rsidRDefault="00F80E3A">
    <w:pPr>
      <w:pStyle w:val="Header"/>
    </w:pPr>
    <w:r>
      <w:rPr>
        <w:noProof/>
      </w:rPr>
      <w:pict w14:anchorId="2C349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053359"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c0MjE2NTA1NzMyMLVU0lEKTi0uzszPAykwrAUA+t73cywAAAA="/>
  </w:docVars>
  <w:rsids>
    <w:rsidRoot w:val="00C01C4B"/>
    <w:rsid w:val="00270EB4"/>
    <w:rsid w:val="00367BED"/>
    <w:rsid w:val="00991410"/>
    <w:rsid w:val="00A93AC6"/>
    <w:rsid w:val="00B830B0"/>
    <w:rsid w:val="00C01C4B"/>
    <w:rsid w:val="00E44B2C"/>
    <w:rsid w:val="00F80E3A"/>
    <w:rsid w:val="00F931EA"/>
    <w:rsid w:val="00FE2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2E5465"/>
  <w15:docId w15:val="{D7F7D5B0-D753-4F6A-A584-AFDF5C19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center"/>
    </w:pPr>
    <w:rPr>
      <w:sz w:val="18"/>
      <w:szCs w:val="18"/>
    </w:rPr>
  </w:style>
  <w:style w:type="paragraph" w:styleId="Header">
    <w:name w:val="header"/>
    <w:basedOn w:val="Normal"/>
    <w:pPr>
      <w:tabs>
        <w:tab w:val="center" w:pos="4153"/>
        <w:tab w:val="right" w:pos="8306"/>
      </w:tabs>
      <w:snapToGrid w:val="0"/>
      <w:jc w:val="center"/>
    </w:pPr>
    <w:rPr>
      <w:sz w:val="18"/>
      <w:szCs w:val="18"/>
    </w:rPr>
  </w:style>
  <w:style w:type="character" w:styleId="Hyperlink">
    <w:name w:val="Hyperlink"/>
    <w:basedOn w:val="DefaultParagraphFont"/>
    <w:rsid w:val="00E44B2C"/>
    <w:rPr>
      <w:color w:val="0563C1" w:themeColor="hyperlink"/>
      <w:u w:val="single"/>
    </w:rPr>
  </w:style>
  <w:style w:type="character" w:styleId="UnresolvedMention">
    <w:name w:val="Unresolved Mention"/>
    <w:basedOn w:val="DefaultParagraphFont"/>
    <w:uiPriority w:val="99"/>
    <w:semiHidden/>
    <w:unhideWhenUsed/>
    <w:rsid w:val="00E44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1832</Words>
  <Characters>10448</Characters>
  <Application>Microsoft Office Word</Application>
  <DocSecurity>0</DocSecurity>
  <Lines>87</Lines>
  <Paragraphs>24</Paragraphs>
  <ScaleCrop>false</ScaleCrop>
  <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iPad</dc:creator>
  <cp:lastModifiedBy>SDI 1084</cp:lastModifiedBy>
  <cp:revision>5</cp:revision>
  <dcterms:created xsi:type="dcterms:W3CDTF">2025-08-24T15:53:00Z</dcterms:created>
  <dcterms:modified xsi:type="dcterms:W3CDTF">2025-11-18T13:11:00Z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3081-11.34.01</vt:lpwstr>
  </property>
  <property fmtid="{D5CDD505-2E9C-101B-9397-08002B2CF9AE}" pid="3" name="ICV">
    <vt:lpwstr>63351BA6EF2D136B7C42A468F911F319_31</vt:lpwstr>
  </property>
  <property fmtid="{D5CDD505-2E9C-101B-9397-08002B2CF9AE}" pid="4" name="GrammarlyDocumentId">
    <vt:lpwstr>d13e64eb-6f64-4058-9688-edae2f1a8aa3</vt:lpwstr>
  </property>
</Properties>
</file>