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5AD32" w14:textId="77777777" w:rsidR="00E611D1" w:rsidRDefault="003E2051" w:rsidP="001D34AA">
      <w:pPr>
        <w:spacing w:line="36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Green Finance and Export Competitiveness: Evidence from India’s Renewable Energy Sector</w:t>
      </w:r>
    </w:p>
    <w:p w14:paraId="64A55FAE" w14:textId="5215CCBC" w:rsidR="00250EFD" w:rsidRDefault="00250EFD" w:rsidP="001D34AA">
      <w:pPr>
        <w:spacing w:line="360" w:lineRule="auto"/>
        <w:rPr>
          <w:rFonts w:ascii="Times New Roman" w:eastAsia="Times New Roman" w:hAnsi="Times New Roman" w:cs="Times New Roman"/>
          <w:b/>
          <w:bCs/>
          <w:sz w:val="24"/>
          <w:szCs w:val="24"/>
        </w:rPr>
      </w:pPr>
    </w:p>
    <w:p w14:paraId="295C2F7A" w14:textId="77777777" w:rsidR="001D34AA" w:rsidRDefault="001D34AA" w:rsidP="001D34AA">
      <w:pPr>
        <w:spacing w:line="360" w:lineRule="auto"/>
        <w:rPr>
          <w:rFonts w:ascii="Times New Roman" w:eastAsia="Times New Roman" w:hAnsi="Times New Roman" w:cs="Times New Roman"/>
          <w:b/>
          <w:bCs/>
          <w:sz w:val="24"/>
          <w:szCs w:val="24"/>
        </w:rPr>
      </w:pPr>
    </w:p>
    <w:p w14:paraId="743BD04E" w14:textId="77777777" w:rsidR="00E611D1" w:rsidRDefault="003E2051" w:rsidP="001D34AA">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Abstract </w:t>
      </w:r>
    </w:p>
    <w:p w14:paraId="35B348EE" w14:textId="77777777" w:rsidR="00E611D1" w:rsidRDefault="003E2051" w:rsidP="001D34AA">
      <w:pPr>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context of the developing low-carbon international trade framework, this paper investigates how Green Finance might improve India's export competitiveness for</w:t>
      </w:r>
      <w:r>
        <w:rPr>
          <w:rFonts w:ascii="Times New Roman" w:eastAsia="Times New Roman" w:hAnsi="Times New Roman" w:cs="Times New Roman"/>
          <w:sz w:val="24"/>
          <w:szCs w:val="24"/>
        </w:rPr>
        <w:t xml:space="preserve"> renewable energy. With the help of Financial Flow Mapping and PESTLE analysis, it employs a Descriptive-Analytical study design to evaluate the relationships between sustainable financing mechanisms, policy frameworks, and renewable export performance for</w:t>
      </w:r>
      <w:r>
        <w:rPr>
          <w:rFonts w:ascii="Times New Roman" w:eastAsia="Times New Roman" w:hAnsi="Times New Roman" w:cs="Times New Roman"/>
          <w:sz w:val="24"/>
          <w:szCs w:val="24"/>
        </w:rPr>
        <w:t xml:space="preserve"> FY 2023–2024. The findings show that Solar Photovoltaics account for about 60% of sectoral value, exports of renewable energy only make up 0.68% of India's total exports. However, export-oriented initiatives only receive 16% of green finance flows, indica</w:t>
      </w:r>
      <w:r>
        <w:rPr>
          <w:rFonts w:ascii="Times New Roman" w:eastAsia="Times New Roman" w:hAnsi="Times New Roman" w:cs="Times New Roman"/>
          <w:sz w:val="24"/>
          <w:szCs w:val="24"/>
        </w:rPr>
        <w:t xml:space="preserve">ting a lack of trade and finance policy coordination. Green bonds and concessional lending reduce financing costs and improve ESG compliance, as shown by the case studies of </w:t>
      </w:r>
      <w:proofErr w:type="spellStart"/>
      <w:r>
        <w:rPr>
          <w:rFonts w:ascii="Times New Roman" w:eastAsia="Times New Roman" w:hAnsi="Times New Roman" w:cs="Times New Roman"/>
          <w:sz w:val="24"/>
          <w:szCs w:val="24"/>
        </w:rPr>
        <w:t>ReNew</w:t>
      </w:r>
      <w:proofErr w:type="spellEnd"/>
      <w:r>
        <w:rPr>
          <w:rFonts w:ascii="Times New Roman" w:eastAsia="Times New Roman" w:hAnsi="Times New Roman" w:cs="Times New Roman"/>
          <w:sz w:val="24"/>
          <w:szCs w:val="24"/>
        </w:rPr>
        <w:t xml:space="preserve"> Power and Tata Power Solar. According to findings of the study, India must b</w:t>
      </w:r>
      <w:r>
        <w:rPr>
          <w:rFonts w:ascii="Times New Roman" w:eastAsia="Times New Roman" w:hAnsi="Times New Roman" w:cs="Times New Roman"/>
          <w:sz w:val="24"/>
          <w:szCs w:val="24"/>
        </w:rPr>
        <w:t>e positioned as a major player in the global trade of renewable energy by boosting export-linked green bonds, strengthening EXIM Bank's Green Window, and coordinating financial policies with trade objectives.</w:t>
      </w:r>
    </w:p>
    <w:p w14:paraId="3A01B165" w14:textId="77777777" w:rsidR="00E611D1" w:rsidRDefault="003E2051" w:rsidP="001D34AA">
      <w:pPr>
        <w:pBdr>
          <w:top w:val="nil"/>
          <w:left w:val="nil"/>
          <w:bottom w:val="nil"/>
          <w:right w:val="nil"/>
          <w:between w:val="nil"/>
        </w:pBdr>
        <w:spacing w:before="280" w:after="28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Keywords</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Green Finance, Renewable Energy Exports, EXIM Bank, Trade, Low carbon economy, Solar Photovoltaics (PV)</w:t>
      </w:r>
    </w:p>
    <w:p w14:paraId="6DFF4ED9" w14:textId="77777777" w:rsidR="00E611D1" w:rsidRDefault="003E2051" w:rsidP="001D34AA">
      <w:pPr>
        <w:pStyle w:val="Heading2"/>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Introduction</w:t>
      </w:r>
    </w:p>
    <w:p w14:paraId="7680CEE5" w14:textId="33491C5A" w:rsidR="00E611D1" w:rsidRDefault="003E2051" w:rsidP="001D34A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global trade landscape is undergoing a fundamental transformation driven by sustainability imperatives, carbon-neutral commitments, an</w:t>
      </w:r>
      <w:r>
        <w:rPr>
          <w:rFonts w:ascii="Times New Roman" w:eastAsia="Times New Roman" w:hAnsi="Times New Roman" w:cs="Times New Roman"/>
          <w:sz w:val="24"/>
          <w:szCs w:val="24"/>
        </w:rPr>
        <w:t>d the rapid diffusion of green technologies. This transition signals not only a reconfiguration of production and consumption patterns but also a realignment of financial and trade structures toward low-carbon pathways. As international markets increasingl</w:t>
      </w:r>
      <w:r>
        <w:rPr>
          <w:rFonts w:ascii="Times New Roman" w:eastAsia="Times New Roman" w:hAnsi="Times New Roman" w:cs="Times New Roman"/>
          <w:sz w:val="24"/>
          <w:szCs w:val="24"/>
        </w:rPr>
        <w:t xml:space="preserve">y integrate environmental criteria </w:t>
      </w:r>
      <w:r>
        <w:rPr>
          <w:rFonts w:ascii="Times New Roman" w:eastAsia="Times New Roman" w:hAnsi="Times New Roman" w:cs="Times New Roman"/>
          <w:sz w:val="24"/>
          <w:szCs w:val="24"/>
        </w:rPr>
        <w:lastRenderedPageBreak/>
        <w:t>such as carbon footprints, energy efficiency, and ESG compliance economic competitiveness is being reshaped by the capacity to mobilize sustainable finance and adopt clean technologies</w:t>
      </w:r>
      <w:r w:rsidR="005D61BD">
        <w:rPr>
          <w:rFonts w:ascii="Times New Roman" w:eastAsia="Times New Roman" w:hAnsi="Times New Roman" w:cs="Times New Roman"/>
          <w:sz w:val="24"/>
          <w:szCs w:val="24"/>
        </w:rPr>
        <w:t xml:space="preserve"> (</w:t>
      </w:r>
      <w:r w:rsidR="005D61BD" w:rsidRPr="005D61BD">
        <w:rPr>
          <w:rFonts w:ascii="Times New Roman" w:eastAsia="Times New Roman" w:hAnsi="Times New Roman" w:cs="Times New Roman"/>
          <w:sz w:val="24"/>
          <w:szCs w:val="24"/>
        </w:rPr>
        <w:t>Hossain</w:t>
      </w:r>
      <w:r w:rsidR="005D61BD">
        <w:rPr>
          <w:rFonts w:ascii="Times New Roman" w:eastAsia="Times New Roman" w:hAnsi="Times New Roman" w:cs="Times New Roman"/>
          <w:sz w:val="24"/>
          <w:szCs w:val="24"/>
        </w:rPr>
        <w:t xml:space="preserve"> et al., 2024)</w:t>
      </w:r>
      <w:r>
        <w:rPr>
          <w:rFonts w:ascii="Times New Roman" w:eastAsia="Times New Roman" w:hAnsi="Times New Roman" w:cs="Times New Roman"/>
          <w:sz w:val="24"/>
          <w:szCs w:val="24"/>
        </w:rPr>
        <w:t>. For emerging</w:t>
      </w:r>
      <w:r>
        <w:rPr>
          <w:rFonts w:ascii="Times New Roman" w:eastAsia="Times New Roman" w:hAnsi="Times New Roman" w:cs="Times New Roman"/>
          <w:sz w:val="24"/>
          <w:szCs w:val="24"/>
        </w:rPr>
        <w:t xml:space="preserve"> economies like India, this paradigm shift presents a dual challenge: sustaining high economic growth while achieving environmental resilience through innovative financial and policy mechanisms.</w:t>
      </w:r>
    </w:p>
    <w:p w14:paraId="468E0EF8" w14:textId="77777777" w:rsidR="00E611D1" w:rsidRDefault="003E2051" w:rsidP="001D34A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 endowed with vast solar and wind potential, has achiev</w:t>
      </w:r>
      <w:r>
        <w:rPr>
          <w:rFonts w:ascii="Times New Roman" w:eastAsia="Times New Roman" w:hAnsi="Times New Roman" w:cs="Times New Roman"/>
          <w:sz w:val="24"/>
          <w:szCs w:val="24"/>
        </w:rPr>
        <w:t>ed remarkable progress in renewable energy deployment, positioning itself among the top producers globally. Nevertheless, its participation in renewable energy exports remains relatively limited when compared to its production potential. This disconnect un</w:t>
      </w:r>
      <w:r>
        <w:rPr>
          <w:rFonts w:ascii="Times New Roman" w:eastAsia="Times New Roman" w:hAnsi="Times New Roman" w:cs="Times New Roman"/>
          <w:sz w:val="24"/>
          <w:szCs w:val="24"/>
        </w:rPr>
        <w:t>derscores the need to examine the structural and financial factors constraining India’s integration into the global green trade network. India’s renewable energy financing framework has matured through diversified policy interventions and rising investor c</w:t>
      </w:r>
      <w:r>
        <w:rPr>
          <w:rFonts w:ascii="Times New Roman" w:eastAsia="Times New Roman" w:hAnsi="Times New Roman" w:cs="Times New Roman"/>
          <w:sz w:val="24"/>
          <w:szCs w:val="24"/>
        </w:rPr>
        <w:t>onfidence in sustainable assets (Mohanty,2024). Green finance aimed at aligning financial systems with environmental goals which plays a vital role in bridging the sustainability gap. Instruments such as green bonds, sustainability-linked loans, and ESG-fo</w:t>
      </w:r>
      <w:r>
        <w:rPr>
          <w:rFonts w:ascii="Times New Roman" w:eastAsia="Times New Roman" w:hAnsi="Times New Roman" w:cs="Times New Roman"/>
          <w:sz w:val="24"/>
          <w:szCs w:val="24"/>
        </w:rPr>
        <w:t>cused funds help drive clean energy transitions by directing investments toward low-carbon projects and infrastructure.</w:t>
      </w:r>
    </w:p>
    <w:p w14:paraId="52E10999" w14:textId="77777777" w:rsidR="00E611D1" w:rsidRDefault="003E2051" w:rsidP="001D34AA">
      <w:p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Green Finance products have fostered the expansion of renewable energy infrastructure by improving access to capital and reducing financ</w:t>
      </w:r>
      <w:r>
        <w:rPr>
          <w:rFonts w:ascii="Times New Roman" w:eastAsia="Times New Roman" w:hAnsi="Times New Roman" w:cs="Times New Roman"/>
          <w:sz w:val="24"/>
          <w:szCs w:val="24"/>
        </w:rPr>
        <w:t>ing risks.</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Renewable Energy refers to power obtained from naturally replenishing sources that regenerate faster than they are consumed. Examples include solar and wind energy, which are continuously available in </w:t>
      </w:r>
      <w:proofErr w:type="spellStart"/>
      <w:proofErr w:type="gramStart"/>
      <w:r>
        <w:rPr>
          <w:rFonts w:ascii="Times New Roman" w:eastAsia="Times New Roman" w:hAnsi="Times New Roman" w:cs="Times New Roman"/>
          <w:sz w:val="24"/>
          <w:szCs w:val="24"/>
        </w:rPr>
        <w:t>nature.These</w:t>
      </w:r>
      <w:proofErr w:type="spellEnd"/>
      <w:proofErr w:type="gramEnd"/>
      <w:r>
        <w:rPr>
          <w:rFonts w:ascii="Times New Roman" w:eastAsia="Times New Roman" w:hAnsi="Times New Roman" w:cs="Times New Roman"/>
          <w:sz w:val="24"/>
          <w:szCs w:val="24"/>
        </w:rPr>
        <w:t xml:space="preserve"> sources are abundant and widely</w:t>
      </w:r>
      <w:r>
        <w:rPr>
          <w:rFonts w:ascii="Times New Roman" w:eastAsia="Times New Roman" w:hAnsi="Times New Roman" w:cs="Times New Roman"/>
          <w:sz w:val="24"/>
          <w:szCs w:val="24"/>
        </w:rPr>
        <w:t xml:space="preserve"> accessible. Producing energy from renewables results in significantly fewer emissions compared to fossil fuels. Shifting away from fossil fuels which contribute the majority of global emissions to renewable energy is essential for mitigating the climate c</w:t>
      </w:r>
      <w:r>
        <w:rPr>
          <w:rFonts w:ascii="Times New Roman" w:eastAsia="Times New Roman" w:hAnsi="Times New Roman" w:cs="Times New Roman"/>
          <w:sz w:val="24"/>
          <w:szCs w:val="24"/>
        </w:rPr>
        <w:t>risis (United Nation,2022). However, despite these achievements, the linkage between green financial flows and renewable energy trade performance remains underexplored (Perwez and Safiuddin,2025). Global spillover effects exist between green finance and re</w:t>
      </w:r>
      <w:r>
        <w:rPr>
          <w:rFonts w:ascii="Times New Roman" w:eastAsia="Times New Roman" w:hAnsi="Times New Roman" w:cs="Times New Roman"/>
          <w:sz w:val="24"/>
          <w:szCs w:val="24"/>
        </w:rPr>
        <w:t xml:space="preserve">newable energy investment, their implications for export competitiveness particularly in emerging economies are insufficiently studied. The gap is especially relevant for India where green capital </w:t>
      </w:r>
      <w:r>
        <w:rPr>
          <w:rFonts w:ascii="Times New Roman" w:eastAsia="Times New Roman" w:hAnsi="Times New Roman" w:cs="Times New Roman"/>
          <w:sz w:val="24"/>
          <w:szCs w:val="24"/>
        </w:rPr>
        <w:lastRenderedPageBreak/>
        <w:t>mobilization could significantly strengthen its renewable e</w:t>
      </w:r>
      <w:r>
        <w:rPr>
          <w:rFonts w:ascii="Times New Roman" w:eastAsia="Times New Roman" w:hAnsi="Times New Roman" w:cs="Times New Roman"/>
          <w:sz w:val="24"/>
          <w:szCs w:val="24"/>
        </w:rPr>
        <w:t>xport capacity and global trade positioning (Dogan et al. 2022).</w:t>
      </w:r>
    </w:p>
    <w:p w14:paraId="1E3A13B1" w14:textId="77777777" w:rsidR="00E611D1" w:rsidRDefault="003E2051" w:rsidP="001D34AA">
      <w:p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global trade increasingly aligns with climate-focused policies and sustainable value chains, green finance emerges as a key factor in shaping trade competitiveness. Nations embedding susta</w:t>
      </w:r>
      <w:r>
        <w:rPr>
          <w:rFonts w:ascii="Times New Roman" w:eastAsia="Times New Roman" w:hAnsi="Times New Roman" w:cs="Times New Roman"/>
          <w:sz w:val="24"/>
          <w:szCs w:val="24"/>
        </w:rPr>
        <w:t>inability into their economies gain better access to green markets and climate finance. For India, positioning green finance as a strategic trade tool could strengthen its role in global commerce, underscoring the intersection of trade policy, environmenta</w:t>
      </w:r>
      <w:r>
        <w:rPr>
          <w:rFonts w:ascii="Times New Roman" w:eastAsia="Times New Roman" w:hAnsi="Times New Roman" w:cs="Times New Roman"/>
          <w:sz w:val="24"/>
          <w:szCs w:val="24"/>
        </w:rPr>
        <w:t>l finance, and sustainability.</w:t>
      </w:r>
    </w:p>
    <w:p w14:paraId="3512305D" w14:textId="77777777" w:rsidR="00E611D1" w:rsidRDefault="003E2051" w:rsidP="001D34AA">
      <w:p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explores at how green finance tools affect India's competitiveness in the global low-carbon economy and its export performance for renewable energy. It evaluates the political, economic, social, technological, legal</w:t>
      </w:r>
      <w:r>
        <w:rPr>
          <w:rFonts w:ascii="Times New Roman" w:eastAsia="Times New Roman" w:hAnsi="Times New Roman" w:cs="Times New Roman"/>
          <w:sz w:val="24"/>
          <w:szCs w:val="24"/>
        </w:rPr>
        <w:t>, and environmental facets of the green finance-trade relationship using a PESTLE paradigm. Policymakers, investors, and trade organizations can use the findings to improve India's position in the green trading system and sustainable economic diplomacy.</w:t>
      </w:r>
    </w:p>
    <w:p w14:paraId="15D62911" w14:textId="77777777" w:rsidR="00E611D1" w:rsidRDefault="003E2051" w:rsidP="001D34AA">
      <w:pPr>
        <w:spacing w:before="280" w:after="28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Li</w:t>
      </w:r>
      <w:r>
        <w:rPr>
          <w:rFonts w:ascii="Times New Roman" w:eastAsia="Times New Roman" w:hAnsi="Times New Roman" w:cs="Times New Roman"/>
          <w:b/>
          <w:bCs/>
          <w:color w:val="000000"/>
          <w:sz w:val="28"/>
          <w:szCs w:val="28"/>
        </w:rPr>
        <w:t>terature Review</w:t>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 xml:space="preserve">Existing literature highlights the evolving role of green finance in supporting renewable energy growth. </w:t>
      </w:r>
    </w:p>
    <w:p w14:paraId="53F23D61" w14:textId="77777777" w:rsidR="00E611D1" w:rsidRDefault="003E2051" w:rsidP="001D34AA">
      <w:pPr>
        <w:numPr>
          <w:ilvl w:val="0"/>
          <w:numId w:val="2"/>
        </w:numPr>
        <w:pBdr>
          <w:top w:val="nil"/>
          <w:left w:val="nil"/>
          <w:bottom w:val="nil"/>
          <w:right w:val="nil"/>
          <w:between w:val="nil"/>
        </w:pBdr>
        <w:spacing w:before="28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Perwez and Safiuddin (2025)</w:t>
      </w:r>
      <w:r>
        <w:rPr>
          <w:rFonts w:ascii="Times New Roman" w:eastAsia="Times New Roman" w:hAnsi="Times New Roman" w:cs="Times New Roman"/>
          <w:color w:val="000000"/>
          <w:sz w:val="24"/>
          <w:szCs w:val="24"/>
        </w:rPr>
        <w:t xml:space="preserve"> explore the implementation of green financing in India’s renewable energy sector, emphasizing how instruments like green bonds and concessional loans support sustainable energy initiatives. The study identifies barriers such as limited awareness, high cos</w:t>
      </w:r>
      <w:r>
        <w:rPr>
          <w:rFonts w:ascii="Times New Roman" w:eastAsia="Times New Roman" w:hAnsi="Times New Roman" w:cs="Times New Roman"/>
          <w:color w:val="000000"/>
          <w:sz w:val="24"/>
          <w:szCs w:val="24"/>
        </w:rPr>
        <w:t xml:space="preserve">ts, and regulatory challenges that restrict the effective use of green finance. It highlights the need for stronger institutional frameworks to boost investments in renewable energy, offering valuable insights into the relationship between green financial </w:t>
      </w:r>
      <w:r>
        <w:rPr>
          <w:rFonts w:ascii="Times New Roman" w:eastAsia="Times New Roman" w:hAnsi="Times New Roman" w:cs="Times New Roman"/>
          <w:color w:val="000000"/>
          <w:sz w:val="24"/>
          <w:szCs w:val="24"/>
        </w:rPr>
        <w:t>mechanisms and sectoral growth.</w:t>
      </w:r>
    </w:p>
    <w:p w14:paraId="0F2981AA" w14:textId="77777777" w:rsidR="00E611D1" w:rsidRDefault="003E2051" w:rsidP="001D34AA">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Khemnar</w:t>
      </w:r>
      <w:proofErr w:type="spellEnd"/>
      <w:r>
        <w:rPr>
          <w:rFonts w:ascii="Times New Roman" w:eastAsia="Times New Roman" w:hAnsi="Times New Roman" w:cs="Times New Roman"/>
          <w:b/>
          <w:bCs/>
          <w:color w:val="000000"/>
          <w:sz w:val="24"/>
          <w:szCs w:val="24"/>
        </w:rPr>
        <w:t xml:space="preserve"> and Pandey (2024)</w:t>
      </w:r>
      <w:r>
        <w:rPr>
          <w:rFonts w:ascii="Times New Roman" w:eastAsia="Times New Roman" w:hAnsi="Times New Roman" w:cs="Times New Roman"/>
          <w:color w:val="000000"/>
          <w:sz w:val="24"/>
          <w:szCs w:val="24"/>
        </w:rPr>
        <w:t xml:space="preserve"> Their study highlights green finance as a key driver of India’s renewable energy expansion, noting that instruments like green bonds, concessional loans, and sustainability-linked investments enhance capital </w:t>
      </w:r>
      <w:r>
        <w:rPr>
          <w:rFonts w:ascii="Times New Roman" w:eastAsia="Times New Roman" w:hAnsi="Times New Roman" w:cs="Times New Roman"/>
          <w:color w:val="000000"/>
          <w:sz w:val="24"/>
          <w:szCs w:val="24"/>
        </w:rPr>
        <w:lastRenderedPageBreak/>
        <w:t>access and lower risks. It also points to the c</w:t>
      </w:r>
      <w:r>
        <w:rPr>
          <w:rFonts w:ascii="Times New Roman" w:eastAsia="Times New Roman" w:hAnsi="Times New Roman" w:cs="Times New Roman"/>
          <w:color w:val="000000"/>
          <w:sz w:val="24"/>
          <w:szCs w:val="24"/>
        </w:rPr>
        <w:t>rucial role of supportive policies, institutional frameworks, and international funding. Overall, the research identifies green finance as both an economic catalyst and a strategic tool for advancing India’s environmental and development objectives.</w:t>
      </w:r>
    </w:p>
    <w:p w14:paraId="46601EEA" w14:textId="77777777" w:rsidR="00E611D1" w:rsidRDefault="003E2051" w:rsidP="001D34AA">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Mohant</w:t>
      </w:r>
      <w:r>
        <w:rPr>
          <w:rFonts w:ascii="Times New Roman" w:eastAsia="Times New Roman" w:hAnsi="Times New Roman" w:cs="Times New Roman"/>
          <w:b/>
          <w:bCs/>
          <w:color w:val="000000"/>
          <w:sz w:val="24"/>
          <w:szCs w:val="24"/>
        </w:rPr>
        <w:t>y (2024)</w:t>
      </w:r>
      <w:r>
        <w:rPr>
          <w:rFonts w:ascii="Times New Roman" w:eastAsia="Times New Roman" w:hAnsi="Times New Roman" w:cs="Times New Roman"/>
          <w:color w:val="000000"/>
          <w:sz w:val="24"/>
          <w:szCs w:val="24"/>
        </w:rPr>
        <w:t xml:space="preserve"> analyzes India’s renewable energy financing, emphasizing the role of green bonds, carbon credits, venture capital, and public–private partnerships in scaling sustainable investments. The study highlights that effective policies, fiscal incentives,</w:t>
      </w:r>
      <w:r>
        <w:rPr>
          <w:rFonts w:ascii="Times New Roman" w:eastAsia="Times New Roman" w:hAnsi="Times New Roman" w:cs="Times New Roman"/>
          <w:color w:val="000000"/>
          <w:sz w:val="24"/>
          <w:szCs w:val="24"/>
        </w:rPr>
        <w:t xml:space="preserve"> and risk-mitigation measures are vital to attract investors, while improved financial literacy and institutional support enhance project sustainability. It concludes that structured financing mechanisms are key to accelerating India’s shift toward a low-c</w:t>
      </w:r>
      <w:r>
        <w:rPr>
          <w:rFonts w:ascii="Times New Roman" w:eastAsia="Times New Roman" w:hAnsi="Times New Roman" w:cs="Times New Roman"/>
          <w:color w:val="000000"/>
          <w:sz w:val="24"/>
          <w:szCs w:val="24"/>
        </w:rPr>
        <w:t>arbon, energy-secure economy.</w:t>
      </w:r>
    </w:p>
    <w:p w14:paraId="708ECDC6" w14:textId="77777777" w:rsidR="00E611D1" w:rsidRDefault="003E2051" w:rsidP="001D34AA">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Dong et al. (2023)</w:t>
      </w:r>
      <w:r>
        <w:rPr>
          <w:rFonts w:ascii="Times New Roman" w:eastAsia="Times New Roman" w:hAnsi="Times New Roman" w:cs="Times New Roman"/>
          <w:color w:val="000000"/>
          <w:sz w:val="24"/>
          <w:szCs w:val="24"/>
        </w:rPr>
        <w:t xml:space="preserve"> examine the interaction between renewable energy investment, green finance, and geopolitical risk in reducing environmental pollution in China. The study finds that increases in green finance and clean energ</w:t>
      </w:r>
      <w:r>
        <w:rPr>
          <w:rFonts w:ascii="Times New Roman" w:eastAsia="Times New Roman" w:hAnsi="Times New Roman" w:cs="Times New Roman"/>
          <w:color w:val="000000"/>
          <w:sz w:val="24"/>
          <w:szCs w:val="24"/>
        </w:rPr>
        <w:t>y innovation significantly lower pollution, while geopolitical instability weakens these effects. It concludes that aligning financial investment, technological progress, and geopolitical stability is essential for sustainable development.</w:t>
      </w:r>
    </w:p>
    <w:p w14:paraId="31790BCF" w14:textId="77777777" w:rsidR="00E611D1" w:rsidRDefault="003E2051" w:rsidP="001D34AA">
      <w:pPr>
        <w:numPr>
          <w:ilvl w:val="0"/>
          <w:numId w:val="2"/>
        </w:numPr>
        <w:pBdr>
          <w:top w:val="nil"/>
          <w:left w:val="nil"/>
          <w:bottom w:val="nil"/>
          <w:right w:val="nil"/>
          <w:between w:val="nil"/>
        </w:pBdr>
        <w:spacing w:after="0" w:line="360" w:lineRule="auto"/>
        <w:rPr>
          <w:color w:val="000000"/>
        </w:rPr>
      </w:pPr>
      <w:r>
        <w:rPr>
          <w:rFonts w:ascii="Times New Roman" w:eastAsia="Times New Roman" w:hAnsi="Times New Roman" w:cs="Times New Roman"/>
          <w:color w:val="000000"/>
          <w:sz w:val="24"/>
          <w:szCs w:val="24"/>
        </w:rPr>
        <w:t xml:space="preserve">According to </w:t>
      </w:r>
      <w:proofErr w:type="spellStart"/>
      <w:r>
        <w:rPr>
          <w:rFonts w:ascii="Times New Roman" w:eastAsia="Times New Roman" w:hAnsi="Times New Roman" w:cs="Times New Roman"/>
          <w:b/>
          <w:bCs/>
          <w:color w:val="000000"/>
          <w:sz w:val="24"/>
          <w:szCs w:val="24"/>
        </w:rPr>
        <w:t>Mav</w:t>
      </w:r>
      <w:r>
        <w:rPr>
          <w:rFonts w:ascii="Times New Roman" w:eastAsia="Times New Roman" w:hAnsi="Times New Roman" w:cs="Times New Roman"/>
          <w:b/>
          <w:bCs/>
          <w:color w:val="000000"/>
          <w:sz w:val="24"/>
          <w:szCs w:val="24"/>
        </w:rPr>
        <w:t>lutova</w:t>
      </w:r>
      <w:proofErr w:type="spellEnd"/>
      <w:r>
        <w:rPr>
          <w:rFonts w:ascii="Times New Roman" w:eastAsia="Times New Roman" w:hAnsi="Times New Roman" w:cs="Times New Roman"/>
          <w:b/>
          <w:bCs/>
          <w:color w:val="000000"/>
          <w:sz w:val="24"/>
          <w:szCs w:val="24"/>
        </w:rPr>
        <w:t xml:space="preserve"> et al. (2023),</w:t>
      </w:r>
      <w:r>
        <w:rPr>
          <w:rFonts w:ascii="Times New Roman" w:eastAsia="Times New Roman" w:hAnsi="Times New Roman" w:cs="Times New Roman"/>
          <w:color w:val="000000"/>
          <w:sz w:val="24"/>
          <w:szCs w:val="24"/>
        </w:rPr>
        <w:t xml:space="preserve"> Green finance has become a key driver of sustainability and renewable energy growth in OECD countries. Since 2018, research and policy interest in green bonds and sustainable investments has risen sharply. The study finds that expandi</w:t>
      </w:r>
      <w:r>
        <w:rPr>
          <w:rFonts w:ascii="Times New Roman" w:eastAsia="Times New Roman" w:hAnsi="Times New Roman" w:cs="Times New Roman"/>
          <w:color w:val="000000"/>
          <w:sz w:val="24"/>
          <w:szCs w:val="24"/>
        </w:rPr>
        <w:t xml:space="preserve">ng green bond markets reduces carbon intensity and increases the share of renewables in the energy mix. However, inconsistent regulations, weak verification, and greenwashing risks remain major challenges, underscoring the need for stronger governance and </w:t>
      </w:r>
      <w:r>
        <w:rPr>
          <w:rFonts w:ascii="Times New Roman" w:eastAsia="Times New Roman" w:hAnsi="Times New Roman" w:cs="Times New Roman"/>
          <w:color w:val="000000"/>
          <w:sz w:val="24"/>
          <w:szCs w:val="24"/>
        </w:rPr>
        <w:t>institutional coordination to improve the effectiveness of green finance.</w:t>
      </w:r>
    </w:p>
    <w:p w14:paraId="0BC6C6D0" w14:textId="77777777" w:rsidR="00E611D1" w:rsidRDefault="003E2051" w:rsidP="001D34AA">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Lin et al</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b/>
          <w:bCs/>
          <w:color w:val="000000"/>
          <w:sz w:val="24"/>
          <w:szCs w:val="24"/>
        </w:rPr>
        <w:t xml:space="preserve"> (2023)</w:t>
      </w:r>
      <w:r>
        <w:rPr>
          <w:rFonts w:ascii="Times New Roman" w:eastAsia="Times New Roman" w:hAnsi="Times New Roman" w:cs="Times New Roman"/>
          <w:color w:val="000000"/>
          <w:sz w:val="24"/>
          <w:szCs w:val="24"/>
        </w:rPr>
        <w:t xml:space="preserve"> study explores the impact of sustainable finance, geopolitical risks, and economic growth on renewable energy investments in China. They find that sustainable finan</w:t>
      </w:r>
      <w:r>
        <w:rPr>
          <w:rFonts w:ascii="Times New Roman" w:eastAsia="Times New Roman" w:hAnsi="Times New Roman" w:cs="Times New Roman"/>
          <w:color w:val="000000"/>
          <w:sz w:val="24"/>
          <w:szCs w:val="24"/>
        </w:rPr>
        <w:t>cial instruments boost renewable energy deployment, while geopolitical uncertainties hinder investment. Economic expansion enhances green financing policies effectiveness.</w:t>
      </w:r>
    </w:p>
    <w:p w14:paraId="63C5DF65" w14:textId="77777777" w:rsidR="00E611D1" w:rsidRDefault="003E2051" w:rsidP="001D34AA">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4"/>
          <w:szCs w:val="24"/>
        </w:rPr>
        <w:lastRenderedPageBreak/>
        <w:t>Sun and Chen (2022)</w:t>
      </w:r>
      <w:r>
        <w:rPr>
          <w:rFonts w:ascii="Times New Roman" w:eastAsia="Times New Roman" w:hAnsi="Times New Roman" w:cs="Times New Roman"/>
          <w:color w:val="000000"/>
          <w:sz w:val="24"/>
          <w:szCs w:val="24"/>
        </w:rPr>
        <w:t>, investigated the impact of green finance on China’s regional en</w:t>
      </w:r>
      <w:r>
        <w:rPr>
          <w:rFonts w:ascii="Times New Roman" w:eastAsia="Times New Roman" w:hAnsi="Times New Roman" w:cs="Times New Roman"/>
          <w:color w:val="000000"/>
          <w:sz w:val="24"/>
          <w:szCs w:val="24"/>
        </w:rPr>
        <w:t>ergy consumption using provincial panel data and a system GMM model. They find that green finance reduces fossil fuel reliance and promotes renewable energy, especially in central and western regions. The study highlights its role in achieving China’s “dua</w:t>
      </w:r>
      <w:r>
        <w:rPr>
          <w:rFonts w:ascii="Times New Roman" w:eastAsia="Times New Roman" w:hAnsi="Times New Roman" w:cs="Times New Roman"/>
          <w:color w:val="000000"/>
          <w:sz w:val="24"/>
          <w:szCs w:val="24"/>
        </w:rPr>
        <w:t>l carbon” goals but notes data limitations and regional gaps, suggesting future research use more detailed, region-specific analyses.</w:t>
      </w:r>
    </w:p>
    <w:p w14:paraId="39180A9F" w14:textId="77777777" w:rsidR="00E611D1" w:rsidRDefault="003E2051" w:rsidP="001D34AA">
      <w:pPr>
        <w:numPr>
          <w:ilvl w:val="0"/>
          <w:numId w:val="2"/>
        </w:numPr>
        <w:pBdr>
          <w:top w:val="nil"/>
          <w:left w:val="nil"/>
          <w:bottom w:val="nil"/>
          <w:right w:val="nil"/>
          <w:between w:val="nil"/>
        </w:pBdr>
        <w:spacing w:after="28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Sarangi (2018)</w:t>
      </w:r>
      <w:r>
        <w:rPr>
          <w:rFonts w:ascii="Times New Roman" w:eastAsia="Times New Roman" w:hAnsi="Times New Roman" w:cs="Times New Roman"/>
          <w:color w:val="000000"/>
          <w:sz w:val="24"/>
          <w:szCs w:val="24"/>
        </w:rPr>
        <w:t xml:space="preserve"> highlights key barriers to green energy financing, including limited long-term capital, high investment ris</w:t>
      </w:r>
      <w:r>
        <w:rPr>
          <w:rFonts w:ascii="Times New Roman" w:eastAsia="Times New Roman" w:hAnsi="Times New Roman" w:cs="Times New Roman"/>
          <w:color w:val="000000"/>
          <w:sz w:val="24"/>
          <w:szCs w:val="24"/>
        </w:rPr>
        <w:t xml:space="preserve">ks, and weak policy coordination. The study advocates for innovative tools such as green bonds and risk-mitigation funds to attract private investment and concludes that strong regulatory and institutional frameworks are vital to expand sustainable energy </w:t>
      </w:r>
      <w:r>
        <w:rPr>
          <w:rFonts w:ascii="Times New Roman" w:eastAsia="Times New Roman" w:hAnsi="Times New Roman" w:cs="Times New Roman"/>
          <w:color w:val="000000"/>
          <w:sz w:val="24"/>
          <w:szCs w:val="24"/>
        </w:rPr>
        <w:t>finance in India.</w:t>
      </w:r>
    </w:p>
    <w:p w14:paraId="6A5C42F0" w14:textId="77777777" w:rsidR="00E611D1" w:rsidRDefault="003E2051" w:rsidP="001D34AA">
      <w:pPr>
        <w:spacing w:before="280" w:after="28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Research Gap</w:t>
      </w:r>
    </w:p>
    <w:p w14:paraId="7080CE78" w14:textId="77777777" w:rsidR="00E611D1" w:rsidRDefault="003E2051" w:rsidP="001D34AA">
      <w:pPr>
        <w:spacing w:before="280" w:after="28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4"/>
          <w:szCs w:val="24"/>
        </w:rPr>
        <w:t xml:space="preserve">Existing research primarily focuses on green finance as a tool for renewable energy deployment, with little attention to its direct impact on export competitiveness. The interaction between sustainable finance and trade </w:t>
      </w:r>
      <w:r>
        <w:rPr>
          <w:rFonts w:ascii="Times New Roman" w:eastAsia="Times New Roman" w:hAnsi="Times New Roman" w:cs="Times New Roman"/>
          <w:color w:val="000000"/>
          <w:sz w:val="24"/>
          <w:szCs w:val="24"/>
        </w:rPr>
        <w:t>policy is rarely examined in an integrated framework. Addressing this gap requires analyzing how financial mechanisms, institutional structures, and policy instruments can collectively strengthen India’s renewable export position in global markets.</w:t>
      </w:r>
    </w:p>
    <w:p w14:paraId="187DD745" w14:textId="77777777" w:rsidR="00E611D1" w:rsidRDefault="003E2051" w:rsidP="001D34AA">
      <w:pPr>
        <w:spacing w:before="280" w:after="28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Objecti</w:t>
      </w:r>
      <w:r>
        <w:rPr>
          <w:rFonts w:ascii="Times New Roman" w:eastAsia="Times New Roman" w:hAnsi="Times New Roman" w:cs="Times New Roman"/>
          <w:b/>
          <w:bCs/>
          <w:color w:val="000000"/>
          <w:sz w:val="28"/>
          <w:szCs w:val="28"/>
        </w:rPr>
        <w:t>ves of the Study</w:t>
      </w:r>
    </w:p>
    <w:p w14:paraId="2EB82758" w14:textId="77777777" w:rsidR="00E611D1" w:rsidRDefault="003E2051" w:rsidP="001D34AA">
      <w:pPr>
        <w:numPr>
          <w:ilvl w:val="0"/>
          <w:numId w:val="4"/>
        </w:numPr>
        <w:pBdr>
          <w:top w:val="nil"/>
          <w:left w:val="nil"/>
          <w:bottom w:val="nil"/>
          <w:right w:val="nil"/>
          <w:between w:val="nil"/>
        </w:pBdr>
        <w:spacing w:before="28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analyze the sectoral composition and export performance of India’s renewable energy industry during FY 2023–24. </w:t>
      </w:r>
    </w:p>
    <w:p w14:paraId="69CA1410" w14:textId="77777777" w:rsidR="00E611D1" w:rsidRDefault="003E2051" w:rsidP="001D34AA">
      <w:pPr>
        <w:numPr>
          <w:ilvl w:val="0"/>
          <w:numId w:val="4"/>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To evaluate the role of green finance in strengthening India’s renewable energy trade within the emerging world trade order</w:t>
      </w:r>
      <w:r>
        <w:rPr>
          <w:rFonts w:ascii="Times New Roman" w:eastAsia="Times New Roman" w:hAnsi="Times New Roman" w:cs="Times New Roman"/>
          <w:color w:val="000000"/>
          <w:sz w:val="24"/>
          <w:szCs w:val="24"/>
        </w:rPr>
        <w:t>.</w:t>
      </w:r>
    </w:p>
    <w:p w14:paraId="08709364" w14:textId="77777777" w:rsidR="00E611D1" w:rsidRDefault="003E2051" w:rsidP="001D34AA">
      <w:pPr>
        <w:pStyle w:val="Heading2"/>
        <w:numPr>
          <w:ilvl w:val="0"/>
          <w:numId w:val="4"/>
        </w:num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bCs w:val="0"/>
          <w:color w:val="000000"/>
          <w:sz w:val="24"/>
          <w:szCs w:val="24"/>
        </w:rPr>
        <w:t>To assess the impact of green bond financing on the competitiveness of India’s solar photovoltaic exports.</w:t>
      </w:r>
    </w:p>
    <w:p w14:paraId="61D3142E" w14:textId="77777777" w:rsidR="00E611D1" w:rsidRDefault="003E2051" w:rsidP="001D34AA">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Statement of the Problem</w:t>
      </w:r>
    </w:p>
    <w:p w14:paraId="79BA1308" w14:textId="77777777" w:rsidR="00E611D1" w:rsidRDefault="003E2051" w:rsidP="001D34A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Although India has become a significant producer of renewable energy, its proportion of the world's exports of renewable </w:t>
      </w:r>
      <w:r>
        <w:rPr>
          <w:rFonts w:ascii="Times New Roman" w:eastAsia="Times New Roman" w:hAnsi="Times New Roman" w:cs="Times New Roman"/>
          <w:sz w:val="24"/>
          <w:szCs w:val="24"/>
        </w:rPr>
        <w:t>energy is still small. Although programs like concessional credit and green bonds have broadened the reach of green financing, there is still no connection between them and renewable energy projects that are focused on exports. High finance costs, restrict</w:t>
      </w:r>
      <w:r>
        <w:rPr>
          <w:rFonts w:ascii="Times New Roman" w:eastAsia="Times New Roman" w:hAnsi="Times New Roman" w:cs="Times New Roman"/>
          <w:sz w:val="24"/>
          <w:szCs w:val="24"/>
        </w:rPr>
        <w:t>ed access to trade-related green capital, and more strict international regulations like carbon border systems and ESG compliance are still major challenges for exporters. India's capacity to efficiently provide green funding to renewable export industries</w:t>
      </w:r>
      <w:r>
        <w:rPr>
          <w:rFonts w:ascii="Times New Roman" w:eastAsia="Times New Roman" w:hAnsi="Times New Roman" w:cs="Times New Roman"/>
          <w:sz w:val="24"/>
          <w:szCs w:val="24"/>
        </w:rPr>
        <w:t xml:space="preserve"> is essential in the rapidly changing sustainable trade scenario, where competitiveness depends on environmental efficiency and involvement in green value chains. To close this gap, a thorough assessment of institutional frameworks, financial flows, and po</w:t>
      </w:r>
      <w:r>
        <w:rPr>
          <w:rFonts w:ascii="Times New Roman" w:eastAsia="Times New Roman" w:hAnsi="Times New Roman" w:cs="Times New Roman"/>
          <w:sz w:val="24"/>
          <w:szCs w:val="24"/>
        </w:rPr>
        <w:t>licy initiatives is necessary to improve the performance of renewable exports and reinforce India’s standing in the global low-carbon economy.</w:t>
      </w:r>
    </w:p>
    <w:p w14:paraId="72791071" w14:textId="77777777" w:rsidR="00E611D1" w:rsidRDefault="003E2051" w:rsidP="001D34AA">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Research Methodology</w:t>
      </w:r>
      <w:r>
        <w:rPr>
          <w:rFonts w:ascii="Times New Roman" w:eastAsia="Times New Roman" w:hAnsi="Times New Roman" w:cs="Times New Roman"/>
          <w:sz w:val="24"/>
          <w:szCs w:val="24"/>
        </w:rPr>
        <w:br/>
        <w:t>The study employs a descriptive-analytical design based on secondary data from credible sour</w:t>
      </w:r>
      <w:r>
        <w:rPr>
          <w:rFonts w:ascii="Times New Roman" w:eastAsia="Times New Roman" w:hAnsi="Times New Roman" w:cs="Times New Roman"/>
          <w:sz w:val="24"/>
          <w:szCs w:val="24"/>
        </w:rPr>
        <w:t>ces, including the Climate Policy Initiative (2024), Ministry of Commerce &amp; Industry, EXIM Bank, IEA, WTO, and RBI. Two analytical tools guide the assessment:</w:t>
      </w:r>
    </w:p>
    <w:p w14:paraId="2978A6AE" w14:textId="77777777" w:rsidR="00E611D1" w:rsidRDefault="003E2051" w:rsidP="001D34AA">
      <w:pPr>
        <w:numPr>
          <w:ilvl w:val="0"/>
          <w:numId w:val="3"/>
        </w:numPr>
        <w:spacing w:line="360" w:lineRule="auto"/>
      </w:pPr>
      <w:r>
        <w:rPr>
          <w:rFonts w:ascii="Times New Roman" w:eastAsia="Times New Roman" w:hAnsi="Times New Roman" w:cs="Times New Roman"/>
          <w:b/>
          <w:bCs/>
          <w:sz w:val="24"/>
          <w:szCs w:val="24"/>
        </w:rPr>
        <w:t>PESTLE Analysis</w:t>
      </w:r>
      <w:r>
        <w:rPr>
          <w:rFonts w:ascii="Times New Roman" w:eastAsia="Times New Roman" w:hAnsi="Times New Roman" w:cs="Times New Roman"/>
          <w:sz w:val="24"/>
          <w:szCs w:val="24"/>
        </w:rPr>
        <w:t xml:space="preserve"> – Evaluates the political, economic, social, technological, legal, and environmen</w:t>
      </w:r>
      <w:r>
        <w:rPr>
          <w:rFonts w:ascii="Times New Roman" w:eastAsia="Times New Roman" w:hAnsi="Times New Roman" w:cs="Times New Roman"/>
          <w:sz w:val="24"/>
          <w:szCs w:val="24"/>
        </w:rPr>
        <w:t>tal factors shaping India’s renewable export ecosystem.</w:t>
      </w:r>
    </w:p>
    <w:p w14:paraId="149F1CC8" w14:textId="77777777" w:rsidR="00E611D1" w:rsidRDefault="003E2051" w:rsidP="001D34AA">
      <w:pPr>
        <w:numPr>
          <w:ilvl w:val="0"/>
          <w:numId w:val="3"/>
        </w:numPr>
        <w:spacing w:line="360" w:lineRule="auto"/>
      </w:pPr>
      <w:r>
        <w:rPr>
          <w:rFonts w:ascii="Times New Roman" w:eastAsia="Times New Roman" w:hAnsi="Times New Roman" w:cs="Times New Roman"/>
          <w:b/>
          <w:bCs/>
          <w:sz w:val="24"/>
          <w:szCs w:val="24"/>
        </w:rPr>
        <w:t>Financial Flow Mapping</w:t>
      </w:r>
      <w:r>
        <w:rPr>
          <w:rFonts w:ascii="Times New Roman" w:eastAsia="Times New Roman" w:hAnsi="Times New Roman" w:cs="Times New Roman"/>
          <w:sz w:val="24"/>
          <w:szCs w:val="24"/>
        </w:rPr>
        <w:t xml:space="preserve"> – Traces domestic and international green funds directed toward export-linked renewable projects, identifying the proportion and effectiveness of trade-focused finance.</w:t>
      </w:r>
    </w:p>
    <w:p w14:paraId="371FE7A5" w14:textId="77777777" w:rsidR="00E611D1" w:rsidRDefault="003E2051" w:rsidP="001D34A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t>
      </w:r>
      <w:r>
        <w:rPr>
          <w:rFonts w:ascii="Times New Roman" w:eastAsia="Times New Roman" w:hAnsi="Times New Roman" w:cs="Times New Roman"/>
          <w:sz w:val="24"/>
          <w:szCs w:val="24"/>
        </w:rPr>
        <w:t>cover FY 2023–24 and include export values, financial flows, and sectoral performance across solar, wind, bioenergy, green hydrogen, and storage technologies. While the approach identifies correlations, causal inference is limited due to data constraints.</w:t>
      </w:r>
    </w:p>
    <w:p w14:paraId="5E066740" w14:textId="3DD06A8A" w:rsidR="00E611D1" w:rsidRDefault="00562D52" w:rsidP="001D34AA">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Table 1-Export Performance of India’s Renewable Energy Sector (2023–24)</w:t>
      </w:r>
    </w:p>
    <w:tbl>
      <w:tblPr>
        <w:tblStyle w:val="a"/>
        <w:tblW w:w="9401"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18"/>
        <w:gridCol w:w="1923"/>
        <w:gridCol w:w="1563"/>
        <w:gridCol w:w="1629"/>
        <w:gridCol w:w="1574"/>
        <w:gridCol w:w="1994"/>
      </w:tblGrid>
      <w:tr w:rsidR="00E611D1" w14:paraId="6C5E31F5" w14:textId="77777777" w:rsidTr="00E611D1">
        <w:trPr>
          <w:cnfStyle w:val="100000000000" w:firstRow="1" w:lastRow="0" w:firstColumn="0" w:lastColumn="0" w:oddVBand="0" w:evenVBand="0" w:oddHBand="0" w:evenHBand="0" w:firstRowFirstColumn="0" w:firstRowLastColumn="0" w:lastRowFirstColumn="0" w:lastRowLastColumn="0"/>
          <w:trHeight w:val="1439"/>
        </w:trPr>
        <w:tc>
          <w:tcPr>
            <w:cnfStyle w:val="001000000000" w:firstRow="0" w:lastRow="0" w:firstColumn="1" w:lastColumn="0" w:oddVBand="0" w:evenVBand="0" w:oddHBand="0" w:evenHBand="0" w:firstRowFirstColumn="0" w:firstRowLastColumn="0" w:lastRowFirstColumn="0" w:lastRowLastColumn="0"/>
            <w:tcW w:w="718" w:type="dxa"/>
          </w:tcPr>
          <w:p w14:paraId="36B3F8F0" w14:textId="77777777" w:rsidR="00E611D1" w:rsidRDefault="003E2051" w:rsidP="001D34AA">
            <w:pPr>
              <w:spacing w:line="360" w:lineRule="auto"/>
              <w:rPr>
                <w:rFonts w:ascii="Times New Roman" w:eastAsia="Times New Roman" w:hAnsi="Times New Roman" w:cs="Times New Roman"/>
              </w:rPr>
            </w:pPr>
            <w:proofErr w:type="spellStart"/>
            <w:r>
              <w:rPr>
                <w:rFonts w:ascii="Times New Roman" w:eastAsia="Times New Roman" w:hAnsi="Times New Roman" w:cs="Times New Roman"/>
              </w:rPr>
              <w:lastRenderedPageBreak/>
              <w:t>S.No</w:t>
            </w:r>
            <w:proofErr w:type="spellEnd"/>
            <w:r>
              <w:rPr>
                <w:rFonts w:ascii="Times New Roman" w:eastAsia="Times New Roman" w:hAnsi="Times New Roman" w:cs="Times New Roman"/>
              </w:rPr>
              <w:t>.</w:t>
            </w:r>
          </w:p>
        </w:tc>
        <w:tc>
          <w:tcPr>
            <w:tcW w:w="1923" w:type="dxa"/>
          </w:tcPr>
          <w:p w14:paraId="3161DE3D" w14:textId="77777777" w:rsidR="00E611D1" w:rsidRDefault="003E2051" w:rsidP="001D34A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PRODUCT</w:t>
            </w:r>
          </w:p>
        </w:tc>
        <w:tc>
          <w:tcPr>
            <w:tcW w:w="1563" w:type="dxa"/>
          </w:tcPr>
          <w:p w14:paraId="129795D7" w14:textId="77777777" w:rsidR="00E611D1" w:rsidRDefault="003E2051" w:rsidP="001D34A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CATEGORY</w:t>
            </w:r>
          </w:p>
        </w:tc>
        <w:tc>
          <w:tcPr>
            <w:tcW w:w="1629" w:type="dxa"/>
          </w:tcPr>
          <w:p w14:paraId="5C5C1E1D" w14:textId="77777777" w:rsidR="00E611D1" w:rsidRDefault="003E2051" w:rsidP="001D34A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EXPORT VALUE (2023-2024)</w:t>
            </w:r>
          </w:p>
        </w:tc>
        <w:tc>
          <w:tcPr>
            <w:tcW w:w="1574" w:type="dxa"/>
          </w:tcPr>
          <w:p w14:paraId="54FC238A" w14:textId="77777777" w:rsidR="00E611D1" w:rsidRDefault="003E2051" w:rsidP="001D34A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INDIA’S SHARE IN TOTAL EXPORT (%)</w:t>
            </w:r>
          </w:p>
        </w:tc>
        <w:tc>
          <w:tcPr>
            <w:tcW w:w="1994" w:type="dxa"/>
          </w:tcPr>
          <w:p w14:paraId="67EC3946" w14:textId="77777777" w:rsidR="00E611D1" w:rsidRDefault="003E2051" w:rsidP="001D34A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KEY EXPORT DESTINATIONS</w:t>
            </w:r>
          </w:p>
        </w:tc>
      </w:tr>
      <w:tr w:rsidR="00E611D1" w14:paraId="3DC458AA" w14:textId="77777777" w:rsidTr="00E611D1">
        <w:trPr>
          <w:cnfStyle w:val="000000100000" w:firstRow="0" w:lastRow="0" w:firstColumn="0" w:lastColumn="0" w:oddVBand="0" w:evenVBand="0" w:oddHBand="1"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718" w:type="dxa"/>
          </w:tcPr>
          <w:p w14:paraId="74AF63AF" w14:textId="77777777" w:rsidR="00E611D1" w:rsidRDefault="00E611D1" w:rsidP="001D34AA">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rPr>
            </w:pPr>
          </w:p>
        </w:tc>
        <w:tc>
          <w:tcPr>
            <w:tcW w:w="1923" w:type="dxa"/>
          </w:tcPr>
          <w:p w14:paraId="07902F22" w14:textId="77777777" w:rsidR="00E611D1" w:rsidRDefault="003E2051" w:rsidP="001D34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Solar Photovoltaic Modules and Cells</w:t>
            </w:r>
          </w:p>
        </w:tc>
        <w:tc>
          <w:tcPr>
            <w:tcW w:w="1563" w:type="dxa"/>
          </w:tcPr>
          <w:p w14:paraId="416CD6E3" w14:textId="77777777" w:rsidR="00E611D1" w:rsidRDefault="003E2051" w:rsidP="001D34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Renewable Equipment</w:t>
            </w:r>
          </w:p>
        </w:tc>
        <w:tc>
          <w:tcPr>
            <w:tcW w:w="1629" w:type="dxa"/>
          </w:tcPr>
          <w:p w14:paraId="077C8A66" w14:textId="77777777" w:rsidR="00E611D1" w:rsidRDefault="003E2051" w:rsidP="001D34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₹21,000 Cr (USD 2.5</w:t>
            </w:r>
            <w:r>
              <w:rPr>
                <w:rFonts w:ascii="Times New Roman" w:eastAsia="Times New Roman" w:hAnsi="Times New Roman" w:cs="Times New Roman"/>
                <w:sz w:val="24"/>
                <w:szCs w:val="24"/>
              </w:rPr>
              <w:t xml:space="preserve"> Bn)</w:t>
            </w:r>
          </w:p>
        </w:tc>
        <w:tc>
          <w:tcPr>
            <w:tcW w:w="1574" w:type="dxa"/>
          </w:tcPr>
          <w:p w14:paraId="4FD62CEB" w14:textId="77777777" w:rsidR="00E611D1" w:rsidRDefault="003E2051" w:rsidP="001D34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c>
          <w:tcPr>
            <w:tcW w:w="1994" w:type="dxa"/>
          </w:tcPr>
          <w:p w14:paraId="6686003F" w14:textId="77777777" w:rsidR="00E611D1" w:rsidRDefault="003E2051" w:rsidP="001D34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USA, UAE, Netherlands, Singapore</w:t>
            </w:r>
          </w:p>
        </w:tc>
      </w:tr>
      <w:tr w:rsidR="00E611D1" w14:paraId="2E7D585D" w14:textId="77777777" w:rsidTr="00E611D1">
        <w:trPr>
          <w:trHeight w:val="846"/>
        </w:trPr>
        <w:tc>
          <w:tcPr>
            <w:cnfStyle w:val="001000000000" w:firstRow="0" w:lastRow="0" w:firstColumn="1" w:lastColumn="0" w:oddVBand="0" w:evenVBand="0" w:oddHBand="0" w:evenHBand="0" w:firstRowFirstColumn="0" w:firstRowLastColumn="0" w:lastRowFirstColumn="0" w:lastRowLastColumn="0"/>
            <w:tcW w:w="718" w:type="dxa"/>
          </w:tcPr>
          <w:p w14:paraId="308A3B30" w14:textId="77777777" w:rsidR="00E611D1" w:rsidRDefault="00E611D1" w:rsidP="001D34AA">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rPr>
            </w:pPr>
          </w:p>
        </w:tc>
        <w:tc>
          <w:tcPr>
            <w:tcW w:w="1923" w:type="dxa"/>
          </w:tcPr>
          <w:p w14:paraId="420D7A94" w14:textId="77777777" w:rsidR="00E611D1" w:rsidRDefault="003E2051" w:rsidP="001D34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Wind Turbine Components (Blades, Turbines &amp; Gearboxes)</w:t>
            </w:r>
          </w:p>
        </w:tc>
        <w:tc>
          <w:tcPr>
            <w:tcW w:w="1563" w:type="dxa"/>
          </w:tcPr>
          <w:p w14:paraId="1A2446F3" w14:textId="77777777" w:rsidR="00E611D1" w:rsidRDefault="003E2051" w:rsidP="001D34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Renewable Machinery</w:t>
            </w:r>
          </w:p>
        </w:tc>
        <w:tc>
          <w:tcPr>
            <w:tcW w:w="1629" w:type="dxa"/>
          </w:tcPr>
          <w:p w14:paraId="7CC2A12E" w14:textId="77777777" w:rsidR="00E611D1" w:rsidRDefault="003E2051" w:rsidP="001D34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₹6,500 Cr (USD 780 Mn)</w:t>
            </w:r>
          </w:p>
        </w:tc>
        <w:tc>
          <w:tcPr>
            <w:tcW w:w="1574" w:type="dxa"/>
          </w:tcPr>
          <w:p w14:paraId="51AE57CC" w14:textId="77777777" w:rsidR="00E611D1" w:rsidRDefault="003E2051" w:rsidP="001D34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0.13%</w:t>
            </w:r>
          </w:p>
        </w:tc>
        <w:tc>
          <w:tcPr>
            <w:tcW w:w="1994" w:type="dxa"/>
          </w:tcPr>
          <w:p w14:paraId="286B1124" w14:textId="77777777" w:rsidR="00E611D1" w:rsidRDefault="003E2051" w:rsidP="001D34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Brazil, UK, South Africa, Vietnam</w:t>
            </w:r>
          </w:p>
        </w:tc>
      </w:tr>
      <w:tr w:rsidR="00E611D1" w:rsidRPr="00A7770B" w14:paraId="700C3FC0" w14:textId="77777777" w:rsidTr="00E611D1">
        <w:trPr>
          <w:cnfStyle w:val="000000100000" w:firstRow="0" w:lastRow="0" w:firstColumn="0" w:lastColumn="0" w:oddVBand="0" w:evenVBand="0" w:oddHBand="1"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718" w:type="dxa"/>
          </w:tcPr>
          <w:p w14:paraId="19B3A9CD" w14:textId="77777777" w:rsidR="00E611D1" w:rsidRDefault="00E611D1" w:rsidP="001D34AA">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rPr>
            </w:pPr>
          </w:p>
        </w:tc>
        <w:tc>
          <w:tcPr>
            <w:tcW w:w="1923" w:type="dxa"/>
          </w:tcPr>
          <w:p w14:paraId="1C85D1ED" w14:textId="77777777" w:rsidR="00E611D1" w:rsidRDefault="003E2051" w:rsidP="001D34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Bio-Fuel Ethanol Based Products</w:t>
            </w:r>
          </w:p>
        </w:tc>
        <w:tc>
          <w:tcPr>
            <w:tcW w:w="1563" w:type="dxa"/>
          </w:tcPr>
          <w:p w14:paraId="54D32A44" w14:textId="77777777" w:rsidR="00E611D1" w:rsidRDefault="003E2051" w:rsidP="001D34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Renewable Fuel</w:t>
            </w:r>
          </w:p>
        </w:tc>
        <w:tc>
          <w:tcPr>
            <w:tcW w:w="1629" w:type="dxa"/>
          </w:tcPr>
          <w:p w14:paraId="4409633F" w14:textId="77777777" w:rsidR="00E611D1" w:rsidRDefault="003E2051" w:rsidP="001D34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₹3,200 Cr (USD 385 Mn)</w:t>
            </w:r>
          </w:p>
        </w:tc>
        <w:tc>
          <w:tcPr>
            <w:tcW w:w="1574" w:type="dxa"/>
          </w:tcPr>
          <w:p w14:paraId="37313AFC" w14:textId="77777777" w:rsidR="00E611D1" w:rsidRDefault="003E2051" w:rsidP="001D34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994" w:type="dxa"/>
          </w:tcPr>
          <w:p w14:paraId="76B099E1" w14:textId="77777777" w:rsidR="00E611D1" w:rsidRPr="00A7770B" w:rsidRDefault="003E2051" w:rsidP="001D34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US"/>
              </w:rPr>
            </w:pPr>
            <w:r w:rsidRPr="00A7770B">
              <w:rPr>
                <w:rFonts w:ascii="Times New Roman" w:eastAsia="Times New Roman" w:hAnsi="Times New Roman" w:cs="Times New Roman"/>
                <w:sz w:val="24"/>
                <w:szCs w:val="24"/>
                <w:lang w:val="es-US"/>
              </w:rPr>
              <w:t xml:space="preserve">Indonesia, </w:t>
            </w:r>
            <w:proofErr w:type="spellStart"/>
            <w:r w:rsidRPr="00A7770B">
              <w:rPr>
                <w:rFonts w:ascii="Times New Roman" w:eastAsia="Times New Roman" w:hAnsi="Times New Roman" w:cs="Times New Roman"/>
                <w:sz w:val="24"/>
                <w:szCs w:val="24"/>
                <w:lang w:val="es-US"/>
              </w:rPr>
              <w:t>Japan</w:t>
            </w:r>
            <w:proofErr w:type="spellEnd"/>
            <w:r w:rsidRPr="00A7770B">
              <w:rPr>
                <w:rFonts w:ascii="Times New Roman" w:eastAsia="Times New Roman" w:hAnsi="Times New Roman" w:cs="Times New Roman"/>
                <w:sz w:val="24"/>
                <w:szCs w:val="24"/>
                <w:lang w:val="es-US"/>
              </w:rPr>
              <w:t>, Sri Lanka, UAE</w:t>
            </w:r>
          </w:p>
        </w:tc>
      </w:tr>
      <w:tr w:rsidR="00E611D1" w14:paraId="14577512" w14:textId="77777777" w:rsidTr="00E611D1">
        <w:trPr>
          <w:trHeight w:val="655"/>
        </w:trPr>
        <w:tc>
          <w:tcPr>
            <w:cnfStyle w:val="001000000000" w:firstRow="0" w:lastRow="0" w:firstColumn="1" w:lastColumn="0" w:oddVBand="0" w:evenVBand="0" w:oddHBand="0" w:evenHBand="0" w:firstRowFirstColumn="0" w:firstRowLastColumn="0" w:lastRowFirstColumn="0" w:lastRowLastColumn="0"/>
            <w:tcW w:w="718" w:type="dxa"/>
          </w:tcPr>
          <w:p w14:paraId="20F6A210" w14:textId="77777777" w:rsidR="00E611D1" w:rsidRPr="00A7770B" w:rsidRDefault="00E611D1" w:rsidP="001D34AA">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lang w:val="es-US"/>
              </w:rPr>
            </w:pPr>
          </w:p>
        </w:tc>
        <w:tc>
          <w:tcPr>
            <w:tcW w:w="1923" w:type="dxa"/>
          </w:tcPr>
          <w:p w14:paraId="30B3F649" w14:textId="77777777" w:rsidR="00E611D1" w:rsidRDefault="003E2051" w:rsidP="001D34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Green Hydrogen &amp; </w:t>
            </w:r>
            <w:proofErr w:type="spellStart"/>
            <w:r>
              <w:rPr>
                <w:rFonts w:ascii="Times New Roman" w:eastAsia="Times New Roman" w:hAnsi="Times New Roman" w:cs="Times New Roman"/>
                <w:sz w:val="24"/>
                <w:szCs w:val="24"/>
              </w:rPr>
              <w:t>Electrolyzer</w:t>
            </w:r>
            <w:proofErr w:type="spellEnd"/>
            <w:r>
              <w:rPr>
                <w:rFonts w:ascii="Times New Roman" w:eastAsia="Times New Roman" w:hAnsi="Times New Roman" w:cs="Times New Roman"/>
                <w:sz w:val="24"/>
                <w:szCs w:val="24"/>
              </w:rPr>
              <w:t xml:space="preserve"> Technology</w:t>
            </w:r>
          </w:p>
        </w:tc>
        <w:tc>
          <w:tcPr>
            <w:tcW w:w="1563" w:type="dxa"/>
          </w:tcPr>
          <w:p w14:paraId="02FC2A63" w14:textId="77777777" w:rsidR="00E611D1" w:rsidRDefault="003E2051" w:rsidP="001D34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Emerging Clean Energy</w:t>
            </w:r>
          </w:p>
        </w:tc>
        <w:tc>
          <w:tcPr>
            <w:tcW w:w="1629" w:type="dxa"/>
          </w:tcPr>
          <w:p w14:paraId="1EF2BF9B" w14:textId="77777777" w:rsidR="00E611D1" w:rsidRDefault="003E2051" w:rsidP="001D34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₹8200 Cr (USD 95 Mn)</w:t>
            </w:r>
          </w:p>
        </w:tc>
        <w:tc>
          <w:tcPr>
            <w:tcW w:w="1574" w:type="dxa"/>
          </w:tcPr>
          <w:p w14:paraId="61AD5428" w14:textId="77777777" w:rsidR="00E611D1" w:rsidRDefault="003E2051" w:rsidP="001D34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994" w:type="dxa"/>
          </w:tcPr>
          <w:p w14:paraId="518271E0" w14:textId="77777777" w:rsidR="00E611D1" w:rsidRDefault="003E2051" w:rsidP="001D34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Germany, Japan, South Korea</w:t>
            </w:r>
          </w:p>
        </w:tc>
      </w:tr>
      <w:tr w:rsidR="00E611D1" w14:paraId="23C47B85" w14:textId="77777777" w:rsidTr="00E611D1">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718" w:type="dxa"/>
          </w:tcPr>
          <w:p w14:paraId="7A32ED15" w14:textId="77777777" w:rsidR="00E611D1" w:rsidRDefault="00E611D1" w:rsidP="001D34AA">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rPr>
            </w:pPr>
          </w:p>
        </w:tc>
        <w:tc>
          <w:tcPr>
            <w:tcW w:w="1923" w:type="dxa"/>
          </w:tcPr>
          <w:p w14:paraId="0EBE2BA7" w14:textId="77777777" w:rsidR="00E611D1" w:rsidRDefault="003E2051" w:rsidP="001D34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Battery Storage System &amp; Power Converters</w:t>
            </w:r>
          </w:p>
        </w:tc>
        <w:tc>
          <w:tcPr>
            <w:tcW w:w="1563" w:type="dxa"/>
          </w:tcPr>
          <w:p w14:paraId="309D643C" w14:textId="77777777" w:rsidR="00E611D1" w:rsidRDefault="003E2051" w:rsidP="001D34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Energy Storage</w:t>
            </w:r>
          </w:p>
        </w:tc>
        <w:tc>
          <w:tcPr>
            <w:tcW w:w="1629" w:type="dxa"/>
          </w:tcPr>
          <w:p w14:paraId="211B1EFA" w14:textId="77777777" w:rsidR="00E611D1" w:rsidRDefault="003E2051" w:rsidP="001D34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₹1,400 Cr (USD 170 Mn)</w:t>
            </w:r>
          </w:p>
        </w:tc>
        <w:tc>
          <w:tcPr>
            <w:tcW w:w="1574" w:type="dxa"/>
          </w:tcPr>
          <w:p w14:paraId="288013BF" w14:textId="77777777" w:rsidR="00E611D1" w:rsidRDefault="003E2051" w:rsidP="001D34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c>
          <w:tcPr>
            <w:tcW w:w="1994" w:type="dxa"/>
          </w:tcPr>
          <w:p w14:paraId="54823F55" w14:textId="77777777" w:rsidR="00E611D1" w:rsidRDefault="003E2051" w:rsidP="001D34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USA, </w:t>
            </w:r>
            <w:r>
              <w:rPr>
                <w:rFonts w:ascii="Times New Roman" w:eastAsia="Times New Roman" w:hAnsi="Times New Roman" w:cs="Times New Roman"/>
                <w:sz w:val="24"/>
                <w:szCs w:val="24"/>
              </w:rPr>
              <w:t>Australia, France</w:t>
            </w:r>
          </w:p>
        </w:tc>
      </w:tr>
      <w:tr w:rsidR="00E611D1" w14:paraId="481627A8" w14:textId="77777777" w:rsidTr="00E611D1">
        <w:trPr>
          <w:trHeight w:val="752"/>
        </w:trPr>
        <w:tc>
          <w:tcPr>
            <w:cnfStyle w:val="001000000000" w:firstRow="0" w:lastRow="0" w:firstColumn="1" w:lastColumn="0" w:oddVBand="0" w:evenVBand="0" w:oddHBand="0" w:evenHBand="0" w:firstRowFirstColumn="0" w:firstRowLastColumn="0" w:lastRowFirstColumn="0" w:lastRowLastColumn="0"/>
            <w:tcW w:w="718" w:type="dxa"/>
          </w:tcPr>
          <w:p w14:paraId="43C35669" w14:textId="77777777" w:rsidR="00E611D1" w:rsidRDefault="00E611D1" w:rsidP="001D34AA">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rPr>
            </w:pPr>
          </w:p>
        </w:tc>
        <w:tc>
          <w:tcPr>
            <w:tcW w:w="1923" w:type="dxa"/>
          </w:tcPr>
          <w:p w14:paraId="37D6E3B8" w14:textId="77777777" w:rsidR="00E611D1" w:rsidRDefault="003E2051" w:rsidP="001D34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Solar Inverters &amp; Controllers</w:t>
            </w:r>
          </w:p>
        </w:tc>
        <w:tc>
          <w:tcPr>
            <w:tcW w:w="1563" w:type="dxa"/>
          </w:tcPr>
          <w:p w14:paraId="49EAE10F" w14:textId="77777777" w:rsidR="00E611D1" w:rsidRDefault="003E2051" w:rsidP="001D34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Equipment</w:t>
            </w:r>
          </w:p>
        </w:tc>
        <w:tc>
          <w:tcPr>
            <w:tcW w:w="1629" w:type="dxa"/>
          </w:tcPr>
          <w:p w14:paraId="52C8E6C6" w14:textId="77777777" w:rsidR="00E611D1" w:rsidRDefault="003E2051" w:rsidP="001D34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₹1,000 Cr (USD 120 Mn)</w:t>
            </w:r>
          </w:p>
        </w:tc>
        <w:tc>
          <w:tcPr>
            <w:tcW w:w="1574" w:type="dxa"/>
          </w:tcPr>
          <w:p w14:paraId="004A0A1B" w14:textId="77777777" w:rsidR="00E611D1" w:rsidRDefault="003E2051" w:rsidP="001D34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994" w:type="dxa"/>
          </w:tcPr>
          <w:p w14:paraId="33726EEC" w14:textId="77777777" w:rsidR="00E611D1" w:rsidRDefault="003E2051" w:rsidP="001D34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UAE, Kenya, Bangladesh</w:t>
            </w:r>
          </w:p>
        </w:tc>
      </w:tr>
      <w:tr w:rsidR="00E611D1" w14:paraId="160C0833" w14:textId="77777777" w:rsidTr="00E611D1">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718" w:type="dxa"/>
          </w:tcPr>
          <w:p w14:paraId="14FC2AAE" w14:textId="77777777" w:rsidR="00E611D1" w:rsidRDefault="00E611D1" w:rsidP="001D34AA">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rPr>
            </w:pPr>
          </w:p>
        </w:tc>
        <w:tc>
          <w:tcPr>
            <w:tcW w:w="1923" w:type="dxa"/>
          </w:tcPr>
          <w:p w14:paraId="28FE161A" w14:textId="77777777" w:rsidR="00E611D1" w:rsidRDefault="003E2051" w:rsidP="001D34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Renewable Project Consultancy &amp; </w:t>
            </w:r>
            <w:r>
              <w:rPr>
                <w:rFonts w:ascii="Times New Roman" w:eastAsia="Times New Roman" w:hAnsi="Times New Roman" w:cs="Times New Roman"/>
                <w:sz w:val="24"/>
                <w:szCs w:val="24"/>
              </w:rPr>
              <w:lastRenderedPageBreak/>
              <w:t>Engineering Services</w:t>
            </w:r>
          </w:p>
        </w:tc>
        <w:tc>
          <w:tcPr>
            <w:tcW w:w="1563" w:type="dxa"/>
          </w:tcPr>
          <w:p w14:paraId="36A2A276" w14:textId="77777777" w:rsidR="00E611D1" w:rsidRDefault="003E2051" w:rsidP="001D34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Services Export</w:t>
            </w:r>
          </w:p>
        </w:tc>
        <w:tc>
          <w:tcPr>
            <w:tcW w:w="1629" w:type="dxa"/>
          </w:tcPr>
          <w:p w14:paraId="183F597E" w14:textId="77777777" w:rsidR="00E611D1" w:rsidRDefault="003E2051" w:rsidP="001D34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₹900 Cr (USD 108 Mn)</w:t>
            </w:r>
          </w:p>
        </w:tc>
        <w:tc>
          <w:tcPr>
            <w:tcW w:w="1574" w:type="dxa"/>
          </w:tcPr>
          <w:p w14:paraId="5158FB55" w14:textId="77777777" w:rsidR="00E611D1" w:rsidRDefault="003E2051" w:rsidP="001D34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994" w:type="dxa"/>
          </w:tcPr>
          <w:p w14:paraId="5DAECD6F" w14:textId="77777777" w:rsidR="00E611D1" w:rsidRDefault="003E2051" w:rsidP="001D34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Africa, ASEAN, Middle East</w:t>
            </w:r>
          </w:p>
        </w:tc>
      </w:tr>
    </w:tbl>
    <w:p w14:paraId="66A33D14" w14:textId="77777777" w:rsidR="00E611D1" w:rsidRDefault="003E2051" w:rsidP="001D34AA">
      <w:pPr>
        <w:spacing w:line="36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Source-Compiled by the researcher</w:t>
      </w:r>
    </w:p>
    <w:p w14:paraId="1F6B1D15" w14:textId="77777777" w:rsidR="00E611D1" w:rsidRDefault="003E2051" w:rsidP="001D34AA">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Interpretation</w:t>
      </w:r>
    </w:p>
    <w:p w14:paraId="6B4768EC" w14:textId="77777777" w:rsidR="00E611D1" w:rsidRDefault="003E2051" w:rsidP="001D34A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2023–24, India exported ₹34,900 crore (USD 4.08 billion) worth of renewable energy products, accounting for only 0.68% of total exports. Solar PV dominates, with major shipments to the U.S., UAE, and the </w:t>
      </w:r>
      <w:r>
        <w:rPr>
          <w:rFonts w:ascii="Times New Roman" w:eastAsia="Times New Roman" w:hAnsi="Times New Roman" w:cs="Times New Roman"/>
          <w:sz w:val="24"/>
          <w:szCs w:val="24"/>
        </w:rPr>
        <w:t>Netherlands, while wind, biofuels, and hydrogen exports remain limited but developing. New areas like engineering services and battery storage are also emerging. Expanding green finance and export-focused incentives will be essential to boost India’s renew</w:t>
      </w:r>
      <w:r>
        <w:rPr>
          <w:rFonts w:ascii="Times New Roman" w:eastAsia="Times New Roman" w:hAnsi="Times New Roman" w:cs="Times New Roman"/>
          <w:sz w:val="24"/>
          <w:szCs w:val="24"/>
        </w:rPr>
        <w:t>able energy trade competitiveness.</w:t>
      </w:r>
    </w:p>
    <w:p w14:paraId="2D910BB7" w14:textId="77777777" w:rsidR="00E611D1" w:rsidRDefault="003E2051" w:rsidP="001D34AA">
      <w:pPr>
        <w:spacing w:line="360" w:lineRule="auto"/>
        <w:rPr>
          <w:rFonts w:ascii="Times New Roman" w:eastAsia="Times New Roman" w:hAnsi="Times New Roman" w:cs="Times New Roman"/>
          <w:sz w:val="24"/>
          <w:szCs w:val="24"/>
        </w:rPr>
      </w:pPr>
      <w:bookmarkStart w:id="0" w:name="_Hlk215220473"/>
      <w:r>
        <w:rPr>
          <w:rFonts w:ascii="Times New Roman" w:eastAsia="Times New Roman" w:hAnsi="Times New Roman" w:cs="Times New Roman"/>
          <w:b/>
          <w:bCs/>
          <w:sz w:val="28"/>
          <w:szCs w:val="28"/>
        </w:rPr>
        <w:t>Case Study: India’s Solar PV Exports to the U.S. under Green Bond Financing</w:t>
      </w:r>
    </w:p>
    <w:bookmarkEnd w:id="0"/>
    <w:p w14:paraId="307B2733" w14:textId="77777777" w:rsidR="00E611D1" w:rsidRDefault="003E2051" w:rsidP="001D34A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India's solar photovoltaic (PV) industry has quickly transitioned from relying on imports to being a significant exporter worldwide, with exports</w:t>
      </w:r>
      <w:r>
        <w:rPr>
          <w:rFonts w:ascii="Times New Roman" w:eastAsia="Times New Roman" w:hAnsi="Times New Roman" w:cs="Times New Roman"/>
          <w:sz w:val="24"/>
          <w:szCs w:val="24"/>
        </w:rPr>
        <w:t xml:space="preserve"> rising by more than 23 times between FY 2022 and FY 2024 to reach USD 2.5 billion. Nearly 35% of these shipments go to the United States, which reflects India's expanding role in international solar supply chains. Green bond financing, which allowed busin</w:t>
      </w:r>
      <w:r>
        <w:rPr>
          <w:rFonts w:ascii="Times New Roman" w:eastAsia="Times New Roman" w:hAnsi="Times New Roman" w:cs="Times New Roman"/>
          <w:sz w:val="24"/>
          <w:szCs w:val="24"/>
        </w:rPr>
        <w:t xml:space="preserve">esses like </w:t>
      </w:r>
      <w:proofErr w:type="spellStart"/>
      <w:r>
        <w:rPr>
          <w:rFonts w:ascii="Times New Roman" w:eastAsia="Times New Roman" w:hAnsi="Times New Roman" w:cs="Times New Roman"/>
          <w:sz w:val="24"/>
          <w:szCs w:val="24"/>
        </w:rPr>
        <w:t>ReNew</w:t>
      </w:r>
      <w:proofErr w:type="spellEnd"/>
      <w:r>
        <w:rPr>
          <w:rFonts w:ascii="Times New Roman" w:eastAsia="Times New Roman" w:hAnsi="Times New Roman" w:cs="Times New Roman"/>
          <w:sz w:val="24"/>
          <w:szCs w:val="24"/>
        </w:rPr>
        <w:t xml:space="preserve"> Power, Tata Power Solar, and Adani Green Energy to increase manufacturing capacity and modernize production for export markets, has been a major factor in this rise. Access to affordable, climate-aligned funding improved pricing competitiv</w:t>
      </w:r>
      <w:r>
        <w:rPr>
          <w:rFonts w:ascii="Times New Roman" w:eastAsia="Times New Roman" w:hAnsi="Times New Roman" w:cs="Times New Roman"/>
          <w:sz w:val="24"/>
          <w:szCs w:val="24"/>
        </w:rPr>
        <w:t>eness and ESG compliance by lowering financing costs by as much as 100 basis points. Overall, green finance has been crucial in enhancing India’s solar export capabilities by combining sustainable funding with technical innovation &amp; market expansion.</w:t>
      </w:r>
    </w:p>
    <w:p w14:paraId="10673C37" w14:textId="77777777" w:rsidR="00E611D1" w:rsidRDefault="003E2051" w:rsidP="001D34AA">
      <w:pPr>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0" distB="0" distL="0" distR="0" wp14:anchorId="10203661" wp14:editId="3ED2E2F5">
            <wp:extent cx="4124732" cy="208146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124732" cy="2081462"/>
                    </a:xfrm>
                    <a:prstGeom prst="rect">
                      <a:avLst/>
                    </a:prstGeom>
                    <a:ln/>
                  </pic:spPr>
                </pic:pic>
              </a:graphicData>
            </a:graphic>
          </wp:inline>
        </w:drawing>
      </w:r>
    </w:p>
    <w:p w14:paraId="637DB4C3" w14:textId="77777777" w:rsidR="00E611D1" w:rsidRDefault="003E2051" w:rsidP="001D34AA">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Source-</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rPr>
        <w:t>Ministry of Commerce and Industry, JMK Research</w:t>
      </w:r>
    </w:p>
    <w:p w14:paraId="11EC019E" w14:textId="107B9E7E" w:rsidR="0048103A" w:rsidRDefault="0048103A" w:rsidP="001D34AA">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 1-</w:t>
      </w:r>
      <w:r w:rsidR="00A7770B">
        <w:rPr>
          <w:rFonts w:ascii="Times New Roman" w:eastAsia="Times New Roman" w:hAnsi="Times New Roman" w:cs="Times New Roman"/>
          <w:b/>
          <w:bCs/>
          <w:sz w:val="24"/>
          <w:szCs w:val="24"/>
        </w:rPr>
        <w:t xml:space="preserve"> </w:t>
      </w:r>
      <w:r w:rsidR="00A7770B" w:rsidRPr="00A7770B">
        <w:rPr>
          <w:rFonts w:ascii="Times New Roman" w:eastAsia="Times New Roman" w:hAnsi="Times New Roman" w:cs="Times New Roman"/>
          <w:b/>
          <w:bCs/>
          <w:sz w:val="24"/>
          <w:szCs w:val="24"/>
        </w:rPr>
        <w:t>Indian PV Exports’ Annual Trend, Destination Region/Country Share except the US</w:t>
      </w:r>
    </w:p>
    <w:p w14:paraId="688C922D" w14:textId="7BDABF5B" w:rsidR="00E611D1" w:rsidRDefault="003E2051" w:rsidP="001D34AA">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Impact and Insights</w:t>
      </w:r>
      <w:r>
        <w:rPr>
          <w:rFonts w:ascii="Times New Roman" w:eastAsia="Times New Roman" w:hAnsi="Times New Roman" w:cs="Times New Roman"/>
          <w:sz w:val="24"/>
          <w:szCs w:val="24"/>
        </w:rPr>
        <w:br/>
        <w:t xml:space="preserve">The integration of green bond financing has yielded multiple benefits. </w:t>
      </w:r>
      <w:r>
        <w:t>According to RBI (2024</w:t>
      </w:r>
      <w:r>
        <w:t>), improved access to affordable green financing has reduced solar export financing costs by 80–100 basis points compared to conventional loans, enhanced India’s ESG credibility among sustainability-conscious U.S. consumers, and expanded solar export capac</w:t>
      </w:r>
      <w:r>
        <w:t>ity from 10 GW in 2020 to over 18 GW by 2024 by positioning India as a competitive player in the global solar value chain.</w:t>
      </w:r>
    </w:p>
    <w:p w14:paraId="73D0B36B" w14:textId="77777777" w:rsidR="00E611D1" w:rsidRDefault="003E2051" w:rsidP="001D34AA">
      <w:pPr>
        <w:spacing w:line="360" w:lineRule="auto"/>
        <w:rPr>
          <w:rFonts w:ascii="Times New Roman" w:eastAsia="Times New Roman" w:hAnsi="Times New Roman" w:cs="Times New Roman"/>
          <w:sz w:val="24"/>
          <w:szCs w:val="24"/>
        </w:rPr>
      </w:pPr>
      <w:bookmarkStart w:id="1" w:name="_Hlk215220491"/>
      <w:r>
        <w:rPr>
          <w:rFonts w:ascii="Times New Roman" w:eastAsia="Times New Roman" w:hAnsi="Times New Roman" w:cs="Times New Roman"/>
          <w:b/>
          <w:bCs/>
          <w:sz w:val="28"/>
          <w:szCs w:val="28"/>
        </w:rPr>
        <w:t>Assessing the Impact of Green Bond Financing on the Competitiveness of India’s Solar Photovoltaic Exports</w:t>
      </w:r>
      <w:r>
        <w:rPr>
          <w:rFonts w:ascii="Times New Roman" w:eastAsia="Times New Roman" w:hAnsi="Times New Roman" w:cs="Times New Roman"/>
          <w:sz w:val="24"/>
          <w:szCs w:val="24"/>
        </w:rPr>
        <w:t xml:space="preserve"> </w:t>
      </w:r>
    </w:p>
    <w:bookmarkEnd w:id="1"/>
    <w:p w14:paraId="287FFF5E" w14:textId="77777777" w:rsidR="00E611D1" w:rsidRDefault="003E2051" w:rsidP="001D34AA">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ReNEW</w:t>
      </w:r>
      <w:proofErr w:type="spellEnd"/>
      <w:r>
        <w:rPr>
          <w:rFonts w:ascii="Times New Roman" w:eastAsia="Times New Roman" w:hAnsi="Times New Roman" w:cs="Times New Roman"/>
          <w:sz w:val="24"/>
          <w:szCs w:val="24"/>
        </w:rPr>
        <w:t xml:space="preserve"> &amp; TATA Power Solar showcases how technological advancement and sustainable practices, when supported by green finance, can enhance export competitiveness. Its high-efficiency solar manufacturing facilities and projects like the 431 MW DC Solar Project in </w:t>
      </w:r>
      <w:proofErr w:type="spellStart"/>
      <w:r>
        <w:rPr>
          <w:rFonts w:ascii="Times New Roman" w:eastAsia="Times New Roman" w:hAnsi="Times New Roman" w:cs="Times New Roman"/>
          <w:sz w:val="24"/>
          <w:szCs w:val="24"/>
        </w:rPr>
        <w:t>Neemuch</w:t>
      </w:r>
      <w:proofErr w:type="spellEnd"/>
      <w:r>
        <w:rPr>
          <w:rFonts w:ascii="Times New Roman" w:eastAsia="Times New Roman" w:hAnsi="Times New Roman" w:cs="Times New Roman"/>
          <w:sz w:val="24"/>
          <w:szCs w:val="24"/>
        </w:rPr>
        <w:t xml:space="preserve">, Madhya Pradesh, reflect India’s growing expertise in large-scale renewable deployment. The use of bifacial modules, single-axis trackers, and innovative solutions such as marble-dust reflection and Conduit-on-Wire cabling signifies a shift toward </w:t>
      </w:r>
      <w:r>
        <w:rPr>
          <w:rFonts w:ascii="Times New Roman" w:eastAsia="Times New Roman" w:hAnsi="Times New Roman" w:cs="Times New Roman"/>
          <w:sz w:val="24"/>
          <w:szCs w:val="24"/>
        </w:rPr>
        <w:t xml:space="preserve">global production standards. When integrated with green bonds and concessional financing, these innovations enable cost-effective scaling while </w:t>
      </w:r>
      <w:r>
        <w:rPr>
          <w:rFonts w:ascii="Times New Roman" w:eastAsia="Times New Roman" w:hAnsi="Times New Roman" w:cs="Times New Roman"/>
          <w:sz w:val="24"/>
          <w:szCs w:val="24"/>
        </w:rPr>
        <w:lastRenderedPageBreak/>
        <w:t>meeting ESG and compliance standards of key markets like the U.S. and EU. Tata Power Solar’s commitment to envir</w:t>
      </w:r>
      <w:r>
        <w:rPr>
          <w:rFonts w:ascii="Times New Roman" w:eastAsia="Times New Roman" w:hAnsi="Times New Roman" w:cs="Times New Roman"/>
          <w:sz w:val="24"/>
          <w:szCs w:val="24"/>
        </w:rPr>
        <w:t xml:space="preserve">onmental and governance principles further demonstrates how ESG integration strengthens export eligibility in carbon-conscious trade systems. Overall, projects like </w:t>
      </w:r>
      <w:proofErr w:type="spellStart"/>
      <w:r>
        <w:rPr>
          <w:rFonts w:ascii="Times New Roman" w:eastAsia="Times New Roman" w:hAnsi="Times New Roman" w:cs="Times New Roman"/>
          <w:sz w:val="24"/>
          <w:szCs w:val="24"/>
        </w:rPr>
        <w:t>Neemuch</w:t>
      </w:r>
      <w:proofErr w:type="spellEnd"/>
      <w:r>
        <w:rPr>
          <w:rFonts w:ascii="Times New Roman" w:eastAsia="Times New Roman" w:hAnsi="Times New Roman" w:cs="Times New Roman"/>
          <w:sz w:val="24"/>
          <w:szCs w:val="24"/>
        </w:rPr>
        <w:t xml:space="preserve"> highlight the synergy between green finance and technological innovation in elevati</w:t>
      </w:r>
      <w:r>
        <w:rPr>
          <w:rFonts w:ascii="Times New Roman" w:eastAsia="Times New Roman" w:hAnsi="Times New Roman" w:cs="Times New Roman"/>
          <w:sz w:val="24"/>
          <w:szCs w:val="24"/>
        </w:rPr>
        <w:t>ng India’s solar manufacturing to a globally competitive level.</w:t>
      </w:r>
    </w:p>
    <w:p w14:paraId="5174776A" w14:textId="77777777" w:rsidR="00E611D1" w:rsidRDefault="003E2051" w:rsidP="001D34A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Tata Power Solar and </w:t>
      </w:r>
      <w:proofErr w:type="spellStart"/>
      <w:r>
        <w:rPr>
          <w:rFonts w:ascii="Times New Roman" w:eastAsia="Times New Roman" w:hAnsi="Times New Roman" w:cs="Times New Roman"/>
          <w:sz w:val="24"/>
          <w:szCs w:val="24"/>
        </w:rPr>
        <w:t>ReNew</w:t>
      </w:r>
      <w:proofErr w:type="spellEnd"/>
      <w:r>
        <w:rPr>
          <w:rFonts w:ascii="Times New Roman" w:eastAsia="Times New Roman" w:hAnsi="Times New Roman" w:cs="Times New Roman"/>
          <w:sz w:val="24"/>
          <w:szCs w:val="24"/>
        </w:rPr>
        <w:t xml:space="preserve"> Power demonstrate India's approach to export competitiveness through advanced technology and sustainable finance. They demonstrate how indigenous innovation and envi</w:t>
      </w:r>
      <w:r>
        <w:rPr>
          <w:rFonts w:ascii="Times New Roman" w:eastAsia="Times New Roman" w:hAnsi="Times New Roman" w:cs="Times New Roman"/>
          <w:sz w:val="24"/>
          <w:szCs w:val="24"/>
        </w:rPr>
        <w:t xml:space="preserve">ronmental compliance can elevate product quality, while </w:t>
      </w:r>
      <w:proofErr w:type="spellStart"/>
      <w:r>
        <w:rPr>
          <w:rFonts w:ascii="Times New Roman" w:eastAsia="Times New Roman" w:hAnsi="Times New Roman" w:cs="Times New Roman"/>
          <w:sz w:val="24"/>
          <w:szCs w:val="24"/>
        </w:rPr>
        <w:t>ReNew</w:t>
      </w:r>
      <w:proofErr w:type="spellEnd"/>
      <w:r>
        <w:rPr>
          <w:rFonts w:ascii="Times New Roman" w:eastAsia="Times New Roman" w:hAnsi="Times New Roman" w:cs="Times New Roman"/>
          <w:sz w:val="24"/>
          <w:szCs w:val="24"/>
        </w:rPr>
        <w:t xml:space="preserve"> Power's green bonds support expansion and scale.</w:t>
      </w:r>
    </w:p>
    <w:p w14:paraId="7C15F52C" w14:textId="77777777" w:rsidR="00E611D1" w:rsidRDefault="003E2051" w:rsidP="001D34AA">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Summary Insight</w:t>
      </w:r>
    </w:p>
    <w:p w14:paraId="716B86C0" w14:textId="77777777" w:rsidR="00E611D1" w:rsidRDefault="003E2051" w:rsidP="001D34AA">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With exports growing by about 23 times between FY 2022 and FY 2024, India's solar PV sector has quickly transitioned from relianc</w:t>
      </w:r>
      <w:r>
        <w:rPr>
          <w:rFonts w:ascii="Times New Roman" w:eastAsia="Times New Roman" w:hAnsi="Times New Roman" w:cs="Times New Roman"/>
          <w:color w:val="000000"/>
          <w:sz w:val="24"/>
          <w:szCs w:val="24"/>
        </w:rPr>
        <w:t xml:space="preserve">e on imports to being a significant exporter. This increase is being driven by important businesses including </w:t>
      </w:r>
      <w:proofErr w:type="spellStart"/>
      <w:r>
        <w:rPr>
          <w:rFonts w:ascii="Times New Roman" w:eastAsia="Times New Roman" w:hAnsi="Times New Roman" w:cs="Times New Roman"/>
          <w:color w:val="000000"/>
          <w:sz w:val="24"/>
          <w:szCs w:val="24"/>
        </w:rPr>
        <w:t>Waaree</w:t>
      </w:r>
      <w:proofErr w:type="spellEnd"/>
      <w:r>
        <w:rPr>
          <w:rFonts w:ascii="Times New Roman" w:eastAsia="Times New Roman" w:hAnsi="Times New Roman" w:cs="Times New Roman"/>
          <w:color w:val="000000"/>
          <w:sz w:val="24"/>
          <w:szCs w:val="24"/>
        </w:rPr>
        <w:t xml:space="preserve">, Adani, Vikram Solar, Grew Energy, and </w:t>
      </w:r>
      <w:proofErr w:type="spellStart"/>
      <w:r>
        <w:rPr>
          <w:rFonts w:ascii="Times New Roman" w:eastAsia="Times New Roman" w:hAnsi="Times New Roman" w:cs="Times New Roman"/>
          <w:color w:val="000000"/>
          <w:sz w:val="24"/>
          <w:szCs w:val="24"/>
        </w:rPr>
        <w:t>ReNew</w:t>
      </w:r>
      <w:proofErr w:type="spellEnd"/>
      <w:r>
        <w:rPr>
          <w:rFonts w:ascii="Times New Roman" w:eastAsia="Times New Roman" w:hAnsi="Times New Roman" w:cs="Times New Roman"/>
          <w:color w:val="000000"/>
          <w:sz w:val="24"/>
          <w:szCs w:val="24"/>
        </w:rPr>
        <w:t xml:space="preserve"> Power. India has to expand to Europe, Africa, and Latin America, improve backward integration,</w:t>
      </w:r>
      <w:r>
        <w:rPr>
          <w:rFonts w:ascii="Times New Roman" w:eastAsia="Times New Roman" w:hAnsi="Times New Roman" w:cs="Times New Roman"/>
          <w:color w:val="000000"/>
          <w:sz w:val="24"/>
          <w:szCs w:val="24"/>
        </w:rPr>
        <w:t xml:space="preserve"> and bolster its market position in the United States in order to maintain growth. This development highlights how important green finance is to boosting trade competitiveness through innovation, coordinated policy, and diverse market tactics</w:t>
      </w:r>
      <w:r>
        <w:rPr>
          <w:rFonts w:ascii="Times New Roman" w:eastAsia="Times New Roman" w:hAnsi="Times New Roman" w:cs="Times New Roman"/>
          <w:color w:val="000000"/>
          <w:sz w:val="28"/>
          <w:szCs w:val="28"/>
        </w:rPr>
        <w:t>.</w:t>
      </w:r>
    </w:p>
    <w:p w14:paraId="451D7800" w14:textId="77777777" w:rsidR="00E611D1" w:rsidRDefault="003E2051" w:rsidP="001D34AA">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PESTLE Analy</w:t>
      </w:r>
      <w:r>
        <w:rPr>
          <w:rFonts w:ascii="Times New Roman" w:eastAsia="Times New Roman" w:hAnsi="Times New Roman" w:cs="Times New Roman"/>
          <w:b/>
          <w:bCs/>
          <w:color w:val="000000"/>
          <w:sz w:val="28"/>
          <w:szCs w:val="28"/>
        </w:rPr>
        <w:t>sis of India’s Renewable Energy Export Ecosystem</w:t>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Political, economic, social, technological, legal, and environmental aspects affecting India's trade in renewable energy are assessed using the PESTLE framework.</w:t>
      </w:r>
    </w:p>
    <w:p w14:paraId="16916268" w14:textId="3F3CB713" w:rsidR="00E611D1" w:rsidRDefault="00E611D1" w:rsidP="001D34AA">
      <w:pPr>
        <w:spacing w:line="360" w:lineRule="auto"/>
        <w:rPr>
          <w:rFonts w:ascii="Times New Roman" w:eastAsia="Times New Roman" w:hAnsi="Times New Roman" w:cs="Times New Roman"/>
          <w:b/>
          <w:bCs/>
          <w:sz w:val="24"/>
          <w:szCs w:val="24"/>
        </w:rPr>
      </w:pPr>
    </w:p>
    <w:tbl>
      <w:tblPr>
        <w:tblStyle w:val="a0"/>
        <w:tblW w:w="7953"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63"/>
        <w:gridCol w:w="6190"/>
      </w:tblGrid>
      <w:tr w:rsidR="00E611D1" w14:paraId="28C0E308" w14:textId="77777777" w:rsidTr="00E611D1">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763" w:type="dxa"/>
          </w:tcPr>
          <w:p w14:paraId="6278F16B" w14:textId="77777777" w:rsidR="00E611D1" w:rsidRDefault="003E2051" w:rsidP="001D34A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Factor</w:t>
            </w:r>
          </w:p>
        </w:tc>
        <w:tc>
          <w:tcPr>
            <w:tcW w:w="6190" w:type="dxa"/>
          </w:tcPr>
          <w:p w14:paraId="54D27434" w14:textId="77777777" w:rsidR="00E611D1" w:rsidRDefault="003E2051" w:rsidP="001D34A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Key Elements Impacting Renewable Expo</w:t>
            </w:r>
            <w:r>
              <w:rPr>
                <w:rFonts w:ascii="Times New Roman" w:eastAsia="Times New Roman" w:hAnsi="Times New Roman" w:cs="Times New Roman"/>
                <w:sz w:val="24"/>
                <w:szCs w:val="24"/>
              </w:rPr>
              <w:t>rt Competitiveness</w:t>
            </w:r>
          </w:p>
        </w:tc>
      </w:tr>
      <w:tr w:rsidR="00E611D1" w14:paraId="7A86366C" w14:textId="77777777" w:rsidTr="00E611D1">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1763" w:type="dxa"/>
          </w:tcPr>
          <w:p w14:paraId="0AD27237" w14:textId="77777777" w:rsidR="00E611D1" w:rsidRDefault="003E2051" w:rsidP="001D34A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Political</w:t>
            </w:r>
          </w:p>
        </w:tc>
        <w:tc>
          <w:tcPr>
            <w:tcW w:w="6190" w:type="dxa"/>
          </w:tcPr>
          <w:p w14:paraId="46746652" w14:textId="77777777" w:rsidR="00E611D1" w:rsidRDefault="003E2051" w:rsidP="001D34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renewable energy policies, EXIM Bank green credit support, trade agreements, bilateral climate partnerships</w:t>
            </w:r>
          </w:p>
        </w:tc>
      </w:tr>
      <w:tr w:rsidR="00E611D1" w14:paraId="585EC876" w14:textId="77777777" w:rsidTr="00E611D1">
        <w:trPr>
          <w:trHeight w:val="867"/>
        </w:trPr>
        <w:tc>
          <w:tcPr>
            <w:cnfStyle w:val="001000000000" w:firstRow="0" w:lastRow="0" w:firstColumn="1" w:lastColumn="0" w:oddVBand="0" w:evenVBand="0" w:oddHBand="0" w:evenHBand="0" w:firstRowFirstColumn="0" w:firstRowLastColumn="0" w:lastRowFirstColumn="0" w:lastRowLastColumn="0"/>
            <w:tcW w:w="1763" w:type="dxa"/>
          </w:tcPr>
          <w:p w14:paraId="09E2B6E3" w14:textId="77777777" w:rsidR="00E611D1" w:rsidRDefault="003E2051" w:rsidP="001D34A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Economic</w:t>
            </w:r>
          </w:p>
        </w:tc>
        <w:tc>
          <w:tcPr>
            <w:tcW w:w="6190" w:type="dxa"/>
          </w:tcPr>
          <w:p w14:paraId="598EDA6F" w14:textId="77777777" w:rsidR="00E611D1" w:rsidRDefault="003E2051" w:rsidP="001D34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Cost of capital, exchange rate volatility, global demand for renewable equipment, subsidies &amp; tax</w:t>
            </w:r>
            <w:r>
              <w:rPr>
                <w:rFonts w:ascii="Times New Roman" w:eastAsia="Times New Roman" w:hAnsi="Times New Roman" w:cs="Times New Roman"/>
                <w:sz w:val="24"/>
                <w:szCs w:val="24"/>
              </w:rPr>
              <w:t xml:space="preserve"> incentives</w:t>
            </w:r>
          </w:p>
        </w:tc>
      </w:tr>
      <w:tr w:rsidR="00E611D1" w14:paraId="12576998" w14:textId="77777777" w:rsidTr="00E611D1">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1763" w:type="dxa"/>
          </w:tcPr>
          <w:p w14:paraId="473D4589" w14:textId="77777777" w:rsidR="00E611D1" w:rsidRDefault="003E2051" w:rsidP="001D34A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w:t>
            </w:r>
          </w:p>
        </w:tc>
        <w:tc>
          <w:tcPr>
            <w:tcW w:w="6190" w:type="dxa"/>
          </w:tcPr>
          <w:p w14:paraId="14A17D7A" w14:textId="77777777" w:rsidR="00E611D1" w:rsidRDefault="003E2051" w:rsidP="001D34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Workforce skills in green tech, public awareness of sustainability, social acceptance of renewable projects</w:t>
            </w:r>
          </w:p>
        </w:tc>
      </w:tr>
      <w:tr w:rsidR="00E611D1" w14:paraId="6FD9A08F" w14:textId="77777777" w:rsidTr="00E611D1">
        <w:trPr>
          <w:trHeight w:val="867"/>
        </w:trPr>
        <w:tc>
          <w:tcPr>
            <w:cnfStyle w:val="001000000000" w:firstRow="0" w:lastRow="0" w:firstColumn="1" w:lastColumn="0" w:oddVBand="0" w:evenVBand="0" w:oddHBand="0" w:evenHBand="0" w:firstRowFirstColumn="0" w:firstRowLastColumn="0" w:lastRowFirstColumn="0" w:lastRowLastColumn="0"/>
            <w:tcW w:w="1763" w:type="dxa"/>
          </w:tcPr>
          <w:p w14:paraId="3E7AAF81" w14:textId="77777777" w:rsidR="00E611D1" w:rsidRDefault="003E2051" w:rsidP="001D34A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Technological</w:t>
            </w:r>
          </w:p>
        </w:tc>
        <w:tc>
          <w:tcPr>
            <w:tcW w:w="6190" w:type="dxa"/>
          </w:tcPr>
          <w:p w14:paraId="03ABC60D" w14:textId="77777777" w:rsidR="00E611D1" w:rsidRDefault="003E2051" w:rsidP="001D34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Innovation in solar, wind, and storage technologies, R&amp;D funding, technology transfer, energy efficiency </w:t>
            </w:r>
            <w:r>
              <w:rPr>
                <w:rFonts w:ascii="Times New Roman" w:eastAsia="Times New Roman" w:hAnsi="Times New Roman" w:cs="Times New Roman"/>
                <w:sz w:val="24"/>
                <w:szCs w:val="24"/>
              </w:rPr>
              <w:t>improvements</w:t>
            </w:r>
          </w:p>
        </w:tc>
      </w:tr>
      <w:tr w:rsidR="00E611D1" w14:paraId="2B7089ED" w14:textId="77777777" w:rsidTr="00E611D1">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763" w:type="dxa"/>
          </w:tcPr>
          <w:p w14:paraId="0AF184DD" w14:textId="77777777" w:rsidR="00E611D1" w:rsidRDefault="003E2051" w:rsidP="001D34A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Legal</w:t>
            </w:r>
          </w:p>
        </w:tc>
        <w:tc>
          <w:tcPr>
            <w:tcW w:w="6190" w:type="dxa"/>
          </w:tcPr>
          <w:p w14:paraId="6E82CFF3" w14:textId="77777777" w:rsidR="00E611D1" w:rsidRDefault="003E2051" w:rsidP="001D34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ESG regulations, carbon border adjustment mechanisms, export compliance rules, intellectual property rights</w:t>
            </w:r>
          </w:p>
        </w:tc>
      </w:tr>
      <w:tr w:rsidR="00E611D1" w14:paraId="3A8875DD" w14:textId="77777777" w:rsidTr="00E611D1">
        <w:trPr>
          <w:trHeight w:val="854"/>
        </w:trPr>
        <w:tc>
          <w:tcPr>
            <w:cnfStyle w:val="001000000000" w:firstRow="0" w:lastRow="0" w:firstColumn="1" w:lastColumn="0" w:oddVBand="0" w:evenVBand="0" w:oddHBand="0" w:evenHBand="0" w:firstRowFirstColumn="0" w:firstRowLastColumn="0" w:lastRowFirstColumn="0" w:lastRowLastColumn="0"/>
            <w:tcW w:w="1763" w:type="dxa"/>
          </w:tcPr>
          <w:p w14:paraId="17680B43" w14:textId="77777777" w:rsidR="00E611D1" w:rsidRDefault="003E2051" w:rsidP="001D34A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w:t>
            </w:r>
          </w:p>
        </w:tc>
        <w:tc>
          <w:tcPr>
            <w:tcW w:w="6190" w:type="dxa"/>
          </w:tcPr>
          <w:p w14:paraId="0D84CBBB" w14:textId="77777777" w:rsidR="00E611D1" w:rsidRDefault="003E2051" w:rsidP="001D34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Climate commitments (Paris Agreement), carbon footprint standards, sustainable supply chain requirements, </w:t>
            </w:r>
            <w:r>
              <w:rPr>
                <w:rFonts w:ascii="Times New Roman" w:eastAsia="Times New Roman" w:hAnsi="Times New Roman" w:cs="Times New Roman"/>
                <w:sz w:val="24"/>
                <w:szCs w:val="24"/>
              </w:rPr>
              <w:t>renewable resource availability</w:t>
            </w:r>
          </w:p>
        </w:tc>
      </w:tr>
    </w:tbl>
    <w:p w14:paraId="201E6A37" w14:textId="77777777" w:rsidR="00E611D1" w:rsidRDefault="003E2051" w:rsidP="001D34AA">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 xml:space="preserve">Source- </w:t>
      </w:r>
      <w:r>
        <w:rPr>
          <w:rFonts w:ascii="Times New Roman" w:eastAsia="Times New Roman" w:hAnsi="Times New Roman" w:cs="Times New Roman"/>
          <w:i/>
          <w:iCs/>
          <w:sz w:val="24"/>
          <w:szCs w:val="24"/>
        </w:rPr>
        <w:t>Compiled by the Researcher</w:t>
      </w:r>
    </w:p>
    <w:p w14:paraId="7DAC7390" w14:textId="1F39F3A9" w:rsidR="0048103A" w:rsidRDefault="0048103A" w:rsidP="001D34AA">
      <w:pPr>
        <w:spacing w:line="360" w:lineRule="auto"/>
        <w:rPr>
          <w:rFonts w:ascii="Times New Roman" w:eastAsia="Times New Roman" w:hAnsi="Times New Roman" w:cs="Times New Roman"/>
          <w:b/>
          <w:bCs/>
          <w:i/>
          <w:iCs/>
          <w:sz w:val="24"/>
          <w:szCs w:val="24"/>
        </w:rPr>
      </w:pPr>
      <w:r w:rsidRPr="00A7770B">
        <w:rPr>
          <w:rFonts w:ascii="Times New Roman" w:eastAsia="Times New Roman" w:hAnsi="Times New Roman" w:cs="Times New Roman"/>
          <w:b/>
          <w:bCs/>
          <w:sz w:val="24"/>
          <w:szCs w:val="24"/>
        </w:rPr>
        <w:t>Table 2</w:t>
      </w:r>
      <w:r>
        <w:rPr>
          <w:rFonts w:ascii="Times New Roman" w:eastAsia="Times New Roman" w:hAnsi="Times New Roman" w:cs="Times New Roman"/>
          <w:b/>
          <w:bCs/>
          <w:i/>
          <w:iCs/>
          <w:sz w:val="24"/>
          <w:szCs w:val="24"/>
        </w:rPr>
        <w:t>-</w:t>
      </w:r>
      <w:r w:rsidR="00A7770B">
        <w:rPr>
          <w:rFonts w:ascii="Times New Roman" w:eastAsia="Times New Roman" w:hAnsi="Times New Roman" w:cs="Times New Roman"/>
          <w:b/>
          <w:bCs/>
          <w:i/>
          <w:iCs/>
          <w:sz w:val="24"/>
          <w:szCs w:val="24"/>
        </w:rPr>
        <w:t xml:space="preserve"> </w:t>
      </w:r>
      <w:r w:rsidR="00A7770B">
        <w:rPr>
          <w:rFonts w:ascii="Times New Roman" w:eastAsia="Times New Roman" w:hAnsi="Times New Roman" w:cs="Times New Roman"/>
          <w:b/>
          <w:bCs/>
          <w:sz w:val="24"/>
          <w:szCs w:val="24"/>
        </w:rPr>
        <w:t xml:space="preserve">PESTLE Analysis Matrix </w:t>
      </w:r>
      <w:r w:rsidR="00E85607">
        <w:rPr>
          <w:rFonts w:ascii="Times New Roman" w:eastAsia="Times New Roman" w:hAnsi="Times New Roman" w:cs="Times New Roman"/>
          <w:b/>
          <w:bCs/>
          <w:sz w:val="24"/>
          <w:szCs w:val="24"/>
        </w:rPr>
        <w:t>of</w:t>
      </w:r>
      <w:r w:rsidR="00A7770B">
        <w:rPr>
          <w:rFonts w:ascii="Times New Roman" w:eastAsia="Times New Roman" w:hAnsi="Times New Roman" w:cs="Times New Roman"/>
          <w:b/>
          <w:bCs/>
          <w:sz w:val="24"/>
          <w:szCs w:val="24"/>
        </w:rPr>
        <w:t xml:space="preserve"> India’s Renewable Energy Export Ecosystem</w:t>
      </w:r>
    </w:p>
    <w:p w14:paraId="49DD8C08" w14:textId="77777777" w:rsidR="00E611D1" w:rsidRDefault="003E2051" w:rsidP="001D34AA">
      <w:pPr>
        <w:spacing w:line="36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Interpretation</w:t>
      </w:r>
      <w:r>
        <w:rPr>
          <w:rFonts w:ascii="Times New Roman" w:eastAsia="Times New Roman" w:hAnsi="Times New Roman" w:cs="Times New Roman"/>
          <w:sz w:val="24"/>
          <w:szCs w:val="24"/>
        </w:rPr>
        <w:t xml:space="preserve">: This matrix illustrates that India’s renewable energy exports are influenced not just by </w:t>
      </w:r>
      <w:r>
        <w:rPr>
          <w:rFonts w:ascii="Times New Roman" w:eastAsia="Times New Roman" w:hAnsi="Times New Roman" w:cs="Times New Roman"/>
          <w:sz w:val="24"/>
          <w:szCs w:val="24"/>
        </w:rPr>
        <w:t>finance but also by regulatory, technological, and social factors. Green finance can strategically address economic, technological, and legal bottlenecks.</w:t>
      </w:r>
    </w:p>
    <w:p w14:paraId="5351F6C2" w14:textId="02FA681E" w:rsidR="00E611D1" w:rsidRDefault="0048103A" w:rsidP="001D34AA">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3-PESTLE-Based Evaluation of Green Finance for Renewable Energy Export Competitiveness</w:t>
      </w:r>
    </w:p>
    <w:tbl>
      <w:tblPr>
        <w:tblStyle w:val="a1"/>
        <w:tblW w:w="8864"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763"/>
        <w:gridCol w:w="3607"/>
        <w:gridCol w:w="3494"/>
      </w:tblGrid>
      <w:tr w:rsidR="00E611D1" w14:paraId="51B57DA2" w14:textId="77777777" w:rsidTr="00E611D1">
        <w:trPr>
          <w:cnfStyle w:val="100000000000" w:firstRow="1" w:lastRow="0" w:firstColumn="0" w:lastColumn="0" w:oddVBand="0" w:evenVBand="0" w:oddHBand="0"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1763" w:type="dxa"/>
          </w:tcPr>
          <w:p w14:paraId="0A7440E1" w14:textId="77777777" w:rsidR="00E611D1" w:rsidRDefault="003E2051" w:rsidP="001D34AA">
            <w:pPr>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Factor</w:t>
            </w:r>
          </w:p>
        </w:tc>
        <w:tc>
          <w:tcPr>
            <w:tcW w:w="3607" w:type="dxa"/>
          </w:tcPr>
          <w:p w14:paraId="28E9A765" w14:textId="77777777" w:rsidR="00E611D1" w:rsidRDefault="003E2051" w:rsidP="001D34AA">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Key Elements Affecting Export Competitiveness</w:t>
            </w:r>
          </w:p>
        </w:tc>
        <w:tc>
          <w:tcPr>
            <w:tcW w:w="3494" w:type="dxa"/>
          </w:tcPr>
          <w:p w14:paraId="26C79540" w14:textId="77777777" w:rsidR="00E611D1" w:rsidRDefault="003E2051" w:rsidP="001D34AA">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Implications for Green Finance and Trade</w:t>
            </w:r>
          </w:p>
        </w:tc>
      </w:tr>
      <w:tr w:rsidR="00E611D1" w14:paraId="483228BD" w14:textId="77777777" w:rsidTr="00E611D1">
        <w:trPr>
          <w:trHeight w:val="1713"/>
        </w:trPr>
        <w:tc>
          <w:tcPr>
            <w:cnfStyle w:val="001000000000" w:firstRow="0" w:lastRow="0" w:firstColumn="1" w:lastColumn="0" w:oddVBand="0" w:evenVBand="0" w:oddHBand="0" w:evenHBand="0" w:firstRowFirstColumn="0" w:firstRowLastColumn="0" w:lastRowFirstColumn="0" w:lastRowLastColumn="0"/>
            <w:tcW w:w="1763" w:type="dxa"/>
          </w:tcPr>
          <w:p w14:paraId="3AA19155" w14:textId="77777777" w:rsidR="00E611D1" w:rsidRDefault="003E2051" w:rsidP="001D34AA">
            <w:pPr>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Political</w:t>
            </w:r>
          </w:p>
        </w:tc>
        <w:tc>
          <w:tcPr>
            <w:tcW w:w="3607" w:type="dxa"/>
          </w:tcPr>
          <w:p w14:paraId="63514FC8" w14:textId="77777777" w:rsidR="00E611D1" w:rsidRDefault="003E2051" w:rsidP="001D34AA">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PLI Scheme, National Green Hydrogen Mission, EXIM Bank Green Window, G20 and COP commitments</w:t>
            </w:r>
          </w:p>
        </w:tc>
        <w:tc>
          <w:tcPr>
            <w:tcW w:w="3494" w:type="dxa"/>
          </w:tcPr>
          <w:p w14:paraId="416E86B2" w14:textId="77777777" w:rsidR="00E611D1" w:rsidRDefault="003E2051" w:rsidP="001D34AA">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Strong policy intent; greater coordination needed between trade a</w:t>
            </w:r>
            <w:r>
              <w:rPr>
                <w:rFonts w:ascii="Times New Roman" w:eastAsia="Times New Roman" w:hAnsi="Times New Roman" w:cs="Times New Roman"/>
                <w:sz w:val="24"/>
                <w:szCs w:val="24"/>
              </w:rPr>
              <w:t>nd finance institutions</w:t>
            </w:r>
          </w:p>
        </w:tc>
      </w:tr>
      <w:tr w:rsidR="00E611D1" w14:paraId="1C6CFE16" w14:textId="77777777" w:rsidTr="00E611D1">
        <w:trPr>
          <w:trHeight w:val="1317"/>
        </w:trPr>
        <w:tc>
          <w:tcPr>
            <w:cnfStyle w:val="001000000000" w:firstRow="0" w:lastRow="0" w:firstColumn="1" w:lastColumn="0" w:oddVBand="0" w:evenVBand="0" w:oddHBand="0" w:evenHBand="0" w:firstRowFirstColumn="0" w:firstRowLastColumn="0" w:lastRowFirstColumn="0" w:lastRowLastColumn="0"/>
            <w:tcW w:w="1763" w:type="dxa"/>
          </w:tcPr>
          <w:p w14:paraId="4751BED7" w14:textId="77777777" w:rsidR="00E611D1" w:rsidRDefault="003E2051" w:rsidP="001D34AA">
            <w:pPr>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Economic</w:t>
            </w:r>
          </w:p>
        </w:tc>
        <w:tc>
          <w:tcPr>
            <w:tcW w:w="3607" w:type="dxa"/>
          </w:tcPr>
          <w:p w14:paraId="26131254" w14:textId="77777777" w:rsidR="00E611D1" w:rsidRDefault="003E2051" w:rsidP="001D34AA">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0.68% export share, 16% of green finance for exports, concessional loans lowering costs</w:t>
            </w:r>
          </w:p>
        </w:tc>
        <w:tc>
          <w:tcPr>
            <w:tcW w:w="3494" w:type="dxa"/>
          </w:tcPr>
          <w:p w14:paraId="44B2DA49" w14:textId="77777777" w:rsidR="00E611D1" w:rsidRDefault="003E2051" w:rsidP="001D34AA">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Expanding green bonds and incentives can enhance cost efficiency and market reach</w:t>
            </w:r>
          </w:p>
        </w:tc>
      </w:tr>
      <w:tr w:rsidR="00E611D1" w14:paraId="20CAB34C" w14:textId="77777777" w:rsidTr="00E611D1">
        <w:trPr>
          <w:trHeight w:val="764"/>
        </w:trPr>
        <w:tc>
          <w:tcPr>
            <w:cnfStyle w:val="001000000000" w:firstRow="0" w:lastRow="0" w:firstColumn="1" w:lastColumn="0" w:oddVBand="0" w:evenVBand="0" w:oddHBand="0" w:evenHBand="0" w:firstRowFirstColumn="0" w:firstRowLastColumn="0" w:lastRowFirstColumn="0" w:lastRowLastColumn="0"/>
            <w:tcW w:w="1763" w:type="dxa"/>
          </w:tcPr>
          <w:p w14:paraId="1C5C441F" w14:textId="77777777" w:rsidR="00E611D1" w:rsidRDefault="003E2051" w:rsidP="001D34AA">
            <w:pPr>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w:t>
            </w:r>
          </w:p>
        </w:tc>
        <w:tc>
          <w:tcPr>
            <w:tcW w:w="3607" w:type="dxa"/>
          </w:tcPr>
          <w:p w14:paraId="1AAE2099" w14:textId="77777777" w:rsidR="00E611D1" w:rsidRDefault="003E2051" w:rsidP="001D34AA">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Skilled workforce in solar and wind sectors,</w:t>
            </w:r>
            <w:r>
              <w:rPr>
                <w:rFonts w:ascii="Times New Roman" w:eastAsia="Times New Roman" w:hAnsi="Times New Roman" w:cs="Times New Roman"/>
                <w:sz w:val="24"/>
                <w:szCs w:val="24"/>
              </w:rPr>
              <w:t xml:space="preserve"> ESG awareness, sustainability branding</w:t>
            </w:r>
          </w:p>
        </w:tc>
        <w:tc>
          <w:tcPr>
            <w:tcW w:w="3494" w:type="dxa"/>
          </w:tcPr>
          <w:p w14:paraId="25253E10" w14:textId="77777777" w:rsidR="00E611D1" w:rsidRDefault="003E2051" w:rsidP="001D34AA">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Promotes inclusive growth and strengthens India’s image as a green exporter</w:t>
            </w:r>
          </w:p>
        </w:tc>
      </w:tr>
      <w:tr w:rsidR="00E611D1" w14:paraId="53D7BFB5" w14:textId="77777777" w:rsidTr="00E611D1">
        <w:trPr>
          <w:trHeight w:val="135"/>
        </w:trPr>
        <w:tc>
          <w:tcPr>
            <w:cnfStyle w:val="001000000000" w:firstRow="0" w:lastRow="0" w:firstColumn="1" w:lastColumn="0" w:oddVBand="0" w:evenVBand="0" w:oddHBand="0" w:evenHBand="0" w:firstRowFirstColumn="0" w:firstRowLastColumn="0" w:lastRowFirstColumn="0" w:lastRowLastColumn="0"/>
            <w:tcW w:w="1763" w:type="dxa"/>
          </w:tcPr>
          <w:p w14:paraId="1B4D2907" w14:textId="77777777" w:rsidR="00E611D1" w:rsidRDefault="003E2051" w:rsidP="001D34AA">
            <w:pPr>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Technological</w:t>
            </w:r>
          </w:p>
        </w:tc>
        <w:tc>
          <w:tcPr>
            <w:tcW w:w="3607" w:type="dxa"/>
          </w:tcPr>
          <w:p w14:paraId="7A2BB0C7" w14:textId="77777777" w:rsidR="00E611D1" w:rsidRDefault="003E2051" w:rsidP="001D34AA">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Advances in bifacial solar panels, wind gearboxes, hydrogen </w:t>
            </w:r>
            <w:proofErr w:type="spellStart"/>
            <w:r>
              <w:rPr>
                <w:rFonts w:ascii="Times New Roman" w:eastAsia="Times New Roman" w:hAnsi="Times New Roman" w:cs="Times New Roman"/>
                <w:sz w:val="24"/>
                <w:szCs w:val="24"/>
              </w:rPr>
              <w:t>electrolyzers</w:t>
            </w:r>
            <w:proofErr w:type="spellEnd"/>
          </w:p>
        </w:tc>
        <w:tc>
          <w:tcPr>
            <w:tcW w:w="3494" w:type="dxa"/>
          </w:tcPr>
          <w:p w14:paraId="7929CE2E" w14:textId="77777777" w:rsidR="00E611D1" w:rsidRDefault="003E2051" w:rsidP="001D34AA">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Green finance supports technology upgrades and </w:t>
            </w:r>
            <w:r>
              <w:rPr>
                <w:rFonts w:ascii="Times New Roman" w:eastAsia="Times New Roman" w:hAnsi="Times New Roman" w:cs="Times New Roman"/>
                <w:sz w:val="24"/>
                <w:szCs w:val="24"/>
              </w:rPr>
              <w:t>ESG-compliant production for export markets</w:t>
            </w:r>
          </w:p>
        </w:tc>
      </w:tr>
      <w:tr w:rsidR="00E611D1" w14:paraId="4D6A358E" w14:textId="77777777" w:rsidTr="00E611D1">
        <w:trPr>
          <w:trHeight w:val="135"/>
        </w:trPr>
        <w:tc>
          <w:tcPr>
            <w:cnfStyle w:val="001000000000" w:firstRow="0" w:lastRow="0" w:firstColumn="1" w:lastColumn="0" w:oddVBand="0" w:evenVBand="0" w:oddHBand="0" w:evenHBand="0" w:firstRowFirstColumn="0" w:firstRowLastColumn="0" w:lastRowFirstColumn="0" w:lastRowLastColumn="0"/>
            <w:tcW w:w="1763" w:type="dxa"/>
          </w:tcPr>
          <w:p w14:paraId="16E26C7B" w14:textId="77777777" w:rsidR="00E611D1" w:rsidRDefault="003E2051" w:rsidP="001D34AA">
            <w:pPr>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Legal</w:t>
            </w:r>
          </w:p>
        </w:tc>
        <w:tc>
          <w:tcPr>
            <w:tcW w:w="3607" w:type="dxa"/>
          </w:tcPr>
          <w:p w14:paraId="0768697A" w14:textId="77777777" w:rsidR="00E611D1" w:rsidRDefault="003E2051" w:rsidP="001D34AA">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RBI’s Sustainable Finance Framework (2024), WTO &amp; OECD carbon compliance, EU CBAM</w:t>
            </w:r>
          </w:p>
        </w:tc>
        <w:tc>
          <w:tcPr>
            <w:tcW w:w="3494" w:type="dxa"/>
          </w:tcPr>
          <w:p w14:paraId="4BA3290A" w14:textId="77777777" w:rsidR="00E611D1" w:rsidRDefault="003E2051" w:rsidP="001D34AA">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Ensures exporters meet low-carbon trade standards and certification norms</w:t>
            </w:r>
          </w:p>
        </w:tc>
      </w:tr>
      <w:tr w:rsidR="00E611D1" w14:paraId="6215A150" w14:textId="77777777" w:rsidTr="00E611D1">
        <w:trPr>
          <w:trHeight w:val="1317"/>
        </w:trPr>
        <w:tc>
          <w:tcPr>
            <w:cnfStyle w:val="001000000000" w:firstRow="0" w:lastRow="0" w:firstColumn="1" w:lastColumn="0" w:oddVBand="0" w:evenVBand="0" w:oddHBand="0" w:evenHBand="0" w:firstRowFirstColumn="0" w:firstRowLastColumn="0" w:lastRowFirstColumn="0" w:lastRowLastColumn="0"/>
            <w:tcW w:w="1763" w:type="dxa"/>
          </w:tcPr>
          <w:p w14:paraId="7E956904" w14:textId="77777777" w:rsidR="00E611D1" w:rsidRDefault="003E2051" w:rsidP="001D34AA">
            <w:pPr>
              <w:spacing w:after="1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w:t>
            </w:r>
          </w:p>
        </w:tc>
        <w:tc>
          <w:tcPr>
            <w:tcW w:w="3607" w:type="dxa"/>
          </w:tcPr>
          <w:p w14:paraId="44EAB5E4" w14:textId="77777777" w:rsidR="00E611D1" w:rsidRDefault="003E2051" w:rsidP="001D34AA">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500 GW renewable target by 2030, </w:t>
            </w:r>
            <w:r>
              <w:rPr>
                <w:rFonts w:ascii="Times New Roman" w:eastAsia="Times New Roman" w:hAnsi="Times New Roman" w:cs="Times New Roman"/>
                <w:sz w:val="24"/>
                <w:szCs w:val="24"/>
              </w:rPr>
              <w:t>CO₂ reduction through large solar projects</w:t>
            </w:r>
          </w:p>
        </w:tc>
        <w:tc>
          <w:tcPr>
            <w:tcW w:w="3494" w:type="dxa"/>
          </w:tcPr>
          <w:p w14:paraId="7B50B3FB" w14:textId="77777777" w:rsidR="00E611D1" w:rsidRDefault="003E2051" w:rsidP="001D34AA">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Green finance funds decarbonization and strengthens environmental credibility</w:t>
            </w:r>
          </w:p>
        </w:tc>
      </w:tr>
    </w:tbl>
    <w:p w14:paraId="72DA6116" w14:textId="77777777" w:rsidR="00E611D1" w:rsidRDefault="003E2051" w:rsidP="001D34AA">
      <w:pPr>
        <w:spacing w:line="36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Source-Compiled by the Researcher</w:t>
      </w:r>
    </w:p>
    <w:p w14:paraId="3ECB7FD4" w14:textId="77777777" w:rsidR="00E611D1" w:rsidRDefault="003E2051" w:rsidP="001D34AA">
      <w:pPr>
        <w:spacing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Financial Flow Mapping of Green Finance for Renewable Energy Exports (2023–24) </w:t>
      </w:r>
    </w:p>
    <w:p w14:paraId="1FF3C527" w14:textId="77777777" w:rsidR="00E611D1" w:rsidRDefault="003E2051" w:rsidP="001D34AA">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Financial flows toward export-related renewable projects are mapped from both domestic and foreign sources. According to the findings, export-oriented renewable projects received only about 16% of the total green funding raised in India during FY 2023–2024</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Most of the money goes toward infrastructure in the country. India's competitiveness in exporting renewable energy can be significantly increased by extending EXIM Bank's Green Window and tying trade finance and concessional loans together.              </w:t>
      </w:r>
      <w:r>
        <w:rPr>
          <w:rFonts w:ascii="Times New Roman" w:eastAsia="Times New Roman" w:hAnsi="Times New Roman" w:cs="Times New Roman"/>
          <w:sz w:val="24"/>
          <w:szCs w:val="24"/>
        </w:rPr>
        <w:t xml:space="preserve">         </w:t>
      </w:r>
      <w:r>
        <w:rPr>
          <w:rFonts w:ascii="Times New Roman" w:eastAsia="Times New Roman" w:hAnsi="Times New Roman" w:cs="Times New Roman"/>
          <w:noProof/>
        </w:rPr>
        <w:drawing>
          <wp:inline distT="0" distB="0" distL="0" distR="0" wp14:anchorId="3B59A1ED" wp14:editId="78A5E187">
            <wp:extent cx="5810250" cy="21526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ascii="Times New Roman" w:eastAsia="Times New Roman" w:hAnsi="Times New Roman" w:cs="Times New Roman"/>
          <w:i/>
          <w:iCs/>
          <w:sz w:val="24"/>
          <w:szCs w:val="24"/>
        </w:rPr>
        <w:t xml:space="preserve">         Source- Compiled by the Researcher</w:t>
      </w:r>
    </w:p>
    <w:p w14:paraId="4C2CBAE9" w14:textId="13489E29" w:rsidR="0048103A" w:rsidRPr="00523B49" w:rsidRDefault="0048103A" w:rsidP="001D34AA">
      <w:pPr>
        <w:spacing w:line="360" w:lineRule="auto"/>
        <w:rPr>
          <w:rFonts w:ascii="Times New Roman" w:eastAsia="Times New Roman" w:hAnsi="Times New Roman" w:cs="Times New Roman"/>
          <w:b/>
          <w:bCs/>
          <w:sz w:val="24"/>
          <w:szCs w:val="24"/>
        </w:rPr>
      </w:pPr>
      <w:r w:rsidRPr="00523B49">
        <w:rPr>
          <w:rFonts w:ascii="Times New Roman" w:eastAsia="Times New Roman" w:hAnsi="Times New Roman" w:cs="Times New Roman"/>
          <w:b/>
          <w:bCs/>
          <w:sz w:val="24"/>
          <w:szCs w:val="24"/>
        </w:rPr>
        <w:t>Fig 2-</w:t>
      </w:r>
      <w:r w:rsidR="00A75DBF" w:rsidRPr="00523B49">
        <w:rPr>
          <w:rFonts w:ascii="Times New Roman" w:eastAsia="Times New Roman" w:hAnsi="Times New Roman" w:cs="Times New Roman"/>
          <w:b/>
          <w:bCs/>
          <w:sz w:val="24"/>
          <w:szCs w:val="24"/>
        </w:rPr>
        <w:t xml:space="preserve"> </w:t>
      </w:r>
      <w:r w:rsidR="00523B49" w:rsidRPr="00523B49">
        <w:rPr>
          <w:rFonts w:ascii="Times New Roman" w:eastAsia="Times New Roman" w:hAnsi="Times New Roman" w:cs="Times New Roman"/>
          <w:b/>
          <w:bCs/>
          <w:sz w:val="24"/>
          <w:szCs w:val="24"/>
        </w:rPr>
        <w:t xml:space="preserve">Flow Mapping of Green Finance </w:t>
      </w:r>
      <w:r w:rsidR="00DC0041">
        <w:rPr>
          <w:rFonts w:ascii="Times New Roman" w:eastAsia="Times New Roman" w:hAnsi="Times New Roman" w:cs="Times New Roman"/>
          <w:b/>
          <w:bCs/>
          <w:sz w:val="24"/>
          <w:szCs w:val="24"/>
        </w:rPr>
        <w:t>in case o</w:t>
      </w:r>
      <w:bookmarkStart w:id="2" w:name="_GoBack"/>
      <w:bookmarkEnd w:id="2"/>
      <w:r w:rsidR="00DC0041">
        <w:rPr>
          <w:rFonts w:ascii="Times New Roman" w:eastAsia="Times New Roman" w:hAnsi="Times New Roman" w:cs="Times New Roman"/>
          <w:b/>
          <w:bCs/>
          <w:sz w:val="24"/>
          <w:szCs w:val="24"/>
        </w:rPr>
        <w:t xml:space="preserve">f </w:t>
      </w:r>
      <w:r w:rsidR="00DC0041" w:rsidRPr="00DC0041">
        <w:rPr>
          <w:rFonts w:ascii="Times New Roman" w:eastAsia="Times New Roman" w:hAnsi="Times New Roman" w:cs="Times New Roman"/>
          <w:b/>
          <w:bCs/>
          <w:sz w:val="24"/>
          <w:szCs w:val="24"/>
        </w:rPr>
        <w:t xml:space="preserve">Renewable Energy Exports (2023–24) </w:t>
      </w:r>
    </w:p>
    <w:p w14:paraId="65DF3A8A" w14:textId="77777777" w:rsidR="00E611D1" w:rsidRDefault="003E2051" w:rsidP="001D34AA">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Interpretation</w:t>
      </w:r>
    </w:p>
    <w:p w14:paraId="3FD5A403" w14:textId="77777777" w:rsidR="00E611D1" w:rsidRDefault="003E2051" w:rsidP="001D34A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graph, just 16% of India's financing for renewable energy projects is allocated to </w:t>
      </w:r>
      <w:r>
        <w:rPr>
          <w:rFonts w:ascii="Times New Roman" w:eastAsia="Times New Roman" w:hAnsi="Times New Roman" w:cs="Times New Roman"/>
          <w:sz w:val="24"/>
          <w:szCs w:val="24"/>
        </w:rPr>
        <w:t>exports, whereas 84% is allocated to local initiatives. Solar photovoltaics account for 60% of export funding, with biofuels, green hydrogen, storage, and services coming in second (22%), and wind energy coming in last (18%). This reflects India's expandin</w:t>
      </w:r>
      <w:r>
        <w:rPr>
          <w:rFonts w:ascii="Times New Roman" w:eastAsia="Times New Roman" w:hAnsi="Times New Roman" w:cs="Times New Roman"/>
          <w:sz w:val="24"/>
          <w:szCs w:val="24"/>
        </w:rPr>
        <w:t>g but still modest concentration on international renewable trade.</w:t>
      </w:r>
    </w:p>
    <w:p w14:paraId="0201E5CE" w14:textId="77777777" w:rsidR="00E611D1" w:rsidRDefault="003E2051" w:rsidP="001D34A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Challenges and Way Forward</w:t>
      </w:r>
      <w:r>
        <w:rPr>
          <w:rFonts w:ascii="Times New Roman" w:eastAsia="Times New Roman" w:hAnsi="Times New Roman" w:cs="Times New Roman"/>
          <w:sz w:val="24"/>
          <w:szCs w:val="24"/>
        </w:rPr>
        <w:br/>
        <w:t xml:space="preserve">Despite progress, constraints </w:t>
      </w:r>
      <w:proofErr w:type="spellStart"/>
      <w:proofErr w:type="gramStart"/>
      <w:r>
        <w:rPr>
          <w:rFonts w:ascii="Times New Roman" w:eastAsia="Times New Roman" w:hAnsi="Times New Roman" w:cs="Times New Roman"/>
          <w:sz w:val="24"/>
          <w:szCs w:val="24"/>
        </w:rPr>
        <w:t>remain.Exporters</w:t>
      </w:r>
      <w:proofErr w:type="spellEnd"/>
      <w:proofErr w:type="gramEnd"/>
      <w:r>
        <w:rPr>
          <w:rFonts w:ascii="Times New Roman" w:eastAsia="Times New Roman" w:hAnsi="Times New Roman" w:cs="Times New Roman"/>
          <w:sz w:val="24"/>
          <w:szCs w:val="24"/>
        </w:rPr>
        <w:t xml:space="preserve"> face tariff and non-tariff barriers, logistical costs, and limited access to export-linked green credit lines from </w:t>
      </w:r>
      <w:r>
        <w:rPr>
          <w:rFonts w:ascii="Times New Roman" w:eastAsia="Times New Roman" w:hAnsi="Times New Roman" w:cs="Times New Roman"/>
          <w:sz w:val="24"/>
          <w:szCs w:val="24"/>
        </w:rPr>
        <w:t>Indian financial institutions. Strengthening EXIM Bank’s Green Window and developing export-oriented green bond funds can bridge these financing gaps. Collaborative arrangements between Indian and U.S. clean energy financiers could further scale sustainabl</w:t>
      </w:r>
      <w:r>
        <w:rPr>
          <w:rFonts w:ascii="Times New Roman" w:eastAsia="Times New Roman" w:hAnsi="Times New Roman" w:cs="Times New Roman"/>
          <w:sz w:val="24"/>
          <w:szCs w:val="24"/>
        </w:rPr>
        <w:t>e trade flows.</w:t>
      </w:r>
    </w:p>
    <w:p w14:paraId="1DD9B3BB" w14:textId="77777777" w:rsidR="00E611D1" w:rsidRDefault="003E2051" w:rsidP="001D34AA">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Study Limitations and Future Research</w:t>
      </w:r>
    </w:p>
    <w:p w14:paraId="43D0C0A3" w14:textId="77777777" w:rsidR="00E611D1" w:rsidRDefault="003E2051" w:rsidP="001D34A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Descriptive-Analytical methodology in this investigation, which relies on case studies and secondary data, restricts its capacity to prove causation. While case studies of Tata Power Solar and </w:t>
      </w:r>
      <w:proofErr w:type="spellStart"/>
      <w:r>
        <w:rPr>
          <w:rFonts w:ascii="Times New Roman" w:eastAsia="Times New Roman" w:hAnsi="Times New Roman" w:cs="Times New Roman"/>
          <w:sz w:val="24"/>
          <w:szCs w:val="24"/>
        </w:rPr>
        <w:t>ReNew</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Power provide insights that are not generally applicable, reliance on datasets from DGCI&amp;S, RBI, and EXIM Bank limits the ability to accurately analyze the direct impact of green finance on exports. Although it lacks quantitative confirmation, the PESTLE f</w:t>
      </w:r>
      <w:r>
        <w:rPr>
          <w:rFonts w:ascii="Times New Roman" w:eastAsia="Times New Roman" w:hAnsi="Times New Roman" w:cs="Times New Roman"/>
          <w:sz w:val="24"/>
          <w:szCs w:val="24"/>
        </w:rPr>
        <w:t xml:space="preserve">ramework identifies macro </w:t>
      </w:r>
      <w:proofErr w:type="spellStart"/>
      <w:proofErr w:type="gramStart"/>
      <w:r>
        <w:rPr>
          <w:rFonts w:ascii="Times New Roman" w:eastAsia="Times New Roman" w:hAnsi="Times New Roman" w:cs="Times New Roman"/>
          <w:sz w:val="24"/>
          <w:szCs w:val="24"/>
        </w:rPr>
        <w:t>linkages.Overall</w:t>
      </w:r>
      <w:proofErr w:type="spellEnd"/>
      <w:proofErr w:type="gramEnd"/>
      <w:r>
        <w:rPr>
          <w:rFonts w:ascii="Times New Roman" w:eastAsia="Times New Roman" w:hAnsi="Times New Roman" w:cs="Times New Roman"/>
          <w:sz w:val="24"/>
          <w:szCs w:val="24"/>
        </w:rPr>
        <w:t>, the results indicate a relationship but do not establish a causal relationship between green funding and renewable export competitiveness. To more accurately measure and evaluate the long-term impacts of sustaina</w:t>
      </w:r>
      <w:r>
        <w:rPr>
          <w:rFonts w:ascii="Times New Roman" w:eastAsia="Times New Roman" w:hAnsi="Times New Roman" w:cs="Times New Roman"/>
          <w:sz w:val="24"/>
          <w:szCs w:val="24"/>
        </w:rPr>
        <w:t xml:space="preserve">ble financing on export performance and diversification, future research should make use of panel data and econometric techniques, compare with other rising economies, and create a Green </w:t>
      </w:r>
      <w:proofErr w:type="gramStart"/>
      <w:r>
        <w:rPr>
          <w:rFonts w:ascii="Times New Roman" w:eastAsia="Times New Roman" w:hAnsi="Times New Roman" w:cs="Times New Roman"/>
          <w:sz w:val="24"/>
          <w:szCs w:val="24"/>
        </w:rPr>
        <w:t>financing</w:t>
      </w:r>
      <w:proofErr w:type="gramEnd"/>
      <w:r>
        <w:rPr>
          <w:rFonts w:ascii="Times New Roman" w:eastAsia="Times New Roman" w:hAnsi="Times New Roman" w:cs="Times New Roman"/>
          <w:sz w:val="24"/>
          <w:szCs w:val="24"/>
        </w:rPr>
        <w:t>-Trade Competitiveness Index.</w:t>
      </w:r>
    </w:p>
    <w:p w14:paraId="3A7B046F" w14:textId="77777777" w:rsidR="00E611D1" w:rsidRDefault="003E2051" w:rsidP="001D34AA">
      <w:pPr>
        <w:spacing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sz w:val="28"/>
          <w:szCs w:val="28"/>
        </w:rPr>
        <w:t>Findings and Discussion</w:t>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The study finds that while India’s renewable energy exports are growing, they account for less than one percent of total merchandise exports, pointing to significant untapped potential in global green trade. Solar photovoltaic products lead the segment, co</w:t>
      </w:r>
      <w:r>
        <w:rPr>
          <w:rFonts w:ascii="Times New Roman" w:eastAsia="Times New Roman" w:hAnsi="Times New Roman" w:cs="Times New Roman"/>
          <w:color w:val="000000"/>
          <w:sz w:val="24"/>
          <w:szCs w:val="24"/>
        </w:rPr>
        <w:t xml:space="preserve">ntributing about 60% of exports, supported by technological progress and green bond–backed investments from companies such as </w:t>
      </w:r>
      <w:proofErr w:type="spellStart"/>
      <w:r>
        <w:rPr>
          <w:rFonts w:ascii="Times New Roman" w:eastAsia="Times New Roman" w:hAnsi="Times New Roman" w:cs="Times New Roman"/>
          <w:color w:val="000000"/>
          <w:sz w:val="24"/>
          <w:szCs w:val="24"/>
        </w:rPr>
        <w:t>ReNew</w:t>
      </w:r>
      <w:proofErr w:type="spellEnd"/>
      <w:r>
        <w:rPr>
          <w:rFonts w:ascii="Times New Roman" w:eastAsia="Times New Roman" w:hAnsi="Times New Roman" w:cs="Times New Roman"/>
          <w:color w:val="000000"/>
          <w:sz w:val="24"/>
          <w:szCs w:val="24"/>
        </w:rPr>
        <w:t xml:space="preserve"> Power and Tata Power Solar. Nevertheless, financial flow analysis indicates that only around 16% of India’s green finance is</w:t>
      </w:r>
      <w:r>
        <w:rPr>
          <w:rFonts w:ascii="Times New Roman" w:eastAsia="Times New Roman" w:hAnsi="Times New Roman" w:cs="Times New Roman"/>
          <w:color w:val="000000"/>
          <w:sz w:val="24"/>
          <w:szCs w:val="24"/>
        </w:rPr>
        <w:t xml:space="preserve"> allocated to export-oriented renewable projects, revealing a limited connection between trade and green finance. The PESTLE assessment identifies policy coherence, access to green capital, and adherence to ESG standards as critical factors influencing com</w:t>
      </w:r>
      <w:r>
        <w:rPr>
          <w:rFonts w:ascii="Times New Roman" w:eastAsia="Times New Roman" w:hAnsi="Times New Roman" w:cs="Times New Roman"/>
          <w:color w:val="000000"/>
          <w:sz w:val="24"/>
          <w:szCs w:val="24"/>
        </w:rPr>
        <w:t>petitiveness. Strengthening coordination between trade strategies and green financing instruments is therefore crucial to advancing India’s sustainable, export-driven growth trajectory.</w:t>
      </w:r>
    </w:p>
    <w:p w14:paraId="1C65DA49" w14:textId="77777777" w:rsidR="00E611D1" w:rsidRDefault="003E2051" w:rsidP="001D34A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Policy Recommendations</w:t>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1. Establish a dedicated Green Export Fund unde</w:t>
      </w:r>
      <w:r>
        <w:rPr>
          <w:rFonts w:ascii="Times New Roman" w:eastAsia="Times New Roman" w:hAnsi="Times New Roman" w:cs="Times New Roman"/>
          <w:color w:val="000000"/>
          <w:sz w:val="24"/>
          <w:szCs w:val="24"/>
        </w:rPr>
        <w:t>r EXIM Bank for concessional credit and guarantees.</w:t>
      </w:r>
      <w:r>
        <w:rPr>
          <w:rFonts w:ascii="Times New Roman" w:eastAsia="Times New Roman" w:hAnsi="Times New Roman" w:cs="Times New Roman"/>
          <w:color w:val="000000"/>
          <w:sz w:val="24"/>
          <w:szCs w:val="24"/>
        </w:rPr>
        <w:br/>
        <w:t>2. Integrate RBI’s green taxonomy with DGFT export incentives.</w:t>
      </w:r>
      <w:r>
        <w:rPr>
          <w:rFonts w:ascii="Times New Roman" w:eastAsia="Times New Roman" w:hAnsi="Times New Roman" w:cs="Times New Roman"/>
          <w:color w:val="000000"/>
          <w:sz w:val="24"/>
          <w:szCs w:val="24"/>
        </w:rPr>
        <w:br/>
        <w:t>3. Partner with multilateral funds like the Green Climate Fund for export-linked projects.</w:t>
      </w:r>
      <w:r>
        <w:rPr>
          <w:rFonts w:ascii="Times New Roman" w:eastAsia="Times New Roman" w:hAnsi="Times New Roman" w:cs="Times New Roman"/>
          <w:color w:val="000000"/>
          <w:sz w:val="24"/>
          <w:szCs w:val="24"/>
        </w:rPr>
        <w:br/>
        <w:t>4. Develop national carbon audit and ESG certifica</w:t>
      </w:r>
      <w:r>
        <w:rPr>
          <w:rFonts w:ascii="Times New Roman" w:eastAsia="Times New Roman" w:hAnsi="Times New Roman" w:cs="Times New Roman"/>
          <w:color w:val="000000"/>
          <w:sz w:val="24"/>
          <w:szCs w:val="24"/>
        </w:rPr>
        <w:t>tion support for exporters.</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lastRenderedPageBreak/>
        <w:t>5. Expand green bond markets dedicated to renewable exports.</w:t>
      </w:r>
      <w:r>
        <w:rPr>
          <w:rFonts w:ascii="Times New Roman" w:eastAsia="Times New Roman" w:hAnsi="Times New Roman" w:cs="Times New Roman"/>
          <w:color w:val="000000"/>
          <w:sz w:val="24"/>
          <w:szCs w:val="24"/>
        </w:rPr>
        <w:br/>
        <w:t>6. Launch digital finance platforms for transparent project tracking.</w:t>
      </w:r>
      <w:r>
        <w:rPr>
          <w:rFonts w:ascii="Times New Roman" w:eastAsia="Times New Roman" w:hAnsi="Times New Roman" w:cs="Times New Roman"/>
          <w:color w:val="000000"/>
          <w:sz w:val="24"/>
          <w:szCs w:val="24"/>
        </w:rPr>
        <w:br/>
        <w:t>7. Build exporter capacity through training and access to sustainable finance tools.</w:t>
      </w:r>
    </w:p>
    <w:p w14:paraId="0A73F2B2" w14:textId="77777777" w:rsidR="00E611D1" w:rsidRDefault="003E2051" w:rsidP="001D34A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Conclusion</w:t>
      </w:r>
    </w:p>
    <w:p w14:paraId="1D3257C7" w14:textId="77777777" w:rsidR="00E611D1" w:rsidRDefault="003E2051" w:rsidP="001D34A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reen Finance has emerged as a key driver in transforming India’s renewable energy potential into a competitive advantage within the global low-carbon trade system. Although India has mobilized significant climate-related funding, only a limited share is di</w:t>
      </w:r>
      <w:r>
        <w:rPr>
          <w:rFonts w:ascii="Times New Roman" w:eastAsia="Times New Roman" w:hAnsi="Times New Roman" w:cs="Times New Roman"/>
          <w:color w:val="000000"/>
          <w:sz w:val="24"/>
          <w:szCs w:val="24"/>
        </w:rPr>
        <w:t>rected toward export-linked renewable projects, restricting its broader participation in the international value chain. Solar photovoltaics continue to dominate the sector, supported by instruments such as green bonds and concessional credit, which lower c</w:t>
      </w:r>
      <w:r>
        <w:rPr>
          <w:rFonts w:ascii="Times New Roman" w:eastAsia="Times New Roman" w:hAnsi="Times New Roman" w:cs="Times New Roman"/>
          <w:color w:val="000000"/>
          <w:sz w:val="24"/>
          <w:szCs w:val="24"/>
        </w:rPr>
        <w:t>apital costs, enhance technological capacity, and improve ESG compliance. To strengthen global competitiveness, India must align financial innovation with trade and industrial strategies, ensuring that green capital effectively supports export growth. Expa</w:t>
      </w:r>
      <w:r>
        <w:rPr>
          <w:rFonts w:ascii="Times New Roman" w:eastAsia="Times New Roman" w:hAnsi="Times New Roman" w:cs="Times New Roman"/>
          <w:color w:val="000000"/>
          <w:sz w:val="24"/>
          <w:szCs w:val="24"/>
        </w:rPr>
        <w:t>nding EXIM Bank’s Green Window, diversifying green bond markets, and advancing backward integration across renewable manufacturing will be critical steps. Through coherent financial, technological, and policy coordination, India can enhance its renewable e</w:t>
      </w:r>
      <w:r>
        <w:rPr>
          <w:rFonts w:ascii="Times New Roman" w:eastAsia="Times New Roman" w:hAnsi="Times New Roman" w:cs="Times New Roman"/>
          <w:color w:val="000000"/>
          <w:sz w:val="24"/>
          <w:szCs w:val="24"/>
        </w:rPr>
        <w:t>xport capabilities and establish itself as a major force in the decarbonized global economy.</w:t>
      </w:r>
    </w:p>
    <w:p w14:paraId="2F5E4137" w14:textId="77777777" w:rsidR="00E611D1" w:rsidRDefault="003E2051" w:rsidP="001D34AA">
      <w:pPr>
        <w:spacing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8"/>
          <w:szCs w:val="28"/>
        </w:rPr>
        <w:t>References</w:t>
      </w:r>
    </w:p>
    <w:p w14:paraId="4DF89F3D" w14:textId="4BBDA5FB" w:rsidR="00E611D1" w:rsidRPr="00F125FE" w:rsidRDefault="003E2051" w:rsidP="001D34AA">
      <w:pPr>
        <w:pStyle w:val="ListParagraph"/>
        <w:numPr>
          <w:ilvl w:val="0"/>
          <w:numId w:val="6"/>
        </w:numPr>
        <w:spacing w:line="360" w:lineRule="auto"/>
        <w:rPr>
          <w:rFonts w:ascii="Times New Roman" w:eastAsia="Times New Roman" w:hAnsi="Times New Roman" w:cs="Times New Roman"/>
          <w:sz w:val="24"/>
          <w:szCs w:val="24"/>
        </w:rPr>
      </w:pPr>
      <w:proofErr w:type="spellStart"/>
      <w:r w:rsidRPr="00F125FE">
        <w:rPr>
          <w:rFonts w:ascii="Times New Roman" w:eastAsia="Times New Roman" w:hAnsi="Times New Roman" w:cs="Times New Roman"/>
          <w:sz w:val="24"/>
          <w:szCs w:val="24"/>
        </w:rPr>
        <w:t>Chaurey</w:t>
      </w:r>
      <w:proofErr w:type="spellEnd"/>
      <w:r w:rsidRPr="00F125FE">
        <w:rPr>
          <w:rFonts w:ascii="Times New Roman" w:eastAsia="Times New Roman" w:hAnsi="Times New Roman" w:cs="Times New Roman"/>
          <w:sz w:val="24"/>
          <w:szCs w:val="24"/>
        </w:rPr>
        <w:t>, A., Gueye, K., &amp; Babu, N. Y. D. (2003). </w:t>
      </w:r>
      <w:r w:rsidRPr="00F125FE">
        <w:rPr>
          <w:rFonts w:ascii="Times New Roman" w:eastAsia="Times New Roman" w:hAnsi="Times New Roman" w:cs="Times New Roman"/>
          <w:i/>
          <w:iCs/>
          <w:sz w:val="24"/>
          <w:szCs w:val="24"/>
        </w:rPr>
        <w:t>Financing Renewable Energy in India: A Review of Mechanisms in Wind and Solar Applications</w:t>
      </w:r>
      <w:r w:rsidRPr="00F125FE">
        <w:rPr>
          <w:rFonts w:ascii="Times New Roman" w:eastAsia="Times New Roman" w:hAnsi="Times New Roman" w:cs="Times New Roman"/>
          <w:sz w:val="24"/>
          <w:szCs w:val="24"/>
        </w:rPr>
        <w:t xml:space="preserve">. </w:t>
      </w:r>
      <w:r w:rsidR="00F125FE" w:rsidRPr="00F125FE">
        <w:rPr>
          <w:rFonts w:ascii="Times New Roman" w:eastAsia="Times New Roman" w:hAnsi="Times New Roman" w:cs="Times New Roman"/>
          <w:sz w:val="24"/>
          <w:szCs w:val="24"/>
        </w:rPr>
        <w:t>https://www.iges.or.jp/jp/pub/financing-renewable-energy-india-review/en</w:t>
      </w:r>
    </w:p>
    <w:p w14:paraId="5601D335" w14:textId="732BEA5A" w:rsidR="00E611D1" w:rsidRPr="00F125FE" w:rsidRDefault="003E2051" w:rsidP="001D34AA">
      <w:pPr>
        <w:pStyle w:val="ListParagraph"/>
        <w:numPr>
          <w:ilvl w:val="0"/>
          <w:numId w:val="6"/>
        </w:numPr>
        <w:spacing w:line="360" w:lineRule="auto"/>
        <w:rPr>
          <w:rFonts w:ascii="Times New Roman" w:eastAsia="Times New Roman" w:hAnsi="Times New Roman" w:cs="Times New Roman"/>
          <w:sz w:val="24"/>
          <w:szCs w:val="24"/>
        </w:rPr>
      </w:pPr>
      <w:r w:rsidRPr="00F125FE">
        <w:rPr>
          <w:rFonts w:ascii="Times New Roman" w:eastAsia="Times New Roman" w:hAnsi="Times New Roman" w:cs="Times New Roman"/>
          <w:sz w:val="24"/>
          <w:szCs w:val="24"/>
        </w:rPr>
        <w:t>Dong, C., Wu, H., Zhou, J., Lin, H., &amp; Chang, L. (2023). Role of renewable energy investment and geopolitical risk in green finance development: Empirical evidence from BRICS countries. </w:t>
      </w:r>
      <w:r w:rsidRPr="00F125FE">
        <w:rPr>
          <w:rFonts w:ascii="Times New Roman" w:eastAsia="Times New Roman" w:hAnsi="Times New Roman" w:cs="Times New Roman"/>
          <w:i/>
          <w:iCs/>
          <w:sz w:val="24"/>
          <w:szCs w:val="24"/>
        </w:rPr>
        <w:t>Renewabl</w:t>
      </w:r>
      <w:r w:rsidRPr="00F125FE">
        <w:rPr>
          <w:rFonts w:ascii="Times New Roman" w:eastAsia="Times New Roman" w:hAnsi="Times New Roman" w:cs="Times New Roman"/>
          <w:i/>
          <w:iCs/>
          <w:sz w:val="24"/>
          <w:szCs w:val="24"/>
        </w:rPr>
        <w:t>e Energy</w:t>
      </w:r>
      <w:r w:rsidRPr="00F125FE">
        <w:rPr>
          <w:rFonts w:ascii="Times New Roman" w:eastAsia="Times New Roman" w:hAnsi="Times New Roman" w:cs="Times New Roman"/>
          <w:sz w:val="24"/>
          <w:szCs w:val="24"/>
        </w:rPr>
        <w:t>, </w:t>
      </w:r>
      <w:r w:rsidRPr="00F125FE">
        <w:rPr>
          <w:rFonts w:ascii="Times New Roman" w:eastAsia="Times New Roman" w:hAnsi="Times New Roman" w:cs="Times New Roman"/>
          <w:i/>
          <w:iCs/>
          <w:sz w:val="24"/>
          <w:szCs w:val="24"/>
        </w:rPr>
        <w:t>207</w:t>
      </w:r>
      <w:r w:rsidRPr="00F125FE">
        <w:rPr>
          <w:rFonts w:ascii="Times New Roman" w:eastAsia="Times New Roman" w:hAnsi="Times New Roman" w:cs="Times New Roman"/>
          <w:sz w:val="24"/>
          <w:szCs w:val="24"/>
        </w:rPr>
        <w:t>, 234-241.</w:t>
      </w:r>
      <w:r w:rsidR="00F125FE" w:rsidRPr="00F125FE">
        <w:t xml:space="preserve"> </w:t>
      </w:r>
      <w:r w:rsidR="00F125FE" w:rsidRPr="00F125FE">
        <w:rPr>
          <w:rFonts w:ascii="Times New Roman" w:eastAsia="Times New Roman" w:hAnsi="Times New Roman" w:cs="Times New Roman"/>
          <w:sz w:val="24"/>
          <w:szCs w:val="24"/>
        </w:rPr>
        <w:t>https://doi.org/10.1016/j.renene.2023.02.115</w:t>
      </w:r>
    </w:p>
    <w:p w14:paraId="1F106F3F" w14:textId="769F0658" w:rsidR="00E611D1" w:rsidRPr="00F125FE" w:rsidRDefault="003E2051" w:rsidP="001D34AA">
      <w:pPr>
        <w:pStyle w:val="ListParagraph"/>
        <w:numPr>
          <w:ilvl w:val="0"/>
          <w:numId w:val="6"/>
        </w:numPr>
        <w:spacing w:line="360" w:lineRule="auto"/>
        <w:rPr>
          <w:rFonts w:ascii="Times New Roman" w:eastAsia="Times New Roman" w:hAnsi="Times New Roman" w:cs="Times New Roman"/>
          <w:sz w:val="24"/>
          <w:szCs w:val="24"/>
        </w:rPr>
      </w:pPr>
      <w:r w:rsidRPr="00F125FE">
        <w:rPr>
          <w:rFonts w:ascii="Times New Roman" w:eastAsia="Times New Roman" w:hAnsi="Times New Roman" w:cs="Times New Roman"/>
          <w:sz w:val="24"/>
          <w:szCs w:val="24"/>
        </w:rPr>
        <w:t xml:space="preserve">Directorate General of Commercial Intelligence &amp; Statistics. (2025). </w:t>
      </w:r>
      <w:r w:rsidRPr="00F125FE">
        <w:rPr>
          <w:rFonts w:ascii="Times New Roman" w:eastAsia="Times New Roman" w:hAnsi="Times New Roman" w:cs="Times New Roman"/>
          <w:i/>
          <w:iCs/>
          <w:sz w:val="24"/>
          <w:szCs w:val="24"/>
        </w:rPr>
        <w:t>Quarterly Review of Merchandise Foreign Trade: October–December, 2024 (Q3 FY2024-25)</w:t>
      </w:r>
      <w:r w:rsidRPr="00F125FE">
        <w:rPr>
          <w:rFonts w:ascii="Times New Roman" w:eastAsia="Times New Roman" w:hAnsi="Times New Roman" w:cs="Times New Roman"/>
          <w:sz w:val="24"/>
          <w:szCs w:val="24"/>
        </w:rPr>
        <w:t>.</w:t>
      </w:r>
      <w:r w:rsidR="00F125FE" w:rsidRPr="00F125FE">
        <w:t xml:space="preserve"> </w:t>
      </w:r>
      <w:r w:rsidR="00F125FE" w:rsidRPr="00F125FE">
        <w:rPr>
          <w:rFonts w:ascii="Times New Roman" w:eastAsia="Times New Roman" w:hAnsi="Times New Roman" w:cs="Times New Roman"/>
          <w:sz w:val="24"/>
          <w:szCs w:val="24"/>
        </w:rPr>
        <w:lastRenderedPageBreak/>
        <w:t xml:space="preserve">https://www.dgciskol.gov.in/writereaddata/Downloads/20250513155758QRMFT%20Q3%20FY%2024-25.pdf </w:t>
      </w:r>
    </w:p>
    <w:p w14:paraId="5488994E" w14:textId="06BF1C5B" w:rsidR="00E611D1" w:rsidRPr="00F125FE" w:rsidRDefault="003E2051" w:rsidP="001D34AA">
      <w:pPr>
        <w:pStyle w:val="ListParagraph"/>
        <w:numPr>
          <w:ilvl w:val="0"/>
          <w:numId w:val="6"/>
        </w:numPr>
        <w:spacing w:line="360" w:lineRule="auto"/>
        <w:rPr>
          <w:rFonts w:ascii="Times New Roman" w:eastAsia="Times New Roman" w:hAnsi="Times New Roman" w:cs="Times New Roman"/>
          <w:sz w:val="24"/>
          <w:szCs w:val="24"/>
        </w:rPr>
      </w:pPr>
      <w:r w:rsidRPr="00F125FE">
        <w:rPr>
          <w:rFonts w:ascii="Times New Roman" w:eastAsia="Times New Roman" w:hAnsi="Times New Roman" w:cs="Times New Roman"/>
          <w:sz w:val="24"/>
          <w:szCs w:val="24"/>
        </w:rPr>
        <w:t xml:space="preserve">Export-Import Bank of India. (2024). </w:t>
      </w:r>
      <w:r w:rsidRPr="00F125FE">
        <w:rPr>
          <w:rFonts w:ascii="Times New Roman" w:eastAsia="Times New Roman" w:hAnsi="Times New Roman" w:cs="Times New Roman"/>
          <w:i/>
          <w:iCs/>
          <w:sz w:val="24"/>
          <w:szCs w:val="24"/>
        </w:rPr>
        <w:t>Sustainability report 2023-24</w:t>
      </w:r>
      <w:r w:rsidRPr="00F125FE">
        <w:rPr>
          <w:rFonts w:ascii="Times New Roman" w:eastAsia="Times New Roman" w:hAnsi="Times New Roman" w:cs="Times New Roman"/>
          <w:sz w:val="24"/>
          <w:szCs w:val="24"/>
        </w:rPr>
        <w:t xml:space="preserve">. </w:t>
      </w:r>
      <w:r w:rsidR="00F125FE" w:rsidRPr="00F125FE">
        <w:rPr>
          <w:rFonts w:ascii="Times New Roman" w:eastAsia="Times New Roman" w:hAnsi="Times New Roman" w:cs="Times New Roman"/>
          <w:sz w:val="24"/>
          <w:szCs w:val="24"/>
        </w:rPr>
        <w:t>https://www.eximbankindia.in/themes/custom/exim/pdf/EXIM-Bank_SR-2023-24.pdf</w:t>
      </w:r>
    </w:p>
    <w:p w14:paraId="176E21E0" w14:textId="491C0C34" w:rsidR="00E611D1" w:rsidRPr="00F125FE" w:rsidRDefault="003E2051" w:rsidP="001D34AA">
      <w:pPr>
        <w:pStyle w:val="ListParagraph"/>
        <w:numPr>
          <w:ilvl w:val="0"/>
          <w:numId w:val="6"/>
        </w:numPr>
        <w:spacing w:line="360" w:lineRule="auto"/>
        <w:rPr>
          <w:rFonts w:ascii="Times New Roman" w:eastAsia="Times New Roman" w:hAnsi="Times New Roman" w:cs="Times New Roman"/>
          <w:sz w:val="24"/>
          <w:szCs w:val="24"/>
        </w:rPr>
      </w:pPr>
      <w:r w:rsidRPr="00F125FE">
        <w:rPr>
          <w:rFonts w:ascii="Times New Roman" w:eastAsia="Times New Roman" w:hAnsi="Times New Roman" w:cs="Times New Roman"/>
          <w:i/>
          <w:iCs/>
          <w:sz w:val="24"/>
          <w:szCs w:val="24"/>
        </w:rPr>
        <w:t>Global landscape</w:t>
      </w:r>
      <w:r w:rsidRPr="00F125FE">
        <w:rPr>
          <w:rFonts w:ascii="Times New Roman" w:eastAsia="Times New Roman" w:hAnsi="Times New Roman" w:cs="Times New Roman"/>
          <w:i/>
          <w:iCs/>
          <w:sz w:val="24"/>
          <w:szCs w:val="24"/>
        </w:rPr>
        <w:t xml:space="preserve"> of climate finance 2024</w:t>
      </w:r>
      <w:r w:rsidRPr="00F125FE">
        <w:rPr>
          <w:rFonts w:ascii="Times New Roman" w:eastAsia="Times New Roman" w:hAnsi="Times New Roman" w:cs="Times New Roman"/>
          <w:sz w:val="24"/>
          <w:szCs w:val="24"/>
        </w:rPr>
        <w:t xml:space="preserve">. Climate Policy Initiative. </w:t>
      </w:r>
      <w:hyperlink r:id="rId9" w:history="1">
        <w:r w:rsidR="00F125FE" w:rsidRPr="00522142">
          <w:rPr>
            <w:rStyle w:val="Hyperlink"/>
            <w:rFonts w:ascii="Times New Roman" w:eastAsia="Times New Roman" w:hAnsi="Times New Roman" w:cs="Times New Roman"/>
            <w:sz w:val="24"/>
            <w:szCs w:val="24"/>
          </w:rPr>
          <w:t>https://www.climatepolicyinitiative.org/publication/global-landscape-of-climate-finance-2024/</w:t>
        </w:r>
      </w:hyperlink>
      <w:r w:rsidR="00F125FE">
        <w:rPr>
          <w:rFonts w:ascii="Times New Roman" w:eastAsia="Times New Roman" w:hAnsi="Times New Roman" w:cs="Times New Roman"/>
          <w:sz w:val="24"/>
          <w:szCs w:val="24"/>
        </w:rPr>
        <w:tab/>
      </w:r>
    </w:p>
    <w:p w14:paraId="77164E5C" w14:textId="53DE3F94" w:rsidR="00E611D1" w:rsidRPr="00F125FE" w:rsidRDefault="003E2051" w:rsidP="001D34AA">
      <w:pPr>
        <w:pStyle w:val="ListParagraph"/>
        <w:numPr>
          <w:ilvl w:val="0"/>
          <w:numId w:val="6"/>
        </w:numPr>
        <w:spacing w:line="360" w:lineRule="auto"/>
        <w:rPr>
          <w:rFonts w:ascii="Times New Roman" w:eastAsia="Times New Roman" w:hAnsi="Times New Roman" w:cs="Times New Roman"/>
          <w:sz w:val="24"/>
          <w:szCs w:val="24"/>
        </w:rPr>
      </w:pPr>
      <w:r w:rsidRPr="00F125FE">
        <w:rPr>
          <w:rFonts w:ascii="Times New Roman" w:eastAsia="Times New Roman" w:hAnsi="Times New Roman" w:cs="Times New Roman"/>
          <w:sz w:val="24"/>
          <w:szCs w:val="24"/>
        </w:rPr>
        <w:t xml:space="preserve">International Energy Agency. (2024). </w:t>
      </w:r>
      <w:r w:rsidRPr="00F125FE">
        <w:rPr>
          <w:rFonts w:ascii="Times New Roman" w:eastAsia="Times New Roman" w:hAnsi="Times New Roman" w:cs="Times New Roman"/>
          <w:i/>
          <w:iCs/>
          <w:sz w:val="24"/>
          <w:szCs w:val="24"/>
        </w:rPr>
        <w:t>Renewables 2024: Analysis and forecasts to 2030</w:t>
      </w:r>
      <w:r w:rsidRPr="00F125FE">
        <w:rPr>
          <w:rFonts w:ascii="Times New Roman" w:eastAsia="Times New Roman" w:hAnsi="Times New Roman" w:cs="Times New Roman"/>
          <w:sz w:val="24"/>
          <w:szCs w:val="24"/>
        </w:rPr>
        <w:t xml:space="preserve">. Paris: IEA. </w:t>
      </w:r>
      <w:hyperlink r:id="rId10" w:history="1">
        <w:r w:rsidR="00F125FE" w:rsidRPr="00522142">
          <w:rPr>
            <w:rStyle w:val="Hyperlink"/>
            <w:rFonts w:ascii="Times New Roman" w:eastAsia="Times New Roman" w:hAnsi="Times New Roman" w:cs="Times New Roman"/>
            <w:sz w:val="24"/>
            <w:szCs w:val="24"/>
          </w:rPr>
          <w:t>https://www.iea.org/reports/renewables-2024</w:t>
        </w:r>
      </w:hyperlink>
      <w:r w:rsidR="00F125FE">
        <w:rPr>
          <w:rFonts w:ascii="Times New Roman" w:eastAsia="Times New Roman" w:hAnsi="Times New Roman" w:cs="Times New Roman"/>
          <w:sz w:val="24"/>
          <w:szCs w:val="24"/>
        </w:rPr>
        <w:tab/>
      </w:r>
    </w:p>
    <w:p w14:paraId="2DC92445" w14:textId="7BCFA3E6" w:rsidR="00E611D1" w:rsidRPr="00F125FE" w:rsidRDefault="003E2051" w:rsidP="001D34AA">
      <w:pPr>
        <w:pStyle w:val="ListParagraph"/>
        <w:numPr>
          <w:ilvl w:val="0"/>
          <w:numId w:val="6"/>
        </w:numPr>
        <w:spacing w:line="360" w:lineRule="auto"/>
        <w:rPr>
          <w:rFonts w:ascii="Times New Roman" w:eastAsia="Times New Roman" w:hAnsi="Times New Roman" w:cs="Times New Roman"/>
          <w:sz w:val="24"/>
          <w:szCs w:val="24"/>
        </w:rPr>
      </w:pPr>
      <w:r w:rsidRPr="00F125FE">
        <w:rPr>
          <w:rFonts w:ascii="Times New Roman" w:eastAsia="Times New Roman" w:hAnsi="Times New Roman" w:cs="Times New Roman"/>
          <w:sz w:val="24"/>
          <w:szCs w:val="24"/>
        </w:rPr>
        <w:t>Institute for Energy Economics and Financial Analys</w:t>
      </w:r>
      <w:r w:rsidRPr="00F125FE">
        <w:rPr>
          <w:rFonts w:ascii="Times New Roman" w:eastAsia="Times New Roman" w:hAnsi="Times New Roman" w:cs="Times New Roman"/>
          <w:sz w:val="24"/>
          <w:szCs w:val="24"/>
        </w:rPr>
        <w:t xml:space="preserve">is. (2024, November 11). </w:t>
      </w:r>
      <w:r w:rsidRPr="00F125FE">
        <w:rPr>
          <w:rFonts w:ascii="Times New Roman" w:eastAsia="Times New Roman" w:hAnsi="Times New Roman" w:cs="Times New Roman"/>
          <w:i/>
          <w:iCs/>
          <w:sz w:val="24"/>
          <w:szCs w:val="24"/>
        </w:rPr>
        <w:t>Indian solar PV exports surging</w:t>
      </w:r>
      <w:r w:rsidRPr="00F125FE">
        <w:rPr>
          <w:rFonts w:ascii="Times New Roman" w:eastAsia="Times New Roman" w:hAnsi="Times New Roman" w:cs="Times New Roman"/>
          <w:sz w:val="24"/>
          <w:szCs w:val="24"/>
        </w:rPr>
        <w:t xml:space="preserve"> [Report]. </w:t>
      </w:r>
      <w:hyperlink r:id="rId11" w:history="1">
        <w:r w:rsidR="00F125FE" w:rsidRPr="00522142">
          <w:rPr>
            <w:rStyle w:val="Hyperlink"/>
            <w:rFonts w:ascii="Times New Roman" w:eastAsia="Times New Roman" w:hAnsi="Times New Roman" w:cs="Times New Roman"/>
            <w:sz w:val="24"/>
            <w:szCs w:val="24"/>
          </w:rPr>
          <w:t>https://ieefa.org/sites/default/files/2024-11/Indian%20Solar%20PV%20Exports%20Surging_Nov24.pdf</w:t>
        </w:r>
      </w:hyperlink>
      <w:r w:rsidR="00F125FE">
        <w:rPr>
          <w:rFonts w:ascii="Times New Roman" w:eastAsia="Times New Roman" w:hAnsi="Times New Roman" w:cs="Times New Roman"/>
          <w:sz w:val="24"/>
          <w:szCs w:val="24"/>
        </w:rPr>
        <w:tab/>
      </w:r>
    </w:p>
    <w:p w14:paraId="188146DB" w14:textId="3AD70650" w:rsidR="00E611D1" w:rsidRPr="00F125FE" w:rsidRDefault="003E2051" w:rsidP="001D34AA">
      <w:pPr>
        <w:pStyle w:val="ListParagraph"/>
        <w:numPr>
          <w:ilvl w:val="0"/>
          <w:numId w:val="6"/>
        </w:numPr>
        <w:spacing w:line="360" w:lineRule="auto"/>
        <w:rPr>
          <w:rFonts w:ascii="Times New Roman" w:eastAsia="Times New Roman" w:hAnsi="Times New Roman" w:cs="Times New Roman"/>
          <w:sz w:val="24"/>
          <w:szCs w:val="24"/>
          <w:lang w:val="es-US"/>
        </w:rPr>
      </w:pPr>
      <w:proofErr w:type="spellStart"/>
      <w:r w:rsidRPr="00F125FE">
        <w:rPr>
          <w:rFonts w:ascii="Times New Roman" w:eastAsia="Times New Roman" w:hAnsi="Times New Roman" w:cs="Times New Roman"/>
          <w:sz w:val="24"/>
          <w:szCs w:val="24"/>
        </w:rPr>
        <w:t>Khemnar</w:t>
      </w:r>
      <w:proofErr w:type="spellEnd"/>
      <w:r w:rsidRPr="00F125FE">
        <w:rPr>
          <w:rFonts w:ascii="Times New Roman" w:eastAsia="Times New Roman" w:hAnsi="Times New Roman" w:cs="Times New Roman"/>
          <w:sz w:val="24"/>
          <w:szCs w:val="24"/>
        </w:rPr>
        <w:t>, J., &amp; Pandey, P. (2024). Green Finance: Key Driver of Renewable Energy Growth in India. </w:t>
      </w:r>
      <w:proofErr w:type="spellStart"/>
      <w:r w:rsidRPr="00F125FE">
        <w:rPr>
          <w:rFonts w:ascii="Times New Roman" w:eastAsia="Times New Roman" w:hAnsi="Times New Roman" w:cs="Times New Roman"/>
          <w:i/>
          <w:iCs/>
          <w:sz w:val="24"/>
          <w:szCs w:val="24"/>
        </w:rPr>
        <w:t>Shanlax</w:t>
      </w:r>
      <w:proofErr w:type="spellEnd"/>
      <w:r w:rsidRPr="00F125FE">
        <w:rPr>
          <w:rFonts w:ascii="Times New Roman" w:eastAsia="Times New Roman" w:hAnsi="Times New Roman" w:cs="Times New Roman"/>
          <w:i/>
          <w:iCs/>
          <w:sz w:val="24"/>
          <w:szCs w:val="24"/>
        </w:rPr>
        <w:t xml:space="preserve"> International Journal of Arts, Science and Humanities</w:t>
      </w:r>
      <w:r w:rsidRPr="00F125FE">
        <w:rPr>
          <w:rFonts w:ascii="Times New Roman" w:eastAsia="Times New Roman" w:hAnsi="Times New Roman" w:cs="Times New Roman"/>
          <w:sz w:val="24"/>
          <w:szCs w:val="24"/>
        </w:rPr>
        <w:t>, </w:t>
      </w:r>
      <w:r w:rsidRPr="00F125FE">
        <w:rPr>
          <w:rFonts w:ascii="Times New Roman" w:eastAsia="Times New Roman" w:hAnsi="Times New Roman" w:cs="Times New Roman"/>
          <w:i/>
          <w:iCs/>
          <w:sz w:val="24"/>
          <w:szCs w:val="24"/>
        </w:rPr>
        <w:t>12</w:t>
      </w:r>
      <w:r w:rsidRPr="00F125FE">
        <w:rPr>
          <w:rFonts w:ascii="Times New Roman" w:eastAsia="Times New Roman" w:hAnsi="Times New Roman" w:cs="Times New Roman"/>
          <w:sz w:val="24"/>
          <w:szCs w:val="24"/>
        </w:rPr>
        <w:t xml:space="preserve">(S1-i2-Oct), 13–21. </w:t>
      </w:r>
      <w:hyperlink r:id="rId12" w:history="1">
        <w:r w:rsidR="00F125FE" w:rsidRPr="00522142">
          <w:rPr>
            <w:rStyle w:val="Hyperlink"/>
            <w:rFonts w:ascii="Times New Roman" w:eastAsia="Times New Roman" w:hAnsi="Times New Roman" w:cs="Times New Roman"/>
            <w:sz w:val="24"/>
            <w:szCs w:val="24"/>
          </w:rPr>
          <w:t>https://doi.org/10.34293/sijash.v12is1-i2-oct.8413</w:t>
        </w:r>
      </w:hyperlink>
      <w:r w:rsidR="00F125FE">
        <w:rPr>
          <w:rFonts w:ascii="Times New Roman" w:eastAsia="Times New Roman" w:hAnsi="Times New Roman" w:cs="Times New Roman"/>
          <w:sz w:val="24"/>
          <w:szCs w:val="24"/>
        </w:rPr>
        <w:tab/>
      </w:r>
    </w:p>
    <w:p w14:paraId="32880697" w14:textId="0A42C10F" w:rsidR="00E611D1" w:rsidRPr="00F125FE" w:rsidRDefault="003E2051" w:rsidP="001D34AA">
      <w:pPr>
        <w:pStyle w:val="ListParagraph"/>
        <w:numPr>
          <w:ilvl w:val="0"/>
          <w:numId w:val="6"/>
        </w:numPr>
        <w:spacing w:line="360" w:lineRule="auto"/>
        <w:rPr>
          <w:rFonts w:ascii="Times New Roman" w:eastAsia="Times New Roman" w:hAnsi="Times New Roman" w:cs="Times New Roman"/>
          <w:sz w:val="24"/>
          <w:szCs w:val="24"/>
        </w:rPr>
      </w:pPr>
      <w:r w:rsidRPr="00F125FE">
        <w:rPr>
          <w:rFonts w:ascii="Times New Roman" w:eastAsia="Times New Roman" w:hAnsi="Times New Roman" w:cs="Times New Roman"/>
          <w:sz w:val="24"/>
          <w:szCs w:val="24"/>
          <w:lang w:val="es-US"/>
        </w:rPr>
        <w:t xml:space="preserve">Lin, Z., </w:t>
      </w:r>
      <w:proofErr w:type="spellStart"/>
      <w:r w:rsidRPr="00F125FE">
        <w:rPr>
          <w:rFonts w:ascii="Times New Roman" w:eastAsia="Times New Roman" w:hAnsi="Times New Roman" w:cs="Times New Roman"/>
          <w:sz w:val="24"/>
          <w:szCs w:val="24"/>
          <w:lang w:val="es-US"/>
        </w:rPr>
        <w:t>Alvarez</w:t>
      </w:r>
      <w:proofErr w:type="spellEnd"/>
      <w:r w:rsidRPr="00F125FE">
        <w:rPr>
          <w:rFonts w:ascii="Times New Roman" w:eastAsia="Times New Roman" w:hAnsi="Times New Roman" w:cs="Times New Roman"/>
          <w:sz w:val="24"/>
          <w:szCs w:val="24"/>
          <w:lang w:val="es-US"/>
        </w:rPr>
        <w:t xml:space="preserve">‐Otero, S., </w:t>
      </w:r>
      <w:proofErr w:type="spellStart"/>
      <w:r w:rsidRPr="00F125FE">
        <w:rPr>
          <w:rFonts w:ascii="Times New Roman" w:eastAsia="Times New Roman" w:hAnsi="Times New Roman" w:cs="Times New Roman"/>
          <w:sz w:val="24"/>
          <w:szCs w:val="24"/>
          <w:lang w:val="es-US"/>
        </w:rPr>
        <w:t>Belgacem</w:t>
      </w:r>
      <w:proofErr w:type="spellEnd"/>
      <w:r w:rsidRPr="00F125FE">
        <w:rPr>
          <w:rFonts w:ascii="Times New Roman" w:eastAsia="Times New Roman" w:hAnsi="Times New Roman" w:cs="Times New Roman"/>
          <w:sz w:val="24"/>
          <w:szCs w:val="24"/>
          <w:lang w:val="es-US"/>
        </w:rPr>
        <w:t xml:space="preserve">, S. B., &amp; Fu, Q. (2023). </w:t>
      </w:r>
      <w:r w:rsidRPr="00F125FE">
        <w:rPr>
          <w:rFonts w:ascii="Times New Roman" w:eastAsia="Times New Roman" w:hAnsi="Times New Roman" w:cs="Times New Roman"/>
          <w:sz w:val="24"/>
          <w:szCs w:val="24"/>
        </w:rPr>
        <w:t>Role of sustainable finance, geopolitical risk and economic growth in renewab</w:t>
      </w:r>
      <w:r w:rsidRPr="00F125FE">
        <w:rPr>
          <w:rFonts w:ascii="Times New Roman" w:eastAsia="Times New Roman" w:hAnsi="Times New Roman" w:cs="Times New Roman"/>
          <w:sz w:val="24"/>
          <w:szCs w:val="24"/>
        </w:rPr>
        <w:t>le energy investment: Empirical evidence from China. </w:t>
      </w:r>
      <w:r w:rsidRPr="00F125FE">
        <w:rPr>
          <w:rFonts w:ascii="Times New Roman" w:eastAsia="Times New Roman" w:hAnsi="Times New Roman" w:cs="Times New Roman"/>
          <w:i/>
          <w:iCs/>
          <w:sz w:val="24"/>
          <w:szCs w:val="24"/>
        </w:rPr>
        <w:t>Geological Journal</w:t>
      </w:r>
      <w:r w:rsidRPr="00F125FE">
        <w:rPr>
          <w:rFonts w:ascii="Times New Roman" w:eastAsia="Times New Roman" w:hAnsi="Times New Roman" w:cs="Times New Roman"/>
          <w:sz w:val="24"/>
          <w:szCs w:val="24"/>
        </w:rPr>
        <w:t>, </w:t>
      </w:r>
      <w:r w:rsidRPr="00F125FE">
        <w:rPr>
          <w:rFonts w:ascii="Times New Roman" w:eastAsia="Times New Roman" w:hAnsi="Times New Roman" w:cs="Times New Roman"/>
          <w:i/>
          <w:iCs/>
          <w:sz w:val="24"/>
          <w:szCs w:val="24"/>
        </w:rPr>
        <w:t>58</w:t>
      </w:r>
      <w:r w:rsidRPr="00F125FE">
        <w:rPr>
          <w:rFonts w:ascii="Times New Roman" w:eastAsia="Times New Roman" w:hAnsi="Times New Roman" w:cs="Times New Roman"/>
          <w:sz w:val="24"/>
          <w:szCs w:val="24"/>
        </w:rPr>
        <w:t>(9), 3339-3347.</w:t>
      </w:r>
      <w:r w:rsidR="00F125FE" w:rsidRPr="00F125FE">
        <w:t xml:space="preserve"> </w:t>
      </w:r>
      <w:hyperlink r:id="rId13" w:history="1">
        <w:r w:rsidR="00F125FE" w:rsidRPr="00522142">
          <w:rPr>
            <w:rStyle w:val="Hyperlink"/>
            <w:rFonts w:ascii="Times New Roman" w:eastAsia="Times New Roman" w:hAnsi="Times New Roman" w:cs="Times New Roman"/>
            <w:sz w:val="24"/>
            <w:szCs w:val="24"/>
          </w:rPr>
          <w:t>https://doi.org/10.1002/gj.4654</w:t>
        </w:r>
      </w:hyperlink>
      <w:r w:rsidR="00F125FE">
        <w:rPr>
          <w:rFonts w:ascii="Times New Roman" w:eastAsia="Times New Roman" w:hAnsi="Times New Roman" w:cs="Times New Roman"/>
          <w:sz w:val="24"/>
          <w:szCs w:val="24"/>
        </w:rPr>
        <w:tab/>
      </w:r>
    </w:p>
    <w:p w14:paraId="2771B030" w14:textId="32BBECBA" w:rsidR="00E611D1" w:rsidRPr="00F125FE" w:rsidRDefault="003E2051" w:rsidP="001D34AA">
      <w:pPr>
        <w:pStyle w:val="ListParagraph"/>
        <w:numPr>
          <w:ilvl w:val="0"/>
          <w:numId w:val="6"/>
        </w:numPr>
        <w:spacing w:line="360" w:lineRule="auto"/>
        <w:rPr>
          <w:rFonts w:ascii="Times New Roman" w:eastAsia="Times New Roman" w:hAnsi="Times New Roman" w:cs="Times New Roman"/>
          <w:sz w:val="24"/>
          <w:szCs w:val="24"/>
        </w:rPr>
      </w:pPr>
      <w:proofErr w:type="spellStart"/>
      <w:r w:rsidRPr="00F125FE">
        <w:rPr>
          <w:rFonts w:ascii="Times New Roman" w:eastAsia="Times New Roman" w:hAnsi="Times New Roman" w:cs="Times New Roman"/>
          <w:sz w:val="24"/>
          <w:szCs w:val="24"/>
        </w:rPr>
        <w:t>Mavlutova</w:t>
      </w:r>
      <w:proofErr w:type="spellEnd"/>
      <w:r w:rsidRPr="00F125FE">
        <w:rPr>
          <w:rFonts w:ascii="Times New Roman" w:eastAsia="Times New Roman" w:hAnsi="Times New Roman" w:cs="Times New Roman"/>
          <w:sz w:val="24"/>
          <w:szCs w:val="24"/>
        </w:rPr>
        <w:t xml:space="preserve">, I., </w:t>
      </w:r>
      <w:proofErr w:type="spellStart"/>
      <w:r w:rsidRPr="00F125FE">
        <w:rPr>
          <w:rFonts w:ascii="Times New Roman" w:eastAsia="Times New Roman" w:hAnsi="Times New Roman" w:cs="Times New Roman"/>
          <w:sz w:val="24"/>
          <w:szCs w:val="24"/>
        </w:rPr>
        <w:t>Spilbergs</w:t>
      </w:r>
      <w:proofErr w:type="spellEnd"/>
      <w:r w:rsidRPr="00F125FE">
        <w:rPr>
          <w:rFonts w:ascii="Times New Roman" w:eastAsia="Times New Roman" w:hAnsi="Times New Roman" w:cs="Times New Roman"/>
          <w:sz w:val="24"/>
          <w:szCs w:val="24"/>
        </w:rPr>
        <w:t xml:space="preserve">, A., </w:t>
      </w:r>
      <w:proofErr w:type="spellStart"/>
      <w:r w:rsidRPr="00F125FE">
        <w:rPr>
          <w:rFonts w:ascii="Times New Roman" w:eastAsia="Times New Roman" w:hAnsi="Times New Roman" w:cs="Times New Roman"/>
          <w:sz w:val="24"/>
          <w:szCs w:val="24"/>
        </w:rPr>
        <w:t>Verdenhofs</w:t>
      </w:r>
      <w:proofErr w:type="spellEnd"/>
      <w:r w:rsidRPr="00F125FE">
        <w:rPr>
          <w:rFonts w:ascii="Times New Roman" w:eastAsia="Times New Roman" w:hAnsi="Times New Roman" w:cs="Times New Roman"/>
          <w:sz w:val="24"/>
          <w:szCs w:val="24"/>
        </w:rPr>
        <w:t xml:space="preserve">, A., Kuzmina, J., </w:t>
      </w:r>
      <w:proofErr w:type="spellStart"/>
      <w:r w:rsidRPr="00F125FE">
        <w:rPr>
          <w:rFonts w:ascii="Times New Roman" w:eastAsia="Times New Roman" w:hAnsi="Times New Roman" w:cs="Times New Roman"/>
          <w:sz w:val="24"/>
          <w:szCs w:val="24"/>
        </w:rPr>
        <w:t>Arefjevs</w:t>
      </w:r>
      <w:proofErr w:type="spellEnd"/>
      <w:r w:rsidRPr="00F125FE">
        <w:rPr>
          <w:rFonts w:ascii="Times New Roman" w:eastAsia="Times New Roman" w:hAnsi="Times New Roman" w:cs="Times New Roman"/>
          <w:sz w:val="24"/>
          <w:szCs w:val="24"/>
        </w:rPr>
        <w:t xml:space="preserve">, I., &amp; </w:t>
      </w:r>
      <w:proofErr w:type="spellStart"/>
      <w:r w:rsidRPr="00F125FE">
        <w:rPr>
          <w:rFonts w:ascii="Times New Roman" w:eastAsia="Times New Roman" w:hAnsi="Times New Roman" w:cs="Times New Roman"/>
          <w:sz w:val="24"/>
          <w:szCs w:val="24"/>
        </w:rPr>
        <w:t>Natrins</w:t>
      </w:r>
      <w:proofErr w:type="spellEnd"/>
      <w:r w:rsidRPr="00F125FE">
        <w:rPr>
          <w:rFonts w:ascii="Times New Roman" w:eastAsia="Times New Roman" w:hAnsi="Times New Roman" w:cs="Times New Roman"/>
          <w:sz w:val="24"/>
          <w:szCs w:val="24"/>
        </w:rPr>
        <w:t xml:space="preserve">, </w:t>
      </w:r>
      <w:r w:rsidRPr="00F125FE">
        <w:rPr>
          <w:rFonts w:ascii="Times New Roman" w:eastAsia="Times New Roman" w:hAnsi="Times New Roman" w:cs="Times New Roman"/>
          <w:sz w:val="24"/>
          <w:szCs w:val="24"/>
        </w:rPr>
        <w:t>A. (2023). The Role of Green Finance in Fostering the Sustainability of the Economy and Renewable Energy Supply: Recent Issues and Challenges. </w:t>
      </w:r>
      <w:r w:rsidRPr="00F125FE">
        <w:rPr>
          <w:rFonts w:ascii="Times New Roman" w:eastAsia="Times New Roman" w:hAnsi="Times New Roman" w:cs="Times New Roman"/>
          <w:i/>
          <w:iCs/>
          <w:sz w:val="24"/>
          <w:szCs w:val="24"/>
        </w:rPr>
        <w:t>Energies</w:t>
      </w:r>
      <w:r w:rsidRPr="00F125FE">
        <w:rPr>
          <w:rFonts w:ascii="Times New Roman" w:eastAsia="Times New Roman" w:hAnsi="Times New Roman" w:cs="Times New Roman"/>
          <w:sz w:val="24"/>
          <w:szCs w:val="24"/>
        </w:rPr>
        <w:t>. </w:t>
      </w:r>
      <w:hyperlink r:id="rId14" w:history="1">
        <w:r w:rsidR="00F125FE" w:rsidRPr="00522142">
          <w:rPr>
            <w:rStyle w:val="Hyperlink"/>
            <w:rFonts w:ascii="Times New Roman" w:eastAsia="Times New Roman" w:hAnsi="Times New Roman" w:cs="Times New Roman"/>
            <w:sz w:val="24"/>
            <w:szCs w:val="24"/>
          </w:rPr>
          <w:t>https://doi.org/10.3390/en16237712</w:t>
        </w:r>
      </w:hyperlink>
      <w:r w:rsidR="00F125FE">
        <w:rPr>
          <w:rFonts w:ascii="Times New Roman" w:eastAsia="Times New Roman" w:hAnsi="Times New Roman" w:cs="Times New Roman"/>
          <w:sz w:val="24"/>
          <w:szCs w:val="24"/>
        </w:rPr>
        <w:tab/>
      </w:r>
    </w:p>
    <w:p w14:paraId="4F80F967" w14:textId="21764AC4" w:rsidR="00E611D1" w:rsidRPr="00F125FE" w:rsidRDefault="003E2051" w:rsidP="001D34AA">
      <w:pPr>
        <w:pStyle w:val="ListParagraph"/>
        <w:numPr>
          <w:ilvl w:val="0"/>
          <w:numId w:val="6"/>
        </w:numPr>
        <w:spacing w:line="360" w:lineRule="auto"/>
        <w:rPr>
          <w:rFonts w:ascii="Times New Roman" w:eastAsia="Times New Roman" w:hAnsi="Times New Roman" w:cs="Times New Roman"/>
          <w:sz w:val="24"/>
          <w:szCs w:val="24"/>
        </w:rPr>
      </w:pPr>
      <w:r w:rsidRPr="00F125FE">
        <w:rPr>
          <w:rFonts w:ascii="Times New Roman" w:eastAsia="Times New Roman" w:hAnsi="Times New Roman" w:cs="Times New Roman"/>
          <w:sz w:val="24"/>
          <w:szCs w:val="24"/>
        </w:rPr>
        <w:t>Mohanty, B. C. (</w:t>
      </w:r>
      <w:r w:rsidRPr="00F125FE">
        <w:rPr>
          <w:rFonts w:ascii="Times New Roman" w:eastAsia="Times New Roman" w:hAnsi="Times New Roman" w:cs="Times New Roman"/>
          <w:sz w:val="24"/>
          <w:szCs w:val="24"/>
        </w:rPr>
        <w:t>2024). Opportunities of Renewable Energy Financing in India. </w:t>
      </w:r>
      <w:r w:rsidRPr="00F125FE">
        <w:rPr>
          <w:rFonts w:ascii="Times New Roman" w:eastAsia="Times New Roman" w:hAnsi="Times New Roman" w:cs="Times New Roman"/>
          <w:i/>
          <w:iCs/>
          <w:sz w:val="24"/>
          <w:szCs w:val="24"/>
        </w:rPr>
        <w:t>The Management Accountant</w:t>
      </w:r>
      <w:r w:rsidRPr="00F125FE">
        <w:rPr>
          <w:rFonts w:ascii="Times New Roman" w:eastAsia="Times New Roman" w:hAnsi="Times New Roman" w:cs="Times New Roman"/>
          <w:sz w:val="24"/>
          <w:szCs w:val="24"/>
        </w:rPr>
        <w:t xml:space="preserve">, 26–30. </w:t>
      </w:r>
      <w:r w:rsidR="00F125FE" w:rsidRPr="00F125FE">
        <w:rPr>
          <w:rFonts w:ascii="Times New Roman" w:eastAsia="Times New Roman" w:hAnsi="Times New Roman" w:cs="Times New Roman"/>
          <w:sz w:val="24"/>
          <w:szCs w:val="24"/>
        </w:rPr>
        <w:t>https://doi.org/10.33516/maj.v59i6.26-30p</w:t>
      </w:r>
    </w:p>
    <w:p w14:paraId="21ECC7B3" w14:textId="3216CAEC" w:rsidR="00E611D1" w:rsidRPr="00F125FE" w:rsidRDefault="003E2051" w:rsidP="001D34AA">
      <w:pPr>
        <w:pStyle w:val="ListParagraph"/>
        <w:numPr>
          <w:ilvl w:val="0"/>
          <w:numId w:val="6"/>
        </w:numPr>
        <w:spacing w:line="360" w:lineRule="auto"/>
        <w:rPr>
          <w:rFonts w:ascii="Times New Roman" w:eastAsia="Times New Roman" w:hAnsi="Times New Roman" w:cs="Times New Roman"/>
          <w:sz w:val="24"/>
          <w:szCs w:val="24"/>
        </w:rPr>
      </w:pPr>
      <w:r w:rsidRPr="00F125FE">
        <w:rPr>
          <w:rFonts w:ascii="Times New Roman" w:eastAsia="Times New Roman" w:hAnsi="Times New Roman" w:cs="Times New Roman"/>
          <w:sz w:val="24"/>
          <w:szCs w:val="24"/>
        </w:rPr>
        <w:t>PERWEZ, S., &amp; SAFIUDDIN, S. K. (2025). Green Financing Practices in India’s Renewable Energy Sector: A Study. </w:t>
      </w:r>
      <w:r w:rsidRPr="00F125FE">
        <w:rPr>
          <w:rFonts w:ascii="Times New Roman" w:eastAsia="Times New Roman" w:hAnsi="Times New Roman" w:cs="Times New Roman"/>
          <w:i/>
          <w:iCs/>
          <w:sz w:val="24"/>
          <w:szCs w:val="24"/>
        </w:rPr>
        <w:t>Internati</w:t>
      </w:r>
      <w:r w:rsidRPr="00F125FE">
        <w:rPr>
          <w:rFonts w:ascii="Times New Roman" w:eastAsia="Times New Roman" w:hAnsi="Times New Roman" w:cs="Times New Roman"/>
          <w:i/>
          <w:iCs/>
          <w:sz w:val="24"/>
          <w:szCs w:val="24"/>
        </w:rPr>
        <w:t xml:space="preserve">onal Journal of Environmental, </w:t>
      </w:r>
      <w:r w:rsidRPr="00F125FE">
        <w:rPr>
          <w:rFonts w:ascii="Times New Roman" w:eastAsia="Times New Roman" w:hAnsi="Times New Roman" w:cs="Times New Roman"/>
          <w:i/>
          <w:iCs/>
          <w:sz w:val="24"/>
          <w:szCs w:val="24"/>
        </w:rPr>
        <w:lastRenderedPageBreak/>
        <w:t>Sustainability, and Social Science</w:t>
      </w:r>
      <w:r w:rsidRPr="00F125FE">
        <w:rPr>
          <w:rFonts w:ascii="Times New Roman" w:eastAsia="Times New Roman" w:hAnsi="Times New Roman" w:cs="Times New Roman"/>
          <w:sz w:val="24"/>
          <w:szCs w:val="24"/>
        </w:rPr>
        <w:t>, </w:t>
      </w:r>
      <w:r w:rsidRPr="00F125FE">
        <w:rPr>
          <w:rFonts w:ascii="Times New Roman" w:eastAsia="Times New Roman" w:hAnsi="Times New Roman" w:cs="Times New Roman"/>
          <w:i/>
          <w:iCs/>
          <w:sz w:val="24"/>
          <w:szCs w:val="24"/>
        </w:rPr>
        <w:t>6</w:t>
      </w:r>
      <w:r w:rsidRPr="00F125FE">
        <w:rPr>
          <w:rFonts w:ascii="Times New Roman" w:eastAsia="Times New Roman" w:hAnsi="Times New Roman" w:cs="Times New Roman"/>
          <w:sz w:val="24"/>
          <w:szCs w:val="24"/>
        </w:rPr>
        <w:t>(4), 636-646.</w:t>
      </w:r>
      <w:r w:rsidR="00F125FE" w:rsidRPr="00F125FE">
        <w:t xml:space="preserve"> </w:t>
      </w:r>
      <w:r w:rsidR="00F125FE" w:rsidRPr="00F125FE">
        <w:rPr>
          <w:rFonts w:ascii="Times New Roman" w:eastAsia="Times New Roman" w:hAnsi="Times New Roman" w:cs="Times New Roman"/>
          <w:sz w:val="24"/>
          <w:szCs w:val="24"/>
        </w:rPr>
        <w:t>https://doi.org/10.38142/ijesss.v6i4.1435</w:t>
      </w:r>
    </w:p>
    <w:p w14:paraId="13B5EB5B" w14:textId="75042680" w:rsidR="00E611D1" w:rsidRPr="00F125FE" w:rsidRDefault="003E2051" w:rsidP="001D34AA">
      <w:pPr>
        <w:pStyle w:val="ListParagraph"/>
        <w:numPr>
          <w:ilvl w:val="0"/>
          <w:numId w:val="6"/>
        </w:numPr>
        <w:spacing w:line="360" w:lineRule="auto"/>
        <w:rPr>
          <w:rFonts w:ascii="Times New Roman" w:eastAsia="Times New Roman" w:hAnsi="Times New Roman" w:cs="Times New Roman"/>
          <w:sz w:val="24"/>
          <w:szCs w:val="24"/>
        </w:rPr>
      </w:pPr>
      <w:proofErr w:type="spellStart"/>
      <w:r w:rsidRPr="00F125FE">
        <w:rPr>
          <w:rFonts w:ascii="Times New Roman" w:eastAsia="Times New Roman" w:hAnsi="Times New Roman" w:cs="Times New Roman"/>
          <w:sz w:val="24"/>
          <w:szCs w:val="24"/>
        </w:rPr>
        <w:t>ReNew</w:t>
      </w:r>
      <w:proofErr w:type="spellEnd"/>
      <w:r w:rsidRPr="00F125FE">
        <w:rPr>
          <w:rFonts w:ascii="Times New Roman" w:eastAsia="Times New Roman" w:hAnsi="Times New Roman" w:cs="Times New Roman"/>
          <w:sz w:val="24"/>
          <w:szCs w:val="24"/>
        </w:rPr>
        <w:t xml:space="preserve"> Energy Global Plc. (2025). </w:t>
      </w:r>
      <w:r w:rsidRPr="00F125FE">
        <w:rPr>
          <w:rFonts w:ascii="Times New Roman" w:eastAsia="Times New Roman" w:hAnsi="Times New Roman" w:cs="Times New Roman"/>
          <w:i/>
          <w:iCs/>
          <w:sz w:val="24"/>
          <w:szCs w:val="24"/>
        </w:rPr>
        <w:t xml:space="preserve">Annual Integrated Report FY 2024-25: Scaling New India’s Leap with Clean Energy Solutions: </w:t>
      </w:r>
      <w:r w:rsidRPr="00F125FE">
        <w:rPr>
          <w:rFonts w:ascii="Times New Roman" w:eastAsia="Times New Roman" w:hAnsi="Times New Roman" w:cs="Times New Roman"/>
          <w:i/>
          <w:iCs/>
          <w:sz w:val="24"/>
          <w:szCs w:val="24"/>
        </w:rPr>
        <w:t>Innovating Sustainably</w:t>
      </w:r>
      <w:r w:rsidRPr="00F125FE">
        <w:rPr>
          <w:rFonts w:ascii="Times New Roman" w:eastAsia="Times New Roman" w:hAnsi="Times New Roman" w:cs="Times New Roman"/>
          <w:sz w:val="24"/>
          <w:szCs w:val="24"/>
        </w:rPr>
        <w:t xml:space="preserve">. </w:t>
      </w:r>
      <w:r w:rsidR="00F125FE" w:rsidRPr="00F125FE">
        <w:rPr>
          <w:rFonts w:ascii="Times New Roman" w:eastAsia="Times New Roman" w:hAnsi="Times New Roman" w:cs="Times New Roman"/>
          <w:sz w:val="24"/>
          <w:szCs w:val="24"/>
        </w:rPr>
        <w:t>https://www.renew.com/annual-integrated-report-fy-2024-25</w:t>
      </w:r>
    </w:p>
    <w:p w14:paraId="4512C6EB" w14:textId="0AA1F530" w:rsidR="00E611D1" w:rsidRPr="00F125FE" w:rsidRDefault="003E2051" w:rsidP="001D34AA">
      <w:pPr>
        <w:pStyle w:val="ListParagraph"/>
        <w:numPr>
          <w:ilvl w:val="0"/>
          <w:numId w:val="6"/>
        </w:numPr>
        <w:spacing w:line="360" w:lineRule="auto"/>
        <w:rPr>
          <w:rFonts w:ascii="Times New Roman" w:eastAsia="Times New Roman" w:hAnsi="Times New Roman" w:cs="Times New Roman"/>
          <w:sz w:val="24"/>
          <w:szCs w:val="24"/>
        </w:rPr>
      </w:pPr>
      <w:r w:rsidRPr="00F125FE">
        <w:rPr>
          <w:rFonts w:ascii="Times New Roman" w:eastAsia="Times New Roman" w:hAnsi="Times New Roman" w:cs="Times New Roman"/>
          <w:sz w:val="24"/>
          <w:szCs w:val="24"/>
        </w:rPr>
        <w:t xml:space="preserve">Sharma, P., Gulia, J., &amp; Garg, V. (2024, November 11). </w:t>
      </w:r>
      <w:r w:rsidRPr="00F125FE">
        <w:rPr>
          <w:rFonts w:ascii="Times New Roman" w:eastAsia="Times New Roman" w:hAnsi="Times New Roman" w:cs="Times New Roman"/>
          <w:i/>
          <w:iCs/>
          <w:sz w:val="24"/>
          <w:szCs w:val="24"/>
        </w:rPr>
        <w:t>Indian solar PV exports surging.</w:t>
      </w:r>
      <w:r w:rsidRPr="00F125FE">
        <w:rPr>
          <w:rFonts w:ascii="Times New Roman" w:eastAsia="Times New Roman" w:hAnsi="Times New Roman" w:cs="Times New Roman"/>
          <w:sz w:val="24"/>
          <w:szCs w:val="24"/>
        </w:rPr>
        <w:t xml:space="preserve"> Institute for Energy Economics and Financial Analysis (IEEFA). </w:t>
      </w:r>
      <w:r w:rsidR="00F125FE" w:rsidRPr="00F125FE">
        <w:rPr>
          <w:rFonts w:ascii="Times New Roman" w:eastAsia="Times New Roman" w:hAnsi="Times New Roman" w:cs="Times New Roman"/>
          <w:sz w:val="24"/>
          <w:szCs w:val="24"/>
        </w:rPr>
        <w:t>https://ieefa.org/resources/indian-solar-pv-exports-surging</w:t>
      </w:r>
    </w:p>
    <w:p w14:paraId="7C65FC6F" w14:textId="3EF6D54F" w:rsidR="00E611D1" w:rsidRPr="00F125FE" w:rsidRDefault="003E2051" w:rsidP="001D34AA">
      <w:pPr>
        <w:pStyle w:val="ListParagraph"/>
        <w:numPr>
          <w:ilvl w:val="0"/>
          <w:numId w:val="6"/>
        </w:numPr>
        <w:spacing w:line="360" w:lineRule="auto"/>
        <w:rPr>
          <w:rFonts w:ascii="Times New Roman" w:eastAsia="Times New Roman" w:hAnsi="Times New Roman" w:cs="Times New Roman"/>
          <w:sz w:val="24"/>
          <w:szCs w:val="24"/>
        </w:rPr>
      </w:pPr>
      <w:r w:rsidRPr="00F125FE">
        <w:rPr>
          <w:rFonts w:ascii="Times New Roman" w:eastAsia="Times New Roman" w:hAnsi="Times New Roman" w:cs="Times New Roman"/>
          <w:sz w:val="24"/>
          <w:szCs w:val="24"/>
        </w:rPr>
        <w:t>Sarangi, G. K. (2018). </w:t>
      </w:r>
      <w:r w:rsidRPr="00F125FE">
        <w:rPr>
          <w:rFonts w:ascii="Times New Roman" w:eastAsia="Times New Roman" w:hAnsi="Times New Roman" w:cs="Times New Roman"/>
          <w:i/>
          <w:iCs/>
          <w:sz w:val="24"/>
          <w:szCs w:val="24"/>
        </w:rPr>
        <w:t>Green energy finance in India: Challenges and solutions</w:t>
      </w:r>
      <w:r w:rsidRPr="00F125FE">
        <w:rPr>
          <w:rFonts w:ascii="Times New Roman" w:eastAsia="Times New Roman" w:hAnsi="Times New Roman" w:cs="Times New Roman"/>
          <w:sz w:val="24"/>
          <w:szCs w:val="24"/>
        </w:rPr>
        <w:t> (No. 863). ADBI working paper.</w:t>
      </w:r>
      <w:r w:rsidR="00F125FE" w:rsidRPr="00F125FE">
        <w:t xml:space="preserve"> </w:t>
      </w:r>
      <w:r w:rsidR="00F125FE" w:rsidRPr="00F125FE">
        <w:rPr>
          <w:rFonts w:ascii="Times New Roman" w:eastAsia="Times New Roman" w:hAnsi="Times New Roman" w:cs="Times New Roman"/>
          <w:sz w:val="24"/>
          <w:szCs w:val="24"/>
        </w:rPr>
        <w:t>https://www.adb.org/publications/green-energy-finance-india-challenges-and-solutions</w:t>
      </w:r>
    </w:p>
    <w:p w14:paraId="6F923112" w14:textId="748EFAE1" w:rsidR="00E611D1" w:rsidRPr="00F125FE" w:rsidRDefault="003E2051" w:rsidP="001D34AA">
      <w:pPr>
        <w:pStyle w:val="ListParagraph"/>
        <w:numPr>
          <w:ilvl w:val="0"/>
          <w:numId w:val="6"/>
        </w:numPr>
        <w:spacing w:line="360" w:lineRule="auto"/>
        <w:rPr>
          <w:rFonts w:ascii="Times New Roman" w:eastAsia="Times New Roman" w:hAnsi="Times New Roman" w:cs="Times New Roman"/>
          <w:sz w:val="24"/>
          <w:szCs w:val="24"/>
        </w:rPr>
      </w:pPr>
      <w:r w:rsidRPr="00F125FE">
        <w:rPr>
          <w:rFonts w:ascii="Times New Roman" w:eastAsia="Times New Roman" w:hAnsi="Times New Roman" w:cs="Times New Roman"/>
          <w:sz w:val="24"/>
          <w:szCs w:val="24"/>
        </w:rPr>
        <w:t>T</w:t>
      </w:r>
      <w:r w:rsidRPr="00F125FE">
        <w:rPr>
          <w:rFonts w:ascii="Times New Roman" w:eastAsia="Times New Roman" w:hAnsi="Times New Roman" w:cs="Times New Roman"/>
          <w:sz w:val="24"/>
          <w:szCs w:val="24"/>
        </w:rPr>
        <w:t xml:space="preserve">ata Power Solar. (2024). </w:t>
      </w:r>
      <w:r w:rsidRPr="00F125FE">
        <w:rPr>
          <w:rFonts w:ascii="Times New Roman" w:eastAsia="Times New Roman" w:hAnsi="Times New Roman" w:cs="Times New Roman"/>
          <w:i/>
          <w:iCs/>
          <w:sz w:val="24"/>
          <w:szCs w:val="24"/>
        </w:rPr>
        <w:t xml:space="preserve">431 MW DC Solar Project, </w:t>
      </w:r>
      <w:proofErr w:type="spellStart"/>
      <w:r w:rsidRPr="00F125FE">
        <w:rPr>
          <w:rFonts w:ascii="Times New Roman" w:eastAsia="Times New Roman" w:hAnsi="Times New Roman" w:cs="Times New Roman"/>
          <w:i/>
          <w:iCs/>
          <w:sz w:val="24"/>
          <w:szCs w:val="24"/>
        </w:rPr>
        <w:t>Neemuch</w:t>
      </w:r>
      <w:proofErr w:type="spellEnd"/>
      <w:r w:rsidRPr="00F125FE">
        <w:rPr>
          <w:rFonts w:ascii="Times New Roman" w:eastAsia="Times New Roman" w:hAnsi="Times New Roman" w:cs="Times New Roman"/>
          <w:i/>
          <w:iCs/>
          <w:sz w:val="24"/>
          <w:szCs w:val="24"/>
        </w:rPr>
        <w:t>, Madhya Pradesh.</w:t>
      </w:r>
      <w:r w:rsidRPr="00F125FE">
        <w:rPr>
          <w:rFonts w:ascii="Times New Roman" w:eastAsia="Times New Roman" w:hAnsi="Times New Roman" w:cs="Times New Roman"/>
          <w:sz w:val="24"/>
          <w:szCs w:val="24"/>
        </w:rPr>
        <w:t xml:space="preserve"> </w:t>
      </w:r>
      <w:r w:rsidR="00F125FE" w:rsidRPr="00F125FE">
        <w:rPr>
          <w:rFonts w:ascii="Times New Roman" w:eastAsia="Times New Roman" w:hAnsi="Times New Roman" w:cs="Times New Roman"/>
          <w:sz w:val="24"/>
          <w:szCs w:val="24"/>
        </w:rPr>
        <w:t>https://www.tatapowersolar.com/project/431mw-dc-solar-project-neemuch-madhya-pradesh/</w:t>
      </w:r>
    </w:p>
    <w:p w14:paraId="56717E64" w14:textId="77777777" w:rsidR="00E611D1" w:rsidRPr="00F125FE" w:rsidRDefault="003E2051" w:rsidP="001D34AA">
      <w:pPr>
        <w:pStyle w:val="ListParagraph"/>
        <w:numPr>
          <w:ilvl w:val="0"/>
          <w:numId w:val="6"/>
        </w:numPr>
        <w:spacing w:line="360" w:lineRule="auto"/>
        <w:rPr>
          <w:rFonts w:ascii="Times New Roman" w:eastAsia="Times New Roman" w:hAnsi="Times New Roman" w:cs="Times New Roman"/>
          <w:sz w:val="24"/>
          <w:szCs w:val="24"/>
        </w:rPr>
      </w:pPr>
      <w:r w:rsidRPr="00F125FE">
        <w:rPr>
          <w:rFonts w:ascii="Times New Roman" w:eastAsia="Times New Roman" w:hAnsi="Times New Roman" w:cs="Times New Roman"/>
          <w:sz w:val="24"/>
          <w:szCs w:val="24"/>
          <w:lang w:val="es-US"/>
        </w:rPr>
        <w:t xml:space="preserve">Tata </w:t>
      </w:r>
      <w:proofErr w:type="spellStart"/>
      <w:r w:rsidRPr="00F125FE">
        <w:rPr>
          <w:rFonts w:ascii="Times New Roman" w:eastAsia="Times New Roman" w:hAnsi="Times New Roman" w:cs="Times New Roman"/>
          <w:sz w:val="24"/>
          <w:szCs w:val="24"/>
          <w:lang w:val="es-US"/>
        </w:rPr>
        <w:t>Power</w:t>
      </w:r>
      <w:proofErr w:type="spellEnd"/>
      <w:r w:rsidRPr="00F125FE">
        <w:rPr>
          <w:rFonts w:ascii="Times New Roman" w:eastAsia="Times New Roman" w:hAnsi="Times New Roman" w:cs="Times New Roman"/>
          <w:sz w:val="24"/>
          <w:szCs w:val="24"/>
          <w:lang w:val="es-US"/>
        </w:rPr>
        <w:t xml:space="preserve"> Solar. (</w:t>
      </w:r>
      <w:proofErr w:type="spellStart"/>
      <w:r w:rsidRPr="00F125FE">
        <w:rPr>
          <w:rFonts w:ascii="Times New Roman" w:eastAsia="Times New Roman" w:hAnsi="Times New Roman" w:cs="Times New Roman"/>
          <w:sz w:val="24"/>
          <w:szCs w:val="24"/>
          <w:lang w:val="es-US"/>
        </w:rPr>
        <w:t>n.d</w:t>
      </w:r>
      <w:proofErr w:type="spellEnd"/>
      <w:r w:rsidRPr="00F125FE">
        <w:rPr>
          <w:rFonts w:ascii="Times New Roman" w:eastAsia="Times New Roman" w:hAnsi="Times New Roman" w:cs="Times New Roman"/>
          <w:sz w:val="24"/>
          <w:szCs w:val="24"/>
          <w:lang w:val="es-US"/>
        </w:rPr>
        <w:t xml:space="preserve">.). </w:t>
      </w:r>
      <w:r w:rsidRPr="00F125FE">
        <w:rPr>
          <w:rFonts w:ascii="Times New Roman" w:eastAsia="Times New Roman" w:hAnsi="Times New Roman" w:cs="Times New Roman"/>
          <w:i/>
          <w:iCs/>
          <w:sz w:val="24"/>
          <w:szCs w:val="24"/>
          <w:lang w:val="es-US"/>
        </w:rPr>
        <w:t xml:space="preserve">Tata </w:t>
      </w:r>
      <w:proofErr w:type="spellStart"/>
      <w:r w:rsidRPr="00F125FE">
        <w:rPr>
          <w:rFonts w:ascii="Times New Roman" w:eastAsia="Times New Roman" w:hAnsi="Times New Roman" w:cs="Times New Roman"/>
          <w:i/>
          <w:iCs/>
          <w:sz w:val="24"/>
          <w:szCs w:val="24"/>
          <w:lang w:val="es-US"/>
        </w:rPr>
        <w:t>Power</w:t>
      </w:r>
      <w:proofErr w:type="spellEnd"/>
      <w:r w:rsidRPr="00F125FE">
        <w:rPr>
          <w:rFonts w:ascii="Times New Roman" w:eastAsia="Times New Roman" w:hAnsi="Times New Roman" w:cs="Times New Roman"/>
          <w:i/>
          <w:iCs/>
          <w:sz w:val="24"/>
          <w:szCs w:val="24"/>
          <w:lang w:val="es-US"/>
        </w:rPr>
        <w:t xml:space="preserve"> Solar.</w:t>
      </w:r>
      <w:r w:rsidRPr="00F125FE">
        <w:rPr>
          <w:rFonts w:ascii="Times New Roman" w:eastAsia="Times New Roman" w:hAnsi="Times New Roman" w:cs="Times New Roman"/>
          <w:sz w:val="24"/>
          <w:szCs w:val="24"/>
          <w:lang w:val="es-US"/>
        </w:rPr>
        <w:t xml:space="preserve"> </w:t>
      </w:r>
      <w:hyperlink r:id="rId15">
        <w:r w:rsidR="00E611D1" w:rsidRPr="00F125FE">
          <w:rPr>
            <w:rFonts w:ascii="Times New Roman" w:eastAsia="Times New Roman" w:hAnsi="Times New Roman" w:cs="Times New Roman"/>
            <w:color w:val="0000FF"/>
            <w:sz w:val="24"/>
            <w:szCs w:val="24"/>
            <w:u w:val="single"/>
          </w:rPr>
          <w:t>https://www.tatapowersolar.com/</w:t>
        </w:r>
      </w:hyperlink>
      <w:r w:rsidRPr="00F125FE">
        <w:rPr>
          <w:rFonts w:ascii="Times New Roman" w:eastAsia="Times New Roman" w:hAnsi="Times New Roman" w:cs="Times New Roman"/>
          <w:sz w:val="24"/>
          <w:szCs w:val="24"/>
        </w:rPr>
        <w:t xml:space="preserve"> </w:t>
      </w:r>
      <w:hyperlink r:id="rId16">
        <w:r w:rsidR="00E611D1" w:rsidRPr="00F125FE">
          <w:rPr>
            <w:rFonts w:ascii="Times New Roman" w:eastAsia="Times New Roman" w:hAnsi="Times New Roman" w:cs="Times New Roman"/>
            <w:color w:val="0000FF"/>
            <w:sz w:val="24"/>
            <w:szCs w:val="24"/>
            <w:u w:val="single"/>
          </w:rPr>
          <w:t>tatapowersolar.com</w:t>
        </w:r>
      </w:hyperlink>
    </w:p>
    <w:p w14:paraId="5B0AB019" w14:textId="7FD12DED" w:rsidR="00E611D1" w:rsidRPr="00F125FE" w:rsidRDefault="003E2051" w:rsidP="001D34AA">
      <w:pPr>
        <w:pStyle w:val="ListParagraph"/>
        <w:numPr>
          <w:ilvl w:val="0"/>
          <w:numId w:val="6"/>
        </w:numPr>
        <w:spacing w:line="360" w:lineRule="auto"/>
        <w:rPr>
          <w:rFonts w:ascii="Times New Roman" w:eastAsia="Times New Roman" w:hAnsi="Times New Roman" w:cs="Times New Roman"/>
          <w:sz w:val="24"/>
          <w:szCs w:val="24"/>
        </w:rPr>
      </w:pPr>
      <w:bookmarkStart w:id="3" w:name="_hj0s5leyxgf" w:colFirst="0" w:colLast="0"/>
      <w:bookmarkEnd w:id="3"/>
      <w:r w:rsidRPr="00F125FE">
        <w:rPr>
          <w:rFonts w:ascii="Times New Roman" w:eastAsia="Times New Roman" w:hAnsi="Times New Roman" w:cs="Times New Roman"/>
          <w:sz w:val="24"/>
          <w:szCs w:val="24"/>
        </w:rPr>
        <w:t xml:space="preserve">United Nations. (2022, May 17). </w:t>
      </w:r>
      <w:r w:rsidRPr="00F125FE">
        <w:rPr>
          <w:rFonts w:ascii="Times New Roman" w:eastAsia="Times New Roman" w:hAnsi="Times New Roman" w:cs="Times New Roman"/>
          <w:i/>
          <w:iCs/>
          <w:sz w:val="24"/>
          <w:szCs w:val="24"/>
        </w:rPr>
        <w:t>What is renewable energy?</w:t>
      </w:r>
      <w:r w:rsidRPr="00F125FE">
        <w:rPr>
          <w:rFonts w:ascii="Times New Roman" w:eastAsia="Times New Roman" w:hAnsi="Times New Roman" w:cs="Times New Roman"/>
          <w:sz w:val="24"/>
          <w:szCs w:val="24"/>
        </w:rPr>
        <w:t xml:space="preserve"> Retrieved from </w:t>
      </w:r>
      <w:r w:rsidR="00F125FE" w:rsidRPr="00F125FE">
        <w:rPr>
          <w:rFonts w:ascii="Times New Roman" w:eastAsia="Times New Roman" w:hAnsi="Times New Roman" w:cs="Times New Roman"/>
          <w:sz w:val="24"/>
          <w:szCs w:val="24"/>
        </w:rPr>
        <w:t>https://www.un.org/en/climatechange/what-is-renewable-energy</w:t>
      </w:r>
    </w:p>
    <w:p w14:paraId="44128CE4" w14:textId="1A24B06C" w:rsidR="00E611D1" w:rsidRDefault="003E2051" w:rsidP="001D34AA">
      <w:pPr>
        <w:pStyle w:val="ListParagraph"/>
        <w:numPr>
          <w:ilvl w:val="0"/>
          <w:numId w:val="6"/>
        </w:numPr>
        <w:spacing w:line="360" w:lineRule="auto"/>
      </w:pPr>
      <w:r w:rsidRPr="00F125FE">
        <w:rPr>
          <w:rFonts w:ascii="Times New Roman" w:eastAsia="Times New Roman" w:hAnsi="Times New Roman" w:cs="Times New Roman"/>
          <w:sz w:val="24"/>
          <w:szCs w:val="24"/>
        </w:rPr>
        <w:t xml:space="preserve">World Trade Organization. (n.d.). </w:t>
      </w:r>
      <w:r w:rsidRPr="00F125FE">
        <w:rPr>
          <w:rFonts w:ascii="Times New Roman" w:eastAsia="Times New Roman" w:hAnsi="Times New Roman" w:cs="Times New Roman"/>
          <w:i/>
          <w:iCs/>
          <w:sz w:val="24"/>
          <w:szCs w:val="24"/>
        </w:rPr>
        <w:t>Statistics.</w:t>
      </w:r>
      <w:r w:rsidRPr="00F125FE">
        <w:rPr>
          <w:rFonts w:ascii="Times New Roman" w:eastAsia="Times New Roman" w:hAnsi="Times New Roman" w:cs="Times New Roman"/>
          <w:sz w:val="24"/>
          <w:szCs w:val="24"/>
        </w:rPr>
        <w:t xml:space="preserve"> Retrieved October 29, 2025, from </w:t>
      </w:r>
      <w:r w:rsidR="00F125FE" w:rsidRPr="00F125FE">
        <w:rPr>
          <w:rFonts w:ascii="Times New Roman" w:eastAsia="Times New Roman" w:hAnsi="Times New Roman" w:cs="Times New Roman"/>
          <w:sz w:val="24"/>
          <w:szCs w:val="24"/>
        </w:rPr>
        <w:t>https://www.wto.org/english/res_e/statis_e/statis_e.htm</w:t>
      </w:r>
    </w:p>
    <w:p w14:paraId="79E2D149" w14:textId="7FD5764D" w:rsidR="005D61BD" w:rsidRPr="005D61BD" w:rsidRDefault="005D61BD" w:rsidP="001D34AA">
      <w:pPr>
        <w:pStyle w:val="ListParagraph"/>
        <w:numPr>
          <w:ilvl w:val="0"/>
          <w:numId w:val="6"/>
        </w:numPr>
        <w:spacing w:line="360" w:lineRule="auto"/>
      </w:pPr>
      <w:r w:rsidRPr="005D61BD">
        <w:t>Hossain, M. E., Ullah, E., Rehman, M. Z., Haseeb, M., &amp; Esquivias, M. A. (2024). Going sustainable or going extinct: the consequences of clean technologies, green finance, and natural resources on the environment. </w:t>
      </w:r>
      <w:r w:rsidRPr="00F125FE">
        <w:rPr>
          <w:i/>
          <w:iCs/>
        </w:rPr>
        <w:t>Sustainability</w:t>
      </w:r>
      <w:r w:rsidRPr="005D61BD">
        <w:t>, </w:t>
      </w:r>
      <w:r w:rsidRPr="00F125FE">
        <w:rPr>
          <w:i/>
          <w:iCs/>
        </w:rPr>
        <w:t>16</w:t>
      </w:r>
      <w:r w:rsidRPr="005D61BD">
        <w:t>(14), 5836.</w:t>
      </w:r>
      <w:r>
        <w:t xml:space="preserve"> </w:t>
      </w:r>
      <w:r w:rsidRPr="005D61BD">
        <w:t> </w:t>
      </w:r>
      <w:hyperlink r:id="rId17" w:history="1">
        <w:r w:rsidR="00F125FE" w:rsidRPr="00522142">
          <w:rPr>
            <w:rStyle w:val="Hyperlink"/>
          </w:rPr>
          <w:t>https://doi.org/10.3390/su16145836</w:t>
        </w:r>
      </w:hyperlink>
      <w:r w:rsidR="00F125FE">
        <w:tab/>
      </w:r>
      <w:r w:rsidRPr="005D61BD">
        <w:t xml:space="preserve"> </w:t>
      </w:r>
    </w:p>
    <w:p w14:paraId="08C61721" w14:textId="77777777" w:rsidR="005D61BD" w:rsidRPr="005D61BD" w:rsidRDefault="005D61BD" w:rsidP="001D34AA">
      <w:pPr>
        <w:spacing w:line="360" w:lineRule="auto"/>
        <w:rPr>
          <w:rFonts w:ascii="Times New Roman" w:eastAsia="Times New Roman" w:hAnsi="Times New Roman" w:cs="Times New Roman"/>
          <w:sz w:val="24"/>
          <w:szCs w:val="24"/>
        </w:rPr>
      </w:pPr>
    </w:p>
    <w:p w14:paraId="16B3F08E" w14:textId="77777777" w:rsidR="00E611D1" w:rsidRDefault="00E611D1" w:rsidP="001D34AA">
      <w:pPr>
        <w:spacing w:line="360" w:lineRule="auto"/>
        <w:rPr>
          <w:rFonts w:ascii="Times New Roman" w:eastAsia="Times New Roman" w:hAnsi="Times New Roman" w:cs="Times New Roman"/>
        </w:rPr>
      </w:pPr>
    </w:p>
    <w:sectPr w:rsidR="00E611D1">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D01A01" w14:textId="77777777" w:rsidR="003E2051" w:rsidRDefault="003E2051" w:rsidP="001D34AA">
      <w:pPr>
        <w:spacing w:after="0" w:line="240" w:lineRule="auto"/>
      </w:pPr>
      <w:r>
        <w:separator/>
      </w:r>
    </w:p>
  </w:endnote>
  <w:endnote w:type="continuationSeparator" w:id="0">
    <w:p w14:paraId="5E6F860B" w14:textId="77777777" w:rsidR="003E2051" w:rsidRDefault="003E2051" w:rsidP="001D3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87C2980-4C6E-46B0-817D-1CDFEE5B5698}"/>
    <w:embedBold r:id="rId2" w:fontKey="{72383183-AF30-4FDF-8380-6EDD61F9A776}"/>
    <w:embedItalic r:id="rId3" w:fontKey="{F7DD10A7-887A-4A6E-AA46-ED5E2B8E5F91}"/>
  </w:font>
  <w:font w:name="Calibri">
    <w:panose1 w:val="020F0502020204030204"/>
    <w:charset w:val="00"/>
    <w:family w:val="swiss"/>
    <w:pitch w:val="variable"/>
    <w:sig w:usb0="E00002FF" w:usb1="4000ACFF" w:usb2="00000001" w:usb3="00000000" w:csb0="0000019F" w:csb1="00000000"/>
    <w:embedRegular r:id="rId4" w:fontKey="{953922FA-277B-414C-9416-664696E219D6}"/>
    <w:embedBold r:id="rId5" w:fontKey="{D55FA675-28AE-4BF6-8000-1800022765E6}"/>
    <w:embedItalic r:id="rId6" w:fontKey="{FC5609EF-C0D2-42FC-9227-B775D4091028}"/>
    <w:embedBoldItalic r:id="rId7" w:fontKey="{F70D04F0-7E0A-430C-9B4A-7EEECE43CD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8C6D5" w14:textId="77777777" w:rsidR="001D34AA" w:rsidRDefault="001D34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96148" w14:textId="77777777" w:rsidR="001D34AA" w:rsidRDefault="001D34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06017" w14:textId="77777777" w:rsidR="001D34AA" w:rsidRDefault="001D34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F5167" w14:textId="77777777" w:rsidR="003E2051" w:rsidRDefault="003E2051" w:rsidP="001D34AA">
      <w:pPr>
        <w:spacing w:after="0" w:line="240" w:lineRule="auto"/>
      </w:pPr>
      <w:r>
        <w:separator/>
      </w:r>
    </w:p>
  </w:footnote>
  <w:footnote w:type="continuationSeparator" w:id="0">
    <w:p w14:paraId="1E2EFD09" w14:textId="77777777" w:rsidR="003E2051" w:rsidRDefault="003E2051" w:rsidP="001D34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0BC9C" w14:textId="1151F24D" w:rsidR="001D34AA" w:rsidRDefault="001D34AA">
    <w:pPr>
      <w:pStyle w:val="Header"/>
    </w:pPr>
    <w:r>
      <w:rPr>
        <w:noProof/>
      </w:rPr>
      <w:pict w14:anchorId="7938C1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522297"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0AB26" w14:textId="28DE9814" w:rsidR="001D34AA" w:rsidRDefault="001D34AA">
    <w:pPr>
      <w:pStyle w:val="Header"/>
    </w:pPr>
    <w:r>
      <w:rPr>
        <w:noProof/>
      </w:rPr>
      <w:pict w14:anchorId="18D470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522298"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62500" w14:textId="6B37186A" w:rsidR="001D34AA" w:rsidRDefault="001D34AA">
    <w:pPr>
      <w:pStyle w:val="Header"/>
    </w:pPr>
    <w:r>
      <w:rPr>
        <w:noProof/>
      </w:rPr>
      <w:pict w14:anchorId="7197E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522296"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C464E"/>
    <w:multiLevelType w:val="multilevel"/>
    <w:tmpl w:val="BB02E90A"/>
    <w:lvl w:ilvl="0">
      <w:start w:val="1"/>
      <w:numFmt w:val="upperRoman"/>
      <w:lvlText w:val="%1."/>
      <w:lvlJc w:val="righ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61D41C7"/>
    <w:multiLevelType w:val="hybridMultilevel"/>
    <w:tmpl w:val="66F8A0A4"/>
    <w:lvl w:ilvl="0" w:tplc="C688072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8C0B04"/>
    <w:multiLevelType w:val="hybridMultilevel"/>
    <w:tmpl w:val="9A2C2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E032B7"/>
    <w:multiLevelType w:val="multilevel"/>
    <w:tmpl w:val="9D904C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20C09F4"/>
    <w:multiLevelType w:val="multilevel"/>
    <w:tmpl w:val="0E32EC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4040783"/>
    <w:multiLevelType w:val="multilevel"/>
    <w:tmpl w:val="B130EB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C3sDQysTQ2NDeyMDRT0lEKTi0uzszPAykwrAUAlvVB1ywAAAA="/>
  </w:docVars>
  <w:rsids>
    <w:rsidRoot w:val="00E611D1"/>
    <w:rsid w:val="00190122"/>
    <w:rsid w:val="001D34AA"/>
    <w:rsid w:val="00250EFD"/>
    <w:rsid w:val="003E2051"/>
    <w:rsid w:val="0048103A"/>
    <w:rsid w:val="004C15DB"/>
    <w:rsid w:val="00523B49"/>
    <w:rsid w:val="00562D52"/>
    <w:rsid w:val="005D61BD"/>
    <w:rsid w:val="00600204"/>
    <w:rsid w:val="00800BAC"/>
    <w:rsid w:val="008D07AF"/>
    <w:rsid w:val="00A75DBF"/>
    <w:rsid w:val="00A7770B"/>
    <w:rsid w:val="00BB3A2E"/>
    <w:rsid w:val="00DC0041"/>
    <w:rsid w:val="00E611D1"/>
    <w:rsid w:val="00E85607"/>
    <w:rsid w:val="00F12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88F9CB"/>
  <w15:docId w15:val="{F37F5214-5183-4720-A057-C9441A091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40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40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0"/>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1">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250EFD"/>
    <w:rPr>
      <w:color w:val="0000FF" w:themeColor="hyperlink"/>
      <w:u w:val="single"/>
    </w:rPr>
  </w:style>
  <w:style w:type="character" w:styleId="UnresolvedMention">
    <w:name w:val="Unresolved Mention"/>
    <w:basedOn w:val="DefaultParagraphFont"/>
    <w:uiPriority w:val="99"/>
    <w:semiHidden/>
    <w:unhideWhenUsed/>
    <w:rsid w:val="00250EFD"/>
    <w:rPr>
      <w:color w:val="605E5C"/>
      <w:shd w:val="clear" w:color="auto" w:fill="E1DFDD"/>
    </w:rPr>
  </w:style>
  <w:style w:type="paragraph" w:styleId="ListParagraph">
    <w:name w:val="List Paragraph"/>
    <w:basedOn w:val="Normal"/>
    <w:uiPriority w:val="34"/>
    <w:qFormat/>
    <w:rsid w:val="0048103A"/>
    <w:pPr>
      <w:ind w:left="720"/>
      <w:contextualSpacing/>
    </w:pPr>
  </w:style>
  <w:style w:type="paragraph" w:styleId="Header">
    <w:name w:val="header"/>
    <w:basedOn w:val="Normal"/>
    <w:link w:val="HeaderChar"/>
    <w:uiPriority w:val="99"/>
    <w:unhideWhenUsed/>
    <w:rsid w:val="001D34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34AA"/>
  </w:style>
  <w:style w:type="paragraph" w:styleId="Footer">
    <w:name w:val="footer"/>
    <w:basedOn w:val="Normal"/>
    <w:link w:val="FooterChar"/>
    <w:uiPriority w:val="99"/>
    <w:unhideWhenUsed/>
    <w:rsid w:val="001D34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3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i.org/10.1002/gj.4654"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doi.org/10.34293/sijash.v12is1-i2-oct.8413" TargetMode="External"/><Relationship Id="rId17" Type="http://schemas.openxmlformats.org/officeDocument/2006/relationships/hyperlink" Target="https://doi.org/10.3390/su16145836"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tatapowersolar.com/?utm_source=chatgpt.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eefa.org/sites/default/files/2024-11/Indian%20Solar%20PV%20Exports%20Surging_Nov24.pdf"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tatapowersolar.com/?utm_source=chatgpt.com" TargetMode="External"/><Relationship Id="rId23" Type="http://schemas.openxmlformats.org/officeDocument/2006/relationships/footer" Target="footer3.xml"/><Relationship Id="rId10" Type="http://schemas.openxmlformats.org/officeDocument/2006/relationships/hyperlink" Target="https://www.iea.org/reports/renewables-2024"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climatepolicyinitiative.org/publication/global-landscape-of-climate-finance-2024/" TargetMode="External"/><Relationship Id="rId14" Type="http://schemas.openxmlformats.org/officeDocument/2006/relationships/hyperlink" Target="https://doi.org/10.3390/en16237712"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Percentage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4CB-47BA-AFB9-AEED295D3A6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4CB-47BA-AFB9-AEED295D3A6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4CB-47BA-AFB9-AEED295D3A6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4CB-47BA-AFB9-AEED295D3A6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Domestic</c:v>
                </c:pt>
                <c:pt idx="1">
                  <c:v>Export – Solar PV</c:v>
                </c:pt>
                <c:pt idx="2">
                  <c:v>Export – Wind</c:v>
                </c:pt>
                <c:pt idx="3">
                  <c:v>Export – Biofuels, Green Hydrogen, Storage &amp; Services</c:v>
                </c:pt>
              </c:strCache>
            </c:strRef>
          </c:cat>
          <c:val>
            <c:numRef>
              <c:f>Sheet1!$B$2:$B$5</c:f>
              <c:numCache>
                <c:formatCode>General</c:formatCode>
                <c:ptCount val="4"/>
                <c:pt idx="0">
                  <c:v>84</c:v>
                </c:pt>
                <c:pt idx="1">
                  <c:v>9.6</c:v>
                </c:pt>
                <c:pt idx="2">
                  <c:v>2.9</c:v>
                </c:pt>
                <c:pt idx="3">
                  <c:v>3.5</c:v>
                </c:pt>
              </c:numCache>
            </c:numRef>
          </c:val>
          <c:extLst>
            <c:ext xmlns:c16="http://schemas.microsoft.com/office/drawing/2014/chart" uri="{C3380CC4-5D6E-409C-BE32-E72D297353CC}">
              <c16:uniqueId val="{00000008-44CB-47BA-AFB9-AEED295D3A6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17</Pages>
  <Words>4500</Words>
  <Characters>25655</Characters>
  <Application>Microsoft Office Word</Application>
  <DocSecurity>0</DocSecurity>
  <Lines>213</Lines>
  <Paragraphs>60</Paragraphs>
  <ScaleCrop>false</ScaleCrop>
  <Company/>
  <LinksUpToDate>false</LinksUpToDate>
  <CharactersWithSpaces>30095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16</cp:revision>
  <dcterms:created xsi:type="dcterms:W3CDTF">2025-11-28T05:26:00Z</dcterms:created>
  <dcterms:modified xsi:type="dcterms:W3CDTF">2025-11-28T13:08:00Z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6ff4b10b-e2a3-4f23-aaad-c148124733ca</vt:lpwstr>
  </property>
</Properties>
</file>