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6D634" w14:textId="77777777" w:rsidR="009965E7" w:rsidRDefault="009965E7" w:rsidP="007F3D4C">
      <w:pPr>
        <w:rPr>
          <w:rFonts w:ascii="Times New Roman" w:hAnsi="Times New Roman" w:cs="Times New Roman"/>
          <w:b/>
          <w:bCs/>
        </w:rPr>
      </w:pPr>
    </w:p>
    <w:p w14:paraId="73D162F0" w14:textId="77777777" w:rsidR="009965E7" w:rsidRPr="00750553" w:rsidRDefault="009965E7" w:rsidP="009965E7">
      <w:pPr>
        <w:rPr>
          <w:rFonts w:ascii="Times New Roman" w:hAnsi="Times New Roman" w:cs="Times New Roman"/>
          <w:b/>
          <w:bCs/>
          <w:sz w:val="32"/>
          <w:szCs w:val="32"/>
        </w:rPr>
      </w:pPr>
      <w:r w:rsidRPr="00750553">
        <w:rPr>
          <w:rFonts w:ascii="Times New Roman" w:hAnsi="Times New Roman" w:cs="Times New Roman"/>
          <w:b/>
          <w:bCs/>
          <w:sz w:val="32"/>
          <w:szCs w:val="32"/>
        </w:rPr>
        <w:t>Evaluation of Machine Learning Models for Predicting Flood Susceptibility Using Spatial and Socio-Environmental Attributes in Lagos, Nigeria</w:t>
      </w:r>
    </w:p>
    <w:p w14:paraId="58EF4B8C" w14:textId="77777777" w:rsidR="000D7CB7" w:rsidRDefault="000D7CB7" w:rsidP="008060A1">
      <w:pPr>
        <w:rPr>
          <w:rFonts w:ascii="Times New Roman" w:hAnsi="Times New Roman" w:cs="Times New Roman"/>
          <w:b/>
          <w:bCs/>
        </w:rPr>
      </w:pPr>
    </w:p>
    <w:p w14:paraId="7C476E64" w14:textId="77777777" w:rsidR="007456CA" w:rsidRPr="007456CA" w:rsidRDefault="007456CA" w:rsidP="007456CA">
      <w:pPr>
        <w:rPr>
          <w:rFonts w:ascii="Times New Roman" w:hAnsi="Times New Roman" w:cs="Times New Roman"/>
          <w:b/>
          <w:bCs/>
        </w:rPr>
      </w:pPr>
    </w:p>
    <w:p w14:paraId="01D6E8F3" w14:textId="77777777" w:rsidR="007A0145" w:rsidRPr="007A0145" w:rsidRDefault="007A0145" w:rsidP="007A0145">
      <w:pPr>
        <w:rPr>
          <w:rFonts w:ascii="Times New Roman" w:hAnsi="Times New Roman" w:cs="Times New Roman"/>
          <w:b/>
          <w:bCs/>
        </w:rPr>
      </w:pPr>
      <w:r w:rsidRPr="007A0145">
        <w:rPr>
          <w:rFonts w:ascii="Times New Roman" w:hAnsi="Times New Roman" w:cs="Times New Roman"/>
          <w:b/>
          <w:bCs/>
        </w:rPr>
        <w:t>Abstract</w:t>
      </w:r>
    </w:p>
    <w:p w14:paraId="2CB375DD" w14:textId="77777777" w:rsidR="007A0145" w:rsidRPr="007A0145" w:rsidRDefault="007A0145" w:rsidP="007A0145">
      <w:pPr>
        <w:rPr>
          <w:rFonts w:ascii="Times New Roman" w:hAnsi="Times New Roman" w:cs="Times New Roman"/>
          <w:b/>
          <w:bCs/>
        </w:rPr>
      </w:pPr>
    </w:p>
    <w:p w14:paraId="7BBD72FB" w14:textId="77777777" w:rsidR="007A0145" w:rsidRPr="007A0145" w:rsidRDefault="007A0145" w:rsidP="007A0145">
      <w:pPr>
        <w:rPr>
          <w:rFonts w:ascii="Times New Roman" w:hAnsi="Times New Roman" w:cs="Times New Roman"/>
        </w:rPr>
      </w:pPr>
      <w:r w:rsidRPr="007A0145">
        <w:rPr>
          <w:rFonts w:ascii="Times New Roman" w:hAnsi="Times New Roman" w:cs="Times New Roman"/>
        </w:rPr>
        <w:t>Flooding is one of the major challenges to urban resilience in Lagos, Nigeria, which is one of the fast-growing coastal megacities globally experiencing high exposure to extreme rainfall and sea-level rise. In this paper, the performances of four machine learning classifiers, namely Random Forest (RF), Extreme Gradient Boosting (XGBoost), Support Vector Machine (SVM), and Artificial Neural Network (ANN), are compared for flood extent mapping using multi-sensor and multi-temporal satellite data. Sentinel-1 SAR backscatter (VV, VH), Sentinel-2 NDVI, and elevation derived from SRTM were fused to create predictive features, whose ground-truth labels were derived from professional digitization of flooded and non-flooded regions that were validated using LASEMA flood reports (2022–2023). Preprocessing included speckle filtering, atmospheric correction, terrain correction, and co-registration to 10 m resolution. Models were trained and tested on spatial block 5-fold cross-validation to avoid spatial autocorrelation, and compared on accuracy, precision, recall, F1-score, and ROC-AUC, whose ROC curves were compared statistically using the DeLong test. Results indicate that ensemble models performed better than conventional classifiers. RF produced the highest recall (0.93) and ROC-AUC (0.972) and was therefore better at identifying flooded pixels, while XGBoost produced the highest precision (0.92), reducing false alarms. The two models performed better than SVM and ANN (accuracies &lt; 0.90) on a consistent basis. Feature importance analysis indicated SAR backscatter as the strongest predictor, although NDVI and elevation were complementary. Spatial susceptibility mapping indicated that almost 50% of Lagos falls within high to very high flood-risk areas, specifically low-lying coasts like Lekki, Victoria Island, and Ajegunle.</w:t>
      </w:r>
    </w:p>
    <w:p w14:paraId="2DF0F3E8" w14:textId="77777777" w:rsidR="007A0145" w:rsidRPr="007A0145" w:rsidRDefault="007A0145" w:rsidP="007A0145">
      <w:pPr>
        <w:rPr>
          <w:rFonts w:ascii="Times New Roman" w:hAnsi="Times New Roman" w:cs="Times New Roman"/>
        </w:rPr>
      </w:pPr>
      <w:r w:rsidRPr="007A0145">
        <w:rPr>
          <w:rFonts w:ascii="Times New Roman" w:hAnsi="Times New Roman" w:cs="Times New Roman"/>
        </w:rPr>
        <w:t>This study proves that ensemble learning using combined multi-sensor satellite data offers a scalable and robust platform for detecting floods in intricate urban settings. The results support incorporating ML-based flood mapping into Lagos and other Sub-Saharan African cities' cities' disaster planning and urban planning policies.</w:t>
      </w:r>
    </w:p>
    <w:p w14:paraId="0FC9D457" w14:textId="6D1D2013" w:rsidR="007A0145" w:rsidRPr="007A0145" w:rsidRDefault="007A0145" w:rsidP="007A0145">
      <w:pPr>
        <w:rPr>
          <w:rFonts w:ascii="Times New Roman" w:hAnsi="Times New Roman" w:cs="Times New Roman"/>
          <w:b/>
          <w:bCs/>
        </w:rPr>
      </w:pPr>
      <w:r w:rsidRPr="007A0145">
        <w:rPr>
          <w:rFonts w:ascii="Times New Roman" w:hAnsi="Times New Roman" w:cs="Times New Roman"/>
          <w:b/>
          <w:bCs/>
        </w:rPr>
        <w:t>Keywords: Flood mapping, Machine learning, Urban flooding, Temporal, Satellite Data, Multi-Sensor Data Fusion, Synthetic Aperture, Urban Flooding Disaster, Risk Management</w:t>
      </w:r>
    </w:p>
    <w:p w14:paraId="4CE3C4E7" w14:textId="77777777" w:rsidR="007A0145" w:rsidRPr="007A0145" w:rsidRDefault="007A0145" w:rsidP="007A0145">
      <w:pPr>
        <w:rPr>
          <w:rFonts w:ascii="Times New Roman" w:hAnsi="Times New Roman" w:cs="Times New Roman"/>
          <w:b/>
          <w:bCs/>
        </w:rPr>
      </w:pPr>
    </w:p>
    <w:p w14:paraId="4AD3EAB0" w14:textId="77777777" w:rsidR="00EA63B1" w:rsidRDefault="00EA63B1" w:rsidP="007F3D4C">
      <w:pPr>
        <w:rPr>
          <w:rFonts w:ascii="Times New Roman" w:hAnsi="Times New Roman" w:cs="Times New Roman"/>
          <w:b/>
          <w:bCs/>
        </w:rPr>
      </w:pPr>
    </w:p>
    <w:p w14:paraId="3B26C3F8" w14:textId="0F641372" w:rsidR="007F3D4C" w:rsidRPr="00DD58AA" w:rsidRDefault="007C44FE" w:rsidP="007F3D4C">
      <w:pPr>
        <w:rPr>
          <w:rFonts w:ascii="Times New Roman" w:hAnsi="Times New Roman" w:cs="Times New Roman"/>
          <w:b/>
          <w:bCs/>
          <w:sz w:val="32"/>
          <w:szCs w:val="32"/>
        </w:rPr>
      </w:pPr>
      <w:r w:rsidRPr="00DD58AA">
        <w:rPr>
          <w:rFonts w:ascii="Times New Roman" w:hAnsi="Times New Roman" w:cs="Times New Roman"/>
          <w:b/>
          <w:bCs/>
          <w:sz w:val="32"/>
          <w:szCs w:val="32"/>
        </w:rPr>
        <w:t>Introduction</w:t>
      </w:r>
    </w:p>
    <w:p w14:paraId="4BD0FB03" w14:textId="3A7E7CBA" w:rsidR="00503F40" w:rsidRPr="00503F40" w:rsidRDefault="00503F40" w:rsidP="00503F40">
      <w:pPr>
        <w:rPr>
          <w:rFonts w:ascii="Times New Roman" w:hAnsi="Times New Roman" w:cs="Times New Roman"/>
        </w:rPr>
      </w:pPr>
      <w:r w:rsidRPr="00503F40">
        <w:rPr>
          <w:rFonts w:ascii="Times New Roman" w:hAnsi="Times New Roman" w:cs="Times New Roman"/>
        </w:rPr>
        <w:t>Flooding is an ongoing and worsening environmental risk in Nigeria's Lagos, with significant socio-economic, health, and infrastructure consequences. Lagos is one of the fast-growing megacities in Africa and is highly vulnerable to flooding due to the city's coastal low-lying terrain topography, high population, uncontrolled urbanization, inadequate draining infrastructure, and enhanced rain variability due to climate change (Adelekan, 2010; Etti et al., 2022). The urban form of the city, by its densely populated informal settlements built on wetlands and floodplains, has aggravated coastal surge and flash flood effects in terms of transport, displacement of people, and damage to infrastructure</w:t>
      </w:r>
      <w:r w:rsidR="00EB4C71">
        <w:rPr>
          <w:rFonts w:ascii="Times New Roman" w:hAnsi="Times New Roman" w:cs="Times New Roman"/>
        </w:rPr>
        <w:t xml:space="preserve"> </w:t>
      </w:r>
      <w:r w:rsidR="00EB4C71" w:rsidRPr="00EB4C71">
        <w:rPr>
          <w:rFonts w:ascii="Times New Roman" w:hAnsi="Times New Roman" w:cs="Times New Roman"/>
        </w:rPr>
        <w:t>(Adegun, 2023)</w:t>
      </w:r>
      <w:r w:rsidRPr="00503F40">
        <w:rPr>
          <w:rFonts w:ascii="Times New Roman" w:hAnsi="Times New Roman" w:cs="Times New Roman"/>
        </w:rPr>
        <w:t>. Transcending this limitation, the timely and precise mapping of floods is assuming the role of an essential tool in disaster preparedness, emergency response, and long-term urban resilience planning. Flood mapping in Lagos was previously hydrological and hydraulic model-based, which had predicted flood conditions from topography, rainfall</w:t>
      </w:r>
      <w:r w:rsidR="00D971EA">
        <w:rPr>
          <w:rFonts w:ascii="Times New Roman" w:hAnsi="Times New Roman" w:cs="Times New Roman"/>
        </w:rPr>
        <w:t xml:space="preserve"> </w:t>
      </w:r>
      <w:r w:rsidR="00D971EA" w:rsidRPr="00D971EA">
        <w:rPr>
          <w:rFonts w:ascii="Times New Roman" w:hAnsi="Times New Roman" w:cs="Times New Roman"/>
        </w:rPr>
        <w:t>(Kaoje &amp; Ibrahim, 2017)</w:t>
      </w:r>
      <w:r w:rsidRPr="00503F40">
        <w:rPr>
          <w:rFonts w:ascii="Times New Roman" w:hAnsi="Times New Roman" w:cs="Times New Roman"/>
        </w:rPr>
        <w:t>, and ground data. The models were penetrating as they were, but they were disadvantaged by the cost of obtaining ground data, spatial resolution limitations, and professional calibration, which in the event of real-time disaster would be impossible (Abiodun et al., 2020). Second, ground observation networks in Lagos are limited and dispersed to the extent that one cannot get a rapid and reliable estimate of the magnitude of flooding, particularly over informal city neighbourhoods.</w:t>
      </w:r>
      <w:r w:rsidR="00A61CAF">
        <w:rPr>
          <w:rFonts w:ascii="Times New Roman" w:hAnsi="Times New Roman" w:cs="Times New Roman"/>
        </w:rPr>
        <w:t xml:space="preserve"> </w:t>
      </w:r>
      <w:r w:rsidRPr="00503F40">
        <w:rPr>
          <w:rFonts w:ascii="Times New Roman" w:hAnsi="Times New Roman" w:cs="Times New Roman"/>
        </w:rPr>
        <w:t>New prospects for the detection of large-scale near-real-time floods using satellite images have appeared due to new advances in remote sensing. Flood processes are characterized by rich spatial and temporal data from multi-sensor data, including optical imagery (e.g., Sentinel-2, Landsat), Synthetic Aperture Radar (SAR) (e.g., Sentinel-1), and digital elevation models (e.g., SRTM, ALOS DEM) (Zhang et al., 2021). SAR is of greatest utility in the tropics like Lagos where cloud cover during rainy weather reduces the efficiency of optical sensors. Its ability to penetrate clouds to acquire information regardless of weather conditions makes it possible to detect water surfaces even in the case of heavy rainfall (Ojolowo &amp; Wahab, 2021).</w:t>
      </w:r>
    </w:p>
    <w:p w14:paraId="2B3A7171" w14:textId="77777777" w:rsidR="00503F40" w:rsidRPr="00503F40" w:rsidRDefault="00503F40" w:rsidP="00503F40">
      <w:pPr>
        <w:rPr>
          <w:rFonts w:ascii="Times New Roman" w:hAnsi="Times New Roman" w:cs="Times New Roman"/>
        </w:rPr>
      </w:pPr>
      <w:r w:rsidRPr="00503F40">
        <w:rPr>
          <w:rFonts w:ascii="Times New Roman" w:hAnsi="Times New Roman" w:cs="Times New Roman"/>
        </w:rPr>
        <w:t>But the complexity of urban areas with land cover diversity such as roads, buildings, vegetation, and water bodies poses greatest challenges to conventional image classification techniques. It is here that machine learning (ML) becomes the savior. Machine learning models such as Random Forest (RF), Support Vector Machine (SVM), K-Nearest Neighbours (KNN), and Artificial Neural Networks (ANN) have been found to be extremely efficient in mapping typical patterns of big data and distinguishing between flooded and non-flooded areas using spectral, textural, and temporal information (Li et al., 2019; Samadi et al., 2022). Such models are learned from historical examples of floods and their predictions generalized to unseen places and time periods, and the operational effectiveness of the flood risk management systems is thereby improved.</w:t>
      </w:r>
    </w:p>
    <w:p w14:paraId="622539C2" w14:textId="77777777" w:rsidR="00503F40" w:rsidRDefault="00503F40" w:rsidP="00503F40">
      <w:pPr>
        <w:rPr>
          <w:rFonts w:ascii="Times New Roman" w:hAnsi="Times New Roman" w:cs="Times New Roman"/>
        </w:rPr>
      </w:pPr>
      <w:r w:rsidRPr="00503F40">
        <w:rPr>
          <w:rFonts w:ascii="Times New Roman" w:hAnsi="Times New Roman" w:cs="Times New Roman"/>
        </w:rPr>
        <w:t xml:space="preserve">Though global interest is growing on the application of ML for flood mapping, there is immense research lacuna in the area of adaptive application of such technologies to African urban environments. Lagos is a unique case: no data to work with, urban growth taking place </w:t>
      </w:r>
      <w:r w:rsidRPr="00503F40">
        <w:rPr>
          <w:rFonts w:ascii="Times New Roman" w:hAnsi="Times New Roman" w:cs="Times New Roman"/>
        </w:rPr>
        <w:lastRenderedPageBreak/>
        <w:t>informally, and landscape modification at high intensities present challenges new to modelling. Recent studies in flood mapping in Lagos are restricted in using multi-sensor and temporal data fusion, and few comparative studies have evaluated a variety of ML models in this regard critically. Apart from that, model performance also relies on sensor fusion, feature selection method, and data quality, thus comparative evaluation.</w:t>
      </w:r>
    </w:p>
    <w:p w14:paraId="3B08F7D5" w14:textId="77777777" w:rsidR="001C777A" w:rsidRPr="001C777A" w:rsidRDefault="001C777A" w:rsidP="001C777A">
      <w:pPr>
        <w:rPr>
          <w:rFonts w:ascii="Times New Roman" w:hAnsi="Times New Roman" w:cs="Times New Roman"/>
        </w:rPr>
      </w:pPr>
      <w:r w:rsidRPr="001C777A">
        <w:rPr>
          <w:rFonts w:ascii="Times New Roman" w:hAnsi="Times New Roman" w:cs="Times New Roman"/>
        </w:rPr>
        <w:t>The research will contrast the accuracy of some machine learning classifiers for identifying flood prone areas across various parts of Lagos through fusion of temporal (pre-event and post-event) and multi-sensor (SAR, optical, DEM) satellite data. The objective is to contrast the accuracy, precision, and ability to generalize such models in the identification of flooded areas and identify the best-performing algorithms and combination of features that are optimal to apply in the Lagos context. Ultimately, this study aids in crafting an efficient, large-scale, and context-specific flood mapping system that can be enacted to guide emergency response, city planning, and climate resilience for Lagos and other Sub-Saharan African cities.</w:t>
      </w:r>
    </w:p>
    <w:p w14:paraId="62186CBC" w14:textId="037F5F6B" w:rsidR="001C777A" w:rsidRPr="007C44FE" w:rsidRDefault="009C7037" w:rsidP="001C777A">
      <w:pPr>
        <w:rPr>
          <w:rFonts w:ascii="Times New Roman" w:hAnsi="Times New Roman" w:cs="Times New Roman"/>
          <w:b/>
          <w:bCs/>
        </w:rPr>
      </w:pPr>
      <w:r w:rsidRPr="007C44FE">
        <w:rPr>
          <w:rFonts w:ascii="Times New Roman" w:hAnsi="Times New Roman" w:cs="Times New Roman"/>
          <w:b/>
          <w:bCs/>
        </w:rPr>
        <w:t>Statement of the Problem</w:t>
      </w:r>
    </w:p>
    <w:p w14:paraId="5E1057A4" w14:textId="435752AB" w:rsidR="001C777A" w:rsidRPr="001C777A" w:rsidRDefault="001C777A" w:rsidP="001C777A">
      <w:pPr>
        <w:rPr>
          <w:rFonts w:ascii="Times New Roman" w:hAnsi="Times New Roman" w:cs="Times New Roman"/>
        </w:rPr>
      </w:pPr>
      <w:r w:rsidRPr="001C777A">
        <w:rPr>
          <w:rFonts w:ascii="Times New Roman" w:hAnsi="Times New Roman" w:cs="Times New Roman"/>
        </w:rPr>
        <w:t xml:space="preserve">Lagos, Nigeria, is increasingly exposed to the severe consequences of recurrent urban flooding, which will further rise due to compound action of climate change, uncontrolled urbanization, and lack of drainage infrastructure. There is no functional, timely, and scalable flood monitoring and mapping facility in the city even after repetition and frequency of the events of flooding. The majority of the existing flood hazard estimates are based on ground observation and hydrological </w:t>
      </w:r>
      <w:r w:rsidR="00FF035C" w:rsidRPr="001C777A">
        <w:rPr>
          <w:rFonts w:ascii="Times New Roman" w:hAnsi="Times New Roman" w:cs="Times New Roman"/>
        </w:rPr>
        <w:t>modelling</w:t>
      </w:r>
      <w:r w:rsidRPr="001C777A">
        <w:rPr>
          <w:rFonts w:ascii="Times New Roman" w:hAnsi="Times New Roman" w:cs="Times New Roman"/>
        </w:rPr>
        <w:t xml:space="preserve"> that are typically hampered by data unavailability, delayed reporting, and limited spatial coverage thereby not well-suited for near-real-time flood warning and response in a very dynamic urban environment such as Lagos. Remote sensing is a better option, and multi-source imagery such as Sentinel-1 and Landsat-8 have large spatial and temporal coverage. But it is also rendered challenging by conditions such as cloud cover, heterogeneity of urban surfaces, mixed land use, seasonality of water to obtain timely and accurate flood information from this multi-source imagery. Traditional image classification methods have proven to be inaccurate and rigid in such situations. Recent advances in machine learning (ML) provide the promise to bridge these gaps. Techniques like Random Forest, Support Vector Machine, and Artificial Neural Networks have recorded promising performances in flood mapping operations across the globe. Their application in Lagos has not demonstrated comprehensive assessment with multi-temporal and multi-sensor data. Second, comparative performance of the models in detecting locations of floods within highly populated and heterogeneous urban settings is not well established. There is therefore a pressing requirement to evaluate and enhance the precision of machine learning algorithms for Lagos flood mapping from fused temporal and multi-sensor satellite data. Closing this gap is as pivotal to furthering the precision of flood detection as it is to enabling disaster readiness, emergency response, and climate adaptation planning in hazard-prone cities.</w:t>
      </w:r>
    </w:p>
    <w:p w14:paraId="33FF0545" w14:textId="77777777" w:rsidR="001C777A" w:rsidRPr="007C44FE" w:rsidRDefault="001C777A" w:rsidP="001C777A">
      <w:pPr>
        <w:rPr>
          <w:rFonts w:ascii="Times New Roman" w:hAnsi="Times New Roman" w:cs="Times New Roman"/>
          <w:b/>
          <w:bCs/>
        </w:rPr>
      </w:pPr>
      <w:r w:rsidRPr="007C44FE">
        <w:rPr>
          <w:rFonts w:ascii="Times New Roman" w:hAnsi="Times New Roman" w:cs="Times New Roman"/>
          <w:b/>
          <w:bCs/>
        </w:rPr>
        <w:t>Objectives of the Study</w:t>
      </w:r>
    </w:p>
    <w:p w14:paraId="2A63FB99" w14:textId="77777777" w:rsidR="00AE7199" w:rsidRDefault="001C777A" w:rsidP="001C777A">
      <w:pPr>
        <w:rPr>
          <w:rFonts w:ascii="Times New Roman" w:hAnsi="Times New Roman" w:cs="Times New Roman"/>
        </w:rPr>
      </w:pPr>
      <w:r w:rsidRPr="001C777A">
        <w:rPr>
          <w:rFonts w:ascii="Times New Roman" w:hAnsi="Times New Roman" w:cs="Times New Roman"/>
        </w:rPr>
        <w:t xml:space="preserve">The overall objective of the current research is to evaluate the performance of some of the ML models in flood extent mapping using multi-temporal and multi-sensor satellite images, </w:t>
      </w:r>
      <w:r w:rsidRPr="001C777A">
        <w:rPr>
          <w:rFonts w:ascii="Times New Roman" w:hAnsi="Times New Roman" w:cs="Times New Roman"/>
        </w:rPr>
        <w:lastRenderedPageBreak/>
        <w:t xml:space="preserve">such as urban flood-risk areas in Lagos, Nigeria. The study intends to achieve the following: Merging and pre-processing multi-temporal Sentinel-1 (Synthetic Aperture Radar) and Landsat-8 (visible) satellite images for detecting floods in Lagos. This entails collecting, cleaning, aligning, and normalizing SAR and optical imagery for a series of sample flood events in Lagos between 2015 and 2024. Visualize and compare performance of different machine learning algorithms (for example, Random Forest, Support Vector Machine, Artificial Neural Network) to identify flood and non-flood areas. The models will all be trained and validated against label datasets that have occurred previously and are labeled according to expert annotation. Describe the effects of temporal attributes (pre-flood, during-flood, and post-flood images) on model precision and sensitivity of flood detection. </w:t>
      </w:r>
    </w:p>
    <w:p w14:paraId="4FECE8F1"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This task takes into account if multi-temporal dynamics enhancement improves flood classification above using single-date techniques. Evaluate the impact of fusion of different sensors (SAR + optical) on performance in classification against using single sensors as input. This is to unveil the benefit of fusing radar and optical in machine learning-based flood mapping. Quantitatively compare and contrast the models using the performance metrics such as accuracy, precision, recall, F1-score, and area under ROC curve (AUC). This will provide an even measure of model strengths, weaknesses, and generalization capability. Suggest deployment of machine learning-based flood mapping systems to enable early warning, urban planning, and disaster risk reduction in Lagos. Scalability, applicability, and implement ability in developing urban contexts will be accorded priority.</w:t>
      </w:r>
    </w:p>
    <w:p w14:paraId="4EB14C34" w14:textId="4F5569BC" w:rsidR="00F63D62" w:rsidRPr="00B30049" w:rsidRDefault="00BA3242" w:rsidP="00F63D62">
      <w:pPr>
        <w:rPr>
          <w:rFonts w:ascii="Times New Roman" w:hAnsi="Times New Roman" w:cs="Times New Roman"/>
          <w:b/>
          <w:bCs/>
        </w:rPr>
      </w:pPr>
      <w:r w:rsidRPr="00B30049">
        <w:rPr>
          <w:rFonts w:ascii="Times New Roman" w:hAnsi="Times New Roman" w:cs="Times New Roman"/>
          <w:b/>
          <w:bCs/>
        </w:rPr>
        <w:t>Research Question</w:t>
      </w:r>
    </w:p>
    <w:p w14:paraId="02C53AE4"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1. In what ways can the pre-, during-, and post-flood satellite data best be combined to enhance the precision of flood extent mapping in Lagos, Nigeria?</w:t>
      </w:r>
    </w:p>
    <w:p w14:paraId="6370E1B1"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2. Between the three chosen machine learning classifiers Random Forest, Support Vector Machine, and Artificial Neural Network, which one provides the best optimal flood detection when implemented on multi-temporal satellite images?</w:t>
      </w:r>
    </w:p>
    <w:p w14:paraId="7C8F2B3A"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3. To what extent does the use of temporal features enhance the performance of machine learning algorithms for the classification of floods?</w:t>
      </w:r>
    </w:p>
    <w:p w14:paraId="1B7A3E71"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4. How does the performance of flood mapping change when using single-sensor data (SAR or optical) versus fused multi-sensor data (SAR + optical)?</w:t>
      </w:r>
    </w:p>
    <w:p w14:paraId="3BBA3DF5" w14:textId="33C91CA6" w:rsidR="00F63D62" w:rsidRPr="00F63D62" w:rsidRDefault="00F63D62" w:rsidP="00F63D62">
      <w:pPr>
        <w:rPr>
          <w:rFonts w:ascii="Times New Roman" w:hAnsi="Times New Roman" w:cs="Times New Roman"/>
        </w:rPr>
      </w:pPr>
      <w:r w:rsidRPr="00F63D62">
        <w:rPr>
          <w:rFonts w:ascii="Times New Roman" w:hAnsi="Times New Roman" w:cs="Times New Roman"/>
        </w:rPr>
        <w:t xml:space="preserve">5. How did the performance of machine learning models </w:t>
      </w:r>
      <w:r w:rsidR="00671F9A" w:rsidRPr="00F63D62">
        <w:rPr>
          <w:rFonts w:ascii="Times New Roman" w:hAnsi="Times New Roman" w:cs="Times New Roman"/>
        </w:rPr>
        <w:t>differ</w:t>
      </w:r>
      <w:r w:rsidRPr="00F63D62">
        <w:rPr>
          <w:rFonts w:ascii="Times New Roman" w:hAnsi="Times New Roman" w:cs="Times New Roman"/>
        </w:rPr>
        <w:t xml:space="preserve"> in terms of primary classification metrics (accuracy, precision, recall, F1-score) in urban vs. peri-urban Lagos?</w:t>
      </w:r>
    </w:p>
    <w:p w14:paraId="72E7AFBA"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6. What are the real-world implications of using ML-based remote sensing models for real-time flood monitoring and risk reduction in Lagos, Nigeria?</w:t>
      </w:r>
    </w:p>
    <w:p w14:paraId="5B00184D" w14:textId="1ADB6BEC" w:rsidR="00F63D62" w:rsidRPr="007C44FE" w:rsidRDefault="007C44FE" w:rsidP="00F63D62">
      <w:pPr>
        <w:rPr>
          <w:rFonts w:ascii="Times New Roman" w:hAnsi="Times New Roman" w:cs="Times New Roman"/>
          <w:b/>
          <w:bCs/>
        </w:rPr>
      </w:pPr>
      <w:r w:rsidRPr="007C44FE">
        <w:rPr>
          <w:rFonts w:ascii="Times New Roman" w:hAnsi="Times New Roman" w:cs="Times New Roman"/>
          <w:b/>
          <w:bCs/>
        </w:rPr>
        <w:t xml:space="preserve">Review </w:t>
      </w:r>
      <w:r>
        <w:rPr>
          <w:rFonts w:ascii="Times New Roman" w:hAnsi="Times New Roman" w:cs="Times New Roman"/>
          <w:b/>
          <w:bCs/>
        </w:rPr>
        <w:t>o</w:t>
      </w:r>
      <w:r w:rsidRPr="007C44FE">
        <w:rPr>
          <w:rFonts w:ascii="Times New Roman" w:hAnsi="Times New Roman" w:cs="Times New Roman"/>
          <w:b/>
          <w:bCs/>
        </w:rPr>
        <w:t>f Related Literature</w:t>
      </w:r>
    </w:p>
    <w:p w14:paraId="2DB13151"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 xml:space="preserve">Flood risk has been among the most significant environmental concerns of the 21st century, especially in rapidly developing and low-lying coastal urban areas. The literature focusing on flood mapping has grown remarkably comprehensive in recent times to facilitate the </w:t>
      </w:r>
      <w:r w:rsidRPr="00F63D62">
        <w:rPr>
          <w:rFonts w:ascii="Times New Roman" w:hAnsi="Times New Roman" w:cs="Times New Roman"/>
        </w:rPr>
        <w:lastRenderedPageBreak/>
        <w:t>necessity for timely, cost-effective, and mass-produceable mechanisms for monitoring and curbing the impacts of flooding. With the improvement of remote sensing and machine learning tools, researchers have devised many methods to improve spatial and temporal accuracy in flood extent mapping and detection of floods.</w:t>
      </w:r>
    </w:p>
    <w:p w14:paraId="01BDC71F" w14:textId="77777777" w:rsidR="00F63D62" w:rsidRPr="00F63D62" w:rsidRDefault="00F63D62" w:rsidP="00F63D62">
      <w:pPr>
        <w:rPr>
          <w:rFonts w:ascii="Times New Roman" w:hAnsi="Times New Roman" w:cs="Times New Roman"/>
        </w:rPr>
      </w:pPr>
      <w:r w:rsidRPr="00F63D62">
        <w:rPr>
          <w:rFonts w:ascii="Times New Roman" w:hAnsi="Times New Roman" w:cs="Times New Roman"/>
        </w:rPr>
        <w:t>Legacy Techniques and Limitations</w:t>
      </w:r>
    </w:p>
    <w:p w14:paraId="688CA9CE" w14:textId="77777777" w:rsidR="00F63D62" w:rsidRDefault="00F63D62" w:rsidP="00F63D62">
      <w:pPr>
        <w:rPr>
          <w:rFonts w:ascii="Times New Roman" w:hAnsi="Times New Roman" w:cs="Times New Roman"/>
        </w:rPr>
      </w:pPr>
      <w:r w:rsidRPr="00F63D62">
        <w:rPr>
          <w:rFonts w:ascii="Times New Roman" w:hAnsi="Times New Roman" w:cs="Times New Roman"/>
        </w:rPr>
        <w:t>Historically, flood extent maps were derived from hydrologic and hydraulic models using rain, river gauge, and topography data (Horritt &amp; Bates, 2002). Physically strong as they might be, such models would rely primarily on extensive in-situ data and high-resolution topography, which in most cities generally and particularly in the developing world like Nigeria do not exist or are antiquated (Adelekan, 2016). These methods also cannot track real-time adaptation to dynamically changing flood conditions and are computationally intensive.</w:t>
      </w:r>
    </w:p>
    <w:p w14:paraId="0D362C28" w14:textId="1DCB9FA8" w:rsidR="00BF2D24" w:rsidRPr="00F63D62" w:rsidRDefault="00BF2D24" w:rsidP="00F63D62">
      <w:pPr>
        <w:rPr>
          <w:rFonts w:ascii="Times New Roman" w:hAnsi="Times New Roman" w:cs="Times New Roman"/>
        </w:rPr>
      </w:pPr>
      <w:r>
        <w:rPr>
          <w:noProof/>
        </w:rPr>
        <w:drawing>
          <wp:inline distT="0" distB="0" distL="0" distR="0" wp14:anchorId="4FCE4EA5" wp14:editId="625FC70C">
            <wp:extent cx="4943959" cy="1600200"/>
            <wp:effectExtent l="0" t="0" r="9525" b="0"/>
            <wp:docPr id="6629040" name="Picture 5" descr="Flood in Nigeria: Goment list states wey go experience heav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ood in Nigeria: Goment list states wey go experience heavy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3959" cy="1600200"/>
                    </a:xfrm>
                    <a:prstGeom prst="rect">
                      <a:avLst/>
                    </a:prstGeom>
                    <a:noFill/>
                    <a:ln>
                      <a:noFill/>
                    </a:ln>
                  </pic:spPr>
                </pic:pic>
              </a:graphicData>
            </a:graphic>
          </wp:inline>
        </w:drawing>
      </w:r>
    </w:p>
    <w:p w14:paraId="4ACEFD4B" w14:textId="6179A00C" w:rsidR="001A5859" w:rsidRDefault="001A5859" w:rsidP="00F63D62">
      <w:pPr>
        <w:rPr>
          <w:rFonts w:ascii="Times New Roman" w:hAnsi="Times New Roman" w:cs="Times New Roman"/>
          <w:b/>
          <w:bCs/>
        </w:rPr>
      </w:pPr>
      <w:r>
        <w:rPr>
          <w:rFonts w:ascii="Times New Roman" w:hAnsi="Times New Roman" w:cs="Times New Roman"/>
          <w:b/>
          <w:bCs/>
        </w:rPr>
        <w:t>Figure 1 flooded area in Lagos State.</w:t>
      </w:r>
    </w:p>
    <w:p w14:paraId="775B30DB" w14:textId="52FCE44B" w:rsidR="00F63D62" w:rsidRPr="007C44FE" w:rsidRDefault="00F63D62" w:rsidP="00F63D62">
      <w:pPr>
        <w:rPr>
          <w:rFonts w:ascii="Times New Roman" w:hAnsi="Times New Roman" w:cs="Times New Roman"/>
          <w:b/>
          <w:bCs/>
        </w:rPr>
      </w:pPr>
      <w:r w:rsidRPr="007C44FE">
        <w:rPr>
          <w:rFonts w:ascii="Times New Roman" w:hAnsi="Times New Roman" w:cs="Times New Roman"/>
          <w:b/>
          <w:bCs/>
        </w:rPr>
        <w:t>Remote Sensing Advances in Flood Mapping</w:t>
      </w:r>
    </w:p>
    <w:p w14:paraId="44615913" w14:textId="77777777" w:rsidR="00925131" w:rsidRDefault="00F63D62" w:rsidP="00F63D62">
      <w:pPr>
        <w:rPr>
          <w:rFonts w:ascii="Times New Roman" w:hAnsi="Times New Roman" w:cs="Times New Roman"/>
        </w:rPr>
      </w:pPr>
      <w:r w:rsidRPr="00F63D62">
        <w:rPr>
          <w:rFonts w:ascii="Times New Roman" w:hAnsi="Times New Roman" w:cs="Times New Roman"/>
        </w:rPr>
        <w:t>Satellite remote sensing has emerged as a workable approach to detecting floods since it has the capability to make multiple measurements on a large spatial extent at regular intervals. Landsat-8 and Sentinel-2 are two optical satellites that have been utilized for mapping floods' extent based on reflectance values and spectral indices like Normalized Difference Water Index (NDWI) and Modified NDWI (MNDWI) (Ouma &amp; Tateishi, 2014). However, climatic conditions and cloud cover during flooding are highly inhibitive to the use of optical sensors.</w:t>
      </w:r>
    </w:p>
    <w:p w14:paraId="0D1FB712"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To offset this constraint, scientists can use Synthetic Aperture Radar (SAR) images obtained from satellites like Sentinel-1, which have the ability to see through clouds and can be used irrespective of the presence of sunlight. SAR-based flood mapping, according to Mason et al. (2021) and Chini et al. (2017), works very well for urban regions and during monsoon months, although SAR observations are noisy and need high-level preprocessing.</w:t>
      </w:r>
    </w:p>
    <w:p w14:paraId="14BEF8B2" w14:textId="77777777" w:rsidR="00E411C3" w:rsidRPr="007C44FE" w:rsidRDefault="00E411C3" w:rsidP="00E411C3">
      <w:pPr>
        <w:rPr>
          <w:rFonts w:ascii="Times New Roman" w:hAnsi="Times New Roman" w:cs="Times New Roman"/>
          <w:b/>
          <w:bCs/>
        </w:rPr>
      </w:pPr>
      <w:r w:rsidRPr="007C44FE">
        <w:rPr>
          <w:rFonts w:ascii="Times New Roman" w:hAnsi="Times New Roman" w:cs="Times New Roman"/>
          <w:b/>
          <w:bCs/>
        </w:rPr>
        <w:t>Multi-Temporal and Multi-Sensor Data Fusion</w:t>
      </w:r>
    </w:p>
    <w:p w14:paraId="7D577F41"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 xml:space="preserve">The fusion of SAR and optical data ensures better flood detection based on the combined advantage of weather independence of SAR and high-resolution land surface data of optical sensors. Multi-sensor data fusion has proved to enhance classification accuracy, particularly with multi-temporal data fusion for pre-, during-, and post-flood change detection (Zhang et al., 2019). For example, studies in Bangladesh, China, and Southeast Asia all verify the </w:t>
      </w:r>
      <w:r w:rsidRPr="00E411C3">
        <w:rPr>
          <w:rFonts w:ascii="Times New Roman" w:hAnsi="Times New Roman" w:cs="Times New Roman"/>
        </w:rPr>
        <w:lastRenderedPageBreak/>
        <w:t>merging of multi-temporal Sentinel-1 and Landsat information as more accurate to delineate flood, especially over vegetation cover or urban areas (Li et al., 2022).</w:t>
      </w:r>
    </w:p>
    <w:p w14:paraId="20B9E277"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Few of them implemented them in their research in Nigeria. Nkwunonwo et al. (2020) also suggested the need for more spatial flood intelligence systems in Lagos because data at local levels is not available and real-time potential is not presented. Remote sensing capability is developing, but still not solved is a knowledge gap regarding best machine learning pipelines with temporal and multi-sensor data in African cities.</w:t>
      </w:r>
    </w:p>
    <w:p w14:paraId="1631C0D5" w14:textId="77777777" w:rsidR="00E411C3" w:rsidRPr="007C44FE" w:rsidRDefault="00E411C3" w:rsidP="00E411C3">
      <w:pPr>
        <w:rPr>
          <w:rFonts w:ascii="Times New Roman" w:hAnsi="Times New Roman" w:cs="Times New Roman"/>
          <w:b/>
          <w:bCs/>
        </w:rPr>
      </w:pPr>
      <w:r w:rsidRPr="007C44FE">
        <w:rPr>
          <w:rFonts w:ascii="Times New Roman" w:hAnsi="Times New Roman" w:cs="Times New Roman"/>
          <w:b/>
          <w:bCs/>
        </w:rPr>
        <w:t>Machine Learning for Flood Mapping</w:t>
      </w:r>
    </w:p>
    <w:p w14:paraId="0DBF5771" w14:textId="2027CCB7" w:rsidR="00E411C3" w:rsidRPr="00E411C3" w:rsidRDefault="00E411C3" w:rsidP="00E411C3">
      <w:pPr>
        <w:rPr>
          <w:rFonts w:ascii="Times New Roman" w:hAnsi="Times New Roman" w:cs="Times New Roman"/>
        </w:rPr>
      </w:pPr>
      <w:r w:rsidRPr="00E411C3">
        <w:rPr>
          <w:rFonts w:ascii="Times New Roman" w:hAnsi="Times New Roman" w:cs="Times New Roman"/>
        </w:rPr>
        <w:t xml:space="preserve">Machine learning (ML) revolutionized remote sensing due to the strength of automated data-driven image classification. Random Forest (RF), Support Vector Machine (SVM), and Artificial Neural Networks (ANN) are most widely used for flood mapping since they are capable of handling high-dimensional, non-linear relationships (Twele et al., 2016; Martinez-Sanchez et al., 2020). RF has been used since it is stable and involves lesser parameter tuning, while SVM is capable of finding complex classes with the help of kernel functions. ANN and deep learning methods have been used with appropriate accuracy but are more likely to require humongous </w:t>
      </w:r>
      <w:r w:rsidR="004A4E55" w:rsidRPr="00E411C3">
        <w:rPr>
          <w:rFonts w:ascii="Times New Roman" w:hAnsi="Times New Roman" w:cs="Times New Roman"/>
        </w:rPr>
        <w:t>labelled</w:t>
      </w:r>
      <w:r w:rsidRPr="00E411C3">
        <w:rPr>
          <w:rFonts w:ascii="Times New Roman" w:hAnsi="Times New Roman" w:cs="Times New Roman"/>
        </w:rPr>
        <w:t xml:space="preserve"> data and processing resources.</w:t>
      </w:r>
    </w:p>
    <w:p w14:paraId="008A360A"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Comparative comparisons among the ML models of flood mapping have been compared by a root number. For example, Li et al. (2022) proved that a CNN model was superior to RF and SVM in Southeast Asia using SAR-optical fusion inputs. Model performance is context- and land cover heterogeneity-dependent, sensor quality, as well as data preprocessing methods. Lagos contains mixed land cover heterogeneity and high-density informal settlements and issues are rather evident.</w:t>
      </w:r>
    </w:p>
    <w:p w14:paraId="5147C2A6" w14:textId="77777777" w:rsidR="00E411C3" w:rsidRPr="00CF11CE" w:rsidRDefault="00E411C3" w:rsidP="00E411C3">
      <w:pPr>
        <w:rPr>
          <w:rFonts w:ascii="Times New Roman" w:hAnsi="Times New Roman" w:cs="Times New Roman"/>
          <w:b/>
          <w:bCs/>
        </w:rPr>
      </w:pPr>
      <w:r w:rsidRPr="00CF11CE">
        <w:rPr>
          <w:rFonts w:ascii="Times New Roman" w:hAnsi="Times New Roman" w:cs="Times New Roman"/>
          <w:b/>
          <w:bCs/>
        </w:rPr>
        <w:t>Flood Mapping</w:t>
      </w:r>
    </w:p>
    <w:p w14:paraId="490329CE"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Flood mapping is the process of finding, mapping, and defining the spatial extent of flooded regions, remote sensing and geospatial capacity in most cases being employed for supporting disaster management and urban planning (Di Baldassarre et al., 2019).</w:t>
      </w:r>
    </w:p>
    <w:p w14:paraId="19679E6D"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Machine Learning</w:t>
      </w:r>
    </w:p>
    <w:p w14:paraId="3735863A" w14:textId="77777777" w:rsidR="00E411C3" w:rsidRPr="00E411C3" w:rsidRDefault="00E411C3" w:rsidP="00E411C3">
      <w:pPr>
        <w:rPr>
          <w:rFonts w:ascii="Times New Roman" w:hAnsi="Times New Roman" w:cs="Times New Roman"/>
        </w:rPr>
      </w:pPr>
      <w:r w:rsidRPr="00E411C3">
        <w:rPr>
          <w:rFonts w:ascii="Times New Roman" w:hAnsi="Times New Roman" w:cs="Times New Roman"/>
        </w:rPr>
        <w:t>Machine learning (ML) is a byproduct of artificial intelligence (AI) where computer programs are able to learn from example data and increase the accuracy of prediction or classification without explicit programming (Goodfellow et al., 2016). Flooded and non-flooded zones are identified with the help of ML algorithms that are trained in flood mapping on the basis of satellite-extracted features. There is no clear agreement as to which machine learning method should be employed in flood Estimation and Evaluation, as per Confidence Adimchi Chinonyerem, et al (2024).</w:t>
      </w:r>
    </w:p>
    <w:p w14:paraId="3957D129" w14:textId="77777777" w:rsidR="00092A91" w:rsidRDefault="00E411C3" w:rsidP="00E411C3">
      <w:pPr>
        <w:rPr>
          <w:rFonts w:ascii="Times New Roman" w:hAnsi="Times New Roman" w:cs="Times New Roman"/>
        </w:rPr>
      </w:pPr>
      <w:r w:rsidRPr="00E411C3">
        <w:rPr>
          <w:rFonts w:ascii="Times New Roman" w:hAnsi="Times New Roman" w:cs="Times New Roman"/>
        </w:rPr>
        <w:t>Therefore, novel methods, typically an ensemble of various algorithms, are typically considered. Machine learning model scientists for flood Estimation and Evaluation have employed more hybrid models than single or standalone models in the past decade. Hybrid models are complementary in terms of their strengths and weaknesses.</w:t>
      </w:r>
    </w:p>
    <w:p w14:paraId="6905AC6B" w14:textId="77777777" w:rsidR="00CE37CA" w:rsidRPr="00CE37CA" w:rsidRDefault="00CE37CA" w:rsidP="00CE37CA">
      <w:pPr>
        <w:rPr>
          <w:rFonts w:ascii="Times New Roman" w:hAnsi="Times New Roman" w:cs="Times New Roman"/>
          <w:b/>
          <w:bCs/>
        </w:rPr>
      </w:pPr>
      <w:r w:rsidRPr="00CE37CA">
        <w:rPr>
          <w:rFonts w:ascii="Times New Roman" w:hAnsi="Times New Roman" w:cs="Times New Roman"/>
          <w:b/>
          <w:bCs/>
        </w:rPr>
        <w:lastRenderedPageBreak/>
        <w:t>Remote Sensing</w:t>
      </w:r>
    </w:p>
    <w:p w14:paraId="19B46F1F"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Remote sensing is the technology of obtaining information about objects or areas at a distance using, for instance, satellite or airborne sensors to collect data about the Earth surface (Campbell &amp; Wynne, 2011). Remote sensing is an important tool in estimating the extent of floods in wide and inaccessible areas.</w:t>
      </w:r>
    </w:p>
    <w:p w14:paraId="3A17C178" w14:textId="77777777" w:rsidR="00CE37CA" w:rsidRPr="00CF11CE" w:rsidRDefault="00CE37CA" w:rsidP="00CE37CA">
      <w:pPr>
        <w:rPr>
          <w:rFonts w:ascii="Times New Roman" w:hAnsi="Times New Roman" w:cs="Times New Roman"/>
          <w:b/>
          <w:bCs/>
        </w:rPr>
      </w:pPr>
      <w:r w:rsidRPr="00CF11CE">
        <w:rPr>
          <w:rFonts w:ascii="Times New Roman" w:hAnsi="Times New Roman" w:cs="Times New Roman"/>
          <w:b/>
          <w:bCs/>
        </w:rPr>
        <w:t>Temporal Satellite Data</w:t>
      </w:r>
    </w:p>
    <w:p w14:paraId="3C65DDD4"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Temporal satellite imagery refers to images captured across different time intervals (e.g., pre-flood, flood, post-flood) and applied in change detection and dynamic monitoring of floods (Huang et al., 2018).</w:t>
      </w:r>
    </w:p>
    <w:p w14:paraId="2AFBE190" w14:textId="77777777" w:rsidR="00CE37CA" w:rsidRPr="00C75F9C" w:rsidRDefault="00CE37CA" w:rsidP="00CE37CA">
      <w:pPr>
        <w:rPr>
          <w:rFonts w:ascii="Times New Roman" w:hAnsi="Times New Roman" w:cs="Times New Roman"/>
          <w:b/>
          <w:bCs/>
        </w:rPr>
      </w:pPr>
      <w:r w:rsidRPr="00C75F9C">
        <w:rPr>
          <w:rFonts w:ascii="Times New Roman" w:hAnsi="Times New Roman" w:cs="Times New Roman"/>
          <w:b/>
          <w:bCs/>
        </w:rPr>
        <w:t>Multi-Sensor Data Fusion</w:t>
      </w:r>
    </w:p>
    <w:p w14:paraId="1C091919" w14:textId="0C5F24CE" w:rsidR="00CE37CA" w:rsidRPr="00FC56FA" w:rsidRDefault="00CE37CA" w:rsidP="00CE37CA">
      <w:pPr>
        <w:rPr>
          <w:rFonts w:ascii="Times New Roman" w:hAnsi="Times New Roman" w:cs="Times New Roman"/>
        </w:rPr>
      </w:pPr>
      <w:r w:rsidRPr="00FC56FA">
        <w:rPr>
          <w:rFonts w:ascii="Times New Roman" w:hAnsi="Times New Roman" w:cs="Times New Roman"/>
        </w:rPr>
        <w:t xml:space="preserve">Multi-sensor data fusion (e.g., SAR and optical) is included to enhance better interpretation of the images and more reliable classification. It improves the credibility of urban or vegetation region flood detection </w:t>
      </w:r>
      <w:r w:rsidR="00EB4C71" w:rsidRPr="00EB4C71">
        <w:rPr>
          <w:rFonts w:ascii="Times New Roman" w:hAnsi="Times New Roman" w:cs="Times New Roman"/>
        </w:rPr>
        <w:t>(Lang et al., 2024</w:t>
      </w:r>
      <w:r w:rsidR="00EB4C71">
        <w:rPr>
          <w:rFonts w:ascii="Times New Roman" w:hAnsi="Times New Roman" w:cs="Times New Roman"/>
        </w:rPr>
        <w:t>).</w:t>
      </w:r>
    </w:p>
    <w:p w14:paraId="24148802" w14:textId="77777777" w:rsidR="00CE37CA" w:rsidRPr="00C75F9C" w:rsidRDefault="00CE37CA" w:rsidP="00CE37CA">
      <w:pPr>
        <w:rPr>
          <w:rFonts w:ascii="Times New Roman" w:hAnsi="Times New Roman" w:cs="Times New Roman"/>
          <w:b/>
          <w:bCs/>
        </w:rPr>
      </w:pPr>
      <w:r w:rsidRPr="00C75F9C">
        <w:rPr>
          <w:rFonts w:ascii="Times New Roman" w:hAnsi="Times New Roman" w:cs="Times New Roman"/>
          <w:b/>
          <w:bCs/>
        </w:rPr>
        <w:t>Synthetic Aperture Radar (SAR)</w:t>
      </w:r>
    </w:p>
    <w:p w14:paraId="42B289D8"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SAR is a high-energy remote sensing method that employs microwave radiation to quantify surface characteristics regardless of climate or day-night illumination and is highly suitable for flood mapping during rainy or cloudy weather (Mason et al., 2021). Optical Imagery. Satellite images taken in the visible, near-infrared, and shortwave infrared portion of the electromagnetic spectrum are termed as optical imagery. It is mainly used for water surface and land surface mapping but becomes cloud cover sensitive during floods (Zhang et al., 2019).</w:t>
      </w:r>
    </w:p>
    <w:p w14:paraId="565F0A7E" w14:textId="77777777" w:rsidR="00CE37CA" w:rsidRPr="00C75F9C" w:rsidRDefault="00CE37CA" w:rsidP="00CE37CA">
      <w:pPr>
        <w:rPr>
          <w:rFonts w:ascii="Times New Roman" w:hAnsi="Times New Roman" w:cs="Times New Roman"/>
          <w:b/>
          <w:bCs/>
        </w:rPr>
      </w:pPr>
      <w:r w:rsidRPr="00C75F9C">
        <w:rPr>
          <w:rFonts w:ascii="Times New Roman" w:hAnsi="Times New Roman" w:cs="Times New Roman"/>
          <w:b/>
          <w:bCs/>
        </w:rPr>
        <w:t>Random Forest (RF)</w:t>
      </w:r>
    </w:p>
    <w:p w14:paraId="17227A9D"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Random Forest is ensemble machine learning technique that generates many decision trees and averages their prediction in an attempt to achieve maximum predictive power. It is most suitable for remote sensing classification processes, e.g., flood detection (Breiman, 2001; Twele et al., 2016).</w:t>
      </w:r>
    </w:p>
    <w:p w14:paraId="20C68FA9" w14:textId="77777777" w:rsidR="00CE37CA" w:rsidRPr="00C75F9C" w:rsidRDefault="00CE37CA" w:rsidP="00CE37CA">
      <w:pPr>
        <w:rPr>
          <w:rFonts w:ascii="Times New Roman" w:hAnsi="Times New Roman" w:cs="Times New Roman"/>
          <w:b/>
          <w:bCs/>
        </w:rPr>
      </w:pPr>
      <w:r w:rsidRPr="00C75F9C">
        <w:rPr>
          <w:rFonts w:ascii="Times New Roman" w:hAnsi="Times New Roman" w:cs="Times New Roman"/>
          <w:b/>
          <w:bCs/>
        </w:rPr>
        <w:t>Support Vector Machine (SVM)</w:t>
      </w:r>
    </w:p>
    <w:p w14:paraId="7C8209D4"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SVM is a supervised learning algorithm of machine learning which categorizes data into multiple classes based on the best hyperplane. SVM was successfully used in binary land classification of flooded and dry lands for remote sensing (Martinez-Sanchez et al., 2020).</w:t>
      </w:r>
    </w:p>
    <w:p w14:paraId="23BFF624" w14:textId="77777777" w:rsidR="00CE37CA" w:rsidRPr="00C75F9C" w:rsidRDefault="00CE37CA" w:rsidP="00CE37CA">
      <w:pPr>
        <w:rPr>
          <w:rFonts w:ascii="Times New Roman" w:hAnsi="Times New Roman" w:cs="Times New Roman"/>
          <w:b/>
          <w:bCs/>
        </w:rPr>
      </w:pPr>
      <w:r w:rsidRPr="00C75F9C">
        <w:rPr>
          <w:rFonts w:ascii="Times New Roman" w:hAnsi="Times New Roman" w:cs="Times New Roman"/>
          <w:b/>
          <w:bCs/>
        </w:rPr>
        <w:t>Artificial Neural Network (ANN)</w:t>
      </w:r>
    </w:p>
    <w:p w14:paraId="16527AC1"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ANN is an artificial intelligence algorithm that simulates the human brain in learning data using interrelated neurons. ANNs can provide non-linear representations in complex flood mapping problems (Li et al., 2022).</w:t>
      </w:r>
    </w:p>
    <w:p w14:paraId="753BF003" w14:textId="77777777" w:rsidR="00CE37CA" w:rsidRPr="00915357" w:rsidRDefault="00CE37CA" w:rsidP="00CE37CA">
      <w:pPr>
        <w:rPr>
          <w:rFonts w:ascii="Times New Roman" w:hAnsi="Times New Roman" w:cs="Times New Roman"/>
          <w:b/>
          <w:bCs/>
        </w:rPr>
      </w:pPr>
      <w:r w:rsidRPr="00915357">
        <w:rPr>
          <w:rFonts w:ascii="Times New Roman" w:hAnsi="Times New Roman" w:cs="Times New Roman"/>
          <w:b/>
          <w:bCs/>
        </w:rPr>
        <w:t>Landsat-8</w:t>
      </w:r>
    </w:p>
    <w:p w14:paraId="1773A23F"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lastRenderedPageBreak/>
        <w:t>Landsat-8 is an earth observation optical satellite with high spatial resolution suitable for environmental monitoring purposes, e.g., flooding area and surface water (U.S. Geological Survey, 2023).</w:t>
      </w:r>
    </w:p>
    <w:p w14:paraId="4A2407CE" w14:textId="77777777" w:rsidR="00CE37CA" w:rsidRPr="00CF17EF" w:rsidRDefault="00CE37CA" w:rsidP="00CE37CA">
      <w:pPr>
        <w:rPr>
          <w:rFonts w:ascii="Times New Roman" w:hAnsi="Times New Roman" w:cs="Times New Roman"/>
          <w:b/>
          <w:bCs/>
        </w:rPr>
      </w:pPr>
      <w:r w:rsidRPr="00CF17EF">
        <w:rPr>
          <w:rFonts w:ascii="Times New Roman" w:hAnsi="Times New Roman" w:cs="Times New Roman"/>
          <w:b/>
          <w:bCs/>
        </w:rPr>
        <w:t>Sentinel-1</w:t>
      </w:r>
    </w:p>
    <w:p w14:paraId="634C3729"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Sentinel-1 is an SAR-capable satellite in the European Copernicus mission. Sentinel-1 provides repeated, cloud-penetrating radar imagery that is commonly used in flood detection and disaster management (ESA, 2021).</w:t>
      </w:r>
    </w:p>
    <w:p w14:paraId="09D054F8" w14:textId="77777777" w:rsidR="00CE37CA" w:rsidRPr="00FC56FA" w:rsidRDefault="00CE37CA" w:rsidP="00CE37CA">
      <w:pPr>
        <w:rPr>
          <w:rFonts w:ascii="Times New Roman" w:hAnsi="Times New Roman" w:cs="Times New Roman"/>
          <w:b/>
          <w:bCs/>
        </w:rPr>
      </w:pPr>
      <w:r w:rsidRPr="00FC56FA">
        <w:rPr>
          <w:rFonts w:ascii="Times New Roman" w:hAnsi="Times New Roman" w:cs="Times New Roman"/>
          <w:b/>
          <w:bCs/>
        </w:rPr>
        <w:t>Urban Flooding</w:t>
      </w:r>
    </w:p>
    <w:p w14:paraId="18586445"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Urban flooding refers to spilling over of ground in urban areas caused by rain, clogged drains, or overflow of water bodies often aggravated by hard surface conditions and lack of infrastructure (Douglas et al., 2008).</w:t>
      </w:r>
    </w:p>
    <w:p w14:paraId="120B6B0F" w14:textId="77777777" w:rsidR="00CE37CA" w:rsidRPr="00FC56FA" w:rsidRDefault="00CE37CA" w:rsidP="00CE37CA">
      <w:pPr>
        <w:rPr>
          <w:rFonts w:ascii="Times New Roman" w:hAnsi="Times New Roman" w:cs="Times New Roman"/>
          <w:b/>
          <w:bCs/>
        </w:rPr>
      </w:pPr>
      <w:r w:rsidRPr="00FC56FA">
        <w:rPr>
          <w:rFonts w:ascii="Times New Roman" w:hAnsi="Times New Roman" w:cs="Times New Roman"/>
          <w:b/>
          <w:bCs/>
        </w:rPr>
        <w:t>Disaster Risk Management</w:t>
      </w:r>
    </w:p>
    <w:p w14:paraId="5B16D692" w14:textId="77777777" w:rsidR="00CE37CA" w:rsidRPr="00FC56FA" w:rsidRDefault="00CE37CA" w:rsidP="00CE37CA">
      <w:pPr>
        <w:rPr>
          <w:rFonts w:ascii="Times New Roman" w:hAnsi="Times New Roman" w:cs="Times New Roman"/>
        </w:rPr>
      </w:pPr>
      <w:r w:rsidRPr="00FC56FA">
        <w:rPr>
          <w:rFonts w:ascii="Times New Roman" w:hAnsi="Times New Roman" w:cs="Times New Roman"/>
        </w:rPr>
        <w:t>Disaster Risk Management (DRM) is the systematic process of discovering, quantifying, and lessening disaster risks. Flood mapping aids DRM by helping guide readiness and mitigation efforts (UNDRR, 2019).</w:t>
      </w:r>
    </w:p>
    <w:p w14:paraId="16327AC1" w14:textId="77777777" w:rsidR="00CE37CA" w:rsidRPr="00FC56FA" w:rsidRDefault="00CE37CA" w:rsidP="00CE37CA">
      <w:pPr>
        <w:rPr>
          <w:rFonts w:ascii="Times New Roman" w:hAnsi="Times New Roman" w:cs="Times New Roman"/>
          <w:b/>
          <w:bCs/>
        </w:rPr>
      </w:pPr>
      <w:r w:rsidRPr="00FC56FA">
        <w:rPr>
          <w:rFonts w:ascii="Times New Roman" w:hAnsi="Times New Roman" w:cs="Times New Roman"/>
          <w:b/>
          <w:bCs/>
        </w:rPr>
        <w:t>Flood Detection Factor</w:t>
      </w:r>
    </w:p>
    <w:p w14:paraId="3EC326D4" w14:textId="77777777" w:rsidR="004A2F65" w:rsidRDefault="00CE37CA" w:rsidP="00CE37CA">
      <w:pPr>
        <w:rPr>
          <w:rFonts w:ascii="Times New Roman" w:hAnsi="Times New Roman" w:cs="Times New Roman"/>
        </w:rPr>
      </w:pPr>
      <w:r w:rsidRPr="00FC56FA">
        <w:rPr>
          <w:rFonts w:ascii="Times New Roman" w:hAnsi="Times New Roman" w:cs="Times New Roman"/>
        </w:rPr>
        <w:t>Throughout the world, floods are the most common risk among all natural disasters. Floods are reported to affect around 200 million people every year and thereby making them to be the most economically destructive and lethal natural disaster.</w:t>
      </w:r>
    </w:p>
    <w:p w14:paraId="2DE8AF74" w14:textId="77777777" w:rsidR="007D40B1" w:rsidRPr="007D40B1" w:rsidRDefault="007D40B1" w:rsidP="007D40B1">
      <w:pPr>
        <w:rPr>
          <w:rFonts w:ascii="Times New Roman" w:hAnsi="Times New Roman" w:cs="Times New Roman"/>
        </w:rPr>
      </w:pPr>
      <w:r w:rsidRPr="007D40B1">
        <w:rPr>
          <w:rFonts w:ascii="Times New Roman" w:hAnsi="Times New Roman" w:cs="Times New Roman"/>
        </w:rPr>
        <w:t>Assessment of Machine Learning Models for Flood Prediction</w:t>
      </w:r>
    </w:p>
    <w:p w14:paraId="5D611447" w14:textId="10F6238F" w:rsidR="007D40B1" w:rsidRPr="007D40B1" w:rsidRDefault="007D40B1" w:rsidP="007D40B1">
      <w:pPr>
        <w:rPr>
          <w:rFonts w:ascii="Times New Roman" w:hAnsi="Times New Roman" w:cs="Times New Roman"/>
        </w:rPr>
      </w:pPr>
      <w:r w:rsidRPr="007D40B1">
        <w:rPr>
          <w:rFonts w:ascii="Times New Roman" w:hAnsi="Times New Roman" w:cs="Times New Roman"/>
        </w:rPr>
        <w:t>Flood prediction has progressed from completely physics-driven hydrological models to data-driven models utilizing machine learning (ML) algorithms to predict the occurrence, extent, and severity of floods. The development has been motivated by the rising volume of multi-temporal remote sensing imagery, advances in computer power, and demand for quick, scalable prediction frameworks for flood-risk areas (Mosavi et al., 2018). Unlike traditional models, which heavily depend on hydrodynamic simulation and need proper calibration, ML models learn non-linear, complex relationships between predictor variables and flood occurrences from past observations and thus are capable of adjusting to new environmental conditions (Pham et al., 2021).</w:t>
      </w:r>
      <w:r>
        <w:rPr>
          <w:rFonts w:ascii="Times New Roman" w:hAnsi="Times New Roman" w:cs="Times New Roman"/>
        </w:rPr>
        <w:t xml:space="preserve"> </w:t>
      </w:r>
      <w:r w:rsidRPr="007D40B1">
        <w:rPr>
          <w:rFonts w:ascii="Times New Roman" w:hAnsi="Times New Roman" w:cs="Times New Roman"/>
        </w:rPr>
        <w:t>Various supervised learning methods have been used in flood forecasting, each with their own advantages and limitations. Random Forest (RF), a decision tree ensemble model, is one of the overfitting-immune models and is capable of dealing with heterogeneous data sets (Li et al., 2019). RF has been effectively employed to predict floods both with the use of in-situ hydrological data and satellite data-based variables, and it has high accuracy for identifying areas prone to floods (Shen et al., 2019). Equally, Support Vector Machines (SVM) have found their application in flood susceptibility mapping in compound terrain because they operate best in high-dimensional feature spaces and can manage small training sets (Tehrany et al., 2019).</w:t>
      </w:r>
      <w:r>
        <w:rPr>
          <w:rFonts w:ascii="Times New Roman" w:hAnsi="Times New Roman" w:cs="Times New Roman"/>
        </w:rPr>
        <w:t xml:space="preserve"> </w:t>
      </w:r>
      <w:r w:rsidRPr="007D40B1">
        <w:rPr>
          <w:rFonts w:ascii="Times New Roman" w:hAnsi="Times New Roman" w:cs="Times New Roman"/>
        </w:rPr>
        <w:t xml:space="preserve">Artificial Neural Networks (ANNs) modeled after the shape of the human brain have also been widely developed in flood </w:t>
      </w:r>
      <w:r w:rsidRPr="007D40B1">
        <w:rPr>
          <w:rFonts w:ascii="Times New Roman" w:hAnsi="Times New Roman" w:cs="Times New Roman"/>
        </w:rPr>
        <w:lastRenderedPageBreak/>
        <w:t>forecasting studies. ANNs have the ability to model highly non-linear hydrological processes and are capable of assimilating relatively broad spectra of data sources such as rainfalls, soil moisture, topography, and land cover maps (Tiwari &amp; Chatterjee, 2011). They are computationally expensive and need appropriate parameter tuning, however. Recently, deep learning models, Convolutional Neural Networks (CNNs) and Long Short-Term Memory (LSTM) networks, have been utilized to model spatial and temporal relations in flood processes (Feng et al., 2021). CNNs work best with utilizing gridded raster data like satellite imagery, while LSTMs work best with utilizing sequential time-series prediction, such as predicting water levels from rain history.</w:t>
      </w:r>
    </w:p>
    <w:p w14:paraId="422748E1" w14:textId="1A860E5F" w:rsidR="00671F9A" w:rsidRDefault="007D40B1" w:rsidP="007F3D4C">
      <w:pPr>
        <w:rPr>
          <w:rFonts w:ascii="Times New Roman" w:hAnsi="Times New Roman" w:cs="Times New Roman"/>
        </w:rPr>
      </w:pPr>
      <w:r w:rsidRPr="007D40B1">
        <w:rPr>
          <w:rFonts w:ascii="Times New Roman" w:hAnsi="Times New Roman" w:cs="Times New Roman"/>
        </w:rPr>
        <w:t xml:space="preserve">Comparative assessment has compared the performance of such models under different environmental and data situations. Samadi et al. (2022) compared RF, SVM, and ANN for flood extent mapping using multi-temporal Sentinel-1 SAR data and determined that RF performed better than the other models in overall accuracy and ROC-AUC. In a similar vein, Mosavi et al. (2018) meta-analyzed ML algorithms for predicting floods and established that </w:t>
      </w:r>
      <w:r w:rsidR="00FC7372" w:rsidRPr="007D40B1">
        <w:rPr>
          <w:rFonts w:ascii="Times New Roman" w:hAnsi="Times New Roman" w:cs="Times New Roman"/>
        </w:rPr>
        <w:t>assembling</w:t>
      </w:r>
      <w:r w:rsidRPr="007D40B1">
        <w:rPr>
          <w:rFonts w:ascii="Times New Roman" w:hAnsi="Times New Roman" w:cs="Times New Roman"/>
        </w:rPr>
        <w:t>-based methods perform better than single learners, particularly when agglomerating multi-source datasets. Another research by Khosravi et al. (2020) illustrated how hybrid models incorporating combinations of ML algorithms together with optimization methods like genetic algorithms or particle swarm optimization enhanced predictive power in flood hazard mapping.</w:t>
      </w:r>
      <w:r>
        <w:rPr>
          <w:rFonts w:ascii="Times New Roman" w:hAnsi="Times New Roman" w:cs="Times New Roman"/>
        </w:rPr>
        <w:t xml:space="preserve"> </w:t>
      </w:r>
      <w:r w:rsidRPr="007D40B1">
        <w:rPr>
          <w:rFonts w:ascii="Times New Roman" w:hAnsi="Times New Roman" w:cs="Times New Roman"/>
        </w:rPr>
        <w:t>Integration of multi-sensor remote sensing information, SAR for detection of water masked by clouds and optical images for land cover classification</w:t>
      </w:r>
      <w:r w:rsidR="00FC7372">
        <w:rPr>
          <w:rFonts w:ascii="Times New Roman" w:hAnsi="Times New Roman" w:cs="Times New Roman"/>
        </w:rPr>
        <w:t xml:space="preserve"> </w:t>
      </w:r>
      <w:r w:rsidRPr="007D40B1">
        <w:rPr>
          <w:rFonts w:ascii="Times New Roman" w:hAnsi="Times New Roman" w:cs="Times New Roman"/>
        </w:rPr>
        <w:t>has been shown to play a significant role in enhancing prediction accuracy (Zhang et al., 2021). Temporal features, e.g., pre-, during-, and after-event observations, enable the ML models to capture the dynamic recession process and evolution of floods (Li et al., 2019). For low-data settings like Lagos, Nigeria, transfer learning and domain adaptation are emerging areas of promise to widen model application through use of models that have been pre-trained on other domains (Oyedele et al., 2022).</w:t>
      </w:r>
      <w:r>
        <w:rPr>
          <w:rFonts w:ascii="Times New Roman" w:hAnsi="Times New Roman" w:cs="Times New Roman"/>
        </w:rPr>
        <w:t xml:space="preserve"> </w:t>
      </w:r>
      <w:r w:rsidRPr="007D40B1">
        <w:rPr>
          <w:rFonts w:ascii="Times New Roman" w:hAnsi="Times New Roman" w:cs="Times New Roman"/>
        </w:rPr>
        <w:t>Overall, the literature indicates that no single universally best ML algorithm exists for flood prediction. Choice of model has to be made based on available data, computational resources, and particular operational needs of the area in question. This creates the importance of comparative evaluation research like this study as an attempt to compare several ML models for Lagos flood forecasting with the use of temporal and multi-sensor data</w:t>
      </w:r>
      <w:r w:rsidR="00A045FB">
        <w:rPr>
          <w:rFonts w:ascii="Times New Roman" w:hAnsi="Times New Roman" w:cs="Times New Roman"/>
        </w:rPr>
        <w:t>.</w:t>
      </w:r>
    </w:p>
    <w:p w14:paraId="696115DD" w14:textId="77777777" w:rsidR="00A045FB" w:rsidRPr="00A045FB" w:rsidRDefault="00A045FB" w:rsidP="00A045FB">
      <w:pPr>
        <w:rPr>
          <w:rFonts w:ascii="Times New Roman" w:hAnsi="Times New Roman" w:cs="Times New Roman"/>
        </w:rPr>
      </w:pPr>
      <w:r w:rsidRPr="00A045FB">
        <w:rPr>
          <w:rFonts w:ascii="Times New Roman" w:hAnsi="Times New Roman" w:cs="Times New Roman"/>
        </w:rPr>
        <w:t>Flood forecasting for Lagos, Nigeria, entails applying different data sources and methods to forecast impending flood occurrences. Government agencies such as the Nigeria Hydrological Services Agency (NIHSA) provide flood warnings and Nimet (Nigeria Meteorological Agency) provides rainfall and flood warning, including for Lagos. Scholars also utilize Geographic Information Systems (GIS) and machine learning methods to produce flood susceptibility maps and forecast flood occurrences.</w:t>
      </w:r>
    </w:p>
    <w:p w14:paraId="1845A350" w14:textId="4C90BC31" w:rsidR="00A045FB" w:rsidRDefault="00A045FB" w:rsidP="00A045FB">
      <w:pPr>
        <w:rPr>
          <w:rFonts w:ascii="Times New Roman" w:hAnsi="Times New Roman" w:cs="Times New Roman"/>
        </w:rPr>
      </w:pPr>
      <w:r w:rsidRPr="00A045FB">
        <w:rPr>
          <w:rFonts w:ascii="Times New Roman" w:hAnsi="Times New Roman" w:cs="Times New Roman"/>
        </w:rPr>
        <w:t xml:space="preserve">Flood vulnerability modeling in Lagos, Nigeria, has become more prominent in research over the past several years because of the high pace of urbanization in the city, low coastal elevation, and exposure to intense rainfall events. Researchers in Nigeria have highlighted the need for the inclusion of spatial and socio-environmental factors within forecast models to capture physical and anthropogenic drivers of floods. For instance, Adelekan (2016) analyzed </w:t>
      </w:r>
      <w:r w:rsidRPr="00A045FB">
        <w:rPr>
          <w:rFonts w:ascii="Times New Roman" w:hAnsi="Times New Roman" w:cs="Times New Roman"/>
        </w:rPr>
        <w:lastRenderedPageBreak/>
        <w:t>the socio-spatial pattern of flood risks in Lagos, outlining how uncontrolled urban growth, slums, and inefficient drainage increase exposure, especially in poverty-stricken coastal communities. This research highlighted the necessity for spatially explicit models that consider environmental and socio-economic factors in flood hazard assessment.</w:t>
      </w:r>
    </w:p>
    <w:p w14:paraId="1EE4B1FE" w14:textId="4ADCBFE7" w:rsidR="002619EA" w:rsidRPr="002619EA" w:rsidRDefault="002619EA" w:rsidP="002619EA">
      <w:pPr>
        <w:rPr>
          <w:rFonts w:ascii="Times New Roman" w:hAnsi="Times New Roman" w:cs="Times New Roman"/>
        </w:rPr>
      </w:pPr>
      <w:r w:rsidRPr="002619EA">
        <w:rPr>
          <w:rFonts w:ascii="Times New Roman" w:hAnsi="Times New Roman" w:cs="Times New Roman"/>
        </w:rPr>
        <w:t>Aderogba (2012) then investigated the interaction between human activities and environmental variables in precipitating flood events within Lagos using geospatial information to illustrate how population density, nearness to water courses, and land cover affect levels of susceptibility significantly. The research confirms the use of socio-environmental information in machine learning (ML) models for enhanced urban flood prediction.</w:t>
      </w:r>
      <w:r w:rsidR="00FC7372">
        <w:rPr>
          <w:rFonts w:ascii="Times New Roman" w:hAnsi="Times New Roman" w:cs="Times New Roman"/>
        </w:rPr>
        <w:t xml:space="preserve"> </w:t>
      </w:r>
      <w:r w:rsidRPr="002619EA">
        <w:rPr>
          <w:rFonts w:ascii="Times New Roman" w:hAnsi="Times New Roman" w:cs="Times New Roman"/>
        </w:rPr>
        <w:t>Methodologically, Oladokun and Proverbs (2016) utilized geospatial analysis and statistical modeling to evaluate Nigerian urban flood vulnerability, employing spatial layers of elevation, slope, land cover, and drainage density. While not a technical application of ML, their method demonstrated the predictive capability of multi-criteria spatial predictors, now routinely employed as input features for ensemble learning algorithms such as Random Forest and Gradient Boosting.</w:t>
      </w:r>
      <w:r w:rsidR="00FC7372">
        <w:rPr>
          <w:rFonts w:ascii="Times New Roman" w:hAnsi="Times New Roman" w:cs="Times New Roman"/>
        </w:rPr>
        <w:t xml:space="preserve"> </w:t>
      </w:r>
      <w:r w:rsidRPr="002619EA">
        <w:rPr>
          <w:rFonts w:ascii="Times New Roman" w:hAnsi="Times New Roman" w:cs="Times New Roman"/>
        </w:rPr>
        <w:t>More direct application of ML is offered by Ajibade et al. (2020), who used remote sensing-derived spatial variables and socio-economic factors to predict flood risk in Nigerian coastal municipalities. From their finding, the integration of spatial predictors like DEM, slope, and river distance with socio-environmental indicators like household income and settlement density enhances accuracy in classification for predictive models. This concurs with the increasingly consistent view of Nigerian flood research that data merging improves model generalizability in heterogeneous urban environments.</w:t>
      </w:r>
    </w:p>
    <w:p w14:paraId="12FD1B33" w14:textId="7435EB40" w:rsidR="002619EA" w:rsidRPr="00671F9A" w:rsidRDefault="002619EA" w:rsidP="002619EA">
      <w:pPr>
        <w:rPr>
          <w:rFonts w:ascii="Times New Roman" w:hAnsi="Times New Roman" w:cs="Times New Roman"/>
        </w:rPr>
      </w:pPr>
      <w:r w:rsidRPr="002619EA">
        <w:rPr>
          <w:rFonts w:ascii="Times New Roman" w:hAnsi="Times New Roman" w:cs="Times New Roman"/>
        </w:rPr>
        <w:t>Specifically in Lagos, Odeyemi et al. (2019) made use of Landsat imagery coupled with ancillary data to produce flood susceptibility maps using parametric and non-parametric classification algorithms. From the research, models which made use of both spatial terrain properties as well as socio-environmental factors consistently outperformed models which used physical terrain alone. This would, therefore, indicate that incorporating human activity factors like impervious surface ratio and building footprint density is pivotal when it comes to accurately modelling flood susceptibility in high-density urban areas.</w:t>
      </w:r>
      <w:r>
        <w:rPr>
          <w:rFonts w:ascii="Times New Roman" w:hAnsi="Times New Roman" w:cs="Times New Roman"/>
        </w:rPr>
        <w:t xml:space="preserve"> </w:t>
      </w:r>
      <w:r w:rsidRPr="002619EA">
        <w:rPr>
          <w:rFonts w:ascii="Times New Roman" w:hAnsi="Times New Roman" w:cs="Times New Roman"/>
        </w:rPr>
        <w:t>A notable recent study is by Adimchi (2024), who utilized a series of machine learning models namely, Support Vector Machines, Decision Trees, and Random Forest, to evaluate flood hazard level in Lagos State based on an integrated data set comprising topography, hydrology, land use, and socio-economic factors. The research claimed that ensemble learning methods, namely Random Forest, achieved the highest predictive accuracy with more than 90% accuracy and ROC-AUC measures. In addition, it highlighted that the use of socio-environmental variables, for instance, drainage accessibility, settlement type, and exposed population, gave a high degree of spatial accuracy to susceptibility mapping.</w:t>
      </w:r>
      <w:r>
        <w:rPr>
          <w:rFonts w:ascii="Times New Roman" w:hAnsi="Times New Roman" w:cs="Times New Roman"/>
        </w:rPr>
        <w:t xml:space="preserve"> </w:t>
      </w:r>
      <w:r w:rsidRPr="002619EA">
        <w:rPr>
          <w:rFonts w:ascii="Times New Roman" w:hAnsi="Times New Roman" w:cs="Times New Roman"/>
        </w:rPr>
        <w:t>Another study conducted in Lagos by Ogunbodede et al. (2021) approximated the effect of land use change on flood vulnerability with geospatial change detection methods. Although their interest was in LULC change, it underscored the fact that the very large urban flood vulnerability results from rapid greenspace and micro-wetland developments into hard surfaces. This reinforces the use of dynamic land cover and urban growth indicators as predictors in ML models.</w:t>
      </w:r>
      <w:r>
        <w:rPr>
          <w:rFonts w:ascii="Times New Roman" w:hAnsi="Times New Roman" w:cs="Times New Roman"/>
        </w:rPr>
        <w:t xml:space="preserve"> </w:t>
      </w:r>
      <w:r w:rsidRPr="002619EA">
        <w:rPr>
          <w:rFonts w:ascii="Times New Roman" w:hAnsi="Times New Roman" w:cs="Times New Roman"/>
        </w:rPr>
        <w:t xml:space="preserve">Jointly, </w:t>
      </w:r>
      <w:r w:rsidRPr="002619EA">
        <w:rPr>
          <w:rFonts w:ascii="Times New Roman" w:hAnsi="Times New Roman" w:cs="Times New Roman"/>
        </w:rPr>
        <w:lastRenderedPageBreak/>
        <w:t>Nigerian scholarship suggests that flood susceptibility prediction in Lagos requires a cross-disciplinary approach of fusing high-resolution spatial data with socio-environmental variables. Literature is also consistently suggestive of ML models, particularly ensemble-based, outperforming traditional statistical methods on such fused datasets alone. However, there is a lack of localized comparative studies based on different ML algorithms from normalized Lagos-centric data, which this research aims to address.</w:t>
      </w:r>
    </w:p>
    <w:p w14:paraId="30559607" w14:textId="77777777" w:rsidR="009C6CAB" w:rsidRPr="009C6CAB" w:rsidRDefault="009C6CAB" w:rsidP="009C6CAB">
      <w:pPr>
        <w:rPr>
          <w:rFonts w:ascii="Times New Roman" w:hAnsi="Times New Roman" w:cs="Times New Roman"/>
          <w:b/>
          <w:bCs/>
        </w:rPr>
      </w:pPr>
      <w:r w:rsidRPr="009C6CAB">
        <w:rPr>
          <w:rFonts w:ascii="Times New Roman" w:hAnsi="Times New Roman" w:cs="Times New Roman"/>
          <w:b/>
          <w:bCs/>
        </w:rPr>
        <w:t>Machine Learning for Flood Detection and Mapping</w:t>
      </w:r>
    </w:p>
    <w:p w14:paraId="5E695C4A" w14:textId="20B8ED9A" w:rsidR="009C6CAB" w:rsidRDefault="009C6CAB" w:rsidP="009C6CAB">
      <w:pPr>
        <w:rPr>
          <w:rFonts w:ascii="Times New Roman" w:hAnsi="Times New Roman" w:cs="Times New Roman"/>
        </w:rPr>
      </w:pPr>
      <w:r w:rsidRPr="00AC6433">
        <w:rPr>
          <w:rFonts w:ascii="Times New Roman" w:hAnsi="Times New Roman" w:cs="Times New Roman"/>
        </w:rPr>
        <w:t xml:space="preserve">Machine learning applications in flood research have increased tremendously owing to its ability to identify significant patterns in large, high-dimensional data. Some conventional classifiers like Random Forest (RF), Support Vector Machines (SVM), and Decision Trees were widely applied in flood detection and mapping systems, particularly in managing satellite remote sensing data (Li et al., 2019; Samadi et al., 2022). These models exhibit very high accuracy in mapping the inundation extent, even in an urban area where the spectral reflectance of inundated areas is nearly similar to that of urban regions. Deep learning techniques such as Convolutional Neural Networks (CNNs) and U-Net architectures have also been shown to be excellent tools, especially in separating inundated areas from high-resolution multi-temporal image time series </w:t>
      </w:r>
      <w:hyperlink r:id="rId8" w:history="1">
        <w:r w:rsidR="00E50B03" w:rsidRPr="00676843">
          <w:t>Nouioua Tarek</w:t>
        </w:r>
      </w:hyperlink>
      <w:r w:rsidR="00E50B03">
        <w:t xml:space="preserve"> (2023)</w:t>
      </w:r>
      <w:r w:rsidRPr="00AC6433">
        <w:rPr>
          <w:rFonts w:ascii="Times New Roman" w:hAnsi="Times New Roman" w:cs="Times New Roman"/>
        </w:rPr>
        <w:t>; Bonafilia et al., 2020).</w:t>
      </w:r>
    </w:p>
    <w:p w14:paraId="4522FCF5" w14:textId="051AB729" w:rsidR="00671F9A" w:rsidRPr="00AC6433" w:rsidRDefault="00671F9A" w:rsidP="009C6CAB">
      <w:pPr>
        <w:rPr>
          <w:rFonts w:ascii="Times New Roman" w:hAnsi="Times New Roman" w:cs="Times New Roman"/>
        </w:rPr>
      </w:pPr>
      <w:r>
        <w:rPr>
          <w:noProof/>
        </w:rPr>
        <w:drawing>
          <wp:inline distT="0" distB="0" distL="0" distR="0" wp14:anchorId="46242AA5" wp14:editId="55B7BFA2">
            <wp:extent cx="4400550" cy="1600200"/>
            <wp:effectExtent l="0" t="0" r="0" b="0"/>
            <wp:docPr id="1609011438" name="Picture 4" descr="Flood in Lagos today cause building collapse &amp; traff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ood in Lagos today cause building collapse &amp; traffi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1600200"/>
                    </a:xfrm>
                    <a:prstGeom prst="rect">
                      <a:avLst/>
                    </a:prstGeom>
                    <a:noFill/>
                    <a:ln>
                      <a:noFill/>
                    </a:ln>
                  </pic:spPr>
                </pic:pic>
              </a:graphicData>
            </a:graphic>
          </wp:inline>
        </w:drawing>
      </w:r>
    </w:p>
    <w:p w14:paraId="7DD714D5" w14:textId="77777777" w:rsidR="00295E3F" w:rsidRPr="00DD58AA" w:rsidRDefault="001A5859" w:rsidP="00295E3F">
      <w:pPr>
        <w:rPr>
          <w:rFonts w:ascii="Times New Roman" w:hAnsi="Times New Roman" w:cs="Times New Roman"/>
          <w:b/>
          <w:bCs/>
        </w:rPr>
      </w:pPr>
      <w:r>
        <w:rPr>
          <w:rFonts w:ascii="Times New Roman" w:hAnsi="Times New Roman" w:cs="Times New Roman"/>
          <w:b/>
          <w:bCs/>
        </w:rPr>
        <w:t>Figure 2</w:t>
      </w:r>
      <w:r w:rsidR="00295E3F">
        <w:rPr>
          <w:rFonts w:ascii="Times New Roman" w:hAnsi="Times New Roman" w:cs="Times New Roman"/>
          <w:b/>
          <w:bCs/>
        </w:rPr>
        <w:t xml:space="preserve">: </w:t>
      </w:r>
      <w:hyperlink r:id="rId10" w:history="1">
        <w:r w:rsidR="00295E3F" w:rsidRPr="00DD58AA">
          <w:rPr>
            <w:rStyle w:val="nova-legacy-v-person-inline-itemfullname"/>
            <w:rFonts w:ascii="Times New Roman" w:hAnsi="Times New Roman" w:cs="Times New Roman"/>
            <w:b/>
            <w:bCs/>
          </w:rPr>
          <w:t>Huan Ning</w:t>
        </w:r>
      </w:hyperlink>
      <w:r w:rsidR="00295E3F" w:rsidRPr="00DD58AA">
        <w:rPr>
          <w:rFonts w:ascii="Times New Roman" w:hAnsi="Times New Roman" w:cs="Times New Roman"/>
          <w:b/>
          <w:bCs/>
        </w:rPr>
        <w:t>, et al 2020, flooded area photo</w:t>
      </w:r>
    </w:p>
    <w:p w14:paraId="51DCCADA" w14:textId="3F471F79" w:rsidR="001A5859" w:rsidRDefault="001A5859" w:rsidP="009C6CAB">
      <w:pPr>
        <w:rPr>
          <w:rFonts w:ascii="Times New Roman" w:hAnsi="Times New Roman" w:cs="Times New Roman"/>
          <w:b/>
          <w:bCs/>
        </w:rPr>
      </w:pPr>
    </w:p>
    <w:p w14:paraId="0B06633F" w14:textId="11FDD4E3" w:rsidR="009C6CAB" w:rsidRPr="00AC6433" w:rsidRDefault="009C6CAB" w:rsidP="009C6CAB">
      <w:pPr>
        <w:rPr>
          <w:rFonts w:ascii="Times New Roman" w:hAnsi="Times New Roman" w:cs="Times New Roman"/>
          <w:b/>
          <w:bCs/>
        </w:rPr>
      </w:pPr>
      <w:r w:rsidRPr="00AC6433">
        <w:rPr>
          <w:rFonts w:ascii="Times New Roman" w:hAnsi="Times New Roman" w:cs="Times New Roman"/>
          <w:b/>
          <w:bCs/>
        </w:rPr>
        <w:t>2. Utility of Multi-Sensor and Temporal Data</w:t>
      </w:r>
    </w:p>
    <w:p w14:paraId="0F1A0BA1" w14:textId="775A9BFF" w:rsidR="009C6CAB" w:rsidRPr="00AC6433" w:rsidRDefault="009C6CAB" w:rsidP="009C6CAB">
      <w:pPr>
        <w:rPr>
          <w:rFonts w:ascii="Times New Roman" w:hAnsi="Times New Roman" w:cs="Times New Roman"/>
        </w:rPr>
      </w:pPr>
      <w:r w:rsidRPr="00AC6433">
        <w:rPr>
          <w:rFonts w:ascii="Times New Roman" w:hAnsi="Times New Roman" w:cs="Times New Roman"/>
        </w:rPr>
        <w:t>Fusing multi-sensor information</w:t>
      </w:r>
      <w:r w:rsidR="00AC6433">
        <w:rPr>
          <w:rFonts w:ascii="Times New Roman" w:hAnsi="Times New Roman" w:cs="Times New Roman"/>
        </w:rPr>
        <w:t xml:space="preserve"> </w:t>
      </w:r>
      <w:r w:rsidRPr="00AC6433">
        <w:rPr>
          <w:rFonts w:ascii="Times New Roman" w:hAnsi="Times New Roman" w:cs="Times New Roman"/>
        </w:rPr>
        <w:t>namely Synthetic Aperture Radar (SAR) and optical imagery</w:t>
      </w:r>
      <w:r w:rsidR="00AC6433">
        <w:rPr>
          <w:rFonts w:ascii="Times New Roman" w:hAnsi="Times New Roman" w:cs="Times New Roman"/>
        </w:rPr>
        <w:t xml:space="preserve"> </w:t>
      </w:r>
      <w:r w:rsidR="0056580D" w:rsidRPr="00AC6433">
        <w:rPr>
          <w:rFonts w:ascii="Times New Roman" w:hAnsi="Times New Roman" w:cs="Times New Roman"/>
        </w:rPr>
        <w:t>improve</w:t>
      </w:r>
      <w:r w:rsidRPr="00AC6433">
        <w:rPr>
          <w:rFonts w:ascii="Times New Roman" w:hAnsi="Times New Roman" w:cs="Times New Roman"/>
        </w:rPr>
        <w:t xml:space="preserve"> the stability of flood mapping missions. SAR sensors like Sentinel-1 provide day-and-night, all-weather imaging, and therefore their extensive application in tropical areas like Nigeria where clouds typically limit optical sensors (Ojolowo &amp; Wahab, 2021). SAR's two-polarization bands (VV and VH) are responsive to surface water fluctuation and yield good indicators of flood margins. In the meantime, optical data-based indicators like Normalized Difference Vegetation Index (NDVI) or Normalized Difference Water Index (NDWI) assist in distinguishing between water bodies, vegetation cover, and urban structures (Zhang et al., 2021). Multi-temporal data involving pre- and post-event images are most suitable in researching dynamic flood </w:t>
      </w:r>
      <w:r w:rsidR="00AC6433" w:rsidRPr="00AC6433">
        <w:rPr>
          <w:rFonts w:ascii="Times New Roman" w:hAnsi="Times New Roman" w:cs="Times New Roman"/>
        </w:rPr>
        <w:t>behaviour</w:t>
      </w:r>
      <w:r w:rsidRPr="00AC6433">
        <w:rPr>
          <w:rFonts w:ascii="Times New Roman" w:hAnsi="Times New Roman" w:cs="Times New Roman"/>
        </w:rPr>
        <w:t xml:space="preserve"> as well as enhancing classification accuracy (Li et al., 2019).</w:t>
      </w:r>
    </w:p>
    <w:p w14:paraId="753CEB9D" w14:textId="77777777" w:rsidR="009C6CAB" w:rsidRPr="00AC6433" w:rsidRDefault="009C6CAB" w:rsidP="009C6CAB">
      <w:pPr>
        <w:rPr>
          <w:rFonts w:ascii="Times New Roman" w:hAnsi="Times New Roman" w:cs="Times New Roman"/>
          <w:b/>
          <w:bCs/>
        </w:rPr>
      </w:pPr>
      <w:r w:rsidRPr="00AC6433">
        <w:rPr>
          <w:rFonts w:ascii="Times New Roman" w:hAnsi="Times New Roman" w:cs="Times New Roman"/>
          <w:b/>
          <w:bCs/>
        </w:rPr>
        <w:lastRenderedPageBreak/>
        <w:t>3. Comparative Performance of ML Models</w:t>
      </w:r>
    </w:p>
    <w:p w14:paraId="3D27D4DB" w14:textId="4F9E7D6F" w:rsidR="009C6CAB" w:rsidRPr="00AC6433" w:rsidRDefault="009C6CAB" w:rsidP="009C6CAB">
      <w:pPr>
        <w:rPr>
          <w:rFonts w:ascii="Times New Roman" w:hAnsi="Times New Roman" w:cs="Times New Roman"/>
        </w:rPr>
      </w:pPr>
      <w:r w:rsidRPr="00AC6433">
        <w:rPr>
          <w:rFonts w:ascii="Times New Roman" w:hAnsi="Times New Roman" w:cs="Times New Roman"/>
        </w:rPr>
        <w:t xml:space="preserve">Comparison of the performance of different ML models in flood detection has been carried out in different research works. Li et al. (2019) compared performances of different traditional classifiers with Random Forest and inferred Random Forest to be better than other classifiers both in accuracy and generalizability in flood mapping in Colorado using Sentinel-1 and Sentinel-2 imagery. Similarly, Samadi et al. (2022) compared RF, SVM, and Artificial Neural Networks for flood extent classification with SAR imagery and inferred high precision and recall for RF. Although deep models like CNNs will typically outperform shallow classifiers, they are predicated on the existence of large annotated datasets, something which can be missing in data-poor regions like Lagos </w:t>
      </w:r>
      <w:hyperlink r:id="rId11" w:history="1">
        <w:r w:rsidR="00E50B03" w:rsidRPr="00676843">
          <w:t>Nouioua Tarek</w:t>
        </w:r>
      </w:hyperlink>
      <w:r w:rsidR="00E50B03">
        <w:t xml:space="preserve"> (2023)</w:t>
      </w:r>
    </w:p>
    <w:p w14:paraId="3C1DA1E9" w14:textId="77777777" w:rsidR="009C6CAB" w:rsidRPr="00AC6433" w:rsidRDefault="009C6CAB" w:rsidP="009C6CAB">
      <w:pPr>
        <w:rPr>
          <w:rFonts w:ascii="Times New Roman" w:hAnsi="Times New Roman" w:cs="Times New Roman"/>
          <w:b/>
          <w:bCs/>
        </w:rPr>
      </w:pPr>
      <w:r w:rsidRPr="00AC6433">
        <w:rPr>
          <w:rFonts w:ascii="Times New Roman" w:hAnsi="Times New Roman" w:cs="Times New Roman"/>
          <w:b/>
          <w:bCs/>
        </w:rPr>
        <w:t>4. Hybrid and Ensemble Methods</w:t>
      </w:r>
    </w:p>
    <w:p w14:paraId="57D94501" w14:textId="77777777" w:rsidR="009C6CAB" w:rsidRPr="00AC6433" w:rsidRDefault="009C6CAB" w:rsidP="009C6CAB">
      <w:pPr>
        <w:rPr>
          <w:rFonts w:ascii="Times New Roman" w:hAnsi="Times New Roman" w:cs="Times New Roman"/>
        </w:rPr>
      </w:pPr>
      <w:r w:rsidRPr="00AC6433">
        <w:rPr>
          <w:rFonts w:ascii="Times New Roman" w:hAnsi="Times New Roman" w:cs="Times New Roman"/>
        </w:rPr>
        <w:t>Ensemble learning approaches, Random Forest and Gradient Boosting in particular, are widely used in flood hazard and vulnerability research because of overfitting resistance and capacity for handling noisy or absent data (Rahmati et al., 2019). Hybrid models that combine greater than one algorithm or spatial setting using GIS layers have been found to enhance accuracy for flood prediction. Hybrid models will often include extra inputs such as digital elevation models (DEMs), land use maps, and historic flood inventories to enhance predictive capability (Costache et al., 2020).</w:t>
      </w:r>
    </w:p>
    <w:p w14:paraId="45391DA4" w14:textId="77777777" w:rsidR="009C6CAB" w:rsidRPr="00AC6433" w:rsidRDefault="009C6CAB" w:rsidP="009C6CAB">
      <w:pPr>
        <w:rPr>
          <w:rFonts w:ascii="Times New Roman" w:hAnsi="Times New Roman" w:cs="Times New Roman"/>
          <w:b/>
          <w:bCs/>
        </w:rPr>
      </w:pPr>
      <w:r w:rsidRPr="00AC6433">
        <w:rPr>
          <w:rFonts w:ascii="Times New Roman" w:hAnsi="Times New Roman" w:cs="Times New Roman"/>
          <w:b/>
          <w:bCs/>
        </w:rPr>
        <w:t>5. Flood Mapping in Africa</w:t>
      </w:r>
    </w:p>
    <w:p w14:paraId="725E8FF4" w14:textId="70954201" w:rsidR="00EC3F77" w:rsidRDefault="009C6CAB" w:rsidP="00EC3F77">
      <w:pPr>
        <w:rPr>
          <w:rFonts w:ascii="Times New Roman" w:hAnsi="Times New Roman" w:cs="Times New Roman"/>
        </w:rPr>
      </w:pPr>
      <w:r w:rsidRPr="00AC6433">
        <w:rPr>
          <w:rFonts w:ascii="Times New Roman" w:hAnsi="Times New Roman" w:cs="Times New Roman"/>
        </w:rPr>
        <w:t>For Africa, machine learning and remote sensing have been scantily adapted in flood modelling studies that include susceptibility mapping and hydrological modelling. In Nigeria, most current research focuses on GIS-based flood vulnerability analysis or the use of hydrological simulation models (Abiodun et al., 2020; Etti et al., 2022). Ojolowo and Wahab (2021) highlighted the promise of SAR-based methods in flood hazard modelling for Lagos, though fewer publications have utilized multi-sensor fusion or temporal assessment based on ML models. It is a large knowledge gap that is especially pertinent for megacities such as Lagos, where heterogeneity in the data, slums, and restrictions in ground truthing pose particular modelling challenges.</w:t>
      </w:r>
    </w:p>
    <w:p w14:paraId="6457066D" w14:textId="0CB2B11C" w:rsidR="00B260FF" w:rsidRPr="00286224" w:rsidRDefault="00B260FF" w:rsidP="00B260FF">
      <w:pPr>
        <w:rPr>
          <w:rFonts w:ascii="Times New Roman" w:hAnsi="Times New Roman" w:cs="Times New Roman"/>
          <w:b/>
          <w:bCs/>
        </w:rPr>
      </w:pPr>
      <w:r w:rsidRPr="00286224">
        <w:rPr>
          <w:rFonts w:ascii="Times New Roman" w:hAnsi="Times New Roman" w:cs="Times New Roman"/>
          <w:b/>
          <w:bCs/>
        </w:rPr>
        <w:t>Materials and Methods</w:t>
      </w:r>
    </w:p>
    <w:p w14:paraId="799E64ED" w14:textId="29121C99" w:rsidR="00B260FF" w:rsidRPr="00286224" w:rsidRDefault="00B260FF" w:rsidP="00B260FF">
      <w:pPr>
        <w:rPr>
          <w:rFonts w:ascii="Times New Roman" w:hAnsi="Times New Roman" w:cs="Times New Roman"/>
          <w:b/>
          <w:bCs/>
        </w:rPr>
      </w:pPr>
      <w:r w:rsidRPr="00286224">
        <w:rPr>
          <w:rFonts w:ascii="Times New Roman" w:hAnsi="Times New Roman" w:cs="Times New Roman"/>
          <w:b/>
          <w:bCs/>
        </w:rPr>
        <w:t>Study Area</w:t>
      </w:r>
    </w:p>
    <w:p w14:paraId="70F8DFD4" w14:textId="334F2523" w:rsidR="00850F3A" w:rsidRDefault="00B260FF" w:rsidP="00B260FF">
      <w:pPr>
        <w:rPr>
          <w:rFonts w:ascii="Times New Roman" w:hAnsi="Times New Roman" w:cs="Times New Roman"/>
        </w:rPr>
      </w:pPr>
      <w:r w:rsidRPr="00B260FF">
        <w:rPr>
          <w:rFonts w:ascii="Times New Roman" w:hAnsi="Times New Roman" w:cs="Times New Roman"/>
        </w:rPr>
        <w:t>Lagos State, Nigeria, is very flood-prone because of increased urbanization and coastal exposure. The study area consists of urban and peri-urban flood zones limited by latitudes 6°22′N–6°42′N and longitudes 2°42′E–3°42′E with elevation ranging from 0</w:t>
      </w:r>
      <w:r w:rsidR="00670BEE">
        <w:rPr>
          <w:rFonts w:ascii="Times New Roman" w:hAnsi="Times New Roman" w:cs="Times New Roman"/>
        </w:rPr>
        <w:t>-</w:t>
      </w:r>
      <w:r w:rsidRPr="00B260FF">
        <w:rPr>
          <w:rFonts w:ascii="Times New Roman" w:hAnsi="Times New Roman" w:cs="Times New Roman"/>
        </w:rPr>
        <w:t>50 m above mean sea level.</w:t>
      </w:r>
    </w:p>
    <w:p w14:paraId="3838F707" w14:textId="084F9AF8" w:rsidR="00B260FF" w:rsidRPr="00B260FF" w:rsidRDefault="00B260FF" w:rsidP="00B260FF">
      <w:pPr>
        <w:rPr>
          <w:rFonts w:ascii="Times New Roman" w:hAnsi="Times New Roman" w:cs="Times New Roman"/>
        </w:rPr>
      </w:pPr>
      <w:r w:rsidRPr="00B260FF">
        <w:rPr>
          <w:rFonts w:ascii="Times New Roman" w:hAnsi="Times New Roman" w:cs="Times New Roman"/>
        </w:rPr>
        <w:t>Data Sources</w:t>
      </w:r>
    </w:p>
    <w:p w14:paraId="7C69A2CD"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 Copernicus Hub Sentinel-1 SAR GRD (C-band, IW mode, dual polarization VV/VH, 10 m, Level-1).</w:t>
      </w:r>
    </w:p>
    <w:p w14:paraId="7B979BD0"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 Sentinel-2 L2A optical imagery (10 m) for NDVI.</w:t>
      </w:r>
    </w:p>
    <w:p w14:paraId="024178D2"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lastRenderedPageBreak/>
        <w:t>• USGS Earth Explorer SRTM DEM (30 m) for topography/height.</w:t>
      </w:r>
    </w:p>
    <w:p w14:paraId="24C4C650" w14:textId="6ED67C01" w:rsidR="00B260FF" w:rsidRPr="00B260FF" w:rsidRDefault="00B260FF" w:rsidP="00B260FF">
      <w:pPr>
        <w:rPr>
          <w:rFonts w:ascii="Times New Roman" w:hAnsi="Times New Roman" w:cs="Times New Roman"/>
        </w:rPr>
      </w:pPr>
      <w:r w:rsidRPr="00B260FF">
        <w:rPr>
          <w:rFonts w:ascii="Times New Roman" w:hAnsi="Times New Roman" w:cs="Times New Roman"/>
        </w:rPr>
        <w:t>Preprocessing</w:t>
      </w:r>
    </w:p>
    <w:p w14:paraId="2BF8C37B"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 Remove thermal noise, radiometric calibration (σ0), speckle filtering (5×5 Lee), terrain correction using SRTM DEM, conversion to dB.</w:t>
      </w:r>
    </w:p>
    <w:p w14:paraId="01701D0E"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 Sentinel-2: Sen2Cor atmospheric correction, cloud/shadow mask, NDVI = (B8–B4)/(B8+B4).</w:t>
      </w:r>
    </w:p>
    <w:p w14:paraId="45174D9F"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 All data re-sampled to 10 m and co-registered.</w:t>
      </w:r>
    </w:p>
    <w:p w14:paraId="2A0994B2" w14:textId="0D2745EE" w:rsidR="00B260FF" w:rsidRPr="00B260FF" w:rsidRDefault="00B260FF" w:rsidP="00B260FF">
      <w:pPr>
        <w:rPr>
          <w:rFonts w:ascii="Times New Roman" w:hAnsi="Times New Roman" w:cs="Times New Roman"/>
        </w:rPr>
      </w:pPr>
      <w:r w:rsidRPr="00B260FF">
        <w:rPr>
          <w:rFonts w:ascii="Times New Roman" w:hAnsi="Times New Roman" w:cs="Times New Roman"/>
        </w:rPr>
        <w:t>Ground Truth</w:t>
      </w:r>
    </w:p>
    <w:p w14:paraId="4C9A3DFD" w14:textId="00B579C1" w:rsidR="00B260FF" w:rsidRPr="00B260FF" w:rsidRDefault="00B260FF" w:rsidP="00B260FF">
      <w:pPr>
        <w:rPr>
          <w:rFonts w:ascii="Times New Roman" w:hAnsi="Times New Roman" w:cs="Times New Roman"/>
        </w:rPr>
      </w:pPr>
      <w:r w:rsidRPr="00B260FF">
        <w:rPr>
          <w:rFonts w:ascii="Times New Roman" w:hAnsi="Times New Roman" w:cs="Times New Roman"/>
        </w:rPr>
        <w:t>Labels formed through professional digitization of non-flooded/flooded regions of Sentinel-2/</w:t>
      </w:r>
      <w:r w:rsidR="00850F3A" w:rsidRPr="00B260FF">
        <w:rPr>
          <w:rFonts w:ascii="Times New Roman" w:hAnsi="Times New Roman" w:cs="Times New Roman"/>
        </w:rPr>
        <w:t>Planet Scope</w:t>
      </w:r>
      <w:r w:rsidRPr="00B260FF">
        <w:rPr>
          <w:rFonts w:ascii="Times New Roman" w:hAnsi="Times New Roman" w:cs="Times New Roman"/>
        </w:rPr>
        <w:t xml:space="preserve"> imagery, verified by LASEMA flood reports (2022–2023). Stratified sampling provided 1,200 samples (600 flooded and 600 non-flooded).</w:t>
      </w:r>
    </w:p>
    <w:p w14:paraId="5448FE22" w14:textId="41B32FA6" w:rsidR="00B260FF" w:rsidRPr="00B260FF" w:rsidRDefault="00B260FF" w:rsidP="00B260FF">
      <w:pPr>
        <w:rPr>
          <w:rFonts w:ascii="Times New Roman" w:hAnsi="Times New Roman" w:cs="Times New Roman"/>
        </w:rPr>
      </w:pPr>
      <w:r w:rsidRPr="00B260FF">
        <w:rPr>
          <w:rFonts w:ascii="Times New Roman" w:hAnsi="Times New Roman" w:cs="Times New Roman"/>
        </w:rPr>
        <w:t>Features</w:t>
      </w:r>
    </w:p>
    <w:p w14:paraId="0F4A356C" w14:textId="77777777" w:rsidR="00B260FF" w:rsidRPr="00B260FF" w:rsidRDefault="00B260FF" w:rsidP="00B260FF">
      <w:pPr>
        <w:rPr>
          <w:rFonts w:ascii="Times New Roman" w:hAnsi="Times New Roman" w:cs="Times New Roman"/>
        </w:rPr>
      </w:pPr>
      <w:r w:rsidRPr="00B260FF">
        <w:rPr>
          <w:rFonts w:ascii="Times New Roman" w:hAnsi="Times New Roman" w:cs="Times New Roman"/>
        </w:rPr>
        <w:t>VV, VH, VH/VV ratio, NDVI, elevation. Normalized (z-score) all.</w:t>
      </w:r>
    </w:p>
    <w:p w14:paraId="2CF02642" w14:textId="6075F23E" w:rsidR="00B260FF" w:rsidRPr="00B260FF" w:rsidRDefault="00B260FF" w:rsidP="00B260FF">
      <w:pPr>
        <w:rPr>
          <w:rFonts w:ascii="Times New Roman" w:hAnsi="Times New Roman" w:cs="Times New Roman"/>
        </w:rPr>
      </w:pPr>
      <w:r w:rsidRPr="00B260FF">
        <w:rPr>
          <w:rFonts w:ascii="Times New Roman" w:hAnsi="Times New Roman" w:cs="Times New Roman"/>
        </w:rPr>
        <w:t>Models &amp; Validation</w:t>
      </w:r>
    </w:p>
    <w:p w14:paraId="59A755C7" w14:textId="77777777" w:rsidR="00B36129" w:rsidRDefault="00B260FF" w:rsidP="00B36129">
      <w:pPr>
        <w:rPr>
          <w:rFonts w:ascii="Times New Roman" w:hAnsi="Times New Roman" w:cs="Times New Roman"/>
        </w:rPr>
      </w:pPr>
      <w:r w:rsidRPr="00B260FF">
        <w:rPr>
          <w:rFonts w:ascii="Times New Roman" w:hAnsi="Times New Roman" w:cs="Times New Roman"/>
        </w:rPr>
        <w:t>RF, XGBoost, SVM, ANN in Python (scikit-learn v1.2.2, XGBoost v1.7.3). Hyperparameters optimized through grid search. RF: n</w:t>
      </w:r>
      <w:r w:rsidR="00981CB7">
        <w:rPr>
          <w:rFonts w:ascii="Times New Roman" w:hAnsi="Times New Roman" w:cs="Times New Roman"/>
        </w:rPr>
        <w:t>_</w:t>
      </w:r>
      <w:r w:rsidRPr="00B260FF">
        <w:rPr>
          <w:rFonts w:ascii="Times New Roman" w:hAnsi="Times New Roman" w:cs="Times New Roman"/>
        </w:rPr>
        <w:t xml:space="preserve">estimators = {100,200,500}; XGBoost: </w:t>
      </w:r>
      <w:r w:rsidR="00981CB7" w:rsidRPr="00B260FF">
        <w:rPr>
          <w:rFonts w:ascii="Times New Roman" w:hAnsi="Times New Roman" w:cs="Times New Roman"/>
        </w:rPr>
        <w:t>learning rate</w:t>
      </w:r>
      <w:r w:rsidRPr="00B260FF">
        <w:rPr>
          <w:rFonts w:ascii="Times New Roman" w:hAnsi="Times New Roman" w:cs="Times New Roman"/>
        </w:rPr>
        <w:t xml:space="preserve"> = {0.01,0.1}, max_depth=</w:t>
      </w:r>
      <w:r w:rsidR="00AE3F47">
        <w:rPr>
          <w:rFonts w:ascii="Times New Roman" w:hAnsi="Times New Roman" w:cs="Times New Roman"/>
        </w:rPr>
        <w:t xml:space="preserve"> </w:t>
      </w:r>
      <w:r w:rsidRPr="00B260FF">
        <w:rPr>
          <w:rFonts w:ascii="Times New Roman" w:hAnsi="Times New Roman" w:cs="Times New Roman"/>
        </w:rPr>
        <w:t>{3,5,7}, n_estimators=</w:t>
      </w:r>
      <w:r w:rsidR="00AE3F47">
        <w:rPr>
          <w:rFonts w:ascii="Times New Roman" w:hAnsi="Times New Roman" w:cs="Times New Roman"/>
        </w:rPr>
        <w:t xml:space="preserve"> </w:t>
      </w:r>
      <w:r w:rsidRPr="00B260FF">
        <w:rPr>
          <w:rFonts w:ascii="Times New Roman" w:hAnsi="Times New Roman" w:cs="Times New Roman"/>
        </w:rPr>
        <w:t>{100,300,500}; SVM: RBF kernel, C</w:t>
      </w:r>
      <w:r w:rsidR="005A2A83">
        <w:rPr>
          <w:rFonts w:ascii="Times New Roman" w:hAnsi="Times New Roman" w:cs="Times New Roman"/>
        </w:rPr>
        <w:t>=</w:t>
      </w:r>
      <w:r w:rsidR="00AE3F47">
        <w:rPr>
          <w:rFonts w:ascii="Times New Roman" w:hAnsi="Times New Roman" w:cs="Times New Roman"/>
        </w:rPr>
        <w:t xml:space="preserve"> </w:t>
      </w:r>
      <w:r w:rsidRPr="00B260FF">
        <w:rPr>
          <w:rFonts w:ascii="Times New Roman" w:hAnsi="Times New Roman" w:cs="Times New Roman"/>
        </w:rPr>
        <w:t>{1,10}; ANN: 3 hidden layers (64,32,16), ReLU activation. Avoiding spatial autocorrelation, spatial block 5-fold cross-validation employed. Performance metrics considered: accuracy, precision, recall, F1, AUC. AUCs statistically compared by DeLong test</w:t>
      </w:r>
    </w:p>
    <w:p w14:paraId="73A85468" w14:textId="4C5E531D" w:rsidR="00592C7C" w:rsidRPr="00B36129" w:rsidRDefault="00FB1B89" w:rsidP="00B36129">
      <w:pPr>
        <w:rPr>
          <w:rFonts w:ascii="Times New Roman" w:hAnsi="Times New Roman" w:cs="Times New Roman"/>
        </w:rPr>
      </w:pPr>
      <w:r>
        <w:rPr>
          <w:rFonts w:ascii="Times New Roman" w:hAnsi="Times New Roman" w:cs="Times New Roman"/>
          <w:b/>
          <w:bCs/>
        </w:rPr>
        <w:t>Result</w:t>
      </w:r>
    </w:p>
    <w:p w14:paraId="3968F565" w14:textId="320B3977" w:rsidR="00FB1B89" w:rsidRPr="00FB1B89" w:rsidRDefault="00FB1B89" w:rsidP="00FB1B89">
      <w:pPr>
        <w:rPr>
          <w:rFonts w:ascii="Times New Roman" w:hAnsi="Times New Roman" w:cs="Times New Roman"/>
          <w:b/>
          <w:bCs/>
        </w:rPr>
      </w:pPr>
      <w:r>
        <w:rPr>
          <w:rFonts w:ascii="Times New Roman" w:hAnsi="Times New Roman" w:cs="Times New Roman"/>
          <w:b/>
          <w:bCs/>
        </w:rPr>
        <w:t xml:space="preserve"> </w:t>
      </w:r>
      <w:r w:rsidRPr="00FB1B89">
        <w:rPr>
          <w:rFonts w:ascii="Times New Roman" w:hAnsi="Times New Roman" w:cs="Times New Roman"/>
          <w:b/>
          <w:bCs/>
        </w:rPr>
        <w:t>Model Performance Summary</w:t>
      </w:r>
    </w:p>
    <w:p w14:paraId="4B5368B1" w14:textId="1BBB133E" w:rsidR="00FB1B89" w:rsidRPr="00592C7C" w:rsidRDefault="00FB1B89" w:rsidP="00FB1B89">
      <w:pPr>
        <w:rPr>
          <w:rFonts w:ascii="Times New Roman" w:hAnsi="Times New Roman" w:cs="Times New Roman"/>
        </w:rPr>
      </w:pPr>
      <w:r w:rsidRPr="00FB1B89">
        <w:rPr>
          <w:rFonts w:ascii="Times New Roman" w:hAnsi="Times New Roman" w:cs="Times New Roman"/>
        </w:rPr>
        <w:t>Four machine learning classifiers, i.e., Random Forest (RF), XGBoost, Support Vector Machine (SVM), and Artificial Neural Network (ANN), were compared using 5-fold spatial block cross-validation to control the impact of spatial autocorrelation. The performance measures were expressed as mean ± standard deviation (SD) across folds (Table 1).</w:t>
      </w:r>
    </w:p>
    <w:p w14:paraId="652FD064" w14:textId="59E42CEF" w:rsidR="00FB1B89" w:rsidRDefault="00FB1B89" w:rsidP="00FB1B89">
      <w:pPr>
        <w:rPr>
          <w:rFonts w:ascii="Times New Roman" w:hAnsi="Times New Roman" w:cs="Times New Roman"/>
          <w:b/>
          <w:bCs/>
        </w:rPr>
      </w:pPr>
      <w:r w:rsidRPr="00FB1B89">
        <w:rPr>
          <w:rFonts w:ascii="Times New Roman" w:hAnsi="Times New Roman" w:cs="Times New Roman"/>
          <w:b/>
          <w:bCs/>
        </w:rPr>
        <w:t>Table 1. Cross-validation performance summary (5-fold mean ± SD)</w:t>
      </w:r>
    </w:p>
    <w:tbl>
      <w:tblPr>
        <w:tblW w:w="7940" w:type="dxa"/>
        <w:tblLook w:val="04A0" w:firstRow="1" w:lastRow="0" w:firstColumn="1" w:lastColumn="0" w:noHBand="0" w:noVBand="1"/>
      </w:tblPr>
      <w:tblGrid>
        <w:gridCol w:w="1180"/>
        <w:gridCol w:w="1400"/>
        <w:gridCol w:w="1420"/>
        <w:gridCol w:w="1120"/>
        <w:gridCol w:w="1380"/>
        <w:gridCol w:w="1440"/>
      </w:tblGrid>
      <w:tr w:rsidR="00FB1B89" w:rsidRPr="00FB1B89" w14:paraId="64E5C39F" w14:textId="77777777" w:rsidTr="00FB1B89">
        <w:trPr>
          <w:trHeight w:val="290"/>
        </w:trPr>
        <w:tc>
          <w:tcPr>
            <w:tcW w:w="1180" w:type="dxa"/>
            <w:tcBorders>
              <w:top w:val="single" w:sz="4" w:space="0" w:color="8EA9DB"/>
              <w:left w:val="single" w:sz="4" w:space="0" w:color="8EA9DB"/>
              <w:bottom w:val="single" w:sz="4" w:space="0" w:color="8EA9DB"/>
              <w:right w:val="nil"/>
            </w:tcBorders>
            <w:shd w:val="clear" w:color="4472C4" w:fill="4472C4"/>
            <w:vAlign w:val="center"/>
            <w:hideMark/>
          </w:tcPr>
          <w:p w14:paraId="2A3F2C87"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Model</w:t>
            </w:r>
          </w:p>
        </w:tc>
        <w:tc>
          <w:tcPr>
            <w:tcW w:w="1400" w:type="dxa"/>
            <w:tcBorders>
              <w:top w:val="single" w:sz="4" w:space="0" w:color="8EA9DB"/>
              <w:left w:val="nil"/>
              <w:bottom w:val="single" w:sz="4" w:space="0" w:color="8EA9DB"/>
              <w:right w:val="nil"/>
            </w:tcBorders>
            <w:shd w:val="clear" w:color="4472C4" w:fill="4472C4"/>
            <w:vAlign w:val="center"/>
            <w:hideMark/>
          </w:tcPr>
          <w:p w14:paraId="549C10CE"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Accuracy</w:t>
            </w:r>
          </w:p>
        </w:tc>
        <w:tc>
          <w:tcPr>
            <w:tcW w:w="1420" w:type="dxa"/>
            <w:tcBorders>
              <w:top w:val="single" w:sz="4" w:space="0" w:color="8EA9DB"/>
              <w:left w:val="nil"/>
              <w:bottom w:val="single" w:sz="4" w:space="0" w:color="8EA9DB"/>
              <w:right w:val="nil"/>
            </w:tcBorders>
            <w:shd w:val="clear" w:color="4472C4" w:fill="4472C4"/>
            <w:vAlign w:val="center"/>
            <w:hideMark/>
          </w:tcPr>
          <w:p w14:paraId="023D9FE8"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Precision</w:t>
            </w:r>
          </w:p>
        </w:tc>
        <w:tc>
          <w:tcPr>
            <w:tcW w:w="1120" w:type="dxa"/>
            <w:tcBorders>
              <w:top w:val="single" w:sz="4" w:space="0" w:color="8EA9DB"/>
              <w:left w:val="nil"/>
              <w:bottom w:val="single" w:sz="4" w:space="0" w:color="8EA9DB"/>
              <w:right w:val="nil"/>
            </w:tcBorders>
            <w:shd w:val="clear" w:color="4472C4" w:fill="4472C4"/>
            <w:vAlign w:val="center"/>
            <w:hideMark/>
          </w:tcPr>
          <w:p w14:paraId="112C3E6F"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Recall</w:t>
            </w:r>
          </w:p>
        </w:tc>
        <w:tc>
          <w:tcPr>
            <w:tcW w:w="1380" w:type="dxa"/>
            <w:tcBorders>
              <w:top w:val="single" w:sz="4" w:space="0" w:color="8EA9DB"/>
              <w:left w:val="nil"/>
              <w:bottom w:val="single" w:sz="4" w:space="0" w:color="8EA9DB"/>
              <w:right w:val="nil"/>
            </w:tcBorders>
            <w:shd w:val="clear" w:color="4472C4" w:fill="4472C4"/>
            <w:vAlign w:val="center"/>
            <w:hideMark/>
          </w:tcPr>
          <w:p w14:paraId="6963CFD0"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F1-Score</w:t>
            </w:r>
          </w:p>
        </w:tc>
        <w:tc>
          <w:tcPr>
            <w:tcW w:w="1440" w:type="dxa"/>
            <w:tcBorders>
              <w:top w:val="single" w:sz="4" w:space="0" w:color="8EA9DB"/>
              <w:left w:val="nil"/>
              <w:bottom w:val="single" w:sz="4" w:space="0" w:color="8EA9DB"/>
              <w:right w:val="single" w:sz="4" w:space="0" w:color="8EA9DB"/>
            </w:tcBorders>
            <w:shd w:val="clear" w:color="4472C4" w:fill="4472C4"/>
            <w:vAlign w:val="center"/>
            <w:hideMark/>
          </w:tcPr>
          <w:p w14:paraId="352844D7" w14:textId="77777777" w:rsidR="00FB1B89" w:rsidRPr="00FB1B89" w:rsidRDefault="00FB1B89" w:rsidP="00FB1B89">
            <w:pPr>
              <w:spacing w:after="0" w:line="240" w:lineRule="auto"/>
              <w:jc w:val="center"/>
              <w:rPr>
                <w:rFonts w:ascii="Calibri" w:eastAsia="Times New Roman" w:hAnsi="Calibri" w:cs="Calibri"/>
                <w:b/>
                <w:bCs/>
                <w:color w:val="FFFFFF"/>
                <w:kern w:val="0"/>
                <w:sz w:val="22"/>
                <w:szCs w:val="22"/>
                <w14:ligatures w14:val="none"/>
              </w:rPr>
            </w:pPr>
            <w:r w:rsidRPr="00FB1B89">
              <w:rPr>
                <w:rFonts w:ascii="Calibri" w:eastAsia="Times New Roman" w:hAnsi="Calibri" w:cs="Calibri"/>
                <w:b/>
                <w:bCs/>
                <w:color w:val="FFFFFF"/>
                <w:kern w:val="0"/>
                <w:sz w:val="22"/>
                <w:szCs w:val="22"/>
                <w14:ligatures w14:val="none"/>
              </w:rPr>
              <w:t>ROC-AUC</w:t>
            </w:r>
          </w:p>
        </w:tc>
      </w:tr>
      <w:tr w:rsidR="00FB1B89" w:rsidRPr="00FB1B89" w14:paraId="2CF927A5" w14:textId="77777777" w:rsidTr="00FB1B89">
        <w:trPr>
          <w:trHeight w:val="580"/>
        </w:trPr>
        <w:tc>
          <w:tcPr>
            <w:tcW w:w="1180" w:type="dxa"/>
            <w:tcBorders>
              <w:top w:val="single" w:sz="4" w:space="0" w:color="8EA9DB"/>
              <w:left w:val="single" w:sz="4" w:space="0" w:color="8EA9DB"/>
              <w:bottom w:val="single" w:sz="4" w:space="0" w:color="8EA9DB"/>
              <w:right w:val="nil"/>
            </w:tcBorders>
            <w:shd w:val="clear" w:color="D9E1F2" w:fill="D9E1F2"/>
            <w:vAlign w:val="center"/>
            <w:hideMark/>
          </w:tcPr>
          <w:p w14:paraId="5D8E8A98"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Random Forest</w:t>
            </w:r>
          </w:p>
        </w:tc>
        <w:tc>
          <w:tcPr>
            <w:tcW w:w="1400" w:type="dxa"/>
            <w:tcBorders>
              <w:top w:val="single" w:sz="4" w:space="0" w:color="8EA9DB"/>
              <w:left w:val="nil"/>
              <w:bottom w:val="single" w:sz="4" w:space="0" w:color="8EA9DB"/>
              <w:right w:val="nil"/>
            </w:tcBorders>
            <w:shd w:val="clear" w:color="D9E1F2" w:fill="D9E1F2"/>
            <w:vAlign w:val="center"/>
            <w:hideMark/>
          </w:tcPr>
          <w:p w14:paraId="4067CF45" w14:textId="77777777" w:rsidR="00FB1B89" w:rsidRPr="00FB1B89" w:rsidRDefault="00FB1B89" w:rsidP="00FB1B89">
            <w:pPr>
              <w:spacing w:after="0" w:line="240" w:lineRule="auto"/>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0.921 ± 0.012</w:t>
            </w:r>
          </w:p>
        </w:tc>
        <w:tc>
          <w:tcPr>
            <w:tcW w:w="1420" w:type="dxa"/>
            <w:tcBorders>
              <w:top w:val="single" w:sz="4" w:space="0" w:color="8EA9DB"/>
              <w:left w:val="nil"/>
              <w:bottom w:val="single" w:sz="4" w:space="0" w:color="8EA9DB"/>
              <w:right w:val="nil"/>
            </w:tcBorders>
            <w:shd w:val="clear" w:color="D9E1F2" w:fill="D9E1F2"/>
            <w:vAlign w:val="center"/>
            <w:hideMark/>
          </w:tcPr>
          <w:p w14:paraId="6987730A"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120" w:type="dxa"/>
            <w:tcBorders>
              <w:top w:val="single" w:sz="4" w:space="0" w:color="8EA9DB"/>
              <w:left w:val="nil"/>
              <w:bottom w:val="single" w:sz="4" w:space="0" w:color="8EA9DB"/>
              <w:right w:val="nil"/>
            </w:tcBorders>
            <w:shd w:val="clear" w:color="D9E1F2" w:fill="D9E1F2"/>
            <w:vAlign w:val="center"/>
            <w:hideMark/>
          </w:tcPr>
          <w:p w14:paraId="0C5532D5" w14:textId="77777777" w:rsidR="00FB1B89" w:rsidRPr="00FB1B89" w:rsidRDefault="00FB1B89" w:rsidP="00FB1B89">
            <w:pPr>
              <w:spacing w:after="0" w:line="240" w:lineRule="auto"/>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0.93 ± 0.02</w:t>
            </w:r>
          </w:p>
        </w:tc>
        <w:tc>
          <w:tcPr>
            <w:tcW w:w="1380" w:type="dxa"/>
            <w:tcBorders>
              <w:top w:val="single" w:sz="4" w:space="0" w:color="8EA9DB"/>
              <w:left w:val="nil"/>
              <w:bottom w:val="single" w:sz="4" w:space="0" w:color="8EA9DB"/>
              <w:right w:val="nil"/>
            </w:tcBorders>
            <w:shd w:val="clear" w:color="D9E1F2" w:fill="D9E1F2"/>
            <w:vAlign w:val="center"/>
            <w:hideMark/>
          </w:tcPr>
          <w:p w14:paraId="3B8BD3F2"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440" w:type="dxa"/>
            <w:tcBorders>
              <w:top w:val="single" w:sz="4" w:space="0" w:color="8EA9DB"/>
              <w:left w:val="nil"/>
              <w:bottom w:val="single" w:sz="4" w:space="0" w:color="8EA9DB"/>
              <w:right w:val="single" w:sz="4" w:space="0" w:color="8EA9DB"/>
            </w:tcBorders>
            <w:shd w:val="clear" w:color="D9E1F2" w:fill="D9E1F2"/>
            <w:vAlign w:val="center"/>
            <w:hideMark/>
          </w:tcPr>
          <w:p w14:paraId="7E4EB816" w14:textId="77777777" w:rsidR="00FB1B89" w:rsidRPr="00FB1B89" w:rsidRDefault="00FB1B89" w:rsidP="00FB1B89">
            <w:pPr>
              <w:spacing w:after="0" w:line="240" w:lineRule="auto"/>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0.972 ± 0.008</w:t>
            </w:r>
          </w:p>
        </w:tc>
      </w:tr>
      <w:tr w:rsidR="00FB1B89" w:rsidRPr="00FB1B89" w14:paraId="7F71661F" w14:textId="77777777" w:rsidTr="00FB1B89">
        <w:trPr>
          <w:trHeight w:val="580"/>
        </w:trPr>
        <w:tc>
          <w:tcPr>
            <w:tcW w:w="1180" w:type="dxa"/>
            <w:tcBorders>
              <w:top w:val="single" w:sz="4" w:space="0" w:color="8EA9DB"/>
              <w:left w:val="single" w:sz="4" w:space="0" w:color="8EA9DB"/>
              <w:bottom w:val="single" w:sz="4" w:space="0" w:color="8EA9DB"/>
              <w:right w:val="nil"/>
            </w:tcBorders>
            <w:vAlign w:val="center"/>
            <w:hideMark/>
          </w:tcPr>
          <w:p w14:paraId="6D729DF6"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XGBoost</w:t>
            </w:r>
          </w:p>
        </w:tc>
        <w:tc>
          <w:tcPr>
            <w:tcW w:w="1400" w:type="dxa"/>
            <w:tcBorders>
              <w:top w:val="single" w:sz="4" w:space="0" w:color="8EA9DB"/>
              <w:left w:val="nil"/>
              <w:bottom w:val="single" w:sz="4" w:space="0" w:color="8EA9DB"/>
              <w:right w:val="nil"/>
            </w:tcBorders>
            <w:vAlign w:val="center"/>
            <w:hideMark/>
          </w:tcPr>
          <w:p w14:paraId="6122C8F9"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0.918 ± 0.015</w:t>
            </w:r>
          </w:p>
        </w:tc>
        <w:tc>
          <w:tcPr>
            <w:tcW w:w="1420" w:type="dxa"/>
            <w:tcBorders>
              <w:top w:val="single" w:sz="4" w:space="0" w:color="8EA9DB"/>
              <w:left w:val="nil"/>
              <w:bottom w:val="single" w:sz="4" w:space="0" w:color="8EA9DB"/>
              <w:right w:val="nil"/>
            </w:tcBorders>
            <w:vAlign w:val="center"/>
            <w:hideMark/>
          </w:tcPr>
          <w:p w14:paraId="0E84D3CC" w14:textId="77777777" w:rsidR="00FB1B89" w:rsidRPr="00FB1B89" w:rsidRDefault="00FB1B89" w:rsidP="00FB1B89">
            <w:pPr>
              <w:spacing w:after="0" w:line="240" w:lineRule="auto"/>
              <w:rPr>
                <w:rFonts w:ascii="Calibri" w:eastAsia="Times New Roman" w:hAnsi="Calibri" w:cs="Calibri"/>
                <w:b/>
                <w:bCs/>
                <w:color w:val="000000"/>
                <w:kern w:val="0"/>
                <w:sz w:val="22"/>
                <w:szCs w:val="22"/>
                <w14:ligatures w14:val="none"/>
              </w:rPr>
            </w:pPr>
            <w:r w:rsidRPr="00FB1B89">
              <w:rPr>
                <w:rFonts w:ascii="Calibri" w:eastAsia="Times New Roman" w:hAnsi="Calibri" w:cs="Calibri"/>
                <w:b/>
                <w:bCs/>
                <w:color w:val="000000"/>
                <w:kern w:val="0"/>
                <w:sz w:val="22"/>
                <w:szCs w:val="22"/>
                <w14:ligatures w14:val="none"/>
              </w:rPr>
              <w:t>0.92 ± 0.01</w:t>
            </w:r>
          </w:p>
        </w:tc>
        <w:tc>
          <w:tcPr>
            <w:tcW w:w="1120" w:type="dxa"/>
            <w:tcBorders>
              <w:top w:val="single" w:sz="4" w:space="0" w:color="8EA9DB"/>
              <w:left w:val="nil"/>
              <w:bottom w:val="single" w:sz="4" w:space="0" w:color="8EA9DB"/>
              <w:right w:val="nil"/>
            </w:tcBorders>
            <w:vAlign w:val="center"/>
            <w:hideMark/>
          </w:tcPr>
          <w:p w14:paraId="18BDFCB3"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0.02</w:t>
            </w:r>
          </w:p>
        </w:tc>
        <w:tc>
          <w:tcPr>
            <w:tcW w:w="1380" w:type="dxa"/>
            <w:tcBorders>
              <w:top w:val="single" w:sz="4" w:space="0" w:color="8EA9DB"/>
              <w:left w:val="nil"/>
              <w:bottom w:val="single" w:sz="4" w:space="0" w:color="8EA9DB"/>
              <w:right w:val="nil"/>
            </w:tcBorders>
            <w:vAlign w:val="center"/>
            <w:hideMark/>
          </w:tcPr>
          <w:p w14:paraId="4B940C5C"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0.91 ± 0.01</w:t>
            </w:r>
          </w:p>
        </w:tc>
        <w:tc>
          <w:tcPr>
            <w:tcW w:w="1440" w:type="dxa"/>
            <w:tcBorders>
              <w:top w:val="single" w:sz="4" w:space="0" w:color="8EA9DB"/>
              <w:left w:val="nil"/>
              <w:bottom w:val="single" w:sz="4" w:space="0" w:color="8EA9DB"/>
              <w:right w:val="single" w:sz="4" w:space="0" w:color="8EA9DB"/>
            </w:tcBorders>
            <w:vAlign w:val="center"/>
            <w:hideMark/>
          </w:tcPr>
          <w:p w14:paraId="09AAFB25"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0.963 ± 0.010</w:t>
            </w:r>
          </w:p>
        </w:tc>
      </w:tr>
      <w:tr w:rsidR="00FB1B89" w:rsidRPr="00FB1B89" w14:paraId="00B09CE7" w14:textId="77777777" w:rsidTr="00FB1B89">
        <w:trPr>
          <w:trHeight w:val="580"/>
        </w:trPr>
        <w:tc>
          <w:tcPr>
            <w:tcW w:w="1180" w:type="dxa"/>
            <w:tcBorders>
              <w:top w:val="single" w:sz="4" w:space="0" w:color="8EA9DB"/>
              <w:left w:val="single" w:sz="4" w:space="0" w:color="8EA9DB"/>
              <w:bottom w:val="single" w:sz="4" w:space="0" w:color="8EA9DB"/>
              <w:right w:val="nil"/>
            </w:tcBorders>
            <w:shd w:val="clear" w:color="D9E1F2" w:fill="D9E1F2"/>
            <w:vAlign w:val="center"/>
            <w:hideMark/>
          </w:tcPr>
          <w:p w14:paraId="3C67AF7E"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SVM</w:t>
            </w:r>
          </w:p>
        </w:tc>
        <w:tc>
          <w:tcPr>
            <w:tcW w:w="1400" w:type="dxa"/>
            <w:tcBorders>
              <w:top w:val="single" w:sz="4" w:space="0" w:color="8EA9DB"/>
              <w:left w:val="nil"/>
              <w:bottom w:val="single" w:sz="4" w:space="0" w:color="8EA9DB"/>
              <w:right w:val="nil"/>
            </w:tcBorders>
            <w:shd w:val="clear" w:color="D9E1F2" w:fill="D9E1F2"/>
            <w:vAlign w:val="center"/>
            <w:hideMark/>
          </w:tcPr>
          <w:p w14:paraId="70C454E7"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0.884 ± 0.019</w:t>
            </w:r>
          </w:p>
        </w:tc>
        <w:tc>
          <w:tcPr>
            <w:tcW w:w="1420" w:type="dxa"/>
            <w:tcBorders>
              <w:top w:val="single" w:sz="4" w:space="0" w:color="8EA9DB"/>
              <w:left w:val="nil"/>
              <w:bottom w:val="single" w:sz="4" w:space="0" w:color="8EA9DB"/>
              <w:right w:val="nil"/>
            </w:tcBorders>
            <w:shd w:val="clear" w:color="D9E1F2" w:fill="D9E1F2"/>
            <w:vAlign w:val="center"/>
            <w:hideMark/>
          </w:tcPr>
          <w:p w14:paraId="36FA23D8"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120" w:type="dxa"/>
            <w:tcBorders>
              <w:top w:val="single" w:sz="4" w:space="0" w:color="8EA9DB"/>
              <w:left w:val="nil"/>
              <w:bottom w:val="single" w:sz="4" w:space="0" w:color="8EA9DB"/>
              <w:right w:val="nil"/>
            </w:tcBorders>
            <w:shd w:val="clear" w:color="D9E1F2" w:fill="D9E1F2"/>
            <w:vAlign w:val="center"/>
            <w:hideMark/>
          </w:tcPr>
          <w:p w14:paraId="353DEE1C"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0.86 ± 0.02</w:t>
            </w:r>
          </w:p>
        </w:tc>
        <w:tc>
          <w:tcPr>
            <w:tcW w:w="1380" w:type="dxa"/>
            <w:tcBorders>
              <w:top w:val="single" w:sz="4" w:space="0" w:color="8EA9DB"/>
              <w:left w:val="nil"/>
              <w:bottom w:val="single" w:sz="4" w:space="0" w:color="8EA9DB"/>
              <w:right w:val="nil"/>
            </w:tcBorders>
            <w:shd w:val="clear" w:color="D9E1F2" w:fill="D9E1F2"/>
            <w:vAlign w:val="center"/>
            <w:hideMark/>
          </w:tcPr>
          <w:p w14:paraId="23E47D71"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0.86 ± 0.02</w:t>
            </w:r>
          </w:p>
        </w:tc>
        <w:tc>
          <w:tcPr>
            <w:tcW w:w="1440" w:type="dxa"/>
            <w:tcBorders>
              <w:top w:val="single" w:sz="4" w:space="0" w:color="8EA9DB"/>
              <w:left w:val="nil"/>
              <w:bottom w:val="single" w:sz="4" w:space="0" w:color="8EA9DB"/>
              <w:right w:val="single" w:sz="4" w:space="0" w:color="8EA9DB"/>
            </w:tcBorders>
            <w:shd w:val="clear" w:color="D9E1F2" w:fill="D9E1F2"/>
            <w:vAlign w:val="center"/>
            <w:hideMark/>
          </w:tcPr>
          <w:p w14:paraId="0FAD26A7"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0.921 ± 0.014</w:t>
            </w:r>
          </w:p>
        </w:tc>
      </w:tr>
      <w:tr w:rsidR="00FB1B89" w:rsidRPr="00FB1B89" w14:paraId="54FF0A41" w14:textId="77777777" w:rsidTr="00FB1B89">
        <w:trPr>
          <w:trHeight w:val="580"/>
        </w:trPr>
        <w:tc>
          <w:tcPr>
            <w:tcW w:w="1180" w:type="dxa"/>
            <w:tcBorders>
              <w:top w:val="single" w:sz="4" w:space="0" w:color="8EA9DB"/>
              <w:left w:val="single" w:sz="4" w:space="0" w:color="8EA9DB"/>
              <w:bottom w:val="single" w:sz="4" w:space="0" w:color="8EA9DB"/>
              <w:right w:val="nil"/>
            </w:tcBorders>
            <w:vAlign w:val="center"/>
            <w:hideMark/>
          </w:tcPr>
          <w:p w14:paraId="1280014B"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ANN</w:t>
            </w:r>
          </w:p>
        </w:tc>
        <w:tc>
          <w:tcPr>
            <w:tcW w:w="1400" w:type="dxa"/>
            <w:tcBorders>
              <w:top w:val="single" w:sz="4" w:space="0" w:color="8EA9DB"/>
              <w:left w:val="nil"/>
              <w:bottom w:val="single" w:sz="4" w:space="0" w:color="8EA9DB"/>
              <w:right w:val="nil"/>
            </w:tcBorders>
            <w:vAlign w:val="center"/>
            <w:hideMark/>
          </w:tcPr>
          <w:p w14:paraId="53BE56A3"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0.892 ± 0.016</w:t>
            </w:r>
          </w:p>
        </w:tc>
        <w:tc>
          <w:tcPr>
            <w:tcW w:w="1420" w:type="dxa"/>
            <w:tcBorders>
              <w:top w:val="single" w:sz="4" w:space="0" w:color="8EA9DB"/>
              <w:left w:val="nil"/>
              <w:bottom w:val="single" w:sz="4" w:space="0" w:color="8EA9DB"/>
              <w:right w:val="nil"/>
            </w:tcBorders>
            <w:vAlign w:val="center"/>
            <w:hideMark/>
          </w:tcPr>
          <w:p w14:paraId="480E9FFE"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0.88 ± 0.01</w:t>
            </w:r>
          </w:p>
        </w:tc>
        <w:tc>
          <w:tcPr>
            <w:tcW w:w="1120" w:type="dxa"/>
            <w:tcBorders>
              <w:top w:val="single" w:sz="4" w:space="0" w:color="8EA9DB"/>
              <w:left w:val="nil"/>
              <w:bottom w:val="single" w:sz="4" w:space="0" w:color="8EA9DB"/>
              <w:right w:val="nil"/>
            </w:tcBorders>
            <w:vAlign w:val="center"/>
            <w:hideMark/>
          </w:tcPr>
          <w:p w14:paraId="741C9D4D"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380" w:type="dxa"/>
            <w:tcBorders>
              <w:top w:val="single" w:sz="4" w:space="0" w:color="8EA9DB"/>
              <w:left w:val="nil"/>
              <w:bottom w:val="single" w:sz="4" w:space="0" w:color="8EA9DB"/>
              <w:right w:val="nil"/>
            </w:tcBorders>
            <w:vAlign w:val="center"/>
            <w:hideMark/>
          </w:tcPr>
          <w:p w14:paraId="08CB7E80"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0.87 ± 0.02</w:t>
            </w:r>
          </w:p>
        </w:tc>
        <w:tc>
          <w:tcPr>
            <w:tcW w:w="1440" w:type="dxa"/>
            <w:tcBorders>
              <w:top w:val="single" w:sz="4" w:space="0" w:color="8EA9DB"/>
              <w:left w:val="nil"/>
              <w:bottom w:val="single" w:sz="4" w:space="0" w:color="8EA9DB"/>
              <w:right w:val="single" w:sz="4" w:space="0" w:color="8EA9DB"/>
            </w:tcBorders>
            <w:vAlign w:val="center"/>
            <w:hideMark/>
          </w:tcPr>
          <w:p w14:paraId="01C09ACB" w14:textId="77777777" w:rsidR="00FB1B89" w:rsidRPr="00FB1B89" w:rsidRDefault="00FB1B89" w:rsidP="00FB1B89">
            <w:pPr>
              <w:spacing w:after="0" w:line="240" w:lineRule="auto"/>
              <w:rPr>
                <w:rFonts w:ascii="Calibri" w:eastAsia="Times New Roman" w:hAnsi="Calibri" w:cs="Calibri"/>
                <w:color w:val="000000"/>
                <w:kern w:val="0"/>
                <w:sz w:val="22"/>
                <w:szCs w:val="22"/>
                <w14:ligatures w14:val="none"/>
              </w:rPr>
            </w:pPr>
            <w:r w:rsidRPr="00FB1B89">
              <w:rPr>
                <w:rFonts w:ascii="Calibri" w:eastAsia="Times New Roman" w:hAnsi="Calibri" w:cs="Calibri"/>
                <w:color w:val="000000"/>
                <w:kern w:val="0"/>
                <w:sz w:val="22"/>
                <w:szCs w:val="22"/>
                <w14:ligatures w14:val="none"/>
              </w:rPr>
              <w:t>0.931 ± 0.012</w:t>
            </w:r>
          </w:p>
        </w:tc>
      </w:tr>
    </w:tbl>
    <w:p w14:paraId="14111E25" w14:textId="77777777" w:rsidR="00FB1B89" w:rsidRDefault="00FB1B89" w:rsidP="00FB1B89">
      <w:pPr>
        <w:rPr>
          <w:rFonts w:ascii="Times New Roman" w:hAnsi="Times New Roman" w:cs="Times New Roman"/>
          <w:b/>
          <w:bCs/>
        </w:rPr>
      </w:pPr>
    </w:p>
    <w:p w14:paraId="2483943A" w14:textId="72DDF5EE" w:rsidR="00592C7C" w:rsidRDefault="00592C7C" w:rsidP="00006515">
      <w:pPr>
        <w:rPr>
          <w:rFonts w:ascii="Times New Roman" w:hAnsi="Times New Roman" w:cs="Times New Roman"/>
          <w:b/>
          <w:bCs/>
          <w:lang w:val="en-GB"/>
        </w:rPr>
      </w:pPr>
      <w:r>
        <w:rPr>
          <w:rFonts w:ascii="Times New Roman" w:hAnsi="Times New Roman" w:cs="Times New Roman"/>
          <w:b/>
          <w:bCs/>
        </w:rPr>
        <w:tab/>
      </w:r>
      <w:r>
        <w:rPr>
          <w:rFonts w:ascii="Times New Roman" w:hAnsi="Times New Roman" w:cs="Times New Roman"/>
          <w:b/>
          <w:bCs/>
        </w:rPr>
        <w:tab/>
      </w:r>
      <w:r>
        <w:rPr>
          <w:noProof/>
        </w:rPr>
        <w:drawing>
          <wp:inline distT="0" distB="0" distL="0" distR="0" wp14:anchorId="79C9F91C" wp14:editId="79F50E8F">
            <wp:extent cx="4095750" cy="2228850"/>
            <wp:effectExtent l="0" t="0" r="0" b="0"/>
            <wp:docPr id="300988048" name="Chart 1">
              <a:extLst xmlns:a="http://schemas.openxmlformats.org/drawingml/2006/main">
                <a:ext uri="{FF2B5EF4-FFF2-40B4-BE49-F238E27FC236}">
                  <a16:creationId xmlns:a16="http://schemas.microsoft.com/office/drawing/2014/main" id="{E703BB7A-9F69-9583-5E65-1407F9767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655A2E" w14:textId="76409562" w:rsidR="00665A95" w:rsidRPr="00665A95" w:rsidRDefault="00665A95" w:rsidP="00006515">
      <w:pPr>
        <w:rPr>
          <w:rFonts w:ascii="Times New Roman" w:hAnsi="Times New Roman" w:cs="Times New Roman"/>
          <w:b/>
          <w:bCs/>
          <w:lang w:val="en-GB"/>
        </w:rPr>
      </w:pPr>
      <w:r>
        <w:rPr>
          <w:rFonts w:ascii="Times New Roman" w:hAnsi="Times New Roman" w:cs="Times New Roman"/>
          <w:b/>
          <w:bCs/>
          <w:lang w:val="en-GB"/>
        </w:rPr>
        <w:t xml:space="preserve">Fig 3: </w:t>
      </w:r>
      <w:r w:rsidRPr="00665A95">
        <w:rPr>
          <w:rFonts w:ascii="Times New Roman" w:hAnsi="Times New Roman" w:cs="Times New Roman"/>
          <w:b/>
          <w:bCs/>
          <w:lang w:val="en-GB"/>
        </w:rPr>
        <w:t>Cross-validation performance summary</w:t>
      </w:r>
    </w:p>
    <w:p w14:paraId="3926AF6B" w14:textId="5C02F789" w:rsidR="00592C7C" w:rsidRPr="00592C7C" w:rsidRDefault="00592C7C" w:rsidP="00592C7C">
      <w:pPr>
        <w:rPr>
          <w:rFonts w:ascii="Times New Roman" w:hAnsi="Times New Roman" w:cs="Times New Roman"/>
        </w:rPr>
      </w:pPr>
      <w:r w:rsidRPr="00592C7C">
        <w:rPr>
          <w:rFonts w:ascii="Times New Roman" w:hAnsi="Times New Roman" w:cs="Times New Roman"/>
        </w:rPr>
        <w:t>RF performed best overall, with the highest ROC-AUC (0.972) and recall (0.93), which means that it performed best at detecting real flooded points.</w:t>
      </w:r>
    </w:p>
    <w:p w14:paraId="3D883B81" w14:textId="269923E6" w:rsidR="00592C7C" w:rsidRPr="00592C7C" w:rsidRDefault="00592C7C" w:rsidP="00592C7C">
      <w:pPr>
        <w:rPr>
          <w:rFonts w:ascii="Times New Roman" w:hAnsi="Times New Roman" w:cs="Times New Roman"/>
        </w:rPr>
      </w:pPr>
      <w:r w:rsidRPr="00592C7C">
        <w:rPr>
          <w:rFonts w:ascii="Times New Roman" w:hAnsi="Times New Roman" w:cs="Times New Roman"/>
        </w:rPr>
        <w:t>XGBoost performed best in precision (0.92), so it performed best at minimizing false alarms.</w:t>
      </w:r>
    </w:p>
    <w:p w14:paraId="0D47D52B" w14:textId="2E5FA712" w:rsidR="00592C7C" w:rsidRDefault="00592C7C" w:rsidP="00592C7C">
      <w:pPr>
        <w:rPr>
          <w:rFonts w:ascii="Times New Roman" w:hAnsi="Times New Roman" w:cs="Times New Roman"/>
        </w:rPr>
      </w:pPr>
      <w:r w:rsidRPr="00592C7C">
        <w:rPr>
          <w:rFonts w:ascii="Times New Roman" w:hAnsi="Times New Roman" w:cs="Times New Roman"/>
        </w:rPr>
        <w:t>SVM and ANN performed less than ensemble algorithms because they are affected by noisy and complex urban features</w:t>
      </w:r>
    </w:p>
    <w:p w14:paraId="0C0ABC0C" w14:textId="266DB195" w:rsidR="00592C7C" w:rsidRPr="00B5511E" w:rsidRDefault="00592C7C" w:rsidP="00592C7C">
      <w:pPr>
        <w:rPr>
          <w:rFonts w:ascii="Times New Roman" w:hAnsi="Times New Roman" w:cs="Times New Roman"/>
          <w:b/>
          <w:bCs/>
        </w:rPr>
      </w:pPr>
      <w:r w:rsidRPr="00592C7C">
        <w:rPr>
          <w:rFonts w:ascii="Times New Roman" w:hAnsi="Times New Roman" w:cs="Times New Roman"/>
          <w:b/>
          <w:bCs/>
        </w:rPr>
        <w:t>Confusion Matrix Analysis</w:t>
      </w:r>
    </w:p>
    <w:p w14:paraId="12DCD654" w14:textId="77777777" w:rsidR="00592C7C" w:rsidRPr="00592C7C" w:rsidRDefault="00592C7C" w:rsidP="00592C7C">
      <w:pPr>
        <w:rPr>
          <w:rFonts w:ascii="Times New Roman" w:hAnsi="Times New Roman" w:cs="Times New Roman"/>
        </w:rPr>
      </w:pPr>
      <w:r w:rsidRPr="00592C7C">
        <w:rPr>
          <w:rFonts w:ascii="Times New Roman" w:hAnsi="Times New Roman" w:cs="Times New Roman"/>
        </w:rPr>
        <w:t>The confusion matrices (Table 2) are the average classification results per fold.</w:t>
      </w:r>
    </w:p>
    <w:p w14:paraId="21E0A3C7" w14:textId="38D97E97" w:rsidR="00592C7C" w:rsidRDefault="00592C7C" w:rsidP="00592C7C">
      <w:pPr>
        <w:rPr>
          <w:rFonts w:ascii="Times New Roman" w:hAnsi="Times New Roman" w:cs="Times New Roman"/>
          <w:b/>
          <w:bCs/>
        </w:rPr>
      </w:pPr>
      <w:r w:rsidRPr="00B615D9">
        <w:rPr>
          <w:rFonts w:ascii="Times New Roman" w:hAnsi="Times New Roman" w:cs="Times New Roman"/>
          <w:b/>
          <w:bCs/>
        </w:rPr>
        <w:t>Table 2. Average confusion matrices (per fold, mean values)</w:t>
      </w:r>
    </w:p>
    <w:tbl>
      <w:tblPr>
        <w:tblW w:w="9460" w:type="dxa"/>
        <w:tblLook w:val="04A0" w:firstRow="1" w:lastRow="0" w:firstColumn="1" w:lastColumn="0" w:noHBand="0" w:noVBand="1"/>
      </w:tblPr>
      <w:tblGrid>
        <w:gridCol w:w="1200"/>
        <w:gridCol w:w="1920"/>
        <w:gridCol w:w="2060"/>
        <w:gridCol w:w="1960"/>
        <w:gridCol w:w="2320"/>
      </w:tblGrid>
      <w:tr w:rsidR="00B615D9" w:rsidRPr="00B615D9" w14:paraId="19576BAD" w14:textId="77777777" w:rsidTr="00B615D9">
        <w:trPr>
          <w:trHeight w:val="290"/>
        </w:trPr>
        <w:tc>
          <w:tcPr>
            <w:tcW w:w="1200" w:type="dxa"/>
            <w:tcBorders>
              <w:top w:val="single" w:sz="4" w:space="0" w:color="8EA9DB"/>
              <w:left w:val="single" w:sz="4" w:space="0" w:color="8EA9DB"/>
              <w:bottom w:val="single" w:sz="4" w:space="0" w:color="8EA9DB"/>
              <w:right w:val="nil"/>
            </w:tcBorders>
            <w:shd w:val="clear" w:color="4472C4" w:fill="4472C4"/>
            <w:vAlign w:val="center"/>
            <w:hideMark/>
          </w:tcPr>
          <w:p w14:paraId="5B14DF7D" w14:textId="77777777" w:rsidR="00B615D9" w:rsidRPr="00B615D9" w:rsidRDefault="00B615D9" w:rsidP="00B615D9">
            <w:pPr>
              <w:spacing w:after="0" w:line="240" w:lineRule="auto"/>
              <w:jc w:val="center"/>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Model</w:t>
            </w:r>
          </w:p>
        </w:tc>
        <w:tc>
          <w:tcPr>
            <w:tcW w:w="1920" w:type="dxa"/>
            <w:tcBorders>
              <w:top w:val="single" w:sz="4" w:space="0" w:color="8EA9DB"/>
              <w:left w:val="nil"/>
              <w:bottom w:val="single" w:sz="4" w:space="0" w:color="8EA9DB"/>
              <w:right w:val="nil"/>
            </w:tcBorders>
            <w:shd w:val="clear" w:color="4472C4" w:fill="4472C4"/>
            <w:vAlign w:val="center"/>
            <w:hideMark/>
          </w:tcPr>
          <w:p w14:paraId="4ACE9A0C" w14:textId="77777777" w:rsidR="00B615D9" w:rsidRPr="00B615D9" w:rsidRDefault="00B615D9" w:rsidP="00B615D9">
            <w:pPr>
              <w:spacing w:after="0" w:line="240" w:lineRule="auto"/>
              <w:jc w:val="center"/>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True Positive (TP)</w:t>
            </w:r>
          </w:p>
        </w:tc>
        <w:tc>
          <w:tcPr>
            <w:tcW w:w="2060" w:type="dxa"/>
            <w:tcBorders>
              <w:top w:val="single" w:sz="4" w:space="0" w:color="8EA9DB"/>
              <w:left w:val="nil"/>
              <w:bottom w:val="single" w:sz="4" w:space="0" w:color="8EA9DB"/>
              <w:right w:val="nil"/>
            </w:tcBorders>
            <w:shd w:val="clear" w:color="4472C4" w:fill="4472C4"/>
            <w:vAlign w:val="center"/>
            <w:hideMark/>
          </w:tcPr>
          <w:p w14:paraId="72F89DD1" w14:textId="77777777" w:rsidR="00B615D9" w:rsidRPr="00B615D9" w:rsidRDefault="00B615D9" w:rsidP="00B615D9">
            <w:pPr>
              <w:spacing w:after="0" w:line="240" w:lineRule="auto"/>
              <w:jc w:val="center"/>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False Negative (FN)</w:t>
            </w:r>
          </w:p>
        </w:tc>
        <w:tc>
          <w:tcPr>
            <w:tcW w:w="1960" w:type="dxa"/>
            <w:tcBorders>
              <w:top w:val="single" w:sz="4" w:space="0" w:color="8EA9DB"/>
              <w:left w:val="nil"/>
              <w:bottom w:val="single" w:sz="4" w:space="0" w:color="8EA9DB"/>
              <w:right w:val="nil"/>
            </w:tcBorders>
            <w:shd w:val="clear" w:color="4472C4" w:fill="4472C4"/>
            <w:vAlign w:val="center"/>
            <w:hideMark/>
          </w:tcPr>
          <w:p w14:paraId="46CB4480" w14:textId="77777777" w:rsidR="00B615D9" w:rsidRPr="00B615D9" w:rsidRDefault="00B615D9" w:rsidP="00B615D9">
            <w:pPr>
              <w:spacing w:after="0" w:line="240" w:lineRule="auto"/>
              <w:jc w:val="center"/>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False Positive (FP)</w:t>
            </w:r>
          </w:p>
        </w:tc>
        <w:tc>
          <w:tcPr>
            <w:tcW w:w="2320" w:type="dxa"/>
            <w:tcBorders>
              <w:top w:val="single" w:sz="4" w:space="0" w:color="8EA9DB"/>
              <w:left w:val="nil"/>
              <w:bottom w:val="single" w:sz="4" w:space="0" w:color="8EA9DB"/>
              <w:right w:val="single" w:sz="4" w:space="0" w:color="8EA9DB"/>
            </w:tcBorders>
            <w:shd w:val="clear" w:color="4472C4" w:fill="4472C4"/>
            <w:vAlign w:val="center"/>
            <w:hideMark/>
          </w:tcPr>
          <w:p w14:paraId="7F0FB9CA" w14:textId="77777777" w:rsidR="00B615D9" w:rsidRPr="00B615D9" w:rsidRDefault="00B615D9" w:rsidP="00B615D9">
            <w:pPr>
              <w:spacing w:after="0" w:line="240" w:lineRule="auto"/>
              <w:jc w:val="center"/>
              <w:rPr>
                <w:rFonts w:ascii="Calibri" w:eastAsia="Times New Roman" w:hAnsi="Calibri" w:cs="Calibri"/>
                <w:b/>
                <w:bCs/>
                <w:color w:val="FFFFFF"/>
                <w:kern w:val="0"/>
                <w:sz w:val="22"/>
                <w:szCs w:val="22"/>
                <w14:ligatures w14:val="none"/>
              </w:rPr>
            </w:pPr>
            <w:r w:rsidRPr="00B615D9">
              <w:rPr>
                <w:rFonts w:ascii="Calibri" w:eastAsia="Times New Roman" w:hAnsi="Calibri" w:cs="Calibri"/>
                <w:b/>
                <w:bCs/>
                <w:color w:val="FFFFFF"/>
                <w:kern w:val="0"/>
                <w:sz w:val="22"/>
                <w:szCs w:val="22"/>
                <w14:ligatures w14:val="none"/>
              </w:rPr>
              <w:t>True Negative (TN)</w:t>
            </w:r>
          </w:p>
        </w:tc>
      </w:tr>
      <w:tr w:rsidR="00B615D9" w:rsidRPr="00B615D9" w14:paraId="320AEC0D" w14:textId="77777777" w:rsidTr="00B615D9">
        <w:trPr>
          <w:trHeight w:val="580"/>
        </w:trPr>
        <w:tc>
          <w:tcPr>
            <w:tcW w:w="1200" w:type="dxa"/>
            <w:tcBorders>
              <w:top w:val="single" w:sz="4" w:space="0" w:color="8EA9DB"/>
              <w:left w:val="single" w:sz="4" w:space="0" w:color="8EA9DB"/>
              <w:bottom w:val="single" w:sz="4" w:space="0" w:color="8EA9DB"/>
              <w:right w:val="nil"/>
            </w:tcBorders>
            <w:shd w:val="clear" w:color="D9E1F2" w:fill="D9E1F2"/>
            <w:vAlign w:val="center"/>
            <w:hideMark/>
          </w:tcPr>
          <w:p w14:paraId="49CA97E6" w14:textId="77777777" w:rsidR="00B615D9" w:rsidRPr="00B615D9" w:rsidRDefault="00B615D9" w:rsidP="00B615D9">
            <w:pPr>
              <w:spacing w:after="0" w:line="240" w:lineRule="auto"/>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Random Forest</w:t>
            </w:r>
          </w:p>
        </w:tc>
        <w:tc>
          <w:tcPr>
            <w:tcW w:w="1920" w:type="dxa"/>
            <w:tcBorders>
              <w:top w:val="single" w:sz="4" w:space="0" w:color="8EA9DB"/>
              <w:left w:val="nil"/>
              <w:bottom w:val="single" w:sz="4" w:space="0" w:color="8EA9DB"/>
              <w:right w:val="nil"/>
            </w:tcBorders>
            <w:shd w:val="clear" w:color="D9E1F2" w:fill="D9E1F2"/>
            <w:vAlign w:val="center"/>
            <w:hideMark/>
          </w:tcPr>
          <w:p w14:paraId="7C323A67"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65</w:t>
            </w:r>
          </w:p>
        </w:tc>
        <w:tc>
          <w:tcPr>
            <w:tcW w:w="2060" w:type="dxa"/>
            <w:tcBorders>
              <w:top w:val="single" w:sz="4" w:space="0" w:color="8EA9DB"/>
              <w:left w:val="nil"/>
              <w:bottom w:val="single" w:sz="4" w:space="0" w:color="8EA9DB"/>
              <w:right w:val="nil"/>
            </w:tcBorders>
            <w:shd w:val="clear" w:color="D9E1F2" w:fill="D9E1F2"/>
            <w:vAlign w:val="center"/>
            <w:hideMark/>
          </w:tcPr>
          <w:p w14:paraId="2DF7782E"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5</w:t>
            </w:r>
          </w:p>
        </w:tc>
        <w:tc>
          <w:tcPr>
            <w:tcW w:w="1960" w:type="dxa"/>
            <w:tcBorders>
              <w:top w:val="single" w:sz="4" w:space="0" w:color="8EA9DB"/>
              <w:left w:val="nil"/>
              <w:bottom w:val="single" w:sz="4" w:space="0" w:color="8EA9DB"/>
              <w:right w:val="nil"/>
            </w:tcBorders>
            <w:shd w:val="clear" w:color="D9E1F2" w:fill="D9E1F2"/>
            <w:vAlign w:val="center"/>
            <w:hideMark/>
          </w:tcPr>
          <w:p w14:paraId="09CA52CF"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7</w:t>
            </w:r>
          </w:p>
        </w:tc>
        <w:tc>
          <w:tcPr>
            <w:tcW w:w="2320" w:type="dxa"/>
            <w:tcBorders>
              <w:top w:val="single" w:sz="4" w:space="0" w:color="8EA9DB"/>
              <w:left w:val="nil"/>
              <w:bottom w:val="single" w:sz="4" w:space="0" w:color="8EA9DB"/>
              <w:right w:val="single" w:sz="4" w:space="0" w:color="8EA9DB"/>
            </w:tcBorders>
            <w:shd w:val="clear" w:color="D9E1F2" w:fill="D9E1F2"/>
            <w:vAlign w:val="center"/>
            <w:hideMark/>
          </w:tcPr>
          <w:p w14:paraId="31D7775D"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83</w:t>
            </w:r>
          </w:p>
        </w:tc>
      </w:tr>
      <w:tr w:rsidR="00B615D9" w:rsidRPr="00B615D9" w14:paraId="37326036" w14:textId="77777777" w:rsidTr="00B615D9">
        <w:trPr>
          <w:trHeight w:val="290"/>
        </w:trPr>
        <w:tc>
          <w:tcPr>
            <w:tcW w:w="1200" w:type="dxa"/>
            <w:tcBorders>
              <w:top w:val="single" w:sz="4" w:space="0" w:color="8EA9DB"/>
              <w:left w:val="single" w:sz="4" w:space="0" w:color="8EA9DB"/>
              <w:bottom w:val="single" w:sz="4" w:space="0" w:color="8EA9DB"/>
              <w:right w:val="nil"/>
            </w:tcBorders>
            <w:vAlign w:val="center"/>
            <w:hideMark/>
          </w:tcPr>
          <w:p w14:paraId="680E6A37" w14:textId="77777777" w:rsidR="00B615D9" w:rsidRPr="00B615D9" w:rsidRDefault="00B615D9" w:rsidP="00B615D9">
            <w:pPr>
              <w:spacing w:after="0" w:line="240" w:lineRule="auto"/>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XGBoost</w:t>
            </w:r>
          </w:p>
        </w:tc>
        <w:tc>
          <w:tcPr>
            <w:tcW w:w="1920" w:type="dxa"/>
            <w:tcBorders>
              <w:top w:val="single" w:sz="4" w:space="0" w:color="8EA9DB"/>
              <w:left w:val="nil"/>
              <w:bottom w:val="single" w:sz="4" w:space="0" w:color="8EA9DB"/>
              <w:right w:val="nil"/>
            </w:tcBorders>
            <w:vAlign w:val="center"/>
            <w:hideMark/>
          </w:tcPr>
          <w:p w14:paraId="0C0DA25D"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64</w:t>
            </w:r>
          </w:p>
        </w:tc>
        <w:tc>
          <w:tcPr>
            <w:tcW w:w="2060" w:type="dxa"/>
            <w:tcBorders>
              <w:top w:val="single" w:sz="4" w:space="0" w:color="8EA9DB"/>
              <w:left w:val="nil"/>
              <w:bottom w:val="single" w:sz="4" w:space="0" w:color="8EA9DB"/>
              <w:right w:val="nil"/>
            </w:tcBorders>
            <w:vAlign w:val="center"/>
            <w:hideMark/>
          </w:tcPr>
          <w:p w14:paraId="021A9039"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w:t>
            </w:r>
          </w:p>
        </w:tc>
        <w:tc>
          <w:tcPr>
            <w:tcW w:w="1960" w:type="dxa"/>
            <w:tcBorders>
              <w:top w:val="single" w:sz="4" w:space="0" w:color="8EA9DB"/>
              <w:left w:val="nil"/>
              <w:bottom w:val="single" w:sz="4" w:space="0" w:color="8EA9DB"/>
              <w:right w:val="nil"/>
            </w:tcBorders>
            <w:vAlign w:val="center"/>
            <w:hideMark/>
          </w:tcPr>
          <w:p w14:paraId="501B844B"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w:t>
            </w:r>
          </w:p>
        </w:tc>
        <w:tc>
          <w:tcPr>
            <w:tcW w:w="2320" w:type="dxa"/>
            <w:tcBorders>
              <w:top w:val="single" w:sz="4" w:space="0" w:color="8EA9DB"/>
              <w:left w:val="nil"/>
              <w:bottom w:val="single" w:sz="4" w:space="0" w:color="8EA9DB"/>
              <w:right w:val="single" w:sz="4" w:space="0" w:color="8EA9DB"/>
            </w:tcBorders>
            <w:vAlign w:val="center"/>
            <w:hideMark/>
          </w:tcPr>
          <w:p w14:paraId="4AAF03D2"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84</w:t>
            </w:r>
          </w:p>
        </w:tc>
      </w:tr>
      <w:tr w:rsidR="00B615D9" w:rsidRPr="00B615D9" w14:paraId="38A9CA17" w14:textId="77777777" w:rsidTr="00B615D9">
        <w:trPr>
          <w:trHeight w:val="290"/>
        </w:trPr>
        <w:tc>
          <w:tcPr>
            <w:tcW w:w="1200" w:type="dxa"/>
            <w:tcBorders>
              <w:top w:val="single" w:sz="4" w:space="0" w:color="8EA9DB"/>
              <w:left w:val="single" w:sz="4" w:space="0" w:color="8EA9DB"/>
              <w:bottom w:val="single" w:sz="4" w:space="0" w:color="8EA9DB"/>
              <w:right w:val="nil"/>
            </w:tcBorders>
            <w:shd w:val="clear" w:color="D9E1F2" w:fill="D9E1F2"/>
            <w:vAlign w:val="center"/>
            <w:hideMark/>
          </w:tcPr>
          <w:p w14:paraId="22A1D80D" w14:textId="77777777" w:rsidR="00B615D9" w:rsidRPr="00B615D9" w:rsidRDefault="00B615D9" w:rsidP="00B615D9">
            <w:pPr>
              <w:spacing w:after="0" w:line="240" w:lineRule="auto"/>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SVM</w:t>
            </w:r>
          </w:p>
        </w:tc>
        <w:tc>
          <w:tcPr>
            <w:tcW w:w="1920" w:type="dxa"/>
            <w:tcBorders>
              <w:top w:val="single" w:sz="4" w:space="0" w:color="8EA9DB"/>
              <w:left w:val="nil"/>
              <w:bottom w:val="single" w:sz="4" w:space="0" w:color="8EA9DB"/>
              <w:right w:val="nil"/>
            </w:tcBorders>
            <w:shd w:val="clear" w:color="D9E1F2" w:fill="D9E1F2"/>
            <w:vAlign w:val="center"/>
            <w:hideMark/>
          </w:tcPr>
          <w:p w14:paraId="35EA3BCC"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60</w:t>
            </w:r>
          </w:p>
        </w:tc>
        <w:tc>
          <w:tcPr>
            <w:tcW w:w="2060" w:type="dxa"/>
            <w:tcBorders>
              <w:top w:val="single" w:sz="4" w:space="0" w:color="8EA9DB"/>
              <w:left w:val="nil"/>
              <w:bottom w:val="single" w:sz="4" w:space="0" w:color="8EA9DB"/>
              <w:right w:val="nil"/>
            </w:tcBorders>
            <w:shd w:val="clear" w:color="D9E1F2" w:fill="D9E1F2"/>
            <w:vAlign w:val="center"/>
            <w:hideMark/>
          </w:tcPr>
          <w:p w14:paraId="7604C91D"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10</w:t>
            </w:r>
          </w:p>
        </w:tc>
        <w:tc>
          <w:tcPr>
            <w:tcW w:w="1960" w:type="dxa"/>
            <w:tcBorders>
              <w:top w:val="single" w:sz="4" w:space="0" w:color="8EA9DB"/>
              <w:left w:val="nil"/>
              <w:bottom w:val="single" w:sz="4" w:space="0" w:color="8EA9DB"/>
              <w:right w:val="nil"/>
            </w:tcBorders>
            <w:shd w:val="clear" w:color="D9E1F2" w:fill="D9E1F2"/>
            <w:vAlign w:val="center"/>
            <w:hideMark/>
          </w:tcPr>
          <w:p w14:paraId="30A44CBB"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11</w:t>
            </w:r>
          </w:p>
        </w:tc>
        <w:tc>
          <w:tcPr>
            <w:tcW w:w="2320" w:type="dxa"/>
            <w:tcBorders>
              <w:top w:val="single" w:sz="4" w:space="0" w:color="8EA9DB"/>
              <w:left w:val="nil"/>
              <w:bottom w:val="single" w:sz="4" w:space="0" w:color="8EA9DB"/>
              <w:right w:val="single" w:sz="4" w:space="0" w:color="8EA9DB"/>
            </w:tcBorders>
            <w:shd w:val="clear" w:color="D9E1F2" w:fill="D9E1F2"/>
            <w:vAlign w:val="center"/>
            <w:hideMark/>
          </w:tcPr>
          <w:p w14:paraId="2A206AB1"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79</w:t>
            </w:r>
          </w:p>
        </w:tc>
      </w:tr>
      <w:tr w:rsidR="00B615D9" w:rsidRPr="00B615D9" w14:paraId="13D66C2F" w14:textId="77777777" w:rsidTr="00B615D9">
        <w:trPr>
          <w:trHeight w:val="290"/>
        </w:trPr>
        <w:tc>
          <w:tcPr>
            <w:tcW w:w="1200" w:type="dxa"/>
            <w:tcBorders>
              <w:top w:val="single" w:sz="4" w:space="0" w:color="8EA9DB"/>
              <w:left w:val="single" w:sz="4" w:space="0" w:color="8EA9DB"/>
              <w:bottom w:val="single" w:sz="4" w:space="0" w:color="8EA9DB"/>
              <w:right w:val="nil"/>
            </w:tcBorders>
            <w:vAlign w:val="center"/>
            <w:hideMark/>
          </w:tcPr>
          <w:p w14:paraId="64BA9A43" w14:textId="77777777" w:rsidR="00B615D9" w:rsidRPr="00B615D9" w:rsidRDefault="00B615D9" w:rsidP="00B615D9">
            <w:pPr>
              <w:spacing w:after="0" w:line="240" w:lineRule="auto"/>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ANN</w:t>
            </w:r>
          </w:p>
        </w:tc>
        <w:tc>
          <w:tcPr>
            <w:tcW w:w="1920" w:type="dxa"/>
            <w:tcBorders>
              <w:top w:val="single" w:sz="4" w:space="0" w:color="8EA9DB"/>
              <w:left w:val="nil"/>
              <w:bottom w:val="single" w:sz="4" w:space="0" w:color="8EA9DB"/>
              <w:right w:val="nil"/>
            </w:tcBorders>
            <w:vAlign w:val="center"/>
            <w:hideMark/>
          </w:tcPr>
          <w:p w14:paraId="65BCE83C"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61</w:t>
            </w:r>
          </w:p>
        </w:tc>
        <w:tc>
          <w:tcPr>
            <w:tcW w:w="2060" w:type="dxa"/>
            <w:tcBorders>
              <w:top w:val="single" w:sz="4" w:space="0" w:color="8EA9DB"/>
              <w:left w:val="nil"/>
              <w:bottom w:val="single" w:sz="4" w:space="0" w:color="8EA9DB"/>
              <w:right w:val="nil"/>
            </w:tcBorders>
            <w:vAlign w:val="center"/>
            <w:hideMark/>
          </w:tcPr>
          <w:p w14:paraId="1B263538"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9</w:t>
            </w:r>
          </w:p>
        </w:tc>
        <w:tc>
          <w:tcPr>
            <w:tcW w:w="1960" w:type="dxa"/>
            <w:tcBorders>
              <w:top w:val="single" w:sz="4" w:space="0" w:color="8EA9DB"/>
              <w:left w:val="nil"/>
              <w:bottom w:val="single" w:sz="4" w:space="0" w:color="8EA9DB"/>
              <w:right w:val="nil"/>
            </w:tcBorders>
            <w:vAlign w:val="center"/>
            <w:hideMark/>
          </w:tcPr>
          <w:p w14:paraId="23D45CA5"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10</w:t>
            </w:r>
          </w:p>
        </w:tc>
        <w:tc>
          <w:tcPr>
            <w:tcW w:w="2320" w:type="dxa"/>
            <w:tcBorders>
              <w:top w:val="single" w:sz="4" w:space="0" w:color="8EA9DB"/>
              <w:left w:val="nil"/>
              <w:bottom w:val="single" w:sz="4" w:space="0" w:color="8EA9DB"/>
              <w:right w:val="single" w:sz="4" w:space="0" w:color="8EA9DB"/>
            </w:tcBorders>
            <w:vAlign w:val="center"/>
            <w:hideMark/>
          </w:tcPr>
          <w:p w14:paraId="24F2DB5E" w14:textId="77777777" w:rsidR="00B615D9" w:rsidRPr="00B615D9" w:rsidRDefault="00B615D9" w:rsidP="00B615D9">
            <w:pPr>
              <w:spacing w:after="0" w:line="240" w:lineRule="auto"/>
              <w:jc w:val="right"/>
              <w:rPr>
                <w:rFonts w:ascii="Calibri" w:eastAsia="Times New Roman" w:hAnsi="Calibri" w:cs="Calibri"/>
                <w:color w:val="000000"/>
                <w:kern w:val="0"/>
                <w:sz w:val="22"/>
                <w:szCs w:val="22"/>
                <w14:ligatures w14:val="none"/>
              </w:rPr>
            </w:pPr>
            <w:r w:rsidRPr="00B615D9">
              <w:rPr>
                <w:rFonts w:ascii="Calibri" w:eastAsia="Times New Roman" w:hAnsi="Calibri" w:cs="Calibri"/>
                <w:color w:val="000000"/>
                <w:kern w:val="0"/>
                <w:sz w:val="22"/>
                <w:szCs w:val="22"/>
                <w14:ligatures w14:val="none"/>
              </w:rPr>
              <w:t>80</w:t>
            </w:r>
          </w:p>
        </w:tc>
      </w:tr>
    </w:tbl>
    <w:p w14:paraId="6918D2EE" w14:textId="6B448FEA" w:rsidR="00663A27" w:rsidRPr="00665A95" w:rsidRDefault="00665A95" w:rsidP="00592C7C">
      <w:pPr>
        <w:rPr>
          <w:rFonts w:ascii="Times New Roman" w:hAnsi="Times New Roman" w:cs="Times New Roman"/>
          <w:lang w:val="en-GB"/>
        </w:rPr>
      </w:pPr>
      <w:r>
        <w:rPr>
          <w:rFonts w:ascii="Times New Roman" w:hAnsi="Times New Roman" w:cs="Times New Roman"/>
          <w:lang w:val="en-GB"/>
        </w:rPr>
        <w:t xml:space="preserve">Fig 4: </w:t>
      </w:r>
      <w:r w:rsidRPr="00665A95">
        <w:rPr>
          <w:rFonts w:ascii="Times New Roman" w:hAnsi="Times New Roman" w:cs="Times New Roman"/>
          <w:lang w:val="en-GB"/>
        </w:rPr>
        <w:t>Average confusion matrices</w:t>
      </w:r>
    </w:p>
    <w:p w14:paraId="3912E0E4" w14:textId="7BDDF887" w:rsidR="00663A27" w:rsidRDefault="00663A27" w:rsidP="00592C7C">
      <w:pPr>
        <w:rPr>
          <w:rFonts w:ascii="Times New Roman" w:hAnsi="Times New Roman" w:cs="Times New Roman"/>
        </w:rPr>
      </w:pPr>
      <w:r>
        <w:rPr>
          <w:noProof/>
        </w:rPr>
        <w:lastRenderedPageBreak/>
        <w:drawing>
          <wp:inline distT="0" distB="0" distL="0" distR="0" wp14:anchorId="0D945892" wp14:editId="6DC0A642">
            <wp:extent cx="4572000" cy="2743200"/>
            <wp:effectExtent l="0" t="0" r="0" b="0"/>
            <wp:docPr id="1158126541" name="Chart 1">
              <a:extLst xmlns:a="http://schemas.openxmlformats.org/drawingml/2006/main">
                <a:ext uri="{FF2B5EF4-FFF2-40B4-BE49-F238E27FC236}">
                  <a16:creationId xmlns:a16="http://schemas.microsoft.com/office/drawing/2014/main" id="{3193E3C0-2E63-E949-3253-2E6EAC445F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F9A11" w14:textId="7CABA117" w:rsidR="00592C7C" w:rsidRDefault="00592C7C" w:rsidP="00592C7C">
      <w:pPr>
        <w:rPr>
          <w:rFonts w:ascii="Times New Roman" w:hAnsi="Times New Roman" w:cs="Times New Roman"/>
        </w:rPr>
      </w:pPr>
      <w:r w:rsidRPr="00592C7C">
        <w:rPr>
          <w:rFonts w:ascii="Times New Roman" w:hAnsi="Times New Roman" w:cs="Times New Roman"/>
        </w:rPr>
        <w:t>RF correctly identified most of the pixels that were flooded (TP = 65) and possessed fairly low false negatives (FN = 5). XGBoost minimized false positives slightly (FP = 6) but at the expense of a minimal rise in false negatives. SVM and ANN were more susceptible to false negatives, which would restrain their use in flood detection since failure to identify areas that are flooded is a critical error when it comes to disaster management.</w:t>
      </w:r>
    </w:p>
    <w:p w14:paraId="3824613F" w14:textId="77777777" w:rsidR="00B615D9" w:rsidRPr="00B615D9" w:rsidRDefault="00B615D9" w:rsidP="00B615D9">
      <w:pPr>
        <w:rPr>
          <w:rFonts w:ascii="Times New Roman" w:hAnsi="Times New Roman" w:cs="Times New Roman"/>
          <w:b/>
          <w:bCs/>
        </w:rPr>
      </w:pPr>
      <w:r w:rsidRPr="00B615D9">
        <w:rPr>
          <w:rFonts w:ascii="Times New Roman" w:hAnsi="Times New Roman" w:cs="Times New Roman"/>
          <w:b/>
          <w:bCs/>
        </w:rPr>
        <w:t>Statistical Comparison between ROC Curves</w:t>
      </w:r>
    </w:p>
    <w:p w14:paraId="31081FAC" w14:textId="58EEE676" w:rsidR="00B615D9" w:rsidRPr="00B615D9" w:rsidRDefault="00B615D9" w:rsidP="00B615D9">
      <w:pPr>
        <w:rPr>
          <w:rFonts w:ascii="Times New Roman" w:hAnsi="Times New Roman" w:cs="Times New Roman"/>
        </w:rPr>
      </w:pPr>
      <w:r w:rsidRPr="00B615D9">
        <w:rPr>
          <w:rFonts w:ascii="Times New Roman" w:hAnsi="Times New Roman" w:cs="Times New Roman"/>
        </w:rPr>
        <w:t>For establishing whether model distinctions were statistically different, DeLong's test of statistical comparison between ROC-AUCs was employed (Table 3)</w:t>
      </w:r>
      <w:r w:rsidR="00B5511E">
        <w:rPr>
          <w:rFonts w:ascii="Times New Roman" w:hAnsi="Times New Roman" w:cs="Times New Roman"/>
        </w:rPr>
        <w:t xml:space="preserve"> show that </w:t>
      </w:r>
      <w:r w:rsidR="00B5511E" w:rsidRPr="00B5511E">
        <w:rPr>
          <w:rFonts w:ascii="Times New Roman" w:hAnsi="Times New Roman" w:cs="Times New Roman"/>
        </w:rPr>
        <w:t>There was not a statistically significant disparity between RF and XGBoost, indicating both to be equally consistent. Both were, however, much more impressively superior to SVM and ANN, further attesting to the over</w:t>
      </w:r>
      <w:r w:rsidR="00B5511E">
        <w:rPr>
          <w:rFonts w:ascii="Times New Roman" w:hAnsi="Times New Roman" w:cs="Times New Roman"/>
        </w:rPr>
        <w:t xml:space="preserve"> </w:t>
      </w:r>
      <w:r w:rsidR="00B5511E" w:rsidRPr="00B5511E">
        <w:rPr>
          <w:rFonts w:ascii="Times New Roman" w:hAnsi="Times New Roman" w:cs="Times New Roman"/>
        </w:rPr>
        <w:t>pre-eminence of ensemble models to flood mapping in diverse conditions like Lagos</w:t>
      </w:r>
      <w:r w:rsidRPr="00B615D9">
        <w:rPr>
          <w:rFonts w:ascii="Times New Roman" w:hAnsi="Times New Roman" w:cs="Times New Roman"/>
        </w:rPr>
        <w:t>.</w:t>
      </w:r>
    </w:p>
    <w:p w14:paraId="656CBE89" w14:textId="1FB3D9E2" w:rsidR="00B615D9" w:rsidRDefault="00B615D9" w:rsidP="00B615D9">
      <w:pPr>
        <w:rPr>
          <w:rFonts w:ascii="Times New Roman" w:hAnsi="Times New Roman" w:cs="Times New Roman"/>
          <w:b/>
          <w:bCs/>
        </w:rPr>
      </w:pPr>
      <w:r w:rsidRPr="00B615D9">
        <w:rPr>
          <w:rFonts w:ascii="Times New Roman" w:hAnsi="Times New Roman" w:cs="Times New Roman"/>
          <w:b/>
          <w:bCs/>
        </w:rPr>
        <w:t>Table 3. DeLong statistical comparison of ROC-AUCs</w:t>
      </w:r>
    </w:p>
    <w:tbl>
      <w:tblPr>
        <w:tblW w:w="7620" w:type="dxa"/>
        <w:tblLook w:val="04A0" w:firstRow="1" w:lastRow="0" w:firstColumn="1" w:lastColumn="0" w:noHBand="0" w:noVBand="1"/>
      </w:tblPr>
      <w:tblGrid>
        <w:gridCol w:w="2700"/>
        <w:gridCol w:w="1320"/>
        <w:gridCol w:w="2060"/>
        <w:gridCol w:w="1540"/>
      </w:tblGrid>
      <w:tr w:rsidR="00B5511E" w:rsidRPr="00B5511E" w14:paraId="736420AE" w14:textId="77777777" w:rsidTr="00B5511E">
        <w:trPr>
          <w:trHeight w:val="1160"/>
        </w:trPr>
        <w:tc>
          <w:tcPr>
            <w:tcW w:w="2700" w:type="dxa"/>
            <w:tcBorders>
              <w:top w:val="single" w:sz="4" w:space="0" w:color="8EA9DB"/>
              <w:left w:val="single" w:sz="4" w:space="0" w:color="8EA9DB"/>
              <w:bottom w:val="single" w:sz="4" w:space="0" w:color="8EA9DB"/>
              <w:right w:val="nil"/>
            </w:tcBorders>
            <w:shd w:val="clear" w:color="4472C4" w:fill="4472C4"/>
            <w:vAlign w:val="center"/>
            <w:hideMark/>
          </w:tcPr>
          <w:p w14:paraId="227B6DEE" w14:textId="77777777" w:rsidR="00B5511E" w:rsidRPr="00B5511E" w:rsidRDefault="00B5511E" w:rsidP="00B5511E">
            <w:pPr>
              <w:spacing w:after="0" w:line="240" w:lineRule="auto"/>
              <w:jc w:val="center"/>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Comparison (Model Pairs)</w:t>
            </w:r>
          </w:p>
        </w:tc>
        <w:tc>
          <w:tcPr>
            <w:tcW w:w="1320" w:type="dxa"/>
            <w:tcBorders>
              <w:top w:val="single" w:sz="4" w:space="0" w:color="8EA9DB"/>
              <w:left w:val="nil"/>
              <w:bottom w:val="single" w:sz="4" w:space="0" w:color="8EA9DB"/>
              <w:right w:val="nil"/>
            </w:tcBorders>
            <w:shd w:val="clear" w:color="4472C4" w:fill="4472C4"/>
            <w:vAlign w:val="center"/>
            <w:hideMark/>
          </w:tcPr>
          <w:p w14:paraId="7434FDD4" w14:textId="77777777" w:rsidR="00B5511E" w:rsidRPr="00B5511E" w:rsidRDefault="00B5511E" w:rsidP="00B5511E">
            <w:pPr>
              <w:spacing w:after="0" w:line="240" w:lineRule="auto"/>
              <w:jc w:val="center"/>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Δ AUC</w:t>
            </w:r>
          </w:p>
        </w:tc>
        <w:tc>
          <w:tcPr>
            <w:tcW w:w="2060" w:type="dxa"/>
            <w:tcBorders>
              <w:top w:val="single" w:sz="4" w:space="0" w:color="8EA9DB"/>
              <w:left w:val="nil"/>
              <w:bottom w:val="single" w:sz="4" w:space="0" w:color="8EA9DB"/>
              <w:right w:val="nil"/>
            </w:tcBorders>
            <w:shd w:val="clear" w:color="4472C4" w:fill="4472C4"/>
            <w:vAlign w:val="center"/>
            <w:hideMark/>
          </w:tcPr>
          <w:p w14:paraId="2FFA9AF6" w14:textId="77777777" w:rsidR="00B5511E" w:rsidRPr="00B5511E" w:rsidRDefault="00B5511E" w:rsidP="00B5511E">
            <w:pPr>
              <w:spacing w:after="0" w:line="240" w:lineRule="auto"/>
              <w:jc w:val="center"/>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p-value</w:t>
            </w:r>
          </w:p>
        </w:tc>
        <w:tc>
          <w:tcPr>
            <w:tcW w:w="1540" w:type="dxa"/>
            <w:tcBorders>
              <w:top w:val="single" w:sz="4" w:space="0" w:color="8EA9DB"/>
              <w:left w:val="nil"/>
              <w:bottom w:val="single" w:sz="4" w:space="0" w:color="8EA9DB"/>
              <w:right w:val="single" w:sz="4" w:space="0" w:color="8EA9DB"/>
            </w:tcBorders>
            <w:shd w:val="clear" w:color="4472C4" w:fill="4472C4"/>
            <w:vAlign w:val="center"/>
            <w:hideMark/>
          </w:tcPr>
          <w:p w14:paraId="3C17AD67" w14:textId="77777777" w:rsidR="00B5511E" w:rsidRPr="00B5511E" w:rsidRDefault="00B5511E" w:rsidP="00B5511E">
            <w:pPr>
              <w:spacing w:after="0" w:line="240" w:lineRule="auto"/>
              <w:jc w:val="center"/>
              <w:rPr>
                <w:rFonts w:ascii="Calibri" w:eastAsia="Times New Roman" w:hAnsi="Calibri" w:cs="Calibri"/>
                <w:b/>
                <w:bCs/>
                <w:color w:val="FFFFFF"/>
                <w:kern w:val="0"/>
                <w:sz w:val="22"/>
                <w:szCs w:val="22"/>
                <w14:ligatures w14:val="none"/>
              </w:rPr>
            </w:pPr>
            <w:r w:rsidRPr="00B5511E">
              <w:rPr>
                <w:rFonts w:ascii="Calibri" w:eastAsia="Times New Roman" w:hAnsi="Calibri" w:cs="Calibri"/>
                <w:b/>
                <w:bCs/>
                <w:color w:val="FFFFFF"/>
                <w:kern w:val="0"/>
                <w:sz w:val="22"/>
                <w:szCs w:val="22"/>
                <w14:ligatures w14:val="none"/>
              </w:rPr>
              <w:t>Significance</w:t>
            </w:r>
          </w:p>
        </w:tc>
      </w:tr>
      <w:tr w:rsidR="00B5511E" w:rsidRPr="00B5511E" w14:paraId="57FCF746" w14:textId="77777777" w:rsidTr="00B5511E">
        <w:trPr>
          <w:trHeight w:val="87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6346B25D"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RF vs XGBoost</w:t>
            </w:r>
          </w:p>
        </w:tc>
        <w:tc>
          <w:tcPr>
            <w:tcW w:w="1320" w:type="dxa"/>
            <w:tcBorders>
              <w:top w:val="single" w:sz="4" w:space="0" w:color="8EA9DB"/>
              <w:left w:val="nil"/>
              <w:bottom w:val="single" w:sz="4" w:space="0" w:color="8EA9DB"/>
              <w:right w:val="nil"/>
            </w:tcBorders>
            <w:shd w:val="clear" w:color="D9E1F2" w:fill="D9E1F2"/>
            <w:vAlign w:val="center"/>
            <w:hideMark/>
          </w:tcPr>
          <w:p w14:paraId="2A357D11"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0.009</w:t>
            </w:r>
          </w:p>
        </w:tc>
        <w:tc>
          <w:tcPr>
            <w:tcW w:w="2060" w:type="dxa"/>
            <w:tcBorders>
              <w:top w:val="single" w:sz="4" w:space="0" w:color="8EA9DB"/>
              <w:left w:val="nil"/>
              <w:bottom w:val="single" w:sz="4" w:space="0" w:color="8EA9DB"/>
              <w:right w:val="nil"/>
            </w:tcBorders>
            <w:shd w:val="clear" w:color="D9E1F2" w:fill="D9E1F2"/>
            <w:vAlign w:val="center"/>
            <w:hideMark/>
          </w:tcPr>
          <w:p w14:paraId="610BC280"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0.21</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1B3193BA"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Not significant</w:t>
            </w:r>
          </w:p>
        </w:tc>
      </w:tr>
      <w:tr w:rsidR="00B5511E" w:rsidRPr="00B5511E" w14:paraId="23909694" w14:textId="77777777" w:rsidTr="00B5511E">
        <w:trPr>
          <w:trHeight w:val="580"/>
        </w:trPr>
        <w:tc>
          <w:tcPr>
            <w:tcW w:w="2700" w:type="dxa"/>
            <w:tcBorders>
              <w:top w:val="single" w:sz="4" w:space="0" w:color="8EA9DB"/>
              <w:left w:val="single" w:sz="4" w:space="0" w:color="8EA9DB"/>
              <w:bottom w:val="single" w:sz="4" w:space="0" w:color="8EA9DB"/>
              <w:right w:val="nil"/>
            </w:tcBorders>
            <w:vAlign w:val="center"/>
            <w:hideMark/>
          </w:tcPr>
          <w:p w14:paraId="1EA714D2"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RF vs SVM</w:t>
            </w:r>
          </w:p>
        </w:tc>
        <w:tc>
          <w:tcPr>
            <w:tcW w:w="1320" w:type="dxa"/>
            <w:tcBorders>
              <w:top w:val="single" w:sz="4" w:space="0" w:color="8EA9DB"/>
              <w:left w:val="nil"/>
              <w:bottom w:val="single" w:sz="4" w:space="0" w:color="8EA9DB"/>
              <w:right w:val="nil"/>
            </w:tcBorders>
            <w:vAlign w:val="center"/>
            <w:hideMark/>
          </w:tcPr>
          <w:p w14:paraId="0AD66E58"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0.051</w:t>
            </w:r>
          </w:p>
        </w:tc>
        <w:tc>
          <w:tcPr>
            <w:tcW w:w="2060" w:type="dxa"/>
            <w:tcBorders>
              <w:top w:val="single" w:sz="4" w:space="0" w:color="8EA9DB"/>
              <w:left w:val="nil"/>
              <w:bottom w:val="single" w:sz="4" w:space="0" w:color="8EA9DB"/>
              <w:right w:val="nil"/>
            </w:tcBorders>
            <w:vAlign w:val="center"/>
            <w:hideMark/>
          </w:tcPr>
          <w:p w14:paraId="5F53E655"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&lt;0.01</w:t>
            </w:r>
          </w:p>
        </w:tc>
        <w:tc>
          <w:tcPr>
            <w:tcW w:w="1540" w:type="dxa"/>
            <w:tcBorders>
              <w:top w:val="single" w:sz="4" w:space="0" w:color="8EA9DB"/>
              <w:left w:val="nil"/>
              <w:bottom w:val="single" w:sz="4" w:space="0" w:color="8EA9DB"/>
              <w:right w:val="single" w:sz="4" w:space="0" w:color="8EA9DB"/>
            </w:tcBorders>
            <w:vAlign w:val="center"/>
            <w:hideMark/>
          </w:tcPr>
          <w:p w14:paraId="30B825D8"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63B9CA6C" w14:textId="77777777" w:rsidTr="00B5511E">
        <w:trPr>
          <w:trHeight w:val="58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7CED6DB3"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RF vs ANN</w:t>
            </w:r>
          </w:p>
        </w:tc>
        <w:tc>
          <w:tcPr>
            <w:tcW w:w="1320" w:type="dxa"/>
            <w:tcBorders>
              <w:top w:val="single" w:sz="4" w:space="0" w:color="8EA9DB"/>
              <w:left w:val="nil"/>
              <w:bottom w:val="single" w:sz="4" w:space="0" w:color="8EA9DB"/>
              <w:right w:val="nil"/>
            </w:tcBorders>
            <w:shd w:val="clear" w:color="D9E1F2" w:fill="D9E1F2"/>
            <w:vAlign w:val="center"/>
            <w:hideMark/>
          </w:tcPr>
          <w:p w14:paraId="3B96663C"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0.041</w:t>
            </w:r>
          </w:p>
        </w:tc>
        <w:tc>
          <w:tcPr>
            <w:tcW w:w="2060" w:type="dxa"/>
            <w:tcBorders>
              <w:top w:val="single" w:sz="4" w:space="0" w:color="8EA9DB"/>
              <w:left w:val="nil"/>
              <w:bottom w:val="single" w:sz="4" w:space="0" w:color="8EA9DB"/>
              <w:right w:val="nil"/>
            </w:tcBorders>
            <w:shd w:val="clear" w:color="D9E1F2" w:fill="D9E1F2"/>
            <w:vAlign w:val="center"/>
            <w:hideMark/>
          </w:tcPr>
          <w:p w14:paraId="13DCEF88"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&lt;0.05</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1DDDDED1"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46873A5E" w14:textId="77777777" w:rsidTr="00B5511E">
        <w:trPr>
          <w:trHeight w:val="580"/>
        </w:trPr>
        <w:tc>
          <w:tcPr>
            <w:tcW w:w="2700" w:type="dxa"/>
            <w:tcBorders>
              <w:top w:val="single" w:sz="4" w:space="0" w:color="8EA9DB"/>
              <w:left w:val="single" w:sz="4" w:space="0" w:color="8EA9DB"/>
              <w:bottom w:val="single" w:sz="4" w:space="0" w:color="8EA9DB"/>
              <w:right w:val="nil"/>
            </w:tcBorders>
            <w:vAlign w:val="center"/>
            <w:hideMark/>
          </w:tcPr>
          <w:p w14:paraId="69976A8C"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XGBoost vs SVM</w:t>
            </w:r>
          </w:p>
        </w:tc>
        <w:tc>
          <w:tcPr>
            <w:tcW w:w="1320" w:type="dxa"/>
            <w:tcBorders>
              <w:top w:val="single" w:sz="4" w:space="0" w:color="8EA9DB"/>
              <w:left w:val="nil"/>
              <w:bottom w:val="single" w:sz="4" w:space="0" w:color="8EA9DB"/>
              <w:right w:val="nil"/>
            </w:tcBorders>
            <w:vAlign w:val="center"/>
            <w:hideMark/>
          </w:tcPr>
          <w:p w14:paraId="70DF6A7A"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0.042</w:t>
            </w:r>
          </w:p>
        </w:tc>
        <w:tc>
          <w:tcPr>
            <w:tcW w:w="2060" w:type="dxa"/>
            <w:tcBorders>
              <w:top w:val="single" w:sz="4" w:space="0" w:color="8EA9DB"/>
              <w:left w:val="nil"/>
              <w:bottom w:val="single" w:sz="4" w:space="0" w:color="8EA9DB"/>
              <w:right w:val="nil"/>
            </w:tcBorders>
            <w:vAlign w:val="center"/>
            <w:hideMark/>
          </w:tcPr>
          <w:p w14:paraId="4604C08F"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&lt;0.01</w:t>
            </w:r>
          </w:p>
        </w:tc>
        <w:tc>
          <w:tcPr>
            <w:tcW w:w="1540" w:type="dxa"/>
            <w:tcBorders>
              <w:top w:val="single" w:sz="4" w:space="0" w:color="8EA9DB"/>
              <w:left w:val="nil"/>
              <w:bottom w:val="single" w:sz="4" w:space="0" w:color="8EA9DB"/>
              <w:right w:val="single" w:sz="4" w:space="0" w:color="8EA9DB"/>
            </w:tcBorders>
            <w:vAlign w:val="center"/>
            <w:hideMark/>
          </w:tcPr>
          <w:p w14:paraId="3F5BF9B4"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r w:rsidR="00B5511E" w:rsidRPr="00B5511E" w14:paraId="42DBADCE" w14:textId="77777777" w:rsidTr="00B5511E">
        <w:trPr>
          <w:trHeight w:val="580"/>
        </w:trPr>
        <w:tc>
          <w:tcPr>
            <w:tcW w:w="2700" w:type="dxa"/>
            <w:tcBorders>
              <w:top w:val="single" w:sz="4" w:space="0" w:color="8EA9DB"/>
              <w:left w:val="single" w:sz="4" w:space="0" w:color="8EA9DB"/>
              <w:bottom w:val="single" w:sz="4" w:space="0" w:color="8EA9DB"/>
              <w:right w:val="nil"/>
            </w:tcBorders>
            <w:shd w:val="clear" w:color="D9E1F2" w:fill="D9E1F2"/>
            <w:vAlign w:val="center"/>
            <w:hideMark/>
          </w:tcPr>
          <w:p w14:paraId="4CD70908"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XGBoost vs ANN</w:t>
            </w:r>
          </w:p>
        </w:tc>
        <w:tc>
          <w:tcPr>
            <w:tcW w:w="1320" w:type="dxa"/>
            <w:tcBorders>
              <w:top w:val="single" w:sz="4" w:space="0" w:color="8EA9DB"/>
              <w:left w:val="nil"/>
              <w:bottom w:val="single" w:sz="4" w:space="0" w:color="8EA9DB"/>
              <w:right w:val="nil"/>
            </w:tcBorders>
            <w:shd w:val="clear" w:color="D9E1F2" w:fill="D9E1F2"/>
            <w:vAlign w:val="center"/>
            <w:hideMark/>
          </w:tcPr>
          <w:p w14:paraId="70824C6C" w14:textId="77777777" w:rsidR="00B5511E" w:rsidRPr="00B5511E" w:rsidRDefault="00B5511E" w:rsidP="00B5511E">
            <w:pPr>
              <w:spacing w:after="0" w:line="240" w:lineRule="auto"/>
              <w:jc w:val="right"/>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0.032</w:t>
            </w:r>
          </w:p>
        </w:tc>
        <w:tc>
          <w:tcPr>
            <w:tcW w:w="2060" w:type="dxa"/>
            <w:tcBorders>
              <w:top w:val="single" w:sz="4" w:space="0" w:color="8EA9DB"/>
              <w:left w:val="nil"/>
              <w:bottom w:val="single" w:sz="4" w:space="0" w:color="8EA9DB"/>
              <w:right w:val="nil"/>
            </w:tcBorders>
            <w:shd w:val="clear" w:color="D9E1F2" w:fill="D9E1F2"/>
            <w:vAlign w:val="center"/>
            <w:hideMark/>
          </w:tcPr>
          <w:p w14:paraId="51BAC73D"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&lt;0.05</w:t>
            </w:r>
          </w:p>
        </w:tc>
        <w:tc>
          <w:tcPr>
            <w:tcW w:w="1540" w:type="dxa"/>
            <w:tcBorders>
              <w:top w:val="single" w:sz="4" w:space="0" w:color="8EA9DB"/>
              <w:left w:val="nil"/>
              <w:bottom w:val="single" w:sz="4" w:space="0" w:color="8EA9DB"/>
              <w:right w:val="single" w:sz="4" w:space="0" w:color="8EA9DB"/>
            </w:tcBorders>
            <w:shd w:val="clear" w:color="D9E1F2" w:fill="D9E1F2"/>
            <w:vAlign w:val="center"/>
            <w:hideMark/>
          </w:tcPr>
          <w:p w14:paraId="057A60AE" w14:textId="77777777" w:rsidR="00B5511E" w:rsidRPr="00B5511E" w:rsidRDefault="00B5511E" w:rsidP="00B5511E">
            <w:pPr>
              <w:spacing w:after="0" w:line="240" w:lineRule="auto"/>
              <w:rPr>
                <w:rFonts w:ascii="Calibri" w:eastAsia="Times New Roman" w:hAnsi="Calibri" w:cs="Calibri"/>
                <w:color w:val="000000"/>
                <w:kern w:val="0"/>
                <w:sz w:val="22"/>
                <w:szCs w:val="22"/>
                <w14:ligatures w14:val="none"/>
              </w:rPr>
            </w:pPr>
            <w:r w:rsidRPr="00B5511E">
              <w:rPr>
                <w:rFonts w:ascii="Calibri" w:eastAsia="Times New Roman" w:hAnsi="Calibri" w:cs="Calibri"/>
                <w:color w:val="000000"/>
                <w:kern w:val="0"/>
                <w:sz w:val="22"/>
                <w:szCs w:val="22"/>
                <w14:ligatures w14:val="none"/>
              </w:rPr>
              <w:t>Significant</w:t>
            </w:r>
          </w:p>
        </w:tc>
      </w:tr>
    </w:tbl>
    <w:p w14:paraId="608B03C8" w14:textId="77777777" w:rsidR="00B5511E" w:rsidRDefault="00B5511E" w:rsidP="00B615D9">
      <w:pPr>
        <w:rPr>
          <w:rFonts w:ascii="Times New Roman" w:hAnsi="Times New Roman" w:cs="Times New Roman"/>
          <w:b/>
          <w:bCs/>
          <w:lang w:val="en-GB"/>
        </w:rPr>
      </w:pPr>
    </w:p>
    <w:p w14:paraId="7468FDE9" w14:textId="09F172DD" w:rsidR="00665A95" w:rsidRPr="00665A95" w:rsidRDefault="00665A95" w:rsidP="00B615D9">
      <w:pPr>
        <w:rPr>
          <w:rFonts w:ascii="Times New Roman" w:hAnsi="Times New Roman" w:cs="Times New Roman"/>
          <w:b/>
          <w:bCs/>
          <w:lang w:val="en-GB"/>
        </w:rPr>
      </w:pPr>
      <w:r>
        <w:rPr>
          <w:rFonts w:ascii="Times New Roman" w:hAnsi="Times New Roman" w:cs="Times New Roman"/>
          <w:b/>
          <w:bCs/>
          <w:lang w:val="en-GB"/>
        </w:rPr>
        <w:t xml:space="preserve">Fig 5: </w:t>
      </w:r>
      <w:r w:rsidRPr="00665A95">
        <w:rPr>
          <w:rFonts w:ascii="Times New Roman" w:hAnsi="Times New Roman" w:cs="Times New Roman"/>
          <w:b/>
          <w:bCs/>
          <w:lang w:val="en-GB"/>
        </w:rPr>
        <w:t>DeLong statistical comparison of ROC-AUCs</w:t>
      </w:r>
    </w:p>
    <w:p w14:paraId="03611A58" w14:textId="4866F8DC" w:rsidR="00B5511E" w:rsidRPr="00B615D9" w:rsidRDefault="00B5511E" w:rsidP="00B615D9">
      <w:pPr>
        <w:rPr>
          <w:rFonts w:ascii="Times New Roman" w:hAnsi="Times New Roman" w:cs="Times New Roman"/>
          <w:b/>
          <w:bCs/>
        </w:rPr>
      </w:pPr>
      <w:r>
        <w:rPr>
          <w:noProof/>
        </w:rPr>
        <w:drawing>
          <wp:inline distT="0" distB="0" distL="0" distR="0" wp14:anchorId="3165FA8C" wp14:editId="3049928B">
            <wp:extent cx="4572000" cy="2743200"/>
            <wp:effectExtent l="0" t="0" r="0" b="0"/>
            <wp:docPr id="1319186425" name="Chart 1">
              <a:extLst xmlns:a="http://schemas.openxmlformats.org/drawingml/2006/main">
                <a:ext uri="{FF2B5EF4-FFF2-40B4-BE49-F238E27FC236}">
                  <a16:creationId xmlns:a16="http://schemas.microsoft.com/office/drawing/2014/main" id="{CA7BFCA3-CFE9-8FF4-4967-C167991CC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F72988" w14:textId="77777777" w:rsidR="00B5511E" w:rsidRPr="00B5511E" w:rsidRDefault="00B5511E" w:rsidP="00B5511E">
      <w:pPr>
        <w:rPr>
          <w:rFonts w:ascii="Times New Roman" w:hAnsi="Times New Roman" w:cs="Times New Roman"/>
          <w:b/>
          <w:bCs/>
        </w:rPr>
      </w:pPr>
      <w:r w:rsidRPr="00B5511E">
        <w:rPr>
          <w:rFonts w:ascii="Times New Roman" w:hAnsi="Times New Roman" w:cs="Times New Roman"/>
          <w:b/>
          <w:bCs/>
        </w:rPr>
        <w:t>Feature Importance Analysis</w:t>
      </w:r>
    </w:p>
    <w:p w14:paraId="2FC6AA86" w14:textId="5354E668" w:rsidR="00B5511E" w:rsidRPr="00B5511E" w:rsidRDefault="00B5511E" w:rsidP="00B5511E">
      <w:pPr>
        <w:rPr>
          <w:rFonts w:ascii="Times New Roman" w:hAnsi="Times New Roman" w:cs="Times New Roman"/>
        </w:rPr>
      </w:pPr>
      <w:r w:rsidRPr="00B5511E">
        <w:rPr>
          <w:rFonts w:ascii="Times New Roman" w:hAnsi="Times New Roman" w:cs="Times New Roman"/>
        </w:rPr>
        <w:t>The feature importance scores (Table 4) indicate the predictors that were most responsible for classification.</w:t>
      </w:r>
      <w:r>
        <w:rPr>
          <w:rFonts w:ascii="Times New Roman" w:hAnsi="Times New Roman" w:cs="Times New Roman"/>
        </w:rPr>
        <w:t xml:space="preserve"> This table indicates </w:t>
      </w:r>
      <w:r w:rsidR="00A021BF">
        <w:rPr>
          <w:rFonts w:ascii="Times New Roman" w:hAnsi="Times New Roman" w:cs="Times New Roman"/>
        </w:rPr>
        <w:t xml:space="preserve">the </w:t>
      </w:r>
      <w:r w:rsidRPr="00B5511E">
        <w:rPr>
          <w:rFonts w:ascii="Times New Roman" w:hAnsi="Times New Roman" w:cs="Times New Roman"/>
        </w:rPr>
        <w:t>SAR backscatter indices, VV and VH, were found to be the most predictive, in agreement with international flood mapping research. NDVI and topography offered secondary use, i.e., in peri-urban environments where vegetation and topography assist in the discrimination of flooded and non-flooded areas</w:t>
      </w:r>
    </w:p>
    <w:p w14:paraId="4DAFCE51" w14:textId="5934462D" w:rsidR="00B5511E" w:rsidRDefault="00B5511E" w:rsidP="00B5511E">
      <w:pPr>
        <w:rPr>
          <w:rFonts w:ascii="Times New Roman" w:hAnsi="Times New Roman" w:cs="Times New Roman"/>
          <w:b/>
          <w:bCs/>
        </w:rPr>
      </w:pPr>
      <w:r w:rsidRPr="00B5511E">
        <w:rPr>
          <w:rFonts w:ascii="Times New Roman" w:hAnsi="Times New Roman" w:cs="Times New Roman"/>
          <w:b/>
          <w:bCs/>
        </w:rPr>
        <w:t>Table 4. Feature importance ranking (RF vs. XGBoost</w:t>
      </w:r>
    </w:p>
    <w:tbl>
      <w:tblPr>
        <w:tblW w:w="6620" w:type="dxa"/>
        <w:tblLook w:val="04A0" w:firstRow="1" w:lastRow="0" w:firstColumn="1" w:lastColumn="0" w:noHBand="0" w:noVBand="1"/>
      </w:tblPr>
      <w:tblGrid>
        <w:gridCol w:w="1560"/>
        <w:gridCol w:w="2840"/>
        <w:gridCol w:w="2220"/>
      </w:tblGrid>
      <w:tr w:rsidR="00A021BF" w:rsidRPr="00A021BF" w14:paraId="11FA189D" w14:textId="77777777" w:rsidTr="00A021BF">
        <w:trPr>
          <w:trHeight w:val="740"/>
        </w:trPr>
        <w:tc>
          <w:tcPr>
            <w:tcW w:w="1560" w:type="dxa"/>
            <w:tcBorders>
              <w:top w:val="single" w:sz="4" w:space="0" w:color="8EA9DB"/>
              <w:left w:val="single" w:sz="4" w:space="0" w:color="8EA9DB"/>
              <w:bottom w:val="single" w:sz="4" w:space="0" w:color="8EA9DB"/>
              <w:right w:val="nil"/>
            </w:tcBorders>
            <w:shd w:val="clear" w:color="4472C4" w:fill="4472C4"/>
            <w:vAlign w:val="center"/>
            <w:hideMark/>
          </w:tcPr>
          <w:p w14:paraId="1813C80E" w14:textId="77777777" w:rsidR="00A021BF" w:rsidRPr="00A021BF" w:rsidRDefault="00A021BF" w:rsidP="00A021BF">
            <w:pPr>
              <w:spacing w:after="0" w:line="240" w:lineRule="auto"/>
              <w:jc w:val="center"/>
              <w:rPr>
                <w:rFonts w:ascii="Calibri" w:eastAsia="Times New Roman" w:hAnsi="Calibri" w:cs="Calibri"/>
                <w:b/>
                <w:bCs/>
                <w:color w:val="FFFFFF"/>
                <w:kern w:val="0"/>
                <w:sz w:val="22"/>
                <w:szCs w:val="22"/>
                <w14:ligatures w14:val="none"/>
              </w:rPr>
            </w:pPr>
            <w:r w:rsidRPr="00A021BF">
              <w:rPr>
                <w:rFonts w:ascii="Calibri" w:eastAsia="Times New Roman" w:hAnsi="Calibri" w:cs="Calibri"/>
                <w:b/>
                <w:bCs/>
                <w:color w:val="FFFFFF"/>
                <w:kern w:val="0"/>
                <w:sz w:val="22"/>
                <w:szCs w:val="22"/>
                <w14:ligatures w14:val="none"/>
              </w:rPr>
              <w:t>Feature</w:t>
            </w:r>
          </w:p>
        </w:tc>
        <w:tc>
          <w:tcPr>
            <w:tcW w:w="2840" w:type="dxa"/>
            <w:tcBorders>
              <w:top w:val="single" w:sz="4" w:space="0" w:color="8EA9DB"/>
              <w:left w:val="nil"/>
              <w:bottom w:val="single" w:sz="4" w:space="0" w:color="8EA9DB"/>
              <w:right w:val="nil"/>
            </w:tcBorders>
            <w:shd w:val="clear" w:color="4472C4" w:fill="4472C4"/>
            <w:vAlign w:val="center"/>
            <w:hideMark/>
          </w:tcPr>
          <w:p w14:paraId="49EE7995" w14:textId="77777777" w:rsidR="00A021BF" w:rsidRPr="00A021BF" w:rsidRDefault="00A021BF" w:rsidP="00A021BF">
            <w:pPr>
              <w:spacing w:after="0" w:line="240" w:lineRule="auto"/>
              <w:jc w:val="center"/>
              <w:rPr>
                <w:rFonts w:ascii="Calibri" w:eastAsia="Times New Roman" w:hAnsi="Calibri" w:cs="Calibri"/>
                <w:b/>
                <w:bCs/>
                <w:color w:val="FFFFFF"/>
                <w:kern w:val="0"/>
                <w:sz w:val="22"/>
                <w:szCs w:val="22"/>
                <w14:ligatures w14:val="none"/>
              </w:rPr>
            </w:pPr>
            <w:r w:rsidRPr="00A021BF">
              <w:rPr>
                <w:rFonts w:ascii="Calibri" w:eastAsia="Times New Roman" w:hAnsi="Calibri" w:cs="Calibri"/>
                <w:b/>
                <w:bCs/>
                <w:color w:val="FFFFFF"/>
                <w:kern w:val="0"/>
                <w:sz w:val="22"/>
                <w:szCs w:val="22"/>
                <w14:ligatures w14:val="none"/>
              </w:rPr>
              <w:t>Random Forest Importance</w:t>
            </w:r>
          </w:p>
        </w:tc>
        <w:tc>
          <w:tcPr>
            <w:tcW w:w="2220" w:type="dxa"/>
            <w:tcBorders>
              <w:top w:val="single" w:sz="4" w:space="0" w:color="8EA9DB"/>
              <w:left w:val="nil"/>
              <w:bottom w:val="single" w:sz="4" w:space="0" w:color="8EA9DB"/>
              <w:right w:val="single" w:sz="4" w:space="0" w:color="8EA9DB"/>
            </w:tcBorders>
            <w:shd w:val="clear" w:color="4472C4" w:fill="4472C4"/>
            <w:vAlign w:val="center"/>
            <w:hideMark/>
          </w:tcPr>
          <w:p w14:paraId="5CBB2151" w14:textId="77777777" w:rsidR="00A021BF" w:rsidRPr="00A021BF" w:rsidRDefault="00A021BF" w:rsidP="00A021BF">
            <w:pPr>
              <w:spacing w:after="0" w:line="240" w:lineRule="auto"/>
              <w:jc w:val="center"/>
              <w:rPr>
                <w:rFonts w:ascii="Calibri" w:eastAsia="Times New Roman" w:hAnsi="Calibri" w:cs="Calibri"/>
                <w:b/>
                <w:bCs/>
                <w:color w:val="FFFFFF"/>
                <w:kern w:val="0"/>
                <w:sz w:val="22"/>
                <w:szCs w:val="22"/>
                <w14:ligatures w14:val="none"/>
              </w:rPr>
            </w:pPr>
            <w:r w:rsidRPr="00A021BF">
              <w:rPr>
                <w:rFonts w:ascii="Calibri" w:eastAsia="Times New Roman" w:hAnsi="Calibri" w:cs="Calibri"/>
                <w:b/>
                <w:bCs/>
                <w:color w:val="FFFFFF"/>
                <w:kern w:val="0"/>
                <w:sz w:val="22"/>
                <w:szCs w:val="22"/>
                <w14:ligatures w14:val="none"/>
              </w:rPr>
              <w:t>XGBoost Importance</w:t>
            </w:r>
          </w:p>
        </w:tc>
      </w:tr>
      <w:tr w:rsidR="00A021BF" w:rsidRPr="00A021BF" w14:paraId="280FB4A9" w14:textId="77777777" w:rsidTr="00A021BF">
        <w:trPr>
          <w:trHeight w:val="390"/>
        </w:trPr>
        <w:tc>
          <w:tcPr>
            <w:tcW w:w="1560" w:type="dxa"/>
            <w:tcBorders>
              <w:top w:val="single" w:sz="4" w:space="0" w:color="8EA9DB"/>
              <w:left w:val="single" w:sz="4" w:space="0" w:color="8EA9DB"/>
              <w:bottom w:val="single" w:sz="4" w:space="0" w:color="8EA9DB"/>
              <w:right w:val="nil"/>
            </w:tcBorders>
            <w:shd w:val="clear" w:color="D9E1F2" w:fill="D9E1F2"/>
            <w:vAlign w:val="center"/>
            <w:hideMark/>
          </w:tcPr>
          <w:p w14:paraId="428F0000" w14:textId="77777777" w:rsidR="00A021BF" w:rsidRPr="00A021BF" w:rsidRDefault="00A021BF" w:rsidP="00A021BF">
            <w:pPr>
              <w:spacing w:after="0" w:line="240" w:lineRule="auto"/>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VV Backscatter</w:t>
            </w:r>
          </w:p>
        </w:tc>
        <w:tc>
          <w:tcPr>
            <w:tcW w:w="2840" w:type="dxa"/>
            <w:tcBorders>
              <w:top w:val="single" w:sz="4" w:space="0" w:color="8EA9DB"/>
              <w:left w:val="nil"/>
              <w:bottom w:val="single" w:sz="4" w:space="0" w:color="8EA9DB"/>
              <w:right w:val="nil"/>
            </w:tcBorders>
            <w:shd w:val="clear" w:color="D9E1F2" w:fill="D9E1F2"/>
            <w:vAlign w:val="center"/>
            <w:hideMark/>
          </w:tcPr>
          <w:p w14:paraId="02FFC5FD"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0.45</w:t>
            </w:r>
          </w:p>
        </w:tc>
        <w:tc>
          <w:tcPr>
            <w:tcW w:w="2220" w:type="dxa"/>
            <w:tcBorders>
              <w:top w:val="single" w:sz="4" w:space="0" w:color="8EA9DB"/>
              <w:left w:val="nil"/>
              <w:bottom w:val="single" w:sz="4" w:space="0" w:color="8EA9DB"/>
              <w:right w:val="single" w:sz="4" w:space="0" w:color="8EA9DB"/>
            </w:tcBorders>
            <w:shd w:val="clear" w:color="D9E1F2" w:fill="D9E1F2"/>
            <w:vAlign w:val="center"/>
            <w:hideMark/>
          </w:tcPr>
          <w:p w14:paraId="295B210D"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0.42</w:t>
            </w:r>
          </w:p>
        </w:tc>
      </w:tr>
      <w:tr w:rsidR="00A021BF" w:rsidRPr="00A021BF" w14:paraId="648D2381" w14:textId="77777777" w:rsidTr="00A021BF">
        <w:trPr>
          <w:trHeight w:val="540"/>
        </w:trPr>
        <w:tc>
          <w:tcPr>
            <w:tcW w:w="1560" w:type="dxa"/>
            <w:tcBorders>
              <w:top w:val="single" w:sz="4" w:space="0" w:color="8EA9DB"/>
              <w:left w:val="single" w:sz="4" w:space="0" w:color="8EA9DB"/>
              <w:bottom w:val="single" w:sz="4" w:space="0" w:color="8EA9DB"/>
              <w:right w:val="nil"/>
            </w:tcBorders>
            <w:vAlign w:val="center"/>
            <w:hideMark/>
          </w:tcPr>
          <w:p w14:paraId="7D928611" w14:textId="77777777" w:rsidR="00A021BF" w:rsidRPr="00A021BF" w:rsidRDefault="00A021BF" w:rsidP="00A021BF">
            <w:pPr>
              <w:spacing w:after="0" w:line="240" w:lineRule="auto"/>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VH Backscatter</w:t>
            </w:r>
          </w:p>
        </w:tc>
        <w:tc>
          <w:tcPr>
            <w:tcW w:w="2840" w:type="dxa"/>
            <w:tcBorders>
              <w:top w:val="single" w:sz="4" w:space="0" w:color="8EA9DB"/>
              <w:left w:val="nil"/>
              <w:bottom w:val="single" w:sz="4" w:space="0" w:color="8EA9DB"/>
              <w:right w:val="nil"/>
            </w:tcBorders>
            <w:vAlign w:val="center"/>
            <w:hideMark/>
          </w:tcPr>
          <w:p w14:paraId="792E2FBC"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0.35</w:t>
            </w:r>
          </w:p>
        </w:tc>
        <w:tc>
          <w:tcPr>
            <w:tcW w:w="2220" w:type="dxa"/>
            <w:tcBorders>
              <w:top w:val="single" w:sz="4" w:space="0" w:color="8EA9DB"/>
              <w:left w:val="nil"/>
              <w:bottom w:val="single" w:sz="4" w:space="0" w:color="8EA9DB"/>
              <w:right w:val="single" w:sz="4" w:space="0" w:color="8EA9DB"/>
            </w:tcBorders>
            <w:vAlign w:val="center"/>
            <w:hideMark/>
          </w:tcPr>
          <w:p w14:paraId="7BEA3F59"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0.37</w:t>
            </w:r>
          </w:p>
        </w:tc>
      </w:tr>
      <w:tr w:rsidR="00A021BF" w:rsidRPr="00A021BF" w14:paraId="3DFB6044" w14:textId="77777777" w:rsidTr="00A021BF">
        <w:trPr>
          <w:trHeight w:val="290"/>
        </w:trPr>
        <w:tc>
          <w:tcPr>
            <w:tcW w:w="1560" w:type="dxa"/>
            <w:tcBorders>
              <w:top w:val="single" w:sz="4" w:space="0" w:color="8EA9DB"/>
              <w:left w:val="single" w:sz="4" w:space="0" w:color="8EA9DB"/>
              <w:bottom w:val="single" w:sz="4" w:space="0" w:color="8EA9DB"/>
              <w:right w:val="nil"/>
            </w:tcBorders>
            <w:shd w:val="clear" w:color="D9E1F2" w:fill="D9E1F2"/>
            <w:vAlign w:val="center"/>
            <w:hideMark/>
          </w:tcPr>
          <w:p w14:paraId="1597F48B" w14:textId="77777777" w:rsidR="00A021BF" w:rsidRPr="00A021BF" w:rsidRDefault="00A021BF" w:rsidP="00A021BF">
            <w:pPr>
              <w:spacing w:after="0" w:line="240" w:lineRule="auto"/>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NDVI</w:t>
            </w:r>
          </w:p>
        </w:tc>
        <w:tc>
          <w:tcPr>
            <w:tcW w:w="2840" w:type="dxa"/>
            <w:tcBorders>
              <w:top w:val="single" w:sz="4" w:space="0" w:color="8EA9DB"/>
              <w:left w:val="nil"/>
              <w:bottom w:val="single" w:sz="4" w:space="0" w:color="8EA9DB"/>
              <w:right w:val="nil"/>
            </w:tcBorders>
            <w:shd w:val="clear" w:color="D9E1F2" w:fill="D9E1F2"/>
            <w:vAlign w:val="center"/>
            <w:hideMark/>
          </w:tcPr>
          <w:p w14:paraId="018D2276"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0.2</w:t>
            </w:r>
          </w:p>
        </w:tc>
        <w:tc>
          <w:tcPr>
            <w:tcW w:w="2220" w:type="dxa"/>
            <w:tcBorders>
              <w:top w:val="single" w:sz="4" w:space="0" w:color="8EA9DB"/>
              <w:left w:val="nil"/>
              <w:bottom w:val="single" w:sz="4" w:space="0" w:color="8EA9DB"/>
              <w:right w:val="single" w:sz="4" w:space="0" w:color="8EA9DB"/>
            </w:tcBorders>
            <w:shd w:val="clear" w:color="D9E1F2" w:fill="D9E1F2"/>
            <w:vAlign w:val="center"/>
            <w:hideMark/>
          </w:tcPr>
          <w:p w14:paraId="1E6FB18E"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0.21</w:t>
            </w:r>
          </w:p>
        </w:tc>
      </w:tr>
      <w:tr w:rsidR="00A021BF" w:rsidRPr="00A021BF" w14:paraId="2CCD9C04" w14:textId="77777777" w:rsidTr="00A021BF">
        <w:trPr>
          <w:trHeight w:val="290"/>
        </w:trPr>
        <w:tc>
          <w:tcPr>
            <w:tcW w:w="1560" w:type="dxa"/>
            <w:tcBorders>
              <w:top w:val="single" w:sz="4" w:space="0" w:color="8EA9DB"/>
              <w:left w:val="single" w:sz="4" w:space="0" w:color="8EA9DB"/>
              <w:bottom w:val="single" w:sz="4" w:space="0" w:color="8EA9DB"/>
              <w:right w:val="nil"/>
            </w:tcBorders>
            <w:vAlign w:val="center"/>
            <w:hideMark/>
          </w:tcPr>
          <w:p w14:paraId="6FA8E136" w14:textId="77777777" w:rsidR="00A021BF" w:rsidRPr="00A021BF" w:rsidRDefault="00A021BF" w:rsidP="00A021BF">
            <w:pPr>
              <w:spacing w:after="0" w:line="240" w:lineRule="auto"/>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Elevation</w:t>
            </w:r>
          </w:p>
        </w:tc>
        <w:tc>
          <w:tcPr>
            <w:tcW w:w="2840" w:type="dxa"/>
            <w:tcBorders>
              <w:top w:val="single" w:sz="4" w:space="0" w:color="8EA9DB"/>
              <w:left w:val="nil"/>
              <w:bottom w:val="single" w:sz="4" w:space="0" w:color="8EA9DB"/>
              <w:right w:val="nil"/>
            </w:tcBorders>
            <w:vAlign w:val="center"/>
            <w:hideMark/>
          </w:tcPr>
          <w:p w14:paraId="3CD4C84F"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0.12</w:t>
            </w:r>
          </w:p>
        </w:tc>
        <w:tc>
          <w:tcPr>
            <w:tcW w:w="2220" w:type="dxa"/>
            <w:tcBorders>
              <w:top w:val="single" w:sz="4" w:space="0" w:color="8EA9DB"/>
              <w:left w:val="nil"/>
              <w:bottom w:val="single" w:sz="4" w:space="0" w:color="8EA9DB"/>
              <w:right w:val="single" w:sz="4" w:space="0" w:color="8EA9DB"/>
            </w:tcBorders>
            <w:vAlign w:val="center"/>
            <w:hideMark/>
          </w:tcPr>
          <w:p w14:paraId="4A15438F" w14:textId="77777777" w:rsidR="00A021BF" w:rsidRPr="00A021BF" w:rsidRDefault="00A021BF" w:rsidP="00A021BF">
            <w:pPr>
              <w:spacing w:after="0" w:line="240" w:lineRule="auto"/>
              <w:jc w:val="right"/>
              <w:rPr>
                <w:rFonts w:ascii="Calibri" w:eastAsia="Times New Roman" w:hAnsi="Calibri" w:cs="Calibri"/>
                <w:color w:val="000000"/>
                <w:kern w:val="0"/>
                <w:sz w:val="22"/>
                <w:szCs w:val="22"/>
                <w14:ligatures w14:val="none"/>
              </w:rPr>
            </w:pPr>
            <w:r w:rsidRPr="00A021BF">
              <w:rPr>
                <w:rFonts w:ascii="Calibri" w:eastAsia="Times New Roman" w:hAnsi="Calibri" w:cs="Calibri"/>
                <w:color w:val="000000"/>
                <w:kern w:val="0"/>
                <w:sz w:val="22"/>
                <w:szCs w:val="22"/>
                <w14:ligatures w14:val="none"/>
              </w:rPr>
              <w:t>0.1</w:t>
            </w:r>
          </w:p>
        </w:tc>
      </w:tr>
    </w:tbl>
    <w:p w14:paraId="27A6490C" w14:textId="77777777" w:rsidR="00B5511E" w:rsidRDefault="00B5511E" w:rsidP="00006515">
      <w:pPr>
        <w:rPr>
          <w:rFonts w:ascii="Times New Roman" w:hAnsi="Times New Roman" w:cs="Times New Roman"/>
          <w:b/>
          <w:bCs/>
        </w:rPr>
      </w:pPr>
    </w:p>
    <w:p w14:paraId="7382CE9E" w14:textId="2504905C" w:rsidR="00B5511E" w:rsidRDefault="00A021BF" w:rsidP="00006515">
      <w:pPr>
        <w:rPr>
          <w:rFonts w:ascii="Times New Roman" w:hAnsi="Times New Roman" w:cs="Times New Roman"/>
          <w:b/>
          <w:bCs/>
          <w:lang w:val="en-GB"/>
        </w:rPr>
      </w:pPr>
      <w:r>
        <w:rPr>
          <w:noProof/>
        </w:rPr>
        <w:lastRenderedPageBreak/>
        <w:drawing>
          <wp:inline distT="0" distB="0" distL="0" distR="0" wp14:anchorId="3B22D30B" wp14:editId="4DA119E4">
            <wp:extent cx="4572000" cy="2743200"/>
            <wp:effectExtent l="0" t="0" r="0" b="0"/>
            <wp:docPr id="1139499112" name="Chart 1">
              <a:extLst xmlns:a="http://schemas.openxmlformats.org/drawingml/2006/main">
                <a:ext uri="{FF2B5EF4-FFF2-40B4-BE49-F238E27FC236}">
                  <a16:creationId xmlns:a16="http://schemas.microsoft.com/office/drawing/2014/main" id="{2D28CEB0-896D-C9BF-A59F-F973F5559A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6577DE" w14:textId="1CEE85AF" w:rsidR="00665A95" w:rsidRPr="00665A95" w:rsidRDefault="00665A95" w:rsidP="00006515">
      <w:pPr>
        <w:rPr>
          <w:rFonts w:ascii="Times New Roman" w:hAnsi="Times New Roman" w:cs="Times New Roman"/>
          <w:b/>
          <w:bCs/>
          <w:lang w:val="en-GB"/>
        </w:rPr>
      </w:pPr>
      <w:r>
        <w:rPr>
          <w:rFonts w:ascii="Times New Roman" w:hAnsi="Times New Roman" w:cs="Times New Roman"/>
          <w:b/>
          <w:bCs/>
          <w:lang w:val="en-GB"/>
        </w:rPr>
        <w:t xml:space="preserve">Fig 6: </w:t>
      </w:r>
      <w:r w:rsidRPr="00665A95">
        <w:rPr>
          <w:rFonts w:ascii="Times New Roman" w:hAnsi="Times New Roman" w:cs="Times New Roman"/>
          <w:b/>
          <w:bCs/>
          <w:lang w:val="en-GB"/>
        </w:rPr>
        <w:t>Random Forest Importance</w:t>
      </w:r>
    </w:p>
    <w:p w14:paraId="3D790027" w14:textId="77777777" w:rsidR="00262AE5" w:rsidRPr="00262AE5" w:rsidRDefault="00262AE5" w:rsidP="00262AE5">
      <w:pPr>
        <w:rPr>
          <w:rFonts w:ascii="Times New Roman" w:hAnsi="Times New Roman" w:cs="Times New Roman"/>
          <w:b/>
          <w:bCs/>
        </w:rPr>
      </w:pPr>
      <w:r w:rsidRPr="00262AE5">
        <w:rPr>
          <w:rFonts w:ascii="Times New Roman" w:hAnsi="Times New Roman" w:cs="Times New Roman"/>
          <w:b/>
          <w:bCs/>
        </w:rPr>
        <w:t>Spatial Flood Susceptibility</w:t>
      </w:r>
    </w:p>
    <w:p w14:paraId="4705A96D" w14:textId="77777777" w:rsidR="00262AE5" w:rsidRDefault="00262AE5" w:rsidP="00262AE5">
      <w:pPr>
        <w:rPr>
          <w:rFonts w:ascii="Times New Roman" w:hAnsi="Times New Roman" w:cs="Times New Roman"/>
        </w:rPr>
      </w:pPr>
      <w:r w:rsidRPr="00FE7273">
        <w:rPr>
          <w:rFonts w:ascii="Times New Roman" w:hAnsi="Times New Roman" w:cs="Times New Roman"/>
        </w:rPr>
        <w:t>The zonation of Lagos into four classes of susceptibility (Table 5) was done using the models. Around 50% of Lagos are classified under high or very high flood susceptibility areas. Coastal areas like Lekki and Victoria Island were found to be the most susceptible, given their low elevation, and peri-urban areas (like Ikorodu, Alimosho) showed moderate susceptibility.</w:t>
      </w:r>
    </w:p>
    <w:p w14:paraId="236379D6" w14:textId="6D67CB7B" w:rsidR="00B36129" w:rsidRDefault="00B36129" w:rsidP="00262AE5">
      <w:pPr>
        <w:rPr>
          <w:rFonts w:ascii="Times New Roman" w:hAnsi="Times New Roman" w:cs="Times New Roman"/>
          <w:lang w:val="en-GB"/>
        </w:rPr>
      </w:pPr>
      <w:r>
        <w:rPr>
          <w:noProof/>
        </w:rPr>
        <w:drawing>
          <wp:inline distT="0" distB="0" distL="0" distR="0" wp14:anchorId="41F63229" wp14:editId="35CFAF9B">
            <wp:extent cx="5731510" cy="3155950"/>
            <wp:effectExtent l="0" t="0" r="2540" b="6350"/>
            <wp:docPr id="1871893947" name="Picture 6" descr="| Map of Lagos State showing high, moderate, and low flood-risk Local Government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Map of Lagos State showing high, moderate, and low flood-risk Local Government Are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155950"/>
                    </a:xfrm>
                    <a:prstGeom prst="rect">
                      <a:avLst/>
                    </a:prstGeom>
                    <a:noFill/>
                    <a:ln>
                      <a:noFill/>
                    </a:ln>
                  </pic:spPr>
                </pic:pic>
              </a:graphicData>
            </a:graphic>
          </wp:inline>
        </w:drawing>
      </w:r>
    </w:p>
    <w:p w14:paraId="797341AE" w14:textId="368472D3" w:rsidR="00665A95" w:rsidRPr="00665A95" w:rsidRDefault="00665A95" w:rsidP="00262AE5">
      <w:pPr>
        <w:rPr>
          <w:rFonts w:ascii="Times New Roman" w:hAnsi="Times New Roman" w:cs="Times New Roman"/>
          <w:lang w:val="en-GB"/>
        </w:rPr>
      </w:pPr>
      <w:r>
        <w:rPr>
          <w:rFonts w:ascii="Times New Roman" w:hAnsi="Times New Roman" w:cs="Times New Roman"/>
          <w:lang w:val="en-GB"/>
        </w:rPr>
        <w:t xml:space="preserve">Fig 7: </w:t>
      </w:r>
      <w:r w:rsidR="00F57F60" w:rsidRPr="005C63F2">
        <w:rPr>
          <w:rFonts w:ascii="Times New Roman" w:hAnsi="Times New Roman" w:cs="Times New Roman"/>
          <w:highlight w:val="yellow"/>
          <w:lang w:val="en-GB"/>
        </w:rPr>
        <w:t xml:space="preserve">Zonation </w:t>
      </w:r>
      <w:r w:rsidR="00771AC2" w:rsidRPr="005C63F2">
        <w:rPr>
          <w:rFonts w:ascii="Times New Roman" w:hAnsi="Times New Roman" w:cs="Times New Roman"/>
          <w:highlight w:val="yellow"/>
          <w:lang w:val="en-GB"/>
        </w:rPr>
        <w:t xml:space="preserve">of Lagos into </w:t>
      </w:r>
      <w:r w:rsidR="00111117" w:rsidRPr="005C63F2">
        <w:rPr>
          <w:rFonts w:ascii="Times New Roman" w:hAnsi="Times New Roman" w:cs="Times New Roman"/>
          <w:highlight w:val="yellow"/>
          <w:lang w:val="en-GB"/>
        </w:rPr>
        <w:t xml:space="preserve">different </w:t>
      </w:r>
      <w:r w:rsidR="00771AC2" w:rsidRPr="005C63F2">
        <w:rPr>
          <w:rFonts w:ascii="Times New Roman" w:hAnsi="Times New Roman" w:cs="Times New Roman"/>
          <w:highlight w:val="yellow"/>
          <w:lang w:val="en-GB"/>
        </w:rPr>
        <w:t>classes of susceptibility</w:t>
      </w:r>
    </w:p>
    <w:p w14:paraId="434E6EFC" w14:textId="03928FC2" w:rsidR="00262AE5" w:rsidRDefault="00262AE5" w:rsidP="00262AE5">
      <w:pPr>
        <w:rPr>
          <w:rFonts w:ascii="Times New Roman" w:hAnsi="Times New Roman" w:cs="Times New Roman"/>
          <w:b/>
          <w:bCs/>
        </w:rPr>
      </w:pPr>
      <w:r w:rsidRPr="00262AE5">
        <w:rPr>
          <w:rFonts w:ascii="Times New Roman" w:hAnsi="Times New Roman" w:cs="Times New Roman"/>
          <w:b/>
          <w:bCs/>
        </w:rPr>
        <w:t>Table 5. Spatial flood susceptibility zoning</w:t>
      </w:r>
    </w:p>
    <w:tbl>
      <w:tblPr>
        <w:tblW w:w="6540" w:type="dxa"/>
        <w:tblLook w:val="04A0" w:firstRow="1" w:lastRow="0" w:firstColumn="1" w:lastColumn="0" w:noHBand="0" w:noVBand="1"/>
      </w:tblPr>
      <w:tblGrid>
        <w:gridCol w:w="2040"/>
        <w:gridCol w:w="1760"/>
        <w:gridCol w:w="2740"/>
      </w:tblGrid>
      <w:tr w:rsidR="00FE7273" w:rsidRPr="00FE7273" w14:paraId="68FD16C9" w14:textId="77777777" w:rsidTr="00FE7273">
        <w:trPr>
          <w:trHeight w:val="290"/>
        </w:trPr>
        <w:tc>
          <w:tcPr>
            <w:tcW w:w="2040" w:type="dxa"/>
            <w:tcBorders>
              <w:top w:val="single" w:sz="4" w:space="0" w:color="8EA9DB"/>
              <w:left w:val="single" w:sz="4" w:space="0" w:color="8EA9DB"/>
              <w:bottom w:val="single" w:sz="4" w:space="0" w:color="8EA9DB"/>
              <w:right w:val="nil"/>
            </w:tcBorders>
            <w:shd w:val="clear" w:color="4472C4" w:fill="4472C4"/>
            <w:vAlign w:val="center"/>
            <w:hideMark/>
          </w:tcPr>
          <w:p w14:paraId="5BF15330" w14:textId="77777777" w:rsidR="00FE7273" w:rsidRPr="00FE7273" w:rsidRDefault="00FE7273" w:rsidP="00FE7273">
            <w:pPr>
              <w:spacing w:after="0" w:line="240" w:lineRule="auto"/>
              <w:jc w:val="center"/>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Susceptibility Class</w:t>
            </w:r>
          </w:p>
        </w:tc>
        <w:tc>
          <w:tcPr>
            <w:tcW w:w="1760" w:type="dxa"/>
            <w:tcBorders>
              <w:top w:val="single" w:sz="4" w:space="0" w:color="8EA9DB"/>
              <w:left w:val="nil"/>
              <w:bottom w:val="single" w:sz="4" w:space="0" w:color="8EA9DB"/>
              <w:right w:val="nil"/>
            </w:tcBorders>
            <w:shd w:val="clear" w:color="4472C4" w:fill="4472C4"/>
            <w:vAlign w:val="center"/>
            <w:hideMark/>
          </w:tcPr>
          <w:p w14:paraId="54114768" w14:textId="77777777" w:rsidR="00FE7273" w:rsidRPr="00FE7273" w:rsidRDefault="00FE7273" w:rsidP="00FE7273">
            <w:pPr>
              <w:spacing w:after="0" w:line="240" w:lineRule="auto"/>
              <w:jc w:val="center"/>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 of Lagos Area</w:t>
            </w:r>
          </w:p>
        </w:tc>
        <w:tc>
          <w:tcPr>
            <w:tcW w:w="2740" w:type="dxa"/>
            <w:tcBorders>
              <w:top w:val="single" w:sz="4" w:space="0" w:color="8EA9DB"/>
              <w:left w:val="nil"/>
              <w:bottom w:val="single" w:sz="4" w:space="0" w:color="8EA9DB"/>
              <w:right w:val="single" w:sz="4" w:space="0" w:color="8EA9DB"/>
            </w:tcBorders>
            <w:shd w:val="clear" w:color="4472C4" w:fill="4472C4"/>
            <w:vAlign w:val="center"/>
            <w:hideMark/>
          </w:tcPr>
          <w:p w14:paraId="35ED3AFF" w14:textId="77777777" w:rsidR="00FE7273" w:rsidRPr="00FE7273" w:rsidRDefault="00FE7273" w:rsidP="00FE7273">
            <w:pPr>
              <w:spacing w:after="0" w:line="240" w:lineRule="auto"/>
              <w:jc w:val="center"/>
              <w:rPr>
                <w:rFonts w:ascii="Calibri" w:eastAsia="Times New Roman" w:hAnsi="Calibri" w:cs="Calibri"/>
                <w:b/>
                <w:bCs/>
                <w:color w:val="FFFFFF"/>
                <w:kern w:val="0"/>
                <w:sz w:val="22"/>
                <w:szCs w:val="22"/>
                <w14:ligatures w14:val="none"/>
              </w:rPr>
            </w:pPr>
            <w:r w:rsidRPr="00FE7273">
              <w:rPr>
                <w:rFonts w:ascii="Calibri" w:eastAsia="Times New Roman" w:hAnsi="Calibri" w:cs="Calibri"/>
                <w:b/>
                <w:bCs/>
                <w:color w:val="FFFFFF"/>
                <w:kern w:val="0"/>
                <w:sz w:val="22"/>
                <w:szCs w:val="22"/>
                <w14:ligatures w14:val="none"/>
              </w:rPr>
              <w:t>Major Locations Identified</w:t>
            </w:r>
          </w:p>
        </w:tc>
      </w:tr>
      <w:tr w:rsidR="00FE7273" w:rsidRPr="00FE7273" w14:paraId="22194CBD" w14:textId="77777777" w:rsidTr="00FE7273">
        <w:trPr>
          <w:trHeight w:val="610"/>
        </w:trPr>
        <w:tc>
          <w:tcPr>
            <w:tcW w:w="2040" w:type="dxa"/>
            <w:tcBorders>
              <w:top w:val="single" w:sz="4" w:space="0" w:color="8EA9DB"/>
              <w:left w:val="single" w:sz="4" w:space="0" w:color="8EA9DB"/>
              <w:bottom w:val="single" w:sz="4" w:space="0" w:color="8EA9DB"/>
              <w:right w:val="nil"/>
            </w:tcBorders>
            <w:shd w:val="clear" w:color="D9E1F2" w:fill="D9E1F2"/>
            <w:vAlign w:val="center"/>
            <w:hideMark/>
          </w:tcPr>
          <w:p w14:paraId="5060082B"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lastRenderedPageBreak/>
              <w:t>Very High</w:t>
            </w:r>
          </w:p>
        </w:tc>
        <w:tc>
          <w:tcPr>
            <w:tcW w:w="1760" w:type="dxa"/>
            <w:tcBorders>
              <w:top w:val="single" w:sz="4" w:space="0" w:color="8EA9DB"/>
              <w:left w:val="nil"/>
              <w:bottom w:val="single" w:sz="4" w:space="0" w:color="8EA9DB"/>
              <w:right w:val="nil"/>
            </w:tcBorders>
            <w:shd w:val="clear" w:color="D9E1F2" w:fill="D9E1F2"/>
            <w:vAlign w:val="center"/>
            <w:hideMark/>
          </w:tcPr>
          <w:p w14:paraId="0F2629B9" w14:textId="77777777" w:rsidR="00FE7273" w:rsidRPr="00FE7273" w:rsidRDefault="00FE7273" w:rsidP="00FE7273">
            <w:pPr>
              <w:spacing w:after="0" w:line="240" w:lineRule="auto"/>
              <w:jc w:val="right"/>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18%</w:t>
            </w:r>
          </w:p>
        </w:tc>
        <w:tc>
          <w:tcPr>
            <w:tcW w:w="2740" w:type="dxa"/>
            <w:tcBorders>
              <w:top w:val="single" w:sz="4" w:space="0" w:color="8EA9DB"/>
              <w:left w:val="nil"/>
              <w:bottom w:val="single" w:sz="4" w:space="0" w:color="8EA9DB"/>
              <w:right w:val="single" w:sz="4" w:space="0" w:color="8EA9DB"/>
            </w:tcBorders>
            <w:shd w:val="clear" w:color="D9E1F2" w:fill="D9E1F2"/>
            <w:vAlign w:val="center"/>
            <w:hideMark/>
          </w:tcPr>
          <w:p w14:paraId="461B585A"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Ajegunle, Lekki, Victoria Island</w:t>
            </w:r>
          </w:p>
        </w:tc>
      </w:tr>
      <w:tr w:rsidR="00FE7273" w:rsidRPr="00FE7273" w14:paraId="74225AB0" w14:textId="77777777" w:rsidTr="00FE7273">
        <w:trPr>
          <w:trHeight w:val="480"/>
        </w:trPr>
        <w:tc>
          <w:tcPr>
            <w:tcW w:w="2040" w:type="dxa"/>
            <w:tcBorders>
              <w:top w:val="single" w:sz="4" w:space="0" w:color="8EA9DB"/>
              <w:left w:val="single" w:sz="4" w:space="0" w:color="8EA9DB"/>
              <w:bottom w:val="single" w:sz="4" w:space="0" w:color="8EA9DB"/>
              <w:right w:val="nil"/>
            </w:tcBorders>
            <w:vAlign w:val="center"/>
            <w:hideMark/>
          </w:tcPr>
          <w:p w14:paraId="3FA1B28C"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High</w:t>
            </w:r>
          </w:p>
        </w:tc>
        <w:tc>
          <w:tcPr>
            <w:tcW w:w="1760" w:type="dxa"/>
            <w:tcBorders>
              <w:top w:val="single" w:sz="4" w:space="0" w:color="8EA9DB"/>
              <w:left w:val="nil"/>
              <w:bottom w:val="single" w:sz="4" w:space="0" w:color="8EA9DB"/>
              <w:right w:val="nil"/>
            </w:tcBorders>
            <w:vAlign w:val="center"/>
            <w:hideMark/>
          </w:tcPr>
          <w:p w14:paraId="394B6E11" w14:textId="77777777" w:rsidR="00FE7273" w:rsidRPr="00FE7273" w:rsidRDefault="00FE7273" w:rsidP="00FE7273">
            <w:pPr>
              <w:spacing w:after="0" w:line="240" w:lineRule="auto"/>
              <w:jc w:val="right"/>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32%</w:t>
            </w:r>
          </w:p>
        </w:tc>
        <w:tc>
          <w:tcPr>
            <w:tcW w:w="2740" w:type="dxa"/>
            <w:tcBorders>
              <w:top w:val="single" w:sz="4" w:space="0" w:color="8EA9DB"/>
              <w:left w:val="nil"/>
              <w:bottom w:val="single" w:sz="4" w:space="0" w:color="8EA9DB"/>
              <w:right w:val="single" w:sz="4" w:space="0" w:color="8EA9DB"/>
            </w:tcBorders>
            <w:vAlign w:val="center"/>
            <w:hideMark/>
          </w:tcPr>
          <w:p w14:paraId="1DCA4769"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Ikeja, Surulere, Mushin</w:t>
            </w:r>
          </w:p>
        </w:tc>
      </w:tr>
      <w:tr w:rsidR="00FE7273" w:rsidRPr="00FE7273" w14:paraId="32B1095E" w14:textId="77777777" w:rsidTr="00FE7273">
        <w:trPr>
          <w:trHeight w:val="580"/>
        </w:trPr>
        <w:tc>
          <w:tcPr>
            <w:tcW w:w="2040" w:type="dxa"/>
            <w:tcBorders>
              <w:top w:val="single" w:sz="4" w:space="0" w:color="8EA9DB"/>
              <w:left w:val="single" w:sz="4" w:space="0" w:color="8EA9DB"/>
              <w:bottom w:val="single" w:sz="4" w:space="0" w:color="8EA9DB"/>
              <w:right w:val="nil"/>
            </w:tcBorders>
            <w:shd w:val="clear" w:color="D9E1F2" w:fill="D9E1F2"/>
            <w:vAlign w:val="center"/>
            <w:hideMark/>
          </w:tcPr>
          <w:p w14:paraId="64FE0015"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Moderate</w:t>
            </w:r>
          </w:p>
        </w:tc>
        <w:tc>
          <w:tcPr>
            <w:tcW w:w="1760" w:type="dxa"/>
            <w:tcBorders>
              <w:top w:val="single" w:sz="4" w:space="0" w:color="8EA9DB"/>
              <w:left w:val="nil"/>
              <w:bottom w:val="single" w:sz="4" w:space="0" w:color="8EA9DB"/>
              <w:right w:val="nil"/>
            </w:tcBorders>
            <w:shd w:val="clear" w:color="D9E1F2" w:fill="D9E1F2"/>
            <w:vAlign w:val="center"/>
            <w:hideMark/>
          </w:tcPr>
          <w:p w14:paraId="7F560010" w14:textId="77777777" w:rsidR="00FE7273" w:rsidRPr="00FE7273" w:rsidRDefault="00FE7273" w:rsidP="00FE7273">
            <w:pPr>
              <w:spacing w:after="0" w:line="240" w:lineRule="auto"/>
              <w:jc w:val="right"/>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28%</w:t>
            </w:r>
          </w:p>
        </w:tc>
        <w:tc>
          <w:tcPr>
            <w:tcW w:w="2740" w:type="dxa"/>
            <w:tcBorders>
              <w:top w:val="single" w:sz="4" w:space="0" w:color="8EA9DB"/>
              <w:left w:val="nil"/>
              <w:bottom w:val="single" w:sz="4" w:space="0" w:color="8EA9DB"/>
              <w:right w:val="single" w:sz="4" w:space="0" w:color="8EA9DB"/>
            </w:tcBorders>
            <w:shd w:val="clear" w:color="D9E1F2" w:fill="D9E1F2"/>
            <w:vAlign w:val="center"/>
            <w:hideMark/>
          </w:tcPr>
          <w:p w14:paraId="214D6F3C"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Ikorodu, Alimosho</w:t>
            </w:r>
          </w:p>
        </w:tc>
      </w:tr>
      <w:tr w:rsidR="00FE7273" w:rsidRPr="00FE7273" w14:paraId="3A0A2AF0" w14:textId="77777777" w:rsidTr="00FE7273">
        <w:trPr>
          <w:trHeight w:val="580"/>
        </w:trPr>
        <w:tc>
          <w:tcPr>
            <w:tcW w:w="2040" w:type="dxa"/>
            <w:tcBorders>
              <w:top w:val="single" w:sz="4" w:space="0" w:color="8EA9DB"/>
              <w:left w:val="single" w:sz="4" w:space="0" w:color="8EA9DB"/>
              <w:bottom w:val="single" w:sz="4" w:space="0" w:color="8EA9DB"/>
              <w:right w:val="nil"/>
            </w:tcBorders>
            <w:vAlign w:val="center"/>
            <w:hideMark/>
          </w:tcPr>
          <w:p w14:paraId="4CC13A4F"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Low</w:t>
            </w:r>
          </w:p>
        </w:tc>
        <w:tc>
          <w:tcPr>
            <w:tcW w:w="1760" w:type="dxa"/>
            <w:tcBorders>
              <w:top w:val="single" w:sz="4" w:space="0" w:color="8EA9DB"/>
              <w:left w:val="nil"/>
              <w:bottom w:val="single" w:sz="4" w:space="0" w:color="8EA9DB"/>
              <w:right w:val="nil"/>
            </w:tcBorders>
            <w:vAlign w:val="center"/>
            <w:hideMark/>
          </w:tcPr>
          <w:p w14:paraId="2BE6B667" w14:textId="77777777" w:rsidR="00FE7273" w:rsidRPr="00FE7273" w:rsidRDefault="00FE7273" w:rsidP="00FE7273">
            <w:pPr>
              <w:spacing w:after="0" w:line="240" w:lineRule="auto"/>
              <w:jc w:val="right"/>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22%</w:t>
            </w:r>
          </w:p>
        </w:tc>
        <w:tc>
          <w:tcPr>
            <w:tcW w:w="2740" w:type="dxa"/>
            <w:tcBorders>
              <w:top w:val="single" w:sz="4" w:space="0" w:color="8EA9DB"/>
              <w:left w:val="nil"/>
              <w:bottom w:val="single" w:sz="4" w:space="0" w:color="8EA9DB"/>
              <w:right w:val="single" w:sz="4" w:space="0" w:color="8EA9DB"/>
            </w:tcBorders>
            <w:vAlign w:val="center"/>
            <w:hideMark/>
          </w:tcPr>
          <w:p w14:paraId="4CF04EC1" w14:textId="77777777" w:rsidR="00FE7273" w:rsidRPr="00FE7273" w:rsidRDefault="00FE7273" w:rsidP="00FE7273">
            <w:pPr>
              <w:spacing w:after="0" w:line="240" w:lineRule="auto"/>
              <w:rPr>
                <w:rFonts w:ascii="Calibri" w:eastAsia="Times New Roman" w:hAnsi="Calibri" w:cs="Calibri"/>
                <w:color w:val="000000"/>
                <w:kern w:val="0"/>
                <w:sz w:val="22"/>
                <w:szCs w:val="22"/>
                <w14:ligatures w14:val="none"/>
              </w:rPr>
            </w:pPr>
            <w:r w:rsidRPr="00FE7273">
              <w:rPr>
                <w:rFonts w:ascii="Calibri" w:eastAsia="Times New Roman" w:hAnsi="Calibri" w:cs="Calibri"/>
                <w:color w:val="000000"/>
                <w:kern w:val="0"/>
                <w:sz w:val="22"/>
                <w:szCs w:val="22"/>
                <w14:ligatures w14:val="none"/>
              </w:rPr>
              <w:t>Epe, Badagry</w:t>
            </w:r>
          </w:p>
        </w:tc>
      </w:tr>
    </w:tbl>
    <w:p w14:paraId="521169F1" w14:textId="77777777" w:rsidR="00FE7273" w:rsidRDefault="00FE7273" w:rsidP="00262AE5">
      <w:pPr>
        <w:rPr>
          <w:rFonts w:ascii="Times New Roman" w:hAnsi="Times New Roman" w:cs="Times New Roman"/>
          <w:b/>
          <w:bCs/>
        </w:rPr>
      </w:pPr>
    </w:p>
    <w:p w14:paraId="65BC6C16" w14:textId="5C7D1041" w:rsidR="00FE7273" w:rsidRDefault="00FE7273" w:rsidP="00262AE5">
      <w:pPr>
        <w:rPr>
          <w:rFonts w:ascii="Times New Roman" w:hAnsi="Times New Roman" w:cs="Times New Roman"/>
          <w:b/>
          <w:bCs/>
          <w:lang w:val="en-GB"/>
        </w:rPr>
      </w:pPr>
      <w:r>
        <w:rPr>
          <w:noProof/>
        </w:rPr>
        <w:drawing>
          <wp:inline distT="0" distB="0" distL="0" distR="0" wp14:anchorId="230E2304" wp14:editId="706207BF">
            <wp:extent cx="4572000" cy="2743200"/>
            <wp:effectExtent l="0" t="0" r="0" b="0"/>
            <wp:docPr id="1788629373" name="Chart 1">
              <a:extLst xmlns:a="http://schemas.openxmlformats.org/drawingml/2006/main">
                <a:ext uri="{FF2B5EF4-FFF2-40B4-BE49-F238E27FC236}">
                  <a16:creationId xmlns:a16="http://schemas.microsoft.com/office/drawing/2014/main" id="{CF835FBB-BDD3-6ED4-CB76-73019B325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1754AA" w14:textId="3595162D" w:rsidR="00665A95" w:rsidRPr="00665A95" w:rsidRDefault="00665A95" w:rsidP="00262AE5">
      <w:pPr>
        <w:rPr>
          <w:rFonts w:ascii="Times New Roman" w:hAnsi="Times New Roman" w:cs="Times New Roman"/>
          <w:b/>
          <w:bCs/>
          <w:lang w:val="en-GB"/>
        </w:rPr>
      </w:pPr>
      <w:r>
        <w:rPr>
          <w:rFonts w:ascii="Times New Roman" w:hAnsi="Times New Roman" w:cs="Times New Roman"/>
          <w:b/>
          <w:bCs/>
          <w:lang w:val="en-GB"/>
        </w:rPr>
        <w:t xml:space="preserve">Fig 8: </w:t>
      </w:r>
      <w:r w:rsidRPr="00665A95">
        <w:rPr>
          <w:rFonts w:ascii="Times New Roman" w:hAnsi="Times New Roman" w:cs="Times New Roman"/>
          <w:b/>
          <w:bCs/>
          <w:lang w:val="en-GB"/>
        </w:rPr>
        <w:t>Spatial flood susceptibility zoning</w:t>
      </w:r>
    </w:p>
    <w:p w14:paraId="404B499F" w14:textId="77777777" w:rsidR="00B36129" w:rsidRDefault="00707B54" w:rsidP="00707B54">
      <w:pPr>
        <w:rPr>
          <w:rFonts w:ascii="Times New Roman" w:hAnsi="Times New Roman" w:cs="Times New Roman"/>
          <w:b/>
          <w:bCs/>
        </w:rPr>
      </w:pPr>
      <w:r w:rsidRPr="00707B54">
        <w:rPr>
          <w:rFonts w:ascii="Times New Roman" w:hAnsi="Times New Roman" w:cs="Times New Roman"/>
          <w:b/>
          <w:bCs/>
        </w:rPr>
        <w:t>Urban vs. Peri-Urban Performance</w:t>
      </w:r>
    </w:p>
    <w:p w14:paraId="218A9E98" w14:textId="424DDE05" w:rsidR="00262AE5" w:rsidRPr="00B36129" w:rsidRDefault="00707B54" w:rsidP="00707B54">
      <w:pPr>
        <w:rPr>
          <w:rFonts w:ascii="Times New Roman" w:hAnsi="Times New Roman" w:cs="Times New Roman"/>
          <w:b/>
          <w:bCs/>
        </w:rPr>
      </w:pPr>
      <w:r w:rsidRPr="00707B54">
        <w:rPr>
          <w:rFonts w:ascii="Times New Roman" w:hAnsi="Times New Roman" w:cs="Times New Roman"/>
        </w:rPr>
        <w:t>The performance was then broken down by the type of land cover (Table 6).</w:t>
      </w:r>
      <w:r>
        <w:rPr>
          <w:rFonts w:ascii="Times New Roman" w:hAnsi="Times New Roman" w:cs="Times New Roman"/>
        </w:rPr>
        <w:t xml:space="preserve"> </w:t>
      </w:r>
      <w:r w:rsidRPr="00707B54">
        <w:rPr>
          <w:rFonts w:ascii="Times New Roman" w:hAnsi="Times New Roman" w:cs="Times New Roman"/>
        </w:rPr>
        <w:t>RF performed better in the peri-urban environment, something that may be attributed to more homogeneous land cover. XGBoost had well-balanced performance in both environments. SVM and ANN performed worse where highly urban environments indicated spectral mixing due to impervious surfaces that makes classification difficult</w:t>
      </w:r>
    </w:p>
    <w:p w14:paraId="14D0EFD8" w14:textId="77777777" w:rsidR="00707B54" w:rsidRDefault="00707B54" w:rsidP="00707B54">
      <w:pPr>
        <w:rPr>
          <w:rFonts w:ascii="Times New Roman" w:hAnsi="Times New Roman" w:cs="Times New Roman"/>
          <w:b/>
          <w:bCs/>
        </w:rPr>
      </w:pPr>
      <w:r w:rsidRPr="00707B54">
        <w:rPr>
          <w:rFonts w:ascii="Times New Roman" w:hAnsi="Times New Roman" w:cs="Times New Roman"/>
          <w:b/>
          <w:bCs/>
        </w:rPr>
        <w:t>Table 6. Comparison of urban vs. peri-urban performance</w:t>
      </w:r>
    </w:p>
    <w:tbl>
      <w:tblPr>
        <w:tblW w:w="7100" w:type="dxa"/>
        <w:tblLook w:val="04A0" w:firstRow="1" w:lastRow="0" w:firstColumn="1" w:lastColumn="0" w:noHBand="0" w:noVBand="1"/>
      </w:tblPr>
      <w:tblGrid>
        <w:gridCol w:w="981"/>
        <w:gridCol w:w="1735"/>
        <w:gridCol w:w="2171"/>
        <w:gridCol w:w="2213"/>
      </w:tblGrid>
      <w:tr w:rsidR="00B36129" w:rsidRPr="00B36129" w14:paraId="1046E4A1" w14:textId="77777777" w:rsidTr="00B36129">
        <w:trPr>
          <w:trHeight w:val="580"/>
        </w:trPr>
        <w:tc>
          <w:tcPr>
            <w:tcW w:w="981" w:type="dxa"/>
            <w:tcBorders>
              <w:top w:val="single" w:sz="4" w:space="0" w:color="8EA9DB"/>
              <w:left w:val="single" w:sz="4" w:space="0" w:color="8EA9DB"/>
              <w:bottom w:val="single" w:sz="4" w:space="0" w:color="8EA9DB"/>
              <w:right w:val="nil"/>
            </w:tcBorders>
            <w:shd w:val="clear" w:color="4472C4" w:fill="4472C4"/>
            <w:vAlign w:val="center"/>
            <w:hideMark/>
          </w:tcPr>
          <w:p w14:paraId="47050ACB" w14:textId="77777777" w:rsidR="00B36129" w:rsidRPr="00B36129" w:rsidRDefault="00B36129" w:rsidP="00B36129">
            <w:pPr>
              <w:spacing w:after="0" w:line="240" w:lineRule="auto"/>
              <w:jc w:val="center"/>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Model</w:t>
            </w:r>
          </w:p>
        </w:tc>
        <w:tc>
          <w:tcPr>
            <w:tcW w:w="1735" w:type="dxa"/>
            <w:tcBorders>
              <w:top w:val="single" w:sz="4" w:space="0" w:color="8EA9DB"/>
              <w:left w:val="nil"/>
              <w:bottom w:val="single" w:sz="4" w:space="0" w:color="8EA9DB"/>
              <w:right w:val="nil"/>
            </w:tcBorders>
            <w:shd w:val="clear" w:color="4472C4" w:fill="4472C4"/>
            <w:vAlign w:val="center"/>
            <w:hideMark/>
          </w:tcPr>
          <w:p w14:paraId="277BFA78" w14:textId="77777777" w:rsidR="00B36129" w:rsidRPr="00B36129" w:rsidRDefault="00B36129" w:rsidP="00B36129">
            <w:pPr>
              <w:spacing w:after="0" w:line="240" w:lineRule="auto"/>
              <w:jc w:val="center"/>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Urban Accuracy</w:t>
            </w:r>
          </w:p>
        </w:tc>
        <w:tc>
          <w:tcPr>
            <w:tcW w:w="2171" w:type="dxa"/>
            <w:tcBorders>
              <w:top w:val="single" w:sz="4" w:space="0" w:color="8EA9DB"/>
              <w:left w:val="nil"/>
              <w:bottom w:val="single" w:sz="4" w:space="0" w:color="8EA9DB"/>
              <w:right w:val="nil"/>
            </w:tcBorders>
            <w:shd w:val="clear" w:color="4472C4" w:fill="4472C4"/>
            <w:vAlign w:val="center"/>
            <w:hideMark/>
          </w:tcPr>
          <w:p w14:paraId="5A449693" w14:textId="77777777" w:rsidR="00B36129" w:rsidRPr="00B36129" w:rsidRDefault="00B36129" w:rsidP="00B36129">
            <w:pPr>
              <w:spacing w:after="0" w:line="240" w:lineRule="auto"/>
              <w:jc w:val="center"/>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Peri-Urban Accuracy</w:t>
            </w:r>
          </w:p>
        </w:tc>
        <w:tc>
          <w:tcPr>
            <w:tcW w:w="2213" w:type="dxa"/>
            <w:tcBorders>
              <w:top w:val="single" w:sz="4" w:space="0" w:color="8EA9DB"/>
              <w:left w:val="nil"/>
              <w:bottom w:val="single" w:sz="4" w:space="0" w:color="8EA9DB"/>
              <w:right w:val="single" w:sz="4" w:space="0" w:color="8EA9DB"/>
            </w:tcBorders>
            <w:shd w:val="clear" w:color="4472C4" w:fill="4472C4"/>
            <w:vAlign w:val="center"/>
            <w:hideMark/>
          </w:tcPr>
          <w:p w14:paraId="14515C19" w14:textId="77777777" w:rsidR="00B36129" w:rsidRPr="00B36129" w:rsidRDefault="00B36129" w:rsidP="00B36129">
            <w:pPr>
              <w:spacing w:after="0" w:line="240" w:lineRule="auto"/>
              <w:jc w:val="center"/>
              <w:rPr>
                <w:rFonts w:ascii="Calibri" w:eastAsia="Times New Roman" w:hAnsi="Calibri" w:cs="Calibri"/>
                <w:b/>
                <w:bCs/>
                <w:color w:val="FFFFFF"/>
                <w:kern w:val="0"/>
                <w:sz w:val="22"/>
                <w:szCs w:val="22"/>
                <w14:ligatures w14:val="none"/>
              </w:rPr>
            </w:pPr>
            <w:r w:rsidRPr="00B36129">
              <w:rPr>
                <w:rFonts w:ascii="Calibri" w:eastAsia="Times New Roman" w:hAnsi="Calibri" w:cs="Calibri"/>
                <w:b/>
                <w:bCs/>
                <w:color w:val="FFFFFF"/>
                <w:kern w:val="0"/>
                <w:sz w:val="22"/>
                <w:szCs w:val="22"/>
                <w14:ligatures w14:val="none"/>
              </w:rPr>
              <w:t>Notable Observation</w:t>
            </w:r>
          </w:p>
        </w:tc>
      </w:tr>
      <w:tr w:rsidR="00B36129" w:rsidRPr="00B36129" w14:paraId="76F62ECF" w14:textId="77777777" w:rsidTr="00B36129">
        <w:trPr>
          <w:trHeight w:val="580"/>
        </w:trPr>
        <w:tc>
          <w:tcPr>
            <w:tcW w:w="981" w:type="dxa"/>
            <w:tcBorders>
              <w:top w:val="single" w:sz="4" w:space="0" w:color="8EA9DB"/>
              <w:left w:val="single" w:sz="4" w:space="0" w:color="8EA9DB"/>
              <w:bottom w:val="single" w:sz="4" w:space="0" w:color="8EA9DB"/>
              <w:right w:val="nil"/>
            </w:tcBorders>
            <w:shd w:val="clear" w:color="D9E1F2" w:fill="D9E1F2"/>
            <w:vAlign w:val="center"/>
            <w:hideMark/>
          </w:tcPr>
          <w:p w14:paraId="0ABDBB26"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Random Forest</w:t>
            </w:r>
          </w:p>
        </w:tc>
        <w:tc>
          <w:tcPr>
            <w:tcW w:w="1735" w:type="dxa"/>
            <w:tcBorders>
              <w:top w:val="single" w:sz="4" w:space="0" w:color="8EA9DB"/>
              <w:left w:val="nil"/>
              <w:bottom w:val="single" w:sz="4" w:space="0" w:color="8EA9DB"/>
              <w:right w:val="nil"/>
            </w:tcBorders>
            <w:shd w:val="clear" w:color="D9E1F2" w:fill="D9E1F2"/>
            <w:vAlign w:val="center"/>
            <w:hideMark/>
          </w:tcPr>
          <w:p w14:paraId="2BC15F4C"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0.91</w:t>
            </w:r>
          </w:p>
        </w:tc>
        <w:tc>
          <w:tcPr>
            <w:tcW w:w="2171" w:type="dxa"/>
            <w:tcBorders>
              <w:top w:val="single" w:sz="4" w:space="0" w:color="8EA9DB"/>
              <w:left w:val="nil"/>
              <w:bottom w:val="single" w:sz="4" w:space="0" w:color="8EA9DB"/>
              <w:right w:val="nil"/>
            </w:tcBorders>
            <w:shd w:val="clear" w:color="D9E1F2" w:fill="D9E1F2"/>
            <w:vAlign w:val="center"/>
            <w:hideMark/>
          </w:tcPr>
          <w:p w14:paraId="3471ACD1" w14:textId="77777777" w:rsidR="00B36129" w:rsidRPr="00B36129" w:rsidRDefault="00B36129" w:rsidP="00B36129">
            <w:pPr>
              <w:spacing w:after="0" w:line="240" w:lineRule="auto"/>
              <w:jc w:val="right"/>
              <w:rPr>
                <w:rFonts w:ascii="Calibri" w:eastAsia="Times New Roman" w:hAnsi="Calibri" w:cs="Calibri"/>
                <w:b/>
                <w:bCs/>
                <w:color w:val="000000"/>
                <w:kern w:val="0"/>
                <w:sz w:val="22"/>
                <w:szCs w:val="22"/>
                <w14:ligatures w14:val="none"/>
              </w:rPr>
            </w:pPr>
            <w:r w:rsidRPr="00B36129">
              <w:rPr>
                <w:rFonts w:ascii="Calibri" w:eastAsia="Times New Roman" w:hAnsi="Calibri" w:cs="Calibri"/>
                <w:b/>
                <w:bCs/>
                <w:color w:val="000000"/>
                <w:kern w:val="0"/>
                <w:sz w:val="22"/>
                <w:szCs w:val="22"/>
                <w14:ligatures w14:val="none"/>
              </w:rPr>
              <w:t>0.94</w:t>
            </w:r>
          </w:p>
        </w:tc>
        <w:tc>
          <w:tcPr>
            <w:tcW w:w="2213" w:type="dxa"/>
            <w:tcBorders>
              <w:top w:val="single" w:sz="4" w:space="0" w:color="8EA9DB"/>
              <w:left w:val="nil"/>
              <w:bottom w:val="single" w:sz="4" w:space="0" w:color="8EA9DB"/>
              <w:right w:val="single" w:sz="4" w:space="0" w:color="8EA9DB"/>
            </w:tcBorders>
            <w:shd w:val="clear" w:color="D9E1F2" w:fill="D9E1F2"/>
            <w:vAlign w:val="center"/>
            <w:hideMark/>
          </w:tcPr>
          <w:p w14:paraId="07FFAF56"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Stronger in peri-urban zones</w:t>
            </w:r>
          </w:p>
        </w:tc>
      </w:tr>
      <w:tr w:rsidR="00B36129" w:rsidRPr="00B36129" w14:paraId="1ABBDA23" w14:textId="77777777" w:rsidTr="00B36129">
        <w:trPr>
          <w:trHeight w:val="660"/>
        </w:trPr>
        <w:tc>
          <w:tcPr>
            <w:tcW w:w="981" w:type="dxa"/>
            <w:tcBorders>
              <w:top w:val="single" w:sz="4" w:space="0" w:color="8EA9DB"/>
              <w:left w:val="single" w:sz="4" w:space="0" w:color="8EA9DB"/>
              <w:bottom w:val="single" w:sz="4" w:space="0" w:color="8EA9DB"/>
              <w:right w:val="nil"/>
            </w:tcBorders>
            <w:vAlign w:val="center"/>
            <w:hideMark/>
          </w:tcPr>
          <w:p w14:paraId="5D6EC0B8"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XGBoost</w:t>
            </w:r>
          </w:p>
        </w:tc>
        <w:tc>
          <w:tcPr>
            <w:tcW w:w="1735" w:type="dxa"/>
            <w:tcBorders>
              <w:top w:val="single" w:sz="4" w:space="0" w:color="8EA9DB"/>
              <w:left w:val="nil"/>
              <w:bottom w:val="single" w:sz="4" w:space="0" w:color="8EA9DB"/>
              <w:right w:val="nil"/>
            </w:tcBorders>
            <w:vAlign w:val="center"/>
            <w:hideMark/>
          </w:tcPr>
          <w:p w14:paraId="7CE4470E" w14:textId="77777777" w:rsidR="00B36129" w:rsidRPr="00B36129" w:rsidRDefault="00B36129" w:rsidP="00B36129">
            <w:pPr>
              <w:spacing w:after="0" w:line="240" w:lineRule="auto"/>
              <w:jc w:val="right"/>
              <w:rPr>
                <w:rFonts w:ascii="Calibri" w:eastAsia="Times New Roman" w:hAnsi="Calibri" w:cs="Calibri"/>
                <w:b/>
                <w:bCs/>
                <w:color w:val="000000"/>
                <w:kern w:val="0"/>
                <w:sz w:val="22"/>
                <w:szCs w:val="22"/>
                <w14:ligatures w14:val="none"/>
              </w:rPr>
            </w:pPr>
            <w:r w:rsidRPr="00B36129">
              <w:rPr>
                <w:rFonts w:ascii="Calibri" w:eastAsia="Times New Roman" w:hAnsi="Calibri" w:cs="Calibri"/>
                <w:b/>
                <w:bCs/>
                <w:color w:val="000000"/>
                <w:kern w:val="0"/>
                <w:sz w:val="22"/>
                <w:szCs w:val="22"/>
                <w14:ligatures w14:val="none"/>
              </w:rPr>
              <w:t>0.92</w:t>
            </w:r>
          </w:p>
        </w:tc>
        <w:tc>
          <w:tcPr>
            <w:tcW w:w="2171" w:type="dxa"/>
            <w:tcBorders>
              <w:top w:val="single" w:sz="4" w:space="0" w:color="8EA9DB"/>
              <w:left w:val="nil"/>
              <w:bottom w:val="single" w:sz="4" w:space="0" w:color="8EA9DB"/>
              <w:right w:val="nil"/>
            </w:tcBorders>
            <w:vAlign w:val="center"/>
            <w:hideMark/>
          </w:tcPr>
          <w:p w14:paraId="5C86D9B9"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0.91</w:t>
            </w:r>
          </w:p>
        </w:tc>
        <w:tc>
          <w:tcPr>
            <w:tcW w:w="2213" w:type="dxa"/>
            <w:tcBorders>
              <w:top w:val="single" w:sz="4" w:space="0" w:color="8EA9DB"/>
              <w:left w:val="nil"/>
              <w:bottom w:val="single" w:sz="4" w:space="0" w:color="8EA9DB"/>
              <w:right w:val="single" w:sz="4" w:space="0" w:color="8EA9DB"/>
            </w:tcBorders>
            <w:vAlign w:val="center"/>
            <w:hideMark/>
          </w:tcPr>
          <w:p w14:paraId="3C5B6EF1"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Balanced across both settings</w:t>
            </w:r>
          </w:p>
        </w:tc>
      </w:tr>
      <w:tr w:rsidR="00B36129" w:rsidRPr="00B36129" w14:paraId="2EFDDF80" w14:textId="77777777" w:rsidTr="00B36129">
        <w:trPr>
          <w:trHeight w:val="550"/>
        </w:trPr>
        <w:tc>
          <w:tcPr>
            <w:tcW w:w="981" w:type="dxa"/>
            <w:tcBorders>
              <w:top w:val="single" w:sz="4" w:space="0" w:color="8EA9DB"/>
              <w:left w:val="single" w:sz="4" w:space="0" w:color="8EA9DB"/>
              <w:bottom w:val="single" w:sz="4" w:space="0" w:color="8EA9DB"/>
              <w:right w:val="nil"/>
            </w:tcBorders>
            <w:shd w:val="clear" w:color="D9E1F2" w:fill="D9E1F2"/>
            <w:vAlign w:val="center"/>
            <w:hideMark/>
          </w:tcPr>
          <w:p w14:paraId="33AC283D"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SVM</w:t>
            </w:r>
          </w:p>
        </w:tc>
        <w:tc>
          <w:tcPr>
            <w:tcW w:w="1735" w:type="dxa"/>
            <w:tcBorders>
              <w:top w:val="single" w:sz="4" w:space="0" w:color="8EA9DB"/>
              <w:left w:val="nil"/>
              <w:bottom w:val="single" w:sz="4" w:space="0" w:color="8EA9DB"/>
              <w:right w:val="nil"/>
            </w:tcBorders>
            <w:shd w:val="clear" w:color="D9E1F2" w:fill="D9E1F2"/>
            <w:vAlign w:val="center"/>
            <w:hideMark/>
          </w:tcPr>
          <w:p w14:paraId="6E90767D"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0.87</w:t>
            </w:r>
          </w:p>
        </w:tc>
        <w:tc>
          <w:tcPr>
            <w:tcW w:w="2171" w:type="dxa"/>
            <w:tcBorders>
              <w:top w:val="single" w:sz="4" w:space="0" w:color="8EA9DB"/>
              <w:left w:val="nil"/>
              <w:bottom w:val="single" w:sz="4" w:space="0" w:color="8EA9DB"/>
              <w:right w:val="nil"/>
            </w:tcBorders>
            <w:shd w:val="clear" w:color="D9E1F2" w:fill="D9E1F2"/>
            <w:vAlign w:val="center"/>
            <w:hideMark/>
          </w:tcPr>
          <w:p w14:paraId="371E7A71"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0.9</w:t>
            </w:r>
          </w:p>
        </w:tc>
        <w:tc>
          <w:tcPr>
            <w:tcW w:w="2213" w:type="dxa"/>
            <w:tcBorders>
              <w:top w:val="single" w:sz="4" w:space="0" w:color="8EA9DB"/>
              <w:left w:val="nil"/>
              <w:bottom w:val="single" w:sz="4" w:space="0" w:color="8EA9DB"/>
              <w:right w:val="single" w:sz="4" w:space="0" w:color="8EA9DB"/>
            </w:tcBorders>
            <w:shd w:val="clear" w:color="D9E1F2" w:fill="D9E1F2"/>
            <w:vAlign w:val="center"/>
            <w:hideMark/>
          </w:tcPr>
          <w:p w14:paraId="274C2395"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Struggled in dense urban clutter</w:t>
            </w:r>
          </w:p>
        </w:tc>
      </w:tr>
      <w:tr w:rsidR="00B36129" w:rsidRPr="00B36129" w14:paraId="45F5FA6E" w14:textId="77777777" w:rsidTr="00B36129">
        <w:trPr>
          <w:trHeight w:val="530"/>
        </w:trPr>
        <w:tc>
          <w:tcPr>
            <w:tcW w:w="981" w:type="dxa"/>
            <w:tcBorders>
              <w:top w:val="single" w:sz="4" w:space="0" w:color="8EA9DB"/>
              <w:left w:val="single" w:sz="4" w:space="0" w:color="8EA9DB"/>
              <w:bottom w:val="single" w:sz="4" w:space="0" w:color="8EA9DB"/>
              <w:right w:val="nil"/>
            </w:tcBorders>
            <w:vAlign w:val="center"/>
            <w:hideMark/>
          </w:tcPr>
          <w:p w14:paraId="5C73F934"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ANN</w:t>
            </w:r>
          </w:p>
        </w:tc>
        <w:tc>
          <w:tcPr>
            <w:tcW w:w="1735" w:type="dxa"/>
            <w:tcBorders>
              <w:top w:val="single" w:sz="4" w:space="0" w:color="8EA9DB"/>
              <w:left w:val="nil"/>
              <w:bottom w:val="single" w:sz="4" w:space="0" w:color="8EA9DB"/>
              <w:right w:val="nil"/>
            </w:tcBorders>
            <w:vAlign w:val="center"/>
            <w:hideMark/>
          </w:tcPr>
          <w:p w14:paraId="682C3992"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0.88</w:t>
            </w:r>
          </w:p>
        </w:tc>
        <w:tc>
          <w:tcPr>
            <w:tcW w:w="2171" w:type="dxa"/>
            <w:tcBorders>
              <w:top w:val="single" w:sz="4" w:space="0" w:color="8EA9DB"/>
              <w:left w:val="nil"/>
              <w:bottom w:val="single" w:sz="4" w:space="0" w:color="8EA9DB"/>
              <w:right w:val="nil"/>
            </w:tcBorders>
            <w:vAlign w:val="center"/>
            <w:hideMark/>
          </w:tcPr>
          <w:p w14:paraId="03A995A5" w14:textId="77777777" w:rsidR="00B36129" w:rsidRPr="00B36129" w:rsidRDefault="00B36129" w:rsidP="00B36129">
            <w:pPr>
              <w:spacing w:after="0" w:line="240" w:lineRule="auto"/>
              <w:jc w:val="right"/>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0.89</w:t>
            </w:r>
          </w:p>
        </w:tc>
        <w:tc>
          <w:tcPr>
            <w:tcW w:w="2213" w:type="dxa"/>
            <w:tcBorders>
              <w:top w:val="single" w:sz="4" w:space="0" w:color="8EA9DB"/>
              <w:left w:val="nil"/>
              <w:bottom w:val="single" w:sz="4" w:space="0" w:color="8EA9DB"/>
              <w:right w:val="single" w:sz="4" w:space="0" w:color="8EA9DB"/>
            </w:tcBorders>
            <w:vAlign w:val="center"/>
            <w:hideMark/>
          </w:tcPr>
          <w:p w14:paraId="1BDE9B3B" w14:textId="77777777" w:rsidR="00B36129" w:rsidRPr="00B36129" w:rsidRDefault="00B36129" w:rsidP="00B36129">
            <w:pPr>
              <w:spacing w:after="0" w:line="240" w:lineRule="auto"/>
              <w:rPr>
                <w:rFonts w:ascii="Calibri" w:eastAsia="Times New Roman" w:hAnsi="Calibri" w:cs="Calibri"/>
                <w:color w:val="000000"/>
                <w:kern w:val="0"/>
                <w:sz w:val="22"/>
                <w:szCs w:val="22"/>
                <w14:ligatures w14:val="none"/>
              </w:rPr>
            </w:pPr>
            <w:r w:rsidRPr="00B36129">
              <w:rPr>
                <w:rFonts w:ascii="Calibri" w:eastAsia="Times New Roman" w:hAnsi="Calibri" w:cs="Calibri"/>
                <w:color w:val="000000"/>
                <w:kern w:val="0"/>
                <w:sz w:val="22"/>
                <w:szCs w:val="22"/>
                <w14:ligatures w14:val="none"/>
              </w:rPr>
              <w:t>Slightly weaker overall</w:t>
            </w:r>
          </w:p>
        </w:tc>
      </w:tr>
    </w:tbl>
    <w:p w14:paraId="51A0AF5E" w14:textId="23543081" w:rsidR="00B36129" w:rsidRDefault="00B36129" w:rsidP="00707B54">
      <w:pPr>
        <w:rPr>
          <w:rFonts w:ascii="Times New Roman" w:hAnsi="Times New Roman" w:cs="Times New Roman"/>
          <w:b/>
          <w:bCs/>
          <w:lang w:val="en-GB"/>
        </w:rPr>
      </w:pPr>
      <w:r>
        <w:rPr>
          <w:noProof/>
        </w:rPr>
        <w:lastRenderedPageBreak/>
        <w:drawing>
          <wp:inline distT="0" distB="0" distL="0" distR="0" wp14:anchorId="6FD5933C" wp14:editId="6F7E64D9">
            <wp:extent cx="4572000" cy="2203450"/>
            <wp:effectExtent l="0" t="0" r="0" b="6350"/>
            <wp:docPr id="963206460" name="Chart 1">
              <a:extLst xmlns:a="http://schemas.openxmlformats.org/drawingml/2006/main">
                <a:ext uri="{FF2B5EF4-FFF2-40B4-BE49-F238E27FC236}">
                  <a16:creationId xmlns:a16="http://schemas.microsoft.com/office/drawing/2014/main" id="{1800708A-41E7-856C-710D-73EBF0079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E94873C" w14:textId="4D390C19" w:rsidR="00665A95" w:rsidRPr="00665A95" w:rsidRDefault="00665A95" w:rsidP="00707B54">
      <w:pPr>
        <w:rPr>
          <w:rFonts w:ascii="Times New Roman" w:hAnsi="Times New Roman" w:cs="Times New Roman"/>
          <w:b/>
          <w:bCs/>
          <w:lang w:val="en-GB"/>
        </w:rPr>
      </w:pPr>
      <w:r>
        <w:rPr>
          <w:rFonts w:ascii="Times New Roman" w:hAnsi="Times New Roman" w:cs="Times New Roman"/>
          <w:b/>
          <w:bCs/>
          <w:lang w:val="en-GB"/>
        </w:rPr>
        <w:t xml:space="preserve">Fig 9: </w:t>
      </w:r>
      <w:r w:rsidRPr="00665A95">
        <w:rPr>
          <w:rFonts w:ascii="Times New Roman" w:hAnsi="Times New Roman" w:cs="Times New Roman"/>
          <w:b/>
          <w:bCs/>
          <w:lang w:val="en-GB"/>
        </w:rPr>
        <w:t>Urban vs. Peri-urban performance comparison</w:t>
      </w:r>
    </w:p>
    <w:p w14:paraId="5D701920" w14:textId="77777777" w:rsidR="00CB610D" w:rsidRDefault="00C018FB" w:rsidP="00C018FB">
      <w:pPr>
        <w:rPr>
          <w:rFonts w:ascii="Times New Roman" w:hAnsi="Times New Roman" w:cs="Times New Roman"/>
          <w:b/>
          <w:bCs/>
        </w:rPr>
      </w:pPr>
      <w:r w:rsidRPr="00C018FB">
        <w:rPr>
          <w:rFonts w:ascii="Times New Roman" w:hAnsi="Times New Roman" w:cs="Times New Roman"/>
          <w:b/>
          <w:bCs/>
        </w:rPr>
        <w:t>Discussion</w:t>
      </w:r>
    </w:p>
    <w:p w14:paraId="74F212E6" w14:textId="360448F8" w:rsidR="00C018FB" w:rsidRPr="00CB610D" w:rsidRDefault="00C018FB" w:rsidP="00C018FB">
      <w:pPr>
        <w:rPr>
          <w:rFonts w:ascii="Times New Roman" w:hAnsi="Times New Roman" w:cs="Times New Roman"/>
          <w:b/>
          <w:bCs/>
        </w:rPr>
      </w:pPr>
      <w:r w:rsidRPr="00C018FB">
        <w:rPr>
          <w:rFonts w:ascii="Times New Roman" w:hAnsi="Times New Roman" w:cs="Times New Roman"/>
        </w:rPr>
        <w:t>Four machine learning classifiers, i.e., Random Forest (RF), XGBoost, Support Vector Machine (SVM), and Artificial Neural Network (ANN), were compared in this study for mapping flood-affected areas in Lagos State from multi-sensor satellite data. Results show that ensemble models surpassed all the evaluation metrics using traditional classifiers. RF and XGBoost achieved accuracies of more than 92% and ROC-AUC values of more than 0.96 against SVM and ANN's less than 0.90. RF was best in recall (0.93), reflecting its enhanced capacity to detect flooded areas with reduced false negatives. XGBoost was slightly better in precision (0.92), reflecting a reduced probability of false alarms. While the difference between RF and XGBoost was not statistically significant per DeLong test, both outperformed SVM and ANN significantly, reassuring the effectiveness of ensemble methods for detecting complex urban floods.</w:t>
      </w:r>
    </w:p>
    <w:p w14:paraId="7A2DB21B" w14:textId="77777777" w:rsidR="00C018FB" w:rsidRPr="00C018FB" w:rsidRDefault="00C018FB" w:rsidP="00C018FB">
      <w:pPr>
        <w:rPr>
          <w:rFonts w:ascii="Times New Roman" w:hAnsi="Times New Roman" w:cs="Times New Roman"/>
        </w:rPr>
      </w:pPr>
      <w:r w:rsidRPr="00C018FB">
        <w:rPr>
          <w:rFonts w:ascii="Times New Roman" w:hAnsi="Times New Roman" w:cs="Times New Roman"/>
        </w:rPr>
        <w:t>Confusion matrices also offered greater insight into model performance. RF yielded fewer false negatives, hence it is most useful in disaster management, where flooding that goes unnoticed has deep socio-economic implications. XGBoost yielded fewer false positives, which in turn is useful in reducing excessive warnings and utilization of resources. These complementary properties confirm that the dual application of the two models would maximize flood detection systems by balancing sensitivity and specificity.</w:t>
      </w:r>
    </w:p>
    <w:p w14:paraId="6F06D1A2" w14:textId="355CE977" w:rsidR="00C018FB" w:rsidRPr="00C018FB" w:rsidRDefault="00C018FB" w:rsidP="00C018FB">
      <w:pPr>
        <w:rPr>
          <w:rFonts w:ascii="Times New Roman" w:hAnsi="Times New Roman" w:cs="Times New Roman"/>
        </w:rPr>
      </w:pPr>
      <w:r w:rsidRPr="00C018FB">
        <w:rPr>
          <w:rFonts w:ascii="Times New Roman" w:hAnsi="Times New Roman" w:cs="Times New Roman"/>
        </w:rPr>
        <w:t xml:space="preserve">Feature importance analysis revealed the first-order contribution of SAR backscatter variables (VV and VH) and a second-order contribution by NDVI and elevation. This aligns with earlier studies where C-band SAR was shown to work very well for flood mapping in the tropics, where cloud cover often restricts </w:t>
      </w:r>
      <w:r w:rsidRPr="00CB610D">
        <w:rPr>
          <w:rFonts w:ascii="Times New Roman" w:hAnsi="Times New Roman" w:cs="Times New Roman"/>
        </w:rPr>
        <w:t xml:space="preserve">optical imagery </w:t>
      </w:r>
      <w:r w:rsidR="00CB610D" w:rsidRPr="00CB610D">
        <w:rPr>
          <w:rFonts w:ascii="Times New Roman" w:hAnsi="Times New Roman" w:cs="Times New Roman"/>
        </w:rPr>
        <w:t>(Toma et al., 2024)</w:t>
      </w:r>
      <w:r w:rsidRPr="00CB610D">
        <w:rPr>
          <w:rFonts w:ascii="Times New Roman" w:hAnsi="Times New Roman" w:cs="Times New Roman"/>
        </w:rPr>
        <w:t xml:space="preserve"> </w:t>
      </w:r>
      <w:r w:rsidRPr="00C018FB">
        <w:rPr>
          <w:rFonts w:ascii="Times New Roman" w:hAnsi="Times New Roman" w:cs="Times New Roman"/>
        </w:rPr>
        <w:t>NDVI provided further discrimination in peri-urban mix cover and water vegetation, and height contributed towards better predictions in coastal low-lying flood-risk zones. Such features combined highlight the strength of multi-sensor data fusion in providing more confident classification.</w:t>
      </w:r>
    </w:p>
    <w:p w14:paraId="20021A7E" w14:textId="5EB1F78A" w:rsidR="00C018FB" w:rsidRPr="00C018FB" w:rsidRDefault="00C018FB" w:rsidP="00C018FB">
      <w:pPr>
        <w:rPr>
          <w:rFonts w:ascii="Times New Roman" w:hAnsi="Times New Roman" w:cs="Times New Roman"/>
        </w:rPr>
      </w:pPr>
      <w:r w:rsidRPr="00C018FB">
        <w:rPr>
          <w:rFonts w:ascii="Times New Roman" w:hAnsi="Times New Roman" w:cs="Times New Roman"/>
        </w:rPr>
        <w:t xml:space="preserve">Spatial susceptibility assessment showed that about half of Lagos State is high or very high flood risk, with most susceptible areas being coastal and low-lying ones like Lekki, Victoria </w:t>
      </w:r>
      <w:r w:rsidRPr="00C018FB">
        <w:rPr>
          <w:rFonts w:ascii="Times New Roman" w:hAnsi="Times New Roman" w:cs="Times New Roman"/>
        </w:rPr>
        <w:lastRenderedPageBreak/>
        <w:t>Island, and Ajegunle. These results confirm previous estimates of flood vulnerability in Lagos, which have linked increased vulnerability to the interplay between sea-level rise, climate change, and urbanization (Adelekan, 2015). On the other hand, zones like Ikorodu and Alimosho suffered moderate vulnerability, while Epe and Badagry suffered less risk owing to being more upland and less compactly urbanized. These trends show how the outputs of machine learning can be leveraged to inform targeted interventions in urban planning and disaster preparedness.</w:t>
      </w:r>
    </w:p>
    <w:p w14:paraId="3DB64F32" w14:textId="3709CBBF" w:rsidR="00C018FB" w:rsidRPr="00C018FB" w:rsidRDefault="00C018FB" w:rsidP="00C018FB">
      <w:pPr>
        <w:rPr>
          <w:rFonts w:ascii="Times New Roman" w:hAnsi="Times New Roman" w:cs="Times New Roman"/>
        </w:rPr>
      </w:pPr>
      <w:r w:rsidRPr="00C018FB">
        <w:rPr>
          <w:rFonts w:ascii="Times New Roman" w:hAnsi="Times New Roman" w:cs="Times New Roman"/>
        </w:rPr>
        <w:t xml:space="preserve">The comparison with the urban–peri-urban model elucidates additional landscape impacts on prediction efficiency. RF was more efficient in peri-urban areas (accuracy = 0.94) where land cover was relatively homogenous, while XGBoost performed well in both scenarios. SVM and ANN were less efficient in high-density cities, </w:t>
      </w:r>
      <w:r w:rsidR="00244F36" w:rsidRPr="00C018FB">
        <w:rPr>
          <w:rFonts w:ascii="Times New Roman" w:hAnsi="Times New Roman" w:cs="Times New Roman"/>
        </w:rPr>
        <w:t>were</w:t>
      </w:r>
      <w:r w:rsidRPr="00C018FB">
        <w:rPr>
          <w:rFonts w:ascii="Times New Roman" w:hAnsi="Times New Roman" w:cs="Times New Roman"/>
        </w:rPr>
        <w:t xml:space="preserve"> spectral ambiguity due to impermeable surface features compromised classification. This emphasizes the need for ensemble classifiers noise- and high-dimensional robust to handle heterogeneous megacities.</w:t>
      </w:r>
    </w:p>
    <w:p w14:paraId="59502E21" w14:textId="4430593F" w:rsidR="00C018FB" w:rsidRDefault="00C018FB" w:rsidP="00C018FB">
      <w:pPr>
        <w:rPr>
          <w:rFonts w:ascii="Times New Roman" w:hAnsi="Times New Roman" w:cs="Times New Roman"/>
        </w:rPr>
      </w:pPr>
      <w:r w:rsidRPr="00C018FB">
        <w:rPr>
          <w:rFonts w:ascii="Times New Roman" w:hAnsi="Times New Roman" w:cs="Times New Roman"/>
        </w:rPr>
        <w:t>In sum, this research shows that RF and XGBoost ensemble machine learning models</w:t>
      </w:r>
      <w:r w:rsidR="00244F36" w:rsidRPr="00244F36">
        <w:t xml:space="preserve"> </w:t>
      </w:r>
      <w:r w:rsidR="00244F36" w:rsidRPr="00244F36">
        <w:rPr>
          <w:rFonts w:ascii="Times New Roman" w:hAnsi="Times New Roman" w:cs="Times New Roman"/>
        </w:rPr>
        <w:t>(Toma et al., 2024)</w:t>
      </w:r>
      <w:r w:rsidRPr="00C018FB">
        <w:rPr>
          <w:rFonts w:ascii="Times New Roman" w:hAnsi="Times New Roman" w:cs="Times New Roman"/>
        </w:rPr>
        <w:t xml:space="preserve"> can serve as efficient working tools in flood mapping for rapidly urbanizing coastal cities. High classification accuracy and susceptibility map generation are practical applicability for disaster risk managers and urban planners.</w:t>
      </w:r>
    </w:p>
    <w:p w14:paraId="567F38C6" w14:textId="7DB04E4D" w:rsidR="00C018FB" w:rsidRPr="00C018FB" w:rsidRDefault="00C018FB" w:rsidP="00C018FB">
      <w:pPr>
        <w:rPr>
          <w:rFonts w:ascii="Times New Roman" w:hAnsi="Times New Roman" w:cs="Times New Roman"/>
          <w:b/>
          <w:bCs/>
        </w:rPr>
      </w:pPr>
      <w:r w:rsidRPr="00C018FB">
        <w:rPr>
          <w:rFonts w:ascii="Times New Roman" w:hAnsi="Times New Roman" w:cs="Times New Roman"/>
          <w:b/>
          <w:bCs/>
        </w:rPr>
        <w:t>Conclusion</w:t>
      </w:r>
    </w:p>
    <w:p w14:paraId="6A6FBF63" w14:textId="77777777" w:rsidR="00C018FB" w:rsidRPr="00C018FB" w:rsidRDefault="00C018FB" w:rsidP="00C018FB">
      <w:pPr>
        <w:rPr>
          <w:rFonts w:ascii="Times New Roman" w:hAnsi="Times New Roman" w:cs="Times New Roman"/>
        </w:rPr>
      </w:pPr>
      <w:r w:rsidRPr="00C018FB">
        <w:rPr>
          <w:rFonts w:ascii="Times New Roman" w:hAnsi="Times New Roman" w:cs="Times New Roman"/>
        </w:rPr>
        <w:t>In this study, four machine learning classifiers of Random Forest (RF), XGBoost, Support Vector Machine (SVM), and Artificial Neural Network (ANN) were employed for predicting flooded areas in Lagos State from multi-sensor satellite Sentinel-1 SAR, Sentinel-2 NDVI, and DEM elevation data. The results prove that the ensemble classifiers performed better than the conventional models, where RF and XGBoost attained accuracy higher than 92% and ROC-AUC higher than 0.96, significantly better than SVM and ANN.</w:t>
      </w:r>
    </w:p>
    <w:p w14:paraId="26FF0BF4" w14:textId="77777777" w:rsidR="00C018FB" w:rsidRPr="00C018FB" w:rsidRDefault="00C018FB" w:rsidP="00C018FB">
      <w:pPr>
        <w:rPr>
          <w:rFonts w:ascii="Times New Roman" w:hAnsi="Times New Roman" w:cs="Times New Roman"/>
        </w:rPr>
      </w:pPr>
      <w:r w:rsidRPr="00C018FB">
        <w:rPr>
          <w:rFonts w:ascii="Times New Roman" w:hAnsi="Times New Roman" w:cs="Times New Roman"/>
        </w:rPr>
        <w:t>RF worked best in recall and is thus best at avoiding false negatives in detecting flood events, and XGBoost worked best in precision and was thus best at eliminating false alarms. Both of these models held up under spatial cross-validation as well as for both urban and peri-urban sites. Feature importance analysis supported that SAR backscatter features VV and VH were most significant predictors, and NDVI and elevation offered complementary data.</w:t>
      </w:r>
    </w:p>
    <w:p w14:paraId="6C3F529E" w14:textId="77777777" w:rsidR="00C018FB" w:rsidRPr="00C018FB" w:rsidRDefault="00C018FB" w:rsidP="00C018FB">
      <w:pPr>
        <w:rPr>
          <w:rFonts w:ascii="Times New Roman" w:hAnsi="Times New Roman" w:cs="Times New Roman"/>
        </w:rPr>
      </w:pPr>
      <w:r w:rsidRPr="00C018FB">
        <w:rPr>
          <w:rFonts w:ascii="Times New Roman" w:hAnsi="Times New Roman" w:cs="Times New Roman"/>
        </w:rPr>
        <w:t>The susceptibility spatial map showed that the majority of Lagos is in high or very high flood risk, including coastal areas like Lekki, Victoria Island, and Ajegunle. This corresponds to previous vulnerability estimates and highlights the synergic effect of fast urbanization, sea-level rise, and low elevation in raising exposure to floods. Overall, the research demonstrates the effectiveness of ensemble learning models and multi-sensor data for flood risk mapping in quickly urbanizing and flood-prone megacities.</w:t>
      </w:r>
    </w:p>
    <w:p w14:paraId="5204BC1C" w14:textId="224FD952" w:rsidR="00C018FB" w:rsidRPr="00C018FB" w:rsidRDefault="00C018FB" w:rsidP="00C018FB">
      <w:pPr>
        <w:rPr>
          <w:rFonts w:ascii="Times New Roman" w:hAnsi="Times New Roman" w:cs="Times New Roman"/>
          <w:b/>
          <w:bCs/>
        </w:rPr>
      </w:pPr>
      <w:r w:rsidRPr="00C018FB">
        <w:rPr>
          <w:rFonts w:ascii="Times New Roman" w:hAnsi="Times New Roman" w:cs="Times New Roman"/>
          <w:b/>
          <w:bCs/>
        </w:rPr>
        <w:t>Recommendations</w:t>
      </w:r>
    </w:p>
    <w:p w14:paraId="744FDF66" w14:textId="7642CDFB" w:rsidR="00C018FB" w:rsidRPr="00C018FB" w:rsidRDefault="00C018FB" w:rsidP="00C018FB">
      <w:pPr>
        <w:rPr>
          <w:rFonts w:ascii="Times New Roman" w:hAnsi="Times New Roman" w:cs="Times New Roman"/>
        </w:rPr>
      </w:pPr>
      <w:r w:rsidRPr="00C018FB">
        <w:rPr>
          <w:rFonts w:ascii="Times New Roman" w:hAnsi="Times New Roman" w:cs="Times New Roman"/>
        </w:rPr>
        <w:t>Integration into Operational Systems:</w:t>
      </w:r>
      <w:r>
        <w:rPr>
          <w:rFonts w:ascii="Times New Roman" w:hAnsi="Times New Roman" w:cs="Times New Roman"/>
        </w:rPr>
        <w:t xml:space="preserve"> </w:t>
      </w:r>
      <w:r w:rsidRPr="00C018FB">
        <w:rPr>
          <w:rFonts w:ascii="Times New Roman" w:hAnsi="Times New Roman" w:cs="Times New Roman"/>
        </w:rPr>
        <w:t xml:space="preserve">Disaster management institutions, especially the Lagos State Emergency Management Agency (LASEMA), should incorporate ensemble classifiers </w:t>
      </w:r>
      <w:r w:rsidRPr="00C018FB">
        <w:rPr>
          <w:rFonts w:ascii="Times New Roman" w:hAnsi="Times New Roman" w:cs="Times New Roman"/>
        </w:rPr>
        <w:lastRenderedPageBreak/>
        <w:t>like RF and XGBoost into early-warning systems for floods because they are excellent predictors and robust under actual conditions.</w:t>
      </w:r>
    </w:p>
    <w:p w14:paraId="31A3EF5E" w14:textId="09134220" w:rsidR="00C018FB" w:rsidRPr="00C018FB" w:rsidRDefault="00C018FB" w:rsidP="00C018FB">
      <w:pPr>
        <w:rPr>
          <w:rFonts w:ascii="Times New Roman" w:hAnsi="Times New Roman" w:cs="Times New Roman"/>
        </w:rPr>
      </w:pPr>
      <w:r w:rsidRPr="00C018FB">
        <w:rPr>
          <w:rFonts w:ascii="Times New Roman" w:hAnsi="Times New Roman" w:cs="Times New Roman"/>
        </w:rPr>
        <w:t>Hybrid Modeling Approaches Combining RF's (high recall) and XGBoost's (high precision) comparative strengths in a hybrid or ensemble-of-ensembles paradigm would have the potential to further improve performance while decreasing false negatives and false positives concurrently.</w:t>
      </w:r>
    </w:p>
    <w:p w14:paraId="43AB0C16" w14:textId="77777777" w:rsidR="00C018FB" w:rsidRPr="00C018FB" w:rsidRDefault="00C018FB" w:rsidP="00C018FB">
      <w:pPr>
        <w:rPr>
          <w:rFonts w:ascii="Times New Roman" w:hAnsi="Times New Roman" w:cs="Times New Roman"/>
          <w:b/>
          <w:bCs/>
        </w:rPr>
      </w:pPr>
      <w:r w:rsidRPr="00C018FB">
        <w:rPr>
          <w:rFonts w:ascii="Times New Roman" w:hAnsi="Times New Roman" w:cs="Times New Roman"/>
          <w:b/>
          <w:bCs/>
        </w:rPr>
        <w:t>Improved Data Inputs:</w:t>
      </w:r>
    </w:p>
    <w:p w14:paraId="13FB758C" w14:textId="77777777" w:rsidR="00C018FB" w:rsidRPr="00C018FB" w:rsidRDefault="00C018FB" w:rsidP="00C018FB">
      <w:pPr>
        <w:rPr>
          <w:rFonts w:ascii="Times New Roman" w:hAnsi="Times New Roman" w:cs="Times New Roman"/>
        </w:rPr>
      </w:pPr>
      <w:r w:rsidRPr="00C018FB">
        <w:rPr>
          <w:rFonts w:ascii="Times New Roman" w:hAnsi="Times New Roman" w:cs="Times New Roman"/>
        </w:rPr>
        <w:t>Subsequent research would need to include more predictors like near-real-time soil moisture, land subsidence information, and high-resolution LiDAR-based DEMs to further improve the accuracy of flood mapping.</w:t>
      </w:r>
    </w:p>
    <w:p w14:paraId="1930CB82" w14:textId="615851C3" w:rsidR="00C018FB" w:rsidRPr="00C018FB" w:rsidRDefault="00C018FB" w:rsidP="00C018FB">
      <w:pPr>
        <w:rPr>
          <w:rFonts w:ascii="Times New Roman" w:hAnsi="Times New Roman" w:cs="Times New Roman"/>
        </w:rPr>
      </w:pPr>
      <w:r w:rsidRPr="00C018FB">
        <w:rPr>
          <w:rFonts w:ascii="Times New Roman" w:hAnsi="Times New Roman" w:cs="Times New Roman"/>
        </w:rPr>
        <w:t>Validation with Field Data:</w:t>
      </w:r>
      <w:r>
        <w:rPr>
          <w:rFonts w:ascii="Times New Roman" w:hAnsi="Times New Roman" w:cs="Times New Roman"/>
        </w:rPr>
        <w:t xml:space="preserve"> </w:t>
      </w:r>
      <w:r w:rsidRPr="00C018FB">
        <w:rPr>
          <w:rFonts w:ascii="Times New Roman" w:hAnsi="Times New Roman" w:cs="Times New Roman"/>
        </w:rPr>
        <w:t>Enriching ground truth by community-based flood reporting, crowd-sourced understanding, and in-situ sensors would enhance model calibration and accuracy.</w:t>
      </w:r>
    </w:p>
    <w:p w14:paraId="4F3DACDD" w14:textId="4C22C6A5" w:rsidR="00C018FB" w:rsidRPr="00C018FB" w:rsidRDefault="00C018FB" w:rsidP="00C018FB">
      <w:pPr>
        <w:rPr>
          <w:rFonts w:ascii="Times New Roman" w:hAnsi="Times New Roman" w:cs="Times New Roman"/>
          <w:b/>
          <w:bCs/>
        </w:rPr>
      </w:pPr>
      <w:r w:rsidRPr="00C018FB">
        <w:rPr>
          <w:rFonts w:ascii="Times New Roman" w:hAnsi="Times New Roman" w:cs="Times New Roman"/>
          <w:b/>
          <w:bCs/>
        </w:rPr>
        <w:t>Spatially Explicit Planning:</w:t>
      </w:r>
      <w:r>
        <w:rPr>
          <w:rFonts w:ascii="Times New Roman" w:hAnsi="Times New Roman" w:cs="Times New Roman"/>
          <w:b/>
          <w:bCs/>
        </w:rPr>
        <w:t xml:space="preserve"> </w:t>
      </w:r>
      <w:r w:rsidRPr="00C018FB">
        <w:rPr>
          <w:rFonts w:ascii="Times New Roman" w:hAnsi="Times New Roman" w:cs="Times New Roman"/>
        </w:rPr>
        <w:t>Maps of susceptibility developed in this research should be used in guiding urban planning and zoning regulations through prioritisations of structural mitigation interventions (e.g., improved drainage, flood embankments) in highly vulnerable communities like Lekki and Ajegunle.</w:t>
      </w:r>
    </w:p>
    <w:p w14:paraId="754CBB2F" w14:textId="3B4F2E1C" w:rsidR="00C018FB" w:rsidRDefault="00C018FB" w:rsidP="00C018FB">
      <w:pPr>
        <w:rPr>
          <w:rFonts w:ascii="Times New Roman" w:hAnsi="Times New Roman" w:cs="Times New Roman"/>
        </w:rPr>
      </w:pPr>
      <w:r w:rsidRPr="00C018FB">
        <w:rPr>
          <w:rFonts w:ascii="Times New Roman" w:hAnsi="Times New Roman" w:cs="Times New Roman"/>
        </w:rPr>
        <w:t>Scalability and Transferability:</w:t>
      </w:r>
      <w:r>
        <w:rPr>
          <w:rFonts w:ascii="Times New Roman" w:hAnsi="Times New Roman" w:cs="Times New Roman"/>
        </w:rPr>
        <w:t xml:space="preserve"> </w:t>
      </w:r>
      <w:r w:rsidRPr="00C018FB">
        <w:rPr>
          <w:rFonts w:ascii="Times New Roman" w:hAnsi="Times New Roman" w:cs="Times New Roman"/>
        </w:rPr>
        <w:t>The model formulated herein can be employed in other Nigerian cities that are flood-prone and in the West African region to confirm its robustness and adaptability in different hydrological and socio-environmental contexts.</w:t>
      </w:r>
    </w:p>
    <w:p w14:paraId="0EFDAA44" w14:textId="77777777" w:rsidR="00C650A1" w:rsidRDefault="00C650A1" w:rsidP="00C018FB">
      <w:pPr>
        <w:rPr>
          <w:rFonts w:ascii="Times New Roman" w:hAnsi="Times New Roman" w:cs="Times New Roman"/>
        </w:rPr>
      </w:pPr>
    </w:p>
    <w:p w14:paraId="76E9123B" w14:textId="77777777" w:rsidR="00286224" w:rsidRDefault="00286224" w:rsidP="007E392A">
      <w:pPr>
        <w:rPr>
          <w:rFonts w:ascii="Times New Roman" w:hAnsi="Times New Roman" w:cs="Times New Roman"/>
          <w:b/>
          <w:bCs/>
        </w:rPr>
      </w:pPr>
      <w:bookmarkStart w:id="0" w:name="_GoBack"/>
      <w:bookmarkEnd w:id="0"/>
    </w:p>
    <w:p w14:paraId="20248859" w14:textId="6AB86D28" w:rsidR="007E392A" w:rsidRPr="007E392A" w:rsidRDefault="007E392A" w:rsidP="007E392A">
      <w:pPr>
        <w:rPr>
          <w:rFonts w:ascii="Times New Roman" w:hAnsi="Times New Roman" w:cs="Times New Roman"/>
          <w:b/>
          <w:bCs/>
        </w:rPr>
      </w:pPr>
      <w:r w:rsidRPr="00DD58AA">
        <w:rPr>
          <w:rFonts w:ascii="Times New Roman" w:hAnsi="Times New Roman" w:cs="Times New Roman"/>
          <w:b/>
          <w:bCs/>
        </w:rPr>
        <w:t>References</w:t>
      </w:r>
    </w:p>
    <w:p w14:paraId="4816AE6C" w14:textId="337DE8BA" w:rsidR="00EB4C71" w:rsidRPr="00EB4C71" w:rsidRDefault="00EB4C71" w:rsidP="006E71C3">
      <w:pPr>
        <w:pStyle w:val="NormalWeb"/>
        <w:numPr>
          <w:ilvl w:val="0"/>
          <w:numId w:val="21"/>
        </w:numPr>
      </w:pPr>
      <w:r w:rsidRPr="00EB4C71">
        <w:t xml:space="preserve">Adegun, O. (2023). Flood-related challenges and impacts within coastal informal settlements: A case from Lagos, Nigeria. </w:t>
      </w:r>
      <w:r w:rsidRPr="00EB4C71">
        <w:rPr>
          <w:i/>
          <w:iCs/>
        </w:rPr>
        <w:t>International Journal of Urban Sustainable Development, 15</w:t>
      </w:r>
      <w:r w:rsidRPr="00EB4C71">
        <w:t xml:space="preserve">(1), 1–13. </w:t>
      </w:r>
      <w:hyperlink r:id="rId19" w:history="1">
        <w:r w:rsidRPr="00FC37C4">
          <w:rPr>
            <w:rStyle w:val="Hyperlink"/>
          </w:rPr>
          <w:t>https://doi.org/10.1080/19463138.2022.2159415</w:t>
        </w:r>
      </w:hyperlink>
      <w:r w:rsidR="00F35318">
        <w:t>.</w:t>
      </w:r>
    </w:p>
    <w:p w14:paraId="18193AFF"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Abiodun, B. J., Lawal, K. A., Salami, A. T., &amp; Abatan, A. A. (2020). Flood risk assessment and adaptation in Lagos, Nigeria. Journal of Environmental Management, 270, 110865. https://doi.org/10.1016/j.jenvman.2020.110865</w:t>
      </w:r>
    </w:p>
    <w:p w14:paraId="1AF8F6B8" w14:textId="77777777" w:rsidR="00EB4C71" w:rsidRPr="00C018FB" w:rsidRDefault="00EB4C71" w:rsidP="006E71C3">
      <w:pPr>
        <w:numPr>
          <w:ilvl w:val="0"/>
          <w:numId w:val="21"/>
        </w:numPr>
        <w:rPr>
          <w:rFonts w:ascii="Times New Roman" w:hAnsi="Times New Roman" w:cs="Times New Roman"/>
        </w:rPr>
      </w:pPr>
      <w:r w:rsidRPr="00C018FB">
        <w:rPr>
          <w:rFonts w:ascii="Times New Roman" w:eastAsia="Times New Roman" w:hAnsi="Times New Roman" w:cs="Times New Roman"/>
          <w:kern w:val="0"/>
          <w14:ligatures w14:val="none"/>
        </w:rPr>
        <w:t xml:space="preserve">Adelekan, I. O. (2015). Flood risk management in the coastal city of Lagos, Nigeria. </w:t>
      </w:r>
      <w:r w:rsidRPr="00C018FB">
        <w:rPr>
          <w:rFonts w:ascii="Times New Roman" w:eastAsia="Times New Roman" w:hAnsi="Times New Roman" w:cs="Times New Roman"/>
          <w:i/>
          <w:iCs/>
          <w:kern w:val="0"/>
          <w14:ligatures w14:val="none"/>
        </w:rPr>
        <w:t>Journal of Flood Risk Management, 9</w:t>
      </w:r>
      <w:r w:rsidRPr="00C018FB">
        <w:rPr>
          <w:rFonts w:ascii="Times New Roman" w:eastAsia="Times New Roman" w:hAnsi="Times New Roman" w:cs="Times New Roman"/>
          <w:kern w:val="0"/>
          <w14:ligatures w14:val="none"/>
        </w:rPr>
        <w:t xml:space="preserve">(3), 255–264. </w:t>
      </w:r>
      <w:hyperlink r:id="rId20" w:history="1">
        <w:r w:rsidRPr="00FC37C4">
          <w:rPr>
            <w:rStyle w:val="Hyperlink"/>
            <w:rFonts w:ascii="Times New Roman" w:eastAsia="Times New Roman" w:hAnsi="Times New Roman" w:cs="Times New Roman"/>
            <w:kern w:val="0"/>
            <w14:ligatures w14:val="none"/>
          </w:rPr>
          <w:t>https://doi.org/10.1111/jfr3.12179</w:t>
        </w:r>
      </w:hyperlink>
    </w:p>
    <w:p w14:paraId="5C1DBF84"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Aderogba, K. A. (2012). Global warming and challenges of floods in Lagos Metropolis, Nigeria. Academic Research International, 2(1), 448–468.</w:t>
      </w:r>
    </w:p>
    <w:p w14:paraId="7C492083" w14:textId="77777777" w:rsidR="00EB4C71" w:rsidRDefault="00EB4C71" w:rsidP="006E71C3">
      <w:pPr>
        <w:pStyle w:val="NormalWeb"/>
        <w:numPr>
          <w:ilvl w:val="0"/>
          <w:numId w:val="21"/>
        </w:numPr>
      </w:pPr>
      <w:r>
        <w:t xml:space="preserve">Aderogba, K. A. (2012). Qualitative studies of recent floods and sustainable growth and development of cities and towns in Nigeria. </w:t>
      </w:r>
      <w:r>
        <w:rPr>
          <w:rStyle w:val="Emphasis"/>
          <w:rFonts w:eastAsiaTheme="majorEastAsia"/>
        </w:rPr>
        <w:t>International Journal of Academic Research in Economics and Management Sciences</w:t>
      </w:r>
      <w:r>
        <w:t>, 1(3), 1–25.</w:t>
      </w:r>
    </w:p>
    <w:p w14:paraId="1C714192" w14:textId="77777777" w:rsidR="00EB4C71" w:rsidRDefault="00EB4C71" w:rsidP="006E71C3">
      <w:pPr>
        <w:pStyle w:val="NormalWeb"/>
        <w:numPr>
          <w:ilvl w:val="0"/>
          <w:numId w:val="21"/>
        </w:numPr>
      </w:pPr>
      <w:r>
        <w:lastRenderedPageBreak/>
        <w:t xml:space="preserve">Adimchi, C. C. (2024). Flood hazard estimation and evaluation in Lagos State using machine learning techniques. </w:t>
      </w:r>
      <w:r>
        <w:rPr>
          <w:rStyle w:val="Emphasis"/>
          <w:rFonts w:eastAsiaTheme="majorEastAsia"/>
        </w:rPr>
        <w:t>International Journal of Science Research and Technology</w:t>
      </w:r>
      <w:r>
        <w:t>, 6(9), 45–56.</w:t>
      </w:r>
    </w:p>
    <w:p w14:paraId="3FED3ACE" w14:textId="77777777" w:rsidR="00EB4C71" w:rsidRDefault="00EB4C71" w:rsidP="006E71C3">
      <w:pPr>
        <w:pStyle w:val="NormalWeb"/>
        <w:numPr>
          <w:ilvl w:val="0"/>
          <w:numId w:val="21"/>
        </w:numPr>
      </w:pPr>
      <w:r>
        <w:t xml:space="preserve">Ajibade, I., McBean, G., &amp; Bezner-Kerr, R. (2020). Urban flooding in Lagos, Nigeria: Patterns, impacts, and policy responses. </w:t>
      </w:r>
      <w:r>
        <w:rPr>
          <w:rStyle w:val="Emphasis"/>
          <w:rFonts w:eastAsiaTheme="majorEastAsia"/>
        </w:rPr>
        <w:t>Environmental Urbanization</w:t>
      </w:r>
      <w:r>
        <w:t>, 32(2), 457–478. https://doi.org/10.1177/0956247820943614</w:t>
      </w:r>
    </w:p>
    <w:p w14:paraId="0AF5D698"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Bonafilia, D., Shean, D., Jain, S., &amp; McKinney, R. (2020). Improving disaster damage assessment with deep learning: A case study on flood mapping using Sentinel-1 SAR imagery. Remote Sensing, 12(8), 1322. https://doi.org/10.3390/rs12081322</w:t>
      </w:r>
    </w:p>
    <w:p w14:paraId="14362BF6" w14:textId="77777777" w:rsidR="00EB4C71" w:rsidRPr="00DD58AA" w:rsidRDefault="00EB4C71" w:rsidP="006E71C3">
      <w:pPr>
        <w:pStyle w:val="NormalWeb"/>
        <w:numPr>
          <w:ilvl w:val="0"/>
          <w:numId w:val="21"/>
        </w:numPr>
      </w:pPr>
      <w:r w:rsidRPr="00DD58AA">
        <w:t xml:space="preserve">Breiman, L. (2001). Random forests. </w:t>
      </w:r>
      <w:r w:rsidRPr="00DD58AA">
        <w:rPr>
          <w:rStyle w:val="Emphasis"/>
          <w:rFonts w:eastAsiaTheme="majorEastAsia"/>
          <w:i w:val="0"/>
          <w:iCs w:val="0"/>
        </w:rPr>
        <w:t>Machine Learning</w:t>
      </w:r>
      <w:r w:rsidRPr="00DD58AA">
        <w:t>, 45(1), 5–32. https://doi.org/10.1023/A:1010933404324</w:t>
      </w:r>
    </w:p>
    <w:p w14:paraId="7D412C51" w14:textId="77777777" w:rsidR="00EB4C71" w:rsidRPr="00DD58AA" w:rsidRDefault="00EB4C71" w:rsidP="006E71C3">
      <w:pPr>
        <w:pStyle w:val="NormalWeb"/>
        <w:numPr>
          <w:ilvl w:val="0"/>
          <w:numId w:val="21"/>
        </w:numPr>
      </w:pPr>
      <w:r w:rsidRPr="00DD58AA">
        <w:t xml:space="preserve">Campbell, J. B., &amp; Wynne, R. H. (2011). </w:t>
      </w:r>
      <w:r w:rsidRPr="00DD58AA">
        <w:rPr>
          <w:rStyle w:val="Emphasis"/>
          <w:rFonts w:eastAsiaTheme="majorEastAsia"/>
          <w:i w:val="0"/>
          <w:iCs w:val="0"/>
        </w:rPr>
        <w:t>Introduction to Remote Sensing</w:t>
      </w:r>
      <w:r w:rsidRPr="00DD58AA">
        <w:t>. Guilford Press.</w:t>
      </w:r>
    </w:p>
    <w:p w14:paraId="484E2938"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Campbell, J. B., &amp; Wynne, R. H. (2011). Introduction to Remote Sensing. Guilford Press.</w:t>
      </w:r>
    </w:p>
    <w:p w14:paraId="799024AE" w14:textId="77777777" w:rsidR="00EB4C71" w:rsidRPr="00BF00CB" w:rsidRDefault="00EB4C71" w:rsidP="006E71C3">
      <w:pPr>
        <w:pStyle w:val="ListParagraph"/>
        <w:numPr>
          <w:ilvl w:val="0"/>
          <w:numId w:val="21"/>
        </w:numPr>
      </w:pPr>
      <w:r w:rsidRPr="00676843">
        <w:t>Conference: National Conference on Artificial Intelligence: From Theory to Practice</w:t>
      </w:r>
      <w:r>
        <w:t>,</w:t>
      </w:r>
      <w:r w:rsidRPr="00676843">
        <w:t xml:space="preserve"> Tebessa, Algeria</w:t>
      </w:r>
    </w:p>
    <w:p w14:paraId="29DC1129" w14:textId="77777777" w:rsidR="00EB4C71" w:rsidRPr="00DD58AA" w:rsidRDefault="00EB4C71" w:rsidP="006E71C3">
      <w:pPr>
        <w:pStyle w:val="NoSpacing"/>
        <w:numPr>
          <w:ilvl w:val="0"/>
          <w:numId w:val="21"/>
        </w:numPr>
        <w:rPr>
          <w:rFonts w:ascii="Times New Roman" w:hAnsi="Times New Roman" w:cs="Times New Roman"/>
        </w:rPr>
      </w:pPr>
      <w:r w:rsidRPr="00DD58AA">
        <w:rPr>
          <w:rFonts w:ascii="Times New Roman" w:hAnsi="Times New Roman" w:cs="Times New Roman"/>
        </w:rPr>
        <w:t>Confidence Adimchi Chinonyerem, Iyenoma Kelvin Oghogho, Abraham Temilade Olumide, Segun Bamidele, Adeniyi Ibrahim Kayode, &amp; Favour Enayaba. (2024). Flood Hazard Estimation And Evaluation In Lagos State Using Machine Learning Techniques. International Journal of Science Research and Technology, 6(9). </w:t>
      </w:r>
      <w:hyperlink r:id="rId21" w:history="1">
        <w:r w:rsidRPr="00DD58AA">
          <w:rPr>
            <w:rStyle w:val="Hyperlink"/>
            <w:rFonts w:ascii="Times New Roman" w:hAnsi="Times New Roman" w:cs="Times New Roman"/>
          </w:rPr>
          <w:t>https://doi.org/10.70382/tijsrat.v06i9.004</w:t>
        </w:r>
      </w:hyperlink>
    </w:p>
    <w:p w14:paraId="7A8B25BC"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Costache, R., Pham, Q. B., Sharifi, E., et al. (2020). Flash-flood susceptibility assessment using ensemble machine learning models. Science of the Total Environment, 727, 138744. https://doi.org/10.1016/j.scitotenv.2020.138744</w:t>
      </w:r>
    </w:p>
    <w:p w14:paraId="4733A751" w14:textId="77777777" w:rsidR="00EB4C71" w:rsidRPr="00DD58AA" w:rsidRDefault="00EB4C71" w:rsidP="006E71C3">
      <w:pPr>
        <w:pStyle w:val="NormalWeb"/>
        <w:numPr>
          <w:ilvl w:val="0"/>
          <w:numId w:val="21"/>
        </w:numPr>
      </w:pPr>
      <w:r w:rsidRPr="00DD58AA">
        <w:t xml:space="preserve">Di Baldassarre, G., et al. (2019). Sociohydrology: Scientific challenges in addressing the sustainable development goals. </w:t>
      </w:r>
      <w:r w:rsidRPr="00DD58AA">
        <w:rPr>
          <w:rStyle w:val="Emphasis"/>
          <w:rFonts w:eastAsiaTheme="majorEastAsia"/>
          <w:i w:val="0"/>
          <w:iCs w:val="0"/>
        </w:rPr>
        <w:t>Water Resources Research</w:t>
      </w:r>
      <w:r w:rsidRPr="00DD58AA">
        <w:t>, 55(8), 6327–6355. https://doi.org/10.1029/2018WR023901</w:t>
      </w:r>
    </w:p>
    <w:p w14:paraId="23A69862" w14:textId="77777777" w:rsidR="00EB4C71" w:rsidRDefault="00EB4C71" w:rsidP="006E71C3">
      <w:pPr>
        <w:pStyle w:val="NormalWeb"/>
        <w:numPr>
          <w:ilvl w:val="0"/>
          <w:numId w:val="21"/>
        </w:numPr>
      </w:pPr>
      <w:r w:rsidRPr="00DD58AA">
        <w:t xml:space="preserve">Douglas, I., Alam, K., Maghenda, M., McDonnell, Y., McLean, L., &amp; Campbell, J. (2008). Unjust waters: Climate change, flooding and the urban poor in Africa. </w:t>
      </w:r>
      <w:r w:rsidRPr="00DD58AA">
        <w:rPr>
          <w:rStyle w:val="Emphasis"/>
          <w:rFonts w:eastAsiaTheme="majorEastAsia"/>
          <w:i w:val="0"/>
          <w:iCs w:val="0"/>
        </w:rPr>
        <w:t>Environment and Urbanization</w:t>
      </w:r>
      <w:r w:rsidRPr="00DD58AA">
        <w:t xml:space="preserve">, 20(1), 187–205. </w:t>
      </w:r>
      <w:hyperlink r:id="rId22" w:history="1">
        <w:r w:rsidRPr="00FC37C4">
          <w:rPr>
            <w:rStyle w:val="Hyperlink"/>
          </w:rPr>
          <w:t>https://doi.org/10.1177/0956247808089156</w:t>
        </w:r>
      </w:hyperlink>
    </w:p>
    <w:p w14:paraId="4930A5CB" w14:textId="77777777" w:rsidR="00EB4C71" w:rsidRPr="00DD58AA" w:rsidRDefault="00EB4C71" w:rsidP="006E71C3">
      <w:pPr>
        <w:pStyle w:val="NormalWeb"/>
        <w:numPr>
          <w:ilvl w:val="0"/>
          <w:numId w:val="21"/>
        </w:numPr>
      </w:pPr>
      <w:r w:rsidRPr="00DD58AA">
        <w:t xml:space="preserve">ESA. (2021). Sentinel-1 SAR User Guide. </w:t>
      </w:r>
      <w:r w:rsidRPr="00DD58AA">
        <w:rPr>
          <w:rStyle w:val="Emphasis"/>
          <w:rFonts w:eastAsiaTheme="majorEastAsia"/>
          <w:i w:val="0"/>
          <w:iCs w:val="0"/>
        </w:rPr>
        <w:t>European Space Agency</w:t>
      </w:r>
      <w:r w:rsidRPr="00DD58AA">
        <w:t>. https://sentinel.esa.int</w:t>
      </w:r>
    </w:p>
    <w:p w14:paraId="6A552D71"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Etti, I. E., Ogunfowokan, A. A., &amp; Eze, V. E. (2022). Urban flood risk in Lagos, Nigeria: Causes, impacts, and management strategies. Sustainable Cities and Society, 80, 103793. https://doi.org/10.1016/j.scs.2022.103793</w:t>
      </w:r>
    </w:p>
    <w:p w14:paraId="60BD39F1" w14:textId="77777777" w:rsidR="00EB4C71" w:rsidRPr="00DD58AA" w:rsidRDefault="00EB4C71" w:rsidP="006E71C3">
      <w:pPr>
        <w:pStyle w:val="NormalWeb"/>
        <w:numPr>
          <w:ilvl w:val="0"/>
          <w:numId w:val="21"/>
        </w:numPr>
      </w:pPr>
      <w:r w:rsidRPr="00DD58AA">
        <w:t xml:space="preserve">Goodfellow, I., Bengio, Y., &amp; Courville, A. (2016). </w:t>
      </w:r>
      <w:r w:rsidRPr="00DD58AA">
        <w:rPr>
          <w:rStyle w:val="Emphasis"/>
          <w:rFonts w:eastAsiaTheme="majorEastAsia"/>
          <w:i w:val="0"/>
          <w:iCs w:val="0"/>
        </w:rPr>
        <w:t>Deep Learning</w:t>
      </w:r>
      <w:r w:rsidRPr="00DD58AA">
        <w:t>. MIT Press.</w:t>
      </w:r>
    </w:p>
    <w:p w14:paraId="5664AFFC"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Horritt, M. S., &amp; Bates, P. D. (2002). Evaluation of 1D and 2D numerical models for predicting river flood inundation. Journal of Hydrology, 268(1–4), 87–99. https://doi.org/10.1016/S0022-1694(02)00121-X</w:t>
      </w:r>
    </w:p>
    <w:p w14:paraId="6FC043CA" w14:textId="77777777" w:rsidR="00EB4C71" w:rsidRPr="00DD58AA" w:rsidRDefault="00134487" w:rsidP="006E71C3">
      <w:pPr>
        <w:pStyle w:val="ListParagraph"/>
        <w:numPr>
          <w:ilvl w:val="0"/>
          <w:numId w:val="21"/>
        </w:numPr>
        <w:rPr>
          <w:rFonts w:ascii="Times New Roman" w:hAnsi="Times New Roman" w:cs="Times New Roman"/>
        </w:rPr>
      </w:pPr>
      <w:hyperlink r:id="rId23" w:history="1">
        <w:r w:rsidR="00EB4C71" w:rsidRPr="00DD58AA">
          <w:rPr>
            <w:rStyle w:val="nova-legacy-v-person-inline-itemfullname"/>
            <w:rFonts w:ascii="Times New Roman" w:hAnsi="Times New Roman" w:cs="Times New Roman"/>
          </w:rPr>
          <w:t>Huan Ning</w:t>
        </w:r>
      </w:hyperlink>
      <w:r w:rsidR="00EB4C71" w:rsidRPr="00DD58AA">
        <w:rPr>
          <w:rFonts w:ascii="Times New Roman" w:hAnsi="Times New Roman" w:cs="Times New Roman"/>
        </w:rPr>
        <w:t xml:space="preserve">, et al 2020, </w:t>
      </w:r>
      <w:hyperlink r:id="rId24" w:history="1">
        <w:r w:rsidR="00EB4C71" w:rsidRPr="00DD58AA">
          <w:rPr>
            <w:rStyle w:val="Hyperlink"/>
            <w:rFonts w:ascii="Times New Roman" w:hAnsi="Times New Roman" w:cs="Times New Roman"/>
            <w:color w:val="auto"/>
            <w:u w:val="none"/>
          </w:rPr>
          <w:t>Prototyping a Social Media Flooding Photo Screening System Based on Deep Learning</w:t>
        </w:r>
      </w:hyperlink>
      <w:r w:rsidR="00EB4C71" w:rsidRPr="00DD58AA">
        <w:rPr>
          <w:rFonts w:ascii="Times New Roman" w:hAnsi="Times New Roman" w:cs="Times New Roman"/>
        </w:rPr>
        <w:t>.</w:t>
      </w:r>
    </w:p>
    <w:p w14:paraId="3DF59624" w14:textId="78E52E1E" w:rsidR="00EB4C71" w:rsidRDefault="00EB4C71" w:rsidP="006E71C3">
      <w:pPr>
        <w:pStyle w:val="NormalWeb"/>
        <w:numPr>
          <w:ilvl w:val="0"/>
          <w:numId w:val="21"/>
        </w:numPr>
      </w:pPr>
      <w:r w:rsidRPr="00DD58AA">
        <w:t xml:space="preserve">Huang, C., Chen, Y., Wu, J., Li, J., &amp; Huang, Y. (2018). Detecting, extracting, and monitoring floodwater using Sentinel-1 SAR data. </w:t>
      </w:r>
      <w:r w:rsidRPr="00DD58AA">
        <w:rPr>
          <w:rStyle w:val="Emphasis"/>
          <w:rFonts w:eastAsiaTheme="majorEastAsia"/>
          <w:i w:val="0"/>
          <w:iCs w:val="0"/>
        </w:rPr>
        <w:t>Remote Sensing</w:t>
      </w:r>
      <w:r w:rsidRPr="00DD58AA">
        <w:t xml:space="preserve">, 10(9), 1368. </w:t>
      </w:r>
      <w:hyperlink r:id="rId25" w:history="1">
        <w:r w:rsidR="00D971EA" w:rsidRPr="00FC37C4">
          <w:rPr>
            <w:rStyle w:val="Hyperlink"/>
          </w:rPr>
          <w:t>https://doi.org/10.3390/rs10091368</w:t>
        </w:r>
      </w:hyperlink>
    </w:p>
    <w:p w14:paraId="4CD84D9A" w14:textId="0550E035" w:rsidR="00D971EA" w:rsidRPr="00DD58AA" w:rsidRDefault="00D971EA" w:rsidP="006E71C3">
      <w:pPr>
        <w:pStyle w:val="NormalWeb"/>
        <w:numPr>
          <w:ilvl w:val="0"/>
          <w:numId w:val="21"/>
        </w:numPr>
      </w:pPr>
      <w:r w:rsidRPr="00D971EA">
        <w:lastRenderedPageBreak/>
        <w:t xml:space="preserve">Kaoje, I. U., &amp; Ibrahim, I. (2017). Urban flood vulnerability mapping of Lagos, Nigeria. </w:t>
      </w:r>
      <w:r w:rsidRPr="00D971EA">
        <w:rPr>
          <w:i/>
          <w:iCs/>
        </w:rPr>
        <w:t>MATTER: International Journal of Science and Technology, 3</w:t>
      </w:r>
      <w:r w:rsidRPr="00D971EA">
        <w:t>(1), 224–236. https://doi.org/10.20319/mijst.2017.s31.224236</w:t>
      </w:r>
    </w:p>
    <w:p w14:paraId="118DC35D" w14:textId="77777777" w:rsidR="00EB4C71" w:rsidRPr="00EB4C71" w:rsidRDefault="00EB4C71" w:rsidP="006E71C3">
      <w:pPr>
        <w:pStyle w:val="NormalWeb"/>
        <w:numPr>
          <w:ilvl w:val="0"/>
          <w:numId w:val="21"/>
        </w:numPr>
      </w:pPr>
      <w:r w:rsidRPr="00EB4C71">
        <w:rPr>
          <w:rFonts w:eastAsiaTheme="minorHAnsi"/>
          <w:kern w:val="2"/>
          <w14:ligatures w14:val="standardContextual"/>
        </w:rPr>
        <w:t xml:space="preserve">Lang, F., Zhu, Y., Zhao, J., Hu, X., Shi, H., Zheng, N., &amp; Zha, J. (2024). Flood mapping of synthetic aperture radar (SAR) imagery based on semi-automatic thresholding and change detection. </w:t>
      </w:r>
      <w:r w:rsidRPr="00EB4C71">
        <w:rPr>
          <w:rFonts w:eastAsiaTheme="minorHAnsi"/>
          <w:i/>
          <w:iCs/>
          <w:kern w:val="2"/>
          <w14:ligatures w14:val="standardContextual"/>
        </w:rPr>
        <w:t>Remote Sensing, 16</w:t>
      </w:r>
      <w:r w:rsidRPr="00EB4C71">
        <w:rPr>
          <w:rFonts w:eastAsiaTheme="minorHAnsi"/>
          <w:kern w:val="2"/>
          <w14:ligatures w14:val="standardContextual"/>
        </w:rPr>
        <w:t xml:space="preserve">(15), 2763. </w:t>
      </w:r>
      <w:hyperlink r:id="rId26" w:history="1">
        <w:r w:rsidRPr="00FC37C4">
          <w:rPr>
            <w:rStyle w:val="Hyperlink"/>
            <w:rFonts w:eastAsiaTheme="minorHAnsi"/>
            <w:kern w:val="2"/>
            <w14:ligatures w14:val="standardContextual"/>
          </w:rPr>
          <w:t>https://doi.org/10.3390/rs16152763</w:t>
        </w:r>
      </w:hyperlink>
    </w:p>
    <w:p w14:paraId="068C89ED"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Li, J., Gong, P., &amp; Zhao, Y. (2022). A deep learning approach for flood extent mapping using fused optical and SAR data. Remote Sensing of Environment, 269, 112775. https://doi.org/10.1016/j.rse.2021.112775</w:t>
      </w:r>
    </w:p>
    <w:p w14:paraId="5893F2FB"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Li, Z., Wang, C., Li, W., &amp; Tang, C. (2019). Flood mapping using multi-source remote sensing data and a machine learning technique: A case study of the 2013 flood in Colorado. Remote Sensing, 11(5), 612. https://doi.org/10.3390/rs11050612</w:t>
      </w:r>
    </w:p>
    <w:p w14:paraId="3EDD75A1" w14:textId="77777777" w:rsidR="00EB4C71" w:rsidRPr="00DD58AA" w:rsidRDefault="00EB4C71" w:rsidP="006E71C3">
      <w:pPr>
        <w:pStyle w:val="NormalWeb"/>
        <w:numPr>
          <w:ilvl w:val="0"/>
          <w:numId w:val="21"/>
        </w:numPr>
      </w:pPr>
      <w:r w:rsidRPr="00DD58AA">
        <w:t xml:space="preserve">Martinez-Sanchez, J., Almeida, D., &amp; Destro, F. (2020). Urban flood detection using multi-temporal Sentinel-1 data and support vector machines. </w:t>
      </w:r>
      <w:r w:rsidRPr="00DD58AA">
        <w:rPr>
          <w:rStyle w:val="Emphasis"/>
          <w:rFonts w:eastAsiaTheme="majorEastAsia"/>
          <w:i w:val="0"/>
          <w:iCs w:val="0"/>
        </w:rPr>
        <w:t>Remote Sensing Letters</w:t>
      </w:r>
      <w:r w:rsidRPr="00DD58AA">
        <w:t>, 11(3), 293–302. https://doi.org/10.1080/2150704X.2020.1729524</w:t>
      </w:r>
    </w:p>
    <w:p w14:paraId="50F67149"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Mason, D. C., Giustarini, L., Garcia-Pintado, J., &amp; Cloke, H. L. (2021). Detection of flooded urban areas using Sentinel-1 SAR and coherence change detection. ISPRS Journal of Photogrammetry and Remote Sensing, 178, 354–369. https://doi.org/10.1016/j.isprsjprs.2021.06.013</w:t>
      </w:r>
    </w:p>
    <w:p w14:paraId="1964E885" w14:textId="77777777" w:rsidR="00EB4C71" w:rsidRDefault="00EB4C71" w:rsidP="006E71C3">
      <w:pPr>
        <w:numPr>
          <w:ilvl w:val="0"/>
          <w:numId w:val="21"/>
        </w:numPr>
        <w:rPr>
          <w:rFonts w:ascii="Times New Roman" w:hAnsi="Times New Roman" w:cs="Times New Roman"/>
        </w:rPr>
      </w:pPr>
      <w:r w:rsidRPr="00DD58AA">
        <w:rPr>
          <w:rFonts w:ascii="Times New Roman" w:hAnsi="Times New Roman" w:cs="Times New Roman"/>
        </w:rPr>
        <w:t xml:space="preserve">Nkwunonwo, U. C., Malcolm, C., &amp; Brian, B. (2020). Urban flood risk in Lagos Island: The need for a new paradigm in flood risk management. Natural Hazards, 102(1), 415–436. </w:t>
      </w:r>
      <w:hyperlink r:id="rId27" w:history="1">
        <w:r w:rsidRPr="00985EA2">
          <w:rPr>
            <w:rStyle w:val="Hyperlink"/>
            <w:rFonts w:ascii="Times New Roman" w:hAnsi="Times New Roman" w:cs="Times New Roman"/>
          </w:rPr>
          <w:t>https://doi.org/10.1007/s11069-020-03926-1</w:t>
        </w:r>
      </w:hyperlink>
    </w:p>
    <w:p w14:paraId="4F38F87A" w14:textId="77777777" w:rsidR="00EB4C71" w:rsidRPr="00676843" w:rsidRDefault="00134487" w:rsidP="006E71C3">
      <w:pPr>
        <w:pStyle w:val="NoSpacing"/>
        <w:numPr>
          <w:ilvl w:val="0"/>
          <w:numId w:val="21"/>
        </w:numPr>
      </w:pPr>
      <w:hyperlink r:id="rId28" w:history="1">
        <w:r w:rsidR="00EB4C71" w:rsidRPr="00676843">
          <w:t>Nouioua Tarek</w:t>
        </w:r>
      </w:hyperlink>
      <w:r w:rsidR="00EB4C71">
        <w:t xml:space="preserve"> (2023) </w:t>
      </w:r>
      <w:r w:rsidR="00EB4C71" w:rsidRPr="00676843">
        <w:t>Flood Detection in Satellite Images using Deep Learning</w:t>
      </w:r>
    </w:p>
    <w:p w14:paraId="57A14912" w14:textId="77777777" w:rsidR="00EB4C71" w:rsidRDefault="00EB4C71" w:rsidP="006E71C3">
      <w:pPr>
        <w:pStyle w:val="NormalWeb"/>
        <w:numPr>
          <w:ilvl w:val="0"/>
          <w:numId w:val="21"/>
        </w:numPr>
      </w:pPr>
      <w:r>
        <w:t xml:space="preserve">Odeyemi, A. S., Salami, A. T., &amp; Oyinloye, R. O. (2019). GIS-based flood risk mapping and vulnerability assessment of urban areas in Nigeria. </w:t>
      </w:r>
      <w:r>
        <w:rPr>
          <w:rStyle w:val="Emphasis"/>
          <w:rFonts w:eastAsiaTheme="majorEastAsia"/>
        </w:rPr>
        <w:t>Environmental Monitoring and Assessment</w:t>
      </w:r>
      <w:r>
        <w:t>, 191(12), 760. https://doi.org/10.1007/s10661-019-7811-0</w:t>
      </w:r>
    </w:p>
    <w:p w14:paraId="617D0ED4" w14:textId="77777777" w:rsidR="00EB4C71" w:rsidRDefault="00EB4C71" w:rsidP="006E71C3">
      <w:pPr>
        <w:pStyle w:val="NormalWeb"/>
        <w:numPr>
          <w:ilvl w:val="0"/>
          <w:numId w:val="21"/>
        </w:numPr>
      </w:pPr>
      <w:r>
        <w:t xml:space="preserve">Ogunbodede, E. F., Ilesanmi, A. S., &amp; Oyewole, B. O. (2021). Urban land use change and flood risk in metropolitan Lagos. </w:t>
      </w:r>
      <w:r>
        <w:rPr>
          <w:rStyle w:val="Emphasis"/>
          <w:rFonts w:eastAsiaTheme="majorEastAsia"/>
        </w:rPr>
        <w:t>Sustainable Cities and Society</w:t>
      </w:r>
      <w:r>
        <w:t>, 74, 103186. https://doi.org/10.1016/j.scs.2021.103186</w:t>
      </w:r>
    </w:p>
    <w:p w14:paraId="15AECC4F"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Ojolowo, S. E., &amp; Wahab, B. (2021). Evaluating flood risk exposure in Lagos using SAR data. Journal of African Earth Sciences, 178, 104152. https://doi.org/10.1016/j.jafrearsci.2021.104152</w:t>
      </w:r>
    </w:p>
    <w:p w14:paraId="6DE0BEC0" w14:textId="77777777" w:rsidR="00EB4C71" w:rsidRDefault="00EB4C71" w:rsidP="006E71C3">
      <w:pPr>
        <w:pStyle w:val="NormalWeb"/>
        <w:numPr>
          <w:ilvl w:val="0"/>
          <w:numId w:val="21"/>
        </w:numPr>
      </w:pPr>
      <w:r>
        <w:t xml:space="preserve">Oladokun, V. O., &amp; Proverbs, D. G. (2016). Flood risk management in Nigeria: A review of the challenges and opportunities. </w:t>
      </w:r>
      <w:r>
        <w:rPr>
          <w:rStyle w:val="Emphasis"/>
          <w:rFonts w:eastAsiaTheme="majorEastAsia"/>
        </w:rPr>
        <w:t>International Journal of Safety and Security Engineering</w:t>
      </w:r>
      <w:r>
        <w:t>, 6(3), 485–497. https://doi.org/10.2495/SAFE-V6-N3-485-497</w:t>
      </w:r>
    </w:p>
    <w:p w14:paraId="6202B399"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Olowoporoku, A. O., &amp; Babatolu, J. S. (2020). Evaluating the spatial vulnerability of Lagos to urban flooding using GIS techniques. Environmental Challenges, 1, 100005. https://doi.org/10.1016/j.envc.2020.100005</w:t>
      </w:r>
    </w:p>
    <w:p w14:paraId="1CB0EB7F"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Ouma, Y. O., &amp; Tateishi, R. (2014). Urban flood vulnerability and risk mapping using integrated multi-parametric AHP and GIS: Methodological overview and case study assessment. Water, 6(6), 1515–1545. https://doi.org/10.3390/w6061515</w:t>
      </w:r>
    </w:p>
    <w:p w14:paraId="4A4724BA"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 xml:space="preserve">Rahmati, O., Naghibi, S. A., Melesse, A. M., et al. (2019). Flood susceptibility modeling using an integrated approach of analytic hierarchy process (AHP) and fuzzy </w:t>
      </w:r>
      <w:r w:rsidRPr="0048279A">
        <w:rPr>
          <w:rFonts w:ascii="Times New Roman" w:eastAsia="Times New Roman" w:hAnsi="Times New Roman" w:cs="Times New Roman"/>
          <w:kern w:val="0"/>
          <w14:ligatures w14:val="none"/>
        </w:rPr>
        <w:lastRenderedPageBreak/>
        <w:t>logic in GIS. Hydrology Research, 50(1), 201–215. https://doi.org/10.2166/nh.2018.104</w:t>
      </w:r>
    </w:p>
    <w:p w14:paraId="2658D940" w14:textId="77777777" w:rsidR="00EB4C71" w:rsidRPr="0048279A"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Samadi, M., Hosseini, S. Z., &amp; Bahrami, M. (2022). A comparative assessment of machine learning models in mapping flood extent using SAR imagery. Environmental Monitoring and Assessment, 194(1), 45. https://doi.org/10.1007/s10661-021-09631-1</w:t>
      </w:r>
    </w:p>
    <w:p w14:paraId="39933262" w14:textId="77777777" w:rsidR="00EB4C71" w:rsidRPr="00DD58AA" w:rsidRDefault="00EB4C71" w:rsidP="006E71C3">
      <w:pPr>
        <w:numPr>
          <w:ilvl w:val="0"/>
          <w:numId w:val="21"/>
        </w:numPr>
        <w:rPr>
          <w:rFonts w:ascii="Times New Roman" w:hAnsi="Times New Roman" w:cs="Times New Roman"/>
        </w:rPr>
      </w:pPr>
      <w:r w:rsidRPr="00CB610D">
        <w:rPr>
          <w:rFonts w:ascii="Times New Roman" w:hAnsi="Times New Roman" w:cs="Times New Roman"/>
        </w:rPr>
        <w:t xml:space="preserve">Toma, A., Sandric, I., &amp; Mihai, B.-A. (2024). Flooded area detection and mapping from Sentinel-1 imagery: Complementary approaches and comparative performance evaluation. </w:t>
      </w:r>
      <w:r w:rsidRPr="00CB610D">
        <w:rPr>
          <w:rFonts w:ascii="Times New Roman" w:hAnsi="Times New Roman" w:cs="Times New Roman"/>
          <w:i/>
          <w:iCs/>
        </w:rPr>
        <w:t>European Journal of Remote Sensing, 57</w:t>
      </w:r>
      <w:r w:rsidRPr="00CB610D">
        <w:rPr>
          <w:rFonts w:ascii="Times New Roman" w:hAnsi="Times New Roman" w:cs="Times New Roman"/>
        </w:rPr>
        <w:t>(1), 1–17. https://doi.org/10.1080/22797254.2024.2414004</w:t>
      </w:r>
    </w:p>
    <w:p w14:paraId="5F00B40A" w14:textId="77777777" w:rsidR="00EB4C71" w:rsidRDefault="00EB4C71" w:rsidP="006E71C3">
      <w:pPr>
        <w:numPr>
          <w:ilvl w:val="0"/>
          <w:numId w:val="21"/>
        </w:numPr>
        <w:rPr>
          <w:rFonts w:ascii="Times New Roman" w:hAnsi="Times New Roman" w:cs="Times New Roman"/>
        </w:rPr>
      </w:pPr>
      <w:r w:rsidRPr="00DD58AA">
        <w:rPr>
          <w:rFonts w:ascii="Times New Roman" w:hAnsi="Times New Roman" w:cs="Times New Roman"/>
        </w:rPr>
        <w:t xml:space="preserve">Twele, A., Cao, W., Plank, S., &amp; Martinis, S. (2016). Sentinel-1-based flood mapping: A fully automated processing chain. International Journal of Remote Sensing, 37(13), 2990–3004. </w:t>
      </w:r>
      <w:hyperlink r:id="rId29" w:history="1">
        <w:r w:rsidRPr="00FC37C4">
          <w:rPr>
            <w:rStyle w:val="Hyperlink"/>
            <w:rFonts w:ascii="Times New Roman" w:hAnsi="Times New Roman" w:cs="Times New Roman"/>
          </w:rPr>
          <w:t>https://doi.org/10.1080/01431161.2016.1192304</w:t>
        </w:r>
      </w:hyperlink>
    </w:p>
    <w:p w14:paraId="3907C6B0" w14:textId="77777777" w:rsidR="00EB4C71" w:rsidRPr="00DD58AA" w:rsidRDefault="00EB4C71" w:rsidP="006E71C3">
      <w:pPr>
        <w:pStyle w:val="NormalWeb"/>
        <w:numPr>
          <w:ilvl w:val="0"/>
          <w:numId w:val="21"/>
        </w:numPr>
      </w:pPr>
      <w:r w:rsidRPr="00DD58AA">
        <w:t xml:space="preserve">U.S. Geological Survey (2023). </w:t>
      </w:r>
      <w:r w:rsidRPr="00DD58AA">
        <w:rPr>
          <w:rStyle w:val="Emphasis"/>
          <w:rFonts w:eastAsiaTheme="majorEastAsia"/>
          <w:i w:val="0"/>
          <w:iCs w:val="0"/>
        </w:rPr>
        <w:t>Landsat 8 Data Users Handbook</w:t>
      </w:r>
      <w:r w:rsidRPr="00DD58AA">
        <w:t xml:space="preserve">. </w:t>
      </w:r>
      <w:hyperlink r:id="rId30" w:tgtFrame="_new" w:history="1">
        <w:r w:rsidRPr="00DD58AA">
          <w:rPr>
            <w:rStyle w:val="Hyperlink"/>
            <w:rFonts w:eastAsiaTheme="majorEastAsia"/>
          </w:rPr>
          <w:t>https://www.usgs.gov</w:t>
        </w:r>
      </w:hyperlink>
    </w:p>
    <w:p w14:paraId="7A5E2CB8" w14:textId="77777777" w:rsidR="00EB4C71" w:rsidRPr="00DD58AA" w:rsidRDefault="00EB4C71" w:rsidP="006E71C3">
      <w:pPr>
        <w:pStyle w:val="NormalWeb"/>
        <w:numPr>
          <w:ilvl w:val="0"/>
          <w:numId w:val="21"/>
        </w:numPr>
      </w:pPr>
      <w:r w:rsidRPr="00DD58AA">
        <w:t xml:space="preserve">UNDRR (2019). </w:t>
      </w:r>
      <w:r w:rsidRPr="00DD58AA">
        <w:rPr>
          <w:rStyle w:val="Emphasis"/>
          <w:rFonts w:eastAsiaTheme="majorEastAsia"/>
          <w:i w:val="0"/>
          <w:iCs w:val="0"/>
        </w:rPr>
        <w:t>Global Assessment Report on Disaster Risk Reduction</w:t>
      </w:r>
      <w:r w:rsidRPr="00DD58AA">
        <w:t>. United Nations Office for Disaster Risk Reduction.</w:t>
      </w:r>
    </w:p>
    <w:p w14:paraId="09E6866F" w14:textId="77777777" w:rsidR="00EB4C71" w:rsidRPr="00DD58AA" w:rsidRDefault="00EB4C71" w:rsidP="006E71C3">
      <w:pPr>
        <w:numPr>
          <w:ilvl w:val="0"/>
          <w:numId w:val="21"/>
        </w:numPr>
        <w:rPr>
          <w:rFonts w:ascii="Times New Roman" w:hAnsi="Times New Roman" w:cs="Times New Roman"/>
        </w:rPr>
      </w:pPr>
      <w:r w:rsidRPr="00DD58AA">
        <w:rPr>
          <w:rFonts w:ascii="Times New Roman" w:hAnsi="Times New Roman" w:cs="Times New Roman"/>
        </w:rPr>
        <w:t xml:space="preserve">Zhang, X., Wang, C., &amp; Li, Y. (2019). Multi-sensor data fusion for improved flood mapping using a random forest classifier. Remote Sensing, 11(9), 1076. </w:t>
      </w:r>
      <w:hyperlink r:id="rId31" w:history="1">
        <w:r w:rsidRPr="00DD58AA">
          <w:rPr>
            <w:rStyle w:val="Hyperlink"/>
            <w:rFonts w:ascii="Times New Roman" w:hAnsi="Times New Roman" w:cs="Times New Roman"/>
          </w:rPr>
          <w:t>https://doi.org/10.3390/rs11091076</w:t>
        </w:r>
      </w:hyperlink>
      <w:r w:rsidRPr="00DD58AA">
        <w:rPr>
          <w:rFonts w:ascii="Times New Roman" w:hAnsi="Times New Roman" w:cs="Times New Roman"/>
        </w:rPr>
        <w:t>.</w:t>
      </w:r>
    </w:p>
    <w:p w14:paraId="6BBFFFE7" w14:textId="77777777" w:rsidR="00EB4C71" w:rsidRPr="00BF00CB" w:rsidRDefault="00EB4C71" w:rsidP="006E71C3">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48279A">
        <w:rPr>
          <w:rFonts w:ascii="Times New Roman" w:eastAsia="Times New Roman" w:hAnsi="Times New Roman" w:cs="Times New Roman"/>
          <w:kern w:val="0"/>
          <w14:ligatures w14:val="none"/>
        </w:rPr>
        <w:t xml:space="preserve">Zhang, Y., Wang, Q., &amp; Tang, Y. (2021). Multi-temporal flood mapping using machine learning and Sentinel-1 data: A case study in China. Remote Sensing Letters, 12(6), 577–586. </w:t>
      </w:r>
      <w:hyperlink r:id="rId32" w:history="1">
        <w:r w:rsidRPr="00901AB1">
          <w:rPr>
            <w:rStyle w:val="Hyperlink"/>
            <w:rFonts w:ascii="Times New Roman" w:eastAsia="Times New Roman" w:hAnsi="Times New Roman" w:cs="Times New Roman"/>
            <w:kern w:val="0"/>
            <w14:ligatures w14:val="none"/>
          </w:rPr>
          <w:t>https://doi.org/10.1080/2150704X.2021.1915952</w:t>
        </w:r>
      </w:hyperlink>
    </w:p>
    <w:sectPr w:rsidR="00EB4C71" w:rsidRPr="00BF00CB">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B4E9B" w14:textId="77777777" w:rsidR="00134487" w:rsidRDefault="00134487" w:rsidP="00444E50">
      <w:pPr>
        <w:spacing w:after="0" w:line="240" w:lineRule="auto"/>
      </w:pPr>
      <w:r>
        <w:separator/>
      </w:r>
    </w:p>
  </w:endnote>
  <w:endnote w:type="continuationSeparator" w:id="0">
    <w:p w14:paraId="603DD1A2" w14:textId="77777777" w:rsidR="00134487" w:rsidRDefault="00134487" w:rsidP="00444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23F92" w14:textId="77777777" w:rsidR="00444E50" w:rsidRDefault="00444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279E" w14:textId="77777777" w:rsidR="00444E50" w:rsidRDefault="00444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37DA7" w14:textId="77777777" w:rsidR="00444E50" w:rsidRDefault="00444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1ECE0" w14:textId="77777777" w:rsidR="00134487" w:rsidRDefault="00134487" w:rsidP="00444E50">
      <w:pPr>
        <w:spacing w:after="0" w:line="240" w:lineRule="auto"/>
      </w:pPr>
      <w:r>
        <w:separator/>
      </w:r>
    </w:p>
  </w:footnote>
  <w:footnote w:type="continuationSeparator" w:id="0">
    <w:p w14:paraId="24E0AA90" w14:textId="77777777" w:rsidR="00134487" w:rsidRDefault="00134487" w:rsidP="00444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94C84" w14:textId="762DC5C0" w:rsidR="00444E50" w:rsidRDefault="00444E50">
    <w:pPr>
      <w:pStyle w:val="Header"/>
    </w:pPr>
    <w:r>
      <w:rPr>
        <w:noProof/>
      </w:rPr>
      <w:pict w14:anchorId="498E6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94F9" w14:textId="36CCA91B" w:rsidR="00444E50" w:rsidRDefault="00444E50">
    <w:pPr>
      <w:pStyle w:val="Header"/>
    </w:pPr>
    <w:r>
      <w:rPr>
        <w:noProof/>
      </w:rPr>
      <w:pict w14:anchorId="06A65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8B7BD" w14:textId="25971CE4" w:rsidR="00444E50" w:rsidRDefault="00444E50">
    <w:pPr>
      <w:pStyle w:val="Header"/>
    </w:pPr>
    <w:r>
      <w:rPr>
        <w:noProof/>
      </w:rPr>
      <w:pict w14:anchorId="407D6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782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3F9B"/>
    <w:multiLevelType w:val="multilevel"/>
    <w:tmpl w:val="ACE0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E58"/>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5475"/>
    <w:multiLevelType w:val="hybridMultilevel"/>
    <w:tmpl w:val="A1BE6B8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DBC0F9E"/>
    <w:multiLevelType w:val="hybridMultilevel"/>
    <w:tmpl w:val="C172DB7A"/>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1D5670"/>
    <w:multiLevelType w:val="multilevel"/>
    <w:tmpl w:val="A6F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4411F"/>
    <w:multiLevelType w:val="multilevel"/>
    <w:tmpl w:val="F76E001C"/>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6" w15:restartNumberingAfterBreak="0">
    <w:nsid w:val="1B1C2BAE"/>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3DB49F0"/>
    <w:multiLevelType w:val="multilevel"/>
    <w:tmpl w:val="86641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A04FF1"/>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966F1"/>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4531E27"/>
    <w:multiLevelType w:val="multilevel"/>
    <w:tmpl w:val="F90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830D1"/>
    <w:multiLevelType w:val="multilevel"/>
    <w:tmpl w:val="1E145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FC316A"/>
    <w:multiLevelType w:val="multilevel"/>
    <w:tmpl w:val="CF18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C0968"/>
    <w:multiLevelType w:val="multilevel"/>
    <w:tmpl w:val="16C00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B80AC6"/>
    <w:multiLevelType w:val="multilevel"/>
    <w:tmpl w:val="DAAC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A69FD"/>
    <w:multiLevelType w:val="multilevel"/>
    <w:tmpl w:val="BC42C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3362D2"/>
    <w:multiLevelType w:val="hybridMultilevel"/>
    <w:tmpl w:val="DB2CD4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00E4816"/>
    <w:multiLevelType w:val="multilevel"/>
    <w:tmpl w:val="200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EBB4F32"/>
    <w:multiLevelType w:val="hybridMultilevel"/>
    <w:tmpl w:val="D6201F0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13128BE"/>
    <w:multiLevelType w:val="multilevel"/>
    <w:tmpl w:val="94EA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1456A"/>
    <w:multiLevelType w:val="multilevel"/>
    <w:tmpl w:val="7E8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10"/>
  </w:num>
  <w:num w:numId="4">
    <w:abstractNumId w:val="14"/>
  </w:num>
  <w:num w:numId="5">
    <w:abstractNumId w:val="13"/>
  </w:num>
  <w:num w:numId="6">
    <w:abstractNumId w:val="0"/>
  </w:num>
  <w:num w:numId="7">
    <w:abstractNumId w:val="5"/>
  </w:num>
  <w:num w:numId="8">
    <w:abstractNumId w:val="19"/>
  </w:num>
  <w:num w:numId="9">
    <w:abstractNumId w:val="7"/>
  </w:num>
  <w:num w:numId="10">
    <w:abstractNumId w:val="15"/>
  </w:num>
  <w:num w:numId="11">
    <w:abstractNumId w:val="9"/>
  </w:num>
  <w:num w:numId="12">
    <w:abstractNumId w:val="17"/>
  </w:num>
  <w:num w:numId="13">
    <w:abstractNumId w:val="6"/>
  </w:num>
  <w:num w:numId="14">
    <w:abstractNumId w:val="2"/>
  </w:num>
  <w:num w:numId="15">
    <w:abstractNumId w:val="20"/>
  </w:num>
  <w:num w:numId="16">
    <w:abstractNumId w:val="1"/>
  </w:num>
  <w:num w:numId="17">
    <w:abstractNumId w:val="11"/>
  </w:num>
  <w:num w:numId="18">
    <w:abstractNumId w:val="4"/>
  </w:num>
  <w:num w:numId="19">
    <w:abstractNumId w:val="18"/>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NDc1MDQwNTY2MzFU0lEKTi0uzszPAykwrAUACvFaqywAAAA="/>
  </w:docVars>
  <w:rsids>
    <w:rsidRoot w:val="00AA712A"/>
    <w:rsid w:val="0000062C"/>
    <w:rsid w:val="00004789"/>
    <w:rsid w:val="00006515"/>
    <w:rsid w:val="00012D26"/>
    <w:rsid w:val="00013341"/>
    <w:rsid w:val="00020F49"/>
    <w:rsid w:val="00023004"/>
    <w:rsid w:val="00033485"/>
    <w:rsid w:val="00033E8E"/>
    <w:rsid w:val="00035AF6"/>
    <w:rsid w:val="00036775"/>
    <w:rsid w:val="0004428A"/>
    <w:rsid w:val="000453A5"/>
    <w:rsid w:val="00045407"/>
    <w:rsid w:val="00055486"/>
    <w:rsid w:val="000603F8"/>
    <w:rsid w:val="00061706"/>
    <w:rsid w:val="00061D68"/>
    <w:rsid w:val="00075C0C"/>
    <w:rsid w:val="00076A08"/>
    <w:rsid w:val="000906B3"/>
    <w:rsid w:val="00091DED"/>
    <w:rsid w:val="0009229E"/>
    <w:rsid w:val="00092A91"/>
    <w:rsid w:val="00097F20"/>
    <w:rsid w:val="000A51EB"/>
    <w:rsid w:val="000B207B"/>
    <w:rsid w:val="000B239C"/>
    <w:rsid w:val="000B3BC2"/>
    <w:rsid w:val="000C2ECC"/>
    <w:rsid w:val="000D4186"/>
    <w:rsid w:val="000D7CB7"/>
    <w:rsid w:val="000E5C07"/>
    <w:rsid w:val="000E5EF7"/>
    <w:rsid w:val="000F137D"/>
    <w:rsid w:val="000F410D"/>
    <w:rsid w:val="000F4BD7"/>
    <w:rsid w:val="00107F2A"/>
    <w:rsid w:val="00110E14"/>
    <w:rsid w:val="00111117"/>
    <w:rsid w:val="0011127F"/>
    <w:rsid w:val="00111CC5"/>
    <w:rsid w:val="0011694B"/>
    <w:rsid w:val="00124394"/>
    <w:rsid w:val="00134487"/>
    <w:rsid w:val="0014086A"/>
    <w:rsid w:val="00152760"/>
    <w:rsid w:val="001565B8"/>
    <w:rsid w:val="00162667"/>
    <w:rsid w:val="00165E02"/>
    <w:rsid w:val="001666F2"/>
    <w:rsid w:val="00166F8B"/>
    <w:rsid w:val="00170A33"/>
    <w:rsid w:val="00173B3D"/>
    <w:rsid w:val="00173D3C"/>
    <w:rsid w:val="00176AD6"/>
    <w:rsid w:val="00177F93"/>
    <w:rsid w:val="00181D4C"/>
    <w:rsid w:val="001826FE"/>
    <w:rsid w:val="00184962"/>
    <w:rsid w:val="00187F89"/>
    <w:rsid w:val="00192D97"/>
    <w:rsid w:val="001A5859"/>
    <w:rsid w:val="001A7F6D"/>
    <w:rsid w:val="001B1D5C"/>
    <w:rsid w:val="001C3DC8"/>
    <w:rsid w:val="001C777A"/>
    <w:rsid w:val="001D1444"/>
    <w:rsid w:val="001D38D7"/>
    <w:rsid w:val="001D69E4"/>
    <w:rsid w:val="001D6A72"/>
    <w:rsid w:val="001D6C3B"/>
    <w:rsid w:val="001E22A4"/>
    <w:rsid w:val="001E7A45"/>
    <w:rsid w:val="001F297E"/>
    <w:rsid w:val="001F30A7"/>
    <w:rsid w:val="00200F3C"/>
    <w:rsid w:val="0020257D"/>
    <w:rsid w:val="00204AF6"/>
    <w:rsid w:val="00213D41"/>
    <w:rsid w:val="00216786"/>
    <w:rsid w:val="00244F36"/>
    <w:rsid w:val="00245348"/>
    <w:rsid w:val="00251395"/>
    <w:rsid w:val="002514C4"/>
    <w:rsid w:val="002619EA"/>
    <w:rsid w:val="00262AE5"/>
    <w:rsid w:val="00267F5D"/>
    <w:rsid w:val="00274001"/>
    <w:rsid w:val="00275D30"/>
    <w:rsid w:val="0028239F"/>
    <w:rsid w:val="00282AD2"/>
    <w:rsid w:val="00285CAF"/>
    <w:rsid w:val="00286224"/>
    <w:rsid w:val="002874BC"/>
    <w:rsid w:val="002874F2"/>
    <w:rsid w:val="00295E3F"/>
    <w:rsid w:val="002A34DE"/>
    <w:rsid w:val="002E6658"/>
    <w:rsid w:val="002F189D"/>
    <w:rsid w:val="002F259A"/>
    <w:rsid w:val="002F3B92"/>
    <w:rsid w:val="00302847"/>
    <w:rsid w:val="00303409"/>
    <w:rsid w:val="00304397"/>
    <w:rsid w:val="00311AEC"/>
    <w:rsid w:val="00317DEC"/>
    <w:rsid w:val="003232EB"/>
    <w:rsid w:val="0033090A"/>
    <w:rsid w:val="0033157F"/>
    <w:rsid w:val="00345002"/>
    <w:rsid w:val="003574F1"/>
    <w:rsid w:val="003810C7"/>
    <w:rsid w:val="00382806"/>
    <w:rsid w:val="00386AF0"/>
    <w:rsid w:val="00392234"/>
    <w:rsid w:val="00392921"/>
    <w:rsid w:val="003A49CD"/>
    <w:rsid w:val="003B0305"/>
    <w:rsid w:val="003B11EB"/>
    <w:rsid w:val="003B5B03"/>
    <w:rsid w:val="003B7D8D"/>
    <w:rsid w:val="003D1F36"/>
    <w:rsid w:val="003E3567"/>
    <w:rsid w:val="003E4D38"/>
    <w:rsid w:val="003E66BC"/>
    <w:rsid w:val="003E72DA"/>
    <w:rsid w:val="003F4BFF"/>
    <w:rsid w:val="00410DEA"/>
    <w:rsid w:val="0041176A"/>
    <w:rsid w:val="004122F2"/>
    <w:rsid w:val="00417F54"/>
    <w:rsid w:val="004334EE"/>
    <w:rsid w:val="00434D30"/>
    <w:rsid w:val="00443E02"/>
    <w:rsid w:val="00444E50"/>
    <w:rsid w:val="00450B95"/>
    <w:rsid w:val="0045103B"/>
    <w:rsid w:val="004523E6"/>
    <w:rsid w:val="0046002C"/>
    <w:rsid w:val="004662BD"/>
    <w:rsid w:val="004671C3"/>
    <w:rsid w:val="0047597D"/>
    <w:rsid w:val="00475992"/>
    <w:rsid w:val="004800DA"/>
    <w:rsid w:val="004805AE"/>
    <w:rsid w:val="0048279A"/>
    <w:rsid w:val="00486B5F"/>
    <w:rsid w:val="004968F7"/>
    <w:rsid w:val="004A2DE0"/>
    <w:rsid w:val="004A2F65"/>
    <w:rsid w:val="004A4E55"/>
    <w:rsid w:val="004A6ABA"/>
    <w:rsid w:val="004B3A69"/>
    <w:rsid w:val="004B7340"/>
    <w:rsid w:val="004C047F"/>
    <w:rsid w:val="004C3B89"/>
    <w:rsid w:val="004C7974"/>
    <w:rsid w:val="004E0F03"/>
    <w:rsid w:val="004E44E4"/>
    <w:rsid w:val="004E63D7"/>
    <w:rsid w:val="004E682D"/>
    <w:rsid w:val="004F434D"/>
    <w:rsid w:val="00501811"/>
    <w:rsid w:val="00503F40"/>
    <w:rsid w:val="00503FE5"/>
    <w:rsid w:val="00505686"/>
    <w:rsid w:val="005246A0"/>
    <w:rsid w:val="00526A7B"/>
    <w:rsid w:val="005347E1"/>
    <w:rsid w:val="005400F2"/>
    <w:rsid w:val="0054395C"/>
    <w:rsid w:val="005555DE"/>
    <w:rsid w:val="00557575"/>
    <w:rsid w:val="0056024F"/>
    <w:rsid w:val="005628C7"/>
    <w:rsid w:val="00563544"/>
    <w:rsid w:val="0056580D"/>
    <w:rsid w:val="00580CF5"/>
    <w:rsid w:val="00581E5C"/>
    <w:rsid w:val="00586F44"/>
    <w:rsid w:val="00592C7C"/>
    <w:rsid w:val="005A0961"/>
    <w:rsid w:val="005A0FC1"/>
    <w:rsid w:val="005A27C4"/>
    <w:rsid w:val="005A2A83"/>
    <w:rsid w:val="005A6EFC"/>
    <w:rsid w:val="005B159B"/>
    <w:rsid w:val="005B3E4F"/>
    <w:rsid w:val="005C63F2"/>
    <w:rsid w:val="005D093B"/>
    <w:rsid w:val="005D0B40"/>
    <w:rsid w:val="005D771B"/>
    <w:rsid w:val="005E6601"/>
    <w:rsid w:val="006007ED"/>
    <w:rsid w:val="00602BA0"/>
    <w:rsid w:val="00604D1C"/>
    <w:rsid w:val="00614C4A"/>
    <w:rsid w:val="00617AC9"/>
    <w:rsid w:val="006202E7"/>
    <w:rsid w:val="00637517"/>
    <w:rsid w:val="006504C2"/>
    <w:rsid w:val="00653272"/>
    <w:rsid w:val="00655687"/>
    <w:rsid w:val="0066380B"/>
    <w:rsid w:val="00663A27"/>
    <w:rsid w:val="006640B3"/>
    <w:rsid w:val="0066524D"/>
    <w:rsid w:val="00665A95"/>
    <w:rsid w:val="0066692F"/>
    <w:rsid w:val="00670BEE"/>
    <w:rsid w:val="00671F9A"/>
    <w:rsid w:val="00674FFD"/>
    <w:rsid w:val="00680521"/>
    <w:rsid w:val="00683DE8"/>
    <w:rsid w:val="00684C24"/>
    <w:rsid w:val="0069001A"/>
    <w:rsid w:val="00690681"/>
    <w:rsid w:val="006C19FE"/>
    <w:rsid w:val="006D6285"/>
    <w:rsid w:val="006E5F17"/>
    <w:rsid w:val="006E71C3"/>
    <w:rsid w:val="00707B54"/>
    <w:rsid w:val="007131BD"/>
    <w:rsid w:val="00714DCB"/>
    <w:rsid w:val="007200F3"/>
    <w:rsid w:val="0072220C"/>
    <w:rsid w:val="007227CE"/>
    <w:rsid w:val="007234C0"/>
    <w:rsid w:val="0072619D"/>
    <w:rsid w:val="00735DFD"/>
    <w:rsid w:val="00735E44"/>
    <w:rsid w:val="00736384"/>
    <w:rsid w:val="007456CA"/>
    <w:rsid w:val="0074796B"/>
    <w:rsid w:val="007500E7"/>
    <w:rsid w:val="00750553"/>
    <w:rsid w:val="00771AC2"/>
    <w:rsid w:val="0077309E"/>
    <w:rsid w:val="00780532"/>
    <w:rsid w:val="00784DD4"/>
    <w:rsid w:val="00785640"/>
    <w:rsid w:val="007903D4"/>
    <w:rsid w:val="00790923"/>
    <w:rsid w:val="00790C6B"/>
    <w:rsid w:val="007A0145"/>
    <w:rsid w:val="007B215A"/>
    <w:rsid w:val="007B599B"/>
    <w:rsid w:val="007C1C1C"/>
    <w:rsid w:val="007C252E"/>
    <w:rsid w:val="007C3403"/>
    <w:rsid w:val="007C44FE"/>
    <w:rsid w:val="007C5D8C"/>
    <w:rsid w:val="007D2F3B"/>
    <w:rsid w:val="007D3E13"/>
    <w:rsid w:val="007D3FCC"/>
    <w:rsid w:val="007D40B1"/>
    <w:rsid w:val="007D4743"/>
    <w:rsid w:val="007D7AA0"/>
    <w:rsid w:val="007E10C7"/>
    <w:rsid w:val="007E392A"/>
    <w:rsid w:val="007E6AEA"/>
    <w:rsid w:val="007E6F7C"/>
    <w:rsid w:val="007F3D4C"/>
    <w:rsid w:val="00801EE7"/>
    <w:rsid w:val="00802C53"/>
    <w:rsid w:val="00804B83"/>
    <w:rsid w:val="00805AE7"/>
    <w:rsid w:val="008060A1"/>
    <w:rsid w:val="0081059D"/>
    <w:rsid w:val="00810FE1"/>
    <w:rsid w:val="00817B5C"/>
    <w:rsid w:val="008203ED"/>
    <w:rsid w:val="00824C25"/>
    <w:rsid w:val="00825C44"/>
    <w:rsid w:val="008267CC"/>
    <w:rsid w:val="008268A3"/>
    <w:rsid w:val="008314A7"/>
    <w:rsid w:val="00832269"/>
    <w:rsid w:val="00833476"/>
    <w:rsid w:val="00846408"/>
    <w:rsid w:val="00847C6D"/>
    <w:rsid w:val="00850F3A"/>
    <w:rsid w:val="00855340"/>
    <w:rsid w:val="0087407D"/>
    <w:rsid w:val="00877346"/>
    <w:rsid w:val="00891758"/>
    <w:rsid w:val="00891C91"/>
    <w:rsid w:val="008A11C9"/>
    <w:rsid w:val="008A1383"/>
    <w:rsid w:val="008A3DA3"/>
    <w:rsid w:val="008A4CD8"/>
    <w:rsid w:val="008A51EE"/>
    <w:rsid w:val="008A6592"/>
    <w:rsid w:val="008A7573"/>
    <w:rsid w:val="008B0777"/>
    <w:rsid w:val="008B26F1"/>
    <w:rsid w:val="008B721F"/>
    <w:rsid w:val="008C46D6"/>
    <w:rsid w:val="008C5F34"/>
    <w:rsid w:val="008C798E"/>
    <w:rsid w:val="008D16FE"/>
    <w:rsid w:val="008D6B5A"/>
    <w:rsid w:val="008D7D99"/>
    <w:rsid w:val="008E3241"/>
    <w:rsid w:val="008E46E2"/>
    <w:rsid w:val="008E5526"/>
    <w:rsid w:val="008E769D"/>
    <w:rsid w:val="008F24B4"/>
    <w:rsid w:val="009007AF"/>
    <w:rsid w:val="00905A28"/>
    <w:rsid w:val="00911855"/>
    <w:rsid w:val="009148DE"/>
    <w:rsid w:val="00915357"/>
    <w:rsid w:val="00916C03"/>
    <w:rsid w:val="00921792"/>
    <w:rsid w:val="009244D8"/>
    <w:rsid w:val="00925131"/>
    <w:rsid w:val="009264D3"/>
    <w:rsid w:val="0093598C"/>
    <w:rsid w:val="00937B3C"/>
    <w:rsid w:val="00940333"/>
    <w:rsid w:val="009411C7"/>
    <w:rsid w:val="00942B23"/>
    <w:rsid w:val="00953DCE"/>
    <w:rsid w:val="009553B0"/>
    <w:rsid w:val="00957380"/>
    <w:rsid w:val="009602C6"/>
    <w:rsid w:val="009611E6"/>
    <w:rsid w:val="00965C35"/>
    <w:rsid w:val="00973C62"/>
    <w:rsid w:val="009761FD"/>
    <w:rsid w:val="00981CB7"/>
    <w:rsid w:val="0098308C"/>
    <w:rsid w:val="009834EE"/>
    <w:rsid w:val="0098369A"/>
    <w:rsid w:val="00985EDB"/>
    <w:rsid w:val="00987597"/>
    <w:rsid w:val="009958C5"/>
    <w:rsid w:val="009962DF"/>
    <w:rsid w:val="009965E7"/>
    <w:rsid w:val="009A3488"/>
    <w:rsid w:val="009B039E"/>
    <w:rsid w:val="009B420B"/>
    <w:rsid w:val="009B5B19"/>
    <w:rsid w:val="009C0C5C"/>
    <w:rsid w:val="009C1AA5"/>
    <w:rsid w:val="009C6CAB"/>
    <w:rsid w:val="009C7037"/>
    <w:rsid w:val="009D3138"/>
    <w:rsid w:val="009D5258"/>
    <w:rsid w:val="009E409C"/>
    <w:rsid w:val="00A021BF"/>
    <w:rsid w:val="00A045FB"/>
    <w:rsid w:val="00A0594A"/>
    <w:rsid w:val="00A12DA1"/>
    <w:rsid w:val="00A13C77"/>
    <w:rsid w:val="00A16F5A"/>
    <w:rsid w:val="00A172BE"/>
    <w:rsid w:val="00A232D6"/>
    <w:rsid w:val="00A2551A"/>
    <w:rsid w:val="00A35E60"/>
    <w:rsid w:val="00A4297C"/>
    <w:rsid w:val="00A43394"/>
    <w:rsid w:val="00A4713E"/>
    <w:rsid w:val="00A52927"/>
    <w:rsid w:val="00A52DE9"/>
    <w:rsid w:val="00A56DC7"/>
    <w:rsid w:val="00A60917"/>
    <w:rsid w:val="00A61B52"/>
    <w:rsid w:val="00A61CAF"/>
    <w:rsid w:val="00A631F7"/>
    <w:rsid w:val="00A839D5"/>
    <w:rsid w:val="00A91A9D"/>
    <w:rsid w:val="00A943CE"/>
    <w:rsid w:val="00AA6F8C"/>
    <w:rsid w:val="00AA712A"/>
    <w:rsid w:val="00AB7355"/>
    <w:rsid w:val="00AC6433"/>
    <w:rsid w:val="00AD15C4"/>
    <w:rsid w:val="00AD3C33"/>
    <w:rsid w:val="00AD3EFA"/>
    <w:rsid w:val="00AE239C"/>
    <w:rsid w:val="00AE3F47"/>
    <w:rsid w:val="00AE596C"/>
    <w:rsid w:val="00AE6100"/>
    <w:rsid w:val="00AE7199"/>
    <w:rsid w:val="00AF3C00"/>
    <w:rsid w:val="00B17A91"/>
    <w:rsid w:val="00B260FF"/>
    <w:rsid w:val="00B30049"/>
    <w:rsid w:val="00B35C2C"/>
    <w:rsid w:val="00B36129"/>
    <w:rsid w:val="00B36FFB"/>
    <w:rsid w:val="00B470EB"/>
    <w:rsid w:val="00B5511E"/>
    <w:rsid w:val="00B615D9"/>
    <w:rsid w:val="00B66A2A"/>
    <w:rsid w:val="00B70BAD"/>
    <w:rsid w:val="00B71E13"/>
    <w:rsid w:val="00B76CC0"/>
    <w:rsid w:val="00B82599"/>
    <w:rsid w:val="00B830D0"/>
    <w:rsid w:val="00B8469E"/>
    <w:rsid w:val="00B919FE"/>
    <w:rsid w:val="00B9461E"/>
    <w:rsid w:val="00BA0156"/>
    <w:rsid w:val="00BA1405"/>
    <w:rsid w:val="00BA18D4"/>
    <w:rsid w:val="00BA3242"/>
    <w:rsid w:val="00BA582B"/>
    <w:rsid w:val="00BA73D7"/>
    <w:rsid w:val="00BA7AD0"/>
    <w:rsid w:val="00BB04E3"/>
    <w:rsid w:val="00BB5D9D"/>
    <w:rsid w:val="00BB60BE"/>
    <w:rsid w:val="00BE4718"/>
    <w:rsid w:val="00BE540E"/>
    <w:rsid w:val="00BF00CB"/>
    <w:rsid w:val="00BF1994"/>
    <w:rsid w:val="00BF2D24"/>
    <w:rsid w:val="00C018FB"/>
    <w:rsid w:val="00C026D2"/>
    <w:rsid w:val="00C053AB"/>
    <w:rsid w:val="00C10824"/>
    <w:rsid w:val="00C12913"/>
    <w:rsid w:val="00C17924"/>
    <w:rsid w:val="00C212D7"/>
    <w:rsid w:val="00C238AA"/>
    <w:rsid w:val="00C2515A"/>
    <w:rsid w:val="00C3689D"/>
    <w:rsid w:val="00C37A68"/>
    <w:rsid w:val="00C44EE9"/>
    <w:rsid w:val="00C44F31"/>
    <w:rsid w:val="00C47E53"/>
    <w:rsid w:val="00C536DB"/>
    <w:rsid w:val="00C56E41"/>
    <w:rsid w:val="00C6006A"/>
    <w:rsid w:val="00C63865"/>
    <w:rsid w:val="00C650A1"/>
    <w:rsid w:val="00C661D3"/>
    <w:rsid w:val="00C71937"/>
    <w:rsid w:val="00C75F9C"/>
    <w:rsid w:val="00C76A65"/>
    <w:rsid w:val="00C8799D"/>
    <w:rsid w:val="00C950A7"/>
    <w:rsid w:val="00CA2873"/>
    <w:rsid w:val="00CA63BD"/>
    <w:rsid w:val="00CA72BA"/>
    <w:rsid w:val="00CB610D"/>
    <w:rsid w:val="00CC1977"/>
    <w:rsid w:val="00CD5835"/>
    <w:rsid w:val="00CD7BDA"/>
    <w:rsid w:val="00CE04D0"/>
    <w:rsid w:val="00CE37CA"/>
    <w:rsid w:val="00CE5623"/>
    <w:rsid w:val="00CF11CE"/>
    <w:rsid w:val="00CF17EF"/>
    <w:rsid w:val="00CF50C3"/>
    <w:rsid w:val="00CF738F"/>
    <w:rsid w:val="00D0794A"/>
    <w:rsid w:val="00D11D33"/>
    <w:rsid w:val="00D124BF"/>
    <w:rsid w:val="00D1509F"/>
    <w:rsid w:val="00D156CE"/>
    <w:rsid w:val="00D217B7"/>
    <w:rsid w:val="00D23528"/>
    <w:rsid w:val="00D3287E"/>
    <w:rsid w:val="00D33FBC"/>
    <w:rsid w:val="00D34DBF"/>
    <w:rsid w:val="00D40EF9"/>
    <w:rsid w:val="00D57122"/>
    <w:rsid w:val="00D66D8B"/>
    <w:rsid w:val="00D677BD"/>
    <w:rsid w:val="00D74D8A"/>
    <w:rsid w:val="00D76F4A"/>
    <w:rsid w:val="00D85BDF"/>
    <w:rsid w:val="00D9489E"/>
    <w:rsid w:val="00D94EBB"/>
    <w:rsid w:val="00D95481"/>
    <w:rsid w:val="00D95D0A"/>
    <w:rsid w:val="00D96EE1"/>
    <w:rsid w:val="00D971EA"/>
    <w:rsid w:val="00DA362F"/>
    <w:rsid w:val="00DA4EF9"/>
    <w:rsid w:val="00DB053D"/>
    <w:rsid w:val="00DB7441"/>
    <w:rsid w:val="00DC0EFC"/>
    <w:rsid w:val="00DC51A3"/>
    <w:rsid w:val="00DC72D4"/>
    <w:rsid w:val="00DC732E"/>
    <w:rsid w:val="00DD0B2B"/>
    <w:rsid w:val="00DD3C94"/>
    <w:rsid w:val="00DD58AA"/>
    <w:rsid w:val="00DD6CB0"/>
    <w:rsid w:val="00DD6D81"/>
    <w:rsid w:val="00DE4233"/>
    <w:rsid w:val="00E026A6"/>
    <w:rsid w:val="00E0487B"/>
    <w:rsid w:val="00E11D33"/>
    <w:rsid w:val="00E11DD6"/>
    <w:rsid w:val="00E12B42"/>
    <w:rsid w:val="00E20F27"/>
    <w:rsid w:val="00E23C41"/>
    <w:rsid w:val="00E34CAE"/>
    <w:rsid w:val="00E35264"/>
    <w:rsid w:val="00E367DB"/>
    <w:rsid w:val="00E411C3"/>
    <w:rsid w:val="00E43AC2"/>
    <w:rsid w:val="00E4579B"/>
    <w:rsid w:val="00E50B03"/>
    <w:rsid w:val="00E62853"/>
    <w:rsid w:val="00E72B2D"/>
    <w:rsid w:val="00E73AE7"/>
    <w:rsid w:val="00E75BB1"/>
    <w:rsid w:val="00E77D37"/>
    <w:rsid w:val="00E816F0"/>
    <w:rsid w:val="00E818AC"/>
    <w:rsid w:val="00E8732B"/>
    <w:rsid w:val="00E92858"/>
    <w:rsid w:val="00EA10E3"/>
    <w:rsid w:val="00EA63B1"/>
    <w:rsid w:val="00EA7054"/>
    <w:rsid w:val="00EA79A2"/>
    <w:rsid w:val="00EB4C71"/>
    <w:rsid w:val="00EB78C1"/>
    <w:rsid w:val="00EC0321"/>
    <w:rsid w:val="00EC358B"/>
    <w:rsid w:val="00EC3F77"/>
    <w:rsid w:val="00ED3C4B"/>
    <w:rsid w:val="00EE091E"/>
    <w:rsid w:val="00EE390E"/>
    <w:rsid w:val="00EE560C"/>
    <w:rsid w:val="00EF1A85"/>
    <w:rsid w:val="00F00353"/>
    <w:rsid w:val="00F0193C"/>
    <w:rsid w:val="00F03C71"/>
    <w:rsid w:val="00F05B99"/>
    <w:rsid w:val="00F2254E"/>
    <w:rsid w:val="00F25BF0"/>
    <w:rsid w:val="00F340E3"/>
    <w:rsid w:val="00F35318"/>
    <w:rsid w:val="00F37797"/>
    <w:rsid w:val="00F40D62"/>
    <w:rsid w:val="00F46C4D"/>
    <w:rsid w:val="00F57F60"/>
    <w:rsid w:val="00F60024"/>
    <w:rsid w:val="00F61373"/>
    <w:rsid w:val="00F63D62"/>
    <w:rsid w:val="00F67A33"/>
    <w:rsid w:val="00F742AC"/>
    <w:rsid w:val="00F77FE2"/>
    <w:rsid w:val="00F81997"/>
    <w:rsid w:val="00F90298"/>
    <w:rsid w:val="00FA16FA"/>
    <w:rsid w:val="00FA5351"/>
    <w:rsid w:val="00FB1B89"/>
    <w:rsid w:val="00FB52F2"/>
    <w:rsid w:val="00FB7D8A"/>
    <w:rsid w:val="00FC19AE"/>
    <w:rsid w:val="00FC242D"/>
    <w:rsid w:val="00FC56FA"/>
    <w:rsid w:val="00FC7372"/>
    <w:rsid w:val="00FD0500"/>
    <w:rsid w:val="00FE0119"/>
    <w:rsid w:val="00FE7273"/>
    <w:rsid w:val="00FF035C"/>
    <w:rsid w:val="00FF2A3A"/>
    <w:rsid w:val="00FF2A81"/>
    <w:rsid w:val="00FF3ACC"/>
    <w:rsid w:val="00FF5423"/>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404DE6"/>
  <w15:chartTrackingRefBased/>
  <w15:docId w15:val="{11A53EB5-E589-4728-8CD8-923D280C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1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71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1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1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1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1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71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1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1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1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12A"/>
    <w:rPr>
      <w:rFonts w:eastAsiaTheme="majorEastAsia" w:cstheme="majorBidi"/>
      <w:color w:val="272727" w:themeColor="text1" w:themeTint="D8"/>
    </w:rPr>
  </w:style>
  <w:style w:type="paragraph" w:styleId="Title">
    <w:name w:val="Title"/>
    <w:basedOn w:val="Normal"/>
    <w:next w:val="Normal"/>
    <w:link w:val="TitleChar"/>
    <w:uiPriority w:val="10"/>
    <w:qFormat/>
    <w:rsid w:val="00AA7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12A"/>
    <w:pPr>
      <w:spacing w:before="160"/>
      <w:jc w:val="center"/>
    </w:pPr>
    <w:rPr>
      <w:i/>
      <w:iCs/>
      <w:color w:val="404040" w:themeColor="text1" w:themeTint="BF"/>
    </w:rPr>
  </w:style>
  <w:style w:type="character" w:customStyle="1" w:styleId="QuoteChar">
    <w:name w:val="Quote Char"/>
    <w:basedOn w:val="DefaultParagraphFont"/>
    <w:link w:val="Quote"/>
    <w:uiPriority w:val="29"/>
    <w:rsid w:val="00AA712A"/>
    <w:rPr>
      <w:i/>
      <w:iCs/>
      <w:color w:val="404040" w:themeColor="text1" w:themeTint="BF"/>
    </w:rPr>
  </w:style>
  <w:style w:type="paragraph" w:styleId="ListParagraph">
    <w:name w:val="List Paragraph"/>
    <w:basedOn w:val="Normal"/>
    <w:uiPriority w:val="34"/>
    <w:qFormat/>
    <w:rsid w:val="00AA712A"/>
    <w:pPr>
      <w:ind w:left="720"/>
      <w:contextualSpacing/>
    </w:pPr>
  </w:style>
  <w:style w:type="character" w:styleId="IntenseEmphasis">
    <w:name w:val="Intense Emphasis"/>
    <w:basedOn w:val="DefaultParagraphFont"/>
    <w:uiPriority w:val="21"/>
    <w:qFormat/>
    <w:rsid w:val="00AA712A"/>
    <w:rPr>
      <w:i/>
      <w:iCs/>
      <w:color w:val="2F5496" w:themeColor="accent1" w:themeShade="BF"/>
    </w:rPr>
  </w:style>
  <w:style w:type="paragraph" w:styleId="IntenseQuote">
    <w:name w:val="Intense Quote"/>
    <w:basedOn w:val="Normal"/>
    <w:next w:val="Normal"/>
    <w:link w:val="IntenseQuoteChar"/>
    <w:uiPriority w:val="30"/>
    <w:qFormat/>
    <w:rsid w:val="00AA71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12A"/>
    <w:rPr>
      <w:i/>
      <w:iCs/>
      <w:color w:val="2F5496" w:themeColor="accent1" w:themeShade="BF"/>
    </w:rPr>
  </w:style>
  <w:style w:type="character" w:styleId="IntenseReference">
    <w:name w:val="Intense Reference"/>
    <w:basedOn w:val="DefaultParagraphFont"/>
    <w:uiPriority w:val="32"/>
    <w:qFormat/>
    <w:rsid w:val="00AA712A"/>
    <w:rPr>
      <w:b/>
      <w:bCs/>
      <w:smallCaps/>
      <w:color w:val="2F5496" w:themeColor="accent1" w:themeShade="BF"/>
      <w:spacing w:val="5"/>
    </w:rPr>
  </w:style>
  <w:style w:type="character" w:styleId="Hyperlink">
    <w:name w:val="Hyperlink"/>
    <w:basedOn w:val="DefaultParagraphFont"/>
    <w:uiPriority w:val="99"/>
    <w:unhideWhenUsed/>
    <w:rsid w:val="00152760"/>
    <w:rPr>
      <w:color w:val="0563C1" w:themeColor="hyperlink"/>
      <w:u w:val="single"/>
    </w:rPr>
  </w:style>
  <w:style w:type="character" w:customStyle="1" w:styleId="UnresolvedMention1">
    <w:name w:val="Unresolved Mention1"/>
    <w:basedOn w:val="DefaultParagraphFont"/>
    <w:uiPriority w:val="99"/>
    <w:semiHidden/>
    <w:unhideWhenUsed/>
    <w:rsid w:val="00152760"/>
    <w:rPr>
      <w:color w:val="605E5C"/>
      <w:shd w:val="clear" w:color="auto" w:fill="E1DFDD"/>
    </w:rPr>
  </w:style>
  <w:style w:type="paragraph" w:styleId="NormalWeb">
    <w:name w:val="Normal (Web)"/>
    <w:basedOn w:val="Normal"/>
    <w:uiPriority w:val="99"/>
    <w:unhideWhenUsed/>
    <w:rsid w:val="001527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52760"/>
    <w:rPr>
      <w:i/>
      <w:iCs/>
    </w:rPr>
  </w:style>
  <w:style w:type="paragraph" w:customStyle="1" w:styleId="nova-legacy-e-listitem">
    <w:name w:val="nova-legacy-e-list__item"/>
    <w:basedOn w:val="Normal"/>
    <w:rsid w:val="00ED3C4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va-legacy-v-person-inline-itemfullname">
    <w:name w:val="nova-legacy-v-person-inline-item__fullname"/>
    <w:basedOn w:val="DefaultParagraphFont"/>
    <w:rsid w:val="00ED3C4B"/>
  </w:style>
  <w:style w:type="paragraph" w:styleId="NoSpacing">
    <w:name w:val="No Spacing"/>
    <w:uiPriority w:val="1"/>
    <w:qFormat/>
    <w:rsid w:val="00ED3C4B"/>
    <w:pPr>
      <w:spacing w:after="0" w:line="240" w:lineRule="auto"/>
    </w:pPr>
  </w:style>
  <w:style w:type="character" w:styleId="Strong">
    <w:name w:val="Strong"/>
    <w:basedOn w:val="DefaultParagraphFont"/>
    <w:uiPriority w:val="22"/>
    <w:qFormat/>
    <w:rsid w:val="007D3FCC"/>
    <w:rPr>
      <w:b/>
      <w:bCs/>
    </w:rPr>
  </w:style>
  <w:style w:type="character" w:styleId="SubtleEmphasis">
    <w:name w:val="Subtle Emphasis"/>
    <w:basedOn w:val="DefaultParagraphFont"/>
    <w:uiPriority w:val="19"/>
    <w:qFormat/>
    <w:rsid w:val="004C3B89"/>
    <w:rPr>
      <w:i/>
      <w:iCs/>
      <w:color w:val="404040" w:themeColor="text1" w:themeTint="BF"/>
    </w:rPr>
  </w:style>
  <w:style w:type="table" w:styleId="GridTable4-Accent1">
    <w:name w:val="Grid Table 4 Accent 1"/>
    <w:basedOn w:val="TableNormal"/>
    <w:uiPriority w:val="49"/>
    <w:rsid w:val="00F67A3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
    <w:uiPriority w:val="99"/>
    <w:unhideWhenUsed/>
    <w:rsid w:val="00444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E50"/>
  </w:style>
  <w:style w:type="paragraph" w:styleId="Footer">
    <w:name w:val="footer"/>
    <w:basedOn w:val="Normal"/>
    <w:link w:val="FooterChar"/>
    <w:uiPriority w:val="99"/>
    <w:unhideWhenUsed/>
    <w:rsid w:val="00444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8119">
      <w:marLeft w:val="0"/>
      <w:marRight w:val="0"/>
      <w:marTop w:val="0"/>
      <w:marBottom w:val="0"/>
      <w:divBdr>
        <w:top w:val="none" w:sz="0" w:space="0" w:color="auto"/>
        <w:left w:val="none" w:sz="0" w:space="0" w:color="auto"/>
        <w:bottom w:val="none" w:sz="0" w:space="0" w:color="auto"/>
        <w:right w:val="none" w:sz="0" w:space="0" w:color="auto"/>
      </w:divBdr>
    </w:div>
    <w:div w:id="28409701">
      <w:bodyDiv w:val="1"/>
      <w:marLeft w:val="0"/>
      <w:marRight w:val="0"/>
      <w:marTop w:val="0"/>
      <w:marBottom w:val="0"/>
      <w:divBdr>
        <w:top w:val="none" w:sz="0" w:space="0" w:color="auto"/>
        <w:left w:val="none" w:sz="0" w:space="0" w:color="auto"/>
        <w:bottom w:val="none" w:sz="0" w:space="0" w:color="auto"/>
        <w:right w:val="none" w:sz="0" w:space="0" w:color="auto"/>
      </w:divBdr>
      <w:divsChild>
        <w:div w:id="874922719">
          <w:marLeft w:val="0"/>
          <w:marRight w:val="0"/>
          <w:marTop w:val="0"/>
          <w:marBottom w:val="0"/>
          <w:divBdr>
            <w:top w:val="none" w:sz="0" w:space="0" w:color="auto"/>
            <w:left w:val="none" w:sz="0" w:space="0" w:color="auto"/>
            <w:bottom w:val="none" w:sz="0" w:space="0" w:color="auto"/>
            <w:right w:val="none" w:sz="0" w:space="0" w:color="auto"/>
          </w:divBdr>
          <w:divsChild>
            <w:div w:id="1537500382">
              <w:marLeft w:val="0"/>
              <w:marRight w:val="0"/>
              <w:marTop w:val="0"/>
              <w:marBottom w:val="0"/>
              <w:divBdr>
                <w:top w:val="none" w:sz="0" w:space="0" w:color="auto"/>
                <w:left w:val="none" w:sz="0" w:space="0" w:color="auto"/>
                <w:bottom w:val="none" w:sz="0" w:space="0" w:color="auto"/>
                <w:right w:val="none" w:sz="0" w:space="0" w:color="auto"/>
              </w:divBdr>
              <w:divsChild>
                <w:div w:id="729185134">
                  <w:marLeft w:val="0"/>
                  <w:marRight w:val="0"/>
                  <w:marTop w:val="0"/>
                  <w:marBottom w:val="0"/>
                  <w:divBdr>
                    <w:top w:val="none" w:sz="0" w:space="0" w:color="auto"/>
                    <w:left w:val="none" w:sz="0" w:space="0" w:color="auto"/>
                    <w:bottom w:val="none" w:sz="0" w:space="0" w:color="auto"/>
                    <w:right w:val="none" w:sz="0" w:space="0" w:color="auto"/>
                  </w:divBdr>
                  <w:divsChild>
                    <w:div w:id="285697105">
                      <w:marLeft w:val="0"/>
                      <w:marRight w:val="0"/>
                      <w:marTop w:val="0"/>
                      <w:marBottom w:val="0"/>
                      <w:divBdr>
                        <w:top w:val="none" w:sz="0" w:space="0" w:color="auto"/>
                        <w:left w:val="none" w:sz="0" w:space="0" w:color="auto"/>
                        <w:bottom w:val="none" w:sz="0" w:space="0" w:color="auto"/>
                        <w:right w:val="none" w:sz="0" w:space="0" w:color="auto"/>
                      </w:divBdr>
                      <w:divsChild>
                        <w:div w:id="636179304">
                          <w:marLeft w:val="0"/>
                          <w:marRight w:val="0"/>
                          <w:marTop w:val="0"/>
                          <w:marBottom w:val="0"/>
                          <w:divBdr>
                            <w:top w:val="none" w:sz="0" w:space="0" w:color="auto"/>
                            <w:left w:val="none" w:sz="0" w:space="0" w:color="auto"/>
                            <w:bottom w:val="none" w:sz="0" w:space="0" w:color="auto"/>
                            <w:right w:val="none" w:sz="0" w:space="0" w:color="auto"/>
                          </w:divBdr>
                          <w:divsChild>
                            <w:div w:id="1647974065">
                              <w:marLeft w:val="0"/>
                              <w:marRight w:val="0"/>
                              <w:marTop w:val="0"/>
                              <w:marBottom w:val="0"/>
                              <w:divBdr>
                                <w:top w:val="none" w:sz="0" w:space="0" w:color="auto"/>
                                <w:left w:val="none" w:sz="0" w:space="0" w:color="auto"/>
                                <w:bottom w:val="none" w:sz="0" w:space="0" w:color="auto"/>
                                <w:right w:val="none" w:sz="0" w:space="0" w:color="auto"/>
                              </w:divBdr>
                              <w:divsChild>
                                <w:div w:id="1754737058">
                                  <w:marLeft w:val="0"/>
                                  <w:marRight w:val="0"/>
                                  <w:marTop w:val="0"/>
                                  <w:marBottom w:val="0"/>
                                  <w:divBdr>
                                    <w:top w:val="none" w:sz="0" w:space="0" w:color="auto"/>
                                    <w:left w:val="none" w:sz="0" w:space="0" w:color="auto"/>
                                    <w:bottom w:val="none" w:sz="0" w:space="0" w:color="auto"/>
                                    <w:right w:val="none" w:sz="0" w:space="0" w:color="auto"/>
                                  </w:divBdr>
                                  <w:divsChild>
                                    <w:div w:id="1528368665">
                                      <w:marLeft w:val="0"/>
                                      <w:marRight w:val="0"/>
                                      <w:marTop w:val="0"/>
                                      <w:marBottom w:val="0"/>
                                      <w:divBdr>
                                        <w:top w:val="none" w:sz="0" w:space="0" w:color="auto"/>
                                        <w:left w:val="none" w:sz="0" w:space="0" w:color="auto"/>
                                        <w:bottom w:val="none" w:sz="0" w:space="0" w:color="auto"/>
                                        <w:right w:val="none" w:sz="0" w:space="0" w:color="auto"/>
                                      </w:divBdr>
                                      <w:divsChild>
                                        <w:div w:id="1039357997">
                                          <w:marLeft w:val="0"/>
                                          <w:marRight w:val="0"/>
                                          <w:marTop w:val="0"/>
                                          <w:marBottom w:val="0"/>
                                          <w:divBdr>
                                            <w:top w:val="none" w:sz="0" w:space="0" w:color="auto"/>
                                            <w:left w:val="none" w:sz="0" w:space="0" w:color="auto"/>
                                            <w:bottom w:val="none" w:sz="0" w:space="0" w:color="auto"/>
                                            <w:right w:val="none" w:sz="0" w:space="0" w:color="auto"/>
                                          </w:divBdr>
                                          <w:divsChild>
                                            <w:div w:id="1859150476">
                                              <w:marLeft w:val="0"/>
                                              <w:marRight w:val="0"/>
                                              <w:marTop w:val="0"/>
                                              <w:marBottom w:val="0"/>
                                              <w:divBdr>
                                                <w:top w:val="none" w:sz="0" w:space="0" w:color="auto"/>
                                                <w:left w:val="none" w:sz="0" w:space="0" w:color="auto"/>
                                                <w:bottom w:val="none" w:sz="0" w:space="0" w:color="auto"/>
                                                <w:right w:val="none" w:sz="0" w:space="0" w:color="auto"/>
                                              </w:divBdr>
                                              <w:divsChild>
                                                <w:div w:id="1215116024">
                                                  <w:marLeft w:val="0"/>
                                                  <w:marRight w:val="0"/>
                                                  <w:marTop w:val="0"/>
                                                  <w:marBottom w:val="0"/>
                                                  <w:divBdr>
                                                    <w:top w:val="none" w:sz="0" w:space="0" w:color="auto"/>
                                                    <w:left w:val="none" w:sz="0" w:space="0" w:color="auto"/>
                                                    <w:bottom w:val="none" w:sz="0" w:space="0" w:color="auto"/>
                                                    <w:right w:val="none" w:sz="0" w:space="0" w:color="auto"/>
                                                  </w:divBdr>
                                                  <w:divsChild>
                                                    <w:div w:id="630285678">
                                                      <w:marLeft w:val="0"/>
                                                      <w:marRight w:val="0"/>
                                                      <w:marTop w:val="0"/>
                                                      <w:marBottom w:val="0"/>
                                                      <w:divBdr>
                                                        <w:top w:val="none" w:sz="0" w:space="0" w:color="auto"/>
                                                        <w:left w:val="none" w:sz="0" w:space="0" w:color="auto"/>
                                                        <w:bottom w:val="none" w:sz="0" w:space="0" w:color="auto"/>
                                                        <w:right w:val="none" w:sz="0" w:space="0" w:color="auto"/>
                                                      </w:divBdr>
                                                    </w:div>
                                                    <w:div w:id="1198082076">
                                                      <w:marLeft w:val="0"/>
                                                      <w:marRight w:val="0"/>
                                                      <w:marTop w:val="0"/>
                                                      <w:marBottom w:val="0"/>
                                                      <w:divBdr>
                                                        <w:top w:val="none" w:sz="0" w:space="0" w:color="auto"/>
                                                        <w:left w:val="none" w:sz="0" w:space="0" w:color="auto"/>
                                                        <w:bottom w:val="none" w:sz="0" w:space="0" w:color="auto"/>
                                                        <w:right w:val="none" w:sz="0" w:space="0" w:color="auto"/>
                                                      </w:divBdr>
                                                      <w:divsChild>
                                                        <w:div w:id="405536850">
                                                          <w:marLeft w:val="0"/>
                                                          <w:marRight w:val="0"/>
                                                          <w:marTop w:val="0"/>
                                                          <w:marBottom w:val="0"/>
                                                          <w:divBdr>
                                                            <w:top w:val="none" w:sz="0" w:space="0" w:color="auto"/>
                                                            <w:left w:val="none" w:sz="0" w:space="0" w:color="auto"/>
                                                            <w:bottom w:val="none" w:sz="0" w:space="0" w:color="auto"/>
                                                            <w:right w:val="none" w:sz="0" w:space="0" w:color="auto"/>
                                                          </w:divBdr>
                                                          <w:divsChild>
                                                            <w:div w:id="16089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81067">
                                  <w:marLeft w:val="0"/>
                                  <w:marRight w:val="0"/>
                                  <w:marTop w:val="0"/>
                                  <w:marBottom w:val="0"/>
                                  <w:divBdr>
                                    <w:top w:val="none" w:sz="0" w:space="0" w:color="auto"/>
                                    <w:left w:val="none" w:sz="0" w:space="0" w:color="auto"/>
                                    <w:bottom w:val="none" w:sz="0" w:space="0" w:color="auto"/>
                                    <w:right w:val="none" w:sz="0" w:space="0" w:color="auto"/>
                                  </w:divBdr>
                                  <w:divsChild>
                                    <w:div w:id="12297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030">
                          <w:marLeft w:val="0"/>
                          <w:marRight w:val="0"/>
                          <w:marTop w:val="0"/>
                          <w:marBottom w:val="0"/>
                          <w:divBdr>
                            <w:top w:val="none" w:sz="0" w:space="0" w:color="auto"/>
                            <w:left w:val="none" w:sz="0" w:space="0" w:color="auto"/>
                            <w:bottom w:val="none" w:sz="0" w:space="0" w:color="auto"/>
                            <w:right w:val="none" w:sz="0" w:space="0" w:color="auto"/>
                          </w:divBdr>
                          <w:divsChild>
                            <w:div w:id="495343024">
                              <w:marLeft w:val="0"/>
                              <w:marRight w:val="0"/>
                              <w:marTop w:val="0"/>
                              <w:marBottom w:val="0"/>
                              <w:divBdr>
                                <w:top w:val="none" w:sz="0" w:space="0" w:color="auto"/>
                                <w:left w:val="none" w:sz="0" w:space="0" w:color="auto"/>
                                <w:bottom w:val="none" w:sz="0" w:space="0" w:color="auto"/>
                                <w:right w:val="none" w:sz="0" w:space="0" w:color="auto"/>
                              </w:divBdr>
                              <w:divsChild>
                                <w:div w:id="303854764">
                                  <w:marLeft w:val="0"/>
                                  <w:marRight w:val="0"/>
                                  <w:marTop w:val="0"/>
                                  <w:marBottom w:val="0"/>
                                  <w:divBdr>
                                    <w:top w:val="none" w:sz="0" w:space="0" w:color="auto"/>
                                    <w:left w:val="none" w:sz="0" w:space="0" w:color="auto"/>
                                    <w:bottom w:val="none" w:sz="0" w:space="0" w:color="auto"/>
                                    <w:right w:val="none" w:sz="0" w:space="0" w:color="auto"/>
                                  </w:divBdr>
                                  <w:divsChild>
                                    <w:div w:id="844324884">
                                      <w:marLeft w:val="0"/>
                                      <w:marRight w:val="0"/>
                                      <w:marTop w:val="0"/>
                                      <w:marBottom w:val="0"/>
                                      <w:divBdr>
                                        <w:top w:val="none" w:sz="0" w:space="0" w:color="auto"/>
                                        <w:left w:val="none" w:sz="0" w:space="0" w:color="auto"/>
                                        <w:bottom w:val="none" w:sz="0" w:space="0" w:color="auto"/>
                                        <w:right w:val="none" w:sz="0" w:space="0" w:color="auto"/>
                                      </w:divBdr>
                                      <w:divsChild>
                                        <w:div w:id="726492528">
                                          <w:marLeft w:val="0"/>
                                          <w:marRight w:val="0"/>
                                          <w:marTop w:val="0"/>
                                          <w:marBottom w:val="0"/>
                                          <w:divBdr>
                                            <w:top w:val="none" w:sz="0" w:space="0" w:color="auto"/>
                                            <w:left w:val="none" w:sz="0" w:space="0" w:color="auto"/>
                                            <w:bottom w:val="none" w:sz="0" w:space="0" w:color="auto"/>
                                            <w:right w:val="none" w:sz="0" w:space="0" w:color="auto"/>
                                          </w:divBdr>
                                          <w:divsChild>
                                            <w:div w:id="1742437963">
                                              <w:marLeft w:val="0"/>
                                              <w:marRight w:val="0"/>
                                              <w:marTop w:val="0"/>
                                              <w:marBottom w:val="0"/>
                                              <w:divBdr>
                                                <w:top w:val="none" w:sz="0" w:space="0" w:color="auto"/>
                                                <w:left w:val="none" w:sz="0" w:space="0" w:color="auto"/>
                                                <w:bottom w:val="none" w:sz="0" w:space="0" w:color="auto"/>
                                                <w:right w:val="none" w:sz="0" w:space="0" w:color="auto"/>
                                              </w:divBdr>
                                              <w:divsChild>
                                                <w:div w:id="13098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24590">
                          <w:marLeft w:val="0"/>
                          <w:marRight w:val="0"/>
                          <w:marTop w:val="0"/>
                          <w:marBottom w:val="0"/>
                          <w:divBdr>
                            <w:top w:val="none" w:sz="0" w:space="0" w:color="auto"/>
                            <w:left w:val="none" w:sz="0" w:space="0" w:color="auto"/>
                            <w:bottom w:val="none" w:sz="0" w:space="0" w:color="auto"/>
                            <w:right w:val="none" w:sz="0" w:space="0" w:color="auto"/>
                          </w:divBdr>
                          <w:divsChild>
                            <w:div w:id="427391780">
                              <w:marLeft w:val="0"/>
                              <w:marRight w:val="0"/>
                              <w:marTop w:val="0"/>
                              <w:marBottom w:val="0"/>
                              <w:divBdr>
                                <w:top w:val="none" w:sz="0" w:space="0" w:color="auto"/>
                                <w:left w:val="none" w:sz="0" w:space="0" w:color="auto"/>
                                <w:bottom w:val="none" w:sz="0" w:space="0" w:color="auto"/>
                                <w:right w:val="none" w:sz="0" w:space="0" w:color="auto"/>
                              </w:divBdr>
                              <w:divsChild>
                                <w:div w:id="1818305199">
                                  <w:marLeft w:val="0"/>
                                  <w:marRight w:val="0"/>
                                  <w:marTop w:val="0"/>
                                  <w:marBottom w:val="0"/>
                                  <w:divBdr>
                                    <w:top w:val="none" w:sz="0" w:space="0" w:color="auto"/>
                                    <w:left w:val="none" w:sz="0" w:space="0" w:color="auto"/>
                                    <w:bottom w:val="none" w:sz="0" w:space="0" w:color="auto"/>
                                    <w:right w:val="none" w:sz="0" w:space="0" w:color="auto"/>
                                  </w:divBdr>
                                  <w:divsChild>
                                    <w:div w:id="387655939">
                                      <w:marLeft w:val="0"/>
                                      <w:marRight w:val="0"/>
                                      <w:marTop w:val="0"/>
                                      <w:marBottom w:val="0"/>
                                      <w:divBdr>
                                        <w:top w:val="none" w:sz="0" w:space="0" w:color="auto"/>
                                        <w:left w:val="none" w:sz="0" w:space="0" w:color="auto"/>
                                        <w:bottom w:val="none" w:sz="0" w:space="0" w:color="auto"/>
                                        <w:right w:val="none" w:sz="0" w:space="0" w:color="auto"/>
                                      </w:divBdr>
                                      <w:divsChild>
                                        <w:div w:id="58327507">
                                          <w:marLeft w:val="0"/>
                                          <w:marRight w:val="0"/>
                                          <w:marTop w:val="0"/>
                                          <w:marBottom w:val="0"/>
                                          <w:divBdr>
                                            <w:top w:val="none" w:sz="0" w:space="0" w:color="auto"/>
                                            <w:left w:val="none" w:sz="0" w:space="0" w:color="auto"/>
                                            <w:bottom w:val="none" w:sz="0" w:space="0" w:color="auto"/>
                                            <w:right w:val="none" w:sz="0" w:space="0" w:color="auto"/>
                                          </w:divBdr>
                                          <w:divsChild>
                                            <w:div w:id="5625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825260">
                          <w:marLeft w:val="0"/>
                          <w:marRight w:val="0"/>
                          <w:marTop w:val="0"/>
                          <w:marBottom w:val="0"/>
                          <w:divBdr>
                            <w:top w:val="none" w:sz="0" w:space="0" w:color="auto"/>
                            <w:left w:val="none" w:sz="0" w:space="0" w:color="auto"/>
                            <w:bottom w:val="none" w:sz="0" w:space="0" w:color="auto"/>
                            <w:right w:val="none" w:sz="0" w:space="0" w:color="auto"/>
                          </w:divBdr>
                          <w:divsChild>
                            <w:div w:id="1707563966">
                              <w:marLeft w:val="0"/>
                              <w:marRight w:val="0"/>
                              <w:marTop w:val="0"/>
                              <w:marBottom w:val="0"/>
                              <w:divBdr>
                                <w:top w:val="none" w:sz="0" w:space="0" w:color="auto"/>
                                <w:left w:val="none" w:sz="0" w:space="0" w:color="auto"/>
                                <w:bottom w:val="none" w:sz="0" w:space="0" w:color="auto"/>
                                <w:right w:val="none" w:sz="0" w:space="0" w:color="auto"/>
                              </w:divBdr>
                              <w:divsChild>
                                <w:div w:id="311104756">
                                  <w:marLeft w:val="0"/>
                                  <w:marRight w:val="0"/>
                                  <w:marTop w:val="0"/>
                                  <w:marBottom w:val="0"/>
                                  <w:divBdr>
                                    <w:top w:val="none" w:sz="0" w:space="0" w:color="auto"/>
                                    <w:left w:val="none" w:sz="0" w:space="0" w:color="auto"/>
                                    <w:bottom w:val="none" w:sz="0" w:space="0" w:color="auto"/>
                                    <w:right w:val="none" w:sz="0" w:space="0" w:color="auto"/>
                                  </w:divBdr>
                                  <w:divsChild>
                                    <w:div w:id="1808276012">
                                      <w:marLeft w:val="0"/>
                                      <w:marRight w:val="0"/>
                                      <w:marTop w:val="0"/>
                                      <w:marBottom w:val="0"/>
                                      <w:divBdr>
                                        <w:top w:val="none" w:sz="0" w:space="0" w:color="auto"/>
                                        <w:left w:val="none" w:sz="0" w:space="0" w:color="auto"/>
                                        <w:bottom w:val="none" w:sz="0" w:space="0" w:color="auto"/>
                                        <w:right w:val="none" w:sz="0" w:space="0" w:color="auto"/>
                                      </w:divBdr>
                                      <w:divsChild>
                                        <w:div w:id="703288889">
                                          <w:marLeft w:val="0"/>
                                          <w:marRight w:val="0"/>
                                          <w:marTop w:val="0"/>
                                          <w:marBottom w:val="0"/>
                                          <w:divBdr>
                                            <w:top w:val="none" w:sz="0" w:space="0" w:color="auto"/>
                                            <w:left w:val="none" w:sz="0" w:space="0" w:color="auto"/>
                                            <w:bottom w:val="none" w:sz="0" w:space="0" w:color="auto"/>
                                            <w:right w:val="none" w:sz="0" w:space="0" w:color="auto"/>
                                          </w:divBdr>
                                          <w:divsChild>
                                            <w:div w:id="186798834">
                                              <w:marLeft w:val="0"/>
                                              <w:marRight w:val="0"/>
                                              <w:marTop w:val="0"/>
                                              <w:marBottom w:val="0"/>
                                              <w:divBdr>
                                                <w:top w:val="none" w:sz="0" w:space="0" w:color="auto"/>
                                                <w:left w:val="none" w:sz="0" w:space="0" w:color="auto"/>
                                                <w:bottom w:val="none" w:sz="0" w:space="0" w:color="auto"/>
                                                <w:right w:val="none" w:sz="0" w:space="0" w:color="auto"/>
                                              </w:divBdr>
                                              <w:divsChild>
                                                <w:div w:id="16613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215203">
                          <w:marLeft w:val="0"/>
                          <w:marRight w:val="0"/>
                          <w:marTop w:val="0"/>
                          <w:marBottom w:val="0"/>
                          <w:divBdr>
                            <w:top w:val="none" w:sz="0" w:space="0" w:color="auto"/>
                            <w:left w:val="none" w:sz="0" w:space="0" w:color="auto"/>
                            <w:bottom w:val="none" w:sz="0" w:space="0" w:color="auto"/>
                            <w:right w:val="none" w:sz="0" w:space="0" w:color="auto"/>
                          </w:divBdr>
                          <w:divsChild>
                            <w:div w:id="1107695196">
                              <w:marLeft w:val="0"/>
                              <w:marRight w:val="0"/>
                              <w:marTop w:val="0"/>
                              <w:marBottom w:val="0"/>
                              <w:divBdr>
                                <w:top w:val="none" w:sz="0" w:space="0" w:color="auto"/>
                                <w:left w:val="none" w:sz="0" w:space="0" w:color="auto"/>
                                <w:bottom w:val="none" w:sz="0" w:space="0" w:color="auto"/>
                                <w:right w:val="none" w:sz="0" w:space="0" w:color="auto"/>
                              </w:divBdr>
                              <w:divsChild>
                                <w:div w:id="440036034">
                                  <w:marLeft w:val="0"/>
                                  <w:marRight w:val="0"/>
                                  <w:marTop w:val="0"/>
                                  <w:marBottom w:val="0"/>
                                  <w:divBdr>
                                    <w:top w:val="none" w:sz="0" w:space="0" w:color="auto"/>
                                    <w:left w:val="none" w:sz="0" w:space="0" w:color="auto"/>
                                    <w:bottom w:val="none" w:sz="0" w:space="0" w:color="auto"/>
                                    <w:right w:val="none" w:sz="0" w:space="0" w:color="auto"/>
                                  </w:divBdr>
                                  <w:divsChild>
                                    <w:div w:id="2025402295">
                                      <w:marLeft w:val="0"/>
                                      <w:marRight w:val="0"/>
                                      <w:marTop w:val="0"/>
                                      <w:marBottom w:val="0"/>
                                      <w:divBdr>
                                        <w:top w:val="none" w:sz="0" w:space="0" w:color="auto"/>
                                        <w:left w:val="none" w:sz="0" w:space="0" w:color="auto"/>
                                        <w:bottom w:val="none" w:sz="0" w:space="0" w:color="auto"/>
                                        <w:right w:val="none" w:sz="0" w:space="0" w:color="auto"/>
                                      </w:divBdr>
                                      <w:divsChild>
                                        <w:div w:id="396560785">
                                          <w:marLeft w:val="0"/>
                                          <w:marRight w:val="0"/>
                                          <w:marTop w:val="0"/>
                                          <w:marBottom w:val="0"/>
                                          <w:divBdr>
                                            <w:top w:val="none" w:sz="0" w:space="0" w:color="auto"/>
                                            <w:left w:val="none" w:sz="0" w:space="0" w:color="auto"/>
                                            <w:bottom w:val="none" w:sz="0" w:space="0" w:color="auto"/>
                                            <w:right w:val="none" w:sz="0" w:space="0" w:color="auto"/>
                                          </w:divBdr>
                                          <w:divsChild>
                                            <w:div w:id="1361399267">
                                              <w:marLeft w:val="0"/>
                                              <w:marRight w:val="0"/>
                                              <w:marTop w:val="0"/>
                                              <w:marBottom w:val="0"/>
                                              <w:divBdr>
                                                <w:top w:val="none" w:sz="0" w:space="0" w:color="auto"/>
                                                <w:left w:val="none" w:sz="0" w:space="0" w:color="auto"/>
                                                <w:bottom w:val="none" w:sz="0" w:space="0" w:color="auto"/>
                                                <w:right w:val="none" w:sz="0" w:space="0" w:color="auto"/>
                                              </w:divBdr>
                                              <w:divsChild>
                                                <w:div w:id="985931243">
                                                  <w:marLeft w:val="0"/>
                                                  <w:marRight w:val="0"/>
                                                  <w:marTop w:val="0"/>
                                                  <w:marBottom w:val="0"/>
                                                  <w:divBdr>
                                                    <w:top w:val="none" w:sz="0" w:space="0" w:color="auto"/>
                                                    <w:left w:val="none" w:sz="0" w:space="0" w:color="auto"/>
                                                    <w:bottom w:val="none" w:sz="0" w:space="0" w:color="auto"/>
                                                    <w:right w:val="none" w:sz="0" w:space="0" w:color="auto"/>
                                                  </w:divBdr>
                                                  <w:divsChild>
                                                    <w:div w:id="939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0690082">
          <w:marLeft w:val="0"/>
          <w:marRight w:val="0"/>
          <w:marTop w:val="0"/>
          <w:marBottom w:val="0"/>
          <w:divBdr>
            <w:top w:val="none" w:sz="0" w:space="0" w:color="auto"/>
            <w:left w:val="none" w:sz="0" w:space="0" w:color="auto"/>
            <w:bottom w:val="none" w:sz="0" w:space="0" w:color="auto"/>
            <w:right w:val="none" w:sz="0" w:space="0" w:color="auto"/>
          </w:divBdr>
          <w:divsChild>
            <w:div w:id="1725637862">
              <w:marLeft w:val="0"/>
              <w:marRight w:val="0"/>
              <w:marTop w:val="0"/>
              <w:marBottom w:val="0"/>
              <w:divBdr>
                <w:top w:val="none" w:sz="0" w:space="0" w:color="auto"/>
                <w:left w:val="none" w:sz="0" w:space="0" w:color="auto"/>
                <w:bottom w:val="none" w:sz="0" w:space="0" w:color="auto"/>
                <w:right w:val="none" w:sz="0" w:space="0" w:color="auto"/>
              </w:divBdr>
              <w:divsChild>
                <w:div w:id="1382024328">
                  <w:marLeft w:val="0"/>
                  <w:marRight w:val="0"/>
                  <w:marTop w:val="0"/>
                  <w:marBottom w:val="0"/>
                  <w:divBdr>
                    <w:top w:val="none" w:sz="0" w:space="0" w:color="auto"/>
                    <w:left w:val="none" w:sz="0" w:space="0" w:color="auto"/>
                    <w:bottom w:val="none" w:sz="0" w:space="0" w:color="auto"/>
                    <w:right w:val="none" w:sz="0" w:space="0" w:color="auto"/>
                  </w:divBdr>
                  <w:divsChild>
                    <w:div w:id="1860392014">
                      <w:marLeft w:val="0"/>
                      <w:marRight w:val="0"/>
                      <w:marTop w:val="0"/>
                      <w:marBottom w:val="0"/>
                      <w:divBdr>
                        <w:top w:val="none" w:sz="0" w:space="0" w:color="auto"/>
                        <w:left w:val="none" w:sz="0" w:space="0" w:color="auto"/>
                        <w:bottom w:val="none" w:sz="0" w:space="0" w:color="auto"/>
                        <w:right w:val="none" w:sz="0" w:space="0" w:color="auto"/>
                      </w:divBdr>
                      <w:divsChild>
                        <w:div w:id="2828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11968">
      <w:marLeft w:val="0"/>
      <w:marRight w:val="0"/>
      <w:marTop w:val="0"/>
      <w:marBottom w:val="0"/>
      <w:divBdr>
        <w:top w:val="none" w:sz="0" w:space="0" w:color="auto"/>
        <w:left w:val="none" w:sz="0" w:space="0" w:color="auto"/>
        <w:bottom w:val="none" w:sz="0" w:space="0" w:color="auto"/>
        <w:right w:val="none" w:sz="0" w:space="0" w:color="auto"/>
      </w:divBdr>
      <w:divsChild>
        <w:div w:id="567884649">
          <w:marLeft w:val="0"/>
          <w:marRight w:val="0"/>
          <w:marTop w:val="0"/>
          <w:marBottom w:val="0"/>
          <w:divBdr>
            <w:top w:val="none" w:sz="0" w:space="0" w:color="auto"/>
            <w:left w:val="none" w:sz="0" w:space="0" w:color="auto"/>
            <w:bottom w:val="none" w:sz="0" w:space="0" w:color="auto"/>
            <w:right w:val="none" w:sz="0" w:space="0" w:color="auto"/>
          </w:divBdr>
        </w:div>
        <w:div w:id="1051148527">
          <w:marLeft w:val="0"/>
          <w:marRight w:val="0"/>
          <w:marTop w:val="0"/>
          <w:marBottom w:val="0"/>
          <w:divBdr>
            <w:top w:val="none" w:sz="0" w:space="0" w:color="auto"/>
            <w:left w:val="none" w:sz="0" w:space="0" w:color="auto"/>
            <w:bottom w:val="none" w:sz="0" w:space="0" w:color="auto"/>
            <w:right w:val="none" w:sz="0" w:space="0" w:color="auto"/>
          </w:divBdr>
          <w:divsChild>
            <w:div w:id="1588687625">
              <w:marLeft w:val="0"/>
              <w:marRight w:val="0"/>
              <w:marTop w:val="0"/>
              <w:marBottom w:val="0"/>
              <w:divBdr>
                <w:top w:val="none" w:sz="0" w:space="0" w:color="auto"/>
                <w:left w:val="none" w:sz="0" w:space="0" w:color="auto"/>
                <w:bottom w:val="none" w:sz="0" w:space="0" w:color="auto"/>
                <w:right w:val="none" w:sz="0" w:space="0" w:color="auto"/>
              </w:divBdr>
              <w:divsChild>
                <w:div w:id="980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8337">
          <w:marLeft w:val="0"/>
          <w:marRight w:val="0"/>
          <w:marTop w:val="0"/>
          <w:marBottom w:val="0"/>
          <w:divBdr>
            <w:top w:val="none" w:sz="0" w:space="0" w:color="auto"/>
            <w:left w:val="none" w:sz="0" w:space="0" w:color="auto"/>
            <w:bottom w:val="none" w:sz="0" w:space="0" w:color="auto"/>
            <w:right w:val="none" w:sz="0" w:space="0" w:color="auto"/>
          </w:divBdr>
        </w:div>
      </w:divsChild>
    </w:div>
    <w:div w:id="80104299">
      <w:bodyDiv w:val="1"/>
      <w:marLeft w:val="0"/>
      <w:marRight w:val="0"/>
      <w:marTop w:val="0"/>
      <w:marBottom w:val="0"/>
      <w:divBdr>
        <w:top w:val="none" w:sz="0" w:space="0" w:color="auto"/>
        <w:left w:val="none" w:sz="0" w:space="0" w:color="auto"/>
        <w:bottom w:val="none" w:sz="0" w:space="0" w:color="auto"/>
        <w:right w:val="none" w:sz="0" w:space="0" w:color="auto"/>
      </w:divBdr>
      <w:divsChild>
        <w:div w:id="1901358461">
          <w:marLeft w:val="0"/>
          <w:marRight w:val="0"/>
          <w:marTop w:val="0"/>
          <w:marBottom w:val="0"/>
          <w:divBdr>
            <w:top w:val="none" w:sz="0" w:space="0" w:color="auto"/>
            <w:left w:val="none" w:sz="0" w:space="0" w:color="auto"/>
            <w:bottom w:val="none" w:sz="0" w:space="0" w:color="auto"/>
            <w:right w:val="none" w:sz="0" w:space="0" w:color="auto"/>
          </w:divBdr>
          <w:divsChild>
            <w:div w:id="554511272">
              <w:marLeft w:val="0"/>
              <w:marRight w:val="0"/>
              <w:marTop w:val="0"/>
              <w:marBottom w:val="0"/>
              <w:divBdr>
                <w:top w:val="none" w:sz="0" w:space="0" w:color="auto"/>
                <w:left w:val="none" w:sz="0" w:space="0" w:color="auto"/>
                <w:bottom w:val="none" w:sz="0" w:space="0" w:color="auto"/>
                <w:right w:val="none" w:sz="0" w:space="0" w:color="auto"/>
              </w:divBdr>
              <w:divsChild>
                <w:div w:id="1654681505">
                  <w:marLeft w:val="0"/>
                  <w:marRight w:val="0"/>
                  <w:marTop w:val="0"/>
                  <w:marBottom w:val="0"/>
                  <w:divBdr>
                    <w:top w:val="none" w:sz="0" w:space="0" w:color="auto"/>
                    <w:left w:val="none" w:sz="0" w:space="0" w:color="auto"/>
                    <w:bottom w:val="none" w:sz="0" w:space="0" w:color="auto"/>
                    <w:right w:val="none" w:sz="0" w:space="0" w:color="auto"/>
                  </w:divBdr>
                  <w:divsChild>
                    <w:div w:id="446587650">
                      <w:marLeft w:val="0"/>
                      <w:marRight w:val="0"/>
                      <w:marTop w:val="0"/>
                      <w:marBottom w:val="0"/>
                      <w:divBdr>
                        <w:top w:val="none" w:sz="0" w:space="0" w:color="auto"/>
                        <w:left w:val="none" w:sz="0" w:space="0" w:color="auto"/>
                        <w:bottom w:val="none" w:sz="0" w:space="0" w:color="auto"/>
                        <w:right w:val="none" w:sz="0" w:space="0" w:color="auto"/>
                      </w:divBdr>
                      <w:divsChild>
                        <w:div w:id="1594388608">
                          <w:marLeft w:val="0"/>
                          <w:marRight w:val="0"/>
                          <w:marTop w:val="0"/>
                          <w:marBottom w:val="0"/>
                          <w:divBdr>
                            <w:top w:val="none" w:sz="0" w:space="0" w:color="auto"/>
                            <w:left w:val="none" w:sz="0" w:space="0" w:color="auto"/>
                            <w:bottom w:val="none" w:sz="0" w:space="0" w:color="auto"/>
                            <w:right w:val="none" w:sz="0" w:space="0" w:color="auto"/>
                          </w:divBdr>
                          <w:divsChild>
                            <w:div w:id="43526449">
                              <w:marLeft w:val="0"/>
                              <w:marRight w:val="0"/>
                              <w:marTop w:val="0"/>
                              <w:marBottom w:val="0"/>
                              <w:divBdr>
                                <w:top w:val="none" w:sz="0" w:space="0" w:color="auto"/>
                                <w:left w:val="none" w:sz="0" w:space="0" w:color="auto"/>
                                <w:bottom w:val="none" w:sz="0" w:space="0" w:color="auto"/>
                                <w:right w:val="none" w:sz="0" w:space="0" w:color="auto"/>
                              </w:divBdr>
                              <w:divsChild>
                                <w:div w:id="960839147">
                                  <w:marLeft w:val="0"/>
                                  <w:marRight w:val="0"/>
                                  <w:marTop w:val="0"/>
                                  <w:marBottom w:val="0"/>
                                  <w:divBdr>
                                    <w:top w:val="none" w:sz="0" w:space="0" w:color="auto"/>
                                    <w:left w:val="none" w:sz="0" w:space="0" w:color="auto"/>
                                    <w:bottom w:val="none" w:sz="0" w:space="0" w:color="auto"/>
                                    <w:right w:val="none" w:sz="0" w:space="0" w:color="auto"/>
                                  </w:divBdr>
                                  <w:divsChild>
                                    <w:div w:id="1546718394">
                                      <w:marLeft w:val="0"/>
                                      <w:marRight w:val="0"/>
                                      <w:marTop w:val="0"/>
                                      <w:marBottom w:val="0"/>
                                      <w:divBdr>
                                        <w:top w:val="none" w:sz="0" w:space="0" w:color="auto"/>
                                        <w:left w:val="none" w:sz="0" w:space="0" w:color="auto"/>
                                        <w:bottom w:val="none" w:sz="0" w:space="0" w:color="auto"/>
                                        <w:right w:val="none" w:sz="0" w:space="0" w:color="auto"/>
                                      </w:divBdr>
                                      <w:divsChild>
                                        <w:div w:id="1456948705">
                                          <w:marLeft w:val="0"/>
                                          <w:marRight w:val="0"/>
                                          <w:marTop w:val="0"/>
                                          <w:marBottom w:val="0"/>
                                          <w:divBdr>
                                            <w:top w:val="none" w:sz="0" w:space="0" w:color="auto"/>
                                            <w:left w:val="none" w:sz="0" w:space="0" w:color="auto"/>
                                            <w:bottom w:val="none" w:sz="0" w:space="0" w:color="auto"/>
                                            <w:right w:val="none" w:sz="0" w:space="0" w:color="auto"/>
                                          </w:divBdr>
                                          <w:divsChild>
                                            <w:div w:id="921139337">
                                              <w:marLeft w:val="0"/>
                                              <w:marRight w:val="0"/>
                                              <w:marTop w:val="0"/>
                                              <w:marBottom w:val="0"/>
                                              <w:divBdr>
                                                <w:top w:val="none" w:sz="0" w:space="0" w:color="auto"/>
                                                <w:left w:val="none" w:sz="0" w:space="0" w:color="auto"/>
                                                <w:bottom w:val="none" w:sz="0" w:space="0" w:color="auto"/>
                                                <w:right w:val="none" w:sz="0" w:space="0" w:color="auto"/>
                                              </w:divBdr>
                                              <w:divsChild>
                                                <w:div w:id="983045644">
                                                  <w:marLeft w:val="0"/>
                                                  <w:marRight w:val="0"/>
                                                  <w:marTop w:val="0"/>
                                                  <w:marBottom w:val="0"/>
                                                  <w:divBdr>
                                                    <w:top w:val="none" w:sz="0" w:space="0" w:color="auto"/>
                                                    <w:left w:val="none" w:sz="0" w:space="0" w:color="auto"/>
                                                    <w:bottom w:val="none" w:sz="0" w:space="0" w:color="auto"/>
                                                    <w:right w:val="none" w:sz="0" w:space="0" w:color="auto"/>
                                                  </w:divBdr>
                                                  <w:divsChild>
                                                    <w:div w:id="2113352570">
                                                      <w:marLeft w:val="0"/>
                                                      <w:marRight w:val="0"/>
                                                      <w:marTop w:val="0"/>
                                                      <w:marBottom w:val="0"/>
                                                      <w:divBdr>
                                                        <w:top w:val="none" w:sz="0" w:space="0" w:color="auto"/>
                                                        <w:left w:val="none" w:sz="0" w:space="0" w:color="auto"/>
                                                        <w:bottom w:val="none" w:sz="0" w:space="0" w:color="auto"/>
                                                        <w:right w:val="none" w:sz="0" w:space="0" w:color="auto"/>
                                                      </w:divBdr>
                                                    </w:div>
                                                    <w:div w:id="901058612">
                                                      <w:marLeft w:val="0"/>
                                                      <w:marRight w:val="0"/>
                                                      <w:marTop w:val="0"/>
                                                      <w:marBottom w:val="0"/>
                                                      <w:divBdr>
                                                        <w:top w:val="none" w:sz="0" w:space="0" w:color="auto"/>
                                                        <w:left w:val="none" w:sz="0" w:space="0" w:color="auto"/>
                                                        <w:bottom w:val="none" w:sz="0" w:space="0" w:color="auto"/>
                                                        <w:right w:val="none" w:sz="0" w:space="0" w:color="auto"/>
                                                      </w:divBdr>
                                                      <w:divsChild>
                                                        <w:div w:id="120878570">
                                                          <w:marLeft w:val="0"/>
                                                          <w:marRight w:val="0"/>
                                                          <w:marTop w:val="0"/>
                                                          <w:marBottom w:val="0"/>
                                                          <w:divBdr>
                                                            <w:top w:val="none" w:sz="0" w:space="0" w:color="auto"/>
                                                            <w:left w:val="none" w:sz="0" w:space="0" w:color="auto"/>
                                                            <w:bottom w:val="none" w:sz="0" w:space="0" w:color="auto"/>
                                                            <w:right w:val="none" w:sz="0" w:space="0" w:color="auto"/>
                                                          </w:divBdr>
                                                          <w:divsChild>
                                                            <w:div w:id="20340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02691">
                                  <w:marLeft w:val="0"/>
                                  <w:marRight w:val="0"/>
                                  <w:marTop w:val="0"/>
                                  <w:marBottom w:val="0"/>
                                  <w:divBdr>
                                    <w:top w:val="none" w:sz="0" w:space="0" w:color="auto"/>
                                    <w:left w:val="none" w:sz="0" w:space="0" w:color="auto"/>
                                    <w:bottom w:val="none" w:sz="0" w:space="0" w:color="auto"/>
                                    <w:right w:val="none" w:sz="0" w:space="0" w:color="auto"/>
                                  </w:divBdr>
                                  <w:divsChild>
                                    <w:div w:id="21290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2086">
                          <w:marLeft w:val="0"/>
                          <w:marRight w:val="0"/>
                          <w:marTop w:val="0"/>
                          <w:marBottom w:val="0"/>
                          <w:divBdr>
                            <w:top w:val="none" w:sz="0" w:space="0" w:color="auto"/>
                            <w:left w:val="none" w:sz="0" w:space="0" w:color="auto"/>
                            <w:bottom w:val="none" w:sz="0" w:space="0" w:color="auto"/>
                            <w:right w:val="none" w:sz="0" w:space="0" w:color="auto"/>
                          </w:divBdr>
                          <w:divsChild>
                            <w:div w:id="243416185">
                              <w:marLeft w:val="0"/>
                              <w:marRight w:val="0"/>
                              <w:marTop w:val="0"/>
                              <w:marBottom w:val="0"/>
                              <w:divBdr>
                                <w:top w:val="none" w:sz="0" w:space="0" w:color="auto"/>
                                <w:left w:val="none" w:sz="0" w:space="0" w:color="auto"/>
                                <w:bottom w:val="none" w:sz="0" w:space="0" w:color="auto"/>
                                <w:right w:val="none" w:sz="0" w:space="0" w:color="auto"/>
                              </w:divBdr>
                              <w:divsChild>
                                <w:div w:id="1774012708">
                                  <w:marLeft w:val="0"/>
                                  <w:marRight w:val="0"/>
                                  <w:marTop w:val="0"/>
                                  <w:marBottom w:val="0"/>
                                  <w:divBdr>
                                    <w:top w:val="none" w:sz="0" w:space="0" w:color="auto"/>
                                    <w:left w:val="none" w:sz="0" w:space="0" w:color="auto"/>
                                    <w:bottom w:val="none" w:sz="0" w:space="0" w:color="auto"/>
                                    <w:right w:val="none" w:sz="0" w:space="0" w:color="auto"/>
                                  </w:divBdr>
                                  <w:divsChild>
                                    <w:div w:id="684092533">
                                      <w:marLeft w:val="0"/>
                                      <w:marRight w:val="0"/>
                                      <w:marTop w:val="0"/>
                                      <w:marBottom w:val="0"/>
                                      <w:divBdr>
                                        <w:top w:val="none" w:sz="0" w:space="0" w:color="auto"/>
                                        <w:left w:val="none" w:sz="0" w:space="0" w:color="auto"/>
                                        <w:bottom w:val="none" w:sz="0" w:space="0" w:color="auto"/>
                                        <w:right w:val="none" w:sz="0" w:space="0" w:color="auto"/>
                                      </w:divBdr>
                                      <w:divsChild>
                                        <w:div w:id="2132939942">
                                          <w:marLeft w:val="0"/>
                                          <w:marRight w:val="0"/>
                                          <w:marTop w:val="0"/>
                                          <w:marBottom w:val="0"/>
                                          <w:divBdr>
                                            <w:top w:val="none" w:sz="0" w:space="0" w:color="auto"/>
                                            <w:left w:val="none" w:sz="0" w:space="0" w:color="auto"/>
                                            <w:bottom w:val="none" w:sz="0" w:space="0" w:color="auto"/>
                                            <w:right w:val="none" w:sz="0" w:space="0" w:color="auto"/>
                                          </w:divBdr>
                                          <w:divsChild>
                                            <w:div w:id="1547257287">
                                              <w:marLeft w:val="0"/>
                                              <w:marRight w:val="0"/>
                                              <w:marTop w:val="0"/>
                                              <w:marBottom w:val="0"/>
                                              <w:divBdr>
                                                <w:top w:val="none" w:sz="0" w:space="0" w:color="auto"/>
                                                <w:left w:val="none" w:sz="0" w:space="0" w:color="auto"/>
                                                <w:bottom w:val="none" w:sz="0" w:space="0" w:color="auto"/>
                                                <w:right w:val="none" w:sz="0" w:space="0" w:color="auto"/>
                                              </w:divBdr>
                                              <w:divsChild>
                                                <w:div w:id="21384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49116">
                          <w:marLeft w:val="0"/>
                          <w:marRight w:val="0"/>
                          <w:marTop w:val="0"/>
                          <w:marBottom w:val="0"/>
                          <w:divBdr>
                            <w:top w:val="none" w:sz="0" w:space="0" w:color="auto"/>
                            <w:left w:val="none" w:sz="0" w:space="0" w:color="auto"/>
                            <w:bottom w:val="none" w:sz="0" w:space="0" w:color="auto"/>
                            <w:right w:val="none" w:sz="0" w:space="0" w:color="auto"/>
                          </w:divBdr>
                          <w:divsChild>
                            <w:div w:id="1973049952">
                              <w:marLeft w:val="0"/>
                              <w:marRight w:val="0"/>
                              <w:marTop w:val="0"/>
                              <w:marBottom w:val="0"/>
                              <w:divBdr>
                                <w:top w:val="none" w:sz="0" w:space="0" w:color="auto"/>
                                <w:left w:val="none" w:sz="0" w:space="0" w:color="auto"/>
                                <w:bottom w:val="none" w:sz="0" w:space="0" w:color="auto"/>
                                <w:right w:val="none" w:sz="0" w:space="0" w:color="auto"/>
                              </w:divBdr>
                              <w:divsChild>
                                <w:div w:id="748886811">
                                  <w:marLeft w:val="0"/>
                                  <w:marRight w:val="0"/>
                                  <w:marTop w:val="0"/>
                                  <w:marBottom w:val="0"/>
                                  <w:divBdr>
                                    <w:top w:val="none" w:sz="0" w:space="0" w:color="auto"/>
                                    <w:left w:val="none" w:sz="0" w:space="0" w:color="auto"/>
                                    <w:bottom w:val="none" w:sz="0" w:space="0" w:color="auto"/>
                                    <w:right w:val="none" w:sz="0" w:space="0" w:color="auto"/>
                                  </w:divBdr>
                                  <w:divsChild>
                                    <w:div w:id="1216503202">
                                      <w:marLeft w:val="0"/>
                                      <w:marRight w:val="0"/>
                                      <w:marTop w:val="0"/>
                                      <w:marBottom w:val="0"/>
                                      <w:divBdr>
                                        <w:top w:val="none" w:sz="0" w:space="0" w:color="auto"/>
                                        <w:left w:val="none" w:sz="0" w:space="0" w:color="auto"/>
                                        <w:bottom w:val="none" w:sz="0" w:space="0" w:color="auto"/>
                                        <w:right w:val="none" w:sz="0" w:space="0" w:color="auto"/>
                                      </w:divBdr>
                                      <w:divsChild>
                                        <w:div w:id="1296372799">
                                          <w:marLeft w:val="0"/>
                                          <w:marRight w:val="0"/>
                                          <w:marTop w:val="0"/>
                                          <w:marBottom w:val="0"/>
                                          <w:divBdr>
                                            <w:top w:val="none" w:sz="0" w:space="0" w:color="auto"/>
                                            <w:left w:val="none" w:sz="0" w:space="0" w:color="auto"/>
                                            <w:bottom w:val="none" w:sz="0" w:space="0" w:color="auto"/>
                                            <w:right w:val="none" w:sz="0" w:space="0" w:color="auto"/>
                                          </w:divBdr>
                                          <w:divsChild>
                                            <w:div w:id="109131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492062">
                          <w:marLeft w:val="0"/>
                          <w:marRight w:val="0"/>
                          <w:marTop w:val="0"/>
                          <w:marBottom w:val="0"/>
                          <w:divBdr>
                            <w:top w:val="none" w:sz="0" w:space="0" w:color="auto"/>
                            <w:left w:val="none" w:sz="0" w:space="0" w:color="auto"/>
                            <w:bottom w:val="none" w:sz="0" w:space="0" w:color="auto"/>
                            <w:right w:val="none" w:sz="0" w:space="0" w:color="auto"/>
                          </w:divBdr>
                          <w:divsChild>
                            <w:div w:id="1641495625">
                              <w:marLeft w:val="0"/>
                              <w:marRight w:val="0"/>
                              <w:marTop w:val="0"/>
                              <w:marBottom w:val="0"/>
                              <w:divBdr>
                                <w:top w:val="none" w:sz="0" w:space="0" w:color="auto"/>
                                <w:left w:val="none" w:sz="0" w:space="0" w:color="auto"/>
                                <w:bottom w:val="none" w:sz="0" w:space="0" w:color="auto"/>
                                <w:right w:val="none" w:sz="0" w:space="0" w:color="auto"/>
                              </w:divBdr>
                              <w:divsChild>
                                <w:div w:id="405110715">
                                  <w:marLeft w:val="0"/>
                                  <w:marRight w:val="0"/>
                                  <w:marTop w:val="0"/>
                                  <w:marBottom w:val="0"/>
                                  <w:divBdr>
                                    <w:top w:val="none" w:sz="0" w:space="0" w:color="auto"/>
                                    <w:left w:val="none" w:sz="0" w:space="0" w:color="auto"/>
                                    <w:bottom w:val="none" w:sz="0" w:space="0" w:color="auto"/>
                                    <w:right w:val="none" w:sz="0" w:space="0" w:color="auto"/>
                                  </w:divBdr>
                                  <w:divsChild>
                                    <w:div w:id="116724311">
                                      <w:marLeft w:val="0"/>
                                      <w:marRight w:val="0"/>
                                      <w:marTop w:val="0"/>
                                      <w:marBottom w:val="0"/>
                                      <w:divBdr>
                                        <w:top w:val="none" w:sz="0" w:space="0" w:color="auto"/>
                                        <w:left w:val="none" w:sz="0" w:space="0" w:color="auto"/>
                                        <w:bottom w:val="none" w:sz="0" w:space="0" w:color="auto"/>
                                        <w:right w:val="none" w:sz="0" w:space="0" w:color="auto"/>
                                      </w:divBdr>
                                      <w:divsChild>
                                        <w:div w:id="373962823">
                                          <w:marLeft w:val="0"/>
                                          <w:marRight w:val="0"/>
                                          <w:marTop w:val="0"/>
                                          <w:marBottom w:val="0"/>
                                          <w:divBdr>
                                            <w:top w:val="none" w:sz="0" w:space="0" w:color="auto"/>
                                            <w:left w:val="none" w:sz="0" w:space="0" w:color="auto"/>
                                            <w:bottom w:val="none" w:sz="0" w:space="0" w:color="auto"/>
                                            <w:right w:val="none" w:sz="0" w:space="0" w:color="auto"/>
                                          </w:divBdr>
                                          <w:divsChild>
                                            <w:div w:id="1584605995">
                                              <w:marLeft w:val="0"/>
                                              <w:marRight w:val="0"/>
                                              <w:marTop w:val="0"/>
                                              <w:marBottom w:val="0"/>
                                              <w:divBdr>
                                                <w:top w:val="none" w:sz="0" w:space="0" w:color="auto"/>
                                                <w:left w:val="none" w:sz="0" w:space="0" w:color="auto"/>
                                                <w:bottom w:val="none" w:sz="0" w:space="0" w:color="auto"/>
                                                <w:right w:val="none" w:sz="0" w:space="0" w:color="auto"/>
                                              </w:divBdr>
                                              <w:divsChild>
                                                <w:div w:id="17435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775472">
                          <w:marLeft w:val="0"/>
                          <w:marRight w:val="0"/>
                          <w:marTop w:val="0"/>
                          <w:marBottom w:val="0"/>
                          <w:divBdr>
                            <w:top w:val="none" w:sz="0" w:space="0" w:color="auto"/>
                            <w:left w:val="none" w:sz="0" w:space="0" w:color="auto"/>
                            <w:bottom w:val="none" w:sz="0" w:space="0" w:color="auto"/>
                            <w:right w:val="none" w:sz="0" w:space="0" w:color="auto"/>
                          </w:divBdr>
                          <w:divsChild>
                            <w:div w:id="1605461273">
                              <w:marLeft w:val="0"/>
                              <w:marRight w:val="0"/>
                              <w:marTop w:val="0"/>
                              <w:marBottom w:val="0"/>
                              <w:divBdr>
                                <w:top w:val="none" w:sz="0" w:space="0" w:color="auto"/>
                                <w:left w:val="none" w:sz="0" w:space="0" w:color="auto"/>
                                <w:bottom w:val="none" w:sz="0" w:space="0" w:color="auto"/>
                                <w:right w:val="none" w:sz="0" w:space="0" w:color="auto"/>
                              </w:divBdr>
                              <w:divsChild>
                                <w:div w:id="1381585938">
                                  <w:marLeft w:val="0"/>
                                  <w:marRight w:val="0"/>
                                  <w:marTop w:val="0"/>
                                  <w:marBottom w:val="0"/>
                                  <w:divBdr>
                                    <w:top w:val="none" w:sz="0" w:space="0" w:color="auto"/>
                                    <w:left w:val="none" w:sz="0" w:space="0" w:color="auto"/>
                                    <w:bottom w:val="none" w:sz="0" w:space="0" w:color="auto"/>
                                    <w:right w:val="none" w:sz="0" w:space="0" w:color="auto"/>
                                  </w:divBdr>
                                  <w:divsChild>
                                    <w:div w:id="1651405874">
                                      <w:marLeft w:val="0"/>
                                      <w:marRight w:val="0"/>
                                      <w:marTop w:val="0"/>
                                      <w:marBottom w:val="0"/>
                                      <w:divBdr>
                                        <w:top w:val="none" w:sz="0" w:space="0" w:color="auto"/>
                                        <w:left w:val="none" w:sz="0" w:space="0" w:color="auto"/>
                                        <w:bottom w:val="none" w:sz="0" w:space="0" w:color="auto"/>
                                        <w:right w:val="none" w:sz="0" w:space="0" w:color="auto"/>
                                      </w:divBdr>
                                      <w:divsChild>
                                        <w:div w:id="199438338">
                                          <w:marLeft w:val="0"/>
                                          <w:marRight w:val="0"/>
                                          <w:marTop w:val="0"/>
                                          <w:marBottom w:val="0"/>
                                          <w:divBdr>
                                            <w:top w:val="none" w:sz="0" w:space="0" w:color="auto"/>
                                            <w:left w:val="none" w:sz="0" w:space="0" w:color="auto"/>
                                            <w:bottom w:val="none" w:sz="0" w:space="0" w:color="auto"/>
                                            <w:right w:val="none" w:sz="0" w:space="0" w:color="auto"/>
                                          </w:divBdr>
                                          <w:divsChild>
                                            <w:div w:id="2112242850">
                                              <w:marLeft w:val="0"/>
                                              <w:marRight w:val="0"/>
                                              <w:marTop w:val="0"/>
                                              <w:marBottom w:val="0"/>
                                              <w:divBdr>
                                                <w:top w:val="none" w:sz="0" w:space="0" w:color="auto"/>
                                                <w:left w:val="none" w:sz="0" w:space="0" w:color="auto"/>
                                                <w:bottom w:val="none" w:sz="0" w:space="0" w:color="auto"/>
                                                <w:right w:val="none" w:sz="0" w:space="0" w:color="auto"/>
                                              </w:divBdr>
                                              <w:divsChild>
                                                <w:div w:id="1478301911">
                                                  <w:marLeft w:val="0"/>
                                                  <w:marRight w:val="0"/>
                                                  <w:marTop w:val="0"/>
                                                  <w:marBottom w:val="0"/>
                                                  <w:divBdr>
                                                    <w:top w:val="none" w:sz="0" w:space="0" w:color="auto"/>
                                                    <w:left w:val="none" w:sz="0" w:space="0" w:color="auto"/>
                                                    <w:bottom w:val="none" w:sz="0" w:space="0" w:color="auto"/>
                                                    <w:right w:val="none" w:sz="0" w:space="0" w:color="auto"/>
                                                  </w:divBdr>
                                                  <w:divsChild>
                                                    <w:div w:id="20298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679985">
          <w:marLeft w:val="0"/>
          <w:marRight w:val="0"/>
          <w:marTop w:val="0"/>
          <w:marBottom w:val="0"/>
          <w:divBdr>
            <w:top w:val="none" w:sz="0" w:space="0" w:color="auto"/>
            <w:left w:val="none" w:sz="0" w:space="0" w:color="auto"/>
            <w:bottom w:val="none" w:sz="0" w:space="0" w:color="auto"/>
            <w:right w:val="none" w:sz="0" w:space="0" w:color="auto"/>
          </w:divBdr>
          <w:divsChild>
            <w:div w:id="1210874778">
              <w:marLeft w:val="0"/>
              <w:marRight w:val="0"/>
              <w:marTop w:val="0"/>
              <w:marBottom w:val="0"/>
              <w:divBdr>
                <w:top w:val="none" w:sz="0" w:space="0" w:color="auto"/>
                <w:left w:val="none" w:sz="0" w:space="0" w:color="auto"/>
                <w:bottom w:val="none" w:sz="0" w:space="0" w:color="auto"/>
                <w:right w:val="none" w:sz="0" w:space="0" w:color="auto"/>
              </w:divBdr>
              <w:divsChild>
                <w:div w:id="338045777">
                  <w:marLeft w:val="0"/>
                  <w:marRight w:val="0"/>
                  <w:marTop w:val="0"/>
                  <w:marBottom w:val="0"/>
                  <w:divBdr>
                    <w:top w:val="none" w:sz="0" w:space="0" w:color="auto"/>
                    <w:left w:val="none" w:sz="0" w:space="0" w:color="auto"/>
                    <w:bottom w:val="none" w:sz="0" w:space="0" w:color="auto"/>
                    <w:right w:val="none" w:sz="0" w:space="0" w:color="auto"/>
                  </w:divBdr>
                  <w:divsChild>
                    <w:div w:id="1881473188">
                      <w:marLeft w:val="0"/>
                      <w:marRight w:val="0"/>
                      <w:marTop w:val="0"/>
                      <w:marBottom w:val="0"/>
                      <w:divBdr>
                        <w:top w:val="none" w:sz="0" w:space="0" w:color="auto"/>
                        <w:left w:val="none" w:sz="0" w:space="0" w:color="auto"/>
                        <w:bottom w:val="none" w:sz="0" w:space="0" w:color="auto"/>
                        <w:right w:val="none" w:sz="0" w:space="0" w:color="auto"/>
                      </w:divBdr>
                      <w:divsChild>
                        <w:div w:id="20894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687278">
      <w:bodyDiv w:val="1"/>
      <w:marLeft w:val="0"/>
      <w:marRight w:val="0"/>
      <w:marTop w:val="0"/>
      <w:marBottom w:val="0"/>
      <w:divBdr>
        <w:top w:val="none" w:sz="0" w:space="0" w:color="auto"/>
        <w:left w:val="none" w:sz="0" w:space="0" w:color="auto"/>
        <w:bottom w:val="none" w:sz="0" w:space="0" w:color="auto"/>
        <w:right w:val="none" w:sz="0" w:space="0" w:color="auto"/>
      </w:divBdr>
    </w:div>
    <w:div w:id="571962291">
      <w:bodyDiv w:val="1"/>
      <w:marLeft w:val="0"/>
      <w:marRight w:val="0"/>
      <w:marTop w:val="0"/>
      <w:marBottom w:val="0"/>
      <w:divBdr>
        <w:top w:val="none" w:sz="0" w:space="0" w:color="auto"/>
        <w:left w:val="none" w:sz="0" w:space="0" w:color="auto"/>
        <w:bottom w:val="none" w:sz="0" w:space="0" w:color="auto"/>
        <w:right w:val="none" w:sz="0" w:space="0" w:color="auto"/>
      </w:divBdr>
    </w:div>
    <w:div w:id="621115576">
      <w:bodyDiv w:val="1"/>
      <w:marLeft w:val="0"/>
      <w:marRight w:val="0"/>
      <w:marTop w:val="0"/>
      <w:marBottom w:val="0"/>
      <w:divBdr>
        <w:top w:val="none" w:sz="0" w:space="0" w:color="auto"/>
        <w:left w:val="none" w:sz="0" w:space="0" w:color="auto"/>
        <w:bottom w:val="none" w:sz="0" w:space="0" w:color="auto"/>
        <w:right w:val="none" w:sz="0" w:space="0" w:color="auto"/>
      </w:divBdr>
    </w:div>
    <w:div w:id="695887949">
      <w:bodyDiv w:val="1"/>
      <w:marLeft w:val="0"/>
      <w:marRight w:val="0"/>
      <w:marTop w:val="0"/>
      <w:marBottom w:val="0"/>
      <w:divBdr>
        <w:top w:val="none" w:sz="0" w:space="0" w:color="auto"/>
        <w:left w:val="none" w:sz="0" w:space="0" w:color="auto"/>
        <w:bottom w:val="none" w:sz="0" w:space="0" w:color="auto"/>
        <w:right w:val="none" w:sz="0" w:space="0" w:color="auto"/>
      </w:divBdr>
    </w:div>
    <w:div w:id="738796399">
      <w:marLeft w:val="0"/>
      <w:marRight w:val="0"/>
      <w:marTop w:val="0"/>
      <w:marBottom w:val="0"/>
      <w:divBdr>
        <w:top w:val="none" w:sz="0" w:space="0" w:color="auto"/>
        <w:left w:val="none" w:sz="0" w:space="0" w:color="auto"/>
        <w:bottom w:val="none" w:sz="0" w:space="0" w:color="auto"/>
        <w:right w:val="none" w:sz="0" w:space="0" w:color="auto"/>
      </w:divBdr>
      <w:divsChild>
        <w:div w:id="2004579035">
          <w:marLeft w:val="0"/>
          <w:marRight w:val="0"/>
          <w:marTop w:val="0"/>
          <w:marBottom w:val="0"/>
          <w:divBdr>
            <w:top w:val="none" w:sz="0" w:space="0" w:color="auto"/>
            <w:left w:val="none" w:sz="0" w:space="0" w:color="auto"/>
            <w:bottom w:val="none" w:sz="0" w:space="0" w:color="auto"/>
            <w:right w:val="none" w:sz="0" w:space="0" w:color="auto"/>
          </w:divBdr>
        </w:div>
        <w:div w:id="43992606">
          <w:marLeft w:val="0"/>
          <w:marRight w:val="0"/>
          <w:marTop w:val="0"/>
          <w:marBottom w:val="0"/>
          <w:divBdr>
            <w:top w:val="none" w:sz="0" w:space="0" w:color="auto"/>
            <w:left w:val="none" w:sz="0" w:space="0" w:color="auto"/>
            <w:bottom w:val="none" w:sz="0" w:space="0" w:color="auto"/>
            <w:right w:val="none" w:sz="0" w:space="0" w:color="auto"/>
          </w:divBdr>
          <w:divsChild>
            <w:div w:id="828669170">
              <w:marLeft w:val="0"/>
              <w:marRight w:val="0"/>
              <w:marTop w:val="0"/>
              <w:marBottom w:val="0"/>
              <w:divBdr>
                <w:top w:val="none" w:sz="0" w:space="0" w:color="auto"/>
                <w:left w:val="none" w:sz="0" w:space="0" w:color="auto"/>
                <w:bottom w:val="none" w:sz="0" w:space="0" w:color="auto"/>
                <w:right w:val="none" w:sz="0" w:space="0" w:color="auto"/>
              </w:divBdr>
              <w:divsChild>
                <w:div w:id="19875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1287">
          <w:marLeft w:val="0"/>
          <w:marRight w:val="0"/>
          <w:marTop w:val="0"/>
          <w:marBottom w:val="0"/>
          <w:divBdr>
            <w:top w:val="none" w:sz="0" w:space="0" w:color="auto"/>
            <w:left w:val="none" w:sz="0" w:space="0" w:color="auto"/>
            <w:bottom w:val="none" w:sz="0" w:space="0" w:color="auto"/>
            <w:right w:val="none" w:sz="0" w:space="0" w:color="auto"/>
          </w:divBdr>
        </w:div>
      </w:divsChild>
    </w:div>
    <w:div w:id="796995382">
      <w:bodyDiv w:val="1"/>
      <w:marLeft w:val="0"/>
      <w:marRight w:val="0"/>
      <w:marTop w:val="0"/>
      <w:marBottom w:val="0"/>
      <w:divBdr>
        <w:top w:val="none" w:sz="0" w:space="0" w:color="auto"/>
        <w:left w:val="none" w:sz="0" w:space="0" w:color="auto"/>
        <w:bottom w:val="none" w:sz="0" w:space="0" w:color="auto"/>
        <w:right w:val="none" w:sz="0" w:space="0" w:color="auto"/>
      </w:divBdr>
    </w:div>
    <w:div w:id="809321649">
      <w:bodyDiv w:val="1"/>
      <w:marLeft w:val="0"/>
      <w:marRight w:val="0"/>
      <w:marTop w:val="0"/>
      <w:marBottom w:val="0"/>
      <w:divBdr>
        <w:top w:val="none" w:sz="0" w:space="0" w:color="auto"/>
        <w:left w:val="none" w:sz="0" w:space="0" w:color="auto"/>
        <w:bottom w:val="none" w:sz="0" w:space="0" w:color="auto"/>
        <w:right w:val="none" w:sz="0" w:space="0" w:color="auto"/>
      </w:divBdr>
    </w:div>
    <w:div w:id="838930949">
      <w:bodyDiv w:val="1"/>
      <w:marLeft w:val="0"/>
      <w:marRight w:val="0"/>
      <w:marTop w:val="0"/>
      <w:marBottom w:val="0"/>
      <w:divBdr>
        <w:top w:val="none" w:sz="0" w:space="0" w:color="auto"/>
        <w:left w:val="none" w:sz="0" w:space="0" w:color="auto"/>
        <w:bottom w:val="none" w:sz="0" w:space="0" w:color="auto"/>
        <w:right w:val="none" w:sz="0" w:space="0" w:color="auto"/>
      </w:divBdr>
    </w:div>
    <w:div w:id="894320989">
      <w:bodyDiv w:val="1"/>
      <w:marLeft w:val="0"/>
      <w:marRight w:val="0"/>
      <w:marTop w:val="0"/>
      <w:marBottom w:val="0"/>
      <w:divBdr>
        <w:top w:val="none" w:sz="0" w:space="0" w:color="auto"/>
        <w:left w:val="none" w:sz="0" w:space="0" w:color="auto"/>
        <w:bottom w:val="none" w:sz="0" w:space="0" w:color="auto"/>
        <w:right w:val="none" w:sz="0" w:space="0" w:color="auto"/>
      </w:divBdr>
    </w:div>
    <w:div w:id="900021394">
      <w:bodyDiv w:val="1"/>
      <w:marLeft w:val="0"/>
      <w:marRight w:val="0"/>
      <w:marTop w:val="0"/>
      <w:marBottom w:val="0"/>
      <w:divBdr>
        <w:top w:val="none" w:sz="0" w:space="0" w:color="auto"/>
        <w:left w:val="none" w:sz="0" w:space="0" w:color="auto"/>
        <w:bottom w:val="none" w:sz="0" w:space="0" w:color="auto"/>
        <w:right w:val="none" w:sz="0" w:space="0" w:color="auto"/>
      </w:divBdr>
    </w:div>
    <w:div w:id="903295373">
      <w:bodyDiv w:val="1"/>
      <w:marLeft w:val="0"/>
      <w:marRight w:val="0"/>
      <w:marTop w:val="0"/>
      <w:marBottom w:val="0"/>
      <w:divBdr>
        <w:top w:val="none" w:sz="0" w:space="0" w:color="auto"/>
        <w:left w:val="none" w:sz="0" w:space="0" w:color="auto"/>
        <w:bottom w:val="none" w:sz="0" w:space="0" w:color="auto"/>
        <w:right w:val="none" w:sz="0" w:space="0" w:color="auto"/>
      </w:divBdr>
    </w:div>
    <w:div w:id="1051924748">
      <w:bodyDiv w:val="1"/>
      <w:marLeft w:val="0"/>
      <w:marRight w:val="0"/>
      <w:marTop w:val="0"/>
      <w:marBottom w:val="0"/>
      <w:divBdr>
        <w:top w:val="none" w:sz="0" w:space="0" w:color="auto"/>
        <w:left w:val="none" w:sz="0" w:space="0" w:color="auto"/>
        <w:bottom w:val="none" w:sz="0" w:space="0" w:color="auto"/>
        <w:right w:val="none" w:sz="0" w:space="0" w:color="auto"/>
      </w:divBdr>
      <w:divsChild>
        <w:div w:id="1087190485">
          <w:marLeft w:val="0"/>
          <w:marRight w:val="0"/>
          <w:marTop w:val="0"/>
          <w:marBottom w:val="0"/>
          <w:divBdr>
            <w:top w:val="none" w:sz="0" w:space="0" w:color="auto"/>
            <w:left w:val="none" w:sz="0" w:space="0" w:color="auto"/>
            <w:bottom w:val="none" w:sz="0" w:space="0" w:color="auto"/>
            <w:right w:val="none" w:sz="0" w:space="0" w:color="auto"/>
          </w:divBdr>
        </w:div>
      </w:divsChild>
    </w:div>
    <w:div w:id="1067725220">
      <w:bodyDiv w:val="1"/>
      <w:marLeft w:val="0"/>
      <w:marRight w:val="0"/>
      <w:marTop w:val="0"/>
      <w:marBottom w:val="0"/>
      <w:divBdr>
        <w:top w:val="none" w:sz="0" w:space="0" w:color="auto"/>
        <w:left w:val="none" w:sz="0" w:space="0" w:color="auto"/>
        <w:bottom w:val="none" w:sz="0" w:space="0" w:color="auto"/>
        <w:right w:val="none" w:sz="0" w:space="0" w:color="auto"/>
      </w:divBdr>
    </w:div>
    <w:div w:id="1089078672">
      <w:bodyDiv w:val="1"/>
      <w:marLeft w:val="0"/>
      <w:marRight w:val="0"/>
      <w:marTop w:val="0"/>
      <w:marBottom w:val="0"/>
      <w:divBdr>
        <w:top w:val="none" w:sz="0" w:space="0" w:color="auto"/>
        <w:left w:val="none" w:sz="0" w:space="0" w:color="auto"/>
        <w:bottom w:val="none" w:sz="0" w:space="0" w:color="auto"/>
        <w:right w:val="none" w:sz="0" w:space="0" w:color="auto"/>
      </w:divBdr>
      <w:divsChild>
        <w:div w:id="78258347">
          <w:marLeft w:val="0"/>
          <w:marRight w:val="0"/>
          <w:marTop w:val="0"/>
          <w:marBottom w:val="0"/>
          <w:divBdr>
            <w:top w:val="none" w:sz="0" w:space="0" w:color="auto"/>
            <w:left w:val="none" w:sz="0" w:space="0" w:color="auto"/>
            <w:bottom w:val="none" w:sz="0" w:space="0" w:color="auto"/>
            <w:right w:val="none" w:sz="0" w:space="0" w:color="auto"/>
          </w:divBdr>
        </w:div>
      </w:divsChild>
    </w:div>
    <w:div w:id="1094977577">
      <w:bodyDiv w:val="1"/>
      <w:marLeft w:val="0"/>
      <w:marRight w:val="0"/>
      <w:marTop w:val="0"/>
      <w:marBottom w:val="0"/>
      <w:divBdr>
        <w:top w:val="none" w:sz="0" w:space="0" w:color="auto"/>
        <w:left w:val="none" w:sz="0" w:space="0" w:color="auto"/>
        <w:bottom w:val="none" w:sz="0" w:space="0" w:color="auto"/>
        <w:right w:val="none" w:sz="0" w:space="0" w:color="auto"/>
      </w:divBdr>
    </w:div>
    <w:div w:id="1164777617">
      <w:bodyDiv w:val="1"/>
      <w:marLeft w:val="0"/>
      <w:marRight w:val="0"/>
      <w:marTop w:val="0"/>
      <w:marBottom w:val="0"/>
      <w:divBdr>
        <w:top w:val="none" w:sz="0" w:space="0" w:color="auto"/>
        <w:left w:val="none" w:sz="0" w:space="0" w:color="auto"/>
        <w:bottom w:val="none" w:sz="0" w:space="0" w:color="auto"/>
        <w:right w:val="none" w:sz="0" w:space="0" w:color="auto"/>
      </w:divBdr>
    </w:div>
    <w:div w:id="1166169133">
      <w:bodyDiv w:val="1"/>
      <w:marLeft w:val="0"/>
      <w:marRight w:val="0"/>
      <w:marTop w:val="0"/>
      <w:marBottom w:val="0"/>
      <w:divBdr>
        <w:top w:val="none" w:sz="0" w:space="0" w:color="auto"/>
        <w:left w:val="none" w:sz="0" w:space="0" w:color="auto"/>
        <w:bottom w:val="none" w:sz="0" w:space="0" w:color="auto"/>
        <w:right w:val="none" w:sz="0" w:space="0" w:color="auto"/>
      </w:divBdr>
    </w:div>
    <w:div w:id="1220897494">
      <w:bodyDiv w:val="1"/>
      <w:marLeft w:val="0"/>
      <w:marRight w:val="0"/>
      <w:marTop w:val="0"/>
      <w:marBottom w:val="0"/>
      <w:divBdr>
        <w:top w:val="none" w:sz="0" w:space="0" w:color="auto"/>
        <w:left w:val="none" w:sz="0" w:space="0" w:color="auto"/>
        <w:bottom w:val="none" w:sz="0" w:space="0" w:color="auto"/>
        <w:right w:val="none" w:sz="0" w:space="0" w:color="auto"/>
      </w:divBdr>
    </w:div>
    <w:div w:id="1254195191">
      <w:bodyDiv w:val="1"/>
      <w:marLeft w:val="0"/>
      <w:marRight w:val="0"/>
      <w:marTop w:val="0"/>
      <w:marBottom w:val="0"/>
      <w:divBdr>
        <w:top w:val="none" w:sz="0" w:space="0" w:color="auto"/>
        <w:left w:val="none" w:sz="0" w:space="0" w:color="auto"/>
        <w:bottom w:val="none" w:sz="0" w:space="0" w:color="auto"/>
        <w:right w:val="none" w:sz="0" w:space="0" w:color="auto"/>
      </w:divBdr>
      <w:divsChild>
        <w:div w:id="970017532">
          <w:marLeft w:val="0"/>
          <w:marRight w:val="0"/>
          <w:marTop w:val="0"/>
          <w:marBottom w:val="0"/>
          <w:divBdr>
            <w:top w:val="none" w:sz="0" w:space="0" w:color="auto"/>
            <w:left w:val="none" w:sz="0" w:space="0" w:color="auto"/>
            <w:bottom w:val="none" w:sz="0" w:space="0" w:color="auto"/>
            <w:right w:val="none" w:sz="0" w:space="0" w:color="auto"/>
          </w:divBdr>
        </w:div>
      </w:divsChild>
    </w:div>
    <w:div w:id="1388802721">
      <w:bodyDiv w:val="1"/>
      <w:marLeft w:val="0"/>
      <w:marRight w:val="0"/>
      <w:marTop w:val="0"/>
      <w:marBottom w:val="0"/>
      <w:divBdr>
        <w:top w:val="none" w:sz="0" w:space="0" w:color="auto"/>
        <w:left w:val="none" w:sz="0" w:space="0" w:color="auto"/>
        <w:bottom w:val="none" w:sz="0" w:space="0" w:color="auto"/>
        <w:right w:val="none" w:sz="0" w:space="0" w:color="auto"/>
      </w:divBdr>
    </w:div>
    <w:div w:id="1532374226">
      <w:bodyDiv w:val="1"/>
      <w:marLeft w:val="0"/>
      <w:marRight w:val="0"/>
      <w:marTop w:val="0"/>
      <w:marBottom w:val="0"/>
      <w:divBdr>
        <w:top w:val="none" w:sz="0" w:space="0" w:color="auto"/>
        <w:left w:val="none" w:sz="0" w:space="0" w:color="auto"/>
        <w:bottom w:val="none" w:sz="0" w:space="0" w:color="auto"/>
        <w:right w:val="none" w:sz="0" w:space="0" w:color="auto"/>
      </w:divBdr>
      <w:divsChild>
        <w:div w:id="349986935">
          <w:marLeft w:val="0"/>
          <w:marRight w:val="0"/>
          <w:marTop w:val="0"/>
          <w:marBottom w:val="0"/>
          <w:divBdr>
            <w:top w:val="none" w:sz="0" w:space="0" w:color="auto"/>
            <w:left w:val="none" w:sz="0" w:space="0" w:color="auto"/>
            <w:bottom w:val="none" w:sz="0" w:space="0" w:color="auto"/>
            <w:right w:val="none" w:sz="0" w:space="0" w:color="auto"/>
          </w:divBdr>
        </w:div>
      </w:divsChild>
    </w:div>
    <w:div w:id="1555235097">
      <w:bodyDiv w:val="1"/>
      <w:marLeft w:val="0"/>
      <w:marRight w:val="0"/>
      <w:marTop w:val="0"/>
      <w:marBottom w:val="0"/>
      <w:divBdr>
        <w:top w:val="none" w:sz="0" w:space="0" w:color="auto"/>
        <w:left w:val="none" w:sz="0" w:space="0" w:color="auto"/>
        <w:bottom w:val="none" w:sz="0" w:space="0" w:color="auto"/>
        <w:right w:val="none" w:sz="0" w:space="0" w:color="auto"/>
      </w:divBdr>
    </w:div>
    <w:div w:id="1575820263">
      <w:bodyDiv w:val="1"/>
      <w:marLeft w:val="0"/>
      <w:marRight w:val="0"/>
      <w:marTop w:val="0"/>
      <w:marBottom w:val="0"/>
      <w:divBdr>
        <w:top w:val="none" w:sz="0" w:space="0" w:color="auto"/>
        <w:left w:val="none" w:sz="0" w:space="0" w:color="auto"/>
        <w:bottom w:val="none" w:sz="0" w:space="0" w:color="auto"/>
        <w:right w:val="none" w:sz="0" w:space="0" w:color="auto"/>
      </w:divBdr>
    </w:div>
    <w:div w:id="1607497301">
      <w:bodyDiv w:val="1"/>
      <w:marLeft w:val="0"/>
      <w:marRight w:val="0"/>
      <w:marTop w:val="0"/>
      <w:marBottom w:val="0"/>
      <w:divBdr>
        <w:top w:val="none" w:sz="0" w:space="0" w:color="auto"/>
        <w:left w:val="none" w:sz="0" w:space="0" w:color="auto"/>
        <w:bottom w:val="none" w:sz="0" w:space="0" w:color="auto"/>
        <w:right w:val="none" w:sz="0" w:space="0" w:color="auto"/>
      </w:divBdr>
    </w:div>
    <w:div w:id="1680426496">
      <w:bodyDiv w:val="1"/>
      <w:marLeft w:val="0"/>
      <w:marRight w:val="0"/>
      <w:marTop w:val="0"/>
      <w:marBottom w:val="0"/>
      <w:divBdr>
        <w:top w:val="none" w:sz="0" w:space="0" w:color="auto"/>
        <w:left w:val="none" w:sz="0" w:space="0" w:color="auto"/>
        <w:bottom w:val="none" w:sz="0" w:space="0" w:color="auto"/>
        <w:right w:val="none" w:sz="0" w:space="0" w:color="auto"/>
      </w:divBdr>
    </w:div>
    <w:div w:id="1812823920">
      <w:bodyDiv w:val="1"/>
      <w:marLeft w:val="0"/>
      <w:marRight w:val="0"/>
      <w:marTop w:val="0"/>
      <w:marBottom w:val="0"/>
      <w:divBdr>
        <w:top w:val="none" w:sz="0" w:space="0" w:color="auto"/>
        <w:left w:val="none" w:sz="0" w:space="0" w:color="auto"/>
        <w:bottom w:val="none" w:sz="0" w:space="0" w:color="auto"/>
        <w:right w:val="none" w:sz="0" w:space="0" w:color="auto"/>
      </w:divBdr>
    </w:div>
    <w:div w:id="1876120408">
      <w:bodyDiv w:val="1"/>
      <w:marLeft w:val="0"/>
      <w:marRight w:val="0"/>
      <w:marTop w:val="0"/>
      <w:marBottom w:val="0"/>
      <w:divBdr>
        <w:top w:val="none" w:sz="0" w:space="0" w:color="auto"/>
        <w:left w:val="none" w:sz="0" w:space="0" w:color="auto"/>
        <w:bottom w:val="none" w:sz="0" w:space="0" w:color="auto"/>
        <w:right w:val="none" w:sz="0" w:space="0" w:color="auto"/>
      </w:divBdr>
    </w:div>
    <w:div w:id="1941717596">
      <w:bodyDiv w:val="1"/>
      <w:marLeft w:val="0"/>
      <w:marRight w:val="0"/>
      <w:marTop w:val="0"/>
      <w:marBottom w:val="0"/>
      <w:divBdr>
        <w:top w:val="none" w:sz="0" w:space="0" w:color="auto"/>
        <w:left w:val="none" w:sz="0" w:space="0" w:color="auto"/>
        <w:bottom w:val="none" w:sz="0" w:space="0" w:color="auto"/>
        <w:right w:val="none" w:sz="0" w:space="0" w:color="auto"/>
      </w:divBdr>
    </w:div>
    <w:div w:id="2062052489">
      <w:bodyDiv w:val="1"/>
      <w:marLeft w:val="0"/>
      <w:marRight w:val="0"/>
      <w:marTop w:val="0"/>
      <w:marBottom w:val="0"/>
      <w:divBdr>
        <w:top w:val="none" w:sz="0" w:space="0" w:color="auto"/>
        <w:left w:val="none" w:sz="0" w:space="0" w:color="auto"/>
        <w:bottom w:val="none" w:sz="0" w:space="0" w:color="auto"/>
        <w:right w:val="none" w:sz="0" w:space="0" w:color="auto"/>
      </w:divBdr>
    </w:div>
    <w:div w:id="2073430245">
      <w:bodyDiv w:val="1"/>
      <w:marLeft w:val="0"/>
      <w:marRight w:val="0"/>
      <w:marTop w:val="0"/>
      <w:marBottom w:val="0"/>
      <w:divBdr>
        <w:top w:val="none" w:sz="0" w:space="0" w:color="auto"/>
        <w:left w:val="none" w:sz="0" w:space="0" w:color="auto"/>
        <w:bottom w:val="none" w:sz="0" w:space="0" w:color="auto"/>
        <w:right w:val="none" w:sz="0" w:space="0" w:color="auto"/>
      </w:divBdr>
    </w:div>
    <w:div w:id="2082022201">
      <w:bodyDiv w:val="1"/>
      <w:marLeft w:val="0"/>
      <w:marRight w:val="0"/>
      <w:marTop w:val="0"/>
      <w:marBottom w:val="0"/>
      <w:divBdr>
        <w:top w:val="none" w:sz="0" w:space="0" w:color="auto"/>
        <w:left w:val="none" w:sz="0" w:space="0" w:color="auto"/>
        <w:bottom w:val="none" w:sz="0" w:space="0" w:color="auto"/>
        <w:right w:val="none" w:sz="0" w:space="0" w:color="auto"/>
      </w:divBdr>
    </w:div>
    <w:div w:id="211119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hyperlink" Target="https://doi.org/10.3390/rs16152763" TargetMode="External"/><Relationship Id="rId39" Type="http://schemas.openxmlformats.org/officeDocument/2006/relationships/fontTable" Target="fontTable.xml"/><Relationship Id="rId21" Type="http://schemas.openxmlformats.org/officeDocument/2006/relationships/hyperlink" Target="https://doi.org/10.70382/tijsrat.v06i9.004" TargetMode="External"/><Relationship Id="rId34"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hyperlink" Target="https://doi.org/10.3390/rs10091368"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doi.org/10.1111/jfr3.12179" TargetMode="External"/><Relationship Id="rId29" Type="http://schemas.openxmlformats.org/officeDocument/2006/relationships/hyperlink" Target="https://doi.org/10.1080/01431161.2016.11923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Nouioua-Tarek-3?_tp=eyJjb250ZXh0Ijp7ImZpcnN0UGFnZSI6InB1YmxpY2F0aW9uIiwicGFnZSI6InB1YmxpY2F0aW9uIn19" TargetMode="External"/><Relationship Id="rId24" Type="http://schemas.openxmlformats.org/officeDocument/2006/relationships/hyperlink" Target="https://www.researchgate.net/publication/339106934_Prototyping_a_Social_Media_Flooding_Photo_Screening_System_Based_on_Deep_Learning?_tp=eyJjb250ZXh0Ijp7ImZpcnN0UGFnZSI6Il9kaXJlY3QiLCJwYWdlIjoiX2RpcmVjdCJ9fQ" TargetMode="External"/><Relationship Id="rId32" Type="http://schemas.openxmlformats.org/officeDocument/2006/relationships/hyperlink" Target="https://doi.org/10.1080/2150704X.2021.191595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yperlink" Target="https://www.researchgate.net/profile/Huan-Ning?_tp=eyJjb250ZXh0Ijp7ImZpcnN0UGFnZSI6Il9kaXJlY3QiLCJwYWdlIjoiX2RpcmVjdCJ9fQ" TargetMode="External"/><Relationship Id="rId28" Type="http://schemas.openxmlformats.org/officeDocument/2006/relationships/hyperlink" Target="https://www.researchgate.net/profile/Nouioua-Tarek-3?_tp=eyJjb250ZXh0Ijp7ImZpcnN0UGFnZSI6InB1YmxpY2F0aW9uIiwicGFnZSI6InB1YmxpY2F0aW9uIn19" TargetMode="External"/><Relationship Id="rId36" Type="http://schemas.openxmlformats.org/officeDocument/2006/relationships/footer" Target="footer2.xml"/><Relationship Id="rId10" Type="http://schemas.openxmlformats.org/officeDocument/2006/relationships/hyperlink" Target="https://www.researchgate.net/profile/Huan-Ning?_tp=eyJjb250ZXh0Ijp7ImZpcnN0UGFnZSI6Il9kaXJlY3QiLCJwYWdlIjoiX2RpcmVjdCJ9fQ" TargetMode="External"/><Relationship Id="rId19" Type="http://schemas.openxmlformats.org/officeDocument/2006/relationships/hyperlink" Target="https://doi.org/10.1080/19463138.2022.2159415" TargetMode="External"/><Relationship Id="rId31" Type="http://schemas.openxmlformats.org/officeDocument/2006/relationships/hyperlink" Target="https://doi.org/10.3390/rs1109107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hyperlink" Target="https://doi.org/10.1177/0956247808089156" TargetMode="External"/><Relationship Id="rId27" Type="http://schemas.openxmlformats.org/officeDocument/2006/relationships/hyperlink" Target="https://doi.org/10.1007/s11069-020-03926-1" TargetMode="External"/><Relationship Id="rId30" Type="http://schemas.openxmlformats.org/officeDocument/2006/relationships/hyperlink" Target="https://www.usgs.gov" TargetMode="External"/><Relationship Id="rId35" Type="http://schemas.openxmlformats.org/officeDocument/2006/relationships/footer" Target="footer1.xml"/><Relationship Id="rId8" Type="http://schemas.openxmlformats.org/officeDocument/2006/relationships/hyperlink" Target="https://www.researchgate.net/profile/Nouioua-Tarek-3?_tp=eyJjb250ZXh0Ijp7ImZpcnN0UGFnZSI6InB1YmxpY2F0aW9uIiwicGFnZSI6InB1YmxpY2F0aW9uIn19"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NG" sz="1100" b="1" i="0" u="none" strike="noStrike" cap="all" normalizeH="0" baseline="0">
                <a:solidFill>
                  <a:schemeClr val="bg2"/>
                </a:solidFill>
                <a:effectLst/>
              </a:rPr>
              <a:t>Cross-validation performance summary </a:t>
            </a:r>
            <a:endParaRPr lang="en-US" sz="1100">
              <a:solidFill>
                <a:schemeClr val="bg2"/>
              </a:solidFill>
            </a:endParaRPr>
          </a:p>
        </c:rich>
      </c:tx>
      <c:overlay val="0"/>
      <c:spPr>
        <a:solidFill>
          <a:schemeClr val="accent2"/>
        </a:solid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barChart>
        <c:barDir val="bar"/>
        <c:grouping val="clustered"/>
        <c:varyColors val="0"/>
        <c:ser>
          <c:idx val="0"/>
          <c:order val="0"/>
          <c:tx>
            <c:strRef>
              <c:f>Sheet1!$F$1</c:f>
              <c:strCache>
                <c:ptCount val="1"/>
                <c:pt idx="0">
                  <c:v>ROC-AUC</c:v>
                </c:pt>
              </c:strCache>
            </c:strRef>
          </c:tx>
          <c:spPr>
            <a:pattFill prst="ltUpDiag">
              <a:fgClr>
                <a:schemeClr val="accent2"/>
              </a:fgClr>
              <a:bgClr>
                <a:schemeClr val="lt1"/>
              </a:bgClr>
            </a:pattFill>
            <a:ln>
              <a:noFill/>
            </a:ln>
            <a:effectLst/>
          </c:spPr>
          <c:invertIfNegative val="0"/>
          <c:dLbls>
            <c:spPr>
              <a:solidFill>
                <a:schemeClr val="accent2">
                  <a:alpha val="7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2">
                          <a:lumMod val="60000"/>
                          <a:lumOff val="40000"/>
                        </a:schemeClr>
                      </a:solidFill>
                    </a:ln>
                    <a:effectLst/>
                  </c:spPr>
                </c15:leaderLines>
              </c:ext>
            </c:extLst>
          </c:dLbls>
          <c:cat>
            <c:multiLvlStrRef>
              <c:f>Sheet1!$A$2:$E$5</c:f>
              <c:multiLvlStrCache>
                <c:ptCount val="4"/>
                <c:lvl>
                  <c:pt idx="0">
                    <c:v>0.91 ± 0.01</c:v>
                  </c:pt>
                  <c:pt idx="1">
                    <c:v>0.91 ± 0.01</c:v>
                  </c:pt>
                  <c:pt idx="2">
                    <c:v>0.86 ± 0.02</c:v>
                  </c:pt>
                  <c:pt idx="3">
                    <c:v>0.87 ± 0.02</c:v>
                  </c:pt>
                </c:lvl>
                <c:lvl>
                  <c:pt idx="0">
                    <c:v>0.93 ± 0.02</c:v>
                  </c:pt>
                  <c:pt idx="1">
                    <c:v>0.91 ± 0.02</c:v>
                  </c:pt>
                  <c:pt idx="2">
                    <c:v>0.86 ± 0.02</c:v>
                  </c:pt>
                  <c:pt idx="3">
                    <c:v>0.87 ± 0.02</c:v>
                  </c:pt>
                </c:lvl>
                <c:lvl>
                  <c:pt idx="0">
                    <c:v>0.91 ± 0.01</c:v>
                  </c:pt>
                  <c:pt idx="1">
                    <c:v>0.92 ± 0.01</c:v>
                  </c:pt>
                  <c:pt idx="2">
                    <c:v>0.87 ± 0.02</c:v>
                  </c:pt>
                  <c:pt idx="3">
                    <c:v>0.88 ± 0.01</c:v>
                  </c:pt>
                </c:lvl>
                <c:lvl>
                  <c:pt idx="0">
                    <c:v>0.921 ± 0.012</c:v>
                  </c:pt>
                  <c:pt idx="1">
                    <c:v>0.918 ± 0.015</c:v>
                  </c:pt>
                  <c:pt idx="2">
                    <c:v>0.884 ± 0.019</c:v>
                  </c:pt>
                  <c:pt idx="3">
                    <c:v>0.892 ± 0.016</c:v>
                  </c:pt>
                </c:lvl>
                <c:lvl>
                  <c:pt idx="0">
                    <c:v>Random Forest</c:v>
                  </c:pt>
                  <c:pt idx="1">
                    <c:v>XGBoost</c:v>
                  </c:pt>
                  <c:pt idx="2">
                    <c:v>SVM</c:v>
                  </c:pt>
                  <c:pt idx="3">
                    <c:v>ANN</c:v>
                  </c:pt>
                </c:lvl>
              </c:multiLvlStrCache>
            </c:multiLvlStrRef>
          </c:cat>
          <c:val>
            <c:numRef>
              <c:f>Sheet1!$F$2:$F$5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2D6F-48F7-ABB7-0F3A209BA592}"/>
            </c:ext>
          </c:extLst>
        </c:ser>
        <c:dLbls>
          <c:dLblPos val="inEnd"/>
          <c:showLegendKey val="0"/>
          <c:showVal val="1"/>
          <c:showCatName val="0"/>
          <c:showSerName val="0"/>
          <c:showPercent val="0"/>
          <c:showBubbleSize val="0"/>
        </c:dLbls>
        <c:gapWidth val="269"/>
        <c:overlap val="-20"/>
        <c:axId val="555517680"/>
        <c:axId val="555513840"/>
      </c:barChart>
      <c:catAx>
        <c:axId val="555517680"/>
        <c:scaling>
          <c:orientation val="minMax"/>
        </c:scaling>
        <c:delete val="0"/>
        <c:axPos val="l"/>
        <c:numFmt formatCode="General" sourceLinked="1"/>
        <c:majorTickMark val="none"/>
        <c:minorTickMark val="none"/>
        <c:tickLblPos val="nextTo"/>
        <c:spPr>
          <a:noFill/>
          <a:ln w="3175" cap="flat" cmpd="sng" algn="ctr">
            <a:solidFill>
              <a:schemeClr val="accent2">
                <a:lumMod val="60000"/>
                <a:lumOff val="40000"/>
              </a:schemeClr>
            </a:solidFill>
            <a:round/>
          </a:ln>
          <a:effectLst/>
        </c:spPr>
        <c:txPr>
          <a:bodyPr rot="-60000000" spcFirstLastPara="1" vertOverflow="ellipsis" vert="horz" wrap="square" anchor="ctr" anchorCtr="1"/>
          <a:lstStyle/>
          <a:p>
            <a:pPr>
              <a:defRPr sz="800" b="0" i="0" u="none" strike="noStrike" kern="1200" cap="all" spc="150" normalizeH="0" baseline="0">
                <a:solidFill>
                  <a:schemeClr val="lt1"/>
                </a:solidFill>
                <a:latin typeface="+mn-lt"/>
                <a:ea typeface="+mn-ea"/>
                <a:cs typeface="+mn-cs"/>
              </a:defRPr>
            </a:pPr>
            <a:endParaRPr lang="en-US"/>
          </a:p>
        </c:txPr>
        <c:crossAx val="555513840"/>
        <c:crosses val="autoZero"/>
        <c:auto val="1"/>
        <c:lblAlgn val="ctr"/>
        <c:lblOffset val="100"/>
        <c:noMultiLvlLbl val="0"/>
      </c:catAx>
      <c:valAx>
        <c:axId val="555513840"/>
        <c:scaling>
          <c:orientation val="minMax"/>
        </c:scaling>
        <c:delete val="0"/>
        <c:axPos val="b"/>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555517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2"/>
    </a:solidFill>
    <a:ln w="9525" cap="flat" cmpd="sng" algn="ctr">
      <a:solidFill>
        <a:schemeClr val="accent2"/>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Average confusion matrices</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barChart>
        <c:barDir val="bar"/>
        <c:grouping val="stacked"/>
        <c:varyColors val="0"/>
        <c:ser>
          <c:idx val="0"/>
          <c:order val="0"/>
          <c:tx>
            <c:strRef>
              <c:f>Sheet2!$A$2</c:f>
              <c:strCache>
                <c:ptCount val="1"/>
                <c:pt idx="0">
                  <c:v>Random Forest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Sheet2!$B$2:$E$2</c:f>
              <c:numCache>
                <c:formatCode>General</c:formatCode>
                <c:ptCount val="4"/>
                <c:pt idx="0">
                  <c:v>65</c:v>
                </c:pt>
                <c:pt idx="1">
                  <c:v>5</c:v>
                </c:pt>
                <c:pt idx="2">
                  <c:v>7</c:v>
                </c:pt>
                <c:pt idx="3">
                  <c:v>83</c:v>
                </c:pt>
              </c:numCache>
            </c:numRef>
          </c:val>
          <c:extLst>
            <c:ext xmlns:c16="http://schemas.microsoft.com/office/drawing/2014/chart" uri="{C3380CC4-5D6E-409C-BE32-E72D297353CC}">
              <c16:uniqueId val="{00000000-4284-4AD0-A937-2E30E878373D}"/>
            </c:ext>
          </c:extLst>
        </c:ser>
        <c:ser>
          <c:idx val="1"/>
          <c:order val="1"/>
          <c:tx>
            <c:strRef>
              <c:f>Sheet2!$A$3</c:f>
              <c:strCache>
                <c:ptCount val="1"/>
                <c:pt idx="0">
                  <c:v>XGBoost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Sheet2!$B$3:$E$3</c:f>
              <c:numCache>
                <c:formatCode>General</c:formatCode>
                <c:ptCount val="4"/>
                <c:pt idx="0">
                  <c:v>64</c:v>
                </c:pt>
                <c:pt idx="1">
                  <c:v>6</c:v>
                </c:pt>
                <c:pt idx="2">
                  <c:v>6</c:v>
                </c:pt>
                <c:pt idx="3">
                  <c:v>84</c:v>
                </c:pt>
              </c:numCache>
            </c:numRef>
          </c:val>
          <c:extLst>
            <c:ext xmlns:c16="http://schemas.microsoft.com/office/drawing/2014/chart" uri="{C3380CC4-5D6E-409C-BE32-E72D297353CC}">
              <c16:uniqueId val="{00000001-4284-4AD0-A937-2E30E878373D}"/>
            </c:ext>
          </c:extLst>
        </c:ser>
        <c:ser>
          <c:idx val="2"/>
          <c:order val="2"/>
          <c:tx>
            <c:strRef>
              <c:f>Sheet2!$A$4</c:f>
              <c:strCache>
                <c:ptCount val="1"/>
                <c:pt idx="0">
                  <c:v>SVM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Sheet2!$B$4:$E$4</c:f>
              <c:numCache>
                <c:formatCode>General</c:formatCode>
                <c:ptCount val="4"/>
                <c:pt idx="0">
                  <c:v>60</c:v>
                </c:pt>
                <c:pt idx="1">
                  <c:v>10</c:v>
                </c:pt>
                <c:pt idx="2">
                  <c:v>11</c:v>
                </c:pt>
                <c:pt idx="3">
                  <c:v>79</c:v>
                </c:pt>
              </c:numCache>
            </c:numRef>
          </c:val>
          <c:extLst>
            <c:ext xmlns:c16="http://schemas.microsoft.com/office/drawing/2014/chart" uri="{C3380CC4-5D6E-409C-BE32-E72D297353CC}">
              <c16:uniqueId val="{00000002-4284-4AD0-A937-2E30E878373D}"/>
            </c:ext>
          </c:extLst>
        </c:ser>
        <c:ser>
          <c:idx val="3"/>
          <c:order val="3"/>
          <c:tx>
            <c:strRef>
              <c:f>Sheet2!$A$5</c:f>
              <c:strCache>
                <c:ptCount val="1"/>
                <c:pt idx="0">
                  <c:v>ANN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Sheet2!$B$1:$E$1</c:f>
              <c:strCache>
                <c:ptCount val="4"/>
                <c:pt idx="0">
                  <c:v>True Positive (TP)</c:v>
                </c:pt>
                <c:pt idx="1">
                  <c:v>False Negative (FN)</c:v>
                </c:pt>
                <c:pt idx="2">
                  <c:v>False Positive (FP)</c:v>
                </c:pt>
                <c:pt idx="3">
                  <c:v>True Negative (TN)</c:v>
                </c:pt>
              </c:strCache>
            </c:strRef>
          </c:cat>
          <c:val>
            <c:numRef>
              <c:f>Sheet2!$B$5:$E$5</c:f>
              <c:numCache>
                <c:formatCode>General</c:formatCode>
                <c:ptCount val="4"/>
                <c:pt idx="0">
                  <c:v>61</c:v>
                </c:pt>
                <c:pt idx="1">
                  <c:v>9</c:v>
                </c:pt>
                <c:pt idx="2">
                  <c:v>10</c:v>
                </c:pt>
                <c:pt idx="3">
                  <c:v>80</c:v>
                </c:pt>
              </c:numCache>
            </c:numRef>
          </c:val>
          <c:extLst>
            <c:ext xmlns:c16="http://schemas.microsoft.com/office/drawing/2014/chart" uri="{C3380CC4-5D6E-409C-BE32-E72D297353CC}">
              <c16:uniqueId val="{00000003-4284-4AD0-A937-2E30E878373D}"/>
            </c:ext>
          </c:extLst>
        </c:ser>
        <c:dLbls>
          <c:showLegendKey val="0"/>
          <c:showVal val="0"/>
          <c:showCatName val="0"/>
          <c:showSerName val="0"/>
          <c:showPercent val="0"/>
          <c:showBubbleSize val="0"/>
        </c:dLbls>
        <c:gapWidth val="150"/>
        <c:overlap val="100"/>
        <c:axId val="1032395840"/>
        <c:axId val="1032104432"/>
      </c:barChart>
      <c:catAx>
        <c:axId val="1032395840"/>
        <c:scaling>
          <c:orientation val="minMax"/>
        </c:scaling>
        <c:delete val="0"/>
        <c:axPos val="l"/>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2104432"/>
        <c:crosses val="autoZero"/>
        <c:auto val="1"/>
        <c:lblAlgn val="ctr"/>
        <c:lblOffset val="100"/>
        <c:noMultiLvlLbl val="0"/>
      </c:catAx>
      <c:valAx>
        <c:axId val="1032104432"/>
        <c:scaling>
          <c:orientation val="minMax"/>
        </c:scaling>
        <c:delete val="0"/>
        <c:axPos val="b"/>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239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solidFill>
      <a:schemeClr val="accent3">
        <a:lumMod val="75000"/>
      </a:schemeClr>
    </a:soli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DeLong statistical comparison of ROC-AUCs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Sheet3!$A$2</c:f>
              <c:strCache>
                <c:ptCount val="1"/>
                <c:pt idx="0">
                  <c:v>RF vs XGBoost</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Sheet3!$B$1:$D$1</c:f>
              <c:strCache>
                <c:ptCount val="3"/>
                <c:pt idx="0">
                  <c:v>Δ AUC</c:v>
                </c:pt>
                <c:pt idx="1">
                  <c:v>p-value</c:v>
                </c:pt>
                <c:pt idx="2">
                  <c:v>Significance</c:v>
                </c:pt>
              </c:strCache>
            </c:strRef>
          </c:cat>
          <c:val>
            <c:numRef>
              <c:f>Sheet3!$B$2:$D$2</c:f>
              <c:numCache>
                <c:formatCode>General</c:formatCode>
                <c:ptCount val="3"/>
                <c:pt idx="0">
                  <c:v>8.9999999999999993E-3</c:v>
                </c:pt>
                <c:pt idx="1">
                  <c:v>0.21</c:v>
                </c:pt>
                <c:pt idx="2">
                  <c:v>0</c:v>
                </c:pt>
              </c:numCache>
            </c:numRef>
          </c:val>
          <c:smooth val="0"/>
          <c:extLst>
            <c:ext xmlns:c16="http://schemas.microsoft.com/office/drawing/2014/chart" uri="{C3380CC4-5D6E-409C-BE32-E72D297353CC}">
              <c16:uniqueId val="{00000000-1F86-4CF4-9840-A96AD8692A6A}"/>
            </c:ext>
          </c:extLst>
        </c:ser>
        <c:ser>
          <c:idx val="1"/>
          <c:order val="1"/>
          <c:tx>
            <c:strRef>
              <c:f>Sheet3!$A$3</c:f>
              <c:strCache>
                <c:ptCount val="1"/>
                <c:pt idx="0">
                  <c:v>RF vs SVM</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Sheet3!$B$1:$D$1</c:f>
              <c:strCache>
                <c:ptCount val="3"/>
                <c:pt idx="0">
                  <c:v>Δ AUC</c:v>
                </c:pt>
                <c:pt idx="1">
                  <c:v>p-value</c:v>
                </c:pt>
                <c:pt idx="2">
                  <c:v>Significance</c:v>
                </c:pt>
              </c:strCache>
            </c:strRef>
          </c:cat>
          <c:val>
            <c:numRef>
              <c:f>Sheet3!$B$3:$D$3</c:f>
              <c:numCache>
                <c:formatCode>General</c:formatCode>
                <c:ptCount val="3"/>
                <c:pt idx="0">
                  <c:v>5.0999999999999997E-2</c:v>
                </c:pt>
                <c:pt idx="1">
                  <c:v>0</c:v>
                </c:pt>
                <c:pt idx="2">
                  <c:v>0</c:v>
                </c:pt>
              </c:numCache>
            </c:numRef>
          </c:val>
          <c:smooth val="0"/>
          <c:extLst>
            <c:ext xmlns:c16="http://schemas.microsoft.com/office/drawing/2014/chart" uri="{C3380CC4-5D6E-409C-BE32-E72D297353CC}">
              <c16:uniqueId val="{00000001-1F86-4CF4-9840-A96AD8692A6A}"/>
            </c:ext>
          </c:extLst>
        </c:ser>
        <c:ser>
          <c:idx val="2"/>
          <c:order val="2"/>
          <c:tx>
            <c:strRef>
              <c:f>Sheet3!$A$4</c:f>
              <c:strCache>
                <c:ptCount val="1"/>
                <c:pt idx="0">
                  <c:v>RF vs ANN</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Sheet3!$B$1:$D$1</c:f>
              <c:strCache>
                <c:ptCount val="3"/>
                <c:pt idx="0">
                  <c:v>Δ AUC</c:v>
                </c:pt>
                <c:pt idx="1">
                  <c:v>p-value</c:v>
                </c:pt>
                <c:pt idx="2">
                  <c:v>Significance</c:v>
                </c:pt>
              </c:strCache>
            </c:strRef>
          </c:cat>
          <c:val>
            <c:numRef>
              <c:f>Sheet3!$B$4:$D$4</c:f>
              <c:numCache>
                <c:formatCode>General</c:formatCode>
                <c:ptCount val="3"/>
                <c:pt idx="0">
                  <c:v>4.1000000000000002E-2</c:v>
                </c:pt>
                <c:pt idx="1">
                  <c:v>0</c:v>
                </c:pt>
                <c:pt idx="2">
                  <c:v>0</c:v>
                </c:pt>
              </c:numCache>
            </c:numRef>
          </c:val>
          <c:smooth val="0"/>
          <c:extLst>
            <c:ext xmlns:c16="http://schemas.microsoft.com/office/drawing/2014/chart" uri="{C3380CC4-5D6E-409C-BE32-E72D297353CC}">
              <c16:uniqueId val="{00000002-1F86-4CF4-9840-A96AD8692A6A}"/>
            </c:ext>
          </c:extLst>
        </c:ser>
        <c:ser>
          <c:idx val="3"/>
          <c:order val="3"/>
          <c:tx>
            <c:strRef>
              <c:f>Sheet3!$A$5</c:f>
              <c:strCache>
                <c:ptCount val="1"/>
                <c:pt idx="0">
                  <c:v>XGBoost vs SVM</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Sheet3!$B$1:$D$1</c:f>
              <c:strCache>
                <c:ptCount val="3"/>
                <c:pt idx="0">
                  <c:v>Δ AUC</c:v>
                </c:pt>
                <c:pt idx="1">
                  <c:v>p-value</c:v>
                </c:pt>
                <c:pt idx="2">
                  <c:v>Significance</c:v>
                </c:pt>
              </c:strCache>
            </c:strRef>
          </c:cat>
          <c:val>
            <c:numRef>
              <c:f>Sheet3!$B$5:$D$5</c:f>
              <c:numCache>
                <c:formatCode>General</c:formatCode>
                <c:ptCount val="3"/>
                <c:pt idx="0">
                  <c:v>4.2000000000000003E-2</c:v>
                </c:pt>
                <c:pt idx="1">
                  <c:v>0</c:v>
                </c:pt>
                <c:pt idx="2">
                  <c:v>0</c:v>
                </c:pt>
              </c:numCache>
            </c:numRef>
          </c:val>
          <c:smooth val="0"/>
          <c:extLst>
            <c:ext xmlns:c16="http://schemas.microsoft.com/office/drawing/2014/chart" uri="{C3380CC4-5D6E-409C-BE32-E72D297353CC}">
              <c16:uniqueId val="{00000003-1F86-4CF4-9840-A96AD8692A6A}"/>
            </c:ext>
          </c:extLst>
        </c:ser>
        <c:ser>
          <c:idx val="4"/>
          <c:order val="4"/>
          <c:tx>
            <c:strRef>
              <c:f>Sheet3!$A$6</c:f>
              <c:strCache>
                <c:ptCount val="1"/>
                <c:pt idx="0">
                  <c:v>XGBoost vs ANN</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Sheet3!$B$1:$D$1</c:f>
              <c:strCache>
                <c:ptCount val="3"/>
                <c:pt idx="0">
                  <c:v>Δ AUC</c:v>
                </c:pt>
                <c:pt idx="1">
                  <c:v>p-value</c:v>
                </c:pt>
                <c:pt idx="2">
                  <c:v>Significance</c:v>
                </c:pt>
              </c:strCache>
            </c:strRef>
          </c:cat>
          <c:val>
            <c:numRef>
              <c:f>Sheet3!$B$6:$D$6</c:f>
              <c:numCache>
                <c:formatCode>General</c:formatCode>
                <c:ptCount val="3"/>
                <c:pt idx="0">
                  <c:v>3.2000000000000001E-2</c:v>
                </c:pt>
                <c:pt idx="1">
                  <c:v>0</c:v>
                </c:pt>
                <c:pt idx="2">
                  <c:v>0</c:v>
                </c:pt>
              </c:numCache>
            </c:numRef>
          </c:val>
          <c:smooth val="0"/>
          <c:extLst>
            <c:ext xmlns:c16="http://schemas.microsoft.com/office/drawing/2014/chart" uri="{C3380CC4-5D6E-409C-BE32-E72D297353CC}">
              <c16:uniqueId val="{00000004-1F86-4CF4-9840-A96AD8692A6A}"/>
            </c:ext>
          </c:extLst>
        </c:ser>
        <c:dLbls>
          <c:showLegendKey val="0"/>
          <c:showVal val="0"/>
          <c:showCatName val="0"/>
          <c:showSerName val="0"/>
          <c:showPercent val="0"/>
          <c:showBubbleSize val="0"/>
        </c:dLbls>
        <c:marker val="1"/>
        <c:smooth val="0"/>
        <c:axId val="1205104640"/>
        <c:axId val="1205108480"/>
      </c:lineChart>
      <c:catAx>
        <c:axId val="12051046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205108480"/>
        <c:crosses val="autoZero"/>
        <c:auto val="1"/>
        <c:lblAlgn val="ctr"/>
        <c:lblOffset val="100"/>
        <c:noMultiLvlLbl val="0"/>
      </c:catAx>
      <c:valAx>
        <c:axId val="120510848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1046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Sheet4!$B$1</c:f>
              <c:strCache>
                <c:ptCount val="1"/>
                <c:pt idx="0">
                  <c:v>Random Forest Importance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514C-4CD9-A821-D1DF166D335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514C-4CD9-A821-D1DF166D335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514C-4CD9-A821-D1DF166D335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514C-4CD9-A821-D1DF166D335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Sheet4!$A$2:$A$5</c:f>
              <c:strCache>
                <c:ptCount val="4"/>
                <c:pt idx="0">
                  <c:v>VV Backscatter</c:v>
                </c:pt>
                <c:pt idx="1">
                  <c:v>VH Backscatter</c:v>
                </c:pt>
                <c:pt idx="2">
                  <c:v>NDVI</c:v>
                </c:pt>
                <c:pt idx="3">
                  <c:v>Elevation</c:v>
                </c:pt>
              </c:strCache>
            </c:strRef>
          </c:cat>
          <c:val>
            <c:numRef>
              <c:f>Sheet4!$B$2:$B$5</c:f>
              <c:numCache>
                <c:formatCode>General</c:formatCode>
                <c:ptCount val="4"/>
                <c:pt idx="0">
                  <c:v>0.45</c:v>
                </c:pt>
                <c:pt idx="1">
                  <c:v>0.35</c:v>
                </c:pt>
                <c:pt idx="2">
                  <c:v>0.2</c:v>
                </c:pt>
                <c:pt idx="3">
                  <c:v>0.12</c:v>
                </c:pt>
              </c:numCache>
            </c:numRef>
          </c:val>
          <c:extLst>
            <c:ext xmlns:c16="http://schemas.microsoft.com/office/drawing/2014/chart" uri="{C3380CC4-5D6E-409C-BE32-E72D297353CC}">
              <c16:uniqueId val="{00000008-514C-4CD9-A821-D1DF166D3356}"/>
            </c:ext>
          </c:extLst>
        </c:ser>
        <c:ser>
          <c:idx val="1"/>
          <c:order val="1"/>
          <c:tx>
            <c:strRef>
              <c:f>Sheet4!$C$1</c:f>
              <c:strCache>
                <c:ptCount val="1"/>
                <c:pt idx="0">
                  <c:v>XGBoost Importance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A-514C-4CD9-A821-D1DF166D3356}"/>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C-514C-4CD9-A821-D1DF166D3356}"/>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E-514C-4CD9-A821-D1DF166D3356}"/>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10-514C-4CD9-A821-D1DF166D33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Sheet4!$A$2:$A$5</c:f>
              <c:strCache>
                <c:ptCount val="4"/>
                <c:pt idx="0">
                  <c:v>VV Backscatter</c:v>
                </c:pt>
                <c:pt idx="1">
                  <c:v>VH Backscatter</c:v>
                </c:pt>
                <c:pt idx="2">
                  <c:v>NDVI</c:v>
                </c:pt>
                <c:pt idx="3">
                  <c:v>Elevation</c:v>
                </c:pt>
              </c:strCache>
            </c:strRef>
          </c:cat>
          <c:val>
            <c:numRef>
              <c:f>Sheet4!$C$2:$C$5</c:f>
              <c:numCache>
                <c:formatCode>General</c:formatCode>
                <c:ptCount val="4"/>
                <c:pt idx="0">
                  <c:v>0.42</c:v>
                </c:pt>
                <c:pt idx="1">
                  <c:v>0.37</c:v>
                </c:pt>
                <c:pt idx="2">
                  <c:v>0.21</c:v>
                </c:pt>
                <c:pt idx="3">
                  <c:v>0.1</c:v>
                </c:pt>
              </c:numCache>
            </c:numRef>
          </c:val>
          <c:extLst>
            <c:ext xmlns:c16="http://schemas.microsoft.com/office/drawing/2014/chart" uri="{C3380CC4-5D6E-409C-BE32-E72D297353CC}">
              <c16:uniqueId val="{00000011-514C-4CD9-A821-D1DF166D3356}"/>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65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Spatial flood susceptibility zoning</a:t>
            </a:r>
          </a:p>
        </c:rich>
      </c:tx>
      <c:layout>
        <c:manualLayout>
          <c:xMode val="edge"/>
          <c:yMode val="edge"/>
          <c:x val="0.25162489063867016"/>
          <c:y val="2.3148148148148147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Sheet5!$A$2</c:f>
              <c:strCache>
                <c:ptCount val="1"/>
                <c:pt idx="0">
                  <c:v>Very High</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Sheet5!$B$2:$C$2</c:f>
              <c:numCache>
                <c:formatCode>General</c:formatCode>
                <c:ptCount val="2"/>
                <c:pt idx="0" formatCode="0%">
                  <c:v>0.18</c:v>
                </c:pt>
                <c:pt idx="1">
                  <c:v>0</c:v>
                </c:pt>
              </c:numCache>
            </c:numRef>
          </c:val>
          <c:extLst>
            <c:ext xmlns:c16="http://schemas.microsoft.com/office/drawing/2014/chart" uri="{C3380CC4-5D6E-409C-BE32-E72D297353CC}">
              <c16:uniqueId val="{00000000-A195-41CE-A104-471DDA8B0292}"/>
            </c:ext>
          </c:extLst>
        </c:ser>
        <c:ser>
          <c:idx val="1"/>
          <c:order val="1"/>
          <c:tx>
            <c:strRef>
              <c:f>Sheet5!$A$3</c:f>
              <c:strCache>
                <c:ptCount val="1"/>
                <c:pt idx="0">
                  <c:v>High</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Sheet5!$B$3:$C$3</c:f>
              <c:numCache>
                <c:formatCode>General</c:formatCode>
                <c:ptCount val="2"/>
                <c:pt idx="0" formatCode="0%">
                  <c:v>0.32</c:v>
                </c:pt>
                <c:pt idx="1">
                  <c:v>0</c:v>
                </c:pt>
              </c:numCache>
            </c:numRef>
          </c:val>
          <c:extLst>
            <c:ext xmlns:c16="http://schemas.microsoft.com/office/drawing/2014/chart" uri="{C3380CC4-5D6E-409C-BE32-E72D297353CC}">
              <c16:uniqueId val="{00000001-A195-41CE-A104-471DDA8B0292}"/>
            </c:ext>
          </c:extLst>
        </c:ser>
        <c:ser>
          <c:idx val="2"/>
          <c:order val="2"/>
          <c:tx>
            <c:strRef>
              <c:f>Sheet5!$A$4</c:f>
              <c:strCache>
                <c:ptCount val="1"/>
                <c:pt idx="0">
                  <c:v>Moderate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Sheet5!$B$4:$C$4</c:f>
              <c:numCache>
                <c:formatCode>General</c:formatCode>
                <c:ptCount val="2"/>
                <c:pt idx="0" formatCode="0%">
                  <c:v>0.28000000000000003</c:v>
                </c:pt>
                <c:pt idx="1">
                  <c:v>0</c:v>
                </c:pt>
              </c:numCache>
            </c:numRef>
          </c:val>
          <c:extLst>
            <c:ext xmlns:c16="http://schemas.microsoft.com/office/drawing/2014/chart" uri="{C3380CC4-5D6E-409C-BE32-E72D297353CC}">
              <c16:uniqueId val="{00000002-A195-41CE-A104-471DDA8B0292}"/>
            </c:ext>
          </c:extLst>
        </c:ser>
        <c:ser>
          <c:idx val="3"/>
          <c:order val="3"/>
          <c:tx>
            <c:strRef>
              <c:f>Sheet5!$A$5</c:f>
              <c:strCache>
                <c:ptCount val="1"/>
                <c:pt idx="0">
                  <c:v>Low</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Sheet5!$B$1:$C$1</c:f>
              <c:strCache>
                <c:ptCount val="2"/>
                <c:pt idx="0">
                  <c:v>% of Lagos Area</c:v>
                </c:pt>
                <c:pt idx="1">
                  <c:v>Major Locations Identified</c:v>
                </c:pt>
              </c:strCache>
            </c:strRef>
          </c:cat>
          <c:val>
            <c:numRef>
              <c:f>Sheet5!$B$5:$C$5</c:f>
              <c:numCache>
                <c:formatCode>General</c:formatCode>
                <c:ptCount val="2"/>
                <c:pt idx="0" formatCode="0%">
                  <c:v>0.22</c:v>
                </c:pt>
                <c:pt idx="1">
                  <c:v>0</c:v>
                </c:pt>
              </c:numCache>
            </c:numRef>
          </c:val>
          <c:extLst>
            <c:ext xmlns:c16="http://schemas.microsoft.com/office/drawing/2014/chart" uri="{C3380CC4-5D6E-409C-BE32-E72D297353CC}">
              <c16:uniqueId val="{00000003-A195-41CE-A104-471DDA8B0292}"/>
            </c:ext>
          </c:extLst>
        </c:ser>
        <c:dLbls>
          <c:dLblPos val="inEnd"/>
          <c:showLegendKey val="0"/>
          <c:showVal val="1"/>
          <c:showCatName val="0"/>
          <c:showSerName val="0"/>
          <c:showPercent val="0"/>
          <c:showBubbleSize val="0"/>
        </c:dLbls>
        <c:gapWidth val="65"/>
        <c:axId val="1199726192"/>
        <c:axId val="1199726672"/>
      </c:barChart>
      <c:catAx>
        <c:axId val="11997261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199726672"/>
        <c:crosses val="autoZero"/>
        <c:auto val="1"/>
        <c:lblAlgn val="ctr"/>
        <c:lblOffset val="100"/>
        <c:noMultiLvlLbl val="0"/>
      </c:catAx>
      <c:valAx>
        <c:axId val="1199726672"/>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1997261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sz="1600" b="1" i="0" u="none" strike="noStrike" baseline="0">
                <a:effectLst>
                  <a:outerShdw blurRad="50800" dist="38100" dir="5400000" algn="t" rotWithShape="0">
                    <a:prstClr val="black">
                      <a:alpha val="40000"/>
                    </a:prstClr>
                  </a:outerShdw>
                </a:effectLst>
              </a:rPr>
              <a:t>Urban vs. Peri-urban performance comparison</a:t>
            </a:r>
            <a:endParaRPr lang="en-US"/>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cked"/>
        <c:varyColors val="0"/>
        <c:ser>
          <c:idx val="0"/>
          <c:order val="0"/>
          <c:tx>
            <c:strRef>
              <c:f>Sheet6!$A$2</c:f>
              <c:strCache>
                <c:ptCount val="1"/>
                <c:pt idx="0">
                  <c:v>Random Forest</c:v>
                </c:pt>
              </c:strCache>
            </c:strRef>
          </c:tx>
          <c:spPr>
            <a:ln w="34925" cap="rnd">
              <a:solidFill>
                <a:schemeClr val="accent1"/>
              </a:solidFill>
              <a:round/>
            </a:ln>
            <a:effectLst>
              <a:outerShdw blurRad="57150" dist="19050" dir="5400000" algn="ctr" rotWithShape="0">
                <a:srgbClr val="000000">
                  <a:alpha val="63000"/>
                </a:srgbClr>
              </a:outerShdw>
            </a:effectLst>
          </c:spPr>
          <c:marker>
            <c:symbol val="diamond"/>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Sheet6!$B$2:$D$2</c:f>
              <c:numCache>
                <c:formatCode>General</c:formatCode>
                <c:ptCount val="3"/>
                <c:pt idx="0">
                  <c:v>0.91</c:v>
                </c:pt>
                <c:pt idx="1">
                  <c:v>0.94</c:v>
                </c:pt>
                <c:pt idx="2">
                  <c:v>0</c:v>
                </c:pt>
              </c:numCache>
            </c:numRef>
          </c:val>
          <c:smooth val="0"/>
          <c:extLst>
            <c:ext xmlns:c16="http://schemas.microsoft.com/office/drawing/2014/chart" uri="{C3380CC4-5D6E-409C-BE32-E72D297353CC}">
              <c16:uniqueId val="{00000000-4A79-4B09-94B7-4F7FCA3C955D}"/>
            </c:ext>
          </c:extLst>
        </c:ser>
        <c:ser>
          <c:idx val="1"/>
          <c:order val="1"/>
          <c:tx>
            <c:strRef>
              <c:f>Sheet6!$A$3</c:f>
              <c:strCache>
                <c:ptCount val="1"/>
                <c:pt idx="0">
                  <c:v>XGBoost</c:v>
                </c:pt>
              </c:strCache>
            </c:strRef>
          </c:tx>
          <c:spPr>
            <a:ln w="34925" cap="rnd">
              <a:solidFill>
                <a:schemeClr val="accent2"/>
              </a:solidFill>
              <a:round/>
            </a:ln>
            <a:effectLst>
              <a:outerShdw blurRad="57150" dist="19050" dir="5400000" algn="ctr" rotWithShape="0">
                <a:srgbClr val="000000">
                  <a:alpha val="63000"/>
                </a:srgbClr>
              </a:outerShdw>
            </a:effectLst>
          </c:spPr>
          <c:marker>
            <c:symbol val="squar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Sheet6!$B$3:$D$3</c:f>
              <c:numCache>
                <c:formatCode>General</c:formatCode>
                <c:ptCount val="3"/>
                <c:pt idx="0">
                  <c:v>0.92</c:v>
                </c:pt>
                <c:pt idx="1">
                  <c:v>0.91</c:v>
                </c:pt>
                <c:pt idx="2">
                  <c:v>0</c:v>
                </c:pt>
              </c:numCache>
            </c:numRef>
          </c:val>
          <c:smooth val="0"/>
          <c:extLst>
            <c:ext xmlns:c16="http://schemas.microsoft.com/office/drawing/2014/chart" uri="{C3380CC4-5D6E-409C-BE32-E72D297353CC}">
              <c16:uniqueId val="{00000001-4A79-4B09-94B7-4F7FCA3C955D}"/>
            </c:ext>
          </c:extLst>
        </c:ser>
        <c:ser>
          <c:idx val="2"/>
          <c:order val="2"/>
          <c:tx>
            <c:strRef>
              <c:f>Sheet6!$A$4</c:f>
              <c:strCache>
                <c:ptCount val="1"/>
                <c:pt idx="0">
                  <c:v>SVM</c:v>
                </c:pt>
              </c:strCache>
            </c:strRef>
          </c:tx>
          <c:spPr>
            <a:ln w="34925" cap="rnd">
              <a:solidFill>
                <a:schemeClr val="accent3"/>
              </a:solidFill>
              <a:round/>
            </a:ln>
            <a:effectLst>
              <a:outerShdw blurRad="57150" dist="19050" dir="5400000" algn="ctr" rotWithShape="0">
                <a:srgbClr val="000000">
                  <a:alpha val="63000"/>
                </a:srgbClr>
              </a:outerShdw>
            </a:effectLst>
          </c:spPr>
          <c:marker>
            <c:symbol val="triang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Sheet6!$B$4:$D$4</c:f>
              <c:numCache>
                <c:formatCode>General</c:formatCode>
                <c:ptCount val="3"/>
                <c:pt idx="0">
                  <c:v>0.87</c:v>
                </c:pt>
                <c:pt idx="1">
                  <c:v>0.9</c:v>
                </c:pt>
                <c:pt idx="2">
                  <c:v>0</c:v>
                </c:pt>
              </c:numCache>
            </c:numRef>
          </c:val>
          <c:smooth val="0"/>
          <c:extLst>
            <c:ext xmlns:c16="http://schemas.microsoft.com/office/drawing/2014/chart" uri="{C3380CC4-5D6E-409C-BE32-E72D297353CC}">
              <c16:uniqueId val="{00000002-4A79-4B09-94B7-4F7FCA3C955D}"/>
            </c:ext>
          </c:extLst>
        </c:ser>
        <c:ser>
          <c:idx val="3"/>
          <c:order val="3"/>
          <c:tx>
            <c:strRef>
              <c:f>Sheet6!$A$5</c:f>
              <c:strCache>
                <c:ptCount val="1"/>
                <c:pt idx="0">
                  <c:v>ANN</c:v>
                </c:pt>
              </c:strCache>
            </c:strRef>
          </c:tx>
          <c:spPr>
            <a:ln w="34925" cap="rnd">
              <a:solidFill>
                <a:schemeClr val="accent4"/>
              </a:solidFill>
              <a:round/>
            </a:ln>
            <a:effectLst>
              <a:outerShdw blurRad="57150" dist="19050" dir="5400000" algn="ctr" rotWithShape="0">
                <a:srgbClr val="000000">
                  <a:alpha val="63000"/>
                </a:srgbClr>
              </a:outerShdw>
            </a:effectLst>
          </c:spPr>
          <c:marker>
            <c:symbol val="x"/>
            <c:size val="5"/>
            <c:spPr>
              <a:noFill/>
              <a:ln w="9525">
                <a:solidFill>
                  <a:schemeClr val="accent4"/>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Sheet6!$B$1:$D$1</c:f>
              <c:strCache>
                <c:ptCount val="3"/>
                <c:pt idx="0">
                  <c:v>Urban Accuracy</c:v>
                </c:pt>
                <c:pt idx="1">
                  <c:v>Peri-Urban Accuracy</c:v>
                </c:pt>
                <c:pt idx="2">
                  <c:v>Notable Observation</c:v>
                </c:pt>
              </c:strCache>
            </c:strRef>
          </c:cat>
          <c:val>
            <c:numRef>
              <c:f>Sheet6!$B$5:$D$5</c:f>
              <c:numCache>
                <c:formatCode>General</c:formatCode>
                <c:ptCount val="3"/>
                <c:pt idx="0">
                  <c:v>0.88</c:v>
                </c:pt>
                <c:pt idx="1">
                  <c:v>0.89</c:v>
                </c:pt>
                <c:pt idx="2">
                  <c:v>0</c:v>
                </c:pt>
              </c:numCache>
            </c:numRef>
          </c:val>
          <c:smooth val="0"/>
          <c:extLst>
            <c:ext xmlns:c16="http://schemas.microsoft.com/office/drawing/2014/chart" uri="{C3380CC4-5D6E-409C-BE32-E72D297353CC}">
              <c16:uniqueId val="{00000003-4A79-4B09-94B7-4F7FCA3C955D}"/>
            </c:ext>
          </c:extLst>
        </c:ser>
        <c:dLbls>
          <c:dLblPos val="t"/>
          <c:showLegendKey val="0"/>
          <c:showVal val="1"/>
          <c:showCatName val="0"/>
          <c:showSerName val="0"/>
          <c:showPercent val="0"/>
          <c:showBubbleSize val="0"/>
        </c:dLbls>
        <c:marker val="1"/>
        <c:smooth val="0"/>
        <c:axId val="1034547392"/>
        <c:axId val="1236224976"/>
      </c:lineChart>
      <c:catAx>
        <c:axId val="103454739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236224976"/>
        <c:crosses val="autoZero"/>
        <c:auto val="1"/>
        <c:lblAlgn val="ctr"/>
        <c:lblOffset val="100"/>
        <c:noMultiLvlLbl val="0"/>
      </c:catAx>
      <c:valAx>
        <c:axId val="12362249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34547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solidFill>
      <a:schemeClr val="tx1">
        <a:lumMod val="50000"/>
        <a:lumOff val="50000"/>
      </a:scheme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6">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styleClr val="auto"/>
    </cs:fillRef>
    <cs:effectRef idx="0"/>
    <cs:fontRef idx="minor">
      <a:schemeClr val="lt1"/>
    </cs:fontRef>
    <cs:spPr>
      <a:solidFill>
        <a:schemeClr val="phClr">
          <a:alpha val="70000"/>
        </a:schemeClr>
      </a:solidFill>
    </cs:spPr>
    <cs:defRPr sz="900"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04">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4948</TotalTime>
  <Pages>24</Pages>
  <Words>8755</Words>
  <Characters>49908</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190</cp:revision>
  <dcterms:created xsi:type="dcterms:W3CDTF">2025-06-21T08:53:00Z</dcterms:created>
  <dcterms:modified xsi:type="dcterms:W3CDTF">2025-11-19T12:29:00Z</dcterms:modified>
</cp:coreProperties>
</file>