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ABA82" w14:textId="4ACD3D95" w:rsidR="000C2C94" w:rsidRPr="000C2C94" w:rsidRDefault="000C2C94" w:rsidP="000C2C94">
      <w:pPr>
        <w:pStyle w:val="Title"/>
        <w:jc w:val="left"/>
        <w:rPr>
          <w:rFonts w:ascii="Arial" w:hAnsi="Arial" w:cs="Arial"/>
          <w:sz w:val="32"/>
          <w:szCs w:val="32"/>
          <w:u w:val="single"/>
        </w:rPr>
      </w:pPr>
      <w:r w:rsidRPr="000C2C94">
        <w:rPr>
          <w:rFonts w:ascii="Arial" w:hAnsi="Arial" w:cs="Arial"/>
          <w:sz w:val="32"/>
          <w:szCs w:val="32"/>
          <w:u w:val="single"/>
        </w:rPr>
        <w:t>Original Research Article</w:t>
      </w:r>
    </w:p>
    <w:p w14:paraId="49BC9A2A" w14:textId="77777777" w:rsidR="000C2C94" w:rsidRDefault="000C2C94" w:rsidP="006F750A">
      <w:pPr>
        <w:pStyle w:val="Title"/>
        <w:rPr>
          <w:rFonts w:ascii="Arial" w:hAnsi="Arial" w:cs="Arial"/>
          <w:szCs w:val="36"/>
        </w:rPr>
      </w:pPr>
    </w:p>
    <w:p w14:paraId="75BED577" w14:textId="6A152F18" w:rsidR="006F750A" w:rsidRPr="00B821FC" w:rsidRDefault="006F750A" w:rsidP="006F750A">
      <w:pPr>
        <w:pStyle w:val="Title"/>
        <w:rPr>
          <w:rFonts w:ascii="Arial" w:hAnsi="Arial" w:cs="Arial"/>
          <w:szCs w:val="36"/>
        </w:rPr>
      </w:pPr>
      <w:r w:rsidRPr="00B821FC">
        <w:rPr>
          <w:rFonts w:ascii="Arial" w:hAnsi="Arial" w:cs="Arial"/>
          <w:szCs w:val="36"/>
        </w:rPr>
        <w:t>Understanding Consumer Perceptions of Local Horticultural Products Using Factor Analysis in Kumaon</w:t>
      </w:r>
    </w:p>
    <w:p w14:paraId="2847CA98" w14:textId="1A93B422" w:rsidR="006F750A" w:rsidRDefault="006F750A" w:rsidP="006F750A">
      <w:pPr>
        <w:pStyle w:val="Affiliation"/>
        <w:spacing w:after="0" w:line="240" w:lineRule="auto"/>
        <w:jc w:val="both"/>
        <w:rPr>
          <w:rFonts w:ascii="Arial" w:hAnsi="Arial" w:cs="Arial"/>
        </w:rPr>
      </w:pPr>
    </w:p>
    <w:p w14:paraId="2F723214" w14:textId="77777777" w:rsidR="004E6A0A" w:rsidRPr="00FB3A86" w:rsidRDefault="004E6A0A" w:rsidP="006F750A">
      <w:pPr>
        <w:pStyle w:val="Affiliation"/>
        <w:spacing w:after="0" w:line="240" w:lineRule="auto"/>
        <w:jc w:val="both"/>
        <w:rPr>
          <w:rFonts w:ascii="Arial" w:hAnsi="Arial" w:cs="Arial"/>
        </w:rPr>
      </w:pPr>
    </w:p>
    <w:p w14:paraId="6533EA8E" w14:textId="77777777" w:rsidR="006F750A" w:rsidRPr="00FB3A86" w:rsidRDefault="00EF7C56" w:rsidP="006F750A">
      <w:pPr>
        <w:pStyle w:val="Copyright"/>
        <w:spacing w:after="0" w:line="240" w:lineRule="auto"/>
        <w:jc w:val="both"/>
        <w:rPr>
          <w:rFonts w:ascii="Arial" w:hAnsi="Arial" w:cs="Arial"/>
        </w:rPr>
        <w:sectPr w:rsidR="006F750A" w:rsidRPr="00FB3A86" w:rsidSect="004E6A0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79341B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6F750A">
        <w:rPr>
          <w:rFonts w:ascii="Arial" w:hAnsi="Arial" w:cs="Arial"/>
        </w:rPr>
        <w:t>.</w:t>
      </w:r>
    </w:p>
    <w:p w14:paraId="13BA326A" w14:textId="77777777" w:rsidR="006F750A" w:rsidRDefault="006F750A" w:rsidP="000A1ADF">
      <w:pPr>
        <w:spacing w:line="360" w:lineRule="auto"/>
        <w:ind w:right="431"/>
        <w:rPr>
          <w:rFonts w:ascii="Arial" w:hAnsi="Arial" w:cs="Arial"/>
          <w:b/>
          <w:sz w:val="22"/>
          <w:szCs w:val="22"/>
        </w:rPr>
      </w:pPr>
      <w:r w:rsidRPr="0057655B">
        <w:rPr>
          <w:rFonts w:ascii="Arial" w:hAnsi="Arial" w:cs="Arial"/>
          <w:b/>
          <w:sz w:val="22"/>
          <w:szCs w:val="22"/>
        </w:rPr>
        <w:t>ABSTRACT</w:t>
      </w:r>
    </w:p>
    <w:p w14:paraId="692CC467" w14:textId="77777777" w:rsidR="000A1ADF" w:rsidRPr="00FB3A86" w:rsidRDefault="000A1ADF" w:rsidP="000A1ADF">
      <w:pPr>
        <w:spacing w:line="360" w:lineRule="auto"/>
        <w:ind w:right="431"/>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6F750A" w:rsidRPr="001E44FE" w14:paraId="06F2BD49" w14:textId="77777777" w:rsidTr="00F34EE3">
        <w:tc>
          <w:tcPr>
            <w:tcW w:w="9576" w:type="dxa"/>
            <w:shd w:val="clear" w:color="auto" w:fill="F2F2F2"/>
          </w:tcPr>
          <w:p w14:paraId="75779096" w14:textId="77777777" w:rsidR="006F750A" w:rsidRPr="00B821FC" w:rsidRDefault="006F750A" w:rsidP="00F34EE3">
            <w:pPr>
              <w:pStyle w:val="Body"/>
              <w:spacing w:after="0"/>
              <w:rPr>
                <w:rFonts w:ascii="Arial" w:eastAsia="Calibri" w:hAnsi="Arial" w:cs="Arial"/>
                <w:szCs w:val="22"/>
              </w:rPr>
            </w:pPr>
            <w:r w:rsidRPr="00B821FC">
              <w:rPr>
                <w:rFonts w:ascii="Arial" w:hAnsi="Arial" w:cs="Arial"/>
              </w:rPr>
              <w:t xml:space="preserve">This study aims to analyze consumer perceptions of locally produced horticultural products in the Kumaon region of Uttarakhand and to identify the factors that shape their market acceptance and commercialization potential. A cross-sectional descriptive design was employed, and data were collected over a four-week period in May 2024 from major horticultural markets located in the districts of </w:t>
            </w:r>
            <w:proofErr w:type="spellStart"/>
            <w:r w:rsidRPr="00B821FC">
              <w:rPr>
                <w:rFonts w:ascii="Arial" w:hAnsi="Arial" w:cs="Arial"/>
              </w:rPr>
              <w:t>Almora</w:t>
            </w:r>
            <w:proofErr w:type="spellEnd"/>
            <w:r w:rsidRPr="00B821FC">
              <w:rPr>
                <w:rFonts w:ascii="Arial" w:hAnsi="Arial" w:cs="Arial"/>
              </w:rPr>
              <w:t xml:space="preserve">, Nainital, </w:t>
            </w:r>
            <w:proofErr w:type="spellStart"/>
            <w:r w:rsidRPr="00B821FC">
              <w:rPr>
                <w:rFonts w:ascii="Arial" w:hAnsi="Arial" w:cs="Arial"/>
              </w:rPr>
              <w:t>Bageshwar</w:t>
            </w:r>
            <w:proofErr w:type="spellEnd"/>
            <w:r w:rsidRPr="00B821FC">
              <w:rPr>
                <w:rFonts w:ascii="Arial" w:hAnsi="Arial" w:cs="Arial"/>
              </w:rPr>
              <w:t xml:space="preserve">, </w:t>
            </w:r>
            <w:proofErr w:type="spellStart"/>
            <w:r w:rsidRPr="00B821FC">
              <w:rPr>
                <w:rFonts w:ascii="Arial" w:hAnsi="Arial" w:cs="Arial"/>
              </w:rPr>
              <w:t>Champawat</w:t>
            </w:r>
            <w:proofErr w:type="spellEnd"/>
            <w:r w:rsidRPr="00B821FC">
              <w:rPr>
                <w:rFonts w:ascii="Arial" w:hAnsi="Arial" w:cs="Arial"/>
              </w:rPr>
              <w:t>, Pithoragarh, and Udham Singh Nagar. Using simple random sampling, 360 consumers were approached, and 339 valid responses were obtained through a structured questionnaire. Six product attributes- market availability, price competitiveness, product presentation; nutritional quality, natural freshness, and flavor profile- were assessed using a five-point Likert scale. Reliability of the scale was established using Cronbach’s Alpha, and sampling adequacy was confirmed with a KMO value of 0.826 and a significant Bartlett’s Test (p &lt; 0.001). Exploratory Factor Analysis with Varimax rotation extracted two components with eigenvalues greater than 1, jointly explaining 61.32% of the total variance. Climate-Dependent Factors (nutritional quality, natural freshness, and flavor profile) showed comparatively higher consumer satisfaction, with mean scores ranging from 2.76 to 2.81, whereas Human-Dependent Factors (availability, pricing, and presentation) recorded lower ratings between 2.41 and 2.58. The results indicate that consumers strongly value the intrinsic, climate-linked qualities of hill-grown produce but perceive weaknesses in market-managed attributes such as availability and pricing. The study concludes that improving supply-chain efficiency, pricing mechanisms, and product presentation could substantially enhance the commercialization prospects of local horticultural products and strengthen livelihood opportunities in the Himalayan hill economy.</w:t>
            </w:r>
          </w:p>
        </w:tc>
      </w:tr>
    </w:tbl>
    <w:p w14:paraId="2954577D" w14:textId="77777777" w:rsidR="006F750A" w:rsidRDefault="006F750A" w:rsidP="006F750A">
      <w:pPr>
        <w:pStyle w:val="Body"/>
        <w:spacing w:after="0"/>
        <w:rPr>
          <w:rFonts w:ascii="Arial" w:hAnsi="Arial" w:cs="Arial"/>
          <w:i/>
        </w:rPr>
      </w:pPr>
    </w:p>
    <w:p w14:paraId="23AD1234" w14:textId="77777777" w:rsidR="006F750A" w:rsidRPr="0057655B" w:rsidRDefault="006F750A" w:rsidP="006F750A">
      <w:pPr>
        <w:ind w:right="-14"/>
        <w:jc w:val="both"/>
        <w:rPr>
          <w:rFonts w:ascii="Arial" w:hAnsi="Arial" w:cs="Arial"/>
          <w:i/>
        </w:rPr>
      </w:pPr>
      <w:r w:rsidRPr="0057655B">
        <w:rPr>
          <w:rStyle w:val="Strong"/>
          <w:rFonts w:ascii="Arial" w:hAnsi="Arial" w:cs="Arial"/>
          <w:i/>
        </w:rPr>
        <w:t>K</w:t>
      </w:r>
      <w:r>
        <w:rPr>
          <w:rStyle w:val="Strong"/>
          <w:rFonts w:ascii="Arial" w:hAnsi="Arial" w:cs="Arial"/>
          <w:i/>
        </w:rPr>
        <w:t>eywords</w:t>
      </w:r>
      <w:r w:rsidRPr="0057655B">
        <w:rPr>
          <w:rStyle w:val="Strong"/>
          <w:rFonts w:ascii="Arial" w:hAnsi="Arial" w:cs="Arial"/>
          <w:i/>
        </w:rPr>
        <w:t>:</w:t>
      </w:r>
      <w:r w:rsidRPr="0057655B">
        <w:rPr>
          <w:rFonts w:ascii="Arial" w:hAnsi="Arial" w:cs="Arial"/>
          <w:i/>
        </w:rPr>
        <w:t xml:space="preserve"> Consumer perception; Exploratory Factor Analysis; Horticultural products; Kumaon region; Market attributes; Climate-dependent factors; Human-dependent factors</w:t>
      </w:r>
    </w:p>
    <w:p w14:paraId="41A02CC8" w14:textId="77777777" w:rsidR="006F750A" w:rsidRDefault="006F750A" w:rsidP="006F750A">
      <w:pPr>
        <w:pStyle w:val="Body"/>
        <w:spacing w:after="0"/>
        <w:rPr>
          <w:rFonts w:ascii="Arial" w:hAnsi="Arial" w:cs="Arial"/>
          <w:i/>
        </w:rPr>
      </w:pPr>
    </w:p>
    <w:p w14:paraId="38E2D0F8" w14:textId="77777777" w:rsidR="006F750A" w:rsidRDefault="006F750A" w:rsidP="006F750A">
      <w:pPr>
        <w:pStyle w:val="Body"/>
        <w:spacing w:after="0"/>
        <w:rPr>
          <w:rFonts w:ascii="Arial" w:hAnsi="Arial" w:cs="Arial"/>
          <w:i/>
          <w:sz w:val="18"/>
        </w:rPr>
      </w:pPr>
    </w:p>
    <w:p w14:paraId="70778B8A" w14:textId="77777777" w:rsidR="006F750A" w:rsidRDefault="006F750A" w:rsidP="006F750A">
      <w:pPr>
        <w:pStyle w:val="AbstHead"/>
        <w:spacing w:after="0"/>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353117FB" w14:textId="77777777" w:rsidR="006F750A" w:rsidRPr="00FB3A86" w:rsidRDefault="006F750A" w:rsidP="006F750A">
      <w:pPr>
        <w:pStyle w:val="AbstHead"/>
        <w:spacing w:after="0"/>
        <w:jc w:val="both"/>
        <w:rPr>
          <w:rFonts w:ascii="Arial" w:hAnsi="Arial" w:cs="Arial"/>
        </w:rPr>
      </w:pPr>
    </w:p>
    <w:p w14:paraId="3771D2EC" w14:textId="77777777" w:rsidR="006F750A" w:rsidRPr="004D3496" w:rsidRDefault="006F750A" w:rsidP="006F750A">
      <w:pPr>
        <w:ind w:right="-14"/>
        <w:jc w:val="both"/>
        <w:rPr>
          <w:rFonts w:ascii="Arial" w:hAnsi="Arial" w:cs="Arial"/>
        </w:rPr>
      </w:pPr>
      <w:r w:rsidRPr="004D3496">
        <w:rPr>
          <w:rFonts w:ascii="Arial" w:hAnsi="Arial" w:cs="Arial"/>
        </w:rPr>
        <w:t xml:space="preserve">Consumer perceptions play a central role in shaping the market performance of agricultural and horticultural commodities, particularly in regions where production systems are influenced by unique climatic conditions, cultural preferences, and locally available resources. In horticulture, buyers commonly evaluate products on the basis of freshness, flavor, nutritional value, aroma, and visual appeal. Locally produced items are often viewed </w:t>
      </w:r>
      <w:r w:rsidRPr="004D3496">
        <w:rPr>
          <w:rFonts w:ascii="Arial" w:hAnsi="Arial" w:cs="Arial"/>
        </w:rPr>
        <w:lastRenderedPageBreak/>
        <w:t>as fresher, more authentic, and environmentally responsible, contributing to a sense of cultural identity and community well-being. However, even when such intrinsic qualities are strong, the commercial success of horticultural products depends equally on external factors such as pricing, availability, accessibility, and market presentation—factors that tend to be more challenging in geographically constrained hill environments.</w:t>
      </w:r>
    </w:p>
    <w:p w14:paraId="24B5804D" w14:textId="77777777" w:rsidR="006F750A" w:rsidRPr="004D3496" w:rsidRDefault="006F750A" w:rsidP="006F750A">
      <w:pPr>
        <w:pStyle w:val="ListParagraph"/>
        <w:spacing w:after="0" w:line="240" w:lineRule="auto"/>
        <w:ind w:right="431"/>
        <w:jc w:val="both"/>
        <w:rPr>
          <w:rFonts w:ascii="Arial" w:hAnsi="Arial" w:cs="Arial"/>
          <w:sz w:val="20"/>
          <w:szCs w:val="20"/>
        </w:rPr>
      </w:pPr>
    </w:p>
    <w:p w14:paraId="6207D845" w14:textId="77777777" w:rsidR="006F750A" w:rsidRPr="004D3496" w:rsidRDefault="006F750A" w:rsidP="006F750A">
      <w:pPr>
        <w:ind w:right="-14"/>
        <w:jc w:val="both"/>
        <w:rPr>
          <w:rFonts w:ascii="Arial" w:hAnsi="Arial" w:cs="Arial"/>
        </w:rPr>
      </w:pPr>
      <w:r w:rsidRPr="004D3496">
        <w:rPr>
          <w:rFonts w:ascii="Arial" w:hAnsi="Arial" w:cs="Arial"/>
        </w:rPr>
        <w:t xml:space="preserve">Existing research highlights that consumer decisions emerge from an interaction between intrinsic attributes and extrinsic market conditions. Feldmann and Hamm (2015) emphasized that sensory qualities and perceived health benefits strongly influence satisfaction across food categories, while Wu (2012) noted the importance of visual cues such as color and firmness in shaping quality judgments. Yet, high intrinsic quality alone does not guarantee sustained demand unless supported by efficient pricing and reliable market availability (Brown, 2003; </w:t>
      </w:r>
      <w:proofErr w:type="spellStart"/>
      <w:r w:rsidRPr="004D3496">
        <w:rPr>
          <w:rFonts w:ascii="Arial" w:hAnsi="Arial" w:cs="Arial"/>
        </w:rPr>
        <w:t>Jekanowski</w:t>
      </w:r>
      <w:proofErr w:type="spellEnd"/>
      <w:r w:rsidRPr="004D3496">
        <w:rPr>
          <w:rFonts w:ascii="Arial" w:hAnsi="Arial" w:cs="Arial"/>
        </w:rPr>
        <w:t xml:space="preserve"> et al., 2000). At the same time, the meaning of “local” extends beyond geographic proximity. Adams and Adams (2011) explained that local foods are associated with authenticity and community belonging, whereas Zepeda and </w:t>
      </w:r>
      <w:proofErr w:type="spellStart"/>
      <w:r w:rsidRPr="004D3496">
        <w:rPr>
          <w:rFonts w:ascii="Arial" w:hAnsi="Arial" w:cs="Arial"/>
        </w:rPr>
        <w:t>Leviten</w:t>
      </w:r>
      <w:proofErr w:type="spellEnd"/>
      <w:r w:rsidRPr="004D3496">
        <w:rPr>
          <w:rFonts w:ascii="Arial" w:hAnsi="Arial" w:cs="Arial"/>
        </w:rPr>
        <w:t>-Reid (2004) found that consumers link local production with ethical responsibility and trust. Market-oriented studies further show that willingness-to-pay for local produce varies with perceived quality and the spatial scale of production (Burnett et al., 2011), and that preferences for local, organic, or affordably priced products often overlap or compete (Yue &amp; Tong, 2009).</w:t>
      </w:r>
    </w:p>
    <w:p w14:paraId="6200C826" w14:textId="77777777" w:rsidR="006F750A" w:rsidRPr="004D3496" w:rsidRDefault="006F750A" w:rsidP="006F750A">
      <w:pPr>
        <w:pStyle w:val="ListParagraph"/>
        <w:spacing w:after="0" w:line="240" w:lineRule="auto"/>
        <w:ind w:right="431"/>
        <w:jc w:val="both"/>
        <w:rPr>
          <w:rFonts w:ascii="Arial" w:hAnsi="Arial" w:cs="Arial"/>
          <w:sz w:val="20"/>
          <w:szCs w:val="20"/>
        </w:rPr>
      </w:pPr>
    </w:p>
    <w:p w14:paraId="530B4806" w14:textId="77777777" w:rsidR="006F750A" w:rsidRPr="004D3496" w:rsidRDefault="006F750A" w:rsidP="006F750A">
      <w:pPr>
        <w:ind w:right="-14"/>
        <w:jc w:val="both"/>
        <w:rPr>
          <w:rFonts w:ascii="Arial" w:hAnsi="Arial" w:cs="Arial"/>
        </w:rPr>
      </w:pPr>
      <w:r w:rsidRPr="004D3496">
        <w:rPr>
          <w:rFonts w:ascii="Arial" w:hAnsi="Arial" w:cs="Arial"/>
        </w:rPr>
        <w:t>Marketing practices also shape consumer responses. Evidence suggests that attractive packaging and origin-based labelling enhance trust and perceived value (Behe et al., 2013), and that credible labels are viewed as indicators of product safety and environmental responsibility (Campbell et al., 2014). Eye-tracking studies further reveal that sustainability cues draw attention and influence willingness to pay (Rihn &amp; Khachatryan, 2016; Khachatryan et al., 2017). Nonetheless, such systematic branding practices remain limited in informal and semi-formal markets of developing regions.</w:t>
      </w:r>
    </w:p>
    <w:p w14:paraId="72D6EF6F" w14:textId="77777777" w:rsidR="006F750A" w:rsidRPr="004D3496" w:rsidRDefault="006F750A" w:rsidP="006F750A">
      <w:pPr>
        <w:pStyle w:val="ListParagraph"/>
        <w:spacing w:after="0" w:line="240" w:lineRule="auto"/>
        <w:ind w:right="431"/>
        <w:jc w:val="both"/>
        <w:rPr>
          <w:rFonts w:ascii="Arial" w:hAnsi="Arial" w:cs="Arial"/>
          <w:sz w:val="20"/>
          <w:szCs w:val="20"/>
        </w:rPr>
      </w:pPr>
    </w:p>
    <w:p w14:paraId="3AAC6CB0" w14:textId="77777777" w:rsidR="006F750A" w:rsidRPr="004D3496" w:rsidRDefault="006F750A" w:rsidP="006F750A">
      <w:pPr>
        <w:ind w:right="-14"/>
        <w:jc w:val="both"/>
        <w:rPr>
          <w:rFonts w:ascii="Arial" w:hAnsi="Arial" w:cs="Arial"/>
        </w:rPr>
      </w:pPr>
      <w:r w:rsidRPr="004D3496">
        <w:rPr>
          <w:rFonts w:ascii="Arial" w:hAnsi="Arial" w:cs="Arial"/>
        </w:rPr>
        <w:t>At a broader level, socio-economic conditions and policy frameworks influence how horticultural markets function. Trust in production methods and perceived community benefits significantly shape demand (Darby et al., 2008), while inadequate coordination and fragmented marketing strategies often limit the reach of local produce (Onken &amp; Bernard, 2010). Agricultural commercialization has been linked to employment generation and poverty reduction (</w:t>
      </w:r>
      <w:proofErr w:type="spellStart"/>
      <w:r w:rsidRPr="004D3496">
        <w:rPr>
          <w:rFonts w:ascii="Arial" w:hAnsi="Arial" w:cs="Arial"/>
        </w:rPr>
        <w:t>Osabohien</w:t>
      </w:r>
      <w:proofErr w:type="spellEnd"/>
      <w:r w:rsidRPr="004D3496">
        <w:rPr>
          <w:rFonts w:ascii="Arial" w:hAnsi="Arial" w:cs="Arial"/>
        </w:rPr>
        <w:t xml:space="preserve"> et al., 2019), and government-supported branding initiatives, such as the “Fresh from Florida” </w:t>
      </w:r>
      <w:proofErr w:type="spellStart"/>
      <w:r w:rsidRPr="004D3496">
        <w:rPr>
          <w:rFonts w:ascii="Arial" w:hAnsi="Arial" w:cs="Arial"/>
        </w:rPr>
        <w:t>programme</w:t>
      </w:r>
      <w:proofErr w:type="spellEnd"/>
      <w:r w:rsidRPr="004D3496">
        <w:rPr>
          <w:rFonts w:ascii="Arial" w:hAnsi="Arial" w:cs="Arial"/>
        </w:rPr>
        <w:t>, demonstrate the effectiveness of structured labelling systems in improving market acceptance (Rumble &amp; Roper, 2015).</w:t>
      </w:r>
    </w:p>
    <w:p w14:paraId="03D25D0E" w14:textId="77777777" w:rsidR="006F750A" w:rsidRPr="004D3496" w:rsidRDefault="006F750A" w:rsidP="006F750A">
      <w:pPr>
        <w:pStyle w:val="ListParagraph"/>
        <w:spacing w:after="0" w:line="240" w:lineRule="auto"/>
        <w:ind w:right="431"/>
        <w:jc w:val="both"/>
        <w:rPr>
          <w:rFonts w:ascii="Arial" w:hAnsi="Arial" w:cs="Arial"/>
          <w:sz w:val="20"/>
          <w:szCs w:val="20"/>
        </w:rPr>
      </w:pPr>
    </w:p>
    <w:p w14:paraId="38488FA5" w14:textId="77777777" w:rsidR="006F750A" w:rsidRPr="004D3496" w:rsidRDefault="006F750A" w:rsidP="006F750A">
      <w:pPr>
        <w:tabs>
          <w:tab w:val="left" w:pos="8208"/>
        </w:tabs>
        <w:ind w:right="-14"/>
        <w:jc w:val="both"/>
        <w:rPr>
          <w:rFonts w:ascii="Arial" w:hAnsi="Arial" w:cs="Arial"/>
        </w:rPr>
      </w:pPr>
      <w:r w:rsidRPr="004D3496">
        <w:rPr>
          <w:rFonts w:ascii="Arial" w:hAnsi="Arial" w:cs="Arial"/>
        </w:rPr>
        <w:t xml:space="preserve">In India, hill horticulture faces persistent constraints related to transportation, storage, aggregation, and volatile pricing. Janakiram and Reddy (2016) observed that mountain-based horticultural systems are characterized by disrupted supply chains, weak infrastructure, and fragmented markets. In the Kumaon region of Uttarakhand, these issues are compounded by terrain-induced mobility constraints and limited institutional support. Although the region is known for its </w:t>
      </w:r>
      <w:proofErr w:type="spellStart"/>
      <w:r w:rsidRPr="004D3496">
        <w:rPr>
          <w:rFonts w:ascii="Arial" w:hAnsi="Arial" w:cs="Arial"/>
        </w:rPr>
        <w:t>favourable</w:t>
      </w:r>
      <w:proofErr w:type="spellEnd"/>
      <w:r w:rsidRPr="004D3496">
        <w:rPr>
          <w:rFonts w:ascii="Arial" w:hAnsi="Arial" w:cs="Arial"/>
        </w:rPr>
        <w:t xml:space="preserve"> </w:t>
      </w:r>
      <w:proofErr w:type="spellStart"/>
      <w:r w:rsidRPr="004D3496">
        <w:rPr>
          <w:rFonts w:ascii="Arial" w:hAnsi="Arial" w:cs="Arial"/>
        </w:rPr>
        <w:t>agro</w:t>
      </w:r>
      <w:proofErr w:type="spellEnd"/>
      <w:r w:rsidRPr="004D3496">
        <w:rPr>
          <w:rFonts w:ascii="Arial" w:hAnsi="Arial" w:cs="Arial"/>
        </w:rPr>
        <w:t>-climatic conditions and produces high-quality fruits and vegetables, commercialization remains modest due to logistical difficulties and limited market integration (</w:t>
      </w:r>
      <w:proofErr w:type="spellStart"/>
      <w:r w:rsidRPr="004D3496">
        <w:rPr>
          <w:rFonts w:ascii="Arial" w:hAnsi="Arial" w:cs="Arial"/>
        </w:rPr>
        <w:t>Tamta</w:t>
      </w:r>
      <w:proofErr w:type="spellEnd"/>
      <w:r w:rsidRPr="004D3496">
        <w:rPr>
          <w:rFonts w:ascii="Arial" w:hAnsi="Arial" w:cs="Arial"/>
        </w:rPr>
        <w:t xml:space="preserve"> &amp; Deepak, 2023).</w:t>
      </w:r>
    </w:p>
    <w:p w14:paraId="52BB7133" w14:textId="77777777" w:rsidR="006F750A" w:rsidRPr="004D3496" w:rsidRDefault="006F750A" w:rsidP="006F750A">
      <w:pPr>
        <w:pStyle w:val="ListParagraph"/>
        <w:spacing w:after="0" w:line="240" w:lineRule="auto"/>
        <w:ind w:right="431"/>
        <w:jc w:val="both"/>
        <w:rPr>
          <w:rFonts w:ascii="Arial" w:hAnsi="Arial" w:cs="Arial"/>
          <w:sz w:val="20"/>
          <w:szCs w:val="20"/>
        </w:rPr>
      </w:pPr>
    </w:p>
    <w:p w14:paraId="7BF29D92" w14:textId="77777777" w:rsidR="006F750A" w:rsidRDefault="006F750A" w:rsidP="006F750A">
      <w:pPr>
        <w:pStyle w:val="Body"/>
        <w:spacing w:after="0"/>
        <w:rPr>
          <w:rFonts w:ascii="Arial" w:hAnsi="Arial" w:cs="Arial"/>
        </w:rPr>
      </w:pPr>
      <w:r w:rsidRPr="004D3496">
        <w:rPr>
          <w:rFonts w:ascii="Arial" w:hAnsi="Arial" w:cs="Arial"/>
        </w:rPr>
        <w:t xml:space="preserve">Within this context, understanding consumer perceptions becomes essential for identifying pathways to strengthen the horticulture sector. While local produce possesses strong natural advantages, gaps related to pricing, availability, and presentation continue to restrict its market performance. The present study addresses this concern by examining how consumers evaluate key attributes of locally produced horticultural products in the Kumaon region. By assessing six major attributes—market availability, price competitiveness, product </w:t>
      </w:r>
      <w:r w:rsidRPr="004D3496">
        <w:rPr>
          <w:rFonts w:ascii="Arial" w:hAnsi="Arial" w:cs="Arial"/>
        </w:rPr>
        <w:lastRenderedPageBreak/>
        <w:t>presentation, nutritional quality, natural freshness, and flavor—the study uses Exploratory Factor Analysis (EFA) to uncover the underlying structure of consumer perceptions. The classification of these attributes into Human-Dependent and Climate-Dependent Factors provides a framework for developing targeted interventions aimed at improving market efficiency, strengthening commercialization, and enhancing livelihood opportunities in the hill economy.</w:t>
      </w:r>
    </w:p>
    <w:p w14:paraId="2593E765" w14:textId="77777777" w:rsidR="006F750A" w:rsidRDefault="006F750A" w:rsidP="006F750A">
      <w:pPr>
        <w:pStyle w:val="Body"/>
        <w:spacing w:after="0"/>
        <w:rPr>
          <w:rFonts w:ascii="Arial" w:hAnsi="Arial" w:cs="Arial"/>
        </w:rPr>
      </w:pPr>
    </w:p>
    <w:p w14:paraId="3620E32F" w14:textId="77777777" w:rsidR="006F750A" w:rsidRPr="00FB3A86" w:rsidRDefault="006F750A" w:rsidP="006F750A">
      <w:pPr>
        <w:pStyle w:val="Body"/>
        <w:spacing w:after="0"/>
        <w:rPr>
          <w:rFonts w:ascii="Arial" w:hAnsi="Arial" w:cs="Arial"/>
        </w:rPr>
      </w:pPr>
    </w:p>
    <w:p w14:paraId="26B86595" w14:textId="77777777" w:rsidR="006F750A" w:rsidRDefault="006F750A" w:rsidP="006F750A">
      <w:pPr>
        <w:pStyle w:val="AbstHead"/>
        <w:spacing w:after="0"/>
        <w:rPr>
          <w:rFonts w:ascii="Arial" w:hAnsi="Arial" w:cs="Arial"/>
        </w:rPr>
      </w:pPr>
      <w:r>
        <w:rPr>
          <w:rFonts w:ascii="Arial" w:hAnsi="Arial" w:cs="Arial"/>
        </w:rPr>
        <w:t xml:space="preserve">2. methodology </w:t>
      </w:r>
    </w:p>
    <w:p w14:paraId="0B1DC100" w14:textId="77777777" w:rsidR="006F750A" w:rsidRPr="00FB3A86" w:rsidRDefault="006F750A" w:rsidP="006F750A">
      <w:pPr>
        <w:pStyle w:val="AbstHead"/>
        <w:spacing w:after="0"/>
        <w:jc w:val="both"/>
        <w:rPr>
          <w:rFonts w:ascii="Arial" w:hAnsi="Arial" w:cs="Arial"/>
        </w:rPr>
      </w:pPr>
    </w:p>
    <w:p w14:paraId="0F81D580" w14:textId="77777777" w:rsidR="00B821FC" w:rsidRPr="00B821FC" w:rsidRDefault="00B821FC" w:rsidP="00B821FC">
      <w:pPr>
        <w:ind w:right="-14"/>
        <w:jc w:val="both"/>
        <w:rPr>
          <w:rFonts w:ascii="Arial" w:hAnsi="Arial" w:cs="Arial"/>
        </w:rPr>
      </w:pPr>
      <w:r w:rsidRPr="00B821FC">
        <w:rPr>
          <w:rFonts w:ascii="Arial" w:hAnsi="Arial" w:cs="Arial"/>
        </w:rPr>
        <w:t xml:space="preserve">The present study adopts a systematic methodological framework to examine consumer perceptions of locally produced horticultural products in the Kumaon region. </w:t>
      </w:r>
    </w:p>
    <w:p w14:paraId="02E84155" w14:textId="77777777" w:rsidR="00B821FC" w:rsidRDefault="00B821FC" w:rsidP="006F750A">
      <w:pPr>
        <w:ind w:right="431"/>
        <w:rPr>
          <w:rFonts w:ascii="Arial" w:hAnsi="Arial" w:cs="Arial"/>
          <w:b/>
          <w:sz w:val="22"/>
          <w:szCs w:val="22"/>
        </w:rPr>
      </w:pPr>
    </w:p>
    <w:p w14:paraId="231F0557" w14:textId="77777777" w:rsidR="006F750A" w:rsidRPr="004D3496" w:rsidRDefault="006F750A" w:rsidP="006F750A">
      <w:pPr>
        <w:ind w:right="431"/>
        <w:rPr>
          <w:rFonts w:ascii="Arial" w:hAnsi="Arial" w:cs="Arial"/>
          <w:b/>
          <w:sz w:val="22"/>
          <w:szCs w:val="22"/>
        </w:rPr>
      </w:pPr>
      <w:r>
        <w:rPr>
          <w:rFonts w:ascii="Arial" w:hAnsi="Arial" w:cs="Arial"/>
          <w:b/>
          <w:sz w:val="22"/>
          <w:szCs w:val="22"/>
        </w:rPr>
        <w:t>2.1</w:t>
      </w:r>
      <w:r w:rsidRPr="004D3496">
        <w:rPr>
          <w:rFonts w:ascii="Arial" w:hAnsi="Arial" w:cs="Arial"/>
          <w:b/>
          <w:sz w:val="22"/>
          <w:szCs w:val="22"/>
        </w:rPr>
        <w:t>Objectives of the Study</w:t>
      </w:r>
    </w:p>
    <w:p w14:paraId="781C9B91" w14:textId="77777777" w:rsidR="006F750A" w:rsidRPr="00AD2D40" w:rsidRDefault="006F750A" w:rsidP="006F750A">
      <w:pPr>
        <w:pStyle w:val="ListParagraph"/>
        <w:spacing w:after="0" w:line="240" w:lineRule="auto"/>
        <w:ind w:right="431"/>
        <w:jc w:val="both"/>
        <w:rPr>
          <w:rFonts w:ascii="Times New Roman" w:hAnsi="Times New Roman" w:cs="Times New Roman"/>
          <w:sz w:val="24"/>
          <w:szCs w:val="24"/>
        </w:rPr>
      </w:pPr>
    </w:p>
    <w:p w14:paraId="7C890D06" w14:textId="77777777" w:rsidR="006F750A" w:rsidRPr="004D3496" w:rsidRDefault="006F750A" w:rsidP="006F750A">
      <w:pPr>
        <w:ind w:right="431"/>
        <w:jc w:val="both"/>
        <w:rPr>
          <w:rFonts w:ascii="Arial" w:hAnsi="Arial" w:cs="Arial"/>
        </w:rPr>
      </w:pPr>
      <w:r w:rsidRPr="004D3496">
        <w:rPr>
          <w:rFonts w:ascii="Arial" w:hAnsi="Arial" w:cs="Arial"/>
        </w:rPr>
        <w:t>The investigation was undertaken to:</w:t>
      </w:r>
    </w:p>
    <w:p w14:paraId="30C5890E" w14:textId="77777777" w:rsidR="006F750A" w:rsidRPr="004D3496" w:rsidRDefault="006F750A" w:rsidP="006F750A">
      <w:pPr>
        <w:pStyle w:val="ListParagraph"/>
        <w:spacing w:after="0" w:line="240" w:lineRule="auto"/>
        <w:ind w:right="431"/>
        <w:jc w:val="both"/>
        <w:rPr>
          <w:rFonts w:ascii="Arial" w:hAnsi="Arial" w:cs="Arial"/>
          <w:sz w:val="20"/>
          <w:szCs w:val="20"/>
        </w:rPr>
      </w:pPr>
    </w:p>
    <w:p w14:paraId="2527AAE4" w14:textId="77777777" w:rsidR="006F750A" w:rsidRPr="004D3496" w:rsidRDefault="006F750A" w:rsidP="006F750A">
      <w:pPr>
        <w:pStyle w:val="ListParagraph"/>
        <w:numPr>
          <w:ilvl w:val="0"/>
          <w:numId w:val="33"/>
        </w:numPr>
        <w:spacing w:after="0" w:line="240" w:lineRule="auto"/>
        <w:ind w:right="-14"/>
        <w:jc w:val="both"/>
        <w:rPr>
          <w:rFonts w:ascii="Arial" w:hAnsi="Arial" w:cs="Arial"/>
          <w:sz w:val="20"/>
          <w:szCs w:val="20"/>
        </w:rPr>
      </w:pPr>
      <w:r w:rsidRPr="004D3496">
        <w:rPr>
          <w:rFonts w:ascii="Arial" w:hAnsi="Arial" w:cs="Arial"/>
          <w:sz w:val="20"/>
          <w:szCs w:val="20"/>
        </w:rPr>
        <w:t>Examine consumer perceptions of key attributes of locally produced horticultural products in the Kumaon region.</w:t>
      </w:r>
    </w:p>
    <w:p w14:paraId="7DD3A745" w14:textId="77777777" w:rsidR="006F750A" w:rsidRPr="004D3496" w:rsidRDefault="006F750A" w:rsidP="006F750A">
      <w:pPr>
        <w:pStyle w:val="ListParagraph"/>
        <w:spacing w:after="0" w:line="240" w:lineRule="auto"/>
        <w:ind w:right="431"/>
        <w:jc w:val="both"/>
        <w:rPr>
          <w:rFonts w:ascii="Arial" w:hAnsi="Arial" w:cs="Arial"/>
          <w:sz w:val="20"/>
          <w:szCs w:val="20"/>
        </w:rPr>
      </w:pPr>
    </w:p>
    <w:p w14:paraId="3BC4F5FB" w14:textId="77777777" w:rsidR="006F750A" w:rsidRPr="004D3496" w:rsidRDefault="006F750A" w:rsidP="006F750A">
      <w:pPr>
        <w:pStyle w:val="ListParagraph"/>
        <w:numPr>
          <w:ilvl w:val="0"/>
          <w:numId w:val="33"/>
        </w:numPr>
        <w:spacing w:after="0" w:line="240" w:lineRule="auto"/>
        <w:ind w:right="-14"/>
        <w:jc w:val="both"/>
        <w:rPr>
          <w:rFonts w:ascii="Arial" w:hAnsi="Arial" w:cs="Arial"/>
          <w:sz w:val="20"/>
          <w:szCs w:val="20"/>
        </w:rPr>
      </w:pPr>
      <w:r w:rsidRPr="004D3496">
        <w:rPr>
          <w:rFonts w:ascii="Arial" w:hAnsi="Arial" w:cs="Arial"/>
          <w:sz w:val="20"/>
          <w:szCs w:val="20"/>
        </w:rPr>
        <w:t>Identify the latent dimensions underlying these attributes using Exploratory Factor Analysis (EFA).</w:t>
      </w:r>
    </w:p>
    <w:p w14:paraId="0E1D7807" w14:textId="77777777" w:rsidR="006F750A" w:rsidRPr="004D3496" w:rsidRDefault="006F750A" w:rsidP="006F750A">
      <w:pPr>
        <w:pStyle w:val="ListParagraph"/>
        <w:spacing w:after="0" w:line="240" w:lineRule="auto"/>
        <w:ind w:right="431"/>
        <w:jc w:val="both"/>
        <w:rPr>
          <w:rFonts w:ascii="Arial" w:hAnsi="Arial" w:cs="Arial"/>
          <w:sz w:val="20"/>
          <w:szCs w:val="20"/>
        </w:rPr>
      </w:pPr>
    </w:p>
    <w:p w14:paraId="1B924FDB" w14:textId="77777777" w:rsidR="006F750A" w:rsidRPr="004D3496" w:rsidRDefault="006F750A" w:rsidP="006F750A">
      <w:pPr>
        <w:pStyle w:val="ListParagraph"/>
        <w:numPr>
          <w:ilvl w:val="0"/>
          <w:numId w:val="33"/>
        </w:numPr>
        <w:spacing w:after="0" w:line="240" w:lineRule="auto"/>
        <w:ind w:right="-14"/>
        <w:jc w:val="both"/>
        <w:rPr>
          <w:rFonts w:ascii="Arial" w:hAnsi="Arial" w:cs="Arial"/>
          <w:sz w:val="20"/>
          <w:szCs w:val="20"/>
        </w:rPr>
      </w:pPr>
      <w:r w:rsidRPr="004D3496">
        <w:rPr>
          <w:rFonts w:ascii="Arial" w:hAnsi="Arial" w:cs="Arial"/>
          <w:sz w:val="20"/>
          <w:szCs w:val="20"/>
        </w:rPr>
        <w:t>Compare levels of consumer satisfaction across the extracted factors to determine areas requiring market interventions.</w:t>
      </w:r>
    </w:p>
    <w:p w14:paraId="570E3795" w14:textId="77777777" w:rsidR="006F750A" w:rsidRPr="004D3496" w:rsidRDefault="006F750A" w:rsidP="006F750A">
      <w:pPr>
        <w:pStyle w:val="ListParagraph"/>
        <w:spacing w:after="0" w:line="240" w:lineRule="auto"/>
        <w:ind w:right="431"/>
        <w:jc w:val="both"/>
        <w:rPr>
          <w:rFonts w:ascii="Arial" w:hAnsi="Arial" w:cs="Arial"/>
          <w:sz w:val="20"/>
          <w:szCs w:val="20"/>
        </w:rPr>
      </w:pPr>
    </w:p>
    <w:p w14:paraId="577743B7" w14:textId="77777777" w:rsidR="006F750A" w:rsidRPr="004D3496" w:rsidRDefault="006F750A" w:rsidP="006F750A">
      <w:pPr>
        <w:pStyle w:val="ListParagraph"/>
        <w:numPr>
          <w:ilvl w:val="0"/>
          <w:numId w:val="33"/>
        </w:numPr>
        <w:spacing w:after="0" w:line="240" w:lineRule="auto"/>
        <w:ind w:right="-14"/>
        <w:jc w:val="both"/>
        <w:rPr>
          <w:rFonts w:ascii="Arial" w:hAnsi="Arial" w:cs="Arial"/>
          <w:sz w:val="20"/>
          <w:szCs w:val="20"/>
        </w:rPr>
      </w:pPr>
      <w:r w:rsidRPr="004D3496">
        <w:rPr>
          <w:rFonts w:ascii="Arial" w:hAnsi="Arial" w:cs="Arial"/>
          <w:sz w:val="20"/>
          <w:szCs w:val="20"/>
        </w:rPr>
        <w:t>Generate practical implications for strengthening the commercialization of local horticultural produce and supporting livelihood opportunities in hill districts.</w:t>
      </w:r>
    </w:p>
    <w:p w14:paraId="156DB599" w14:textId="77777777" w:rsidR="006F750A" w:rsidRPr="00AD2D40" w:rsidRDefault="006F750A" w:rsidP="006F750A">
      <w:pPr>
        <w:pStyle w:val="ListParagraph"/>
        <w:spacing w:after="0" w:line="240" w:lineRule="auto"/>
        <w:ind w:right="431"/>
        <w:jc w:val="both"/>
        <w:rPr>
          <w:rFonts w:ascii="Times New Roman" w:hAnsi="Times New Roman" w:cs="Times New Roman"/>
          <w:sz w:val="24"/>
          <w:szCs w:val="24"/>
        </w:rPr>
      </w:pPr>
    </w:p>
    <w:p w14:paraId="2CDC7A90" w14:textId="77777777" w:rsidR="006F750A" w:rsidRPr="004D3496" w:rsidRDefault="006F750A" w:rsidP="006F750A">
      <w:pPr>
        <w:ind w:right="431"/>
        <w:jc w:val="both"/>
        <w:rPr>
          <w:rFonts w:ascii="Arial" w:hAnsi="Arial" w:cs="Arial"/>
          <w:b/>
          <w:sz w:val="22"/>
          <w:szCs w:val="22"/>
        </w:rPr>
      </w:pPr>
      <w:r w:rsidRPr="004D3496">
        <w:rPr>
          <w:rFonts w:ascii="Arial" w:hAnsi="Arial" w:cs="Arial"/>
          <w:b/>
          <w:sz w:val="22"/>
          <w:szCs w:val="22"/>
        </w:rPr>
        <w:t>2.2 Research Design</w:t>
      </w:r>
    </w:p>
    <w:p w14:paraId="2156A0D5" w14:textId="77777777" w:rsidR="006F750A" w:rsidRPr="004D3496" w:rsidRDefault="006F750A" w:rsidP="006F750A">
      <w:pPr>
        <w:pStyle w:val="ListParagraph"/>
        <w:spacing w:after="0" w:line="240" w:lineRule="auto"/>
        <w:ind w:right="431"/>
        <w:jc w:val="both"/>
        <w:rPr>
          <w:rFonts w:ascii="Arial" w:hAnsi="Arial" w:cs="Arial"/>
          <w:sz w:val="20"/>
          <w:szCs w:val="20"/>
        </w:rPr>
      </w:pPr>
    </w:p>
    <w:p w14:paraId="1364DFE7" w14:textId="77777777" w:rsidR="006F750A" w:rsidRPr="004D3496" w:rsidRDefault="006F750A" w:rsidP="006F750A">
      <w:pPr>
        <w:ind w:right="-14"/>
        <w:jc w:val="both"/>
        <w:rPr>
          <w:rFonts w:ascii="Arial" w:hAnsi="Arial" w:cs="Arial"/>
        </w:rPr>
      </w:pPr>
      <w:r w:rsidRPr="004D3496">
        <w:rPr>
          <w:rFonts w:ascii="Arial" w:hAnsi="Arial" w:cs="Arial"/>
        </w:rPr>
        <w:t>A descriptive and exploratory cross-sectional design was adopted. The descriptive components enabled systematic documentation of consumer views on local horticultural products, while the exploratory component—implemented through EFA—allowed identification of underlying perceptual dimensions. The combined approach is widely used in consumer-behavior research to uncover latent psychological structures and support evidence-based decision-making.</w:t>
      </w:r>
    </w:p>
    <w:p w14:paraId="1FEE5033" w14:textId="77777777" w:rsidR="006F750A" w:rsidRPr="004D3496" w:rsidRDefault="006F750A" w:rsidP="006F750A">
      <w:pPr>
        <w:pStyle w:val="ListParagraph"/>
        <w:spacing w:after="0" w:line="240" w:lineRule="auto"/>
        <w:ind w:right="431"/>
        <w:jc w:val="both"/>
        <w:rPr>
          <w:rFonts w:ascii="Arial" w:hAnsi="Arial" w:cs="Arial"/>
          <w:sz w:val="20"/>
          <w:szCs w:val="20"/>
        </w:rPr>
      </w:pPr>
    </w:p>
    <w:p w14:paraId="14877F9C" w14:textId="77777777" w:rsidR="006F750A" w:rsidRPr="004D3496" w:rsidRDefault="006F750A" w:rsidP="006F750A">
      <w:pPr>
        <w:ind w:right="431"/>
        <w:rPr>
          <w:rFonts w:ascii="Arial" w:hAnsi="Arial" w:cs="Arial"/>
          <w:b/>
          <w:sz w:val="22"/>
          <w:szCs w:val="22"/>
        </w:rPr>
      </w:pPr>
      <w:r w:rsidRPr="004D3496">
        <w:rPr>
          <w:rFonts w:ascii="Arial" w:hAnsi="Arial" w:cs="Arial"/>
          <w:b/>
          <w:sz w:val="22"/>
          <w:szCs w:val="22"/>
        </w:rPr>
        <w:t>2.3 Study Area</w:t>
      </w:r>
    </w:p>
    <w:p w14:paraId="2D37374D" w14:textId="77777777" w:rsidR="006F750A" w:rsidRPr="004D3496" w:rsidRDefault="006F750A" w:rsidP="006F750A">
      <w:pPr>
        <w:pStyle w:val="ListParagraph"/>
        <w:spacing w:after="0" w:line="240" w:lineRule="auto"/>
        <w:ind w:right="431"/>
        <w:jc w:val="both"/>
        <w:rPr>
          <w:rFonts w:ascii="Arial" w:hAnsi="Arial" w:cs="Arial"/>
          <w:sz w:val="20"/>
          <w:szCs w:val="20"/>
        </w:rPr>
      </w:pPr>
    </w:p>
    <w:p w14:paraId="3A513E38" w14:textId="77777777" w:rsidR="00B8239D" w:rsidRDefault="006F750A" w:rsidP="00B8239D">
      <w:pPr>
        <w:ind w:right="-14"/>
        <w:jc w:val="both"/>
        <w:rPr>
          <w:rFonts w:ascii="Arial" w:hAnsi="Arial" w:cs="Arial"/>
          <w:b/>
          <w:sz w:val="22"/>
          <w:szCs w:val="22"/>
        </w:rPr>
      </w:pPr>
      <w:r w:rsidRPr="004D3496">
        <w:rPr>
          <w:rFonts w:ascii="Arial" w:hAnsi="Arial" w:cs="Arial"/>
        </w:rPr>
        <w:t xml:space="preserve">The study was conducted in major horticultural marketplaces across the Kumaon region of Uttarakhand, covering the districts of </w:t>
      </w:r>
      <w:proofErr w:type="spellStart"/>
      <w:r w:rsidRPr="004D3496">
        <w:rPr>
          <w:rFonts w:ascii="Arial" w:hAnsi="Arial" w:cs="Arial"/>
        </w:rPr>
        <w:t>Almora</w:t>
      </w:r>
      <w:proofErr w:type="spellEnd"/>
      <w:r w:rsidRPr="004D3496">
        <w:rPr>
          <w:rFonts w:ascii="Arial" w:hAnsi="Arial" w:cs="Arial"/>
        </w:rPr>
        <w:t xml:space="preserve">, Nainital, </w:t>
      </w:r>
      <w:proofErr w:type="spellStart"/>
      <w:r w:rsidRPr="004D3496">
        <w:rPr>
          <w:rFonts w:ascii="Arial" w:hAnsi="Arial" w:cs="Arial"/>
        </w:rPr>
        <w:t>Bageshwar</w:t>
      </w:r>
      <w:proofErr w:type="spellEnd"/>
      <w:r w:rsidRPr="004D3496">
        <w:rPr>
          <w:rFonts w:ascii="Arial" w:hAnsi="Arial" w:cs="Arial"/>
        </w:rPr>
        <w:t xml:space="preserve">, </w:t>
      </w:r>
      <w:proofErr w:type="spellStart"/>
      <w:r w:rsidRPr="004D3496">
        <w:rPr>
          <w:rFonts w:ascii="Arial" w:hAnsi="Arial" w:cs="Arial"/>
        </w:rPr>
        <w:t>Champawat</w:t>
      </w:r>
      <w:proofErr w:type="spellEnd"/>
      <w:r w:rsidRPr="004D3496">
        <w:rPr>
          <w:rFonts w:ascii="Arial" w:hAnsi="Arial" w:cs="Arial"/>
        </w:rPr>
        <w:t>, Pithoragarh, and Udham Singh Nagar. These locations were selected purposively because they represent both routine and seasonal purchasing patterns, thereby offering a suitable context for capturing consumer perceptions relevant to commercialization.</w:t>
      </w:r>
    </w:p>
    <w:p w14:paraId="59CCBB7D" w14:textId="77777777" w:rsidR="00B8239D" w:rsidRDefault="00B8239D" w:rsidP="006F750A">
      <w:pPr>
        <w:ind w:right="431"/>
        <w:rPr>
          <w:rFonts w:ascii="Arial" w:hAnsi="Arial" w:cs="Arial"/>
          <w:b/>
          <w:sz w:val="22"/>
          <w:szCs w:val="22"/>
        </w:rPr>
      </w:pPr>
    </w:p>
    <w:p w14:paraId="1E419FC0" w14:textId="77777777" w:rsidR="006F750A" w:rsidRPr="004D3496" w:rsidRDefault="006F750A" w:rsidP="006F750A">
      <w:pPr>
        <w:ind w:right="431"/>
        <w:rPr>
          <w:rFonts w:ascii="Arial" w:hAnsi="Arial" w:cs="Arial"/>
          <w:b/>
          <w:sz w:val="22"/>
          <w:szCs w:val="22"/>
        </w:rPr>
      </w:pPr>
      <w:r w:rsidRPr="004D3496">
        <w:rPr>
          <w:rFonts w:ascii="Arial" w:hAnsi="Arial" w:cs="Arial"/>
          <w:b/>
          <w:sz w:val="22"/>
          <w:szCs w:val="22"/>
        </w:rPr>
        <w:t>2.4 Sampling and Data Collection</w:t>
      </w:r>
    </w:p>
    <w:p w14:paraId="569A4D75" w14:textId="77777777" w:rsidR="006F750A" w:rsidRPr="004D3496" w:rsidRDefault="006F750A" w:rsidP="006F750A">
      <w:pPr>
        <w:pStyle w:val="ListParagraph"/>
        <w:spacing w:after="0" w:line="240" w:lineRule="auto"/>
        <w:ind w:right="431"/>
        <w:jc w:val="both"/>
        <w:rPr>
          <w:rFonts w:ascii="Arial" w:hAnsi="Arial" w:cs="Arial"/>
          <w:sz w:val="20"/>
          <w:szCs w:val="20"/>
        </w:rPr>
      </w:pPr>
    </w:p>
    <w:p w14:paraId="789A70FE" w14:textId="77777777" w:rsidR="006F750A" w:rsidRPr="004D3496" w:rsidRDefault="006F750A" w:rsidP="006F750A">
      <w:pPr>
        <w:ind w:right="-14"/>
        <w:jc w:val="both"/>
        <w:rPr>
          <w:rFonts w:ascii="Arial" w:hAnsi="Arial" w:cs="Arial"/>
        </w:rPr>
      </w:pPr>
      <w:r w:rsidRPr="004D3496">
        <w:rPr>
          <w:rFonts w:ascii="Arial" w:hAnsi="Arial" w:cs="Arial"/>
        </w:rPr>
        <w:t xml:space="preserve">A total of 360 consumers were approached using simple random sampling so that every visitor entering the marketplace during the survey period had an equal probability of being included. Of these, 339 questionnaires were found complete and were included in the analysis. Data were gathered through face-to-face interactions at market entrances and </w:t>
      </w:r>
      <w:r w:rsidRPr="004D3496">
        <w:rPr>
          <w:rFonts w:ascii="Arial" w:hAnsi="Arial" w:cs="Arial"/>
        </w:rPr>
        <w:lastRenderedPageBreak/>
        <w:t>vendor points. Respondents were informed about the purpose of the study, participation was voluntary, and no personal identifiers were recorded. Data collection was conducted over a four-week period in May 2024, primarily during peak shopping hours to minimize timing-related bias.</w:t>
      </w:r>
    </w:p>
    <w:p w14:paraId="57EDCB44" w14:textId="77777777" w:rsidR="006F750A" w:rsidRPr="004D3496" w:rsidRDefault="006F750A" w:rsidP="006F750A">
      <w:pPr>
        <w:pStyle w:val="ListParagraph"/>
        <w:spacing w:after="0" w:line="240" w:lineRule="auto"/>
        <w:ind w:right="431"/>
        <w:jc w:val="both"/>
        <w:rPr>
          <w:rFonts w:ascii="Arial" w:hAnsi="Arial" w:cs="Arial"/>
          <w:sz w:val="20"/>
          <w:szCs w:val="20"/>
        </w:rPr>
      </w:pPr>
    </w:p>
    <w:p w14:paraId="589BC771" w14:textId="77777777" w:rsidR="006F750A" w:rsidRPr="004D3496" w:rsidRDefault="006F750A" w:rsidP="006F750A">
      <w:pPr>
        <w:ind w:right="431"/>
        <w:rPr>
          <w:rFonts w:ascii="Arial" w:hAnsi="Arial" w:cs="Arial"/>
          <w:b/>
          <w:sz w:val="22"/>
          <w:szCs w:val="22"/>
        </w:rPr>
      </w:pPr>
      <w:r w:rsidRPr="004D3496">
        <w:rPr>
          <w:rFonts w:ascii="Arial" w:hAnsi="Arial" w:cs="Arial"/>
          <w:b/>
          <w:sz w:val="22"/>
          <w:szCs w:val="22"/>
        </w:rPr>
        <w:t>2.5 Instrument and Variables</w:t>
      </w:r>
    </w:p>
    <w:p w14:paraId="6B3F2EC9" w14:textId="77777777" w:rsidR="006F750A" w:rsidRPr="004D3496" w:rsidRDefault="006F750A" w:rsidP="006F750A">
      <w:pPr>
        <w:pStyle w:val="ListParagraph"/>
        <w:spacing w:after="0" w:line="240" w:lineRule="auto"/>
        <w:ind w:right="431"/>
        <w:jc w:val="both"/>
        <w:rPr>
          <w:rFonts w:ascii="Arial" w:hAnsi="Arial" w:cs="Arial"/>
          <w:sz w:val="20"/>
          <w:szCs w:val="20"/>
        </w:rPr>
      </w:pPr>
    </w:p>
    <w:p w14:paraId="71F2D512" w14:textId="77777777" w:rsidR="006F750A" w:rsidRPr="004D3496" w:rsidRDefault="006F750A" w:rsidP="006F750A">
      <w:pPr>
        <w:tabs>
          <w:tab w:val="left" w:pos="8208"/>
        </w:tabs>
        <w:ind w:right="-14"/>
        <w:jc w:val="both"/>
        <w:rPr>
          <w:rFonts w:ascii="Arial" w:hAnsi="Arial" w:cs="Arial"/>
        </w:rPr>
      </w:pPr>
      <w:r w:rsidRPr="004D3496">
        <w:rPr>
          <w:rFonts w:ascii="Arial" w:hAnsi="Arial" w:cs="Arial"/>
        </w:rPr>
        <w:t>A structured questionnaire was developed to measure consumer perceptions of six major attributes influencing the market appeal of locally produced horticultural items. Responses were recorded on a five-point Likert scale ranging from 1 (Highly Dissatisfied) to 5 (Highly Satisfied). The attributes were conceptually grouped as follows:</w:t>
      </w:r>
    </w:p>
    <w:p w14:paraId="0BE4FDB7" w14:textId="77777777" w:rsidR="006F750A" w:rsidRPr="004D3496" w:rsidRDefault="006F750A" w:rsidP="006F750A">
      <w:pPr>
        <w:pStyle w:val="ListParagraph"/>
        <w:spacing w:after="0" w:line="240" w:lineRule="auto"/>
        <w:ind w:right="431"/>
        <w:jc w:val="both"/>
        <w:rPr>
          <w:rFonts w:ascii="Arial" w:hAnsi="Arial" w:cs="Arial"/>
          <w:sz w:val="20"/>
          <w:szCs w:val="20"/>
        </w:rPr>
      </w:pPr>
    </w:p>
    <w:p w14:paraId="6AE617CA" w14:textId="77777777" w:rsidR="006F750A" w:rsidRPr="004D3496" w:rsidRDefault="006F750A" w:rsidP="006F750A">
      <w:pPr>
        <w:pStyle w:val="ListParagraph"/>
        <w:numPr>
          <w:ilvl w:val="0"/>
          <w:numId w:val="31"/>
        </w:numPr>
        <w:tabs>
          <w:tab w:val="left" w:pos="8208"/>
        </w:tabs>
        <w:spacing w:after="0" w:line="240" w:lineRule="auto"/>
        <w:ind w:right="-14"/>
        <w:jc w:val="both"/>
        <w:rPr>
          <w:rFonts w:ascii="Arial" w:hAnsi="Arial" w:cs="Arial"/>
          <w:sz w:val="20"/>
          <w:szCs w:val="20"/>
        </w:rPr>
      </w:pPr>
      <w:r w:rsidRPr="004D3496">
        <w:rPr>
          <w:rFonts w:ascii="Arial" w:hAnsi="Arial" w:cs="Arial"/>
          <w:sz w:val="20"/>
          <w:szCs w:val="20"/>
        </w:rPr>
        <w:t>Human-Dependent Factors: market availability, price competitiveness, product presentation</w:t>
      </w:r>
    </w:p>
    <w:p w14:paraId="182B9712" w14:textId="77777777" w:rsidR="006F750A" w:rsidRPr="004D3496" w:rsidRDefault="006F750A" w:rsidP="006F750A">
      <w:pPr>
        <w:pStyle w:val="ListParagraph"/>
        <w:spacing w:after="0" w:line="240" w:lineRule="auto"/>
        <w:ind w:right="431"/>
        <w:jc w:val="both"/>
        <w:rPr>
          <w:rFonts w:ascii="Arial" w:hAnsi="Arial" w:cs="Arial"/>
          <w:sz w:val="20"/>
          <w:szCs w:val="20"/>
        </w:rPr>
      </w:pPr>
    </w:p>
    <w:p w14:paraId="5B4F5C96" w14:textId="77777777" w:rsidR="006F750A" w:rsidRPr="004D3496" w:rsidRDefault="006F750A" w:rsidP="006F750A">
      <w:pPr>
        <w:pStyle w:val="ListParagraph"/>
        <w:numPr>
          <w:ilvl w:val="0"/>
          <w:numId w:val="31"/>
        </w:numPr>
        <w:spacing w:after="0" w:line="240" w:lineRule="auto"/>
        <w:ind w:right="-14"/>
        <w:jc w:val="both"/>
        <w:rPr>
          <w:rFonts w:ascii="Arial" w:hAnsi="Arial" w:cs="Arial"/>
          <w:sz w:val="20"/>
          <w:szCs w:val="20"/>
        </w:rPr>
      </w:pPr>
      <w:r w:rsidRPr="004D3496">
        <w:rPr>
          <w:rFonts w:ascii="Arial" w:hAnsi="Arial" w:cs="Arial"/>
          <w:sz w:val="20"/>
          <w:szCs w:val="20"/>
        </w:rPr>
        <w:t xml:space="preserve">Climate-Dependent Factors: nutritional quality, natural freshness, </w:t>
      </w:r>
      <w:proofErr w:type="spellStart"/>
      <w:r w:rsidRPr="004D3496">
        <w:rPr>
          <w:rFonts w:ascii="Arial" w:hAnsi="Arial" w:cs="Arial"/>
          <w:sz w:val="20"/>
          <w:szCs w:val="20"/>
        </w:rPr>
        <w:t>flavour</w:t>
      </w:r>
      <w:proofErr w:type="spellEnd"/>
      <w:r w:rsidRPr="004D3496">
        <w:rPr>
          <w:rFonts w:ascii="Arial" w:hAnsi="Arial" w:cs="Arial"/>
          <w:sz w:val="20"/>
          <w:szCs w:val="20"/>
        </w:rPr>
        <w:t xml:space="preserve"> profile</w:t>
      </w:r>
    </w:p>
    <w:p w14:paraId="0E9FD889" w14:textId="77777777" w:rsidR="006F750A" w:rsidRPr="004D3496" w:rsidRDefault="006F750A" w:rsidP="006F750A">
      <w:pPr>
        <w:pStyle w:val="ListParagraph"/>
        <w:spacing w:after="0" w:line="240" w:lineRule="auto"/>
        <w:ind w:right="431"/>
        <w:jc w:val="both"/>
        <w:rPr>
          <w:rFonts w:ascii="Arial" w:hAnsi="Arial" w:cs="Arial"/>
          <w:sz w:val="20"/>
          <w:szCs w:val="20"/>
        </w:rPr>
      </w:pPr>
    </w:p>
    <w:p w14:paraId="2542C4C8" w14:textId="77777777" w:rsidR="006F750A" w:rsidRPr="004D3496" w:rsidRDefault="006F750A" w:rsidP="006F750A">
      <w:pPr>
        <w:tabs>
          <w:tab w:val="left" w:pos="8208"/>
        </w:tabs>
        <w:ind w:right="-14"/>
        <w:jc w:val="both"/>
        <w:rPr>
          <w:rFonts w:ascii="Arial" w:hAnsi="Arial" w:cs="Arial"/>
        </w:rPr>
      </w:pPr>
      <w:r w:rsidRPr="004D3496">
        <w:rPr>
          <w:rFonts w:ascii="Arial" w:hAnsi="Arial" w:cs="Arial"/>
        </w:rPr>
        <w:t>The questionnaire underwent pilot testing with a small set of respondents to ensure clarity, relevance, and alignment with the study objectives. Minor wording modifications were incorporated to improve consistency and comprehensibility.</w:t>
      </w:r>
    </w:p>
    <w:p w14:paraId="0D83EB4D" w14:textId="77777777" w:rsidR="006F750A" w:rsidRPr="004D3496" w:rsidRDefault="006F750A" w:rsidP="006F750A">
      <w:pPr>
        <w:pStyle w:val="ListParagraph"/>
        <w:spacing w:after="0" w:line="240" w:lineRule="auto"/>
        <w:ind w:right="431"/>
        <w:jc w:val="both"/>
        <w:rPr>
          <w:rFonts w:ascii="Arial" w:hAnsi="Arial" w:cs="Arial"/>
          <w:sz w:val="20"/>
          <w:szCs w:val="20"/>
        </w:rPr>
      </w:pPr>
    </w:p>
    <w:p w14:paraId="18E696C2" w14:textId="77777777" w:rsidR="006F750A" w:rsidRPr="004D3496" w:rsidRDefault="006F750A" w:rsidP="006F750A">
      <w:pPr>
        <w:ind w:right="431"/>
        <w:rPr>
          <w:rFonts w:ascii="Arial" w:hAnsi="Arial" w:cs="Arial"/>
          <w:b/>
          <w:sz w:val="22"/>
          <w:szCs w:val="22"/>
        </w:rPr>
      </w:pPr>
      <w:r w:rsidRPr="004D3496">
        <w:rPr>
          <w:rFonts w:ascii="Arial" w:hAnsi="Arial" w:cs="Arial"/>
          <w:b/>
          <w:sz w:val="22"/>
          <w:szCs w:val="22"/>
        </w:rPr>
        <w:t>2.6 Scope and Justification of Measurement Approach</w:t>
      </w:r>
    </w:p>
    <w:p w14:paraId="61324347" w14:textId="77777777" w:rsidR="006F750A" w:rsidRPr="004D3496" w:rsidRDefault="006F750A" w:rsidP="006F750A">
      <w:pPr>
        <w:pStyle w:val="ListParagraph"/>
        <w:spacing w:after="0" w:line="240" w:lineRule="auto"/>
        <w:ind w:right="431"/>
        <w:jc w:val="both"/>
        <w:rPr>
          <w:rFonts w:ascii="Arial" w:hAnsi="Arial" w:cs="Arial"/>
          <w:sz w:val="20"/>
          <w:szCs w:val="20"/>
        </w:rPr>
      </w:pPr>
    </w:p>
    <w:p w14:paraId="604BDA7A" w14:textId="77777777" w:rsidR="006F750A" w:rsidRPr="004D3496" w:rsidRDefault="006F750A" w:rsidP="006F750A">
      <w:pPr>
        <w:ind w:right="-14"/>
        <w:jc w:val="both"/>
        <w:rPr>
          <w:rFonts w:ascii="Arial" w:hAnsi="Arial" w:cs="Arial"/>
        </w:rPr>
      </w:pPr>
      <w:r w:rsidRPr="004D3496">
        <w:rPr>
          <w:rFonts w:ascii="Arial" w:hAnsi="Arial" w:cs="Arial"/>
        </w:rPr>
        <w:t>The study assessed consumer perceptions of local horticultural products as a broad category rather than focusing on specific commodities. This approach was selected because consumers in hill regions typically evaluate local produce collectively on the basis of freshness, accessibility, and price rather than differentiating by individual product. Since the purpose of the research was to generate insights to support commercialization and livelihood enhancement, a generalized perception-based framework was considered appropriate.</w:t>
      </w:r>
    </w:p>
    <w:p w14:paraId="5909526F" w14:textId="77777777" w:rsidR="006F750A" w:rsidRPr="004D3496" w:rsidRDefault="006F750A" w:rsidP="006F750A">
      <w:pPr>
        <w:pStyle w:val="ListParagraph"/>
        <w:spacing w:after="0" w:line="240" w:lineRule="auto"/>
        <w:ind w:right="431"/>
        <w:jc w:val="both"/>
        <w:rPr>
          <w:rFonts w:ascii="Arial" w:hAnsi="Arial" w:cs="Arial"/>
          <w:sz w:val="20"/>
          <w:szCs w:val="20"/>
        </w:rPr>
      </w:pPr>
    </w:p>
    <w:p w14:paraId="55AC5D8A" w14:textId="77777777" w:rsidR="006F750A" w:rsidRPr="004D3496" w:rsidRDefault="006F750A" w:rsidP="006F750A">
      <w:pPr>
        <w:tabs>
          <w:tab w:val="left" w:pos="8208"/>
        </w:tabs>
        <w:ind w:right="-14"/>
        <w:jc w:val="both"/>
        <w:rPr>
          <w:rFonts w:ascii="Arial" w:hAnsi="Arial" w:cs="Arial"/>
        </w:rPr>
      </w:pPr>
      <w:r w:rsidRPr="004D3496">
        <w:rPr>
          <w:rFonts w:ascii="Arial" w:hAnsi="Arial" w:cs="Arial"/>
        </w:rPr>
        <w:t>A sample size of 339 valid cases was deemed adequate for EFA, exceeding the commonly recommended minimum ratio of 5–10 respondents per variable. This ensured statistical reliability for extracting meaningful factors.</w:t>
      </w:r>
    </w:p>
    <w:p w14:paraId="508D6294" w14:textId="77777777" w:rsidR="006F750A" w:rsidRPr="004D3496" w:rsidRDefault="006F750A" w:rsidP="006F750A">
      <w:pPr>
        <w:pStyle w:val="ListParagraph"/>
        <w:spacing w:after="0" w:line="240" w:lineRule="auto"/>
        <w:ind w:right="431"/>
        <w:jc w:val="both"/>
        <w:rPr>
          <w:rFonts w:ascii="Arial" w:hAnsi="Arial" w:cs="Arial"/>
          <w:sz w:val="20"/>
          <w:szCs w:val="20"/>
        </w:rPr>
      </w:pPr>
    </w:p>
    <w:p w14:paraId="5B0BB3BC" w14:textId="77777777" w:rsidR="006F750A" w:rsidRPr="004D3496" w:rsidRDefault="006F750A" w:rsidP="006F750A">
      <w:pPr>
        <w:ind w:right="431"/>
        <w:rPr>
          <w:rFonts w:ascii="Arial" w:hAnsi="Arial" w:cs="Arial"/>
          <w:b/>
          <w:sz w:val="22"/>
          <w:szCs w:val="22"/>
        </w:rPr>
      </w:pPr>
      <w:r w:rsidRPr="004D3496">
        <w:rPr>
          <w:rFonts w:ascii="Arial" w:hAnsi="Arial" w:cs="Arial"/>
          <w:b/>
          <w:sz w:val="22"/>
          <w:szCs w:val="22"/>
        </w:rPr>
        <w:t>2.7 Statistical Analysis</w:t>
      </w:r>
    </w:p>
    <w:p w14:paraId="6AFB29AE" w14:textId="77777777" w:rsidR="006F750A" w:rsidRPr="004D3496" w:rsidRDefault="006F750A" w:rsidP="006F750A">
      <w:pPr>
        <w:pStyle w:val="ListParagraph"/>
        <w:spacing w:after="0" w:line="240" w:lineRule="auto"/>
        <w:ind w:right="431"/>
        <w:jc w:val="both"/>
        <w:rPr>
          <w:rFonts w:ascii="Arial" w:hAnsi="Arial" w:cs="Arial"/>
          <w:sz w:val="20"/>
          <w:szCs w:val="20"/>
        </w:rPr>
      </w:pPr>
    </w:p>
    <w:p w14:paraId="407AF81D" w14:textId="77777777" w:rsidR="006F750A" w:rsidRPr="004D3496" w:rsidRDefault="006F750A" w:rsidP="006F750A">
      <w:pPr>
        <w:ind w:right="-14"/>
        <w:jc w:val="both"/>
        <w:rPr>
          <w:rFonts w:ascii="Arial" w:hAnsi="Arial" w:cs="Arial"/>
        </w:rPr>
      </w:pPr>
      <w:r w:rsidRPr="004D3496">
        <w:rPr>
          <w:rFonts w:ascii="Arial" w:hAnsi="Arial" w:cs="Arial"/>
        </w:rPr>
        <w:t>Data analysis was performed using IBM SPSS Statistics 30.0. The following statistical procedures were employed:</w:t>
      </w:r>
    </w:p>
    <w:p w14:paraId="488D4CC6" w14:textId="77777777" w:rsidR="006F750A" w:rsidRPr="004D3496" w:rsidRDefault="006F750A" w:rsidP="006F750A">
      <w:pPr>
        <w:pStyle w:val="ListParagraph"/>
        <w:spacing w:after="0" w:line="240" w:lineRule="auto"/>
        <w:ind w:right="431"/>
        <w:jc w:val="both"/>
        <w:rPr>
          <w:rFonts w:ascii="Arial" w:hAnsi="Arial" w:cs="Arial"/>
          <w:sz w:val="20"/>
          <w:szCs w:val="20"/>
        </w:rPr>
      </w:pPr>
    </w:p>
    <w:p w14:paraId="6FC71268" w14:textId="77777777" w:rsidR="006F750A" w:rsidRPr="004D3496" w:rsidRDefault="006F750A" w:rsidP="006F750A">
      <w:pPr>
        <w:pStyle w:val="ListParagraph"/>
        <w:numPr>
          <w:ilvl w:val="0"/>
          <w:numId w:val="32"/>
        </w:numPr>
        <w:spacing w:after="0" w:line="240" w:lineRule="auto"/>
        <w:ind w:right="-14"/>
        <w:jc w:val="both"/>
        <w:rPr>
          <w:rFonts w:ascii="Arial" w:hAnsi="Arial" w:cs="Arial"/>
          <w:sz w:val="20"/>
          <w:szCs w:val="20"/>
        </w:rPr>
      </w:pPr>
      <w:r w:rsidRPr="004D3496">
        <w:rPr>
          <w:rFonts w:ascii="Arial" w:hAnsi="Arial" w:cs="Arial"/>
          <w:sz w:val="20"/>
          <w:szCs w:val="20"/>
        </w:rPr>
        <w:t>Descriptive Statistics to summarize consumer evaluations across the six attributes.</w:t>
      </w:r>
    </w:p>
    <w:p w14:paraId="431A0EC0" w14:textId="77777777" w:rsidR="006F750A" w:rsidRPr="004D3496" w:rsidRDefault="006F750A" w:rsidP="006F750A">
      <w:pPr>
        <w:pStyle w:val="ListParagraph"/>
        <w:spacing w:after="0" w:line="240" w:lineRule="auto"/>
        <w:ind w:right="431"/>
        <w:jc w:val="both"/>
        <w:rPr>
          <w:rFonts w:ascii="Arial" w:hAnsi="Arial" w:cs="Arial"/>
          <w:sz w:val="20"/>
          <w:szCs w:val="20"/>
        </w:rPr>
      </w:pPr>
    </w:p>
    <w:p w14:paraId="59B4B60A" w14:textId="77777777" w:rsidR="006F750A" w:rsidRPr="004D3496" w:rsidRDefault="006F750A" w:rsidP="006F750A">
      <w:pPr>
        <w:pStyle w:val="ListParagraph"/>
        <w:numPr>
          <w:ilvl w:val="0"/>
          <w:numId w:val="32"/>
        </w:numPr>
        <w:tabs>
          <w:tab w:val="left" w:pos="8208"/>
        </w:tabs>
        <w:spacing w:after="0" w:line="240" w:lineRule="auto"/>
        <w:ind w:right="-14"/>
        <w:jc w:val="both"/>
        <w:rPr>
          <w:rFonts w:ascii="Arial" w:hAnsi="Arial" w:cs="Arial"/>
          <w:sz w:val="20"/>
          <w:szCs w:val="20"/>
        </w:rPr>
      </w:pPr>
      <w:r w:rsidRPr="004D3496">
        <w:rPr>
          <w:rFonts w:ascii="Arial" w:hAnsi="Arial" w:cs="Arial"/>
          <w:sz w:val="20"/>
          <w:szCs w:val="20"/>
        </w:rPr>
        <w:t>Kaiser–Meyer–Olkin (KMO) Test and Bartlett’s Test of Sphericity to assess sampling adequacy and suitability for EFA.</w:t>
      </w:r>
    </w:p>
    <w:p w14:paraId="04B872C1" w14:textId="77777777" w:rsidR="006F750A" w:rsidRPr="004D3496" w:rsidRDefault="006F750A" w:rsidP="006F750A">
      <w:pPr>
        <w:pStyle w:val="ListParagraph"/>
        <w:spacing w:after="0" w:line="240" w:lineRule="auto"/>
        <w:ind w:right="431"/>
        <w:jc w:val="both"/>
        <w:rPr>
          <w:rFonts w:ascii="Arial" w:hAnsi="Arial" w:cs="Arial"/>
          <w:sz w:val="20"/>
          <w:szCs w:val="20"/>
        </w:rPr>
      </w:pPr>
    </w:p>
    <w:p w14:paraId="331716C7" w14:textId="77777777" w:rsidR="006F750A" w:rsidRPr="004D3496" w:rsidRDefault="006F750A" w:rsidP="006F750A">
      <w:pPr>
        <w:pStyle w:val="ListParagraph"/>
        <w:numPr>
          <w:ilvl w:val="0"/>
          <w:numId w:val="32"/>
        </w:numPr>
        <w:tabs>
          <w:tab w:val="left" w:pos="7655"/>
          <w:tab w:val="left" w:pos="8080"/>
          <w:tab w:val="left" w:pos="8222"/>
        </w:tabs>
        <w:spacing w:after="0" w:line="240" w:lineRule="auto"/>
        <w:ind w:right="-14"/>
        <w:jc w:val="both"/>
        <w:rPr>
          <w:rFonts w:ascii="Arial" w:hAnsi="Arial" w:cs="Arial"/>
          <w:sz w:val="20"/>
          <w:szCs w:val="20"/>
        </w:rPr>
      </w:pPr>
      <w:r w:rsidRPr="004D3496">
        <w:rPr>
          <w:rFonts w:ascii="Arial" w:hAnsi="Arial" w:cs="Arial"/>
          <w:sz w:val="20"/>
          <w:szCs w:val="20"/>
        </w:rPr>
        <w:t>Principal Component Analysis (PCA) with Varimax rotation to extract and interpret latent perceptual dimensions, following standard procedures recommended in multivariate analysis literature.</w:t>
      </w:r>
    </w:p>
    <w:p w14:paraId="17D1A0C5" w14:textId="77777777" w:rsidR="006F750A" w:rsidRPr="004D3496" w:rsidRDefault="006F750A" w:rsidP="006F750A">
      <w:pPr>
        <w:pStyle w:val="ListParagraph"/>
        <w:spacing w:after="0" w:line="240" w:lineRule="auto"/>
        <w:ind w:right="431"/>
        <w:jc w:val="both"/>
        <w:rPr>
          <w:rFonts w:ascii="Arial" w:hAnsi="Arial" w:cs="Arial"/>
          <w:sz w:val="20"/>
          <w:szCs w:val="20"/>
        </w:rPr>
      </w:pPr>
    </w:p>
    <w:p w14:paraId="60115C30" w14:textId="77777777" w:rsidR="006F750A" w:rsidRPr="004D3496" w:rsidRDefault="006F750A" w:rsidP="006F750A">
      <w:pPr>
        <w:pStyle w:val="ListParagraph"/>
        <w:numPr>
          <w:ilvl w:val="0"/>
          <w:numId w:val="32"/>
        </w:numPr>
        <w:tabs>
          <w:tab w:val="left" w:pos="8208"/>
        </w:tabs>
        <w:spacing w:after="0" w:line="240" w:lineRule="auto"/>
        <w:ind w:right="-14"/>
        <w:jc w:val="both"/>
        <w:rPr>
          <w:rFonts w:ascii="Arial" w:hAnsi="Arial" w:cs="Arial"/>
          <w:sz w:val="20"/>
          <w:szCs w:val="20"/>
        </w:rPr>
      </w:pPr>
      <w:r w:rsidRPr="004D3496">
        <w:rPr>
          <w:rFonts w:ascii="Arial" w:hAnsi="Arial" w:cs="Arial"/>
          <w:sz w:val="20"/>
          <w:szCs w:val="20"/>
        </w:rPr>
        <w:t>Cronbach’s Alpha to evaluate the internal consistency of the factors derived from the analysis.</w:t>
      </w:r>
    </w:p>
    <w:p w14:paraId="150A873D" w14:textId="77777777" w:rsidR="006F750A" w:rsidRPr="004D3496" w:rsidRDefault="006F750A" w:rsidP="006F750A">
      <w:pPr>
        <w:pStyle w:val="ListParagraph"/>
        <w:spacing w:after="0" w:line="240" w:lineRule="auto"/>
        <w:ind w:right="431"/>
        <w:jc w:val="both"/>
        <w:rPr>
          <w:rFonts w:ascii="Arial" w:hAnsi="Arial" w:cs="Arial"/>
          <w:sz w:val="20"/>
          <w:szCs w:val="20"/>
        </w:rPr>
      </w:pPr>
    </w:p>
    <w:p w14:paraId="4FF2F4EB" w14:textId="77777777" w:rsidR="006F750A" w:rsidRDefault="006F750A" w:rsidP="006F750A">
      <w:pPr>
        <w:pStyle w:val="Body"/>
        <w:spacing w:after="0"/>
        <w:rPr>
          <w:rFonts w:ascii="Times New Roman" w:hAnsi="Times New Roman"/>
          <w:sz w:val="24"/>
          <w:szCs w:val="24"/>
        </w:rPr>
      </w:pPr>
      <w:r w:rsidRPr="004D3496">
        <w:rPr>
          <w:rFonts w:ascii="Arial" w:hAnsi="Arial" w:cs="Arial"/>
        </w:rPr>
        <w:lastRenderedPageBreak/>
        <w:t>This structured analytical framework ensured methodological rigor and strengthened the validity of insights relevant to improving commercialization pathways and supporting income generation through horticulture in the Kumaon region.</w:t>
      </w:r>
    </w:p>
    <w:p w14:paraId="36AAB955" w14:textId="77777777" w:rsidR="006F750A" w:rsidRDefault="006F750A" w:rsidP="006F750A">
      <w:pPr>
        <w:pStyle w:val="Body"/>
        <w:spacing w:after="0"/>
        <w:rPr>
          <w:rFonts w:ascii="Times New Roman" w:hAnsi="Times New Roman"/>
          <w:sz w:val="24"/>
          <w:szCs w:val="24"/>
        </w:rPr>
      </w:pPr>
    </w:p>
    <w:p w14:paraId="4E94C32D" w14:textId="77777777" w:rsidR="006F750A" w:rsidRPr="00FB3A86" w:rsidRDefault="006F750A" w:rsidP="006F750A">
      <w:pPr>
        <w:pStyle w:val="Body"/>
        <w:spacing w:after="0"/>
        <w:rPr>
          <w:rFonts w:ascii="Arial" w:hAnsi="Arial" w:cs="Arial"/>
        </w:rPr>
      </w:pPr>
    </w:p>
    <w:p w14:paraId="3C107242" w14:textId="77777777" w:rsidR="006F750A" w:rsidRDefault="006F750A" w:rsidP="006F750A">
      <w:pPr>
        <w:pStyle w:val="Head1"/>
        <w:spacing w:after="0"/>
        <w:rPr>
          <w:rFonts w:ascii="Arial" w:hAnsi="Arial" w:cs="Arial"/>
        </w:rPr>
      </w:pPr>
      <w:r>
        <w:rPr>
          <w:rFonts w:ascii="Arial" w:hAnsi="Arial" w:cs="Arial"/>
        </w:rPr>
        <w:t xml:space="preserve">3. results </w:t>
      </w:r>
    </w:p>
    <w:p w14:paraId="5DFC30CE" w14:textId="77777777" w:rsidR="006F750A" w:rsidRPr="00FB3A86" w:rsidRDefault="006F750A" w:rsidP="006F750A">
      <w:pPr>
        <w:pStyle w:val="Head1"/>
        <w:spacing w:after="0"/>
        <w:jc w:val="both"/>
        <w:rPr>
          <w:rFonts w:ascii="Arial" w:hAnsi="Arial" w:cs="Arial"/>
        </w:rPr>
      </w:pPr>
    </w:p>
    <w:p w14:paraId="2EE93F14" w14:textId="77777777" w:rsidR="006F750A" w:rsidRPr="004D3496" w:rsidRDefault="006F750A" w:rsidP="006F750A">
      <w:pPr>
        <w:ind w:right="431"/>
        <w:rPr>
          <w:rFonts w:ascii="Arial" w:hAnsi="Arial" w:cs="Arial"/>
          <w:b/>
          <w:sz w:val="22"/>
          <w:szCs w:val="22"/>
        </w:rPr>
      </w:pPr>
      <w:r w:rsidRPr="004D3496">
        <w:rPr>
          <w:rFonts w:ascii="Arial" w:hAnsi="Arial" w:cs="Arial"/>
          <w:b/>
          <w:sz w:val="22"/>
          <w:szCs w:val="22"/>
        </w:rPr>
        <w:t>3.1 Descriptive Statistics</w:t>
      </w:r>
    </w:p>
    <w:p w14:paraId="4525BFDA" w14:textId="77777777" w:rsidR="006F750A" w:rsidRPr="004D3496" w:rsidRDefault="006F750A" w:rsidP="006F750A">
      <w:pPr>
        <w:pStyle w:val="ListParagraph"/>
        <w:spacing w:after="0" w:line="240" w:lineRule="auto"/>
        <w:ind w:right="431"/>
        <w:jc w:val="both"/>
        <w:rPr>
          <w:rFonts w:ascii="Arial" w:hAnsi="Arial" w:cs="Arial"/>
          <w:sz w:val="20"/>
          <w:szCs w:val="20"/>
        </w:rPr>
      </w:pPr>
    </w:p>
    <w:p w14:paraId="543DE303" w14:textId="77777777" w:rsidR="006F750A" w:rsidRPr="004D3496" w:rsidRDefault="006F750A" w:rsidP="006F750A">
      <w:pPr>
        <w:ind w:right="-14"/>
        <w:jc w:val="both"/>
        <w:rPr>
          <w:rFonts w:ascii="Arial" w:hAnsi="Arial" w:cs="Arial"/>
        </w:rPr>
      </w:pPr>
      <w:r w:rsidRPr="004D3496">
        <w:rPr>
          <w:rFonts w:ascii="Arial" w:hAnsi="Arial" w:cs="Arial"/>
        </w:rPr>
        <w:t xml:space="preserve">Table 1 provides a summary of the descriptive statistics related to the six attributes evaluated during the study. The highest mean scores were recorded for nutritional quality (Mean = 2.81, SD = 0.972), natural freshness (Mean = 2.77, SD = 0.994), and flavor profile (Mean = 2.76, SD = 0.795). These findings suggest </w:t>
      </w:r>
      <w:proofErr w:type="spellStart"/>
      <w:r w:rsidRPr="004D3496">
        <w:rPr>
          <w:rFonts w:ascii="Arial" w:hAnsi="Arial" w:cs="Arial"/>
        </w:rPr>
        <w:t>favourable</w:t>
      </w:r>
      <w:proofErr w:type="spellEnd"/>
      <w:r w:rsidRPr="004D3496">
        <w:rPr>
          <w:rFonts w:ascii="Arial" w:hAnsi="Arial" w:cs="Arial"/>
        </w:rPr>
        <w:t xml:space="preserve"> consumer evaluation of intrinsic, climate-dependent characteristics of locally produced horticultural products.</w:t>
      </w:r>
    </w:p>
    <w:p w14:paraId="653ADB9B" w14:textId="77777777" w:rsidR="006F750A" w:rsidRPr="004D3496" w:rsidRDefault="006F750A" w:rsidP="006F750A">
      <w:pPr>
        <w:pStyle w:val="ListParagraph"/>
        <w:spacing w:after="0" w:line="240" w:lineRule="auto"/>
        <w:ind w:right="431"/>
        <w:jc w:val="both"/>
        <w:rPr>
          <w:rFonts w:ascii="Arial" w:hAnsi="Arial" w:cs="Arial"/>
          <w:sz w:val="20"/>
          <w:szCs w:val="20"/>
        </w:rPr>
      </w:pPr>
    </w:p>
    <w:p w14:paraId="1E07AA45" w14:textId="77777777" w:rsidR="006F750A" w:rsidRPr="004D3496" w:rsidRDefault="006F750A" w:rsidP="006F750A">
      <w:pPr>
        <w:ind w:right="-14"/>
        <w:jc w:val="both"/>
        <w:rPr>
          <w:rFonts w:ascii="Arial" w:hAnsi="Arial" w:cs="Arial"/>
        </w:rPr>
      </w:pPr>
      <w:r w:rsidRPr="004D3496">
        <w:rPr>
          <w:rFonts w:ascii="Arial" w:hAnsi="Arial" w:cs="Arial"/>
        </w:rPr>
        <w:t xml:space="preserve">In contrast, human-dependent attributes such as product presentation (Mean = 1.86, SD = 0.927), market availability (Mean = 1.86, SD = 0.978), and price competitiveness (Mean = 1.84, SD = 0.927) received comparatively lower ratings. These indicate consumer dissatisfaction with external, market-driven aspects of horticultural produce. The relatively </w:t>
      </w:r>
    </w:p>
    <w:p w14:paraId="271BCE31" w14:textId="77777777" w:rsidR="006F750A" w:rsidRDefault="006F750A" w:rsidP="006F750A">
      <w:pPr>
        <w:ind w:right="431"/>
        <w:jc w:val="both"/>
        <w:rPr>
          <w:rFonts w:ascii="Times New Roman" w:hAnsi="Times New Roman"/>
          <w:sz w:val="24"/>
          <w:szCs w:val="24"/>
        </w:rPr>
      </w:pPr>
    </w:p>
    <w:p w14:paraId="70C1FF52" w14:textId="77777777" w:rsidR="006F750A" w:rsidRPr="00E46298" w:rsidRDefault="006F750A" w:rsidP="006F750A">
      <w:pPr>
        <w:ind w:right="431"/>
        <w:jc w:val="both"/>
        <w:rPr>
          <w:rFonts w:ascii="Times New Roman" w:hAnsi="Times New Roman"/>
          <w:sz w:val="24"/>
          <w:szCs w:val="24"/>
        </w:rPr>
      </w:pPr>
    </w:p>
    <w:tbl>
      <w:tblPr>
        <w:tblStyle w:val="TableGrid"/>
        <w:tblW w:w="8222" w:type="dxa"/>
        <w:tblInd w:w="108" w:type="dxa"/>
        <w:tblLayout w:type="fixed"/>
        <w:tblLook w:val="04A0" w:firstRow="1" w:lastRow="0" w:firstColumn="1" w:lastColumn="0" w:noHBand="0" w:noVBand="1"/>
      </w:tblPr>
      <w:tblGrid>
        <w:gridCol w:w="2268"/>
        <w:gridCol w:w="851"/>
        <w:gridCol w:w="1134"/>
        <w:gridCol w:w="1134"/>
        <w:gridCol w:w="992"/>
        <w:gridCol w:w="1843"/>
      </w:tblGrid>
      <w:tr w:rsidR="006F750A" w14:paraId="34A4B6DA" w14:textId="77777777" w:rsidTr="00F34EE3">
        <w:tc>
          <w:tcPr>
            <w:tcW w:w="822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CDE9B" w14:textId="77777777" w:rsidR="006F750A" w:rsidRPr="00203AB5" w:rsidRDefault="006F750A" w:rsidP="00F34EE3">
            <w:pPr>
              <w:spacing w:before="100" w:beforeAutospacing="1" w:after="100" w:afterAutospacing="1"/>
              <w:jc w:val="center"/>
              <w:rPr>
                <w:rFonts w:ascii="Arial" w:hAnsi="Arial" w:cs="Arial"/>
                <w:sz w:val="20"/>
                <w:szCs w:val="20"/>
              </w:rPr>
            </w:pPr>
            <w:r w:rsidRPr="00203AB5">
              <w:rPr>
                <w:rFonts w:ascii="Arial" w:hAnsi="Arial" w:cs="Arial"/>
                <w:b/>
                <w:bCs/>
                <w:color w:val="010205"/>
                <w:sz w:val="20"/>
                <w:szCs w:val="20"/>
              </w:rPr>
              <w:t>Table 1: Descriptive Statistics</w:t>
            </w:r>
          </w:p>
        </w:tc>
      </w:tr>
      <w:tr w:rsidR="006F750A" w14:paraId="433373E8" w14:textId="77777777" w:rsidTr="00F34EE3">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79B2B" w14:textId="77777777" w:rsidR="006F750A" w:rsidRPr="004D3496" w:rsidRDefault="006F750A" w:rsidP="00F34EE3">
            <w:pPr>
              <w:spacing w:before="100" w:beforeAutospacing="1" w:after="100" w:afterAutospacing="1"/>
              <w:rPr>
                <w:rFonts w:ascii="Arial" w:hAnsi="Arial" w:cs="Arial"/>
                <w:sz w:val="18"/>
                <w:szCs w:val="18"/>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4D88F85" w14:textId="77777777" w:rsidR="006F750A" w:rsidRPr="004D3496" w:rsidRDefault="006F750A" w:rsidP="00F34EE3">
            <w:pPr>
              <w:autoSpaceDE w:val="0"/>
              <w:autoSpaceDN w:val="0"/>
              <w:adjustRightInd w:val="0"/>
              <w:spacing w:line="320" w:lineRule="atLeast"/>
              <w:ind w:left="60" w:right="60"/>
              <w:jc w:val="center"/>
              <w:rPr>
                <w:rFonts w:ascii="Arial" w:hAnsi="Arial" w:cs="Arial"/>
                <w:color w:val="264A60"/>
                <w:sz w:val="18"/>
                <w:szCs w:val="18"/>
              </w:rPr>
            </w:pPr>
            <w:r w:rsidRPr="004D3496">
              <w:rPr>
                <w:rFonts w:ascii="Arial" w:hAnsi="Arial" w:cs="Arial"/>
                <w:color w:val="264A60"/>
                <w:sz w:val="18"/>
                <w:szCs w:val="18"/>
              </w:rPr>
              <w:t>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306C56C" w14:textId="77777777" w:rsidR="006F750A" w:rsidRPr="004D3496" w:rsidRDefault="006F750A" w:rsidP="00F34EE3">
            <w:pPr>
              <w:autoSpaceDE w:val="0"/>
              <w:autoSpaceDN w:val="0"/>
              <w:adjustRightInd w:val="0"/>
              <w:spacing w:line="320" w:lineRule="atLeast"/>
              <w:ind w:left="60" w:right="60"/>
              <w:jc w:val="center"/>
              <w:rPr>
                <w:rFonts w:ascii="Arial" w:hAnsi="Arial" w:cs="Arial"/>
                <w:color w:val="264A60"/>
                <w:sz w:val="18"/>
                <w:szCs w:val="18"/>
              </w:rPr>
            </w:pPr>
            <w:r w:rsidRPr="004D3496">
              <w:rPr>
                <w:rFonts w:ascii="Arial" w:hAnsi="Arial" w:cs="Arial"/>
                <w:color w:val="264A60"/>
                <w:sz w:val="18"/>
                <w:szCs w:val="18"/>
              </w:rPr>
              <w:t>Minimum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5D08D7D" w14:textId="77777777" w:rsidR="006F750A" w:rsidRPr="004D3496" w:rsidRDefault="006F750A" w:rsidP="00F34EE3">
            <w:pPr>
              <w:autoSpaceDE w:val="0"/>
              <w:autoSpaceDN w:val="0"/>
              <w:adjustRightInd w:val="0"/>
              <w:spacing w:line="320" w:lineRule="atLeast"/>
              <w:ind w:left="60" w:right="60"/>
              <w:jc w:val="center"/>
              <w:rPr>
                <w:rFonts w:ascii="Arial" w:hAnsi="Arial" w:cs="Arial"/>
                <w:color w:val="264A60"/>
                <w:sz w:val="18"/>
                <w:szCs w:val="18"/>
              </w:rPr>
            </w:pPr>
            <w:r w:rsidRPr="004D3496">
              <w:rPr>
                <w:rFonts w:ascii="Arial" w:hAnsi="Arial" w:cs="Arial"/>
                <w:color w:val="264A60"/>
                <w:sz w:val="18"/>
                <w:szCs w:val="18"/>
              </w:rPr>
              <w:t>Maximum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CD0B24D" w14:textId="77777777" w:rsidR="006F750A" w:rsidRPr="004D3496" w:rsidRDefault="006F750A" w:rsidP="00F34EE3">
            <w:pPr>
              <w:autoSpaceDE w:val="0"/>
              <w:autoSpaceDN w:val="0"/>
              <w:adjustRightInd w:val="0"/>
              <w:spacing w:line="320" w:lineRule="atLeast"/>
              <w:ind w:left="60" w:right="60"/>
              <w:jc w:val="center"/>
              <w:rPr>
                <w:rFonts w:ascii="Arial" w:hAnsi="Arial" w:cs="Arial"/>
                <w:color w:val="264A60"/>
                <w:sz w:val="18"/>
                <w:szCs w:val="18"/>
              </w:rPr>
            </w:pPr>
            <w:r w:rsidRPr="004D3496">
              <w:rPr>
                <w:rFonts w:ascii="Arial" w:hAnsi="Arial" w:cs="Arial"/>
                <w:color w:val="264A60"/>
                <w:sz w:val="18"/>
                <w:szCs w:val="18"/>
              </w:rPr>
              <w:t>Mean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D550F28" w14:textId="77777777" w:rsidR="006F750A" w:rsidRPr="004D3496" w:rsidRDefault="006F750A" w:rsidP="00F34EE3">
            <w:pPr>
              <w:autoSpaceDE w:val="0"/>
              <w:autoSpaceDN w:val="0"/>
              <w:adjustRightInd w:val="0"/>
              <w:spacing w:line="320" w:lineRule="atLeast"/>
              <w:ind w:left="60" w:right="60"/>
              <w:jc w:val="center"/>
              <w:rPr>
                <w:rFonts w:ascii="Arial" w:hAnsi="Arial" w:cs="Arial"/>
                <w:color w:val="264A60"/>
                <w:sz w:val="18"/>
                <w:szCs w:val="18"/>
              </w:rPr>
            </w:pPr>
            <w:r w:rsidRPr="004D3496">
              <w:rPr>
                <w:rFonts w:ascii="Arial" w:hAnsi="Arial" w:cs="Arial"/>
                <w:color w:val="264A60"/>
                <w:sz w:val="18"/>
                <w:szCs w:val="18"/>
              </w:rPr>
              <w:t>Std. Deviation</w:t>
            </w:r>
          </w:p>
        </w:tc>
      </w:tr>
      <w:tr w:rsidR="006F750A" w14:paraId="38081C99" w14:textId="77777777" w:rsidTr="00F34EE3">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26738" w14:textId="77777777" w:rsidR="006F750A" w:rsidRPr="004D3496" w:rsidRDefault="006F750A" w:rsidP="00F34EE3">
            <w:pPr>
              <w:autoSpaceDE w:val="0"/>
              <w:autoSpaceDN w:val="0"/>
              <w:adjustRightInd w:val="0"/>
              <w:spacing w:line="320" w:lineRule="atLeast"/>
              <w:ind w:left="60" w:right="60"/>
              <w:rPr>
                <w:rFonts w:ascii="Arial" w:hAnsi="Arial" w:cs="Arial"/>
                <w:color w:val="264A60"/>
                <w:sz w:val="18"/>
                <w:szCs w:val="18"/>
              </w:rPr>
            </w:pPr>
            <w:r w:rsidRPr="004D3496">
              <w:rPr>
                <w:rFonts w:ascii="Arial" w:hAnsi="Arial" w:cs="Arial"/>
                <w:color w:val="264A60"/>
                <w:sz w:val="18"/>
                <w:szCs w:val="18"/>
              </w:rPr>
              <w:t>Nutritional quality</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6EA451" w14:textId="77777777"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339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26A27" w14:textId="77777777"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F32E3" w14:textId="77777777"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FE457" w14:textId="77777777"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2.81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7A815" w14:textId="77777777"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.972</w:t>
            </w:r>
          </w:p>
        </w:tc>
      </w:tr>
      <w:tr w:rsidR="006F750A" w14:paraId="102B4EA5" w14:textId="77777777" w:rsidTr="00F34EE3">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DF3CC" w14:textId="77777777" w:rsidR="006F750A" w:rsidRPr="004D3496" w:rsidRDefault="006F750A" w:rsidP="00F34EE3">
            <w:pPr>
              <w:autoSpaceDE w:val="0"/>
              <w:autoSpaceDN w:val="0"/>
              <w:adjustRightInd w:val="0"/>
              <w:spacing w:line="320" w:lineRule="atLeast"/>
              <w:ind w:left="60" w:right="60"/>
              <w:rPr>
                <w:rFonts w:ascii="Arial" w:hAnsi="Arial" w:cs="Arial"/>
                <w:color w:val="264A60"/>
                <w:sz w:val="18"/>
                <w:szCs w:val="18"/>
              </w:rPr>
            </w:pPr>
            <w:r w:rsidRPr="004D3496">
              <w:rPr>
                <w:rFonts w:ascii="Arial" w:hAnsi="Arial" w:cs="Arial"/>
                <w:color w:val="264A60"/>
                <w:sz w:val="18"/>
                <w:szCs w:val="18"/>
              </w:rPr>
              <w:t>Natural freshness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BEA743" w14:textId="77777777"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339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37A20" w14:textId="77777777"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10EDB9" w14:textId="77777777"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CB2B6" w14:textId="77777777"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2.77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0EE86" w14:textId="77777777"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.994</w:t>
            </w:r>
          </w:p>
        </w:tc>
      </w:tr>
      <w:tr w:rsidR="006F750A" w14:paraId="032339C6" w14:textId="77777777" w:rsidTr="00F34EE3">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74B9C0" w14:textId="77777777" w:rsidR="006F750A" w:rsidRPr="004D3496" w:rsidRDefault="006F750A" w:rsidP="00F34EE3">
            <w:pPr>
              <w:autoSpaceDE w:val="0"/>
              <w:autoSpaceDN w:val="0"/>
              <w:adjustRightInd w:val="0"/>
              <w:spacing w:line="320" w:lineRule="atLeast"/>
              <w:ind w:left="60" w:right="60"/>
              <w:rPr>
                <w:rFonts w:ascii="Arial" w:hAnsi="Arial" w:cs="Arial"/>
                <w:color w:val="264A60"/>
                <w:sz w:val="18"/>
                <w:szCs w:val="18"/>
              </w:rPr>
            </w:pPr>
            <w:r w:rsidRPr="004D3496">
              <w:rPr>
                <w:rFonts w:ascii="Arial" w:hAnsi="Arial" w:cs="Arial"/>
                <w:color w:val="264A60"/>
                <w:sz w:val="18"/>
                <w:szCs w:val="18"/>
              </w:rPr>
              <w:t>Flavor profile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06E239" w14:textId="77777777"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339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19EFD" w14:textId="77777777"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D3A89" w14:textId="77777777"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B5F74" w14:textId="77777777"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2.76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29BC22" w14:textId="77777777"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.795</w:t>
            </w:r>
          </w:p>
        </w:tc>
      </w:tr>
      <w:tr w:rsidR="006F750A" w14:paraId="1A6BA99E" w14:textId="77777777" w:rsidTr="00F34EE3">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C171A" w14:textId="77777777" w:rsidR="006F750A" w:rsidRPr="004D3496" w:rsidRDefault="006F750A" w:rsidP="00F34EE3">
            <w:pPr>
              <w:autoSpaceDE w:val="0"/>
              <w:autoSpaceDN w:val="0"/>
              <w:adjustRightInd w:val="0"/>
              <w:spacing w:line="320" w:lineRule="atLeast"/>
              <w:ind w:left="60" w:right="60"/>
              <w:rPr>
                <w:rFonts w:ascii="Arial" w:hAnsi="Arial" w:cs="Arial"/>
                <w:color w:val="264A60"/>
                <w:sz w:val="18"/>
                <w:szCs w:val="18"/>
              </w:rPr>
            </w:pPr>
            <w:r w:rsidRPr="004D3496">
              <w:rPr>
                <w:rFonts w:ascii="Arial" w:hAnsi="Arial" w:cs="Arial"/>
                <w:color w:val="264A60"/>
                <w:sz w:val="18"/>
                <w:szCs w:val="18"/>
              </w:rPr>
              <w:t>Product presentation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BF26CD" w14:textId="77777777"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339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055AC" w14:textId="77777777"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238119" w14:textId="77777777"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C7F36" w14:textId="77777777"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1.86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49205F" w14:textId="77777777"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.927</w:t>
            </w:r>
          </w:p>
        </w:tc>
      </w:tr>
      <w:tr w:rsidR="006F750A" w14:paraId="00A313DE" w14:textId="77777777" w:rsidTr="00F34EE3">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6C25B" w14:textId="77777777" w:rsidR="006F750A" w:rsidRPr="004D3496" w:rsidRDefault="006F750A" w:rsidP="00F34EE3">
            <w:pPr>
              <w:autoSpaceDE w:val="0"/>
              <w:autoSpaceDN w:val="0"/>
              <w:adjustRightInd w:val="0"/>
              <w:spacing w:line="320" w:lineRule="atLeast"/>
              <w:ind w:left="60" w:right="60"/>
              <w:rPr>
                <w:rFonts w:ascii="Arial" w:hAnsi="Arial" w:cs="Arial"/>
                <w:color w:val="264A60"/>
                <w:sz w:val="18"/>
                <w:szCs w:val="18"/>
              </w:rPr>
            </w:pPr>
            <w:r w:rsidRPr="004D3496">
              <w:rPr>
                <w:rFonts w:ascii="Arial" w:hAnsi="Arial" w:cs="Arial"/>
                <w:color w:val="264A60"/>
                <w:sz w:val="18"/>
                <w:szCs w:val="18"/>
              </w:rPr>
              <w:t>Market availability</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ADA20" w14:textId="77777777"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339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ED8E3" w14:textId="77777777"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35F73" w14:textId="77777777"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1703B" w14:textId="77777777"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1.86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B5CC6" w14:textId="77777777"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.978</w:t>
            </w:r>
          </w:p>
        </w:tc>
      </w:tr>
      <w:tr w:rsidR="006F750A" w14:paraId="3986F121" w14:textId="77777777" w:rsidTr="00F34EE3">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3DC98C" w14:textId="77777777" w:rsidR="006F750A" w:rsidRPr="004D3496" w:rsidRDefault="006F750A" w:rsidP="00F34EE3">
            <w:pPr>
              <w:autoSpaceDE w:val="0"/>
              <w:autoSpaceDN w:val="0"/>
              <w:adjustRightInd w:val="0"/>
              <w:spacing w:line="320" w:lineRule="atLeast"/>
              <w:ind w:left="60" w:right="60"/>
              <w:rPr>
                <w:rFonts w:ascii="Arial" w:hAnsi="Arial" w:cs="Arial"/>
                <w:color w:val="264A60"/>
                <w:sz w:val="18"/>
                <w:szCs w:val="18"/>
              </w:rPr>
            </w:pPr>
            <w:r w:rsidRPr="004D3496">
              <w:rPr>
                <w:rFonts w:ascii="Arial" w:hAnsi="Arial" w:cs="Arial"/>
                <w:color w:val="264A60"/>
                <w:sz w:val="18"/>
                <w:szCs w:val="18"/>
              </w:rPr>
              <w:t>Price competitiveness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9C58B" w14:textId="77777777"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339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C47FD" w14:textId="77777777"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29904" w14:textId="77777777"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4FBB4" w14:textId="77777777"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1.84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90CA4" w14:textId="77777777"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.927</w:t>
            </w:r>
          </w:p>
        </w:tc>
      </w:tr>
      <w:tr w:rsidR="006F750A" w14:paraId="64325974" w14:textId="77777777" w:rsidTr="00F34EE3">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D5B14" w14:textId="77777777" w:rsidR="006F750A" w:rsidRPr="004D3496" w:rsidRDefault="006F750A" w:rsidP="00F34EE3">
            <w:pPr>
              <w:autoSpaceDE w:val="0"/>
              <w:autoSpaceDN w:val="0"/>
              <w:adjustRightInd w:val="0"/>
              <w:spacing w:line="320" w:lineRule="atLeast"/>
              <w:ind w:left="60" w:right="60"/>
              <w:rPr>
                <w:rFonts w:ascii="Arial" w:hAnsi="Arial" w:cs="Arial"/>
                <w:color w:val="264A60"/>
                <w:sz w:val="18"/>
                <w:szCs w:val="18"/>
              </w:rPr>
            </w:pPr>
            <w:r w:rsidRPr="004D3496">
              <w:rPr>
                <w:rFonts w:ascii="Arial" w:hAnsi="Arial" w:cs="Arial"/>
                <w:color w:val="264A60"/>
                <w:sz w:val="18"/>
                <w:szCs w:val="18"/>
              </w:rPr>
              <w:t>Valid N (list wise)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BCACF" w14:textId="77777777" w:rsidR="006F750A" w:rsidRPr="004D3496" w:rsidRDefault="006F750A" w:rsidP="00F34EE3">
            <w:pPr>
              <w:spacing w:before="100" w:beforeAutospacing="1" w:after="100" w:afterAutospacing="1"/>
              <w:jc w:val="center"/>
              <w:rPr>
                <w:rFonts w:ascii="Arial" w:hAnsi="Arial" w:cs="Arial"/>
                <w:sz w:val="18"/>
                <w:szCs w:val="18"/>
              </w:rPr>
            </w:pPr>
            <w:r w:rsidRPr="004D3496">
              <w:rPr>
                <w:rFonts w:ascii="Arial" w:hAnsi="Arial" w:cs="Arial"/>
                <w:color w:val="010205"/>
                <w:sz w:val="18"/>
                <w:szCs w:val="18"/>
              </w:rPr>
              <w:t>339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0380D" w14:textId="77777777" w:rsidR="006F750A" w:rsidRPr="004D3496" w:rsidRDefault="006F750A" w:rsidP="00F34EE3">
            <w:pPr>
              <w:spacing w:before="100" w:beforeAutospacing="1" w:after="100" w:afterAutospacing="1"/>
              <w:jc w:val="center"/>
              <w:rPr>
                <w:rFonts w:ascii="Arial" w:hAnsi="Arial" w:cs="Arial"/>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2FDD2" w14:textId="77777777" w:rsidR="006F750A" w:rsidRPr="004D3496" w:rsidRDefault="006F750A" w:rsidP="00F34EE3">
            <w:pPr>
              <w:spacing w:before="100" w:beforeAutospacing="1" w:after="100" w:afterAutospacing="1"/>
              <w:jc w:val="center"/>
              <w:rPr>
                <w:rFonts w:ascii="Arial" w:hAnsi="Arial" w:cs="Arial"/>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05CD9" w14:textId="77777777" w:rsidR="006F750A" w:rsidRPr="004D3496" w:rsidRDefault="006F750A" w:rsidP="00F34EE3">
            <w:pPr>
              <w:spacing w:before="100" w:beforeAutospacing="1" w:after="100" w:afterAutospacing="1"/>
              <w:jc w:val="center"/>
              <w:rPr>
                <w:rFonts w:ascii="Arial" w:hAnsi="Arial" w:cs="Arial"/>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6B88A" w14:textId="77777777" w:rsidR="006F750A" w:rsidRPr="004D3496" w:rsidRDefault="006F750A" w:rsidP="00F34EE3">
            <w:pPr>
              <w:spacing w:before="100" w:beforeAutospacing="1" w:after="100" w:afterAutospacing="1"/>
              <w:jc w:val="center"/>
              <w:rPr>
                <w:rFonts w:ascii="Arial" w:hAnsi="Arial" w:cs="Arial"/>
                <w:sz w:val="18"/>
                <w:szCs w:val="18"/>
              </w:rPr>
            </w:pPr>
          </w:p>
        </w:tc>
      </w:tr>
      <w:tr w:rsidR="006F750A" w14:paraId="3015BFE4" w14:textId="77777777" w:rsidTr="00F34EE3">
        <w:tc>
          <w:tcPr>
            <w:tcW w:w="822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9E9061" w14:textId="77777777" w:rsidR="006F750A" w:rsidRPr="004D3496" w:rsidRDefault="006F750A" w:rsidP="00F34EE3">
            <w:pPr>
              <w:spacing w:before="100" w:beforeAutospacing="1" w:after="100" w:afterAutospacing="1"/>
              <w:rPr>
                <w:rFonts w:ascii="Arial" w:hAnsi="Arial" w:cs="Arial"/>
                <w:sz w:val="18"/>
                <w:szCs w:val="18"/>
              </w:rPr>
            </w:pPr>
            <w:r w:rsidRPr="004D3496">
              <w:rPr>
                <w:rFonts w:ascii="Arial" w:eastAsia="Times New Roman" w:hAnsi="Arial" w:cs="Arial"/>
                <w:bCs/>
                <w:sz w:val="18"/>
                <w:szCs w:val="18"/>
              </w:rPr>
              <w:t>(Source: Compiled from SPSS 30 output)</w:t>
            </w:r>
          </w:p>
        </w:tc>
      </w:tr>
    </w:tbl>
    <w:p w14:paraId="4D6F61F9" w14:textId="77777777" w:rsidR="006F750A" w:rsidRDefault="006F750A" w:rsidP="006F750A">
      <w:pPr>
        <w:ind w:right="431"/>
        <w:jc w:val="both"/>
        <w:rPr>
          <w:rFonts w:ascii="Times New Roman" w:hAnsi="Times New Roman"/>
          <w:sz w:val="24"/>
          <w:szCs w:val="24"/>
        </w:rPr>
      </w:pPr>
    </w:p>
    <w:p w14:paraId="450E669F" w14:textId="77777777" w:rsidR="006F750A" w:rsidRDefault="006F750A" w:rsidP="006F750A">
      <w:pPr>
        <w:ind w:right="431"/>
        <w:jc w:val="both"/>
        <w:rPr>
          <w:rFonts w:ascii="Times New Roman" w:hAnsi="Times New Roman"/>
          <w:sz w:val="24"/>
          <w:szCs w:val="24"/>
        </w:rPr>
      </w:pPr>
    </w:p>
    <w:p w14:paraId="5483C172" w14:textId="77777777" w:rsidR="006F750A" w:rsidRPr="004D3496" w:rsidRDefault="006F750A" w:rsidP="006F750A">
      <w:pPr>
        <w:ind w:right="-14"/>
        <w:jc w:val="both"/>
        <w:rPr>
          <w:rFonts w:ascii="Arial" w:hAnsi="Arial" w:cs="Arial"/>
        </w:rPr>
      </w:pPr>
      <w:r w:rsidRPr="004D3496">
        <w:rPr>
          <w:rFonts w:ascii="Arial" w:hAnsi="Arial" w:cs="Arial"/>
        </w:rPr>
        <w:t>higher standard deviations for nutritional quality and natural freshness indicate variability in consumer experience, whereas flavor profile showed more consistent perception among respondents.</w:t>
      </w:r>
    </w:p>
    <w:p w14:paraId="5DA10A87" w14:textId="77777777" w:rsidR="006F750A" w:rsidRDefault="006F750A" w:rsidP="006F750A">
      <w:pPr>
        <w:pStyle w:val="ListParagraph"/>
        <w:spacing w:after="0" w:line="240" w:lineRule="auto"/>
        <w:ind w:right="431"/>
        <w:jc w:val="both"/>
        <w:rPr>
          <w:rFonts w:ascii="Times New Roman" w:hAnsi="Times New Roman" w:cs="Times New Roman"/>
          <w:sz w:val="24"/>
          <w:szCs w:val="24"/>
        </w:rPr>
      </w:pPr>
    </w:p>
    <w:p w14:paraId="061DCE43" w14:textId="77777777" w:rsidR="006F750A" w:rsidRPr="00E46298" w:rsidRDefault="006F750A" w:rsidP="006F750A">
      <w:pPr>
        <w:pStyle w:val="ListParagraph"/>
        <w:spacing w:after="0" w:line="240" w:lineRule="auto"/>
        <w:ind w:right="431"/>
        <w:jc w:val="both"/>
        <w:rPr>
          <w:rFonts w:ascii="Times New Roman" w:hAnsi="Times New Roman" w:cs="Times New Roman"/>
          <w:sz w:val="24"/>
          <w:szCs w:val="24"/>
        </w:rPr>
      </w:pPr>
    </w:p>
    <w:p w14:paraId="407EA56D" w14:textId="77777777" w:rsidR="006F750A" w:rsidRPr="004D3496" w:rsidRDefault="006F750A" w:rsidP="006F750A">
      <w:pPr>
        <w:ind w:right="431"/>
        <w:rPr>
          <w:rFonts w:ascii="Arial" w:hAnsi="Arial" w:cs="Arial"/>
          <w:b/>
          <w:sz w:val="22"/>
          <w:szCs w:val="22"/>
        </w:rPr>
      </w:pPr>
      <w:r w:rsidRPr="004D3496">
        <w:rPr>
          <w:rFonts w:ascii="Arial" w:hAnsi="Arial" w:cs="Arial"/>
          <w:b/>
          <w:sz w:val="22"/>
          <w:szCs w:val="22"/>
        </w:rPr>
        <w:t>3.2 Exploratory Factor Analysis (EFA)</w:t>
      </w:r>
    </w:p>
    <w:p w14:paraId="559D0C34" w14:textId="77777777" w:rsidR="006F750A" w:rsidRDefault="006F750A" w:rsidP="006F750A">
      <w:pPr>
        <w:ind w:right="431"/>
        <w:jc w:val="both"/>
        <w:rPr>
          <w:rFonts w:ascii="Times New Roman" w:hAnsi="Times New Roman"/>
          <w:b/>
          <w:sz w:val="24"/>
          <w:szCs w:val="24"/>
        </w:rPr>
      </w:pPr>
    </w:p>
    <w:p w14:paraId="04EA1D48" w14:textId="77777777" w:rsidR="006F750A" w:rsidRDefault="006F750A" w:rsidP="006F750A">
      <w:pPr>
        <w:ind w:right="431"/>
        <w:jc w:val="both"/>
        <w:rPr>
          <w:rFonts w:ascii="Times New Roman" w:hAnsi="Times New Roman"/>
          <w:sz w:val="24"/>
          <w:szCs w:val="24"/>
        </w:rPr>
      </w:pPr>
    </w:p>
    <w:p w14:paraId="24720656" w14:textId="77777777" w:rsidR="006F750A" w:rsidRPr="00203AB5" w:rsidRDefault="006F750A" w:rsidP="006F750A">
      <w:pPr>
        <w:ind w:right="431"/>
        <w:rPr>
          <w:rFonts w:ascii="Arial" w:hAnsi="Arial" w:cs="Arial"/>
          <w:b/>
          <w:sz w:val="24"/>
          <w:szCs w:val="24"/>
          <w:u w:val="single"/>
        </w:rPr>
      </w:pPr>
      <w:r w:rsidRPr="00203AB5">
        <w:rPr>
          <w:rFonts w:ascii="Arial" w:hAnsi="Arial" w:cs="Arial"/>
          <w:b/>
          <w:szCs w:val="24"/>
          <w:u w:val="single"/>
        </w:rPr>
        <w:t>3.2.1</w:t>
      </w:r>
      <w:r>
        <w:rPr>
          <w:rFonts w:ascii="Arial" w:hAnsi="Arial" w:cs="Arial"/>
          <w:b/>
          <w:szCs w:val="24"/>
          <w:u w:val="single"/>
        </w:rPr>
        <w:t xml:space="preserve"> </w:t>
      </w:r>
      <w:r w:rsidRPr="00203AB5">
        <w:rPr>
          <w:rFonts w:ascii="Arial" w:hAnsi="Arial" w:cs="Arial"/>
          <w:b/>
          <w:szCs w:val="24"/>
          <w:u w:val="single"/>
        </w:rPr>
        <w:t>KMO and Bartlett’s Test</w:t>
      </w:r>
    </w:p>
    <w:p w14:paraId="4569C70A" w14:textId="77777777" w:rsidR="006F750A" w:rsidRPr="00E46298" w:rsidRDefault="006F750A" w:rsidP="006F750A">
      <w:pPr>
        <w:pStyle w:val="ListParagraph"/>
        <w:spacing w:after="0" w:line="240" w:lineRule="auto"/>
        <w:ind w:right="431"/>
        <w:jc w:val="both"/>
        <w:rPr>
          <w:rFonts w:ascii="Times New Roman" w:hAnsi="Times New Roman" w:cs="Times New Roman"/>
          <w:sz w:val="24"/>
          <w:szCs w:val="24"/>
        </w:rPr>
      </w:pPr>
    </w:p>
    <w:p w14:paraId="0605B483" w14:textId="77777777" w:rsidR="006F750A" w:rsidRPr="00203AB5" w:rsidRDefault="006F750A" w:rsidP="006F750A">
      <w:pPr>
        <w:ind w:right="-14"/>
        <w:jc w:val="both"/>
        <w:rPr>
          <w:rFonts w:ascii="Arial" w:hAnsi="Arial" w:cs="Arial"/>
        </w:rPr>
      </w:pPr>
      <w:r w:rsidRPr="00203AB5">
        <w:rPr>
          <w:rFonts w:ascii="Arial" w:hAnsi="Arial" w:cs="Arial"/>
        </w:rPr>
        <w:t>Table 2 reports the sampling adequacy results, where the KMO score of 0.826 demonstrates that the dataset meets the requirements for reliable factor analysis. Bartlett’s Test of Sphericity was significant (χ² = 1287.463, df = 15, p &lt; 0.001), indicating that the correlation matrix was appropriate for further extraction.</w:t>
      </w:r>
    </w:p>
    <w:p w14:paraId="23EAABF5" w14:textId="77777777" w:rsidR="006F750A" w:rsidRDefault="006F750A" w:rsidP="006F750A">
      <w:pPr>
        <w:ind w:right="431"/>
        <w:jc w:val="both"/>
        <w:rPr>
          <w:rFonts w:ascii="Times New Roman" w:hAnsi="Times New Roman"/>
          <w:sz w:val="24"/>
          <w:szCs w:val="24"/>
        </w:rPr>
      </w:pPr>
    </w:p>
    <w:tbl>
      <w:tblPr>
        <w:tblStyle w:val="TableGrid"/>
        <w:tblW w:w="0" w:type="auto"/>
        <w:tblInd w:w="108" w:type="dxa"/>
        <w:tblLook w:val="04A0" w:firstRow="1" w:lastRow="0" w:firstColumn="1" w:lastColumn="0" w:noHBand="0" w:noVBand="1"/>
      </w:tblPr>
      <w:tblGrid>
        <w:gridCol w:w="2824"/>
        <w:gridCol w:w="2911"/>
        <w:gridCol w:w="2487"/>
      </w:tblGrid>
      <w:tr w:rsidR="006F750A" w14:paraId="5A4E055B" w14:textId="77777777" w:rsidTr="00AF66F6">
        <w:tc>
          <w:tcPr>
            <w:tcW w:w="822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3897A" w14:textId="77777777" w:rsidR="006F750A" w:rsidRPr="00203AB5" w:rsidRDefault="006F750A" w:rsidP="00F34EE3">
            <w:pPr>
              <w:spacing w:before="100" w:beforeAutospacing="1" w:after="100" w:afterAutospacing="1"/>
              <w:jc w:val="center"/>
              <w:rPr>
                <w:rFonts w:ascii="Arial" w:hAnsi="Arial" w:cs="Arial"/>
                <w:sz w:val="20"/>
                <w:szCs w:val="20"/>
              </w:rPr>
            </w:pPr>
            <w:r w:rsidRPr="00203AB5">
              <w:rPr>
                <w:rFonts w:ascii="Arial" w:hAnsi="Arial" w:cs="Arial"/>
                <w:b/>
                <w:bCs/>
                <w:color w:val="010205"/>
                <w:sz w:val="20"/>
                <w:szCs w:val="20"/>
              </w:rPr>
              <w:t>Table 2: KMO and Bartlett's Test</w:t>
            </w:r>
          </w:p>
        </w:tc>
      </w:tr>
      <w:tr w:rsidR="006F750A" w14:paraId="76C4DD0B" w14:textId="77777777" w:rsidTr="00AF66F6">
        <w:tc>
          <w:tcPr>
            <w:tcW w:w="57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04D98" w14:textId="77777777" w:rsidR="006F750A" w:rsidRPr="00203AB5" w:rsidRDefault="006F750A" w:rsidP="00F34EE3">
            <w:pPr>
              <w:spacing w:before="100" w:beforeAutospacing="1" w:after="100" w:afterAutospacing="1"/>
              <w:rPr>
                <w:rFonts w:ascii="Arial" w:hAnsi="Arial" w:cs="Arial"/>
                <w:sz w:val="18"/>
                <w:szCs w:val="18"/>
              </w:rPr>
            </w:pPr>
            <w:r w:rsidRPr="00203AB5">
              <w:rPr>
                <w:rFonts w:ascii="Arial" w:hAnsi="Arial" w:cs="Arial"/>
                <w:color w:val="264A60"/>
                <w:sz w:val="18"/>
                <w:szCs w:val="18"/>
              </w:rPr>
              <w:t>Kaiser-Meyer-Olkin Measure of Sampling Adequacy.</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DC2BF" w14:textId="77777777" w:rsidR="006F750A" w:rsidRPr="00203AB5" w:rsidRDefault="006F750A" w:rsidP="00F34EE3">
            <w:pPr>
              <w:spacing w:before="100" w:beforeAutospacing="1" w:after="100" w:afterAutospacing="1"/>
              <w:jc w:val="center"/>
              <w:rPr>
                <w:rFonts w:ascii="Arial" w:hAnsi="Arial" w:cs="Arial"/>
                <w:sz w:val="18"/>
                <w:szCs w:val="18"/>
              </w:rPr>
            </w:pPr>
            <w:r w:rsidRPr="00203AB5">
              <w:rPr>
                <w:rFonts w:ascii="Arial" w:hAnsi="Arial" w:cs="Arial"/>
                <w:color w:val="010205"/>
                <w:sz w:val="18"/>
                <w:szCs w:val="18"/>
              </w:rPr>
              <w:t>.826</w:t>
            </w:r>
          </w:p>
        </w:tc>
      </w:tr>
      <w:tr w:rsidR="006F750A" w14:paraId="7BD1E57A" w14:textId="77777777" w:rsidTr="00AF66F6">
        <w:tc>
          <w:tcPr>
            <w:tcW w:w="282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0F005" w14:textId="77777777" w:rsidR="006F750A" w:rsidRPr="00203AB5" w:rsidRDefault="006F750A" w:rsidP="00F34EE3">
            <w:pPr>
              <w:spacing w:before="100" w:beforeAutospacing="1" w:after="100" w:afterAutospacing="1"/>
              <w:rPr>
                <w:rFonts w:ascii="Arial" w:hAnsi="Arial" w:cs="Arial"/>
                <w:sz w:val="18"/>
                <w:szCs w:val="18"/>
              </w:rPr>
            </w:pPr>
            <w:r w:rsidRPr="00203AB5">
              <w:rPr>
                <w:rFonts w:ascii="Arial" w:hAnsi="Arial" w:cs="Arial"/>
                <w:color w:val="264A60"/>
                <w:sz w:val="18"/>
                <w:szCs w:val="18"/>
              </w:rPr>
              <w:t>Bartlett's Test of Sphericity</w: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4E7EE" w14:textId="77777777" w:rsidR="006F750A" w:rsidRPr="00203AB5" w:rsidRDefault="006F750A" w:rsidP="00F34EE3">
            <w:pPr>
              <w:autoSpaceDE w:val="0"/>
              <w:autoSpaceDN w:val="0"/>
              <w:adjustRightInd w:val="0"/>
              <w:spacing w:line="320" w:lineRule="atLeast"/>
              <w:ind w:left="60" w:right="60"/>
              <w:rPr>
                <w:rFonts w:ascii="Arial" w:hAnsi="Arial" w:cs="Arial"/>
                <w:color w:val="264A60"/>
                <w:sz w:val="18"/>
                <w:szCs w:val="18"/>
              </w:rPr>
            </w:pPr>
            <w:r w:rsidRPr="00203AB5">
              <w:rPr>
                <w:rFonts w:ascii="Arial" w:hAnsi="Arial" w:cs="Arial"/>
                <w:color w:val="264A60"/>
                <w:sz w:val="18"/>
                <w:szCs w:val="18"/>
              </w:rPr>
              <w:t>Approx. Chi-Square</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24F87" w14:textId="77777777" w:rsidR="006F750A" w:rsidRPr="00203AB5"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203AB5">
              <w:rPr>
                <w:rFonts w:ascii="Arial" w:hAnsi="Arial" w:cs="Arial"/>
                <w:color w:val="010205"/>
                <w:sz w:val="18"/>
                <w:szCs w:val="18"/>
              </w:rPr>
              <w:t>1287.463</w:t>
            </w:r>
          </w:p>
        </w:tc>
      </w:tr>
      <w:tr w:rsidR="006F750A" w14:paraId="63B724D9" w14:textId="77777777" w:rsidTr="00AF66F6">
        <w:tc>
          <w:tcPr>
            <w:tcW w:w="282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5D67B1" w14:textId="77777777" w:rsidR="006F750A" w:rsidRPr="00203AB5" w:rsidRDefault="006F750A" w:rsidP="00F34EE3">
            <w:pPr>
              <w:rPr>
                <w:rFonts w:ascii="Arial" w:hAnsi="Arial" w:cs="Arial"/>
                <w:sz w:val="18"/>
                <w:szCs w:val="18"/>
              </w:rPr>
            </w:pP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FBA35" w14:textId="77777777" w:rsidR="006F750A" w:rsidRPr="00203AB5" w:rsidRDefault="006F750A" w:rsidP="00F34EE3">
            <w:pPr>
              <w:autoSpaceDE w:val="0"/>
              <w:autoSpaceDN w:val="0"/>
              <w:adjustRightInd w:val="0"/>
              <w:spacing w:line="320" w:lineRule="atLeast"/>
              <w:ind w:left="60" w:right="60"/>
              <w:rPr>
                <w:rFonts w:ascii="Arial" w:hAnsi="Arial" w:cs="Arial"/>
                <w:color w:val="264A60"/>
                <w:sz w:val="18"/>
                <w:szCs w:val="18"/>
              </w:rPr>
            </w:pPr>
            <w:r w:rsidRPr="00203AB5">
              <w:rPr>
                <w:rFonts w:ascii="Arial" w:hAnsi="Arial" w:cs="Arial"/>
                <w:color w:val="264A60"/>
                <w:sz w:val="18"/>
                <w:szCs w:val="18"/>
              </w:rPr>
              <w:t>df</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752FB" w14:textId="77777777" w:rsidR="006F750A" w:rsidRPr="00203AB5"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203AB5">
              <w:rPr>
                <w:rFonts w:ascii="Arial" w:hAnsi="Arial" w:cs="Arial"/>
                <w:color w:val="010205"/>
                <w:sz w:val="18"/>
                <w:szCs w:val="18"/>
              </w:rPr>
              <w:t>15</w:t>
            </w:r>
          </w:p>
        </w:tc>
      </w:tr>
      <w:tr w:rsidR="006F750A" w14:paraId="3B9D7BDB" w14:textId="77777777" w:rsidTr="00AF66F6">
        <w:tc>
          <w:tcPr>
            <w:tcW w:w="282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0D857B" w14:textId="77777777" w:rsidR="006F750A" w:rsidRPr="00203AB5" w:rsidRDefault="006F750A" w:rsidP="00F34EE3">
            <w:pPr>
              <w:rPr>
                <w:rFonts w:ascii="Arial" w:hAnsi="Arial" w:cs="Arial"/>
                <w:sz w:val="18"/>
                <w:szCs w:val="18"/>
              </w:rPr>
            </w:pP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681B3" w14:textId="77777777" w:rsidR="006F750A" w:rsidRPr="00203AB5" w:rsidRDefault="006F750A" w:rsidP="00F34EE3">
            <w:pPr>
              <w:autoSpaceDE w:val="0"/>
              <w:autoSpaceDN w:val="0"/>
              <w:adjustRightInd w:val="0"/>
              <w:spacing w:line="320" w:lineRule="atLeast"/>
              <w:ind w:left="60" w:right="60"/>
              <w:rPr>
                <w:rFonts w:ascii="Arial" w:hAnsi="Arial" w:cs="Arial"/>
                <w:color w:val="264A60"/>
                <w:sz w:val="18"/>
                <w:szCs w:val="18"/>
              </w:rPr>
            </w:pPr>
            <w:r w:rsidRPr="00203AB5">
              <w:rPr>
                <w:rFonts w:ascii="Arial" w:hAnsi="Arial" w:cs="Arial"/>
                <w:color w:val="264A60"/>
                <w:sz w:val="18"/>
                <w:szCs w:val="18"/>
              </w:rPr>
              <w:t>Sig.</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A6479" w14:textId="77777777" w:rsidR="006F750A" w:rsidRPr="00203AB5"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203AB5">
              <w:rPr>
                <w:rFonts w:ascii="Arial" w:hAnsi="Arial" w:cs="Arial"/>
                <w:color w:val="010205"/>
                <w:sz w:val="18"/>
                <w:szCs w:val="18"/>
              </w:rPr>
              <w:t>&lt;.001</w:t>
            </w:r>
          </w:p>
        </w:tc>
      </w:tr>
      <w:tr w:rsidR="006F750A" w14:paraId="1733E7A1" w14:textId="77777777" w:rsidTr="00AF66F6">
        <w:tc>
          <w:tcPr>
            <w:tcW w:w="822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A54AD1" w14:textId="77777777" w:rsidR="006F750A" w:rsidRPr="00203AB5" w:rsidRDefault="006F750A" w:rsidP="00F34EE3">
            <w:pPr>
              <w:autoSpaceDE w:val="0"/>
              <w:autoSpaceDN w:val="0"/>
              <w:adjustRightInd w:val="0"/>
              <w:spacing w:line="320" w:lineRule="atLeast"/>
              <w:ind w:left="60" w:right="60"/>
              <w:rPr>
                <w:rFonts w:ascii="Arial" w:hAnsi="Arial" w:cs="Arial"/>
                <w:color w:val="010205"/>
                <w:sz w:val="18"/>
                <w:szCs w:val="18"/>
              </w:rPr>
            </w:pPr>
            <w:r w:rsidRPr="00203AB5">
              <w:rPr>
                <w:rFonts w:ascii="Arial" w:eastAsia="Times New Roman" w:hAnsi="Arial" w:cs="Arial"/>
                <w:bCs/>
                <w:sz w:val="18"/>
                <w:szCs w:val="18"/>
              </w:rPr>
              <w:t>(Source: Compiled from SPSS 30 output)</w:t>
            </w:r>
          </w:p>
        </w:tc>
      </w:tr>
    </w:tbl>
    <w:p w14:paraId="3D49CBB4" w14:textId="77777777" w:rsidR="006F750A" w:rsidRPr="00E46298" w:rsidRDefault="006F750A" w:rsidP="006F750A">
      <w:pPr>
        <w:ind w:right="431"/>
        <w:jc w:val="both"/>
        <w:rPr>
          <w:rFonts w:ascii="Times New Roman" w:hAnsi="Times New Roman"/>
          <w:sz w:val="24"/>
          <w:szCs w:val="24"/>
        </w:rPr>
      </w:pPr>
    </w:p>
    <w:p w14:paraId="5318856B" w14:textId="77777777" w:rsidR="006F750A" w:rsidRPr="00E46298" w:rsidRDefault="006F750A" w:rsidP="006F750A">
      <w:pPr>
        <w:pStyle w:val="ListParagraph"/>
        <w:spacing w:after="0" w:line="240" w:lineRule="auto"/>
        <w:ind w:right="431"/>
        <w:jc w:val="both"/>
        <w:rPr>
          <w:rFonts w:ascii="Times New Roman" w:hAnsi="Times New Roman" w:cs="Times New Roman"/>
          <w:sz w:val="24"/>
          <w:szCs w:val="24"/>
        </w:rPr>
      </w:pPr>
    </w:p>
    <w:p w14:paraId="6EC32938" w14:textId="77777777" w:rsidR="006F750A" w:rsidRPr="00203AB5" w:rsidRDefault="006F750A" w:rsidP="006F750A">
      <w:pPr>
        <w:ind w:right="431"/>
        <w:rPr>
          <w:rFonts w:ascii="Arial" w:hAnsi="Arial" w:cs="Arial"/>
          <w:b/>
          <w:sz w:val="24"/>
          <w:szCs w:val="24"/>
          <w:u w:val="single"/>
        </w:rPr>
      </w:pPr>
      <w:r w:rsidRPr="00203AB5">
        <w:rPr>
          <w:rFonts w:ascii="Arial" w:hAnsi="Arial" w:cs="Arial"/>
          <w:b/>
          <w:szCs w:val="24"/>
          <w:u w:val="single"/>
        </w:rPr>
        <w:t>3.2.2 Total Variance Explained</w:t>
      </w:r>
    </w:p>
    <w:p w14:paraId="501130E5" w14:textId="77777777" w:rsidR="006F750A" w:rsidRPr="00E46298" w:rsidRDefault="006F750A" w:rsidP="006F750A">
      <w:pPr>
        <w:pStyle w:val="ListParagraph"/>
        <w:spacing w:after="0" w:line="240" w:lineRule="auto"/>
        <w:ind w:right="431"/>
        <w:jc w:val="both"/>
        <w:rPr>
          <w:rFonts w:ascii="Times New Roman" w:hAnsi="Times New Roman" w:cs="Times New Roman"/>
          <w:sz w:val="24"/>
          <w:szCs w:val="24"/>
        </w:rPr>
      </w:pPr>
    </w:p>
    <w:p w14:paraId="3E8D9C3B" w14:textId="77777777" w:rsidR="006F750A" w:rsidRPr="00203AB5" w:rsidRDefault="006F750A" w:rsidP="006F750A">
      <w:pPr>
        <w:ind w:right="-14"/>
        <w:jc w:val="both"/>
        <w:rPr>
          <w:rFonts w:ascii="Arial" w:hAnsi="Arial" w:cs="Arial"/>
        </w:rPr>
      </w:pPr>
      <w:r w:rsidRPr="00203AB5">
        <w:rPr>
          <w:rFonts w:ascii="Arial" w:hAnsi="Arial" w:cs="Arial"/>
        </w:rPr>
        <w:t xml:space="preserve">The information in the Total Variance Explained and the Rotated Component Matrix summarizes the results of the Principal Component Analysis carried out with Varimax rotation, supporting the extraction and meaningful interpretation of a two-factor structure. As shown in Table 3, two components with eigenvalues exceeding 1 were identified. </w:t>
      </w:r>
    </w:p>
    <w:p w14:paraId="59AF5182" w14:textId="77777777" w:rsidR="006F750A" w:rsidRPr="00E46298" w:rsidRDefault="006F750A" w:rsidP="006F750A">
      <w:pPr>
        <w:pStyle w:val="ListParagraph"/>
        <w:spacing w:after="0" w:line="240" w:lineRule="auto"/>
        <w:ind w:right="431"/>
        <w:jc w:val="both"/>
        <w:rPr>
          <w:rFonts w:ascii="Times New Roman" w:hAnsi="Times New Roman" w:cs="Times New Roman"/>
          <w:sz w:val="24"/>
          <w:szCs w:val="24"/>
        </w:rPr>
      </w:pPr>
    </w:p>
    <w:tbl>
      <w:tblPr>
        <w:tblStyle w:val="TableGrid"/>
        <w:tblW w:w="8222" w:type="dxa"/>
        <w:tblInd w:w="108" w:type="dxa"/>
        <w:tblLayout w:type="fixed"/>
        <w:tblLook w:val="04A0" w:firstRow="1" w:lastRow="0" w:firstColumn="1" w:lastColumn="0" w:noHBand="0" w:noVBand="1"/>
      </w:tblPr>
      <w:tblGrid>
        <w:gridCol w:w="284"/>
        <w:gridCol w:w="850"/>
        <w:gridCol w:w="851"/>
        <w:gridCol w:w="850"/>
        <w:gridCol w:w="851"/>
        <w:gridCol w:w="850"/>
        <w:gridCol w:w="851"/>
        <w:gridCol w:w="850"/>
        <w:gridCol w:w="851"/>
        <w:gridCol w:w="1134"/>
      </w:tblGrid>
      <w:tr w:rsidR="006F750A" w14:paraId="0C6C8601" w14:textId="77777777" w:rsidTr="00AF66F6">
        <w:tc>
          <w:tcPr>
            <w:tcW w:w="822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6CC68" w14:textId="77777777" w:rsidR="006F750A" w:rsidRPr="005577B7" w:rsidRDefault="006F750A" w:rsidP="00F34EE3">
            <w:pPr>
              <w:spacing w:before="100" w:beforeAutospacing="1" w:after="100" w:afterAutospacing="1"/>
              <w:jc w:val="center"/>
              <w:rPr>
                <w:rFonts w:ascii="Times New Roman" w:hAnsi="Times New Roman"/>
                <w:sz w:val="20"/>
                <w:szCs w:val="20"/>
              </w:rPr>
            </w:pPr>
            <w:r w:rsidRPr="005577B7">
              <w:rPr>
                <w:rFonts w:ascii="Times New Roman" w:hAnsi="Times New Roman"/>
                <w:b/>
                <w:bCs/>
                <w:color w:val="010205"/>
                <w:sz w:val="20"/>
                <w:szCs w:val="20"/>
              </w:rPr>
              <w:t>Table 3: Total Variance Explained</w:t>
            </w:r>
          </w:p>
        </w:tc>
      </w:tr>
      <w:tr w:rsidR="006F750A" w14:paraId="237E6139" w14:textId="77777777" w:rsidTr="00AF66F6">
        <w:tc>
          <w:tcPr>
            <w:tcW w:w="284" w:type="dxa"/>
            <w:vMerge w:val="restart"/>
            <w:tcBorders>
              <w:top w:val="single" w:sz="4" w:space="0" w:color="000000" w:themeColor="text1"/>
              <w:left w:val="single" w:sz="4" w:space="0" w:color="000000" w:themeColor="text1"/>
              <w:right w:val="single" w:sz="4" w:space="0" w:color="000000" w:themeColor="text1"/>
            </w:tcBorders>
            <w:hideMark/>
          </w:tcPr>
          <w:p w14:paraId="3A5D8E22" w14:textId="77777777" w:rsidR="006F750A" w:rsidRPr="00AF66F6" w:rsidRDefault="006F750A" w:rsidP="00F34EE3">
            <w:pPr>
              <w:spacing w:before="100" w:beforeAutospacing="1" w:after="100" w:afterAutospacing="1" w:line="360" w:lineRule="auto"/>
              <w:jc w:val="both"/>
              <w:rPr>
                <w:rFonts w:ascii="Arial" w:eastAsia="Times New Roman" w:hAnsi="Arial" w:cs="Arial"/>
                <w:sz w:val="16"/>
                <w:szCs w:val="16"/>
              </w:rPr>
            </w:pPr>
            <w:r w:rsidRPr="00AF66F6">
              <w:rPr>
                <w:rFonts w:ascii="Arial" w:hAnsi="Arial" w:cs="Arial"/>
                <w:color w:val="264A60"/>
                <w:sz w:val="16"/>
                <w:szCs w:val="16"/>
              </w:rPr>
              <w:t>Comp.</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289EA" w14:textId="77777777" w:rsidR="006F750A" w:rsidRPr="00AF66F6" w:rsidRDefault="006F750A" w:rsidP="00F34EE3">
            <w:pPr>
              <w:spacing w:before="100" w:beforeAutospacing="1" w:after="100" w:afterAutospacing="1" w:line="360" w:lineRule="auto"/>
              <w:jc w:val="both"/>
              <w:rPr>
                <w:rFonts w:ascii="Arial" w:eastAsia="Times New Roman" w:hAnsi="Arial" w:cs="Arial"/>
                <w:sz w:val="16"/>
                <w:szCs w:val="16"/>
              </w:rPr>
            </w:pPr>
            <w:r w:rsidRPr="00AF66F6">
              <w:rPr>
                <w:rFonts w:ascii="Arial" w:hAnsi="Arial" w:cs="Arial"/>
                <w:color w:val="264A60"/>
                <w:sz w:val="16"/>
                <w:szCs w:val="16"/>
              </w:rPr>
              <w:t>Initial Eigen values</w:t>
            </w:r>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1AE7F" w14:textId="77777777" w:rsidR="006F750A" w:rsidRPr="00AF66F6" w:rsidRDefault="006F750A" w:rsidP="00F34EE3">
            <w:pPr>
              <w:spacing w:before="100" w:beforeAutospacing="1" w:after="100" w:afterAutospacing="1" w:line="360" w:lineRule="auto"/>
              <w:jc w:val="both"/>
              <w:rPr>
                <w:rFonts w:ascii="Arial" w:eastAsia="Times New Roman" w:hAnsi="Arial" w:cs="Arial"/>
                <w:sz w:val="16"/>
                <w:szCs w:val="16"/>
              </w:rPr>
            </w:pPr>
            <w:r w:rsidRPr="00AF66F6">
              <w:rPr>
                <w:rFonts w:ascii="Arial" w:hAnsi="Arial" w:cs="Arial"/>
                <w:color w:val="264A60"/>
                <w:sz w:val="16"/>
                <w:szCs w:val="16"/>
              </w:rPr>
              <w:t>Extraction Sums of Squared Loadings</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02BD5" w14:textId="77777777" w:rsidR="006F750A" w:rsidRPr="00AF66F6" w:rsidRDefault="006F750A" w:rsidP="00F34EE3">
            <w:pPr>
              <w:spacing w:before="100" w:beforeAutospacing="1" w:after="100" w:afterAutospacing="1" w:line="360" w:lineRule="auto"/>
              <w:jc w:val="both"/>
              <w:rPr>
                <w:rFonts w:ascii="Arial" w:eastAsia="Times New Roman" w:hAnsi="Arial" w:cs="Arial"/>
                <w:sz w:val="16"/>
                <w:szCs w:val="16"/>
              </w:rPr>
            </w:pPr>
            <w:r w:rsidRPr="00AF66F6">
              <w:rPr>
                <w:rFonts w:ascii="Arial" w:hAnsi="Arial" w:cs="Arial"/>
                <w:color w:val="264A60"/>
                <w:sz w:val="16"/>
                <w:szCs w:val="16"/>
              </w:rPr>
              <w:t>Rotation Sums of Squared Loadings</w:t>
            </w:r>
          </w:p>
        </w:tc>
      </w:tr>
      <w:tr w:rsidR="00AF66F6" w14:paraId="0FB41395" w14:textId="77777777" w:rsidTr="00AF66F6">
        <w:tc>
          <w:tcPr>
            <w:tcW w:w="284" w:type="dxa"/>
            <w:vMerge/>
            <w:tcBorders>
              <w:left w:val="single" w:sz="4" w:space="0" w:color="000000" w:themeColor="text1"/>
              <w:bottom w:val="single" w:sz="4" w:space="0" w:color="000000" w:themeColor="text1"/>
              <w:right w:val="single" w:sz="4" w:space="0" w:color="000000" w:themeColor="text1"/>
            </w:tcBorders>
          </w:tcPr>
          <w:p w14:paraId="42648F30" w14:textId="77777777" w:rsidR="006F750A" w:rsidRPr="00AF66F6" w:rsidRDefault="006F750A" w:rsidP="00F34EE3">
            <w:pPr>
              <w:spacing w:before="100" w:beforeAutospacing="1" w:after="100" w:afterAutospacing="1"/>
              <w:rPr>
                <w:rFonts w:ascii="Arial" w:hAnsi="Arial" w:cs="Arial"/>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6D60938" w14:textId="77777777"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Total</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C2C6894" w14:textId="77777777" w:rsidR="00AF66F6"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 of Vari</w:t>
            </w:r>
          </w:p>
          <w:p w14:paraId="4EB501A8" w14:textId="77777777"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proofErr w:type="spellStart"/>
            <w:r w:rsidRPr="00AF66F6">
              <w:rPr>
                <w:rFonts w:ascii="Arial" w:hAnsi="Arial" w:cs="Arial"/>
                <w:color w:val="264A60"/>
                <w:sz w:val="16"/>
                <w:szCs w:val="16"/>
              </w:rPr>
              <w:t>ance</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10D68AB" w14:textId="77777777"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 xml:space="preserve">Cumulative </w:t>
            </w:r>
          </w:p>
          <w:p w14:paraId="4A752B68" w14:textId="77777777"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C0F12F8" w14:textId="77777777"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Total</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95773EF" w14:textId="77777777"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 of</w:t>
            </w:r>
          </w:p>
          <w:p w14:paraId="6B07685F" w14:textId="77777777" w:rsidR="00AF66F6"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Vari</w:t>
            </w:r>
          </w:p>
          <w:p w14:paraId="163BE878" w14:textId="77777777"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proofErr w:type="spellStart"/>
            <w:r w:rsidRPr="00AF66F6">
              <w:rPr>
                <w:rFonts w:ascii="Arial" w:hAnsi="Arial" w:cs="Arial"/>
                <w:color w:val="264A60"/>
                <w:sz w:val="16"/>
                <w:szCs w:val="16"/>
              </w:rPr>
              <w:t>ance</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3520310" w14:textId="77777777"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proofErr w:type="spellStart"/>
            <w:r w:rsidRPr="00AF66F6">
              <w:rPr>
                <w:rFonts w:ascii="Arial" w:hAnsi="Arial" w:cs="Arial"/>
                <w:color w:val="264A60"/>
                <w:sz w:val="16"/>
                <w:szCs w:val="16"/>
              </w:rPr>
              <w:t>Cumu</w:t>
            </w:r>
            <w:proofErr w:type="spellEnd"/>
          </w:p>
          <w:p w14:paraId="4C4C2A85" w14:textId="77777777"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lative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1080284" w14:textId="77777777"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Total</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B553F65" w14:textId="77777777"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 of Vari</w:t>
            </w:r>
          </w:p>
          <w:p w14:paraId="206DDD6F" w14:textId="77777777"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proofErr w:type="spellStart"/>
            <w:r w:rsidRPr="00AF66F6">
              <w:rPr>
                <w:rFonts w:ascii="Arial" w:hAnsi="Arial" w:cs="Arial"/>
                <w:color w:val="264A60"/>
                <w:sz w:val="16"/>
                <w:szCs w:val="16"/>
              </w:rPr>
              <w:t>ance</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1D4B9B3" w14:textId="77777777"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proofErr w:type="spellStart"/>
            <w:r w:rsidRPr="00AF66F6">
              <w:rPr>
                <w:rFonts w:ascii="Arial" w:hAnsi="Arial" w:cs="Arial"/>
                <w:color w:val="264A60"/>
                <w:sz w:val="16"/>
                <w:szCs w:val="16"/>
              </w:rPr>
              <w:t>Cumu</w:t>
            </w:r>
            <w:proofErr w:type="spellEnd"/>
          </w:p>
          <w:p w14:paraId="48E4E1B7" w14:textId="77777777"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lative %</w:t>
            </w:r>
          </w:p>
        </w:tc>
      </w:tr>
      <w:tr w:rsidR="00AF66F6" w14:paraId="136051EC" w14:textId="77777777" w:rsidTr="00AF66F6">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FF667" w14:textId="77777777"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C7488" w14:textId="77777777"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3.739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F5834" w14:textId="77777777"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62.311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791B7" w14:textId="77777777"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62.311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DDF69F" w14:textId="77777777"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3.739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ADCC5" w14:textId="77777777"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62.311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045573" w14:textId="77777777"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62.311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ED51F" w14:textId="77777777"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2.501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2F6E2" w14:textId="77777777"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41.681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5EFE0" w14:textId="77777777"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41.681</w:t>
            </w:r>
          </w:p>
        </w:tc>
      </w:tr>
      <w:tr w:rsidR="00AF66F6" w14:paraId="7D688C90" w14:textId="77777777" w:rsidTr="00AF66F6">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93C9" w14:textId="77777777"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B98A0B" w14:textId="77777777"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1.196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1A3F0" w14:textId="77777777"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19.937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ADCCC" w14:textId="77777777"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82.248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530D8" w14:textId="77777777"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1.196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F7173" w14:textId="77777777"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19.937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80330E" w14:textId="77777777"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82.248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370C8" w14:textId="77777777"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2.434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A9A8B" w14:textId="77777777"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40.567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7CA4C" w14:textId="77777777"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82.248</w:t>
            </w:r>
          </w:p>
        </w:tc>
      </w:tr>
      <w:tr w:rsidR="00AF66F6" w14:paraId="670AC4F8" w14:textId="77777777" w:rsidTr="00AF66F6">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5710A" w14:textId="77777777"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2E68DF" w14:textId="77777777"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.309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9FD7E" w14:textId="77777777"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5.146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E9361" w14:textId="77777777"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87.394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68CA74" w14:textId="77777777" w:rsidR="006F750A" w:rsidRPr="00AF66F6" w:rsidRDefault="006F750A" w:rsidP="00F34EE3">
            <w:pPr>
              <w:autoSpaceDE w:val="0"/>
              <w:autoSpaceDN w:val="0"/>
              <w:adjustRightInd w:val="0"/>
              <w:rPr>
                <w:rFonts w:ascii="Arial" w:hAnsi="Arial" w:cs="Arial"/>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B924A" w14:textId="77777777" w:rsidR="006F750A" w:rsidRPr="00AF66F6" w:rsidRDefault="006F750A" w:rsidP="00F34EE3">
            <w:pPr>
              <w:autoSpaceDE w:val="0"/>
              <w:autoSpaceDN w:val="0"/>
              <w:adjustRightInd w:val="0"/>
              <w:rPr>
                <w:rFonts w:ascii="Arial" w:hAnsi="Arial" w:cs="Arial"/>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980C08" w14:textId="77777777" w:rsidR="006F750A" w:rsidRPr="00AF66F6" w:rsidRDefault="006F750A" w:rsidP="00F34EE3">
            <w:pPr>
              <w:autoSpaceDE w:val="0"/>
              <w:autoSpaceDN w:val="0"/>
              <w:adjustRightInd w:val="0"/>
              <w:rPr>
                <w:rFonts w:ascii="Arial" w:hAnsi="Arial" w:cs="Arial"/>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125F01" w14:textId="77777777" w:rsidR="006F750A" w:rsidRPr="00AF66F6" w:rsidRDefault="006F750A" w:rsidP="00F34EE3">
            <w:pPr>
              <w:autoSpaceDE w:val="0"/>
              <w:autoSpaceDN w:val="0"/>
              <w:adjustRightInd w:val="0"/>
              <w:rPr>
                <w:rFonts w:ascii="Arial" w:hAnsi="Arial" w:cs="Arial"/>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D389DF" w14:textId="77777777" w:rsidR="006F750A" w:rsidRPr="00AF66F6" w:rsidRDefault="006F750A" w:rsidP="00F34EE3">
            <w:pPr>
              <w:autoSpaceDE w:val="0"/>
              <w:autoSpaceDN w:val="0"/>
              <w:adjustRightInd w:val="0"/>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5D080E" w14:textId="77777777" w:rsidR="006F750A" w:rsidRPr="00AF66F6" w:rsidRDefault="006F750A" w:rsidP="00F34EE3">
            <w:pPr>
              <w:autoSpaceDE w:val="0"/>
              <w:autoSpaceDN w:val="0"/>
              <w:adjustRightInd w:val="0"/>
              <w:rPr>
                <w:rFonts w:ascii="Arial" w:hAnsi="Arial" w:cs="Arial"/>
                <w:sz w:val="16"/>
                <w:szCs w:val="16"/>
              </w:rPr>
            </w:pPr>
          </w:p>
        </w:tc>
      </w:tr>
      <w:tr w:rsidR="00AF66F6" w14:paraId="7BB25C0F" w14:textId="77777777" w:rsidTr="00AF66F6">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34DAA" w14:textId="77777777"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737FF" w14:textId="77777777"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.297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BDED2" w14:textId="77777777"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4.953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FE613" w14:textId="77777777"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92.347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3A31D4" w14:textId="77777777" w:rsidR="006F750A" w:rsidRPr="00AF66F6" w:rsidRDefault="006F750A" w:rsidP="00F34EE3">
            <w:pPr>
              <w:autoSpaceDE w:val="0"/>
              <w:autoSpaceDN w:val="0"/>
              <w:adjustRightInd w:val="0"/>
              <w:rPr>
                <w:rFonts w:ascii="Arial" w:hAnsi="Arial" w:cs="Arial"/>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96846E" w14:textId="77777777" w:rsidR="006F750A" w:rsidRPr="00AF66F6" w:rsidRDefault="006F750A" w:rsidP="00F34EE3">
            <w:pPr>
              <w:autoSpaceDE w:val="0"/>
              <w:autoSpaceDN w:val="0"/>
              <w:adjustRightInd w:val="0"/>
              <w:rPr>
                <w:rFonts w:ascii="Arial" w:hAnsi="Arial" w:cs="Arial"/>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6357CF" w14:textId="77777777" w:rsidR="006F750A" w:rsidRPr="00AF66F6" w:rsidRDefault="006F750A" w:rsidP="00F34EE3">
            <w:pPr>
              <w:autoSpaceDE w:val="0"/>
              <w:autoSpaceDN w:val="0"/>
              <w:adjustRightInd w:val="0"/>
              <w:rPr>
                <w:rFonts w:ascii="Arial" w:hAnsi="Arial" w:cs="Arial"/>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2C96F6" w14:textId="77777777" w:rsidR="006F750A" w:rsidRPr="00AF66F6" w:rsidRDefault="006F750A" w:rsidP="00F34EE3">
            <w:pPr>
              <w:autoSpaceDE w:val="0"/>
              <w:autoSpaceDN w:val="0"/>
              <w:adjustRightInd w:val="0"/>
              <w:rPr>
                <w:rFonts w:ascii="Arial" w:hAnsi="Arial" w:cs="Arial"/>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A83163" w14:textId="77777777" w:rsidR="006F750A" w:rsidRPr="00AF66F6" w:rsidRDefault="006F750A" w:rsidP="00F34EE3">
            <w:pPr>
              <w:autoSpaceDE w:val="0"/>
              <w:autoSpaceDN w:val="0"/>
              <w:adjustRightInd w:val="0"/>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7B6A85" w14:textId="77777777" w:rsidR="006F750A" w:rsidRPr="00AF66F6" w:rsidRDefault="006F750A" w:rsidP="00F34EE3">
            <w:pPr>
              <w:autoSpaceDE w:val="0"/>
              <w:autoSpaceDN w:val="0"/>
              <w:adjustRightInd w:val="0"/>
              <w:rPr>
                <w:rFonts w:ascii="Arial" w:hAnsi="Arial" w:cs="Arial"/>
                <w:sz w:val="16"/>
                <w:szCs w:val="16"/>
              </w:rPr>
            </w:pPr>
          </w:p>
        </w:tc>
      </w:tr>
      <w:tr w:rsidR="00AF66F6" w14:paraId="5791AD78" w14:textId="77777777" w:rsidTr="00AF66F6">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2B34C" w14:textId="77777777"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52A3A" w14:textId="77777777"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.250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D1AEB7" w14:textId="77777777"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4.161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86C70" w14:textId="77777777"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96.508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D4C2E0" w14:textId="77777777" w:rsidR="006F750A" w:rsidRPr="00AF66F6" w:rsidRDefault="006F750A" w:rsidP="00F34EE3">
            <w:pPr>
              <w:autoSpaceDE w:val="0"/>
              <w:autoSpaceDN w:val="0"/>
              <w:adjustRightInd w:val="0"/>
              <w:rPr>
                <w:rFonts w:ascii="Arial" w:hAnsi="Arial" w:cs="Arial"/>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5026F" w14:textId="77777777" w:rsidR="006F750A" w:rsidRPr="00AF66F6" w:rsidRDefault="006F750A" w:rsidP="00F34EE3">
            <w:pPr>
              <w:autoSpaceDE w:val="0"/>
              <w:autoSpaceDN w:val="0"/>
              <w:adjustRightInd w:val="0"/>
              <w:rPr>
                <w:rFonts w:ascii="Arial" w:hAnsi="Arial" w:cs="Arial"/>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7B4E4A" w14:textId="77777777" w:rsidR="006F750A" w:rsidRPr="00AF66F6" w:rsidRDefault="006F750A" w:rsidP="00F34EE3">
            <w:pPr>
              <w:autoSpaceDE w:val="0"/>
              <w:autoSpaceDN w:val="0"/>
              <w:adjustRightInd w:val="0"/>
              <w:rPr>
                <w:rFonts w:ascii="Arial" w:hAnsi="Arial" w:cs="Arial"/>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77515E" w14:textId="77777777" w:rsidR="006F750A" w:rsidRPr="00AF66F6" w:rsidRDefault="006F750A" w:rsidP="00F34EE3">
            <w:pPr>
              <w:autoSpaceDE w:val="0"/>
              <w:autoSpaceDN w:val="0"/>
              <w:adjustRightInd w:val="0"/>
              <w:rPr>
                <w:rFonts w:ascii="Arial" w:hAnsi="Arial" w:cs="Arial"/>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792683" w14:textId="77777777" w:rsidR="006F750A" w:rsidRPr="00AF66F6" w:rsidRDefault="006F750A" w:rsidP="00F34EE3">
            <w:pPr>
              <w:autoSpaceDE w:val="0"/>
              <w:autoSpaceDN w:val="0"/>
              <w:adjustRightInd w:val="0"/>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C7659B" w14:textId="77777777" w:rsidR="006F750A" w:rsidRPr="00AF66F6" w:rsidRDefault="006F750A" w:rsidP="00F34EE3">
            <w:pPr>
              <w:autoSpaceDE w:val="0"/>
              <w:autoSpaceDN w:val="0"/>
              <w:adjustRightInd w:val="0"/>
              <w:rPr>
                <w:rFonts w:ascii="Arial" w:hAnsi="Arial" w:cs="Arial"/>
                <w:sz w:val="16"/>
                <w:szCs w:val="16"/>
              </w:rPr>
            </w:pPr>
          </w:p>
        </w:tc>
      </w:tr>
      <w:tr w:rsidR="00AF66F6" w14:paraId="73C86395" w14:textId="77777777" w:rsidTr="00AF66F6">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8BD59" w14:textId="77777777"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4B042" w14:textId="77777777"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.209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2AC545" w14:textId="77777777"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3.492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EB41E" w14:textId="77777777"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100.00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B0CAC0" w14:textId="77777777" w:rsidR="006F750A" w:rsidRPr="00AF66F6" w:rsidRDefault="006F750A" w:rsidP="00F34EE3">
            <w:pPr>
              <w:autoSpaceDE w:val="0"/>
              <w:autoSpaceDN w:val="0"/>
              <w:adjustRightInd w:val="0"/>
              <w:rPr>
                <w:rFonts w:ascii="Arial" w:hAnsi="Arial" w:cs="Arial"/>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5EF825" w14:textId="77777777" w:rsidR="006F750A" w:rsidRPr="00AF66F6" w:rsidRDefault="006F750A" w:rsidP="00F34EE3">
            <w:pPr>
              <w:autoSpaceDE w:val="0"/>
              <w:autoSpaceDN w:val="0"/>
              <w:adjustRightInd w:val="0"/>
              <w:rPr>
                <w:rFonts w:ascii="Arial" w:hAnsi="Arial" w:cs="Arial"/>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629FD4" w14:textId="77777777" w:rsidR="006F750A" w:rsidRPr="00AF66F6" w:rsidRDefault="006F750A" w:rsidP="00F34EE3">
            <w:pPr>
              <w:autoSpaceDE w:val="0"/>
              <w:autoSpaceDN w:val="0"/>
              <w:adjustRightInd w:val="0"/>
              <w:rPr>
                <w:rFonts w:ascii="Arial" w:hAnsi="Arial" w:cs="Arial"/>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9A2936" w14:textId="77777777" w:rsidR="006F750A" w:rsidRPr="00AF66F6" w:rsidRDefault="006F750A" w:rsidP="00F34EE3">
            <w:pPr>
              <w:autoSpaceDE w:val="0"/>
              <w:autoSpaceDN w:val="0"/>
              <w:adjustRightInd w:val="0"/>
              <w:rPr>
                <w:rFonts w:ascii="Arial" w:hAnsi="Arial" w:cs="Arial"/>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2BC201" w14:textId="77777777" w:rsidR="006F750A" w:rsidRPr="00AF66F6" w:rsidRDefault="006F750A" w:rsidP="00F34EE3">
            <w:pPr>
              <w:autoSpaceDE w:val="0"/>
              <w:autoSpaceDN w:val="0"/>
              <w:adjustRightInd w:val="0"/>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BE5B7A" w14:textId="77777777" w:rsidR="006F750A" w:rsidRPr="00AF66F6" w:rsidRDefault="006F750A" w:rsidP="00F34EE3">
            <w:pPr>
              <w:autoSpaceDE w:val="0"/>
              <w:autoSpaceDN w:val="0"/>
              <w:adjustRightInd w:val="0"/>
              <w:rPr>
                <w:rFonts w:ascii="Arial" w:hAnsi="Arial" w:cs="Arial"/>
                <w:sz w:val="16"/>
                <w:szCs w:val="16"/>
              </w:rPr>
            </w:pPr>
          </w:p>
        </w:tc>
      </w:tr>
      <w:tr w:rsidR="006F750A" w14:paraId="6C01CB8E" w14:textId="77777777" w:rsidTr="00AF66F6">
        <w:tc>
          <w:tcPr>
            <w:tcW w:w="822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A14C87" w14:textId="77777777" w:rsidR="006F750A" w:rsidRPr="00AF66F6" w:rsidRDefault="006F750A" w:rsidP="00F34EE3">
            <w:pPr>
              <w:spacing w:before="100" w:beforeAutospacing="1" w:after="100" w:afterAutospacing="1"/>
              <w:rPr>
                <w:rFonts w:ascii="Arial" w:hAnsi="Arial" w:cs="Arial"/>
                <w:sz w:val="16"/>
                <w:szCs w:val="16"/>
              </w:rPr>
            </w:pPr>
            <w:r w:rsidRPr="00AF66F6">
              <w:rPr>
                <w:rFonts w:ascii="Arial" w:eastAsia="Times New Roman" w:hAnsi="Arial" w:cs="Arial"/>
                <w:bCs/>
                <w:sz w:val="16"/>
                <w:szCs w:val="16"/>
              </w:rPr>
              <w:t>(Source: Compiled from SPSS 30 output)</w:t>
            </w:r>
          </w:p>
        </w:tc>
      </w:tr>
    </w:tbl>
    <w:p w14:paraId="1BEAF1BC" w14:textId="77777777" w:rsidR="006F750A" w:rsidRDefault="006F750A" w:rsidP="006F750A">
      <w:pPr>
        <w:ind w:right="431"/>
        <w:jc w:val="both"/>
        <w:rPr>
          <w:rFonts w:ascii="Times New Roman" w:hAnsi="Times New Roman"/>
          <w:b/>
          <w:i/>
          <w:szCs w:val="24"/>
        </w:rPr>
      </w:pPr>
    </w:p>
    <w:p w14:paraId="1F48898C" w14:textId="77777777" w:rsidR="006F750A" w:rsidRPr="00AF66F6" w:rsidRDefault="006F750A" w:rsidP="00AF66F6">
      <w:pPr>
        <w:ind w:right="-14"/>
        <w:jc w:val="both"/>
        <w:rPr>
          <w:rFonts w:ascii="Arial" w:hAnsi="Arial" w:cs="Arial"/>
        </w:rPr>
      </w:pPr>
      <w:r w:rsidRPr="00AF66F6">
        <w:rPr>
          <w:rFonts w:ascii="Arial" w:hAnsi="Arial" w:cs="Arial"/>
        </w:rPr>
        <w:t>These components jointly explained 82.248% of the variance, with Component 1 accounting for 62.311% and Component 2 for 19.937% before rotation. After Varimax rotation, the variance distribution became more balanced, with Component 1 explaining 41.681% and Component 2 contributing 40.567%.</w:t>
      </w:r>
    </w:p>
    <w:p w14:paraId="3CD187F1" w14:textId="77777777" w:rsidR="00E053D0" w:rsidRDefault="00E053D0" w:rsidP="00441B6F">
      <w:pPr>
        <w:pStyle w:val="Body"/>
        <w:spacing w:after="0"/>
        <w:rPr>
          <w:rFonts w:ascii="Arial" w:hAnsi="Arial" w:cs="Arial"/>
        </w:rPr>
      </w:pPr>
    </w:p>
    <w:p w14:paraId="4D58F859" w14:textId="77777777" w:rsidR="00B04313" w:rsidRPr="00B04313" w:rsidRDefault="00B04313" w:rsidP="00B04313">
      <w:pPr>
        <w:ind w:right="431"/>
        <w:jc w:val="both"/>
        <w:rPr>
          <w:rFonts w:ascii="Arial" w:hAnsi="Arial" w:cs="Arial"/>
          <w:b/>
          <w:szCs w:val="24"/>
          <w:u w:val="single"/>
        </w:rPr>
      </w:pPr>
      <w:r>
        <w:rPr>
          <w:rFonts w:ascii="Arial" w:hAnsi="Arial" w:cs="Arial"/>
          <w:b/>
          <w:szCs w:val="24"/>
          <w:u w:val="single"/>
        </w:rPr>
        <w:t xml:space="preserve">3.2.3 </w:t>
      </w:r>
      <w:r w:rsidRPr="00B04313">
        <w:rPr>
          <w:rFonts w:ascii="Arial" w:hAnsi="Arial" w:cs="Arial"/>
          <w:b/>
          <w:szCs w:val="24"/>
          <w:u w:val="single"/>
        </w:rPr>
        <w:t>Rotated Component Matrix</w:t>
      </w:r>
    </w:p>
    <w:p w14:paraId="693C5954" w14:textId="77777777" w:rsidR="00B04313" w:rsidRPr="00E46298" w:rsidRDefault="00B04313" w:rsidP="00B04313">
      <w:pPr>
        <w:ind w:right="431"/>
        <w:jc w:val="both"/>
        <w:rPr>
          <w:rFonts w:ascii="Times New Roman" w:hAnsi="Times New Roman"/>
          <w:sz w:val="24"/>
          <w:szCs w:val="24"/>
        </w:rPr>
      </w:pPr>
    </w:p>
    <w:p w14:paraId="4B3BD40A" w14:textId="77777777" w:rsidR="00B821FC" w:rsidRDefault="00B04313" w:rsidP="007D35C9">
      <w:pPr>
        <w:ind w:right="-14"/>
        <w:jc w:val="both"/>
        <w:rPr>
          <w:rFonts w:ascii="Arial" w:hAnsi="Arial" w:cs="Arial"/>
        </w:rPr>
      </w:pPr>
      <w:r w:rsidRPr="00B04313">
        <w:rPr>
          <w:rFonts w:ascii="Arial" w:hAnsi="Arial" w:cs="Arial"/>
        </w:rPr>
        <w:t xml:space="preserve">The rotated matrix (Table 4) shows that nutritional quality (0.881), natural freshness (0.867), and flavor profile (0.853) loaded strongly on Component 2, while product presentation (0.863), market availability (0.895), and price competitiveness (0.882) loaded strongly on Component 1. </w:t>
      </w:r>
      <w:r w:rsidR="00B821FC" w:rsidRPr="00B04313">
        <w:rPr>
          <w:rFonts w:ascii="Arial" w:hAnsi="Arial" w:cs="Arial"/>
        </w:rPr>
        <w:t>This confirms a clear separation between climate-dependent and human-dependent attributes.</w:t>
      </w:r>
    </w:p>
    <w:p w14:paraId="51426C62" w14:textId="77777777" w:rsidR="00B821FC" w:rsidRDefault="00B821FC" w:rsidP="00B821FC">
      <w:pPr>
        <w:ind w:right="431"/>
        <w:jc w:val="both"/>
        <w:rPr>
          <w:rFonts w:ascii="Arial" w:hAnsi="Arial" w:cs="Arial"/>
        </w:rPr>
      </w:pPr>
    </w:p>
    <w:p w14:paraId="7C44C2E4" w14:textId="77777777" w:rsidR="00B821FC" w:rsidRPr="001C33BA" w:rsidRDefault="00B821FC" w:rsidP="00B821FC">
      <w:pPr>
        <w:ind w:right="431"/>
        <w:jc w:val="both"/>
        <w:rPr>
          <w:rFonts w:ascii="Times New Roman" w:hAnsi="Times New Roman"/>
          <w:sz w:val="24"/>
          <w:szCs w:val="24"/>
        </w:rPr>
      </w:pPr>
    </w:p>
    <w:p w14:paraId="74F5961E" w14:textId="77777777" w:rsidR="00B04313" w:rsidRPr="00B04313" w:rsidRDefault="00B04313" w:rsidP="00B04313">
      <w:pPr>
        <w:tabs>
          <w:tab w:val="left" w:pos="7797"/>
        </w:tabs>
        <w:ind w:right="-14"/>
        <w:jc w:val="both"/>
        <w:rPr>
          <w:rFonts w:ascii="Arial" w:hAnsi="Arial" w:cs="Arial"/>
        </w:rPr>
      </w:pPr>
    </w:p>
    <w:tbl>
      <w:tblPr>
        <w:tblStyle w:val="TableGrid"/>
        <w:tblW w:w="0" w:type="auto"/>
        <w:tblInd w:w="108" w:type="dxa"/>
        <w:tblLook w:val="04A0" w:firstRow="1" w:lastRow="0" w:firstColumn="1" w:lastColumn="0" w:noHBand="0" w:noVBand="1"/>
      </w:tblPr>
      <w:tblGrid>
        <w:gridCol w:w="2915"/>
        <w:gridCol w:w="2873"/>
        <w:gridCol w:w="2528"/>
      </w:tblGrid>
      <w:tr w:rsidR="00B04313" w14:paraId="15C5B7FE" w14:textId="77777777" w:rsidTr="00F34EE3">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CEF51" w14:textId="77777777" w:rsidR="00B04313" w:rsidRPr="00B04313" w:rsidRDefault="00B04313" w:rsidP="00F34EE3">
            <w:pPr>
              <w:autoSpaceDE w:val="0"/>
              <w:autoSpaceDN w:val="0"/>
              <w:adjustRightInd w:val="0"/>
              <w:spacing w:line="400" w:lineRule="atLeast"/>
              <w:jc w:val="center"/>
              <w:rPr>
                <w:rFonts w:ascii="Arial" w:hAnsi="Arial" w:cs="Arial"/>
                <w:sz w:val="20"/>
                <w:szCs w:val="20"/>
              </w:rPr>
            </w:pPr>
            <w:r w:rsidRPr="00B04313">
              <w:rPr>
                <w:rFonts w:ascii="Arial" w:hAnsi="Arial" w:cs="Arial"/>
                <w:b/>
                <w:bCs/>
                <w:color w:val="010205"/>
                <w:sz w:val="20"/>
                <w:szCs w:val="20"/>
              </w:rPr>
              <w:lastRenderedPageBreak/>
              <w:t xml:space="preserve">Table 4: Rotated Component </w:t>
            </w:r>
            <w:proofErr w:type="spellStart"/>
            <w:r w:rsidRPr="00B04313">
              <w:rPr>
                <w:rFonts w:ascii="Arial" w:hAnsi="Arial" w:cs="Arial"/>
                <w:b/>
                <w:bCs/>
                <w:color w:val="010205"/>
                <w:sz w:val="20"/>
                <w:szCs w:val="20"/>
              </w:rPr>
              <w:t>Matrix</w:t>
            </w:r>
            <w:r w:rsidRPr="00B04313">
              <w:rPr>
                <w:rFonts w:ascii="Arial" w:hAnsi="Arial" w:cs="Arial"/>
                <w:b/>
                <w:bCs/>
                <w:color w:val="010205"/>
                <w:sz w:val="20"/>
                <w:szCs w:val="20"/>
                <w:vertAlign w:val="superscript"/>
              </w:rPr>
              <w:t>a</w:t>
            </w:r>
            <w:proofErr w:type="spellEnd"/>
          </w:p>
        </w:tc>
      </w:tr>
      <w:tr w:rsidR="00B04313" w14:paraId="7935EB3B" w14:textId="77777777" w:rsidTr="00F34EE3">
        <w:tc>
          <w:tcPr>
            <w:tcW w:w="30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03C46" w14:textId="77777777" w:rsidR="00B04313" w:rsidRPr="00B04313" w:rsidRDefault="00B04313" w:rsidP="00F34EE3">
            <w:pPr>
              <w:autoSpaceDE w:val="0"/>
              <w:autoSpaceDN w:val="0"/>
              <w:adjustRightInd w:val="0"/>
              <w:spacing w:line="400" w:lineRule="atLeast"/>
              <w:jc w:val="center"/>
              <w:rPr>
                <w:rFonts w:ascii="Arial" w:hAnsi="Arial" w:cs="Arial"/>
                <w:sz w:val="20"/>
                <w:szCs w:val="20"/>
              </w:rPr>
            </w:pPr>
          </w:p>
        </w:tc>
        <w:tc>
          <w:tcPr>
            <w:tcW w:w="59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541B1" w14:textId="77777777" w:rsidR="00B04313" w:rsidRPr="00B04313" w:rsidRDefault="00B04313" w:rsidP="00F34EE3">
            <w:pPr>
              <w:autoSpaceDE w:val="0"/>
              <w:autoSpaceDN w:val="0"/>
              <w:adjustRightInd w:val="0"/>
              <w:spacing w:line="400" w:lineRule="atLeast"/>
              <w:jc w:val="center"/>
              <w:rPr>
                <w:rFonts w:ascii="Arial" w:hAnsi="Arial" w:cs="Arial"/>
                <w:sz w:val="20"/>
                <w:szCs w:val="20"/>
              </w:rPr>
            </w:pPr>
            <w:r w:rsidRPr="00B04313">
              <w:rPr>
                <w:rFonts w:ascii="Arial" w:hAnsi="Arial" w:cs="Arial"/>
                <w:color w:val="264A60"/>
                <w:sz w:val="20"/>
                <w:szCs w:val="20"/>
              </w:rPr>
              <w:t>Component</w:t>
            </w:r>
          </w:p>
        </w:tc>
      </w:tr>
      <w:tr w:rsidR="00B04313" w14:paraId="22DECDF1" w14:textId="77777777" w:rsidTr="00F34EE3">
        <w:tc>
          <w:tcPr>
            <w:tcW w:w="30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8E1EA9" w14:textId="77777777" w:rsidR="00B04313" w:rsidRPr="00B04313" w:rsidRDefault="00B04313" w:rsidP="00F34EE3">
            <w:pPr>
              <w:rPr>
                <w:rFonts w:ascii="Arial" w:hAnsi="Arial" w:cs="Arial"/>
                <w:sz w:val="20"/>
                <w:szCs w:val="20"/>
              </w:rPr>
            </w:pP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B3B0658"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264A60"/>
                <w:sz w:val="20"/>
                <w:szCs w:val="20"/>
              </w:rPr>
            </w:pPr>
            <w:r w:rsidRPr="00B04313">
              <w:rPr>
                <w:rFonts w:ascii="Arial" w:hAnsi="Arial" w:cs="Arial"/>
                <w:color w:val="264A60"/>
                <w:sz w:val="20"/>
                <w:szCs w:val="20"/>
              </w:rPr>
              <w:t>1</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26F4CB7"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264A60"/>
                <w:sz w:val="20"/>
                <w:szCs w:val="20"/>
              </w:rPr>
            </w:pPr>
            <w:r w:rsidRPr="00B04313">
              <w:rPr>
                <w:rFonts w:ascii="Arial" w:hAnsi="Arial" w:cs="Arial"/>
                <w:color w:val="264A60"/>
                <w:sz w:val="20"/>
                <w:szCs w:val="20"/>
              </w:rPr>
              <w:t>2</w:t>
            </w:r>
          </w:p>
        </w:tc>
      </w:tr>
      <w:tr w:rsidR="00B04313" w14:paraId="5DB53D46" w14:textId="77777777" w:rsidTr="00F34EE3">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F58A3"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264A60"/>
                <w:sz w:val="20"/>
                <w:szCs w:val="20"/>
              </w:rPr>
            </w:pPr>
            <w:r w:rsidRPr="00B04313">
              <w:rPr>
                <w:rFonts w:ascii="Arial" w:hAnsi="Arial" w:cs="Arial"/>
                <w:color w:val="264A60"/>
                <w:sz w:val="20"/>
                <w:szCs w:val="20"/>
              </w:rPr>
              <w:t>Nutritional quality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84700"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.209</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8800E"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.881</w:t>
            </w:r>
          </w:p>
        </w:tc>
      </w:tr>
      <w:tr w:rsidR="00B04313" w14:paraId="24FA20FD" w14:textId="77777777" w:rsidTr="00F34EE3">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C9C5F"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264A60"/>
                <w:sz w:val="20"/>
                <w:szCs w:val="20"/>
              </w:rPr>
            </w:pPr>
            <w:r w:rsidRPr="00B04313">
              <w:rPr>
                <w:rFonts w:ascii="Arial" w:hAnsi="Arial" w:cs="Arial"/>
                <w:color w:val="264A60"/>
                <w:sz w:val="20"/>
                <w:szCs w:val="20"/>
              </w:rPr>
              <w:t>Natural freshness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7983E"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.251</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68510D"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.867</w:t>
            </w:r>
          </w:p>
        </w:tc>
      </w:tr>
      <w:tr w:rsidR="00B04313" w14:paraId="79B24C3A" w14:textId="77777777" w:rsidTr="00F34EE3">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04568"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264A60"/>
                <w:sz w:val="20"/>
                <w:szCs w:val="20"/>
              </w:rPr>
            </w:pPr>
            <w:r w:rsidRPr="00B04313">
              <w:rPr>
                <w:rFonts w:ascii="Arial" w:hAnsi="Arial" w:cs="Arial"/>
                <w:color w:val="264A60"/>
                <w:sz w:val="20"/>
                <w:szCs w:val="20"/>
              </w:rPr>
              <w:t>Flavor profile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0362CD"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.264</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F218E9"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.853</w:t>
            </w:r>
          </w:p>
        </w:tc>
      </w:tr>
      <w:tr w:rsidR="00B04313" w14:paraId="6890DE14" w14:textId="77777777" w:rsidTr="00F34EE3">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34601"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264A60"/>
                <w:sz w:val="20"/>
                <w:szCs w:val="20"/>
              </w:rPr>
            </w:pPr>
            <w:r w:rsidRPr="00B04313">
              <w:rPr>
                <w:rFonts w:ascii="Arial" w:hAnsi="Arial" w:cs="Arial"/>
                <w:color w:val="264A60"/>
                <w:sz w:val="20"/>
                <w:szCs w:val="20"/>
              </w:rPr>
              <w:t>Product presentation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174CD"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.863</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A872F"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.260</w:t>
            </w:r>
          </w:p>
        </w:tc>
      </w:tr>
      <w:tr w:rsidR="00B04313" w14:paraId="07E71912" w14:textId="77777777" w:rsidTr="00F34EE3">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A49476"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264A60"/>
                <w:sz w:val="20"/>
                <w:szCs w:val="20"/>
              </w:rPr>
            </w:pPr>
            <w:r w:rsidRPr="00B04313">
              <w:rPr>
                <w:rFonts w:ascii="Arial" w:hAnsi="Arial" w:cs="Arial"/>
                <w:color w:val="264A60"/>
                <w:sz w:val="20"/>
                <w:szCs w:val="20"/>
              </w:rPr>
              <w:t>Market availability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03B9F"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.895</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C2AEA"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.233</w:t>
            </w:r>
          </w:p>
        </w:tc>
      </w:tr>
      <w:tr w:rsidR="00B04313" w14:paraId="20DD2172" w14:textId="77777777" w:rsidTr="00F34EE3">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974A5"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264A60"/>
                <w:sz w:val="20"/>
                <w:szCs w:val="20"/>
              </w:rPr>
            </w:pPr>
            <w:r w:rsidRPr="00B04313">
              <w:rPr>
                <w:rFonts w:ascii="Arial" w:hAnsi="Arial" w:cs="Arial"/>
                <w:color w:val="264A60"/>
                <w:sz w:val="20"/>
                <w:szCs w:val="20"/>
              </w:rPr>
              <w:t>Price competitiveness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CC51E"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.882</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2EE4F"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.240</w:t>
            </w:r>
          </w:p>
        </w:tc>
      </w:tr>
      <w:tr w:rsidR="00B04313" w14:paraId="112D90AA" w14:textId="77777777" w:rsidTr="00F34EE3">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8D699" w14:textId="77777777" w:rsidR="00B04313" w:rsidRPr="00B04313" w:rsidRDefault="00B04313" w:rsidP="00F34EE3">
            <w:pPr>
              <w:autoSpaceDE w:val="0"/>
              <w:autoSpaceDN w:val="0"/>
              <w:adjustRightInd w:val="0"/>
              <w:spacing w:line="320" w:lineRule="atLeast"/>
              <w:ind w:left="60" w:right="60"/>
              <w:rPr>
                <w:rFonts w:ascii="Arial" w:hAnsi="Arial" w:cs="Arial"/>
                <w:color w:val="264A60"/>
                <w:sz w:val="20"/>
                <w:szCs w:val="20"/>
              </w:rPr>
            </w:pPr>
            <w:r w:rsidRPr="00B04313">
              <w:rPr>
                <w:rFonts w:ascii="Arial" w:eastAsia="Times New Roman" w:hAnsi="Arial" w:cs="Arial"/>
                <w:bCs/>
                <w:sz w:val="20"/>
                <w:szCs w:val="20"/>
              </w:rPr>
              <w:t>(Source: Compiled from SPSS 30 output)</w:t>
            </w:r>
          </w:p>
        </w:tc>
      </w:tr>
    </w:tbl>
    <w:p w14:paraId="1C137E83" w14:textId="77777777" w:rsidR="00B04313" w:rsidRPr="00B04313" w:rsidRDefault="00B04313" w:rsidP="00B04313">
      <w:pPr>
        <w:autoSpaceDE w:val="0"/>
        <w:autoSpaceDN w:val="0"/>
        <w:adjustRightInd w:val="0"/>
        <w:spacing w:line="320" w:lineRule="atLeast"/>
        <w:ind w:right="60"/>
        <w:jc w:val="both"/>
        <w:rPr>
          <w:rFonts w:ascii="Arial" w:hAnsi="Arial" w:cs="Arial"/>
          <w:color w:val="010205"/>
        </w:rPr>
      </w:pPr>
      <w:r w:rsidRPr="00B04313">
        <w:rPr>
          <w:rFonts w:ascii="Arial" w:hAnsi="Arial" w:cs="Arial"/>
          <w:color w:val="010205"/>
        </w:rPr>
        <w:t xml:space="preserve">Extraction Method: Principal Component Analysis. </w:t>
      </w:r>
    </w:p>
    <w:p w14:paraId="32E91645" w14:textId="77777777" w:rsidR="00B04313" w:rsidRPr="00B04313" w:rsidRDefault="00B04313" w:rsidP="00B04313">
      <w:pPr>
        <w:autoSpaceDE w:val="0"/>
        <w:autoSpaceDN w:val="0"/>
        <w:adjustRightInd w:val="0"/>
        <w:spacing w:line="320" w:lineRule="atLeast"/>
        <w:ind w:right="60"/>
        <w:jc w:val="both"/>
        <w:rPr>
          <w:rFonts w:ascii="Arial" w:hAnsi="Arial" w:cs="Arial"/>
          <w:color w:val="010205"/>
          <w:vertAlign w:val="superscript"/>
        </w:rPr>
      </w:pPr>
      <w:r w:rsidRPr="00B04313">
        <w:rPr>
          <w:rFonts w:ascii="Arial" w:hAnsi="Arial" w:cs="Arial"/>
          <w:color w:val="010205"/>
        </w:rPr>
        <w:t xml:space="preserve">Rotation Method: Varimax with Kaiser </w:t>
      </w:r>
      <w:proofErr w:type="spellStart"/>
      <w:r w:rsidRPr="00B04313">
        <w:rPr>
          <w:rFonts w:ascii="Arial" w:hAnsi="Arial" w:cs="Arial"/>
          <w:color w:val="010205"/>
        </w:rPr>
        <w:t>Normalization.</w:t>
      </w:r>
      <w:r w:rsidRPr="00B04313">
        <w:rPr>
          <w:rFonts w:ascii="Arial" w:hAnsi="Arial" w:cs="Arial"/>
          <w:color w:val="010205"/>
          <w:vertAlign w:val="superscript"/>
        </w:rPr>
        <w:t>a</w:t>
      </w:r>
      <w:proofErr w:type="spellEnd"/>
      <w:r w:rsidRPr="00B04313">
        <w:rPr>
          <w:rFonts w:ascii="Arial" w:hAnsi="Arial" w:cs="Arial"/>
          <w:color w:val="010205"/>
          <w:vertAlign w:val="superscript"/>
        </w:rPr>
        <w:tab/>
      </w:r>
    </w:p>
    <w:p w14:paraId="33083520" w14:textId="77777777" w:rsidR="00B04313" w:rsidRPr="00B04313" w:rsidRDefault="00B04313" w:rsidP="00B04313">
      <w:pPr>
        <w:pStyle w:val="ListParagraph"/>
        <w:numPr>
          <w:ilvl w:val="0"/>
          <w:numId w:val="34"/>
        </w:numPr>
        <w:spacing w:after="0" w:line="240" w:lineRule="auto"/>
        <w:ind w:left="284" w:right="431" w:hanging="284"/>
        <w:jc w:val="both"/>
        <w:rPr>
          <w:rFonts w:ascii="Arial" w:hAnsi="Arial" w:cs="Arial"/>
          <w:sz w:val="20"/>
          <w:szCs w:val="20"/>
        </w:rPr>
      </w:pPr>
      <w:r w:rsidRPr="00B04313">
        <w:rPr>
          <w:rFonts w:ascii="Arial" w:hAnsi="Arial" w:cs="Arial"/>
          <w:color w:val="010205"/>
          <w:sz w:val="20"/>
          <w:szCs w:val="20"/>
        </w:rPr>
        <w:t>Rotation converged in 3 iterations.</w:t>
      </w:r>
    </w:p>
    <w:p w14:paraId="5CEAE138" w14:textId="77777777" w:rsidR="00B04313" w:rsidRPr="00B04313" w:rsidRDefault="00B04313" w:rsidP="00B04313">
      <w:pPr>
        <w:pStyle w:val="ListParagraph"/>
        <w:spacing w:after="0" w:line="240" w:lineRule="auto"/>
        <w:ind w:left="284" w:right="431"/>
        <w:jc w:val="both"/>
        <w:rPr>
          <w:rFonts w:ascii="Arial" w:hAnsi="Arial" w:cs="Arial"/>
          <w:sz w:val="20"/>
          <w:szCs w:val="20"/>
        </w:rPr>
      </w:pPr>
    </w:p>
    <w:p w14:paraId="39CEFDF5" w14:textId="77777777" w:rsidR="00B04313" w:rsidRDefault="00B04313" w:rsidP="00B04313">
      <w:pPr>
        <w:ind w:right="431"/>
        <w:jc w:val="both"/>
        <w:rPr>
          <w:rFonts w:ascii="Times New Roman" w:hAnsi="Times New Roman"/>
          <w:b/>
          <w:i/>
          <w:szCs w:val="24"/>
        </w:rPr>
      </w:pPr>
    </w:p>
    <w:p w14:paraId="54F166F6" w14:textId="77777777" w:rsidR="00B04313" w:rsidRDefault="00B04313" w:rsidP="00B04313">
      <w:pPr>
        <w:ind w:right="431"/>
        <w:jc w:val="both"/>
        <w:rPr>
          <w:rFonts w:ascii="Times New Roman" w:hAnsi="Times New Roman"/>
          <w:b/>
          <w:i/>
          <w:szCs w:val="24"/>
        </w:rPr>
      </w:pPr>
    </w:p>
    <w:p w14:paraId="4C07C5BB" w14:textId="77777777" w:rsidR="00B04313" w:rsidRPr="00B04313" w:rsidRDefault="00B04313" w:rsidP="00B04313">
      <w:pPr>
        <w:ind w:right="431"/>
        <w:rPr>
          <w:rFonts w:ascii="Arial" w:hAnsi="Arial" w:cs="Arial"/>
          <w:b/>
          <w:sz w:val="24"/>
          <w:szCs w:val="24"/>
          <w:u w:val="single"/>
        </w:rPr>
      </w:pPr>
      <w:r w:rsidRPr="00B04313">
        <w:rPr>
          <w:rFonts w:ascii="Arial" w:hAnsi="Arial" w:cs="Arial"/>
          <w:b/>
          <w:szCs w:val="24"/>
          <w:u w:val="single"/>
        </w:rPr>
        <w:t>3.2.4 Reliability Analysis</w:t>
      </w:r>
    </w:p>
    <w:p w14:paraId="61397305" w14:textId="77777777" w:rsidR="00B04313" w:rsidRPr="00E46298" w:rsidRDefault="00B04313" w:rsidP="00B04313">
      <w:pPr>
        <w:pStyle w:val="ListParagraph"/>
        <w:spacing w:after="0" w:line="240" w:lineRule="auto"/>
        <w:ind w:right="431"/>
        <w:jc w:val="both"/>
        <w:rPr>
          <w:rFonts w:ascii="Times New Roman" w:hAnsi="Times New Roman" w:cs="Times New Roman"/>
          <w:sz w:val="24"/>
          <w:szCs w:val="24"/>
        </w:rPr>
      </w:pPr>
    </w:p>
    <w:p w14:paraId="73FE69B8" w14:textId="77777777" w:rsidR="00B04313" w:rsidRDefault="00B04313" w:rsidP="00B04313">
      <w:pPr>
        <w:ind w:right="431"/>
        <w:jc w:val="both"/>
        <w:rPr>
          <w:rFonts w:ascii="Arial" w:hAnsi="Arial" w:cs="Arial"/>
        </w:rPr>
      </w:pPr>
      <w:r w:rsidRPr="00B04313">
        <w:rPr>
          <w:rFonts w:ascii="Arial" w:hAnsi="Arial" w:cs="Arial"/>
        </w:rPr>
        <w:t>Reliability results (Table 5) show high internal consistency for both components.</w:t>
      </w:r>
    </w:p>
    <w:p w14:paraId="022AAF0F" w14:textId="77777777" w:rsidR="00B04313" w:rsidRPr="00B04313" w:rsidRDefault="00B04313" w:rsidP="00B04313">
      <w:pPr>
        <w:ind w:right="431"/>
        <w:jc w:val="both"/>
        <w:rPr>
          <w:rFonts w:ascii="Arial" w:hAnsi="Arial" w:cs="Arial"/>
        </w:rPr>
      </w:pPr>
    </w:p>
    <w:tbl>
      <w:tblPr>
        <w:tblStyle w:val="TableGrid"/>
        <w:tblW w:w="8364" w:type="dxa"/>
        <w:tblInd w:w="108" w:type="dxa"/>
        <w:tblLayout w:type="fixed"/>
        <w:tblLook w:val="04A0" w:firstRow="1" w:lastRow="0" w:firstColumn="1" w:lastColumn="0" w:noHBand="0" w:noVBand="1"/>
      </w:tblPr>
      <w:tblGrid>
        <w:gridCol w:w="1080"/>
        <w:gridCol w:w="1897"/>
        <w:gridCol w:w="851"/>
        <w:gridCol w:w="992"/>
        <w:gridCol w:w="1134"/>
        <w:gridCol w:w="992"/>
        <w:gridCol w:w="709"/>
        <w:gridCol w:w="709"/>
      </w:tblGrid>
      <w:tr w:rsidR="00B04313" w14:paraId="6F352749" w14:textId="77777777" w:rsidTr="00B04313">
        <w:tc>
          <w:tcPr>
            <w:tcW w:w="836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A85A0" w14:textId="77777777" w:rsidR="00B04313" w:rsidRPr="00B04313" w:rsidRDefault="00B04313" w:rsidP="00F34EE3">
            <w:pPr>
              <w:spacing w:before="100" w:beforeAutospacing="1" w:after="100" w:afterAutospacing="1"/>
              <w:jc w:val="center"/>
              <w:rPr>
                <w:rFonts w:ascii="Arial" w:eastAsia="Times New Roman" w:hAnsi="Arial" w:cs="Arial"/>
                <w:sz w:val="20"/>
                <w:szCs w:val="20"/>
              </w:rPr>
            </w:pPr>
            <w:r w:rsidRPr="00B04313">
              <w:rPr>
                <w:rFonts w:ascii="Arial" w:hAnsi="Arial" w:cs="Arial"/>
                <w:b/>
                <w:bCs/>
                <w:color w:val="010205"/>
                <w:sz w:val="20"/>
                <w:szCs w:val="20"/>
              </w:rPr>
              <w:t>Table 5: Item</w:t>
            </w:r>
            <w:r>
              <w:rPr>
                <w:rFonts w:ascii="Arial" w:hAnsi="Arial" w:cs="Arial"/>
                <w:b/>
                <w:bCs/>
                <w:color w:val="010205"/>
                <w:sz w:val="20"/>
                <w:szCs w:val="20"/>
              </w:rPr>
              <w:t xml:space="preserve"> </w:t>
            </w:r>
            <w:r w:rsidRPr="00B04313">
              <w:rPr>
                <w:rFonts w:ascii="Arial" w:hAnsi="Arial" w:cs="Arial"/>
                <w:b/>
                <w:bCs/>
                <w:color w:val="010205"/>
                <w:sz w:val="20"/>
                <w:szCs w:val="20"/>
              </w:rPr>
              <w:t>-Total Statistics and Reliability Statistics</w:t>
            </w:r>
          </w:p>
        </w:tc>
      </w:tr>
      <w:tr w:rsidR="00B04313" w14:paraId="66EC1FB1" w14:textId="77777777" w:rsidTr="00B04313">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11C65" w14:textId="77777777"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Factor</w:t>
            </w: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B38B7" w14:textId="77777777"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Attributes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B9F25" w14:textId="77777777"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Scale Mean if Item Deleted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5200A" w14:textId="77777777"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Scale Variance if Item Deleted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DAF20D" w14:textId="77777777"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Corrected Item-Total Correlation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4D56E" w14:textId="77777777"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Cronbach's Alpha if Item Deleted</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CCEB4" w14:textId="77777777"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No. of Items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929F09" w14:textId="77777777"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Cronbach's Alpha</w:t>
            </w:r>
          </w:p>
        </w:tc>
      </w:tr>
      <w:tr w:rsidR="00B04313" w14:paraId="5F3487FF" w14:textId="77777777" w:rsidTr="00B04313">
        <w:tc>
          <w:tcPr>
            <w:tcW w:w="10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8BA39" w14:textId="77777777"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Climate dependent factor</w:t>
            </w: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CC5EC" w14:textId="77777777"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Nutritional quality</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219E76"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5.53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909C1"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2.741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818BD"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.777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9EC98"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.818</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64634"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3</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02192" w14:textId="77777777" w:rsidR="00B04313" w:rsidRPr="00B04313" w:rsidRDefault="00B04313" w:rsidP="00F34EE3">
            <w:pPr>
              <w:spacing w:before="100" w:beforeAutospacing="1" w:after="100" w:afterAutospacing="1"/>
              <w:jc w:val="center"/>
              <w:rPr>
                <w:rFonts w:ascii="Arial" w:eastAsia="Times New Roman" w:hAnsi="Arial" w:cs="Arial"/>
                <w:sz w:val="16"/>
                <w:szCs w:val="16"/>
              </w:rPr>
            </w:pPr>
            <w:r w:rsidRPr="00B04313">
              <w:rPr>
                <w:rFonts w:ascii="Arial" w:hAnsi="Arial" w:cs="Arial"/>
                <w:color w:val="010205"/>
                <w:sz w:val="16"/>
                <w:szCs w:val="16"/>
              </w:rPr>
              <w:t>.878</w:t>
            </w:r>
          </w:p>
        </w:tc>
      </w:tr>
      <w:tr w:rsidR="00B04313" w14:paraId="54FDB1EE" w14:textId="77777777" w:rsidTr="00B04313">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52370C" w14:textId="77777777" w:rsidR="00B04313" w:rsidRPr="00B04313" w:rsidRDefault="00B04313" w:rsidP="00F34EE3">
            <w:pPr>
              <w:rPr>
                <w:rFonts w:ascii="Arial" w:eastAsia="Times New Roman" w:hAnsi="Arial" w:cs="Arial"/>
                <w:sz w:val="16"/>
                <w:szCs w:val="16"/>
              </w:rPr>
            </w:pP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6B966" w14:textId="77777777"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Natural freshness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36994"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5.58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861F59"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2.671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D3EDE"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.777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1CAEC"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.819</w:t>
            </w: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A2BEBE" w14:textId="77777777" w:rsidR="00B04313" w:rsidRPr="00B04313" w:rsidRDefault="00B04313" w:rsidP="00F34EE3">
            <w:pPr>
              <w:rPr>
                <w:rFonts w:ascii="Arial" w:hAnsi="Arial" w:cs="Arial"/>
                <w:color w:val="010205"/>
                <w:sz w:val="16"/>
                <w:szCs w:val="16"/>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7C2E01" w14:textId="77777777" w:rsidR="00B04313" w:rsidRPr="00B04313" w:rsidRDefault="00B04313" w:rsidP="00F34EE3">
            <w:pPr>
              <w:rPr>
                <w:rFonts w:ascii="Arial" w:eastAsia="Times New Roman" w:hAnsi="Arial" w:cs="Arial"/>
                <w:sz w:val="16"/>
                <w:szCs w:val="16"/>
              </w:rPr>
            </w:pPr>
          </w:p>
        </w:tc>
      </w:tr>
      <w:tr w:rsidR="00B04313" w14:paraId="657AA4F7" w14:textId="77777777" w:rsidTr="00B04313">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9FE1F0" w14:textId="77777777" w:rsidR="00B04313" w:rsidRPr="00B04313" w:rsidRDefault="00B04313" w:rsidP="00F34EE3">
            <w:pPr>
              <w:rPr>
                <w:rFonts w:ascii="Arial" w:eastAsia="Times New Roman" w:hAnsi="Arial" w:cs="Arial"/>
                <w:sz w:val="16"/>
                <w:szCs w:val="16"/>
              </w:rPr>
            </w:pP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AB6BEF" w14:textId="77777777"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Flavor profile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88F10"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5.58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75071E"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3.338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EED7A"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.762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94A85"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.842</w:t>
            </w: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7CAB0E" w14:textId="77777777" w:rsidR="00B04313" w:rsidRPr="00B04313" w:rsidRDefault="00B04313" w:rsidP="00F34EE3">
            <w:pPr>
              <w:rPr>
                <w:rFonts w:ascii="Arial" w:hAnsi="Arial" w:cs="Arial"/>
                <w:color w:val="010205"/>
                <w:sz w:val="16"/>
                <w:szCs w:val="16"/>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BB10A7" w14:textId="77777777" w:rsidR="00B04313" w:rsidRPr="00B04313" w:rsidRDefault="00B04313" w:rsidP="00F34EE3">
            <w:pPr>
              <w:rPr>
                <w:rFonts w:ascii="Arial" w:eastAsia="Times New Roman" w:hAnsi="Arial" w:cs="Arial"/>
                <w:sz w:val="16"/>
                <w:szCs w:val="16"/>
              </w:rPr>
            </w:pPr>
          </w:p>
        </w:tc>
      </w:tr>
      <w:tr w:rsidR="00B04313" w14:paraId="7B7D38D3" w14:textId="77777777" w:rsidTr="00B04313">
        <w:tc>
          <w:tcPr>
            <w:tcW w:w="10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790D1" w14:textId="77777777"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Human dependent factor</w:t>
            </w: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B69C7" w14:textId="77777777" w:rsidR="00B04313" w:rsidRPr="00B04313" w:rsidRDefault="00B04313" w:rsidP="00F34EE3">
            <w:pPr>
              <w:autoSpaceDE w:val="0"/>
              <w:autoSpaceDN w:val="0"/>
              <w:adjustRightInd w:val="0"/>
              <w:spacing w:line="320" w:lineRule="atLeast"/>
              <w:ind w:left="60" w:right="60"/>
              <w:rPr>
                <w:rFonts w:ascii="Arial" w:hAnsi="Arial" w:cs="Arial"/>
                <w:color w:val="264A60"/>
                <w:sz w:val="16"/>
                <w:szCs w:val="16"/>
              </w:rPr>
            </w:pPr>
            <w:r w:rsidRPr="00B04313">
              <w:rPr>
                <w:rFonts w:ascii="Arial" w:hAnsi="Arial" w:cs="Arial"/>
                <w:color w:val="264A60"/>
                <w:sz w:val="16"/>
                <w:szCs w:val="16"/>
              </w:rPr>
              <w:t>Product presentation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B5FEEA"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3.70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12827"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3.228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E5581"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.783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D320EF"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.874</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36050" w14:textId="77777777" w:rsidR="00B04313" w:rsidRPr="00B04313" w:rsidRDefault="00B04313" w:rsidP="00F34EE3">
            <w:pPr>
              <w:spacing w:before="100" w:beforeAutospacing="1" w:after="100" w:afterAutospacing="1"/>
              <w:jc w:val="center"/>
              <w:rPr>
                <w:rFonts w:ascii="Arial" w:eastAsia="Times New Roman" w:hAnsi="Arial" w:cs="Arial"/>
                <w:sz w:val="16"/>
                <w:szCs w:val="16"/>
              </w:rPr>
            </w:pPr>
            <w:r w:rsidRPr="00B04313">
              <w:rPr>
                <w:rFonts w:ascii="Arial" w:eastAsia="Times New Roman" w:hAnsi="Arial" w:cs="Arial"/>
                <w:sz w:val="16"/>
                <w:szCs w:val="16"/>
              </w:rPr>
              <w:t>3</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2E80E" w14:textId="77777777" w:rsidR="00B04313" w:rsidRPr="00B04313" w:rsidRDefault="00B04313" w:rsidP="00F34EE3">
            <w:pPr>
              <w:spacing w:before="100" w:beforeAutospacing="1" w:after="100" w:afterAutospacing="1"/>
              <w:jc w:val="center"/>
              <w:rPr>
                <w:rFonts w:ascii="Arial" w:eastAsia="Times New Roman" w:hAnsi="Arial" w:cs="Arial"/>
                <w:sz w:val="16"/>
                <w:szCs w:val="16"/>
              </w:rPr>
            </w:pPr>
            <w:r w:rsidRPr="00B04313">
              <w:rPr>
                <w:rFonts w:ascii="Arial" w:hAnsi="Arial" w:cs="Arial"/>
                <w:color w:val="010205"/>
                <w:sz w:val="16"/>
                <w:szCs w:val="16"/>
              </w:rPr>
              <w:t>.901</w:t>
            </w:r>
          </w:p>
        </w:tc>
      </w:tr>
      <w:tr w:rsidR="00B04313" w14:paraId="6C8B38D2" w14:textId="77777777" w:rsidTr="00B04313">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F9EB65" w14:textId="77777777" w:rsidR="00B04313" w:rsidRPr="00B04313" w:rsidRDefault="00B04313" w:rsidP="00F34EE3">
            <w:pPr>
              <w:rPr>
                <w:rFonts w:ascii="Arial" w:eastAsia="Times New Roman" w:hAnsi="Arial" w:cs="Arial"/>
                <w:sz w:val="16"/>
                <w:szCs w:val="16"/>
              </w:rPr>
            </w:pP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8352B" w14:textId="77777777" w:rsidR="00B04313" w:rsidRPr="00B04313" w:rsidRDefault="00B04313" w:rsidP="00F34EE3">
            <w:pPr>
              <w:autoSpaceDE w:val="0"/>
              <w:autoSpaceDN w:val="0"/>
              <w:adjustRightInd w:val="0"/>
              <w:spacing w:line="320" w:lineRule="atLeast"/>
              <w:ind w:left="60" w:right="60"/>
              <w:rPr>
                <w:rFonts w:ascii="Arial" w:hAnsi="Arial" w:cs="Arial"/>
                <w:color w:val="264A60"/>
                <w:sz w:val="16"/>
                <w:szCs w:val="16"/>
              </w:rPr>
            </w:pPr>
            <w:r w:rsidRPr="00B04313">
              <w:rPr>
                <w:rFonts w:ascii="Arial" w:hAnsi="Arial" w:cs="Arial"/>
                <w:color w:val="264A60"/>
                <w:sz w:val="16"/>
                <w:szCs w:val="16"/>
              </w:rPr>
              <w:t>Market availability</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C844A"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3.71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C0AA4"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2.966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0DD70"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.824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0C03CF"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.841</w:t>
            </w: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FAC1E3" w14:textId="77777777" w:rsidR="00B04313" w:rsidRPr="00B04313" w:rsidRDefault="00B04313" w:rsidP="00F34EE3">
            <w:pPr>
              <w:rPr>
                <w:rFonts w:ascii="Arial" w:eastAsia="Times New Roman" w:hAnsi="Arial" w:cs="Arial"/>
                <w:sz w:val="16"/>
                <w:szCs w:val="16"/>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ED0951" w14:textId="77777777" w:rsidR="00B04313" w:rsidRPr="00B04313" w:rsidRDefault="00B04313" w:rsidP="00F34EE3">
            <w:pPr>
              <w:rPr>
                <w:rFonts w:ascii="Arial" w:eastAsia="Times New Roman" w:hAnsi="Arial" w:cs="Arial"/>
                <w:sz w:val="16"/>
                <w:szCs w:val="16"/>
              </w:rPr>
            </w:pPr>
          </w:p>
        </w:tc>
      </w:tr>
      <w:tr w:rsidR="00B04313" w14:paraId="6DD72337" w14:textId="77777777" w:rsidTr="00B04313">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FCCAC" w14:textId="77777777" w:rsidR="00B04313" w:rsidRPr="00B04313" w:rsidRDefault="00B04313" w:rsidP="00F34EE3">
            <w:pPr>
              <w:rPr>
                <w:rFonts w:ascii="Arial" w:eastAsia="Times New Roman" w:hAnsi="Arial" w:cs="Arial"/>
                <w:sz w:val="16"/>
                <w:szCs w:val="16"/>
              </w:rPr>
            </w:pP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2BAA0A" w14:textId="77777777" w:rsidR="00B04313" w:rsidRPr="00B04313" w:rsidRDefault="00B04313" w:rsidP="00F34EE3">
            <w:pPr>
              <w:autoSpaceDE w:val="0"/>
              <w:autoSpaceDN w:val="0"/>
              <w:adjustRightInd w:val="0"/>
              <w:spacing w:line="320" w:lineRule="atLeast"/>
              <w:ind w:left="60" w:right="60"/>
              <w:rPr>
                <w:rFonts w:ascii="Arial" w:hAnsi="Arial" w:cs="Arial"/>
                <w:color w:val="264A60"/>
                <w:sz w:val="16"/>
                <w:szCs w:val="16"/>
              </w:rPr>
            </w:pPr>
            <w:r w:rsidRPr="00B04313">
              <w:rPr>
                <w:rFonts w:ascii="Arial" w:hAnsi="Arial" w:cs="Arial"/>
                <w:color w:val="264A60"/>
                <w:sz w:val="16"/>
                <w:szCs w:val="16"/>
              </w:rPr>
              <w:t>Price competitiveness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72D61"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3.72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4C3B8"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3.179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D54FD2"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.804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40D4B" w14:textId="77777777"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.858</w:t>
            </w: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5EE690" w14:textId="77777777" w:rsidR="00B04313" w:rsidRPr="00B04313" w:rsidRDefault="00B04313" w:rsidP="00F34EE3">
            <w:pPr>
              <w:rPr>
                <w:rFonts w:ascii="Arial" w:eastAsia="Times New Roman" w:hAnsi="Arial" w:cs="Arial"/>
                <w:sz w:val="16"/>
                <w:szCs w:val="16"/>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C006F0" w14:textId="77777777" w:rsidR="00B04313" w:rsidRPr="00B04313" w:rsidRDefault="00B04313" w:rsidP="00F34EE3">
            <w:pPr>
              <w:rPr>
                <w:rFonts w:ascii="Arial" w:eastAsia="Times New Roman" w:hAnsi="Arial" w:cs="Arial"/>
                <w:sz w:val="16"/>
                <w:szCs w:val="16"/>
              </w:rPr>
            </w:pPr>
          </w:p>
        </w:tc>
      </w:tr>
      <w:tr w:rsidR="00B04313" w14:paraId="46037D60" w14:textId="77777777" w:rsidTr="00B04313">
        <w:tc>
          <w:tcPr>
            <w:tcW w:w="836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EE2E6" w14:textId="77777777"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eastAsia="Times New Roman" w:hAnsi="Arial" w:cs="Arial"/>
                <w:bCs/>
                <w:sz w:val="16"/>
                <w:szCs w:val="16"/>
              </w:rPr>
              <w:t>(Source: Compiled from SPSS 30 output)</w:t>
            </w:r>
          </w:p>
        </w:tc>
      </w:tr>
    </w:tbl>
    <w:p w14:paraId="0EEDB467" w14:textId="77777777" w:rsidR="00B04313" w:rsidRDefault="00B04313" w:rsidP="00441B6F">
      <w:pPr>
        <w:pStyle w:val="Body"/>
        <w:spacing w:after="0"/>
        <w:rPr>
          <w:rFonts w:ascii="Arial" w:hAnsi="Arial" w:cs="Arial"/>
        </w:rPr>
      </w:pPr>
    </w:p>
    <w:p w14:paraId="502E95CE" w14:textId="77777777" w:rsidR="00790ADA" w:rsidRDefault="00B04313" w:rsidP="00441B6F">
      <w:pPr>
        <w:pStyle w:val="Body"/>
        <w:spacing w:after="0"/>
        <w:rPr>
          <w:rFonts w:ascii="Arial" w:hAnsi="Arial" w:cs="Arial"/>
        </w:rPr>
      </w:pPr>
      <w:r w:rsidRPr="00B04313">
        <w:rPr>
          <w:rFonts w:ascii="Arial" w:hAnsi="Arial" w:cs="Arial"/>
        </w:rPr>
        <w:t>The climate-dependent factor recorded a Cronbach’s Alpha of 0.878, and the human-dependent factor achieved 0.901. The corrected item-total correlations and the “alpha if item deleted” values confirmed that all items contributed significantly to their respective constructs.</w:t>
      </w:r>
    </w:p>
    <w:p w14:paraId="2635D721" w14:textId="77777777" w:rsidR="00B04313" w:rsidRPr="00B04313" w:rsidRDefault="00B04313" w:rsidP="00441B6F">
      <w:pPr>
        <w:pStyle w:val="Body"/>
        <w:spacing w:after="0"/>
        <w:rPr>
          <w:rFonts w:ascii="Arial" w:hAnsi="Arial" w:cs="Arial"/>
        </w:rPr>
      </w:pPr>
    </w:p>
    <w:p w14:paraId="7A8AD7EA" w14:textId="77777777" w:rsidR="00B04313" w:rsidRPr="00B04313" w:rsidRDefault="00B04313" w:rsidP="00B04313">
      <w:pPr>
        <w:pStyle w:val="NormalWeb"/>
        <w:jc w:val="both"/>
        <w:rPr>
          <w:rFonts w:ascii="Arial" w:hAnsi="Arial" w:cs="Arial"/>
          <w:sz w:val="22"/>
          <w:szCs w:val="22"/>
        </w:rPr>
      </w:pPr>
      <w:r w:rsidRPr="00B04313">
        <w:rPr>
          <w:rFonts w:ascii="Arial" w:hAnsi="Arial" w:cs="Arial"/>
          <w:b/>
          <w:sz w:val="22"/>
          <w:szCs w:val="22"/>
        </w:rPr>
        <w:t>4. DISCUSSION</w:t>
      </w:r>
    </w:p>
    <w:p w14:paraId="3B8A1E6D" w14:textId="77777777" w:rsidR="00B04313" w:rsidRPr="00B04313" w:rsidRDefault="00B04313" w:rsidP="00B04313">
      <w:pPr>
        <w:pStyle w:val="NormalWeb"/>
        <w:jc w:val="both"/>
        <w:rPr>
          <w:rFonts w:ascii="Arial" w:hAnsi="Arial" w:cs="Arial"/>
          <w:sz w:val="20"/>
          <w:szCs w:val="20"/>
        </w:rPr>
      </w:pPr>
      <w:r w:rsidRPr="00B04313">
        <w:rPr>
          <w:rFonts w:ascii="Arial" w:hAnsi="Arial" w:cs="Arial"/>
          <w:sz w:val="20"/>
          <w:szCs w:val="20"/>
        </w:rPr>
        <w:t xml:space="preserve">The results of the present investigation offer valuable understanding of the ways in which consumers judge locally grown horticultural items in the Kumaon region, as well as how these views shape the wider commercialization potential of the hill-based horticulture sector. A clear distinction emerges between intrinsic, climate-dependent qualities and external, </w:t>
      </w:r>
      <w:r w:rsidRPr="00B04313">
        <w:rPr>
          <w:rFonts w:ascii="Arial" w:hAnsi="Arial" w:cs="Arial"/>
          <w:sz w:val="20"/>
          <w:szCs w:val="20"/>
        </w:rPr>
        <w:lastRenderedPageBreak/>
        <w:t xml:space="preserve">market-driven attributes. Consumers consistently expressed higher satisfaction with nutritional quality, natural freshness, and flavor profile, indicating that the inherent strengths of hill-based horticulture form a solid foundation for expanding market demand for local produce. These attributes reflect the region's </w:t>
      </w:r>
      <w:proofErr w:type="spellStart"/>
      <w:r w:rsidRPr="00B04313">
        <w:rPr>
          <w:rFonts w:ascii="Arial" w:hAnsi="Arial" w:cs="Arial"/>
          <w:sz w:val="20"/>
          <w:szCs w:val="20"/>
        </w:rPr>
        <w:t>favourable</w:t>
      </w:r>
      <w:proofErr w:type="spellEnd"/>
      <w:r w:rsidRPr="00B04313">
        <w:rPr>
          <w:rFonts w:ascii="Arial" w:hAnsi="Arial" w:cs="Arial"/>
          <w:sz w:val="20"/>
          <w:szCs w:val="20"/>
        </w:rPr>
        <w:t xml:space="preserve"> climatic conditions, lower chemical dependency, shorter transportation distances, and traditional cultivation practices, all of which contribute to superior sensory and nutritional qualities. The prominence of these intrinsic characteristics aligns with the findings of Feldmann and Hamm (2015) and Wu (2012), who argued that freshness, taste, and nutritional content remain decisive determinants of consumer satisfaction, thereby reinforcing the regional potential for commercial expansion.</w:t>
      </w:r>
    </w:p>
    <w:p w14:paraId="3CBDFD29" w14:textId="77777777" w:rsidR="00B04313" w:rsidRPr="00B04313" w:rsidRDefault="00B04313" w:rsidP="00B04313">
      <w:pPr>
        <w:pStyle w:val="NormalWeb"/>
        <w:jc w:val="both"/>
        <w:rPr>
          <w:rFonts w:ascii="Arial" w:hAnsi="Arial" w:cs="Arial"/>
          <w:sz w:val="20"/>
          <w:szCs w:val="20"/>
        </w:rPr>
      </w:pPr>
      <w:r w:rsidRPr="00B04313">
        <w:rPr>
          <w:rFonts w:ascii="Arial" w:hAnsi="Arial" w:cs="Arial"/>
          <w:sz w:val="20"/>
          <w:szCs w:val="20"/>
        </w:rPr>
        <w:t xml:space="preserve">Despite these natural advantages, consumers expressed dissatisfaction with human-dependent attributes such as pricing, availability, and presentation. This pattern reveals structural bottlenecks within the horticulture marketing system that restrict the transition from subsistence-oriented production to commercially viable market integration. The lower performance of these attributes points toward weaknesses in distribution networks, retail infrastructure, and value-addition processes. Research conducted by Brown (2003), </w:t>
      </w:r>
      <w:proofErr w:type="spellStart"/>
      <w:r w:rsidRPr="00B04313">
        <w:rPr>
          <w:rFonts w:ascii="Arial" w:hAnsi="Arial" w:cs="Arial"/>
          <w:sz w:val="20"/>
          <w:szCs w:val="20"/>
        </w:rPr>
        <w:t>Jekanowski</w:t>
      </w:r>
      <w:proofErr w:type="spellEnd"/>
      <w:r w:rsidRPr="00B04313">
        <w:rPr>
          <w:rFonts w:ascii="Arial" w:hAnsi="Arial" w:cs="Arial"/>
          <w:sz w:val="20"/>
          <w:szCs w:val="20"/>
        </w:rPr>
        <w:t xml:space="preserve"> et al. (2000) and Onken and Bernard (2010) also indicates that even when products possess strong intrinsic attributes, these strengths do not necessarily lead to better market outcomes unless consumers find the prices reasonable and the products consistently available. In the context of Kumaon, small farm sizes, dispersed cultivation, seasonal harvesting cycles, and limited aggregation mechanisms further constrain the sector’s capacity to generate stable income and employment through organized commercialization.</w:t>
      </w:r>
    </w:p>
    <w:p w14:paraId="5FA5E542" w14:textId="77777777" w:rsidR="00B04313" w:rsidRPr="00B04313" w:rsidRDefault="00B04313" w:rsidP="00B04313">
      <w:pPr>
        <w:pStyle w:val="NormalWeb"/>
        <w:jc w:val="both"/>
        <w:rPr>
          <w:rFonts w:ascii="Arial" w:hAnsi="Arial" w:cs="Arial"/>
          <w:sz w:val="20"/>
          <w:szCs w:val="20"/>
        </w:rPr>
      </w:pPr>
      <w:r w:rsidRPr="00B04313">
        <w:rPr>
          <w:rFonts w:ascii="Arial" w:hAnsi="Arial" w:cs="Arial"/>
          <w:sz w:val="20"/>
          <w:szCs w:val="20"/>
        </w:rPr>
        <w:t>The two-factor structure revealed through Exploratory Factor Analysis underscores how distinctly consumers differentiate natural product characteristics from market-controlled attributes. This clear separation indicates that intrinsic quality alone cannot sustain long-term commercial success unless supported by effective market systems. This pattern aligns with wider research on consumer decision-making and market functioning, which shows that intrinsic qualities shape how people judge a product’s worth, while extrinsic factors influence its availability and cost-effectiveness (Behe et al., 2013; Campbell et al., 2014). The strong reliability of both factors highlights the stability of these perception patterns, reinforcing the need for targeted interventions to strengthen commercialization pathways.</w:t>
      </w:r>
    </w:p>
    <w:p w14:paraId="7A590D3C" w14:textId="77777777" w:rsidR="00B04313" w:rsidRPr="00B04313" w:rsidRDefault="00B04313" w:rsidP="00B04313">
      <w:pPr>
        <w:pStyle w:val="NormalWeb"/>
        <w:jc w:val="both"/>
        <w:rPr>
          <w:rFonts w:ascii="Arial" w:hAnsi="Arial" w:cs="Arial"/>
          <w:sz w:val="20"/>
          <w:szCs w:val="20"/>
        </w:rPr>
      </w:pPr>
      <w:r w:rsidRPr="00B04313">
        <w:rPr>
          <w:rFonts w:ascii="Arial" w:hAnsi="Arial" w:cs="Arial"/>
          <w:sz w:val="20"/>
          <w:szCs w:val="20"/>
        </w:rPr>
        <w:t xml:space="preserve">These findings carry significant implications for producers, marketers, and policymakers. While sustaining intrinsic quality requires continued adherence to good cultivation practices, formalizing and professionalizing market processes is essential for transforming horticulture into a viable engine of employment generation. Weaknesses in presentation reflect limited adoption of standardized packaging practices among small-scale producers, which undermines perceived value even when actual quality remains high. Experiences from branding-led initiatives, such as the “Fresh from Florida” </w:t>
      </w:r>
      <w:proofErr w:type="spellStart"/>
      <w:r w:rsidRPr="00B04313">
        <w:rPr>
          <w:rFonts w:ascii="Arial" w:hAnsi="Arial" w:cs="Arial"/>
          <w:sz w:val="20"/>
          <w:szCs w:val="20"/>
        </w:rPr>
        <w:t>programme</w:t>
      </w:r>
      <w:proofErr w:type="spellEnd"/>
      <w:r w:rsidRPr="00B04313">
        <w:rPr>
          <w:rFonts w:ascii="Arial" w:hAnsi="Arial" w:cs="Arial"/>
          <w:sz w:val="20"/>
          <w:szCs w:val="20"/>
        </w:rPr>
        <w:t xml:space="preserve"> described by Rumble and Roper (2015), demonstrate that cost-effective improvements in packaging, labelling, and visual identity can substantially enhance consumer trust and expand market reach.</w:t>
      </w:r>
    </w:p>
    <w:p w14:paraId="455DA517" w14:textId="77777777" w:rsidR="00B04313" w:rsidRPr="00B04313" w:rsidRDefault="00B04313" w:rsidP="00B04313">
      <w:pPr>
        <w:pStyle w:val="NormalWeb"/>
        <w:jc w:val="both"/>
        <w:rPr>
          <w:rFonts w:ascii="Arial" w:hAnsi="Arial" w:cs="Arial"/>
          <w:sz w:val="20"/>
          <w:szCs w:val="20"/>
        </w:rPr>
      </w:pPr>
      <w:r w:rsidRPr="00B04313">
        <w:rPr>
          <w:rFonts w:ascii="Arial" w:hAnsi="Arial" w:cs="Arial"/>
          <w:sz w:val="20"/>
          <w:szCs w:val="20"/>
        </w:rPr>
        <w:t xml:space="preserve">Similarly, poor market availability highlights deficiencies in logistics, storage, and procurement systems. Janakiram and Reddy (2016) and </w:t>
      </w:r>
      <w:proofErr w:type="spellStart"/>
      <w:r w:rsidRPr="00B04313">
        <w:rPr>
          <w:rFonts w:ascii="Arial" w:hAnsi="Arial" w:cs="Arial"/>
          <w:sz w:val="20"/>
          <w:szCs w:val="20"/>
        </w:rPr>
        <w:t>Tamta</w:t>
      </w:r>
      <w:proofErr w:type="spellEnd"/>
      <w:r w:rsidRPr="00B04313">
        <w:rPr>
          <w:rFonts w:ascii="Arial" w:hAnsi="Arial" w:cs="Arial"/>
          <w:sz w:val="20"/>
          <w:szCs w:val="20"/>
        </w:rPr>
        <w:t xml:space="preserve"> and Deepak (2023) identified comparable issues in hill horticulture, emphasizing that the absence of structured supply chains restricts consistent market flow. Strengthening farmer collectives, developing decentralized procurement </w:t>
      </w:r>
      <w:proofErr w:type="spellStart"/>
      <w:r w:rsidRPr="00B04313">
        <w:rPr>
          <w:rFonts w:ascii="Arial" w:hAnsi="Arial" w:cs="Arial"/>
          <w:sz w:val="20"/>
          <w:szCs w:val="20"/>
        </w:rPr>
        <w:t>centres</w:t>
      </w:r>
      <w:proofErr w:type="spellEnd"/>
      <w:r w:rsidRPr="00B04313">
        <w:rPr>
          <w:rFonts w:ascii="Arial" w:hAnsi="Arial" w:cs="Arial"/>
          <w:sz w:val="20"/>
          <w:szCs w:val="20"/>
        </w:rPr>
        <w:t xml:space="preserve">, and improving village-level aggregation infrastructure could significantly enhance both market stability and income continuity. These improvements align with the developmental perspective outlined by </w:t>
      </w:r>
      <w:proofErr w:type="spellStart"/>
      <w:r w:rsidRPr="00B04313">
        <w:rPr>
          <w:rFonts w:ascii="Arial" w:hAnsi="Arial" w:cs="Arial"/>
          <w:sz w:val="20"/>
          <w:szCs w:val="20"/>
        </w:rPr>
        <w:t>Osabohien</w:t>
      </w:r>
      <w:proofErr w:type="spellEnd"/>
      <w:r w:rsidRPr="00B04313">
        <w:rPr>
          <w:rFonts w:ascii="Arial" w:hAnsi="Arial" w:cs="Arial"/>
          <w:sz w:val="20"/>
          <w:szCs w:val="20"/>
        </w:rPr>
        <w:t xml:space="preserve"> et al. (2019), which </w:t>
      </w:r>
      <w:r w:rsidRPr="00B04313">
        <w:rPr>
          <w:rFonts w:ascii="Arial" w:hAnsi="Arial" w:cs="Arial"/>
          <w:sz w:val="20"/>
          <w:szCs w:val="20"/>
        </w:rPr>
        <w:lastRenderedPageBreak/>
        <w:t>recognizes effective agricultural markets as a cornerstone of rural employment and poverty reduction.</w:t>
      </w:r>
    </w:p>
    <w:p w14:paraId="34934B95" w14:textId="77777777" w:rsidR="00B04313" w:rsidRDefault="00B04313" w:rsidP="00B04313">
      <w:pPr>
        <w:pStyle w:val="NormalWeb"/>
        <w:jc w:val="both"/>
      </w:pPr>
      <w:r w:rsidRPr="00B04313">
        <w:rPr>
          <w:rFonts w:ascii="Arial" w:hAnsi="Arial" w:cs="Arial"/>
          <w:sz w:val="20"/>
          <w:szCs w:val="20"/>
        </w:rPr>
        <w:t>The findings also suggest clear directions for policy intervention. Addressing human-dependent constraints does not necessarily require high-cost infrastructure alone; incremental reforms such as training farmers in product presentation, promoting local branding initiatives, improving price transparency, and creating structured buyer–seller linkages can significantly enhance consumer satisfaction. Eco-labels and sustainability cues, as demonstrated by Rihn and Khachatryan (2016) and Khachatryan et al. (2017), can serve as powerful tools for conveying the inherent advantages of naturally grown produce from Kumaon and for enhancing its competitive positioning in wider markets.</w:t>
      </w:r>
    </w:p>
    <w:p w14:paraId="11C76002" w14:textId="77777777" w:rsidR="00B04313" w:rsidRPr="00B04313" w:rsidRDefault="00B04313" w:rsidP="00B04313">
      <w:pPr>
        <w:pStyle w:val="ConcHead"/>
        <w:spacing w:after="0"/>
        <w:jc w:val="both"/>
        <w:rPr>
          <w:rFonts w:ascii="Arial" w:hAnsi="Arial" w:cs="Arial"/>
          <w:b w:val="0"/>
          <w:sz w:val="20"/>
        </w:rPr>
      </w:pPr>
      <w:r w:rsidRPr="00B04313">
        <w:rPr>
          <w:rFonts w:ascii="Arial" w:hAnsi="Arial" w:cs="Arial"/>
          <w:b w:val="0"/>
          <w:caps w:val="0"/>
          <w:sz w:val="20"/>
        </w:rPr>
        <w:t>In essence, the study underscores that strengthening human-dependent attributes while preserving intrinsic quality is central to advancing horticulture commercialization in the Kumaon hills. By correcting supply-chain inefficiencies, stabilizing prices, and enhancing presentation standards, stakeholders can increase consumer confidence, expand demand for local produce, and create a sustainable pathway for income generation and employment growth. This dual strategy offers a practical framework for transforming horticulture into a dynamic driver of regional economic development.</w:t>
      </w:r>
    </w:p>
    <w:p w14:paraId="28BAEE24" w14:textId="77777777" w:rsidR="00B04313" w:rsidRDefault="00B04313" w:rsidP="00B04313">
      <w:pPr>
        <w:pStyle w:val="ConcHead"/>
        <w:spacing w:after="0"/>
        <w:jc w:val="both"/>
        <w:rPr>
          <w:rFonts w:ascii="Arial" w:hAnsi="Arial" w:cs="Arial"/>
        </w:rPr>
      </w:pPr>
    </w:p>
    <w:p w14:paraId="264EA482" w14:textId="77777777" w:rsidR="00B01FCD" w:rsidRDefault="00322C4D"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3209E95E" w14:textId="77777777" w:rsidR="00790ADA" w:rsidRPr="00FB3A86" w:rsidRDefault="00790ADA" w:rsidP="00441B6F">
      <w:pPr>
        <w:pStyle w:val="ConcHead"/>
        <w:spacing w:after="0"/>
        <w:jc w:val="both"/>
        <w:rPr>
          <w:rFonts w:ascii="Arial" w:hAnsi="Arial" w:cs="Arial"/>
        </w:rPr>
      </w:pPr>
    </w:p>
    <w:p w14:paraId="414A8255" w14:textId="77777777" w:rsidR="00322C4D" w:rsidRPr="00322C4D" w:rsidRDefault="00322C4D" w:rsidP="00322C4D">
      <w:pPr>
        <w:tabs>
          <w:tab w:val="left" w:pos="8208"/>
        </w:tabs>
        <w:ind w:right="-14"/>
        <w:jc w:val="both"/>
        <w:rPr>
          <w:rFonts w:ascii="Arial" w:hAnsi="Arial" w:cs="Arial"/>
        </w:rPr>
      </w:pPr>
      <w:r w:rsidRPr="00322C4D">
        <w:rPr>
          <w:rFonts w:ascii="Arial" w:hAnsi="Arial" w:cs="Arial"/>
        </w:rPr>
        <w:t xml:space="preserve">This study examined consumer perceptions of locally produced horticultural products in the Kumaon region and identified two distinct dimensions- climate-dependent and human-dependent attributes, that shape their overall satisfaction. The findings clearly indicate that consumers attach high importance to intrinsic qualities such as nutritional content, natural freshness, and flavor. These strengths reflect the region’s </w:t>
      </w:r>
      <w:proofErr w:type="spellStart"/>
      <w:r w:rsidRPr="00322C4D">
        <w:rPr>
          <w:rFonts w:ascii="Arial" w:hAnsi="Arial" w:cs="Arial"/>
        </w:rPr>
        <w:t>favourable</w:t>
      </w:r>
      <w:proofErr w:type="spellEnd"/>
      <w:r w:rsidRPr="00322C4D">
        <w:rPr>
          <w:rFonts w:ascii="Arial" w:hAnsi="Arial" w:cs="Arial"/>
        </w:rPr>
        <w:t xml:space="preserve"> </w:t>
      </w:r>
      <w:proofErr w:type="spellStart"/>
      <w:r w:rsidRPr="00322C4D">
        <w:rPr>
          <w:rFonts w:ascii="Arial" w:hAnsi="Arial" w:cs="Arial"/>
        </w:rPr>
        <w:t>agro</w:t>
      </w:r>
      <w:proofErr w:type="spellEnd"/>
      <w:r w:rsidRPr="00322C4D">
        <w:rPr>
          <w:rFonts w:ascii="Arial" w:hAnsi="Arial" w:cs="Arial"/>
        </w:rPr>
        <w:t>-climatic conditions and traditional cultivation practices, which together contribute to produce that is naturally appealing and distinctive in quality. Such intrinsic advantages provide a strong foundation for strengthening the commercialization of horticultural products and positioning them as competitive alternatives in regional markets, thereby supporting the expansion of market opportunities and employment potential within the Kumaon hills.</w:t>
      </w:r>
    </w:p>
    <w:p w14:paraId="6276BFC8" w14:textId="77777777" w:rsidR="00322C4D" w:rsidRPr="00322C4D" w:rsidRDefault="00322C4D" w:rsidP="00322C4D">
      <w:pPr>
        <w:pStyle w:val="ListParagraph"/>
        <w:spacing w:after="0" w:line="240" w:lineRule="auto"/>
        <w:ind w:right="431"/>
        <w:jc w:val="both"/>
        <w:rPr>
          <w:rFonts w:ascii="Arial" w:hAnsi="Arial" w:cs="Arial"/>
          <w:sz w:val="20"/>
          <w:szCs w:val="20"/>
        </w:rPr>
      </w:pPr>
    </w:p>
    <w:p w14:paraId="00A851BF" w14:textId="77777777" w:rsidR="00322C4D" w:rsidRPr="00322C4D" w:rsidRDefault="00322C4D" w:rsidP="00322C4D">
      <w:pPr>
        <w:tabs>
          <w:tab w:val="left" w:pos="8208"/>
        </w:tabs>
        <w:ind w:right="-14"/>
        <w:jc w:val="both"/>
        <w:rPr>
          <w:rFonts w:ascii="Arial" w:hAnsi="Arial" w:cs="Arial"/>
        </w:rPr>
      </w:pPr>
      <w:r w:rsidRPr="00322C4D">
        <w:rPr>
          <w:rFonts w:ascii="Arial" w:hAnsi="Arial" w:cs="Arial"/>
        </w:rPr>
        <w:t>However, the study also highlights a parallel set of challenges related to market-driven or human-dependent attributes. Low satisfaction with product availability, price competitiveness, and presentation points to gaps in the supply chain, distribution systems, packaging standards, and overall market preparedness. These weaknesses constrain the translation of high product quality into sustained consumer demand and commercial viability. When such gaps persist, the capacity of the horticulture sector to contribute meaningfully to income generation and employment creation remains limited. Addressing these constraints is therefore essential for transforming local horticulture from a subsistence-oriented activity into a structured, market-responsive sector capable of supporting regional economic development.</w:t>
      </w:r>
    </w:p>
    <w:p w14:paraId="5454CA0D" w14:textId="77777777" w:rsidR="00322C4D" w:rsidRPr="00322C4D" w:rsidRDefault="00322C4D" w:rsidP="00322C4D">
      <w:pPr>
        <w:pStyle w:val="ListParagraph"/>
        <w:spacing w:after="0" w:line="240" w:lineRule="auto"/>
        <w:ind w:right="431"/>
        <w:jc w:val="both"/>
        <w:rPr>
          <w:rFonts w:ascii="Arial" w:hAnsi="Arial" w:cs="Arial"/>
          <w:sz w:val="20"/>
          <w:szCs w:val="20"/>
        </w:rPr>
      </w:pPr>
    </w:p>
    <w:p w14:paraId="53D8415E" w14:textId="77777777" w:rsidR="00322C4D" w:rsidRPr="00322C4D" w:rsidRDefault="00322C4D" w:rsidP="00322C4D">
      <w:pPr>
        <w:ind w:right="431"/>
        <w:jc w:val="both"/>
        <w:rPr>
          <w:rFonts w:ascii="Arial" w:hAnsi="Arial" w:cs="Arial"/>
          <w:b/>
          <w:sz w:val="22"/>
          <w:szCs w:val="22"/>
        </w:rPr>
      </w:pPr>
      <w:r w:rsidRPr="00322C4D">
        <w:rPr>
          <w:rFonts w:ascii="Arial" w:hAnsi="Arial" w:cs="Arial"/>
          <w:b/>
          <w:sz w:val="22"/>
          <w:szCs w:val="22"/>
        </w:rPr>
        <w:t>5.1 Implications</w:t>
      </w:r>
    </w:p>
    <w:p w14:paraId="2A50A6FD" w14:textId="77777777" w:rsidR="00322C4D" w:rsidRPr="00322C4D" w:rsidRDefault="00322C4D" w:rsidP="00322C4D">
      <w:pPr>
        <w:pStyle w:val="ListParagraph"/>
        <w:spacing w:after="0" w:line="240" w:lineRule="auto"/>
        <w:ind w:right="431"/>
        <w:jc w:val="both"/>
        <w:rPr>
          <w:rFonts w:ascii="Arial" w:hAnsi="Arial" w:cs="Arial"/>
          <w:sz w:val="20"/>
          <w:szCs w:val="20"/>
        </w:rPr>
      </w:pPr>
    </w:p>
    <w:p w14:paraId="73230AB4" w14:textId="77777777" w:rsidR="00322C4D" w:rsidRPr="00322C4D" w:rsidRDefault="00322C4D" w:rsidP="00B821FC">
      <w:pPr>
        <w:ind w:right="-14"/>
        <w:jc w:val="both"/>
        <w:rPr>
          <w:rFonts w:ascii="Arial" w:hAnsi="Arial" w:cs="Arial"/>
        </w:rPr>
      </w:pPr>
      <w:r w:rsidRPr="00322C4D">
        <w:rPr>
          <w:rFonts w:ascii="Arial" w:hAnsi="Arial" w:cs="Arial"/>
        </w:rPr>
        <w:t>The implications of this study suggest several strategic directions for strengthening horticulture commercialization in Kumaon and enhancing its role as a driver of employment and livelihood generation. Such as:</w:t>
      </w:r>
    </w:p>
    <w:p w14:paraId="225E9095" w14:textId="77777777" w:rsidR="00322C4D" w:rsidRPr="00322C4D" w:rsidRDefault="00322C4D" w:rsidP="00322C4D">
      <w:pPr>
        <w:pStyle w:val="ListParagraph"/>
        <w:spacing w:after="0" w:line="240" w:lineRule="auto"/>
        <w:ind w:right="431"/>
        <w:jc w:val="both"/>
        <w:rPr>
          <w:rFonts w:ascii="Arial" w:hAnsi="Arial" w:cs="Arial"/>
          <w:sz w:val="20"/>
          <w:szCs w:val="20"/>
        </w:rPr>
      </w:pPr>
    </w:p>
    <w:p w14:paraId="20DD5AE7" w14:textId="77777777" w:rsidR="00322C4D" w:rsidRPr="00322C4D" w:rsidRDefault="00322C4D" w:rsidP="00B821FC">
      <w:pPr>
        <w:pStyle w:val="ListParagraph"/>
        <w:spacing w:after="0" w:line="240" w:lineRule="auto"/>
        <w:ind w:right="-14"/>
        <w:jc w:val="both"/>
        <w:rPr>
          <w:rFonts w:ascii="Arial" w:hAnsi="Arial" w:cs="Arial"/>
          <w:sz w:val="20"/>
          <w:szCs w:val="20"/>
        </w:rPr>
      </w:pPr>
      <w:r w:rsidRPr="00322C4D">
        <w:rPr>
          <w:rFonts w:ascii="Arial" w:hAnsi="Arial" w:cs="Arial"/>
          <w:sz w:val="20"/>
          <w:szCs w:val="20"/>
        </w:rPr>
        <w:t>• Strengthening Market Distribution: Improve supply chains and ensure regular availability to support consistent market participation.</w:t>
      </w:r>
    </w:p>
    <w:p w14:paraId="66F5214A" w14:textId="77777777" w:rsidR="00322C4D" w:rsidRPr="00322C4D" w:rsidRDefault="00322C4D" w:rsidP="00322C4D">
      <w:pPr>
        <w:pStyle w:val="ListParagraph"/>
        <w:spacing w:after="0" w:line="240" w:lineRule="auto"/>
        <w:ind w:right="431"/>
        <w:jc w:val="both"/>
        <w:rPr>
          <w:rFonts w:ascii="Arial" w:hAnsi="Arial" w:cs="Arial"/>
          <w:sz w:val="20"/>
          <w:szCs w:val="20"/>
        </w:rPr>
      </w:pPr>
    </w:p>
    <w:p w14:paraId="650AF7C3" w14:textId="77777777" w:rsidR="00322C4D" w:rsidRPr="00322C4D" w:rsidRDefault="00322C4D" w:rsidP="00DF5AEE">
      <w:pPr>
        <w:pStyle w:val="ListParagraph"/>
        <w:tabs>
          <w:tab w:val="left" w:pos="8208"/>
        </w:tabs>
        <w:spacing w:after="0" w:line="240" w:lineRule="auto"/>
        <w:ind w:right="-14"/>
        <w:jc w:val="both"/>
        <w:rPr>
          <w:rFonts w:ascii="Arial" w:hAnsi="Arial" w:cs="Arial"/>
          <w:sz w:val="20"/>
          <w:szCs w:val="20"/>
        </w:rPr>
      </w:pPr>
      <w:r w:rsidRPr="00322C4D">
        <w:rPr>
          <w:rFonts w:ascii="Arial" w:hAnsi="Arial" w:cs="Arial"/>
          <w:sz w:val="20"/>
          <w:szCs w:val="20"/>
        </w:rPr>
        <w:lastRenderedPageBreak/>
        <w:t>• Enhancing Pricing Efficiency: Reduce marketing and logistical costs through decentralized procurement and improved coordination among producers.</w:t>
      </w:r>
    </w:p>
    <w:p w14:paraId="70CFD28C" w14:textId="77777777" w:rsidR="00322C4D" w:rsidRPr="00322C4D" w:rsidRDefault="00322C4D" w:rsidP="00322C4D">
      <w:pPr>
        <w:pStyle w:val="ListParagraph"/>
        <w:spacing w:after="0" w:line="240" w:lineRule="auto"/>
        <w:ind w:right="431"/>
        <w:jc w:val="both"/>
        <w:rPr>
          <w:rFonts w:ascii="Arial" w:hAnsi="Arial" w:cs="Arial"/>
          <w:sz w:val="20"/>
          <w:szCs w:val="20"/>
        </w:rPr>
      </w:pPr>
    </w:p>
    <w:p w14:paraId="6FCD3579" w14:textId="77777777" w:rsidR="00322C4D" w:rsidRPr="00322C4D" w:rsidRDefault="00322C4D" w:rsidP="00DF5AEE">
      <w:pPr>
        <w:pStyle w:val="ListParagraph"/>
        <w:tabs>
          <w:tab w:val="left" w:pos="8208"/>
        </w:tabs>
        <w:spacing w:after="0" w:line="240" w:lineRule="auto"/>
        <w:ind w:right="-14"/>
        <w:jc w:val="both"/>
        <w:rPr>
          <w:rFonts w:ascii="Arial" w:hAnsi="Arial" w:cs="Arial"/>
          <w:sz w:val="20"/>
          <w:szCs w:val="20"/>
        </w:rPr>
      </w:pPr>
      <w:r w:rsidRPr="00322C4D">
        <w:rPr>
          <w:rFonts w:ascii="Arial" w:hAnsi="Arial" w:cs="Arial"/>
          <w:sz w:val="20"/>
          <w:szCs w:val="20"/>
        </w:rPr>
        <w:t>• Improving Product Presentation: Train producers in basic packaging and branding to improve visual appeal and perceived value.</w:t>
      </w:r>
    </w:p>
    <w:p w14:paraId="2E896376" w14:textId="77777777" w:rsidR="00322C4D" w:rsidRPr="00322C4D" w:rsidRDefault="00322C4D" w:rsidP="00322C4D">
      <w:pPr>
        <w:pStyle w:val="ListParagraph"/>
        <w:spacing w:after="0" w:line="240" w:lineRule="auto"/>
        <w:ind w:right="431"/>
        <w:jc w:val="both"/>
        <w:rPr>
          <w:rFonts w:ascii="Arial" w:hAnsi="Arial" w:cs="Arial"/>
          <w:sz w:val="20"/>
          <w:szCs w:val="20"/>
        </w:rPr>
      </w:pPr>
    </w:p>
    <w:p w14:paraId="67B96D1F" w14:textId="77777777" w:rsidR="00322C4D" w:rsidRPr="00322C4D" w:rsidRDefault="00322C4D" w:rsidP="00DF5AEE">
      <w:pPr>
        <w:pStyle w:val="ListParagraph"/>
        <w:tabs>
          <w:tab w:val="left" w:pos="8208"/>
        </w:tabs>
        <w:spacing w:after="0" w:line="240" w:lineRule="auto"/>
        <w:ind w:right="-14"/>
        <w:jc w:val="both"/>
        <w:rPr>
          <w:rFonts w:ascii="Arial" w:hAnsi="Arial" w:cs="Arial"/>
          <w:sz w:val="20"/>
          <w:szCs w:val="20"/>
        </w:rPr>
      </w:pPr>
      <w:r w:rsidRPr="00322C4D">
        <w:rPr>
          <w:rFonts w:ascii="Arial" w:hAnsi="Arial" w:cs="Arial"/>
          <w:sz w:val="20"/>
          <w:szCs w:val="20"/>
        </w:rPr>
        <w:t>• Leveraging Natural Strengths: Promote freshness and nutritional quality through effective labeling and consumer awareness initiatives.</w:t>
      </w:r>
    </w:p>
    <w:p w14:paraId="4F9C347F" w14:textId="77777777" w:rsidR="00322C4D" w:rsidRPr="00322C4D" w:rsidRDefault="00322C4D" w:rsidP="00322C4D">
      <w:pPr>
        <w:pStyle w:val="ListParagraph"/>
        <w:spacing w:after="0" w:line="240" w:lineRule="auto"/>
        <w:ind w:right="431"/>
        <w:jc w:val="both"/>
        <w:rPr>
          <w:rFonts w:ascii="Arial" w:hAnsi="Arial" w:cs="Arial"/>
          <w:sz w:val="20"/>
          <w:szCs w:val="20"/>
        </w:rPr>
      </w:pPr>
    </w:p>
    <w:p w14:paraId="3696DE1B" w14:textId="77777777" w:rsidR="00322C4D" w:rsidRPr="00322C4D" w:rsidRDefault="00322C4D" w:rsidP="00DF5AEE">
      <w:pPr>
        <w:pStyle w:val="ListParagraph"/>
        <w:tabs>
          <w:tab w:val="left" w:pos="8208"/>
        </w:tabs>
        <w:spacing w:after="0" w:line="240" w:lineRule="auto"/>
        <w:ind w:right="-14"/>
        <w:jc w:val="both"/>
        <w:rPr>
          <w:rFonts w:ascii="Arial" w:hAnsi="Arial" w:cs="Arial"/>
          <w:sz w:val="20"/>
          <w:szCs w:val="20"/>
        </w:rPr>
      </w:pPr>
      <w:r w:rsidRPr="00322C4D">
        <w:rPr>
          <w:rFonts w:ascii="Arial" w:hAnsi="Arial" w:cs="Arial"/>
          <w:sz w:val="20"/>
          <w:szCs w:val="20"/>
        </w:rPr>
        <w:t>• Policy Support: Infrastructure development, marketing assistance, and enterprise promotion are essential to foster sustainable commercialization and expand employment avenues.</w:t>
      </w:r>
    </w:p>
    <w:p w14:paraId="54D36FD9" w14:textId="77777777" w:rsidR="00322C4D" w:rsidRPr="00322C4D" w:rsidRDefault="00322C4D" w:rsidP="00322C4D">
      <w:pPr>
        <w:pStyle w:val="ListParagraph"/>
        <w:spacing w:after="0" w:line="240" w:lineRule="auto"/>
        <w:ind w:right="431"/>
        <w:jc w:val="both"/>
        <w:rPr>
          <w:rFonts w:ascii="Arial" w:hAnsi="Arial" w:cs="Arial"/>
          <w:sz w:val="20"/>
          <w:szCs w:val="20"/>
        </w:rPr>
      </w:pPr>
    </w:p>
    <w:p w14:paraId="4E76C0F5" w14:textId="77777777" w:rsidR="00322C4D" w:rsidRDefault="00322C4D" w:rsidP="00322C4D">
      <w:pPr>
        <w:pStyle w:val="Body"/>
        <w:spacing w:after="0"/>
        <w:rPr>
          <w:rFonts w:ascii="Arial" w:hAnsi="Arial" w:cs="Arial"/>
        </w:rPr>
      </w:pPr>
      <w:r w:rsidRPr="00322C4D">
        <w:rPr>
          <w:rFonts w:ascii="Arial" w:hAnsi="Arial" w:cs="Arial"/>
        </w:rPr>
        <w:t>The study shows that consumers in the Kumaon region express stronger satisfaction with the natural, climate-driven qualities of locally produced horticultural products than with market-managed attributes such as availability, pricing, and presentation. This indicates that while the intrinsic strengths of hill-grown produce are widely recognized, gaps in market efficiency continue to limit commercialization. Strengthening supply-chain management, improving price competitiveness, and enhancing product presentation could significantly improve market acceptance and income opportunities for producers. These findings provide useful direction for policymakers, marketers, and local institutions aiming to build a more efficient and livelihood-oriented horticulture sector in the Himalayan hill economy.</w:t>
      </w:r>
    </w:p>
    <w:p w14:paraId="3CD54AC6" w14:textId="77777777" w:rsidR="00322C4D" w:rsidRDefault="00322C4D" w:rsidP="00322C4D">
      <w:pPr>
        <w:pStyle w:val="Body"/>
        <w:spacing w:after="0"/>
        <w:rPr>
          <w:rFonts w:ascii="Arial" w:hAnsi="Arial" w:cs="Arial"/>
        </w:rPr>
      </w:pPr>
    </w:p>
    <w:p w14:paraId="5DA26A9D" w14:textId="77777777" w:rsidR="00322C4D" w:rsidRPr="00322C4D" w:rsidRDefault="00322C4D" w:rsidP="00322C4D">
      <w:pPr>
        <w:pStyle w:val="Body"/>
        <w:rPr>
          <w:rFonts w:ascii="Arial" w:hAnsi="Arial" w:cs="Arial"/>
        </w:rPr>
      </w:pPr>
      <w:r w:rsidRPr="00322C4D">
        <w:rPr>
          <w:rFonts w:ascii="Arial" w:hAnsi="Arial" w:cs="Arial"/>
          <w:b/>
          <w:sz w:val="22"/>
          <w:szCs w:val="22"/>
        </w:rPr>
        <w:t>AI-ASSISTANCE DISCLAIMER</w:t>
      </w:r>
    </w:p>
    <w:p w14:paraId="3AE0FD53" w14:textId="77777777" w:rsidR="00322C4D" w:rsidRDefault="00322C4D" w:rsidP="00322C4D">
      <w:pPr>
        <w:pStyle w:val="Body"/>
        <w:spacing w:after="0"/>
        <w:rPr>
          <w:rFonts w:ascii="Arial" w:hAnsi="Arial" w:cs="Arial"/>
        </w:rPr>
      </w:pPr>
      <w:r w:rsidRPr="00322C4D">
        <w:rPr>
          <w:rFonts w:ascii="Arial" w:hAnsi="Arial" w:cs="Arial"/>
        </w:rPr>
        <w:t>The author declares that no generative artificial intelligence (AI) tools were used to create or alter the core scientific content, analysis, results, discussion, or conclusions of this manuscript. AI tools were used only for minor language refinement, grammar correction, and formatting assistance. All research design, data collection, data analysis, interpretation of results, and preparation of the scientific arguments were conducted entirely by the author. The author has thoroughly reviewed, validated, and is fully responsible for the accuracy, integrity, and originality of the manuscript content.</w:t>
      </w:r>
    </w:p>
    <w:p w14:paraId="64632F65" w14:textId="77777777" w:rsidR="00790ADA" w:rsidRPr="00FB3A86" w:rsidRDefault="00790ADA" w:rsidP="00441B6F">
      <w:pPr>
        <w:pStyle w:val="Body"/>
        <w:spacing w:after="0"/>
        <w:rPr>
          <w:rFonts w:ascii="Arial" w:hAnsi="Arial" w:cs="Arial"/>
        </w:rPr>
      </w:pPr>
    </w:p>
    <w:p w14:paraId="7F06086B" w14:textId="77777777" w:rsidR="002B685A" w:rsidRDefault="002B685A" w:rsidP="00441B6F">
      <w:pPr>
        <w:pStyle w:val="ReferHead"/>
        <w:spacing w:after="0"/>
        <w:jc w:val="both"/>
        <w:rPr>
          <w:rFonts w:ascii="Arial" w:hAnsi="Arial" w:cs="Arial"/>
          <w:b w:val="0"/>
          <w:caps w:val="0"/>
          <w:sz w:val="20"/>
        </w:rPr>
      </w:pPr>
    </w:p>
    <w:p w14:paraId="257DE10A"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692F1353" w14:textId="77777777" w:rsidR="002B685A" w:rsidRPr="002B685A" w:rsidRDefault="002B685A" w:rsidP="00441B6F">
      <w:pPr>
        <w:pStyle w:val="ReferHead"/>
        <w:spacing w:after="0"/>
        <w:jc w:val="both"/>
        <w:rPr>
          <w:rFonts w:ascii="Arial" w:hAnsi="Arial" w:cs="Arial"/>
          <w:bCs/>
        </w:rPr>
      </w:pPr>
    </w:p>
    <w:p w14:paraId="4E05370F" w14:textId="77777777" w:rsidR="005C784C" w:rsidRDefault="00322C4D" w:rsidP="00322C4D">
      <w:pPr>
        <w:tabs>
          <w:tab w:val="left" w:pos="8208"/>
        </w:tabs>
        <w:ind w:right="-14"/>
        <w:jc w:val="both"/>
        <w:rPr>
          <w:rFonts w:ascii="Arial" w:hAnsi="Arial" w:cs="Arial"/>
        </w:rPr>
      </w:pPr>
      <w:r w:rsidRPr="00322C4D">
        <w:rPr>
          <w:rFonts w:ascii="Arial" w:hAnsi="Arial" w:cs="Arial"/>
        </w:rPr>
        <w:t>All participants were informed about the purpose of the study prior to data collection, and verbal informed consent was obtained from each respondent. Since the study involved general consumer perceptions and no personal identifying information was collected, written consent was not required as per standard social-science research practice in India.</w:t>
      </w:r>
    </w:p>
    <w:p w14:paraId="391E2778" w14:textId="77777777" w:rsidR="00DF5AEE" w:rsidRDefault="00DF5AEE" w:rsidP="00322C4D">
      <w:pPr>
        <w:tabs>
          <w:tab w:val="left" w:pos="8208"/>
        </w:tabs>
        <w:ind w:right="-14"/>
        <w:jc w:val="both"/>
        <w:rPr>
          <w:rFonts w:ascii="Arial" w:hAnsi="Arial" w:cs="Arial"/>
          <w:b/>
          <w:caps/>
        </w:rPr>
      </w:pPr>
    </w:p>
    <w:p w14:paraId="54DD0B72" w14:textId="77777777" w:rsidR="005C784C" w:rsidRDefault="005C784C" w:rsidP="00441B6F">
      <w:pPr>
        <w:pStyle w:val="ReferHead"/>
        <w:spacing w:after="0"/>
        <w:jc w:val="both"/>
        <w:rPr>
          <w:rFonts w:ascii="Arial" w:hAnsi="Arial" w:cs="Arial"/>
          <w:bCs/>
        </w:rPr>
      </w:pPr>
      <w:r>
        <w:rPr>
          <w:rFonts w:ascii="Arial" w:hAnsi="Arial" w:cs="Arial"/>
          <w:bCs/>
        </w:rPr>
        <w:lastRenderedPageBreak/>
        <w:t xml:space="preserve">Ethical approval </w:t>
      </w:r>
    </w:p>
    <w:p w14:paraId="3F0D00FC" w14:textId="77777777" w:rsidR="005C784C" w:rsidRPr="002B685A" w:rsidRDefault="005C784C" w:rsidP="00441B6F">
      <w:pPr>
        <w:pStyle w:val="ReferHead"/>
        <w:spacing w:after="0"/>
        <w:jc w:val="both"/>
        <w:rPr>
          <w:rFonts w:ascii="Arial" w:hAnsi="Arial" w:cs="Arial"/>
          <w:bCs/>
        </w:rPr>
      </w:pPr>
    </w:p>
    <w:p w14:paraId="70EBA4F3" w14:textId="77777777" w:rsidR="0041027F" w:rsidRDefault="00322C4D" w:rsidP="00441B6F">
      <w:pPr>
        <w:pStyle w:val="ReferHead"/>
        <w:spacing w:after="0"/>
        <w:jc w:val="both"/>
        <w:rPr>
          <w:rFonts w:ascii="Arial" w:hAnsi="Arial" w:cs="Arial"/>
          <w:b w:val="0"/>
          <w:caps w:val="0"/>
          <w:sz w:val="20"/>
        </w:rPr>
      </w:pPr>
      <w:r w:rsidRPr="00322C4D">
        <w:rPr>
          <w:rFonts w:ascii="Arial" w:hAnsi="Arial" w:cs="Arial"/>
          <w:b w:val="0"/>
          <w:caps w:val="0"/>
          <w:sz w:val="20"/>
        </w:rPr>
        <w:t>This study involved human participants in the form of general consumer surveys. All procedures followed were in accordance with standard ethical guidelines for social-science research. The authors affirm that no personal identifiers, sensitive information, or protected data were collected. The study protocol was reviewed at the departmental level and was found to comply with ethical standards for non-medical, perception-based research. No formal institutional ethics committee approval was required as per institutional norms for non-clinical, non-intervention studies.</w:t>
      </w:r>
    </w:p>
    <w:p w14:paraId="53952508" w14:textId="77777777" w:rsidR="004C6084" w:rsidRDefault="004C6084" w:rsidP="00441B6F">
      <w:pPr>
        <w:pStyle w:val="ReferHead"/>
        <w:spacing w:after="0"/>
        <w:jc w:val="both"/>
        <w:rPr>
          <w:rFonts w:ascii="Arial" w:hAnsi="Arial" w:cs="Arial"/>
          <w:b w:val="0"/>
          <w:caps w:val="0"/>
          <w:sz w:val="20"/>
        </w:rPr>
      </w:pPr>
    </w:p>
    <w:p w14:paraId="4F092368" w14:textId="77777777" w:rsidR="004C6084" w:rsidRDefault="004C6084" w:rsidP="00441B6F">
      <w:pPr>
        <w:pStyle w:val="ReferHead"/>
        <w:spacing w:after="0"/>
        <w:jc w:val="both"/>
        <w:rPr>
          <w:rFonts w:ascii="Arial" w:hAnsi="Arial" w:cs="Arial"/>
          <w:b w:val="0"/>
          <w:caps w:val="0"/>
          <w:sz w:val="20"/>
        </w:rPr>
      </w:pPr>
    </w:p>
    <w:p w14:paraId="26AA5684" w14:textId="77777777" w:rsidR="004C6084" w:rsidRDefault="004C6084" w:rsidP="00441B6F">
      <w:pPr>
        <w:pStyle w:val="ReferHead"/>
        <w:spacing w:after="0"/>
        <w:jc w:val="both"/>
        <w:rPr>
          <w:rFonts w:ascii="Arial" w:hAnsi="Arial" w:cs="Arial"/>
          <w:b w:val="0"/>
          <w:caps w:val="0"/>
          <w:sz w:val="20"/>
        </w:rPr>
      </w:pPr>
    </w:p>
    <w:p w14:paraId="475886B8" w14:textId="77777777" w:rsidR="004C6084" w:rsidRPr="004C6084" w:rsidRDefault="004C6084" w:rsidP="004C6084">
      <w:pPr>
        <w:spacing w:after="200" w:line="276" w:lineRule="auto"/>
        <w:jc w:val="both"/>
        <w:outlineLvl w:val="0"/>
        <w:rPr>
          <w:rFonts w:ascii="Arial" w:eastAsiaTheme="minorEastAsia" w:hAnsi="Arial" w:cs="Arial"/>
          <w:sz w:val="22"/>
          <w:szCs w:val="22"/>
          <w:lang w:val="en-GB" w:eastAsia="en-GB"/>
        </w:rPr>
      </w:pPr>
      <w:r w:rsidRPr="004C6084">
        <w:rPr>
          <w:rFonts w:ascii="Arial" w:eastAsiaTheme="minorEastAsia" w:hAnsi="Arial" w:cs="Arial"/>
          <w:b/>
          <w:bCs/>
          <w:sz w:val="22"/>
          <w:szCs w:val="22"/>
          <w:lang w:val="en-GB" w:eastAsia="en-GB"/>
        </w:rPr>
        <w:t>COMPETING INTERESTS DISCLAIMER:</w:t>
      </w:r>
    </w:p>
    <w:p w14:paraId="2A351909" w14:textId="77777777" w:rsidR="004C6084" w:rsidRPr="004C6084" w:rsidRDefault="004C6084" w:rsidP="004C6084">
      <w:pPr>
        <w:spacing w:after="200" w:line="276" w:lineRule="auto"/>
        <w:rPr>
          <w:rFonts w:asciiTheme="minorHAnsi" w:eastAsiaTheme="minorEastAsia" w:hAnsiTheme="minorHAnsi" w:cstheme="minorBidi"/>
          <w:sz w:val="22"/>
          <w:szCs w:val="22"/>
          <w:lang w:val="en-GB" w:eastAsia="en-GB"/>
        </w:rPr>
      </w:pPr>
      <w:r w:rsidRPr="004C6084">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DC9EE39" w14:textId="77777777" w:rsidR="004C6084" w:rsidRPr="00322C4D" w:rsidRDefault="004C6084" w:rsidP="00441B6F">
      <w:pPr>
        <w:pStyle w:val="ReferHead"/>
        <w:spacing w:after="0"/>
        <w:jc w:val="both"/>
        <w:rPr>
          <w:rFonts w:ascii="Arial" w:hAnsi="Arial" w:cs="Arial"/>
          <w:b w:val="0"/>
          <w:caps w:val="0"/>
          <w:sz w:val="20"/>
          <w:u w:val="single"/>
        </w:rPr>
      </w:pPr>
    </w:p>
    <w:p w14:paraId="1B240394" w14:textId="77777777" w:rsidR="00860000" w:rsidRDefault="00860000" w:rsidP="00441B6F">
      <w:pPr>
        <w:pStyle w:val="ReferHead"/>
        <w:spacing w:after="0"/>
        <w:jc w:val="both"/>
        <w:rPr>
          <w:rFonts w:ascii="Arial" w:hAnsi="Arial" w:cs="Arial"/>
        </w:rPr>
      </w:pPr>
    </w:p>
    <w:p w14:paraId="4FA9FDA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7742AE2" w14:textId="77777777" w:rsidR="00790ADA" w:rsidRPr="001000D0" w:rsidRDefault="00790ADA" w:rsidP="00441B6F">
      <w:pPr>
        <w:pStyle w:val="ReferHead"/>
        <w:spacing w:after="0"/>
        <w:jc w:val="both"/>
        <w:rPr>
          <w:rFonts w:ascii="Arial" w:hAnsi="Arial" w:cs="Arial"/>
          <w:b w:val="0"/>
        </w:rPr>
      </w:pPr>
    </w:p>
    <w:p w14:paraId="4E9E03AE" w14:textId="1112D88E" w:rsidR="00322C4D" w:rsidRPr="001000D0" w:rsidRDefault="00322C4D" w:rsidP="00322C4D">
      <w:pPr>
        <w:pStyle w:val="NormalWeb"/>
        <w:jc w:val="both"/>
        <w:rPr>
          <w:rFonts w:ascii="Arial" w:hAnsi="Arial" w:cs="Arial"/>
          <w:sz w:val="20"/>
          <w:szCs w:val="20"/>
        </w:rPr>
      </w:pPr>
      <w:r w:rsidRPr="001000D0">
        <w:rPr>
          <w:rFonts w:ascii="Arial" w:hAnsi="Arial" w:cs="Arial"/>
          <w:sz w:val="20"/>
          <w:szCs w:val="20"/>
        </w:rPr>
        <w:t xml:space="preserve">1.  </w:t>
      </w:r>
      <w:r w:rsidR="00746B5E" w:rsidRPr="00746B5E">
        <w:rPr>
          <w:rStyle w:val="Strong"/>
          <w:rFonts w:ascii="Arial" w:hAnsi="Arial" w:cs="Arial"/>
          <w:b w:val="0"/>
          <w:sz w:val="20"/>
          <w:szCs w:val="20"/>
        </w:rPr>
        <w:t xml:space="preserve">Feldmann, C., &amp; Hamm, U. (2015). Consumers' perceptions and preferences for local food: A review. Food Quality and Preference, 40, 152–164. </w:t>
      </w:r>
      <w:hyperlink r:id="rId14" w:history="1">
        <w:r w:rsidR="00746B5E" w:rsidRPr="004F2FB4">
          <w:rPr>
            <w:rStyle w:val="Hyperlink"/>
            <w:rFonts w:ascii="Arial" w:hAnsi="Arial" w:cs="Arial"/>
            <w:sz w:val="20"/>
            <w:szCs w:val="20"/>
          </w:rPr>
          <w:t>https://doi.org/10.1016/j.foodqual.2014.09.014</w:t>
        </w:r>
      </w:hyperlink>
      <w:r w:rsidR="00746B5E">
        <w:rPr>
          <w:rStyle w:val="Strong"/>
          <w:rFonts w:ascii="Arial" w:hAnsi="Arial" w:cs="Arial"/>
          <w:b w:val="0"/>
          <w:sz w:val="20"/>
          <w:szCs w:val="20"/>
        </w:rPr>
        <w:t xml:space="preserve"> </w:t>
      </w:r>
    </w:p>
    <w:p w14:paraId="1F00136A" w14:textId="77777777" w:rsidR="00322C4D" w:rsidRPr="001000D0" w:rsidRDefault="00322C4D" w:rsidP="00322C4D">
      <w:pPr>
        <w:pStyle w:val="NormalWeb"/>
        <w:jc w:val="both"/>
        <w:rPr>
          <w:rFonts w:ascii="Arial" w:hAnsi="Arial" w:cs="Arial"/>
          <w:sz w:val="20"/>
          <w:szCs w:val="20"/>
        </w:rPr>
      </w:pPr>
      <w:r w:rsidRPr="001000D0">
        <w:rPr>
          <w:rFonts w:ascii="Arial" w:hAnsi="Arial" w:cs="Arial"/>
          <w:sz w:val="20"/>
          <w:szCs w:val="20"/>
        </w:rPr>
        <w:t xml:space="preserve">2.  </w:t>
      </w:r>
      <w:r w:rsidRPr="001000D0">
        <w:rPr>
          <w:rStyle w:val="Strong"/>
          <w:rFonts w:ascii="Arial" w:hAnsi="Arial" w:cs="Arial"/>
          <w:b w:val="0"/>
          <w:sz w:val="20"/>
          <w:szCs w:val="20"/>
        </w:rPr>
        <w:t>Wu, J. M. (2012).</w:t>
      </w:r>
      <w:r w:rsidRPr="001000D0">
        <w:rPr>
          <w:rFonts w:ascii="Arial" w:hAnsi="Arial" w:cs="Arial"/>
          <w:sz w:val="20"/>
          <w:szCs w:val="20"/>
        </w:rPr>
        <w:t xml:space="preserve"> </w:t>
      </w:r>
      <w:r w:rsidRPr="001000D0">
        <w:rPr>
          <w:rStyle w:val="Emphasis"/>
          <w:rFonts w:ascii="Arial" w:hAnsi="Arial" w:cs="Arial"/>
          <w:sz w:val="20"/>
          <w:szCs w:val="20"/>
        </w:rPr>
        <w:t>Consumer perception of quality for horticultural products and related agricultural practices</w:t>
      </w:r>
      <w:r w:rsidRPr="001000D0">
        <w:rPr>
          <w:rFonts w:ascii="Arial" w:hAnsi="Arial" w:cs="Arial"/>
          <w:sz w:val="20"/>
          <w:szCs w:val="20"/>
        </w:rPr>
        <w:t xml:space="preserve"> (Master’s thesis, University of Guelph). </w:t>
      </w:r>
      <w:hyperlink r:id="rId15" w:tgtFrame="_new" w:history="1">
        <w:r w:rsidRPr="001000D0">
          <w:rPr>
            <w:rStyle w:val="Hyperlink"/>
            <w:rFonts w:ascii="Arial" w:hAnsi="Arial" w:cs="Arial"/>
            <w:sz w:val="20"/>
            <w:szCs w:val="20"/>
          </w:rPr>
          <w:t>https://atrium.lib.uoguelph.ca</w:t>
        </w:r>
      </w:hyperlink>
    </w:p>
    <w:p w14:paraId="60F57DE2" w14:textId="09EE395D" w:rsidR="00322C4D" w:rsidRPr="001000D0" w:rsidRDefault="00322C4D" w:rsidP="00322C4D">
      <w:pPr>
        <w:pStyle w:val="NormalWeb"/>
        <w:jc w:val="both"/>
        <w:rPr>
          <w:rFonts w:ascii="Arial" w:hAnsi="Arial" w:cs="Arial"/>
          <w:sz w:val="20"/>
          <w:szCs w:val="20"/>
        </w:rPr>
      </w:pPr>
      <w:r w:rsidRPr="001000D0">
        <w:rPr>
          <w:rFonts w:ascii="Arial" w:hAnsi="Arial" w:cs="Arial"/>
          <w:sz w:val="20"/>
          <w:szCs w:val="20"/>
        </w:rPr>
        <w:t xml:space="preserve">3.  </w:t>
      </w:r>
      <w:r w:rsidR="00746B5E" w:rsidRPr="00746B5E">
        <w:rPr>
          <w:rStyle w:val="Strong"/>
          <w:rFonts w:ascii="Arial" w:hAnsi="Arial" w:cs="Arial"/>
          <w:b w:val="0"/>
          <w:sz w:val="20"/>
          <w:szCs w:val="20"/>
        </w:rPr>
        <w:t xml:space="preserve">Brown, C. (2003). Consumers’ preferences for locally produced food: A study in Southeast Missouri. American Journal of Alternative Agriculture, 18(4), 213–224. </w:t>
      </w:r>
      <w:hyperlink r:id="rId16" w:history="1">
        <w:r w:rsidR="00746B5E" w:rsidRPr="004F2FB4">
          <w:rPr>
            <w:rStyle w:val="Hyperlink"/>
            <w:rFonts w:ascii="Arial" w:hAnsi="Arial" w:cs="Arial"/>
            <w:sz w:val="20"/>
            <w:szCs w:val="20"/>
          </w:rPr>
          <w:t>https://doi.org/10.1079/AJAA200353</w:t>
        </w:r>
      </w:hyperlink>
      <w:r w:rsidR="00746B5E">
        <w:rPr>
          <w:rStyle w:val="Strong"/>
          <w:rFonts w:ascii="Arial" w:hAnsi="Arial" w:cs="Arial"/>
          <w:b w:val="0"/>
          <w:sz w:val="20"/>
          <w:szCs w:val="20"/>
        </w:rPr>
        <w:t xml:space="preserve"> </w:t>
      </w:r>
    </w:p>
    <w:p w14:paraId="44EB1FAB" w14:textId="2255A12B" w:rsidR="00322C4D" w:rsidRPr="001000D0" w:rsidRDefault="00322C4D" w:rsidP="00322C4D">
      <w:pPr>
        <w:pStyle w:val="NormalWeb"/>
        <w:jc w:val="both"/>
        <w:rPr>
          <w:rFonts w:ascii="Arial" w:hAnsi="Arial" w:cs="Arial"/>
          <w:sz w:val="20"/>
          <w:szCs w:val="20"/>
        </w:rPr>
      </w:pPr>
      <w:r w:rsidRPr="001000D0">
        <w:rPr>
          <w:rFonts w:ascii="Arial" w:hAnsi="Arial" w:cs="Arial"/>
          <w:sz w:val="20"/>
          <w:szCs w:val="20"/>
        </w:rPr>
        <w:t xml:space="preserve">4.  </w:t>
      </w:r>
      <w:proofErr w:type="spellStart"/>
      <w:r w:rsidR="00C0757D" w:rsidRPr="00C0757D">
        <w:rPr>
          <w:rStyle w:val="Strong"/>
          <w:rFonts w:ascii="Arial" w:hAnsi="Arial" w:cs="Arial"/>
          <w:b w:val="0"/>
          <w:sz w:val="20"/>
          <w:szCs w:val="20"/>
        </w:rPr>
        <w:t>Jekanowski</w:t>
      </w:r>
      <w:proofErr w:type="spellEnd"/>
      <w:r w:rsidR="00C0757D" w:rsidRPr="00C0757D">
        <w:rPr>
          <w:rStyle w:val="Strong"/>
          <w:rFonts w:ascii="Arial" w:hAnsi="Arial" w:cs="Arial"/>
          <w:b w:val="0"/>
          <w:sz w:val="20"/>
          <w:szCs w:val="20"/>
        </w:rPr>
        <w:t xml:space="preserve">, M. D., Williams, D. R., &amp; </w:t>
      </w:r>
      <w:proofErr w:type="spellStart"/>
      <w:r w:rsidR="00C0757D" w:rsidRPr="00C0757D">
        <w:rPr>
          <w:rStyle w:val="Strong"/>
          <w:rFonts w:ascii="Arial" w:hAnsi="Arial" w:cs="Arial"/>
          <w:b w:val="0"/>
          <w:sz w:val="20"/>
          <w:szCs w:val="20"/>
        </w:rPr>
        <w:t>Schiek</w:t>
      </w:r>
      <w:proofErr w:type="spellEnd"/>
      <w:r w:rsidR="00C0757D" w:rsidRPr="00C0757D">
        <w:rPr>
          <w:rStyle w:val="Strong"/>
          <w:rFonts w:ascii="Arial" w:hAnsi="Arial" w:cs="Arial"/>
          <w:b w:val="0"/>
          <w:sz w:val="20"/>
          <w:szCs w:val="20"/>
        </w:rPr>
        <w:t xml:space="preserve">, W. A. (2000). Consumers’ willingness to purchase locally produced agricultural products: An analysis of an Indiana survey. Agricultural and Resource Economics Review, 29(1), 43–53. </w:t>
      </w:r>
      <w:hyperlink r:id="rId17" w:history="1">
        <w:r w:rsidR="00C0757D" w:rsidRPr="004F2FB4">
          <w:rPr>
            <w:rStyle w:val="Hyperlink"/>
            <w:rFonts w:ascii="Arial" w:hAnsi="Arial" w:cs="Arial"/>
            <w:sz w:val="20"/>
            <w:szCs w:val="20"/>
          </w:rPr>
          <w:t>https://doi.org/10.1017/S1068280500001428</w:t>
        </w:r>
      </w:hyperlink>
      <w:r w:rsidR="00C0757D">
        <w:rPr>
          <w:rStyle w:val="Strong"/>
          <w:rFonts w:ascii="Arial" w:hAnsi="Arial" w:cs="Arial"/>
          <w:b w:val="0"/>
          <w:sz w:val="20"/>
          <w:szCs w:val="20"/>
        </w:rPr>
        <w:t xml:space="preserve"> </w:t>
      </w:r>
    </w:p>
    <w:p w14:paraId="0B2AB16D" w14:textId="78F2F360" w:rsidR="00322C4D" w:rsidRPr="001000D0" w:rsidRDefault="00322C4D" w:rsidP="00322C4D">
      <w:pPr>
        <w:pStyle w:val="NormalWeb"/>
        <w:jc w:val="both"/>
        <w:rPr>
          <w:rFonts w:ascii="Arial" w:hAnsi="Arial" w:cs="Arial"/>
          <w:sz w:val="20"/>
          <w:szCs w:val="20"/>
        </w:rPr>
      </w:pPr>
      <w:r w:rsidRPr="001000D0">
        <w:rPr>
          <w:rFonts w:ascii="Arial" w:hAnsi="Arial" w:cs="Arial"/>
          <w:sz w:val="20"/>
          <w:szCs w:val="20"/>
        </w:rPr>
        <w:t xml:space="preserve">5.  </w:t>
      </w:r>
      <w:r w:rsidR="00C0757D" w:rsidRPr="00C0757D">
        <w:rPr>
          <w:rStyle w:val="Strong"/>
          <w:rFonts w:ascii="Arial" w:hAnsi="Arial" w:cs="Arial"/>
          <w:b w:val="0"/>
          <w:sz w:val="20"/>
          <w:szCs w:val="20"/>
        </w:rPr>
        <w:t xml:space="preserve">Adams, D. C., &amp; Adams, A. E. (2011). De-placing local at the farmers’ market: Consumer conceptions of local foods. Journal of Rural Social Sciences, 26(2), 74–100. </w:t>
      </w:r>
      <w:hyperlink r:id="rId18" w:history="1">
        <w:r w:rsidR="00C0757D" w:rsidRPr="004F2FB4">
          <w:rPr>
            <w:rStyle w:val="Hyperlink"/>
            <w:rFonts w:ascii="Arial" w:hAnsi="Arial" w:cs="Arial"/>
            <w:sz w:val="20"/>
            <w:szCs w:val="20"/>
          </w:rPr>
          <w:t>https://egrove.olemiss.edu/jrss/vol26/iss2/4/</w:t>
        </w:r>
      </w:hyperlink>
      <w:r w:rsidR="00C0757D">
        <w:rPr>
          <w:rStyle w:val="Strong"/>
          <w:rFonts w:ascii="Arial" w:hAnsi="Arial" w:cs="Arial"/>
          <w:b w:val="0"/>
          <w:sz w:val="20"/>
          <w:szCs w:val="20"/>
        </w:rPr>
        <w:t xml:space="preserve"> </w:t>
      </w:r>
    </w:p>
    <w:p w14:paraId="7FE54EF4" w14:textId="5C632EF6" w:rsidR="00322C4D" w:rsidRPr="001000D0" w:rsidRDefault="00322C4D" w:rsidP="00322C4D">
      <w:pPr>
        <w:pStyle w:val="NormalWeb"/>
        <w:jc w:val="both"/>
        <w:rPr>
          <w:rFonts w:ascii="Arial" w:hAnsi="Arial" w:cs="Arial"/>
          <w:sz w:val="20"/>
          <w:szCs w:val="20"/>
        </w:rPr>
      </w:pPr>
      <w:r w:rsidRPr="001000D0">
        <w:rPr>
          <w:rFonts w:ascii="Arial" w:hAnsi="Arial" w:cs="Arial"/>
          <w:sz w:val="20"/>
          <w:szCs w:val="20"/>
        </w:rPr>
        <w:t xml:space="preserve">6.  </w:t>
      </w:r>
      <w:r w:rsidR="00C0757D" w:rsidRPr="00C0757D">
        <w:rPr>
          <w:rStyle w:val="Strong"/>
          <w:rFonts w:ascii="Arial" w:hAnsi="Arial" w:cs="Arial"/>
          <w:b w:val="0"/>
          <w:sz w:val="20"/>
          <w:szCs w:val="20"/>
        </w:rPr>
        <w:t xml:space="preserve">Zepeda, L., &amp; </w:t>
      </w:r>
      <w:proofErr w:type="spellStart"/>
      <w:r w:rsidR="00C0757D" w:rsidRPr="00C0757D">
        <w:rPr>
          <w:rStyle w:val="Strong"/>
          <w:rFonts w:ascii="Arial" w:hAnsi="Arial" w:cs="Arial"/>
          <w:b w:val="0"/>
          <w:sz w:val="20"/>
          <w:szCs w:val="20"/>
        </w:rPr>
        <w:t>Leviten</w:t>
      </w:r>
      <w:proofErr w:type="spellEnd"/>
      <w:r w:rsidR="00C0757D" w:rsidRPr="00C0757D">
        <w:rPr>
          <w:rStyle w:val="Strong"/>
          <w:rFonts w:ascii="Arial" w:hAnsi="Arial" w:cs="Arial"/>
          <w:b w:val="0"/>
          <w:sz w:val="20"/>
          <w:szCs w:val="20"/>
        </w:rPr>
        <w:t xml:space="preserve">-Reid, C. (2004). Consumers' Views on Local Food. Journal of Food Distribution Research, 35(3), 1–6. </w:t>
      </w:r>
      <w:hyperlink r:id="rId19" w:history="1">
        <w:r w:rsidR="00C0757D" w:rsidRPr="004F2FB4">
          <w:rPr>
            <w:rStyle w:val="Hyperlink"/>
            <w:rFonts w:ascii="Arial" w:hAnsi="Arial" w:cs="Arial"/>
            <w:sz w:val="20"/>
            <w:szCs w:val="20"/>
          </w:rPr>
          <w:t>https://doi.org/10.22004/ag.econ.27554</w:t>
        </w:r>
      </w:hyperlink>
      <w:r w:rsidR="00C0757D">
        <w:rPr>
          <w:rStyle w:val="Strong"/>
          <w:rFonts w:ascii="Arial" w:hAnsi="Arial" w:cs="Arial"/>
          <w:b w:val="0"/>
          <w:sz w:val="20"/>
          <w:szCs w:val="20"/>
        </w:rPr>
        <w:t xml:space="preserve"> </w:t>
      </w:r>
    </w:p>
    <w:p w14:paraId="1B12D4DD" w14:textId="33AB671A" w:rsidR="00322C4D" w:rsidRPr="001000D0" w:rsidRDefault="00322C4D" w:rsidP="00322C4D">
      <w:pPr>
        <w:pStyle w:val="NormalWeb"/>
        <w:jc w:val="both"/>
        <w:rPr>
          <w:rFonts w:ascii="Arial" w:hAnsi="Arial" w:cs="Arial"/>
          <w:sz w:val="20"/>
          <w:szCs w:val="20"/>
        </w:rPr>
      </w:pPr>
      <w:r w:rsidRPr="001000D0">
        <w:rPr>
          <w:rFonts w:ascii="Arial" w:hAnsi="Arial" w:cs="Arial"/>
          <w:sz w:val="20"/>
          <w:szCs w:val="20"/>
        </w:rPr>
        <w:t xml:space="preserve">7.  </w:t>
      </w:r>
      <w:r w:rsidR="008B6CDF" w:rsidRPr="008B6CDF">
        <w:rPr>
          <w:rStyle w:val="Strong"/>
          <w:rFonts w:ascii="Arial" w:hAnsi="Arial" w:cs="Arial"/>
          <w:b w:val="0"/>
          <w:sz w:val="20"/>
          <w:szCs w:val="20"/>
        </w:rPr>
        <w:t xml:space="preserve">Burnett, P., </w:t>
      </w:r>
      <w:proofErr w:type="spellStart"/>
      <w:r w:rsidR="008B6CDF" w:rsidRPr="008B6CDF">
        <w:rPr>
          <w:rStyle w:val="Strong"/>
          <w:rFonts w:ascii="Arial" w:hAnsi="Arial" w:cs="Arial"/>
          <w:b w:val="0"/>
          <w:sz w:val="20"/>
          <w:szCs w:val="20"/>
        </w:rPr>
        <w:t>Kuethe</w:t>
      </w:r>
      <w:proofErr w:type="spellEnd"/>
      <w:r w:rsidR="008B6CDF" w:rsidRPr="008B6CDF">
        <w:rPr>
          <w:rStyle w:val="Strong"/>
          <w:rFonts w:ascii="Arial" w:hAnsi="Arial" w:cs="Arial"/>
          <w:b w:val="0"/>
          <w:sz w:val="20"/>
          <w:szCs w:val="20"/>
        </w:rPr>
        <w:t xml:space="preserve">, T. H., &amp; Price, C. (2011). Consumer Preference for Locally Grown Produce: An Analysis of Willingness-To-Pay and Geographic Scale. Journal of Agriculture, Food Systems, and Community Development. </w:t>
      </w:r>
      <w:hyperlink r:id="rId20" w:history="1">
        <w:r w:rsidR="008B6CDF" w:rsidRPr="004F2FB4">
          <w:rPr>
            <w:rStyle w:val="Hyperlink"/>
            <w:rFonts w:ascii="Arial" w:hAnsi="Arial" w:cs="Arial"/>
            <w:sz w:val="20"/>
            <w:szCs w:val="20"/>
          </w:rPr>
          <w:t>https://doi.org/10.5304/jafscd.2011.021.013</w:t>
        </w:r>
      </w:hyperlink>
      <w:r w:rsidR="008B6CDF">
        <w:rPr>
          <w:rStyle w:val="Strong"/>
          <w:rFonts w:ascii="Arial" w:hAnsi="Arial" w:cs="Arial"/>
          <w:b w:val="0"/>
          <w:sz w:val="20"/>
          <w:szCs w:val="20"/>
        </w:rPr>
        <w:t xml:space="preserve"> </w:t>
      </w:r>
    </w:p>
    <w:p w14:paraId="3C7CDD41" w14:textId="6A44A15D" w:rsidR="00322C4D" w:rsidRPr="001000D0" w:rsidRDefault="00322C4D" w:rsidP="00322C4D">
      <w:pPr>
        <w:pStyle w:val="NormalWeb"/>
        <w:jc w:val="both"/>
        <w:rPr>
          <w:rFonts w:ascii="Arial" w:hAnsi="Arial" w:cs="Arial"/>
          <w:sz w:val="20"/>
          <w:szCs w:val="20"/>
        </w:rPr>
      </w:pPr>
      <w:r w:rsidRPr="001000D0">
        <w:rPr>
          <w:rFonts w:ascii="Arial" w:hAnsi="Arial" w:cs="Arial"/>
          <w:sz w:val="20"/>
          <w:szCs w:val="20"/>
        </w:rPr>
        <w:lastRenderedPageBreak/>
        <w:t xml:space="preserve">8.  </w:t>
      </w:r>
      <w:r w:rsidR="008B6CDF" w:rsidRPr="008B6CDF">
        <w:rPr>
          <w:rStyle w:val="Strong"/>
          <w:rFonts w:ascii="Arial" w:hAnsi="Arial" w:cs="Arial"/>
          <w:b w:val="0"/>
          <w:sz w:val="20"/>
          <w:szCs w:val="20"/>
        </w:rPr>
        <w:t xml:space="preserve">Yue, C., &amp; Tong, C. (2009). Organic or Local? Investigating Consumer Preference for Fresh Produce Using a Choice Experiment with Real Economic Incentives. </w:t>
      </w:r>
      <w:proofErr w:type="spellStart"/>
      <w:r w:rsidR="008B6CDF" w:rsidRPr="008B6CDF">
        <w:rPr>
          <w:rStyle w:val="Strong"/>
          <w:rFonts w:ascii="Arial" w:hAnsi="Arial" w:cs="Arial"/>
          <w:b w:val="0"/>
          <w:sz w:val="20"/>
          <w:szCs w:val="20"/>
        </w:rPr>
        <w:t>HortScience</w:t>
      </w:r>
      <w:proofErr w:type="spellEnd"/>
      <w:r w:rsidR="008B6CDF" w:rsidRPr="008B6CDF">
        <w:rPr>
          <w:rStyle w:val="Strong"/>
          <w:rFonts w:ascii="Arial" w:hAnsi="Arial" w:cs="Arial"/>
          <w:b w:val="0"/>
          <w:sz w:val="20"/>
          <w:szCs w:val="20"/>
        </w:rPr>
        <w:t xml:space="preserve">, 44(2), 366–371. </w:t>
      </w:r>
      <w:hyperlink r:id="rId21" w:history="1">
        <w:r w:rsidR="008B6CDF" w:rsidRPr="004F2FB4">
          <w:rPr>
            <w:rStyle w:val="Hyperlink"/>
            <w:rFonts w:ascii="Arial" w:hAnsi="Arial" w:cs="Arial"/>
            <w:sz w:val="20"/>
            <w:szCs w:val="20"/>
          </w:rPr>
          <w:t>https://doi.org/10.21273/HORTSCI.44.2.366</w:t>
        </w:r>
      </w:hyperlink>
      <w:r w:rsidR="008B6CDF">
        <w:rPr>
          <w:rStyle w:val="Strong"/>
          <w:rFonts w:ascii="Arial" w:hAnsi="Arial" w:cs="Arial"/>
          <w:b w:val="0"/>
          <w:sz w:val="20"/>
          <w:szCs w:val="20"/>
        </w:rPr>
        <w:t xml:space="preserve"> </w:t>
      </w:r>
    </w:p>
    <w:p w14:paraId="1D40DE95" w14:textId="38D33A67" w:rsidR="00322C4D" w:rsidRPr="001000D0" w:rsidRDefault="00322C4D" w:rsidP="00322C4D">
      <w:pPr>
        <w:pStyle w:val="NormalWeb"/>
        <w:jc w:val="both"/>
        <w:rPr>
          <w:rFonts w:ascii="Arial" w:hAnsi="Arial" w:cs="Arial"/>
          <w:sz w:val="20"/>
          <w:szCs w:val="20"/>
        </w:rPr>
      </w:pPr>
      <w:r w:rsidRPr="001000D0">
        <w:rPr>
          <w:rFonts w:ascii="Arial" w:hAnsi="Arial" w:cs="Arial"/>
          <w:sz w:val="20"/>
          <w:szCs w:val="20"/>
        </w:rPr>
        <w:t xml:space="preserve">9.  </w:t>
      </w:r>
      <w:proofErr w:type="spellStart"/>
      <w:r w:rsidR="008B6CDF" w:rsidRPr="008B6CDF">
        <w:rPr>
          <w:rStyle w:val="Strong"/>
          <w:rFonts w:ascii="Arial" w:hAnsi="Arial" w:cs="Arial"/>
          <w:b w:val="0"/>
          <w:sz w:val="20"/>
          <w:szCs w:val="20"/>
        </w:rPr>
        <w:t>Behe</w:t>
      </w:r>
      <w:proofErr w:type="spellEnd"/>
      <w:r w:rsidR="008B6CDF" w:rsidRPr="008B6CDF">
        <w:rPr>
          <w:rStyle w:val="Strong"/>
          <w:rFonts w:ascii="Arial" w:hAnsi="Arial" w:cs="Arial"/>
          <w:b w:val="0"/>
          <w:sz w:val="20"/>
          <w:szCs w:val="20"/>
        </w:rPr>
        <w:t xml:space="preserve">, B. K., Campbell, B. L., Khachatryan, H., Hall, C. R., Dennis, J. H., &amp; Yue, C. (2013). Consumer preferences for local and sustainable plant production characteristics. </w:t>
      </w:r>
      <w:proofErr w:type="spellStart"/>
      <w:r w:rsidR="008B6CDF" w:rsidRPr="008B6CDF">
        <w:rPr>
          <w:rStyle w:val="Strong"/>
          <w:rFonts w:ascii="Arial" w:hAnsi="Arial" w:cs="Arial"/>
          <w:b w:val="0"/>
          <w:sz w:val="20"/>
          <w:szCs w:val="20"/>
        </w:rPr>
        <w:t>HortScience</w:t>
      </w:r>
      <w:proofErr w:type="spellEnd"/>
      <w:r w:rsidR="008B6CDF" w:rsidRPr="008B6CDF">
        <w:rPr>
          <w:rStyle w:val="Strong"/>
          <w:rFonts w:ascii="Arial" w:hAnsi="Arial" w:cs="Arial"/>
          <w:b w:val="0"/>
          <w:sz w:val="20"/>
          <w:szCs w:val="20"/>
        </w:rPr>
        <w:t xml:space="preserve">, 48(2), 200–208. </w:t>
      </w:r>
      <w:hyperlink r:id="rId22" w:history="1">
        <w:r w:rsidR="008B6CDF" w:rsidRPr="004F2FB4">
          <w:rPr>
            <w:rStyle w:val="Hyperlink"/>
            <w:rFonts w:ascii="Arial" w:hAnsi="Arial" w:cs="Arial"/>
            <w:sz w:val="20"/>
            <w:szCs w:val="20"/>
          </w:rPr>
          <w:t>https://doi.org/10.21273/HORTSCI.48.2.200</w:t>
        </w:r>
      </w:hyperlink>
      <w:r w:rsidR="008B6CDF">
        <w:rPr>
          <w:rStyle w:val="Strong"/>
          <w:rFonts w:ascii="Arial" w:hAnsi="Arial" w:cs="Arial"/>
          <w:b w:val="0"/>
          <w:sz w:val="20"/>
          <w:szCs w:val="20"/>
        </w:rPr>
        <w:t xml:space="preserve"> </w:t>
      </w:r>
    </w:p>
    <w:p w14:paraId="5CA7B70B" w14:textId="0724E154" w:rsidR="00322C4D" w:rsidRPr="001000D0" w:rsidRDefault="00322C4D" w:rsidP="00322C4D">
      <w:pPr>
        <w:pStyle w:val="NormalWeb"/>
        <w:jc w:val="both"/>
        <w:rPr>
          <w:rFonts w:ascii="Arial" w:hAnsi="Arial" w:cs="Arial"/>
          <w:sz w:val="20"/>
          <w:szCs w:val="20"/>
        </w:rPr>
      </w:pPr>
      <w:r w:rsidRPr="001000D0">
        <w:rPr>
          <w:rFonts w:ascii="Arial" w:hAnsi="Arial" w:cs="Arial"/>
          <w:sz w:val="20"/>
          <w:szCs w:val="20"/>
        </w:rPr>
        <w:t xml:space="preserve">10.  </w:t>
      </w:r>
      <w:r w:rsidR="008B6CDF" w:rsidRPr="008B6CDF">
        <w:rPr>
          <w:rStyle w:val="Strong"/>
          <w:rFonts w:ascii="Arial" w:hAnsi="Arial" w:cs="Arial"/>
          <w:b w:val="0"/>
          <w:sz w:val="20"/>
          <w:szCs w:val="20"/>
        </w:rPr>
        <w:t xml:space="preserve">Campbell, B. L., Khachatryan, H., </w:t>
      </w:r>
      <w:proofErr w:type="spellStart"/>
      <w:r w:rsidR="008B6CDF" w:rsidRPr="008B6CDF">
        <w:rPr>
          <w:rStyle w:val="Strong"/>
          <w:rFonts w:ascii="Arial" w:hAnsi="Arial" w:cs="Arial"/>
          <w:b w:val="0"/>
          <w:sz w:val="20"/>
          <w:szCs w:val="20"/>
        </w:rPr>
        <w:t>Behe</w:t>
      </w:r>
      <w:proofErr w:type="spellEnd"/>
      <w:r w:rsidR="008B6CDF" w:rsidRPr="008B6CDF">
        <w:rPr>
          <w:rStyle w:val="Strong"/>
          <w:rFonts w:ascii="Arial" w:hAnsi="Arial" w:cs="Arial"/>
          <w:b w:val="0"/>
          <w:sz w:val="20"/>
          <w:szCs w:val="20"/>
        </w:rPr>
        <w:t xml:space="preserve">, B. K., Dennis, J., &amp; Hall, C. R. (2014). U.S. and Canadian Consumer Perception of Local and Organic Terminology. International Food and Agribusiness Management Review, 17(2), 21–40. </w:t>
      </w:r>
      <w:hyperlink r:id="rId23" w:history="1">
        <w:r w:rsidR="008B6CDF" w:rsidRPr="004F2FB4">
          <w:rPr>
            <w:rStyle w:val="Hyperlink"/>
            <w:rFonts w:ascii="Arial" w:hAnsi="Arial" w:cs="Arial"/>
            <w:sz w:val="20"/>
            <w:szCs w:val="20"/>
          </w:rPr>
          <w:t>https://doi.org/10.22004/ag.econ.167903</w:t>
        </w:r>
      </w:hyperlink>
      <w:r w:rsidR="008B6CDF">
        <w:rPr>
          <w:rStyle w:val="Strong"/>
          <w:rFonts w:ascii="Arial" w:hAnsi="Arial" w:cs="Arial"/>
          <w:b w:val="0"/>
          <w:sz w:val="20"/>
          <w:szCs w:val="20"/>
        </w:rPr>
        <w:t xml:space="preserve"> </w:t>
      </w:r>
    </w:p>
    <w:p w14:paraId="292614B0" w14:textId="2034F53C" w:rsidR="00322C4D" w:rsidRPr="001000D0" w:rsidRDefault="00322C4D" w:rsidP="00322C4D">
      <w:pPr>
        <w:pStyle w:val="NormalWeb"/>
        <w:jc w:val="both"/>
        <w:rPr>
          <w:rFonts w:ascii="Arial" w:hAnsi="Arial" w:cs="Arial"/>
          <w:sz w:val="20"/>
          <w:szCs w:val="20"/>
        </w:rPr>
      </w:pPr>
      <w:r w:rsidRPr="001000D0">
        <w:rPr>
          <w:rFonts w:ascii="Arial" w:hAnsi="Arial" w:cs="Arial"/>
          <w:sz w:val="20"/>
          <w:szCs w:val="20"/>
        </w:rPr>
        <w:t xml:space="preserve">11.  </w:t>
      </w:r>
      <w:proofErr w:type="spellStart"/>
      <w:r w:rsidR="008B6CDF" w:rsidRPr="008B6CDF">
        <w:rPr>
          <w:rStyle w:val="Strong"/>
          <w:rFonts w:ascii="Arial" w:hAnsi="Arial" w:cs="Arial"/>
          <w:b w:val="0"/>
          <w:sz w:val="20"/>
          <w:szCs w:val="20"/>
        </w:rPr>
        <w:t>Rihn</w:t>
      </w:r>
      <w:proofErr w:type="spellEnd"/>
      <w:r w:rsidR="008B6CDF" w:rsidRPr="008B6CDF">
        <w:rPr>
          <w:rStyle w:val="Strong"/>
          <w:rFonts w:ascii="Arial" w:hAnsi="Arial" w:cs="Arial"/>
          <w:b w:val="0"/>
          <w:sz w:val="20"/>
          <w:szCs w:val="20"/>
        </w:rPr>
        <w:t xml:space="preserve">, A., &amp; Khachatryan, H. (2016). Consumer preferences for organic production methods and origin promotions on ornamental plants. </w:t>
      </w:r>
      <w:proofErr w:type="spellStart"/>
      <w:r w:rsidR="008B6CDF" w:rsidRPr="008B6CDF">
        <w:rPr>
          <w:rStyle w:val="Strong"/>
          <w:rFonts w:ascii="Arial" w:hAnsi="Arial" w:cs="Arial"/>
          <w:b w:val="0"/>
          <w:sz w:val="20"/>
          <w:szCs w:val="20"/>
        </w:rPr>
        <w:t>HortScience</w:t>
      </w:r>
      <w:proofErr w:type="spellEnd"/>
      <w:r w:rsidR="008B6CDF" w:rsidRPr="008B6CDF">
        <w:rPr>
          <w:rStyle w:val="Strong"/>
          <w:rFonts w:ascii="Arial" w:hAnsi="Arial" w:cs="Arial"/>
          <w:b w:val="0"/>
          <w:sz w:val="20"/>
          <w:szCs w:val="20"/>
        </w:rPr>
        <w:t xml:space="preserve"> </w:t>
      </w:r>
      <w:hyperlink r:id="rId24" w:history="1">
        <w:r w:rsidR="008B6CDF" w:rsidRPr="004F2FB4">
          <w:rPr>
            <w:rStyle w:val="Hyperlink"/>
            <w:rFonts w:ascii="Arial" w:hAnsi="Arial" w:cs="Arial"/>
            <w:sz w:val="20"/>
            <w:szCs w:val="20"/>
          </w:rPr>
          <w:t>https://doi.org/10.21273/HORTSCI.51.4.407</w:t>
        </w:r>
      </w:hyperlink>
      <w:r w:rsidR="008B6CDF">
        <w:rPr>
          <w:rStyle w:val="Strong"/>
          <w:rFonts w:ascii="Arial" w:hAnsi="Arial" w:cs="Arial"/>
          <w:b w:val="0"/>
          <w:sz w:val="20"/>
          <w:szCs w:val="20"/>
        </w:rPr>
        <w:t xml:space="preserve"> </w:t>
      </w:r>
    </w:p>
    <w:p w14:paraId="34F468CC" w14:textId="44D29472" w:rsidR="00322C4D" w:rsidRPr="001000D0" w:rsidRDefault="00322C4D" w:rsidP="00322C4D">
      <w:pPr>
        <w:pStyle w:val="NormalWeb"/>
        <w:jc w:val="both"/>
        <w:rPr>
          <w:rFonts w:ascii="Arial" w:hAnsi="Arial" w:cs="Arial"/>
          <w:sz w:val="20"/>
          <w:szCs w:val="20"/>
        </w:rPr>
      </w:pPr>
      <w:r w:rsidRPr="001000D0">
        <w:rPr>
          <w:rFonts w:ascii="Arial" w:hAnsi="Arial" w:cs="Arial"/>
          <w:sz w:val="20"/>
          <w:szCs w:val="20"/>
        </w:rPr>
        <w:t xml:space="preserve">12.  </w:t>
      </w:r>
      <w:r w:rsidR="008B6CDF" w:rsidRPr="008B6CDF">
        <w:rPr>
          <w:rStyle w:val="Strong"/>
          <w:rFonts w:ascii="Arial" w:hAnsi="Arial" w:cs="Arial"/>
          <w:b w:val="0"/>
          <w:sz w:val="20"/>
          <w:szCs w:val="20"/>
        </w:rPr>
        <w:t xml:space="preserve">Khachatryan, H., </w:t>
      </w:r>
      <w:proofErr w:type="spellStart"/>
      <w:r w:rsidR="008B6CDF" w:rsidRPr="008B6CDF">
        <w:rPr>
          <w:rStyle w:val="Strong"/>
          <w:rFonts w:ascii="Arial" w:hAnsi="Arial" w:cs="Arial"/>
          <w:b w:val="0"/>
          <w:sz w:val="20"/>
          <w:szCs w:val="20"/>
        </w:rPr>
        <w:t>Rihn</w:t>
      </w:r>
      <w:proofErr w:type="spellEnd"/>
      <w:r w:rsidR="008B6CDF" w:rsidRPr="008B6CDF">
        <w:rPr>
          <w:rStyle w:val="Strong"/>
          <w:rFonts w:ascii="Arial" w:hAnsi="Arial" w:cs="Arial"/>
          <w:b w:val="0"/>
          <w:sz w:val="20"/>
          <w:szCs w:val="20"/>
        </w:rPr>
        <w:t xml:space="preserve">, A. L., Campbell, B., Yue, C., Hall, C., &amp; </w:t>
      </w:r>
      <w:proofErr w:type="spellStart"/>
      <w:r w:rsidR="008B6CDF" w:rsidRPr="008B6CDF">
        <w:rPr>
          <w:rStyle w:val="Strong"/>
          <w:rFonts w:ascii="Arial" w:hAnsi="Arial" w:cs="Arial"/>
          <w:b w:val="0"/>
          <w:sz w:val="20"/>
          <w:szCs w:val="20"/>
        </w:rPr>
        <w:t>Behe</w:t>
      </w:r>
      <w:proofErr w:type="spellEnd"/>
      <w:r w:rsidR="008B6CDF" w:rsidRPr="008B6CDF">
        <w:rPr>
          <w:rStyle w:val="Strong"/>
          <w:rFonts w:ascii="Arial" w:hAnsi="Arial" w:cs="Arial"/>
          <w:b w:val="0"/>
          <w:sz w:val="20"/>
          <w:szCs w:val="20"/>
        </w:rPr>
        <w:t xml:space="preserve">, B. (2017). Visual attention to eco-labels predicts consumer preferences for pollinator-friendly plants. Sustainability, 9(10), 1743. </w:t>
      </w:r>
      <w:hyperlink r:id="rId25" w:history="1">
        <w:r w:rsidR="008B6CDF" w:rsidRPr="004F2FB4">
          <w:rPr>
            <w:rStyle w:val="Hyperlink"/>
            <w:rFonts w:ascii="Arial" w:hAnsi="Arial" w:cs="Arial"/>
            <w:sz w:val="20"/>
            <w:szCs w:val="20"/>
          </w:rPr>
          <w:t>https://doi.org/10.3390/su9101743</w:t>
        </w:r>
      </w:hyperlink>
      <w:r w:rsidR="008B6CDF">
        <w:rPr>
          <w:rStyle w:val="Strong"/>
          <w:rFonts w:ascii="Arial" w:hAnsi="Arial" w:cs="Arial"/>
          <w:b w:val="0"/>
          <w:sz w:val="20"/>
          <w:szCs w:val="20"/>
        </w:rPr>
        <w:t xml:space="preserve"> </w:t>
      </w:r>
    </w:p>
    <w:p w14:paraId="1F65312E" w14:textId="79B70242" w:rsidR="00322C4D" w:rsidRPr="001000D0" w:rsidRDefault="00322C4D" w:rsidP="00322C4D">
      <w:pPr>
        <w:pStyle w:val="NormalWeb"/>
        <w:jc w:val="both"/>
        <w:rPr>
          <w:rFonts w:ascii="Arial" w:hAnsi="Arial" w:cs="Arial"/>
          <w:sz w:val="20"/>
          <w:szCs w:val="20"/>
        </w:rPr>
      </w:pPr>
      <w:r w:rsidRPr="001000D0">
        <w:rPr>
          <w:rFonts w:ascii="Arial" w:hAnsi="Arial" w:cs="Arial"/>
          <w:sz w:val="20"/>
          <w:szCs w:val="20"/>
        </w:rPr>
        <w:t xml:space="preserve">13.  </w:t>
      </w:r>
      <w:r w:rsidR="008B6CDF" w:rsidRPr="008B6CDF">
        <w:rPr>
          <w:rStyle w:val="Strong"/>
          <w:rFonts w:ascii="Arial" w:hAnsi="Arial" w:cs="Arial"/>
          <w:b w:val="0"/>
          <w:sz w:val="20"/>
          <w:szCs w:val="20"/>
        </w:rPr>
        <w:t xml:space="preserve">Darby, K., </w:t>
      </w:r>
      <w:proofErr w:type="spellStart"/>
      <w:r w:rsidR="008B6CDF" w:rsidRPr="008B6CDF">
        <w:rPr>
          <w:rStyle w:val="Strong"/>
          <w:rFonts w:ascii="Arial" w:hAnsi="Arial" w:cs="Arial"/>
          <w:b w:val="0"/>
          <w:sz w:val="20"/>
          <w:szCs w:val="20"/>
        </w:rPr>
        <w:t>Batte</w:t>
      </w:r>
      <w:proofErr w:type="spellEnd"/>
      <w:r w:rsidR="008B6CDF" w:rsidRPr="008B6CDF">
        <w:rPr>
          <w:rStyle w:val="Strong"/>
          <w:rFonts w:ascii="Arial" w:hAnsi="Arial" w:cs="Arial"/>
          <w:b w:val="0"/>
          <w:sz w:val="20"/>
          <w:szCs w:val="20"/>
        </w:rPr>
        <w:t xml:space="preserve">, M. T., Ernst, S., &amp; Roe, B. (2008). Decomposing local: A conjoint analysis of locally produced foods. American Journal of Agricultural Economics, 90(2), 476–486. </w:t>
      </w:r>
      <w:hyperlink r:id="rId26" w:history="1">
        <w:r w:rsidR="008B6CDF" w:rsidRPr="004F2FB4">
          <w:rPr>
            <w:rStyle w:val="Hyperlink"/>
            <w:rFonts w:ascii="Arial" w:hAnsi="Arial" w:cs="Arial"/>
            <w:sz w:val="20"/>
            <w:szCs w:val="20"/>
          </w:rPr>
          <w:t>https://doi.org/10.1111/j.1467-8276.2007.01111.x</w:t>
        </w:r>
      </w:hyperlink>
      <w:r w:rsidR="008B6CDF">
        <w:rPr>
          <w:rStyle w:val="Strong"/>
          <w:rFonts w:ascii="Arial" w:hAnsi="Arial" w:cs="Arial"/>
          <w:b w:val="0"/>
          <w:sz w:val="20"/>
          <w:szCs w:val="20"/>
        </w:rPr>
        <w:t xml:space="preserve"> </w:t>
      </w:r>
    </w:p>
    <w:p w14:paraId="081C67BD" w14:textId="3B80576F" w:rsidR="00322C4D" w:rsidRPr="001000D0" w:rsidRDefault="00322C4D" w:rsidP="00322C4D">
      <w:pPr>
        <w:pStyle w:val="NormalWeb"/>
        <w:jc w:val="both"/>
        <w:rPr>
          <w:rFonts w:ascii="Arial" w:hAnsi="Arial" w:cs="Arial"/>
          <w:sz w:val="20"/>
          <w:szCs w:val="20"/>
        </w:rPr>
      </w:pPr>
      <w:r w:rsidRPr="001000D0">
        <w:rPr>
          <w:rFonts w:ascii="Arial" w:hAnsi="Arial" w:cs="Arial"/>
          <w:sz w:val="20"/>
          <w:szCs w:val="20"/>
        </w:rPr>
        <w:t xml:space="preserve">14.  </w:t>
      </w:r>
      <w:proofErr w:type="spellStart"/>
      <w:r w:rsidR="008B6CDF" w:rsidRPr="008B6CDF">
        <w:rPr>
          <w:rStyle w:val="Strong"/>
          <w:rFonts w:ascii="Arial" w:hAnsi="Arial" w:cs="Arial"/>
          <w:b w:val="0"/>
          <w:sz w:val="20"/>
          <w:szCs w:val="20"/>
        </w:rPr>
        <w:t>Onken</w:t>
      </w:r>
      <w:proofErr w:type="spellEnd"/>
      <w:r w:rsidR="008B6CDF" w:rsidRPr="008B6CDF">
        <w:rPr>
          <w:rStyle w:val="Strong"/>
          <w:rFonts w:ascii="Arial" w:hAnsi="Arial" w:cs="Arial"/>
          <w:b w:val="0"/>
          <w:sz w:val="20"/>
          <w:szCs w:val="20"/>
        </w:rPr>
        <w:t xml:space="preserve">, K. A., &amp; Bernard, J. C. (2010). Catching the "local" bug: A look at state agricultural marketing programs. Choices, 25(1), 1–7. </w:t>
      </w:r>
      <w:hyperlink r:id="rId27" w:history="1">
        <w:r w:rsidR="008B6CDF" w:rsidRPr="004F2FB4">
          <w:rPr>
            <w:rStyle w:val="Hyperlink"/>
            <w:rFonts w:ascii="Arial" w:hAnsi="Arial" w:cs="Arial"/>
            <w:sz w:val="20"/>
            <w:szCs w:val="20"/>
          </w:rPr>
          <w:t>https://doi.org/10.22004/ag.econ.93825</w:t>
        </w:r>
      </w:hyperlink>
      <w:r w:rsidR="008B6CDF">
        <w:rPr>
          <w:rStyle w:val="Strong"/>
          <w:rFonts w:ascii="Arial" w:hAnsi="Arial" w:cs="Arial"/>
          <w:b w:val="0"/>
          <w:sz w:val="20"/>
          <w:szCs w:val="20"/>
        </w:rPr>
        <w:t xml:space="preserve"> </w:t>
      </w:r>
    </w:p>
    <w:p w14:paraId="44C46FB6" w14:textId="3BFD37F4" w:rsidR="00322C4D" w:rsidRPr="001000D0" w:rsidRDefault="00322C4D" w:rsidP="00322C4D">
      <w:pPr>
        <w:pStyle w:val="NormalWeb"/>
        <w:jc w:val="both"/>
        <w:rPr>
          <w:rFonts w:ascii="Arial" w:hAnsi="Arial" w:cs="Arial"/>
          <w:sz w:val="20"/>
          <w:szCs w:val="20"/>
        </w:rPr>
      </w:pPr>
      <w:r w:rsidRPr="001000D0">
        <w:rPr>
          <w:rFonts w:ascii="Arial" w:hAnsi="Arial" w:cs="Arial"/>
          <w:sz w:val="20"/>
          <w:szCs w:val="20"/>
        </w:rPr>
        <w:t xml:space="preserve">15.  </w:t>
      </w:r>
      <w:proofErr w:type="spellStart"/>
      <w:r w:rsidR="008B6CDF" w:rsidRPr="008B6CDF">
        <w:rPr>
          <w:rStyle w:val="Strong"/>
          <w:rFonts w:ascii="Arial" w:hAnsi="Arial" w:cs="Arial"/>
          <w:b w:val="0"/>
          <w:sz w:val="20"/>
          <w:szCs w:val="20"/>
        </w:rPr>
        <w:t>Osabohien</w:t>
      </w:r>
      <w:proofErr w:type="spellEnd"/>
      <w:r w:rsidR="008B6CDF" w:rsidRPr="008B6CDF">
        <w:rPr>
          <w:rStyle w:val="Strong"/>
          <w:rFonts w:ascii="Arial" w:hAnsi="Arial" w:cs="Arial"/>
          <w:b w:val="0"/>
          <w:sz w:val="20"/>
          <w:szCs w:val="20"/>
        </w:rPr>
        <w:t xml:space="preserve">, R., Matthew, O., Gershon, O., </w:t>
      </w:r>
      <w:proofErr w:type="spellStart"/>
      <w:r w:rsidR="008B6CDF" w:rsidRPr="008B6CDF">
        <w:rPr>
          <w:rStyle w:val="Strong"/>
          <w:rFonts w:ascii="Arial" w:hAnsi="Arial" w:cs="Arial"/>
          <w:b w:val="0"/>
          <w:sz w:val="20"/>
          <w:szCs w:val="20"/>
        </w:rPr>
        <w:t>Ogunbiyi</w:t>
      </w:r>
      <w:proofErr w:type="spellEnd"/>
      <w:r w:rsidR="008B6CDF" w:rsidRPr="008B6CDF">
        <w:rPr>
          <w:rStyle w:val="Strong"/>
          <w:rFonts w:ascii="Arial" w:hAnsi="Arial" w:cs="Arial"/>
          <w:b w:val="0"/>
          <w:sz w:val="20"/>
          <w:szCs w:val="20"/>
        </w:rPr>
        <w:t xml:space="preserve">, T., &amp; Nwosu, E. (2019). Agriculture development, employment generation and poverty reduction in West Africa. The Open Agriculture Journal, 13(1), 82–89. </w:t>
      </w:r>
      <w:hyperlink r:id="rId28" w:history="1">
        <w:r w:rsidR="008B6CDF" w:rsidRPr="004F2FB4">
          <w:rPr>
            <w:rStyle w:val="Hyperlink"/>
            <w:rFonts w:ascii="Arial" w:hAnsi="Arial" w:cs="Arial"/>
            <w:sz w:val="20"/>
            <w:szCs w:val="20"/>
          </w:rPr>
          <w:t>https://doi.org/10.2174/1874331501913010082</w:t>
        </w:r>
      </w:hyperlink>
      <w:r w:rsidR="008B6CDF">
        <w:rPr>
          <w:rStyle w:val="Strong"/>
          <w:rFonts w:ascii="Arial" w:hAnsi="Arial" w:cs="Arial"/>
          <w:b w:val="0"/>
          <w:sz w:val="20"/>
          <w:szCs w:val="20"/>
        </w:rPr>
        <w:t xml:space="preserve"> </w:t>
      </w:r>
    </w:p>
    <w:p w14:paraId="3EFE7FD8" w14:textId="7CE55FE1" w:rsidR="00322C4D" w:rsidRPr="001000D0" w:rsidRDefault="00322C4D" w:rsidP="00322C4D">
      <w:pPr>
        <w:pStyle w:val="NormalWeb"/>
        <w:jc w:val="both"/>
        <w:rPr>
          <w:rFonts w:ascii="Arial" w:hAnsi="Arial" w:cs="Arial"/>
          <w:sz w:val="20"/>
          <w:szCs w:val="20"/>
        </w:rPr>
      </w:pPr>
      <w:r w:rsidRPr="001000D0">
        <w:rPr>
          <w:rFonts w:ascii="Arial" w:hAnsi="Arial" w:cs="Arial"/>
          <w:sz w:val="20"/>
          <w:szCs w:val="20"/>
        </w:rPr>
        <w:t xml:space="preserve">16.  </w:t>
      </w:r>
      <w:r w:rsidR="008B6CDF" w:rsidRPr="008B6CDF">
        <w:rPr>
          <w:rStyle w:val="Strong"/>
          <w:rFonts w:ascii="Arial" w:hAnsi="Arial" w:cs="Arial"/>
          <w:b w:val="0"/>
          <w:sz w:val="20"/>
          <w:szCs w:val="20"/>
        </w:rPr>
        <w:t xml:space="preserve">Rumble, J. N., &amp; Roper, C. G. (2014). Talking local: Florida consumers’ fresh from Florida perceptions. University of Florida IFAS Extension </w:t>
      </w:r>
      <w:hyperlink r:id="rId29" w:history="1">
        <w:r w:rsidR="008B6CDF" w:rsidRPr="004F2FB4">
          <w:rPr>
            <w:rStyle w:val="Hyperlink"/>
            <w:rFonts w:ascii="Arial" w:hAnsi="Arial" w:cs="Arial"/>
            <w:sz w:val="20"/>
            <w:szCs w:val="20"/>
          </w:rPr>
          <w:t>https://doi.org/10.32473/edis-wc181-2014</w:t>
        </w:r>
      </w:hyperlink>
      <w:r w:rsidR="008B6CDF">
        <w:rPr>
          <w:rStyle w:val="Strong"/>
          <w:rFonts w:ascii="Arial" w:hAnsi="Arial" w:cs="Arial"/>
          <w:b w:val="0"/>
          <w:sz w:val="20"/>
          <w:szCs w:val="20"/>
        </w:rPr>
        <w:t xml:space="preserve"> </w:t>
      </w:r>
    </w:p>
    <w:p w14:paraId="447B5C6F" w14:textId="732259ED" w:rsidR="00322C4D" w:rsidRPr="001000D0" w:rsidRDefault="00322C4D" w:rsidP="00322C4D">
      <w:pPr>
        <w:pStyle w:val="NormalWeb"/>
        <w:jc w:val="both"/>
        <w:rPr>
          <w:rFonts w:ascii="Arial" w:hAnsi="Arial" w:cs="Arial"/>
          <w:sz w:val="20"/>
          <w:szCs w:val="20"/>
        </w:rPr>
      </w:pPr>
      <w:r w:rsidRPr="001000D0">
        <w:rPr>
          <w:rFonts w:ascii="Arial" w:hAnsi="Arial" w:cs="Arial"/>
          <w:sz w:val="20"/>
          <w:szCs w:val="20"/>
        </w:rPr>
        <w:t xml:space="preserve">17.  </w:t>
      </w:r>
      <w:proofErr w:type="spellStart"/>
      <w:r w:rsidR="008B6CDF" w:rsidRPr="008B6CDF">
        <w:rPr>
          <w:rStyle w:val="Strong"/>
          <w:rFonts w:ascii="Arial" w:hAnsi="Arial" w:cs="Arial"/>
          <w:b w:val="0"/>
          <w:sz w:val="20"/>
          <w:szCs w:val="20"/>
        </w:rPr>
        <w:t>Janakiram</w:t>
      </w:r>
      <w:proofErr w:type="spellEnd"/>
      <w:r w:rsidR="008B6CDF" w:rsidRPr="008B6CDF">
        <w:rPr>
          <w:rStyle w:val="Strong"/>
          <w:rFonts w:ascii="Arial" w:hAnsi="Arial" w:cs="Arial"/>
          <w:b w:val="0"/>
          <w:sz w:val="20"/>
          <w:szCs w:val="20"/>
        </w:rPr>
        <w:t xml:space="preserve">, T., &amp; Reddy, V. R. (2016). Hill horticulture – Status, problems and strategies. Journal of Hill Agriculture, 7(1), 1–11. </w:t>
      </w:r>
      <w:hyperlink r:id="rId30" w:history="1">
        <w:r w:rsidR="008B6CDF" w:rsidRPr="004F2FB4">
          <w:rPr>
            <w:rStyle w:val="Hyperlink"/>
            <w:rFonts w:ascii="Arial" w:hAnsi="Arial" w:cs="Arial"/>
            <w:sz w:val="20"/>
            <w:szCs w:val="20"/>
          </w:rPr>
          <w:t>https://doi.org/10.5958/2230-7338.2016.00003.3</w:t>
        </w:r>
      </w:hyperlink>
      <w:r w:rsidR="008B6CDF">
        <w:rPr>
          <w:rStyle w:val="Strong"/>
          <w:rFonts w:ascii="Arial" w:hAnsi="Arial" w:cs="Arial"/>
          <w:b w:val="0"/>
          <w:sz w:val="20"/>
          <w:szCs w:val="20"/>
        </w:rPr>
        <w:t xml:space="preserve"> </w:t>
      </w:r>
    </w:p>
    <w:p w14:paraId="4B95D56E" w14:textId="0830BF07" w:rsidR="004D4277" w:rsidRPr="001000D0" w:rsidRDefault="001000D0" w:rsidP="00322C4D">
      <w:pPr>
        <w:pStyle w:val="Appendix"/>
        <w:spacing w:after="0"/>
        <w:jc w:val="both"/>
        <w:rPr>
          <w:rFonts w:ascii="Arial" w:hAnsi="Arial" w:cs="Arial"/>
          <w:b w:val="0"/>
        </w:rPr>
        <w:sectPr w:rsidR="004D4277" w:rsidRPr="001000D0" w:rsidSect="004E6A0A">
          <w:headerReference w:type="even" r:id="rId31"/>
          <w:headerReference w:type="default" r:id="rId32"/>
          <w:footerReference w:type="default" r:id="rId33"/>
          <w:headerReference w:type="first" r:id="rId34"/>
          <w:type w:val="continuous"/>
          <w:pgSz w:w="12240" w:h="15840"/>
          <w:pgMar w:top="1440" w:right="2016" w:bottom="2016" w:left="2016" w:header="720" w:footer="1123" w:gutter="0"/>
          <w:cols w:space="720"/>
          <w:titlePg/>
          <w:docGrid w:linePitch="272"/>
        </w:sectPr>
      </w:pPr>
      <w:r>
        <w:rPr>
          <w:rFonts w:ascii="Arial" w:hAnsi="Arial" w:cs="Arial"/>
          <w:b w:val="0"/>
          <w:caps w:val="0"/>
          <w:sz w:val="20"/>
        </w:rPr>
        <w:t>18.</w:t>
      </w:r>
      <w:r w:rsidR="008B6CDF" w:rsidRPr="008B6CDF">
        <w:t xml:space="preserve"> </w:t>
      </w:r>
      <w:proofErr w:type="spellStart"/>
      <w:r w:rsidR="008B6CDF" w:rsidRPr="008B6CDF">
        <w:rPr>
          <w:rFonts w:ascii="Arial" w:hAnsi="Arial" w:cs="Arial"/>
          <w:b w:val="0"/>
          <w:caps w:val="0"/>
          <w:sz w:val="20"/>
        </w:rPr>
        <w:t>Tamta</w:t>
      </w:r>
      <w:proofErr w:type="spellEnd"/>
      <w:r w:rsidR="008B6CDF" w:rsidRPr="008B6CDF">
        <w:rPr>
          <w:rFonts w:ascii="Arial" w:hAnsi="Arial" w:cs="Arial"/>
          <w:b w:val="0"/>
          <w:caps w:val="0"/>
          <w:sz w:val="20"/>
        </w:rPr>
        <w:t xml:space="preserve">, N., &amp; Deepak, D. (2023). Horticulture development scenario in </w:t>
      </w:r>
      <w:proofErr w:type="spellStart"/>
      <w:r w:rsidR="008B6CDF" w:rsidRPr="008B6CDF">
        <w:rPr>
          <w:rFonts w:ascii="Arial" w:hAnsi="Arial" w:cs="Arial"/>
          <w:b w:val="0"/>
          <w:caps w:val="0"/>
          <w:sz w:val="20"/>
        </w:rPr>
        <w:t>Kumaon</w:t>
      </w:r>
      <w:proofErr w:type="spellEnd"/>
      <w:r w:rsidR="008B6CDF" w:rsidRPr="008B6CDF">
        <w:rPr>
          <w:rFonts w:ascii="Arial" w:hAnsi="Arial" w:cs="Arial"/>
          <w:b w:val="0"/>
          <w:caps w:val="0"/>
          <w:sz w:val="20"/>
        </w:rPr>
        <w:t xml:space="preserve"> region, Uttarakhand. International Journal of Advanced Research, 11(1), 915–922. </w:t>
      </w:r>
      <w:hyperlink r:id="rId35" w:history="1">
        <w:r w:rsidR="008B6CDF" w:rsidRPr="004F2FB4">
          <w:rPr>
            <w:rStyle w:val="Hyperlink"/>
            <w:rFonts w:ascii="Arial" w:hAnsi="Arial" w:cs="Arial"/>
            <w:b w:val="0"/>
            <w:caps w:val="0"/>
            <w:sz w:val="20"/>
          </w:rPr>
          <w:t>https://doi.org/10.21474/IJAR01/16425</w:t>
        </w:r>
      </w:hyperlink>
      <w:r w:rsidR="008B6CDF">
        <w:rPr>
          <w:rFonts w:ascii="Arial" w:hAnsi="Arial" w:cs="Arial"/>
          <w:b w:val="0"/>
          <w:caps w:val="0"/>
          <w:sz w:val="20"/>
        </w:rPr>
        <w:t xml:space="preserve"> </w:t>
      </w:r>
    </w:p>
    <w:p w14:paraId="4E29C543" w14:textId="77777777" w:rsidR="00B01FCD" w:rsidRPr="001000D0" w:rsidRDefault="00B01FCD" w:rsidP="00441B6F">
      <w:pPr>
        <w:pStyle w:val="Appendix"/>
        <w:spacing w:after="0"/>
        <w:jc w:val="both"/>
        <w:rPr>
          <w:rFonts w:ascii="Arial" w:hAnsi="Arial" w:cs="Arial"/>
          <w:b w:val="0"/>
        </w:rPr>
      </w:pPr>
    </w:p>
    <w:sectPr w:rsidR="00B01FCD" w:rsidRPr="001000D0" w:rsidSect="004E6A0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2513C" w14:textId="77777777" w:rsidR="00EF7C56" w:rsidRDefault="00EF7C56" w:rsidP="00C37E61">
      <w:r>
        <w:separator/>
      </w:r>
    </w:p>
  </w:endnote>
  <w:endnote w:type="continuationSeparator" w:id="0">
    <w:p w14:paraId="1E674807" w14:textId="77777777" w:rsidR="00EF7C56" w:rsidRDefault="00EF7C5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87895" w14:textId="77777777" w:rsidR="004E6A0A" w:rsidRDefault="004E6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F868F" w14:textId="77777777" w:rsidR="004E6A0A" w:rsidRDefault="004E6A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293FD" w14:textId="774641EA" w:rsidR="006F750A" w:rsidRPr="00186A6F" w:rsidRDefault="006F750A" w:rsidP="00186A6F">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A0E3E" w14:textId="77777777" w:rsidR="00E91775" w:rsidRDefault="00E91775">
    <w:pPr>
      <w:pStyle w:val="Footer"/>
    </w:pPr>
  </w:p>
  <w:p w14:paraId="7AE1453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CAEB5" w14:textId="77777777" w:rsidR="00EF7C56" w:rsidRDefault="00EF7C56" w:rsidP="00C37E61">
      <w:r>
        <w:separator/>
      </w:r>
    </w:p>
  </w:footnote>
  <w:footnote w:type="continuationSeparator" w:id="0">
    <w:p w14:paraId="1270BB6A" w14:textId="77777777" w:rsidR="00EF7C56" w:rsidRDefault="00EF7C5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8070D" w14:textId="00D869D4" w:rsidR="004E6A0A" w:rsidRDefault="004E6A0A">
    <w:pPr>
      <w:pStyle w:val="Header"/>
    </w:pPr>
    <w:r>
      <w:rPr>
        <w:noProof/>
      </w:rPr>
      <w:pict w14:anchorId="4B93D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814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4E3D8" w14:textId="0C0EBF0A" w:rsidR="004E6A0A" w:rsidRDefault="004E6A0A">
    <w:pPr>
      <w:pStyle w:val="Header"/>
    </w:pPr>
    <w:r>
      <w:rPr>
        <w:noProof/>
      </w:rPr>
      <w:pict w14:anchorId="3DB96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814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766B2" w14:textId="25369597" w:rsidR="006F750A" w:rsidRPr="00296529" w:rsidRDefault="004E6A0A" w:rsidP="00296529">
    <w:pPr>
      <w:ind w:left="2160"/>
      <w:jc w:val="center"/>
      <w:rPr>
        <w:rFonts w:ascii="Times New Roman" w:eastAsia="Calibri" w:hAnsi="Times New Roman"/>
        <w:i/>
        <w:sz w:val="18"/>
        <w:szCs w:val="22"/>
      </w:rPr>
    </w:pPr>
    <w:r>
      <w:rPr>
        <w:noProof/>
      </w:rPr>
      <w:pict w14:anchorId="46D99B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8148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BABB793" w14:textId="77777777" w:rsidR="006F750A" w:rsidRPr="00296529" w:rsidRDefault="006F750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55AE2E16" w14:textId="77777777" w:rsidR="006F750A" w:rsidRPr="00296529" w:rsidRDefault="006F750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62AD7DD" w14:textId="77777777" w:rsidR="006F750A" w:rsidRPr="00296529" w:rsidRDefault="006F750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04A7F2E9" w14:textId="77777777" w:rsidR="006F750A" w:rsidRDefault="006F750A" w:rsidP="00296529">
    <w:pPr>
      <w:jc w:val="center"/>
      <w:rPr>
        <w:rFonts w:ascii="Times New Roman" w:eastAsia="Calibri" w:hAnsi="Times New Roman"/>
        <w:i/>
        <w:sz w:val="18"/>
        <w:szCs w:val="22"/>
      </w:rPr>
    </w:pPr>
  </w:p>
  <w:p w14:paraId="3A1E7BE8" w14:textId="77777777" w:rsidR="006F750A" w:rsidRDefault="006F750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E845404" w14:textId="77777777" w:rsidR="006F750A" w:rsidRDefault="006F750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84B40" w14:textId="38CAF28A" w:rsidR="004E6A0A" w:rsidRDefault="004E6A0A">
    <w:pPr>
      <w:pStyle w:val="Header"/>
    </w:pPr>
    <w:r>
      <w:rPr>
        <w:noProof/>
      </w:rPr>
      <w:pict w14:anchorId="3FABB1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8148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AB9FD" w14:textId="7B2192B0" w:rsidR="004E6A0A" w:rsidRDefault="004E6A0A">
    <w:pPr>
      <w:pStyle w:val="Header"/>
    </w:pPr>
    <w:r>
      <w:rPr>
        <w:noProof/>
      </w:rPr>
      <w:pict w14:anchorId="5B057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8148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BEEB4" w14:textId="0D3321DD" w:rsidR="004E6A0A" w:rsidRDefault="004E6A0A">
    <w:pPr>
      <w:pStyle w:val="Header"/>
    </w:pPr>
    <w:r>
      <w:rPr>
        <w:noProof/>
      </w:rPr>
      <w:pict w14:anchorId="4876B6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8148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2466C93"/>
    <w:multiLevelType w:val="hybridMultilevel"/>
    <w:tmpl w:val="C85CF08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D07DDA"/>
    <w:multiLevelType w:val="hybridMultilevel"/>
    <w:tmpl w:val="C1F4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BB70C60"/>
    <w:multiLevelType w:val="hybridMultilevel"/>
    <w:tmpl w:val="9014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4B3DDD"/>
    <w:multiLevelType w:val="hybridMultilevel"/>
    <w:tmpl w:val="C64C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4"/>
  </w:num>
  <w:num w:numId="19">
    <w:abstractNumId w:val="32"/>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8"/>
  </w:num>
  <w:num w:numId="27">
    <w:abstractNumId w:val="23"/>
  </w:num>
  <w:num w:numId="28">
    <w:abstractNumId w:val="31"/>
  </w:num>
  <w:num w:numId="29">
    <w:abstractNumId w:val="27"/>
  </w:num>
  <w:num w:numId="30">
    <w:abstractNumId w:val="10"/>
  </w:num>
  <w:num w:numId="31">
    <w:abstractNumId w:val="30"/>
  </w:num>
  <w:num w:numId="32">
    <w:abstractNumId w:val="16"/>
  </w:num>
  <w:num w:numId="33">
    <w:abstractNumId w:val="21"/>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1F3C"/>
    <w:rsid w:val="000A1ADF"/>
    <w:rsid w:val="000A47FA"/>
    <w:rsid w:val="000A65D3"/>
    <w:rsid w:val="000B1E33"/>
    <w:rsid w:val="000C2C94"/>
    <w:rsid w:val="000D689F"/>
    <w:rsid w:val="000E7B7B"/>
    <w:rsid w:val="000E7D62"/>
    <w:rsid w:val="001000D0"/>
    <w:rsid w:val="00103357"/>
    <w:rsid w:val="00123C9F"/>
    <w:rsid w:val="00126190"/>
    <w:rsid w:val="00130F17"/>
    <w:rsid w:val="001320BF"/>
    <w:rsid w:val="00157961"/>
    <w:rsid w:val="00163BC4"/>
    <w:rsid w:val="00164A73"/>
    <w:rsid w:val="00180B1B"/>
    <w:rsid w:val="00186A6F"/>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147F"/>
    <w:rsid w:val="002C57D2"/>
    <w:rsid w:val="002E0D56"/>
    <w:rsid w:val="00315186"/>
    <w:rsid w:val="003207C0"/>
    <w:rsid w:val="00322C4D"/>
    <w:rsid w:val="0033343E"/>
    <w:rsid w:val="00337F33"/>
    <w:rsid w:val="003512C2"/>
    <w:rsid w:val="003719AC"/>
    <w:rsid w:val="00371FB6"/>
    <w:rsid w:val="00372170"/>
    <w:rsid w:val="003763C1"/>
    <w:rsid w:val="00376BBE"/>
    <w:rsid w:val="0039224F"/>
    <w:rsid w:val="003A43A4"/>
    <w:rsid w:val="003A7E18"/>
    <w:rsid w:val="003B074E"/>
    <w:rsid w:val="003C4C86"/>
    <w:rsid w:val="003C6258"/>
    <w:rsid w:val="003E2904"/>
    <w:rsid w:val="00401927"/>
    <w:rsid w:val="0041027F"/>
    <w:rsid w:val="00412475"/>
    <w:rsid w:val="00423789"/>
    <w:rsid w:val="00440F43"/>
    <w:rsid w:val="00441B6F"/>
    <w:rsid w:val="00446221"/>
    <w:rsid w:val="00450E62"/>
    <w:rsid w:val="004539DB"/>
    <w:rsid w:val="00471A80"/>
    <w:rsid w:val="004C6084"/>
    <w:rsid w:val="004D305E"/>
    <w:rsid w:val="004D4277"/>
    <w:rsid w:val="004E6A0A"/>
    <w:rsid w:val="00502516"/>
    <w:rsid w:val="00505F06"/>
    <w:rsid w:val="00506828"/>
    <w:rsid w:val="0053056E"/>
    <w:rsid w:val="0054039E"/>
    <w:rsid w:val="00554FDA"/>
    <w:rsid w:val="005B3E45"/>
    <w:rsid w:val="005C784C"/>
    <w:rsid w:val="005D17F6"/>
    <w:rsid w:val="005E5539"/>
    <w:rsid w:val="00602BF5"/>
    <w:rsid w:val="0060379B"/>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750A"/>
    <w:rsid w:val="0070082C"/>
    <w:rsid w:val="007369E6"/>
    <w:rsid w:val="00742E84"/>
    <w:rsid w:val="0074604F"/>
    <w:rsid w:val="00746B5E"/>
    <w:rsid w:val="00746E59"/>
    <w:rsid w:val="007518A4"/>
    <w:rsid w:val="00754C9A"/>
    <w:rsid w:val="0075599A"/>
    <w:rsid w:val="00761D52"/>
    <w:rsid w:val="0077749E"/>
    <w:rsid w:val="00790ADA"/>
    <w:rsid w:val="007D2288"/>
    <w:rsid w:val="007D35C9"/>
    <w:rsid w:val="007E088F"/>
    <w:rsid w:val="007F7B32"/>
    <w:rsid w:val="00804BC2"/>
    <w:rsid w:val="0081431A"/>
    <w:rsid w:val="0083216F"/>
    <w:rsid w:val="00860000"/>
    <w:rsid w:val="00863BD3"/>
    <w:rsid w:val="008641ED"/>
    <w:rsid w:val="00866D66"/>
    <w:rsid w:val="008671C6"/>
    <w:rsid w:val="00875803"/>
    <w:rsid w:val="008940EB"/>
    <w:rsid w:val="008B459E"/>
    <w:rsid w:val="008B6CDF"/>
    <w:rsid w:val="008E13AE"/>
    <w:rsid w:val="008E1506"/>
    <w:rsid w:val="008E2DB8"/>
    <w:rsid w:val="008E710C"/>
    <w:rsid w:val="008F69D6"/>
    <w:rsid w:val="00902823"/>
    <w:rsid w:val="00910AF1"/>
    <w:rsid w:val="00915CA6"/>
    <w:rsid w:val="00927834"/>
    <w:rsid w:val="009500A6"/>
    <w:rsid w:val="00957C18"/>
    <w:rsid w:val="009659BA"/>
    <w:rsid w:val="00983040"/>
    <w:rsid w:val="00985507"/>
    <w:rsid w:val="009B3FB9"/>
    <w:rsid w:val="009C2465"/>
    <w:rsid w:val="009D35A0"/>
    <w:rsid w:val="009D7EB7"/>
    <w:rsid w:val="009E048A"/>
    <w:rsid w:val="009E08E9"/>
    <w:rsid w:val="009E3DB9"/>
    <w:rsid w:val="009E43B6"/>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66F6"/>
    <w:rsid w:val="00B01FCD"/>
    <w:rsid w:val="00B04313"/>
    <w:rsid w:val="00B1776C"/>
    <w:rsid w:val="00B52583"/>
    <w:rsid w:val="00B52896"/>
    <w:rsid w:val="00B821FC"/>
    <w:rsid w:val="00B8239D"/>
    <w:rsid w:val="00B95236"/>
    <w:rsid w:val="00B96BD9"/>
    <w:rsid w:val="00BA1B01"/>
    <w:rsid w:val="00BA2641"/>
    <w:rsid w:val="00BB37AA"/>
    <w:rsid w:val="00BC53A0"/>
    <w:rsid w:val="00BE62AD"/>
    <w:rsid w:val="00BF121F"/>
    <w:rsid w:val="00BF1F80"/>
    <w:rsid w:val="00C0757D"/>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0B6C"/>
    <w:rsid w:val="00D173F1"/>
    <w:rsid w:val="00D74CB0"/>
    <w:rsid w:val="00D77F88"/>
    <w:rsid w:val="00D8295D"/>
    <w:rsid w:val="00DC2A65"/>
    <w:rsid w:val="00DE15F0"/>
    <w:rsid w:val="00DE5663"/>
    <w:rsid w:val="00DE78AA"/>
    <w:rsid w:val="00DF5AEE"/>
    <w:rsid w:val="00E053D0"/>
    <w:rsid w:val="00E15994"/>
    <w:rsid w:val="00E3114E"/>
    <w:rsid w:val="00E31A70"/>
    <w:rsid w:val="00E35B02"/>
    <w:rsid w:val="00E66496"/>
    <w:rsid w:val="00E66B35"/>
    <w:rsid w:val="00E66E10"/>
    <w:rsid w:val="00E769F6"/>
    <w:rsid w:val="00E8407C"/>
    <w:rsid w:val="00E84F3C"/>
    <w:rsid w:val="00E91775"/>
    <w:rsid w:val="00EA012C"/>
    <w:rsid w:val="00EC6A55"/>
    <w:rsid w:val="00ED0288"/>
    <w:rsid w:val="00EE52CB"/>
    <w:rsid w:val="00EF581D"/>
    <w:rsid w:val="00EF7C56"/>
    <w:rsid w:val="00EF7FD8"/>
    <w:rsid w:val="00F06F59"/>
    <w:rsid w:val="00F11481"/>
    <w:rsid w:val="00F17988"/>
    <w:rsid w:val="00F469F0"/>
    <w:rsid w:val="00F53273"/>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230C62A"/>
  <w15:docId w15:val="{9F6997CF-18CD-4BE4-895C-759BABFE0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TitleChar">
    <w:name w:val="Title Char"/>
    <w:basedOn w:val="DefaultParagraphFont"/>
    <w:link w:val="Title"/>
    <w:uiPriority w:val="1"/>
    <w:rsid w:val="006F750A"/>
    <w:rPr>
      <w:rFonts w:ascii="Helvetica" w:hAnsi="Helvetica"/>
      <w:b/>
      <w:kern w:val="28"/>
      <w:sz w:val="36"/>
    </w:rPr>
  </w:style>
  <w:style w:type="character" w:customStyle="1" w:styleId="FooterChar">
    <w:name w:val="Footer Char"/>
    <w:basedOn w:val="DefaultParagraphFont"/>
    <w:link w:val="Footer"/>
    <w:uiPriority w:val="99"/>
    <w:rsid w:val="006F750A"/>
    <w:rPr>
      <w:rFonts w:ascii="Helvetica" w:hAnsi="Helvetica"/>
    </w:rPr>
  </w:style>
  <w:style w:type="character" w:styleId="Strong">
    <w:name w:val="Strong"/>
    <w:basedOn w:val="DefaultParagraphFont"/>
    <w:uiPriority w:val="22"/>
    <w:qFormat/>
    <w:rsid w:val="006F750A"/>
    <w:rPr>
      <w:b/>
      <w:bCs/>
    </w:rPr>
  </w:style>
  <w:style w:type="paragraph" w:styleId="ListParagraph">
    <w:name w:val="List Paragraph"/>
    <w:basedOn w:val="Normal"/>
    <w:uiPriority w:val="34"/>
    <w:qFormat/>
    <w:rsid w:val="006F750A"/>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unhideWhenUsed/>
    <w:rsid w:val="00B04313"/>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164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egrove.olemiss.edu/jrss/vol26/iss2/4/" TargetMode="External"/><Relationship Id="rId26" Type="http://schemas.openxmlformats.org/officeDocument/2006/relationships/hyperlink" Target="https://doi.org/10.1111/j.1467-8276.2007.01111.x" TargetMode="External"/><Relationship Id="rId21" Type="http://schemas.openxmlformats.org/officeDocument/2006/relationships/hyperlink" Target="https://doi.org/10.21273/HORTSCI.44.2.366"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7/S1068280500001428" TargetMode="External"/><Relationship Id="rId25" Type="http://schemas.openxmlformats.org/officeDocument/2006/relationships/hyperlink" Target="https://doi.org/10.3390/su9101743"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1079/AJAA200353" TargetMode="External"/><Relationship Id="rId20" Type="http://schemas.openxmlformats.org/officeDocument/2006/relationships/hyperlink" Target="https://doi.org/10.5304/jafscd.2011.021.013" TargetMode="External"/><Relationship Id="rId29" Type="http://schemas.openxmlformats.org/officeDocument/2006/relationships/hyperlink" Target="https://doi.org/10.32473/edis-wc181-20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1273/HORTSCI.51.4.407" TargetMode="External"/><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trium.lib.uoguelph.ca" TargetMode="External"/><Relationship Id="rId23" Type="http://schemas.openxmlformats.org/officeDocument/2006/relationships/hyperlink" Target="https://doi.org/10.22004/ag.econ.167903" TargetMode="External"/><Relationship Id="rId28" Type="http://schemas.openxmlformats.org/officeDocument/2006/relationships/hyperlink" Target="https://doi.org/10.2174/1874331501913010082"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22004/ag.econ.27554"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foodqual.2014.09.014" TargetMode="External"/><Relationship Id="rId22" Type="http://schemas.openxmlformats.org/officeDocument/2006/relationships/hyperlink" Target="https://doi.org/10.21273/HORTSCI.48.2.200" TargetMode="External"/><Relationship Id="rId27" Type="http://schemas.openxmlformats.org/officeDocument/2006/relationships/hyperlink" Target="https://doi.org/10.22004/ag.econ.93825" TargetMode="External"/><Relationship Id="rId30" Type="http://schemas.openxmlformats.org/officeDocument/2006/relationships/hyperlink" Target="https://doi.org/10.5958/2230-7338.2016.00003.3" TargetMode="External"/><Relationship Id="rId35" Type="http://schemas.openxmlformats.org/officeDocument/2006/relationships/hyperlink" Target="https://doi.org/10.21474/IJAR01/16425"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77B10-8880-4618-96DB-E3A2E5C25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147</TotalTime>
  <Pages>12</Pages>
  <Words>4949</Words>
  <Characters>28213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33096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43</cp:revision>
  <cp:lastPrinted>2025-12-10T12:25:00Z</cp:lastPrinted>
  <dcterms:created xsi:type="dcterms:W3CDTF">2014-10-25T14:34:00Z</dcterms:created>
  <dcterms:modified xsi:type="dcterms:W3CDTF">2025-12-12T09:17:00Z</dcterms:modified>
</cp:coreProperties>
</file>