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11E4C" w14:textId="77777777" w:rsidR="00A038BB" w:rsidRDefault="00A038BB" w:rsidP="00A038BB">
      <w:pPr>
        <w:spacing w:before="100" w:beforeAutospacing="1" w:after="100" w:afterAutospacing="1" w:line="360" w:lineRule="auto"/>
        <w:jc w:val="center"/>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Policy Interventions and Community-Based Initiatives for Enhancing Food Security and Resilience in Rural Tigray</w:t>
      </w:r>
    </w:p>
    <w:p w14:paraId="17B767C2" w14:textId="77777777" w:rsidR="00CD37BD" w:rsidRDefault="00CD37BD" w:rsidP="00A038BB">
      <w:pPr>
        <w:spacing w:before="100" w:beforeAutospacing="1" w:after="100" w:afterAutospacing="1" w:line="360" w:lineRule="auto"/>
        <w:jc w:val="center"/>
        <w:rPr>
          <w:rFonts w:ascii="Times New Roman" w:eastAsia="Times New Roman" w:hAnsi="Times New Roman" w:cs="Times New Roman"/>
          <w:b/>
          <w:bCs/>
          <w:sz w:val="24"/>
          <w:szCs w:val="24"/>
        </w:rPr>
      </w:pPr>
      <w:bookmarkStart w:id="0" w:name="_GoBack"/>
      <w:bookmarkEnd w:id="0"/>
    </w:p>
    <w:p w14:paraId="7214457B" w14:textId="77777777" w:rsidR="00A038BB" w:rsidRDefault="00A038BB" w:rsidP="00A038BB">
      <w:pPr>
        <w:spacing w:before="100" w:beforeAutospacing="1" w:after="100" w:afterAutospacing="1" w:line="240" w:lineRule="auto"/>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Abstract</w:t>
      </w:r>
    </w:p>
    <w:p w14:paraId="0EBA6EE1" w14:textId="77777777" w:rsidR="00A038BB" w:rsidRPr="00A038BB" w:rsidRDefault="00A038BB" w:rsidP="00A038BB">
      <w:pPr>
        <w:spacing w:before="100" w:beforeAutospacing="1" w:after="100" w:afterAutospacing="1" w:line="360" w:lineRule="auto"/>
        <w:jc w:val="both"/>
        <w:rPr>
          <w:rFonts w:ascii="Times New Roman" w:eastAsia="Times New Roman" w:hAnsi="Times New Roman" w:cs="Times New Roman"/>
          <w:b/>
          <w:bCs/>
          <w:sz w:val="24"/>
          <w:szCs w:val="24"/>
        </w:rPr>
      </w:pPr>
      <w:r w:rsidRPr="00A038BB">
        <w:rPr>
          <w:rFonts w:ascii="Times New Roman" w:hAnsi="Times New Roman" w:cs="Times New Roman"/>
          <w:sz w:val="24"/>
          <w:szCs w:val="24"/>
        </w:rPr>
        <w:t xml:space="preserve">This research examines the interaction between governmental interventions and community-based efforts in enhancing food security and resilience in rural Tigray. Using mixed methods, including ethnography, surveys, interviews, and secondary data analysis, the study assessed the contributions of external and local initiatives to household adaptive capacity. Findings reveal significant variation in program participation: women-led savings and credit groups had the highest involvement (46%), followed by seed-sharing cooperatives (39%), while conventional grain banks had the lowest (16%). Government support, such as food aid (61%) and the Productive Safety Net </w:t>
      </w:r>
      <w:proofErr w:type="spellStart"/>
      <w:r w:rsidRPr="00A038BB">
        <w:rPr>
          <w:rFonts w:ascii="Times New Roman" w:hAnsi="Times New Roman" w:cs="Times New Roman"/>
          <w:sz w:val="24"/>
          <w:szCs w:val="24"/>
        </w:rPr>
        <w:t>Programme</w:t>
      </w:r>
      <w:proofErr w:type="spellEnd"/>
      <w:r w:rsidRPr="00A038BB">
        <w:rPr>
          <w:rFonts w:ascii="Times New Roman" w:hAnsi="Times New Roman" w:cs="Times New Roman"/>
          <w:sz w:val="24"/>
          <w:szCs w:val="24"/>
        </w:rPr>
        <w:t xml:space="preserve"> (52%), was crucial in the short term but insufficient for sustained resilience. Communities like </w:t>
      </w:r>
      <w:proofErr w:type="spellStart"/>
      <w:r w:rsidRPr="00A038BB">
        <w:rPr>
          <w:rFonts w:ascii="Times New Roman" w:hAnsi="Times New Roman" w:cs="Times New Roman"/>
          <w:sz w:val="24"/>
          <w:szCs w:val="24"/>
        </w:rPr>
        <w:t>Beleso</w:t>
      </w:r>
      <w:proofErr w:type="spellEnd"/>
      <w:r w:rsidRPr="00A038BB">
        <w:rPr>
          <w:rFonts w:ascii="Times New Roman" w:hAnsi="Times New Roman" w:cs="Times New Roman"/>
          <w:sz w:val="24"/>
          <w:szCs w:val="24"/>
        </w:rPr>
        <w:t xml:space="preserve"> and parts of </w:t>
      </w:r>
      <w:proofErr w:type="spellStart"/>
      <w:r w:rsidRPr="00A038BB">
        <w:rPr>
          <w:rFonts w:ascii="Times New Roman" w:hAnsi="Times New Roman" w:cs="Times New Roman"/>
          <w:sz w:val="24"/>
          <w:szCs w:val="24"/>
        </w:rPr>
        <w:t>Agazi</w:t>
      </w:r>
      <w:proofErr w:type="spellEnd"/>
      <w:r w:rsidRPr="00A038BB">
        <w:rPr>
          <w:rFonts w:ascii="Times New Roman" w:hAnsi="Times New Roman" w:cs="Times New Roman"/>
          <w:sz w:val="24"/>
          <w:szCs w:val="24"/>
        </w:rPr>
        <w:t xml:space="preserve">, which relied on strong local initiatives, experienced better recovery (63%) and food security (48%) than </w:t>
      </w:r>
      <w:proofErr w:type="spellStart"/>
      <w:r w:rsidRPr="00A038BB">
        <w:rPr>
          <w:rFonts w:ascii="Times New Roman" w:hAnsi="Times New Roman" w:cs="Times New Roman"/>
          <w:sz w:val="24"/>
          <w:szCs w:val="24"/>
        </w:rPr>
        <w:t>Guahgot</w:t>
      </w:r>
      <w:proofErr w:type="spellEnd"/>
      <w:r w:rsidRPr="00A038BB">
        <w:rPr>
          <w:rFonts w:ascii="Times New Roman" w:hAnsi="Times New Roman" w:cs="Times New Roman"/>
          <w:sz w:val="24"/>
          <w:szCs w:val="24"/>
        </w:rPr>
        <w:t>, which depended mainly on external aid (42% and 28%). Overall, community-driven measures, reinforced by policy support, are essential for lasting resilience.</w:t>
      </w:r>
    </w:p>
    <w:p w14:paraId="213C767F" w14:textId="77777777" w:rsidR="00A038BB" w:rsidRPr="00A024B9" w:rsidRDefault="00A038BB" w:rsidP="00A038BB">
      <w:pPr>
        <w:spacing w:before="100" w:beforeAutospacing="1" w:after="100" w:afterAutospacing="1" w:line="240" w:lineRule="auto"/>
        <w:outlineLvl w:val="2"/>
        <w:rPr>
          <w:rFonts w:ascii="Times New Roman" w:eastAsia="Times New Roman" w:hAnsi="Times New Roman" w:cs="Times New Roman"/>
          <w:b/>
          <w:bCs/>
          <w:sz w:val="24"/>
          <w:szCs w:val="24"/>
        </w:rPr>
      </w:pPr>
    </w:p>
    <w:p w14:paraId="279AA7ED" w14:textId="77777777" w:rsidR="00A038BB" w:rsidRDefault="00A038BB" w:rsidP="00A038BB">
      <w:pPr>
        <w:spacing w:before="100" w:beforeAutospacing="1" w:after="100" w:afterAutospacing="1" w:line="360" w:lineRule="auto"/>
        <w:jc w:val="both"/>
        <w:rPr>
          <w:rFonts w:ascii="Times New Roman" w:eastAsia="Times New Roman" w:hAnsi="Times New Roman" w:cs="Times New Roman"/>
          <w:b/>
          <w:bCs/>
          <w:sz w:val="24"/>
          <w:szCs w:val="24"/>
        </w:rPr>
      </w:pPr>
      <w:proofErr w:type="spellStart"/>
      <w:r w:rsidRPr="00A9561C">
        <w:rPr>
          <w:rFonts w:ascii="Times New Roman" w:eastAsia="Times New Roman" w:hAnsi="Times New Roman" w:cs="Times New Roman"/>
          <w:b/>
          <w:bCs/>
          <w:sz w:val="24"/>
          <w:szCs w:val="24"/>
        </w:rPr>
        <w:t>Keyterms</w:t>
      </w:r>
      <w:proofErr w:type="spellEnd"/>
      <w:r w:rsidRPr="00A9561C">
        <w:rPr>
          <w:rFonts w:ascii="Times New Roman" w:eastAsia="Times New Roman" w:hAnsi="Times New Roman" w:cs="Times New Roman"/>
          <w:b/>
          <w:bCs/>
          <w:sz w:val="24"/>
          <w:szCs w:val="24"/>
        </w:rPr>
        <w:t xml:space="preserve">: Policy Interventions, Community-Based </w:t>
      </w:r>
      <w:proofErr w:type="gramStart"/>
      <w:r w:rsidRPr="00A9561C">
        <w:rPr>
          <w:rFonts w:ascii="Times New Roman" w:eastAsia="Times New Roman" w:hAnsi="Times New Roman" w:cs="Times New Roman"/>
          <w:b/>
          <w:bCs/>
          <w:sz w:val="24"/>
          <w:szCs w:val="24"/>
        </w:rPr>
        <w:t>Initiatives ,</w:t>
      </w:r>
      <w:proofErr w:type="gramEnd"/>
      <w:r w:rsidRPr="00A9561C">
        <w:rPr>
          <w:rFonts w:ascii="Times New Roman" w:eastAsia="Times New Roman" w:hAnsi="Times New Roman" w:cs="Times New Roman"/>
          <w:b/>
          <w:bCs/>
          <w:sz w:val="24"/>
          <w:szCs w:val="24"/>
        </w:rPr>
        <w:t xml:space="preserve"> Food Security , Rural Tigray</w:t>
      </w:r>
    </w:p>
    <w:p w14:paraId="7328F501" w14:textId="77777777" w:rsidR="00A038BB" w:rsidRPr="00A9561C" w:rsidRDefault="00A038BB" w:rsidP="00A038BB">
      <w:pPr>
        <w:spacing w:before="100" w:beforeAutospacing="1" w:after="100" w:afterAutospacing="1" w:line="360" w:lineRule="auto"/>
        <w:jc w:val="both"/>
        <w:rPr>
          <w:rFonts w:ascii="Times New Roman" w:eastAsia="Times New Roman" w:hAnsi="Times New Roman" w:cs="Times New Roman"/>
          <w:b/>
          <w:bCs/>
          <w:sz w:val="24"/>
          <w:szCs w:val="24"/>
        </w:rPr>
      </w:pPr>
    </w:p>
    <w:p w14:paraId="054C1344" w14:textId="77777777" w:rsidR="00A038BB" w:rsidRPr="00A9561C" w:rsidRDefault="00A038BB" w:rsidP="00A038BB">
      <w:pPr>
        <w:rPr>
          <w:rFonts w:ascii="Times New Roman" w:hAnsi="Times New Roman" w:cs="Times New Roman"/>
          <w:b/>
          <w:sz w:val="24"/>
          <w:szCs w:val="24"/>
        </w:rPr>
      </w:pPr>
      <w:bookmarkStart w:id="1" w:name="_Toc183067646"/>
      <w:r w:rsidRPr="00A9561C">
        <w:rPr>
          <w:rFonts w:ascii="Times New Roman" w:hAnsi="Times New Roman" w:cs="Times New Roman"/>
          <w:b/>
          <w:sz w:val="24"/>
          <w:szCs w:val="24"/>
        </w:rPr>
        <w:t>1. Background to the Study</w:t>
      </w:r>
    </w:p>
    <w:p w14:paraId="528BBA65" w14:textId="77777777" w:rsidR="00A038BB" w:rsidRPr="00A9561C" w:rsidRDefault="00A038BB" w:rsidP="00A038BB">
      <w:pPr>
        <w:jc w:val="both"/>
        <w:rPr>
          <w:rFonts w:ascii="Times New Roman" w:hAnsi="Times New Roman" w:cs="Times New Roman"/>
          <w:sz w:val="24"/>
          <w:szCs w:val="24"/>
        </w:rPr>
      </w:pPr>
    </w:p>
    <w:p w14:paraId="557A925A"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Food insecurity, which is characterized as limited or unpredictable access to enough nourishing food for a healthy life, affects around 2 billion people worldwide, particularly in Asia, Latin America, and Africa (FAO, 2019). More than 92% of people battle hunger in Sub-Saharan Africa, the region with the worst food insecurity (</w:t>
      </w:r>
      <w:proofErr w:type="spellStart"/>
      <w:r w:rsidRPr="00A9561C">
        <w:rPr>
          <w:rFonts w:ascii="Times New Roman" w:hAnsi="Times New Roman" w:cs="Times New Roman"/>
          <w:sz w:val="24"/>
          <w:szCs w:val="24"/>
        </w:rPr>
        <w:t>Icheria</w:t>
      </w:r>
      <w:proofErr w:type="spellEnd"/>
      <w:r w:rsidRPr="00A9561C">
        <w:rPr>
          <w:rFonts w:ascii="Times New Roman" w:hAnsi="Times New Roman" w:cs="Times New Roman"/>
          <w:sz w:val="24"/>
          <w:szCs w:val="24"/>
        </w:rPr>
        <w:t xml:space="preserve">, 2012).  In Ethiopia, roughly 20.5% of families face food insecurity, with rural regions bearing a disproportionate impact (Tefera &amp; </w:t>
      </w:r>
      <w:r w:rsidRPr="00A9561C">
        <w:rPr>
          <w:rFonts w:ascii="Times New Roman" w:hAnsi="Times New Roman" w:cs="Times New Roman"/>
          <w:sz w:val="24"/>
          <w:szCs w:val="24"/>
        </w:rPr>
        <w:lastRenderedPageBreak/>
        <w:t xml:space="preserve">Tefera, 2014). This challenge is compounded by climate change, socio-economic disparities, and political instability, which affect agricultural output and availability to food (IPCC, 2022). </w:t>
      </w:r>
    </w:p>
    <w:p w14:paraId="5A4D627B" w14:textId="77777777" w:rsidR="00A038BB" w:rsidRPr="00A9561C" w:rsidRDefault="00A038BB" w:rsidP="00A038BB">
      <w:pPr>
        <w:spacing w:after="240" w:line="360" w:lineRule="auto"/>
        <w:jc w:val="both"/>
        <w:rPr>
          <w:rFonts w:ascii="Times New Roman" w:hAnsi="Times New Roman" w:cs="Times New Roman"/>
          <w:sz w:val="24"/>
          <w:szCs w:val="24"/>
        </w:rPr>
      </w:pPr>
      <w:r w:rsidRPr="00A9561C">
        <w:rPr>
          <w:rFonts w:ascii="Times New Roman" w:hAnsi="Times New Roman" w:cs="Times New Roman"/>
          <w:sz w:val="24"/>
          <w:szCs w:val="24"/>
        </w:rPr>
        <w:br/>
        <w:t xml:space="preserve">Rural Ethiopia confronts major problems, particularly in places like Tigray, where dependence on subsistence farming and limited resources leave populations susceptible to food insecurity. Climate variability, including droughts and floods, affects agricultural yields and worsens poverty, since many rural people resort to coping tactics including selling assets or lowering food consumption (Negash &amp; Alemu, 2013). Despite attempts like climate-smart agriculture, problems such as poor infrastructure and limited finance restrict development (Mekonnen &amp; Gebremedhin, 2020). </w:t>
      </w:r>
    </w:p>
    <w:p w14:paraId="65C7F614" w14:textId="77777777" w:rsidR="00A038BB" w:rsidRPr="00A9561C" w:rsidRDefault="00A038BB" w:rsidP="00A038BB">
      <w:pPr>
        <w:pStyle w:val="NormalWeb"/>
        <w:spacing w:line="360" w:lineRule="auto"/>
        <w:jc w:val="both"/>
      </w:pPr>
      <w:r w:rsidRPr="00A9561C">
        <w:t>The socio-political environment further compounds food insecurity in Ethiopia. Policy reforms focusing on rural infrastructure, agricultural services, and market access are essential, as are strategies to address land tenure instability and gender inequality (IFPRI, 2021; Taye et al., 2023). Additionally, global economic crises, including the COVID-19 pandemic, have heightened food scarcity by inflating prices and destabilizing supply chains, particularly for food imports like wheat (USAID, 2023). Tigray, heavily reliant on subsistence farming, is particularly vulnerable to these stresses. The region's communities often resort to drastic measures, such as selling household items or withdrawing children from school, to survive (</w:t>
      </w:r>
      <w:proofErr w:type="spellStart"/>
      <w:r w:rsidRPr="00A9561C">
        <w:t>Birara</w:t>
      </w:r>
      <w:proofErr w:type="spellEnd"/>
      <w:r w:rsidRPr="00A9561C">
        <w:t xml:space="preserve"> et al., 2015). This ethnographical account aims to explore the availability of resources and their impact on food security in rural Tigray, shedding light on local coping mechanisms and resilience strategies.</w:t>
      </w:r>
    </w:p>
    <w:p w14:paraId="43383E99" w14:textId="77777777" w:rsidR="00A038BB" w:rsidRPr="00A9561C" w:rsidRDefault="00A038BB" w:rsidP="00A038BB">
      <w:pPr>
        <w:pStyle w:val="Heading2"/>
        <w:spacing w:line="360" w:lineRule="auto"/>
        <w:jc w:val="both"/>
        <w:rPr>
          <w:rFonts w:ascii="Times New Roman" w:hAnsi="Times New Roman" w:cs="Times New Roman"/>
          <w:b/>
          <w:color w:val="auto"/>
          <w:sz w:val="24"/>
          <w:szCs w:val="24"/>
          <w:lang w:val="en-GB" w:eastAsia="en-GB"/>
        </w:rPr>
      </w:pPr>
      <w:r w:rsidRPr="00A9561C">
        <w:rPr>
          <w:rFonts w:ascii="Times New Roman" w:hAnsi="Times New Roman" w:cs="Times New Roman"/>
          <w:b/>
          <w:color w:val="auto"/>
          <w:sz w:val="24"/>
          <w:szCs w:val="24"/>
          <w:lang w:val="en-GB" w:eastAsia="en-GB"/>
        </w:rPr>
        <w:t>3.Empirical Research: A Review</w:t>
      </w:r>
      <w:bookmarkEnd w:id="1"/>
    </w:p>
    <w:p w14:paraId="5FC64B8C" w14:textId="77777777" w:rsidR="00A038BB" w:rsidRPr="00A9561C" w:rsidRDefault="00A038BB" w:rsidP="00A038BB">
      <w:pPr>
        <w:spacing w:after="0" w:line="360" w:lineRule="auto"/>
        <w:jc w:val="both"/>
        <w:rPr>
          <w:rFonts w:ascii="Times New Roman" w:hAnsi="Times New Roman" w:cs="Times New Roman"/>
          <w:sz w:val="24"/>
          <w:szCs w:val="24"/>
          <w:lang w:val="en-GB" w:eastAsia="en-GB"/>
        </w:rPr>
      </w:pPr>
      <w:r w:rsidRPr="00A9561C">
        <w:rPr>
          <w:rFonts w:ascii="Times New Roman" w:hAnsi="Times New Roman" w:cs="Times New Roman"/>
          <w:sz w:val="24"/>
          <w:szCs w:val="24"/>
          <w:lang w:val="en-GB" w:eastAsia="en-GB"/>
        </w:rPr>
        <w:t xml:space="preserve">Review Almost 29% of people globally suffered food insecurity in 2021, with sub-Saharan Africa carrying a disproportionate share of the burden. Repeated droughts, increasing food prices, and violence intensify the situation in Ethiopia, particularly in Tigray, where over 20 million people suffer from extreme food insecurity.  </w:t>
      </w:r>
      <w:r w:rsidRPr="00A9561C">
        <w:rPr>
          <w:rFonts w:ascii="Times New Roman" w:hAnsi="Times New Roman" w:cs="Times New Roman"/>
          <w:sz w:val="24"/>
          <w:szCs w:val="24"/>
          <w:shd w:val="clear" w:color="auto" w:fill="FFFFFF"/>
        </w:rPr>
        <w:t xml:space="preserve">While novel solutions like small-scale irrigation and climate-smart agriculture (CSA) help decrease food poverty, obstacles such as restricted technological availability and poor institutional support continue. Addressing structural concerns like land tenure and market access is vital for long-term solutions (SIPRI, 2020; FSIN, 2023; </w:t>
      </w:r>
      <w:proofErr w:type="spellStart"/>
      <w:r w:rsidRPr="00A9561C">
        <w:rPr>
          <w:rFonts w:ascii="Times New Roman" w:hAnsi="Times New Roman" w:cs="Times New Roman"/>
          <w:sz w:val="24"/>
          <w:szCs w:val="24"/>
          <w:shd w:val="clear" w:color="auto" w:fill="FFFFFF"/>
        </w:rPr>
        <w:t>Gebeyanesh</w:t>
      </w:r>
      <w:proofErr w:type="spellEnd"/>
      <w:r w:rsidRPr="00A9561C">
        <w:rPr>
          <w:rFonts w:ascii="Times New Roman" w:hAnsi="Times New Roman" w:cs="Times New Roman"/>
          <w:sz w:val="24"/>
          <w:szCs w:val="24"/>
          <w:shd w:val="clear" w:color="auto" w:fill="FFFFFF"/>
        </w:rPr>
        <w:t xml:space="preserve"> et al., 2023). </w:t>
      </w:r>
    </w:p>
    <w:p w14:paraId="554D1D23" w14:textId="77777777" w:rsidR="00A038BB" w:rsidRPr="00A9561C" w:rsidRDefault="00A038BB" w:rsidP="00A038BB">
      <w:pPr>
        <w:spacing w:before="100" w:beforeAutospacing="1" w:afterAutospacing="1" w:line="360" w:lineRule="auto"/>
        <w:jc w:val="both"/>
        <w:rPr>
          <w:rFonts w:ascii="Times New Roman" w:eastAsia="Calibri" w:hAnsi="Times New Roman" w:cs="Times New Roman"/>
          <w:sz w:val="24"/>
          <w:szCs w:val="24"/>
          <w:shd w:val="clear" w:color="auto" w:fill="FFFFFF"/>
        </w:rPr>
      </w:pPr>
      <w:r w:rsidRPr="00A9561C">
        <w:rPr>
          <w:rFonts w:ascii="Times New Roman" w:hAnsi="Times New Roman" w:cs="Times New Roman"/>
          <w:sz w:val="24"/>
          <w:szCs w:val="24"/>
          <w:lang w:val="en-GB" w:eastAsia="en-GB"/>
        </w:rPr>
        <w:lastRenderedPageBreak/>
        <w:t xml:space="preserve">Food insecurity is defined by FAO as a situation when people do not have regular access to sufficient, safe, and nutritious food. There are four factors that prevent it, these are stability, use, accessibility and availability. The problem is especially widespread in sub-Saharan Africa, where grim poverty, environmental degradation and economic instability worsen vulnerability to food insecurity (FAO, 2022). Food insecurity in Tigray leads to severe hunger and malnutrition, but with a cyclical impact worsened by periodic droughts, political turmoil, and the loss of agricultural infrastructure (WFP, 2021). </w:t>
      </w:r>
      <w:r w:rsidRPr="00A9561C">
        <w:rPr>
          <w:rFonts w:ascii="Times New Roman" w:hAnsi="Times New Roman" w:cs="Times New Roman"/>
          <w:sz w:val="24"/>
          <w:szCs w:val="24"/>
          <w:shd w:val="clear" w:color="auto" w:fill="FFFFFF"/>
        </w:rPr>
        <w:t xml:space="preserve">Food insecurity in Tigray is influenced by numerous connected variables. Climate change plays a key effect, with erratic rainfall patterns and periodic droughts adversely hurting agricultural production, lowering both food crops and cattle. </w:t>
      </w:r>
    </w:p>
    <w:p w14:paraId="0A63BB68" w14:textId="77777777" w:rsidR="00A038BB" w:rsidRPr="00A9561C" w:rsidRDefault="00A038BB" w:rsidP="00A038BB">
      <w:pPr>
        <w:spacing w:before="100" w:beforeAutospacing="1" w:afterAutospacing="1" w:line="360" w:lineRule="auto"/>
        <w:jc w:val="both"/>
        <w:rPr>
          <w:rFonts w:ascii="Times New Roman" w:hAnsi="Times New Roman" w:cs="Times New Roman"/>
          <w:sz w:val="24"/>
          <w:szCs w:val="24"/>
          <w:lang w:val="en-GB" w:eastAsia="en-GB"/>
        </w:rPr>
      </w:pPr>
      <w:r w:rsidRPr="00A9561C">
        <w:rPr>
          <w:rFonts w:ascii="Times New Roman" w:hAnsi="Times New Roman" w:cs="Times New Roman"/>
          <w:sz w:val="24"/>
          <w:szCs w:val="24"/>
          <w:shd w:val="clear" w:color="auto" w:fill="FFFFFF"/>
        </w:rPr>
        <w:t>The continuous fighting and political instability in the area further worsen the situation, since the displacement of farmers and the loss of essential infrastructure restrict food production and limit access to markets (</w:t>
      </w:r>
      <w:proofErr w:type="spellStart"/>
      <w:r w:rsidRPr="00A9561C">
        <w:rPr>
          <w:rFonts w:ascii="Times New Roman" w:hAnsi="Times New Roman" w:cs="Times New Roman"/>
          <w:sz w:val="24"/>
          <w:szCs w:val="24"/>
          <w:shd w:val="clear" w:color="auto" w:fill="FFFFFF"/>
        </w:rPr>
        <w:t>Mengisteab</w:t>
      </w:r>
      <w:proofErr w:type="spellEnd"/>
      <w:r w:rsidRPr="00A9561C">
        <w:rPr>
          <w:rFonts w:ascii="Times New Roman" w:hAnsi="Times New Roman" w:cs="Times New Roman"/>
          <w:sz w:val="24"/>
          <w:szCs w:val="24"/>
          <w:shd w:val="clear" w:color="auto" w:fill="FFFFFF"/>
        </w:rPr>
        <w:t xml:space="preserve">, 2019). </w:t>
      </w:r>
      <w:r w:rsidRPr="00A9561C">
        <w:rPr>
          <w:rFonts w:ascii="Times New Roman" w:hAnsi="Times New Roman" w:cs="Times New Roman"/>
          <w:sz w:val="24"/>
          <w:szCs w:val="24"/>
          <w:lang w:val="en-GB" w:eastAsia="en-GB"/>
        </w:rPr>
        <w:t>The crisis is also exacerbated by socioeconomic and economic issues; high rates of poverty, restricted market access, and poor infrastructure make it hard for rural communities—particularly smallholder farmers to obtain the resources required to increase productivity and enhance food security (Hagos et al., 2022). A Viewpoint from Anthropology on Food Insecurity From an anthropological viewpoint, food insecurity is a product of various social, economic, and cultural variables rather than simply a shortage of food.</w:t>
      </w:r>
    </w:p>
    <w:p w14:paraId="2F1949A4" w14:textId="77777777" w:rsidR="00A038BB" w:rsidRPr="00A9561C" w:rsidRDefault="00A038BB" w:rsidP="00A038BB">
      <w:pPr>
        <w:spacing w:after="0" w:line="360" w:lineRule="auto"/>
        <w:jc w:val="both"/>
        <w:rPr>
          <w:rFonts w:ascii="Times New Roman" w:eastAsia="Calibri" w:hAnsi="Times New Roman" w:cs="Times New Roman"/>
          <w:sz w:val="24"/>
          <w:szCs w:val="24"/>
          <w:lang w:val="en-GB" w:eastAsia="en-GB"/>
        </w:rPr>
      </w:pPr>
      <w:r w:rsidRPr="00A9561C">
        <w:rPr>
          <w:rFonts w:ascii="Times New Roman" w:hAnsi="Times New Roman" w:cs="Times New Roman"/>
          <w:sz w:val="24"/>
          <w:szCs w:val="24"/>
          <w:shd w:val="clear" w:color="auto" w:fill="FFFFFF"/>
        </w:rPr>
        <w:t>The allocation of food and resources is determined by social status, power dynamics, and cultural beliefs. In Tigray, the political past and continuing wars have changed agricultural systems and resource distribution, which complicates food security further. Ethnographic approaches aid in understanding how communities manage with food shortage, utilizing traditional knowledge and local food systems to adapt to environmental and socioeconomic changes (Gebrehiwot &amp; van der Veen, 2021). Conclusion addressing food poverty in Tigray needs a multi-faceted strategy that incorporates climatic resilience, conflict settlement, and sustainable farming techniques. Policies should encourage adaptable agricultural practices, boost market access, and solve socio-political problems. Anthropological insights into local food systems and coping strategies might influence the creation of context-specific treatments that correspond with the cultural and social demands of impacted populations. Sustainable resource management and competent governance will be important in creating resilience against future food crises.</w:t>
      </w:r>
    </w:p>
    <w:p w14:paraId="782AEFA4" w14:textId="77777777" w:rsidR="00A038BB" w:rsidRPr="00A9561C" w:rsidRDefault="00A038BB" w:rsidP="00A038BB">
      <w:pPr>
        <w:pStyle w:val="Heading2"/>
        <w:jc w:val="both"/>
        <w:rPr>
          <w:rFonts w:ascii="Times New Roman" w:hAnsi="Times New Roman" w:cs="Times New Roman"/>
          <w:b/>
          <w:color w:val="auto"/>
          <w:sz w:val="24"/>
          <w:szCs w:val="24"/>
        </w:rPr>
      </w:pPr>
      <w:bookmarkStart w:id="2" w:name="_Toc183067650"/>
      <w:r w:rsidRPr="00A9561C">
        <w:rPr>
          <w:rFonts w:ascii="Times New Roman" w:hAnsi="Times New Roman" w:cs="Times New Roman"/>
          <w:color w:val="auto"/>
          <w:sz w:val="24"/>
          <w:szCs w:val="24"/>
          <w:lang w:val="en-GB"/>
        </w:rPr>
        <w:lastRenderedPageBreak/>
        <w:t xml:space="preserve"> 4.</w:t>
      </w:r>
      <w:r w:rsidRPr="00A9561C">
        <w:rPr>
          <w:rFonts w:ascii="Times New Roman" w:hAnsi="Times New Roman" w:cs="Times New Roman"/>
          <w:b/>
          <w:color w:val="auto"/>
          <w:sz w:val="24"/>
          <w:szCs w:val="24"/>
        </w:rPr>
        <w:t>Theoretical Frameworks: A Review</w:t>
      </w:r>
      <w:bookmarkEnd w:id="2"/>
    </w:p>
    <w:p w14:paraId="22386955" w14:textId="77777777" w:rsidR="00A038BB" w:rsidRPr="00A9561C" w:rsidRDefault="00A038BB" w:rsidP="00A038BB">
      <w:pPr>
        <w:spacing w:after="0"/>
        <w:jc w:val="both"/>
        <w:rPr>
          <w:rFonts w:ascii="Times New Roman" w:hAnsi="Times New Roman" w:cs="Times New Roman"/>
          <w:sz w:val="24"/>
          <w:szCs w:val="24"/>
        </w:rPr>
      </w:pPr>
    </w:p>
    <w:p w14:paraId="692D9401" w14:textId="77777777" w:rsidR="00A038BB" w:rsidRPr="00A9561C" w:rsidRDefault="00A038BB" w:rsidP="00A038BB">
      <w:pPr>
        <w:spacing w:after="0" w:line="360" w:lineRule="auto"/>
        <w:jc w:val="both"/>
        <w:rPr>
          <w:rFonts w:ascii="Times New Roman" w:hAnsi="Times New Roman" w:cs="Times New Roman"/>
          <w:sz w:val="24"/>
          <w:szCs w:val="24"/>
          <w:lang w:val="en-GB" w:eastAsia="en-GB"/>
        </w:rPr>
      </w:pPr>
      <w:r w:rsidRPr="00A9561C">
        <w:rPr>
          <w:rFonts w:ascii="Times New Roman" w:hAnsi="Times New Roman" w:cs="Times New Roman"/>
          <w:sz w:val="24"/>
          <w:szCs w:val="24"/>
          <w:lang w:val="en-GB" w:eastAsia="en-GB"/>
        </w:rPr>
        <w:t xml:space="preserve">This research takes an interdisciplinary approach that mixes ecological, social, and economic systems to analyse resource availability and its influence on food security in rural Tigray, Ethiopia. Climate change, economic inequality, and unsustainable agriculture systems are important worldwide drivers to food insecurity. Yaro’s (2004) method exposes threats from ecological and socio-economic causes but fails to address persistent imbalances in resource allocation and policy-making. In contrast, Peng’s (2018) sociotype ecological paradigm stresses the relationship between social systems and ecological repercussions, advocating for community-specific solutions. Dryland (2020) intensifies gender inequities, underlining the need for gender-sensitive methods in tackling food poverty, notably in Africa. Livelihood diversification, as examined by Bailey (2016) and Kasie (2018), is a vital method in rural settings, allowing people cope to environmental unpredictability and economic limits. </w:t>
      </w:r>
    </w:p>
    <w:p w14:paraId="1493D810" w14:textId="77777777" w:rsidR="00A038BB" w:rsidRPr="00A9561C" w:rsidRDefault="00A038BB" w:rsidP="00A038BB">
      <w:pPr>
        <w:spacing w:after="0"/>
        <w:jc w:val="both"/>
        <w:rPr>
          <w:rFonts w:ascii="Times New Roman" w:hAnsi="Times New Roman" w:cs="Times New Roman"/>
          <w:sz w:val="24"/>
          <w:szCs w:val="24"/>
          <w:lang w:val="en-GB" w:eastAsia="en-GB"/>
        </w:rPr>
      </w:pPr>
    </w:p>
    <w:p w14:paraId="06D48E4C" w14:textId="77777777" w:rsidR="00A038BB" w:rsidRPr="00A9561C" w:rsidRDefault="00A038BB" w:rsidP="00A038BB">
      <w:pPr>
        <w:spacing w:after="0" w:line="360" w:lineRule="auto"/>
        <w:jc w:val="both"/>
        <w:rPr>
          <w:rFonts w:ascii="Times New Roman" w:hAnsi="Times New Roman" w:cs="Times New Roman"/>
          <w:sz w:val="24"/>
          <w:szCs w:val="24"/>
          <w:lang w:val="en-GB" w:eastAsia="en-GB"/>
        </w:rPr>
      </w:pPr>
      <w:r w:rsidRPr="00A9561C">
        <w:rPr>
          <w:rFonts w:ascii="Times New Roman" w:hAnsi="Times New Roman" w:cs="Times New Roman"/>
          <w:sz w:val="24"/>
          <w:szCs w:val="24"/>
          <w:lang w:val="en-GB" w:eastAsia="en-GB"/>
        </w:rPr>
        <w:t>However, Pelletier (2016) disputes resilience theories, arguing for context-specific solutions that include historical and socio-political aspects. In the setting of rural Tigray, Ethiopia, this research blends Ecosystem Theory, the Sustainable Livelihood Framework (SLF), and Resilience Theory to analyse the multiple concerns of food security. Ecosystem Theory underlines the necessity of sustaining balance in human-environment connections, particularly in vulnerable ecosystems like Tigray, where sustainable land management practices are important to combating soil degradation and resource depletion (</w:t>
      </w:r>
      <w:proofErr w:type="spellStart"/>
      <w:r w:rsidRPr="00A9561C">
        <w:rPr>
          <w:rFonts w:ascii="Times New Roman" w:hAnsi="Times New Roman" w:cs="Times New Roman"/>
          <w:sz w:val="24"/>
          <w:szCs w:val="24"/>
          <w:lang w:val="en-GB" w:eastAsia="en-GB"/>
        </w:rPr>
        <w:t>Varyvoda</w:t>
      </w:r>
      <w:proofErr w:type="spellEnd"/>
      <w:r w:rsidRPr="00A9561C">
        <w:rPr>
          <w:rFonts w:ascii="Times New Roman" w:hAnsi="Times New Roman" w:cs="Times New Roman"/>
          <w:sz w:val="24"/>
          <w:szCs w:val="24"/>
          <w:lang w:val="en-GB" w:eastAsia="en-GB"/>
        </w:rPr>
        <w:t>, 2022).</w:t>
      </w:r>
    </w:p>
    <w:p w14:paraId="23639ABB" w14:textId="77777777" w:rsidR="00A038BB" w:rsidRPr="00A9561C" w:rsidRDefault="00A038BB" w:rsidP="00A038BB">
      <w:pPr>
        <w:spacing w:after="0" w:line="360" w:lineRule="auto"/>
        <w:jc w:val="both"/>
        <w:rPr>
          <w:rFonts w:ascii="Times New Roman" w:hAnsi="Times New Roman" w:cs="Times New Roman"/>
          <w:sz w:val="24"/>
          <w:szCs w:val="24"/>
          <w:lang w:val="en-GB" w:eastAsia="en-GB"/>
        </w:rPr>
      </w:pPr>
    </w:p>
    <w:p w14:paraId="3F33B659" w14:textId="77777777" w:rsidR="00A038BB" w:rsidRPr="00A9561C" w:rsidRDefault="00A038BB" w:rsidP="00A038BB">
      <w:pPr>
        <w:spacing w:after="0" w:line="360" w:lineRule="auto"/>
        <w:jc w:val="both"/>
        <w:rPr>
          <w:rFonts w:ascii="Times New Roman" w:eastAsia="Calibri" w:hAnsi="Times New Roman" w:cs="Times New Roman"/>
          <w:sz w:val="24"/>
          <w:szCs w:val="24"/>
        </w:rPr>
      </w:pPr>
      <w:r w:rsidRPr="00A9561C">
        <w:rPr>
          <w:rFonts w:ascii="Times New Roman" w:hAnsi="Times New Roman" w:cs="Times New Roman"/>
          <w:noProof/>
          <w:sz w:val="24"/>
          <w:szCs w:val="24"/>
          <w:shd w:val="clear" w:color="auto" w:fill="FFFFFF"/>
        </w:rPr>
        <w:lastRenderedPageBreak/>
        <w:drawing>
          <wp:inline distT="0" distB="0" distL="0" distR="0" wp14:anchorId="36C50271" wp14:editId="3EFB7F12">
            <wp:extent cx="5419725" cy="3248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3248025"/>
                    </a:xfrm>
                    <a:prstGeom prst="rect">
                      <a:avLst/>
                    </a:prstGeom>
                    <a:noFill/>
                    <a:ln>
                      <a:noFill/>
                    </a:ln>
                  </pic:spPr>
                </pic:pic>
              </a:graphicData>
            </a:graphic>
          </wp:inline>
        </w:drawing>
      </w:r>
    </w:p>
    <w:p w14:paraId="3DE759EF" w14:textId="77777777" w:rsidR="00A038BB" w:rsidRPr="00A9561C" w:rsidRDefault="00A038BB" w:rsidP="00A038BB">
      <w:pPr>
        <w:pStyle w:val="Heading1"/>
        <w:ind w:left="1168" w:hanging="720"/>
        <w:rPr>
          <w:rFonts w:ascii="Times New Roman" w:hAnsi="Times New Roman" w:cs="Times New Roman"/>
          <w:color w:val="auto"/>
          <w:sz w:val="24"/>
          <w:szCs w:val="24"/>
        </w:rPr>
      </w:pPr>
      <w:bookmarkStart w:id="3" w:name="_Toc182989741"/>
      <w:bookmarkStart w:id="4" w:name="_Toc183067651"/>
      <w:r w:rsidRPr="00A9561C">
        <w:rPr>
          <w:rFonts w:ascii="Times New Roman" w:hAnsi="Times New Roman" w:cs="Times New Roman"/>
          <w:color w:val="auto"/>
          <w:sz w:val="24"/>
          <w:szCs w:val="24"/>
          <w:shd w:val="clear" w:color="auto" w:fill="FFFFFF"/>
        </w:rPr>
        <w:t xml:space="preserve">Figure.1: </w:t>
      </w:r>
      <w:r w:rsidRPr="00A9561C">
        <w:rPr>
          <w:rFonts w:ascii="Times New Roman" w:hAnsi="Times New Roman" w:cs="Times New Roman"/>
          <w:color w:val="auto"/>
          <w:sz w:val="24"/>
          <w:szCs w:val="24"/>
        </w:rPr>
        <w:t xml:space="preserve">  Theoretical Diagram that Illustrates the Interplay between Ecosystem Theory, Sustainable Livelihood Framework and Resilience Theory </w:t>
      </w:r>
      <w:bookmarkEnd w:id="3"/>
      <w:bookmarkEnd w:id="4"/>
    </w:p>
    <w:p w14:paraId="6F720B59" w14:textId="77777777" w:rsidR="00A038BB" w:rsidRPr="00A9561C" w:rsidRDefault="00A038BB" w:rsidP="00A038BB">
      <w:pPr>
        <w:spacing w:after="0" w:line="360" w:lineRule="auto"/>
        <w:jc w:val="both"/>
        <w:rPr>
          <w:rFonts w:ascii="Times New Roman" w:hAnsi="Times New Roman" w:cs="Times New Roman"/>
          <w:sz w:val="24"/>
          <w:szCs w:val="24"/>
          <w:lang w:val="en-GB" w:eastAsia="en-GB"/>
        </w:rPr>
      </w:pPr>
    </w:p>
    <w:p w14:paraId="052A5A42" w14:textId="77777777" w:rsidR="00A038BB" w:rsidRPr="00A9561C" w:rsidRDefault="00A038BB" w:rsidP="00A038BB">
      <w:pPr>
        <w:spacing w:after="0" w:line="360" w:lineRule="auto"/>
        <w:jc w:val="both"/>
        <w:rPr>
          <w:rFonts w:ascii="Times New Roman" w:eastAsia="Calibri" w:hAnsi="Times New Roman" w:cs="Times New Roman"/>
          <w:sz w:val="24"/>
          <w:szCs w:val="24"/>
        </w:rPr>
      </w:pPr>
      <w:r w:rsidRPr="00A9561C">
        <w:rPr>
          <w:rFonts w:ascii="Times New Roman" w:hAnsi="Times New Roman" w:cs="Times New Roman"/>
          <w:sz w:val="24"/>
          <w:szCs w:val="24"/>
          <w:lang w:val="en-GB" w:eastAsia="en-GB"/>
        </w:rPr>
        <w:t>SLF explores how rural people harness natural, financial, and social capital to cope with environmental pressures such as drought and market instability. Resilience Theory, on the other hand, underlines the requirement of adaptive strategies like climate-smart agriculture and community-based resource management to help communities bounce back from calamities. These integrated frameworks present a full strategy for studying subsistence patterns and food insecurity in Tigray. By addressing underlying vulnerabilities and integrating sustainable practices, the project intends to offer culturally informed and structurally transformational interventions that promote food security and resilience in the area.</w:t>
      </w:r>
    </w:p>
    <w:p w14:paraId="44D55272" w14:textId="77777777" w:rsidR="00A038BB" w:rsidRPr="00A9561C" w:rsidRDefault="00A038BB" w:rsidP="00A038BB">
      <w:pPr>
        <w:rPr>
          <w:rFonts w:ascii="Times New Roman" w:hAnsi="Times New Roman" w:cs="Times New Roman"/>
          <w:b/>
          <w:sz w:val="24"/>
          <w:szCs w:val="24"/>
        </w:rPr>
      </w:pPr>
      <w:r w:rsidRPr="00A9561C">
        <w:rPr>
          <w:rFonts w:ascii="Times New Roman" w:hAnsi="Times New Roman" w:cs="Times New Roman"/>
          <w:b/>
          <w:sz w:val="24"/>
          <w:szCs w:val="24"/>
        </w:rPr>
        <w:t>5. Conceptual Framework of the Study</w:t>
      </w:r>
    </w:p>
    <w:p w14:paraId="46C8A94B" w14:textId="77777777" w:rsidR="00A038BB" w:rsidRPr="00A9561C" w:rsidRDefault="00A038BB" w:rsidP="00A038BB">
      <w:pPr>
        <w:rPr>
          <w:rFonts w:ascii="Times New Roman" w:hAnsi="Times New Roman" w:cs="Times New Roman"/>
          <w:sz w:val="24"/>
          <w:szCs w:val="24"/>
        </w:rPr>
      </w:pPr>
    </w:p>
    <w:p w14:paraId="1B137FD6"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 xml:space="preserve">This study developed a conceptual framework that integrates political economics and cultural ecology theories to examine subsistence practices, food insecurity, and adaptive mechanisms in rural Tigray. The framework focuses on the relationship between traditional agricultural techniques, socio-cultural components, and external influences. In rural Tigray, traditional farming techniques, which relied on rainfall and were impacted by socio-cultural variables such </w:t>
      </w:r>
      <w:r w:rsidRPr="00A9561C">
        <w:rPr>
          <w:rFonts w:ascii="Times New Roman" w:hAnsi="Times New Roman" w:cs="Times New Roman"/>
          <w:sz w:val="24"/>
          <w:szCs w:val="24"/>
        </w:rPr>
        <w:lastRenderedPageBreak/>
        <w:t>as social networks, land tenure, and resource availability, were crucial to subsistence patterns and agricultural productivity, directly effecting food security. External forces, including political instability, economic policies, and climate change, intensified food insecurity by increasing socio-economic inequality and environmental stress. Households responded with coping techniques, such as moving, diversifying subsistence activities, and leaning on social support networks, which reinforced their resistance to harsh conditions. The theme of resilience was crucial to this strategy, underlining a household’s potential to tolerate and recover from both short-term food shortages and long-term environmental and socio-economic changes. By incorporating these components, the framework explored how conventional farming practices, external restrictions, and socio-cultural factors affected food security and coping strategies. Through this technique, the study tried to reveal insights into the efficiency of both traditional and current coping strategies. The findings were designed to inform interventions aimed at enhancing food security and community resilience in rural Tigray, embracing local customs and socio-cultural features, finally contributing to sustainable living in the region.</w:t>
      </w:r>
    </w:p>
    <w:p w14:paraId="561BE332" w14:textId="77777777" w:rsidR="00A038BB" w:rsidRPr="00A9561C" w:rsidRDefault="00A038BB" w:rsidP="00A038BB">
      <w:pPr>
        <w:spacing w:line="360" w:lineRule="auto"/>
        <w:jc w:val="both"/>
        <w:rPr>
          <w:rFonts w:ascii="Times New Roman" w:eastAsia="Calibri" w:hAnsi="Times New Roman" w:cs="Times New Roman"/>
          <w:sz w:val="24"/>
          <w:szCs w:val="24"/>
        </w:rPr>
      </w:pPr>
      <w:r w:rsidRPr="00A9561C">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51469D18" wp14:editId="1D058D78">
            <wp:simplePos x="0" y="0"/>
            <wp:positionH relativeFrom="column">
              <wp:posOffset>57150</wp:posOffset>
            </wp:positionH>
            <wp:positionV relativeFrom="paragraph">
              <wp:posOffset>155575</wp:posOffset>
            </wp:positionV>
            <wp:extent cx="5133975" cy="332295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3322955"/>
                    </a:xfrm>
                    <a:prstGeom prst="rect">
                      <a:avLst/>
                    </a:prstGeom>
                    <a:noFill/>
                  </pic:spPr>
                </pic:pic>
              </a:graphicData>
            </a:graphic>
            <wp14:sizeRelH relativeFrom="margin">
              <wp14:pctWidth>0</wp14:pctWidth>
            </wp14:sizeRelH>
            <wp14:sizeRelV relativeFrom="margin">
              <wp14:pctHeight>0</wp14:pctHeight>
            </wp14:sizeRelV>
          </wp:anchor>
        </w:drawing>
      </w:r>
    </w:p>
    <w:p w14:paraId="06E7E6AF" w14:textId="77777777" w:rsidR="00A038BB" w:rsidRPr="00A9561C" w:rsidRDefault="00A038BB" w:rsidP="00A038BB">
      <w:pPr>
        <w:jc w:val="both"/>
        <w:rPr>
          <w:rFonts w:ascii="Times New Roman" w:hAnsi="Times New Roman" w:cs="Times New Roman"/>
          <w:sz w:val="24"/>
          <w:szCs w:val="24"/>
        </w:rPr>
      </w:pPr>
    </w:p>
    <w:p w14:paraId="0989822C" w14:textId="77777777" w:rsidR="00A038BB" w:rsidRPr="00A9561C" w:rsidRDefault="00A038BB" w:rsidP="00A038BB">
      <w:pPr>
        <w:jc w:val="both"/>
        <w:rPr>
          <w:rFonts w:ascii="Times New Roman" w:hAnsi="Times New Roman" w:cs="Times New Roman"/>
          <w:sz w:val="24"/>
          <w:szCs w:val="24"/>
        </w:rPr>
      </w:pPr>
    </w:p>
    <w:p w14:paraId="7B53871B" w14:textId="77777777" w:rsidR="00A038BB" w:rsidRPr="00A9561C" w:rsidRDefault="00A038BB" w:rsidP="00A038BB">
      <w:pPr>
        <w:jc w:val="both"/>
        <w:rPr>
          <w:rFonts w:ascii="Times New Roman" w:hAnsi="Times New Roman" w:cs="Times New Roman"/>
          <w:sz w:val="24"/>
          <w:szCs w:val="24"/>
        </w:rPr>
      </w:pPr>
    </w:p>
    <w:p w14:paraId="4E730EB1" w14:textId="77777777" w:rsidR="00A038BB" w:rsidRPr="00A9561C" w:rsidRDefault="00A038BB" w:rsidP="00A038BB">
      <w:pPr>
        <w:jc w:val="both"/>
        <w:rPr>
          <w:rFonts w:ascii="Times New Roman" w:hAnsi="Times New Roman" w:cs="Times New Roman"/>
          <w:sz w:val="24"/>
          <w:szCs w:val="24"/>
        </w:rPr>
      </w:pPr>
    </w:p>
    <w:p w14:paraId="2F078E1E" w14:textId="77777777" w:rsidR="00A038BB" w:rsidRPr="00A9561C" w:rsidRDefault="00A038BB" w:rsidP="00A038BB">
      <w:pPr>
        <w:jc w:val="both"/>
        <w:rPr>
          <w:rFonts w:ascii="Times New Roman" w:hAnsi="Times New Roman" w:cs="Times New Roman"/>
          <w:sz w:val="24"/>
          <w:szCs w:val="24"/>
        </w:rPr>
      </w:pPr>
    </w:p>
    <w:p w14:paraId="4FE3EB5D" w14:textId="77777777" w:rsidR="00A038BB" w:rsidRPr="00A9561C" w:rsidRDefault="00A038BB" w:rsidP="00A038BB">
      <w:pPr>
        <w:jc w:val="both"/>
        <w:rPr>
          <w:rFonts w:ascii="Times New Roman" w:hAnsi="Times New Roman" w:cs="Times New Roman"/>
          <w:sz w:val="24"/>
          <w:szCs w:val="24"/>
        </w:rPr>
      </w:pPr>
    </w:p>
    <w:p w14:paraId="75C94026" w14:textId="77777777" w:rsidR="00A038BB" w:rsidRPr="00A9561C" w:rsidRDefault="00A038BB" w:rsidP="00A038BB">
      <w:pPr>
        <w:jc w:val="both"/>
        <w:rPr>
          <w:rFonts w:ascii="Times New Roman" w:hAnsi="Times New Roman" w:cs="Times New Roman"/>
          <w:sz w:val="24"/>
          <w:szCs w:val="24"/>
        </w:rPr>
      </w:pPr>
    </w:p>
    <w:p w14:paraId="44AEEB30" w14:textId="77777777" w:rsidR="00A038BB" w:rsidRPr="00A9561C" w:rsidRDefault="00A038BB" w:rsidP="00A038BB">
      <w:pPr>
        <w:jc w:val="both"/>
        <w:rPr>
          <w:rFonts w:ascii="Times New Roman" w:hAnsi="Times New Roman" w:cs="Times New Roman"/>
          <w:sz w:val="24"/>
          <w:szCs w:val="24"/>
        </w:rPr>
      </w:pPr>
    </w:p>
    <w:p w14:paraId="0581742C" w14:textId="77777777" w:rsidR="00A038BB" w:rsidRPr="00A9561C" w:rsidRDefault="00A038BB" w:rsidP="00A038BB">
      <w:pPr>
        <w:jc w:val="both"/>
        <w:rPr>
          <w:rFonts w:ascii="Times New Roman" w:hAnsi="Times New Roman" w:cs="Times New Roman"/>
          <w:sz w:val="24"/>
          <w:szCs w:val="24"/>
        </w:rPr>
      </w:pPr>
    </w:p>
    <w:p w14:paraId="52526665" w14:textId="77777777" w:rsidR="00A038BB" w:rsidRPr="00A9561C" w:rsidRDefault="00A038BB" w:rsidP="00A038BB">
      <w:pPr>
        <w:jc w:val="both"/>
        <w:rPr>
          <w:rFonts w:ascii="Times New Roman" w:hAnsi="Times New Roman" w:cs="Times New Roman"/>
          <w:sz w:val="24"/>
          <w:szCs w:val="24"/>
        </w:rPr>
      </w:pPr>
    </w:p>
    <w:p w14:paraId="3E2F0330" w14:textId="77777777" w:rsidR="00A038BB" w:rsidRPr="00A9561C" w:rsidRDefault="00A038BB" w:rsidP="00A038BB">
      <w:pPr>
        <w:jc w:val="both"/>
        <w:rPr>
          <w:rFonts w:ascii="Times New Roman" w:hAnsi="Times New Roman" w:cs="Times New Roman"/>
          <w:sz w:val="24"/>
          <w:szCs w:val="24"/>
        </w:rPr>
      </w:pPr>
    </w:p>
    <w:p w14:paraId="2C9A21C1" w14:textId="77777777" w:rsidR="00A038BB" w:rsidRPr="00A9561C" w:rsidRDefault="00A038BB" w:rsidP="00A038BB">
      <w:pPr>
        <w:jc w:val="both"/>
        <w:rPr>
          <w:rFonts w:ascii="Times New Roman" w:hAnsi="Times New Roman" w:cs="Times New Roman"/>
          <w:sz w:val="24"/>
          <w:szCs w:val="24"/>
        </w:rPr>
      </w:pPr>
      <w:r w:rsidRPr="00A9561C">
        <w:rPr>
          <w:rFonts w:ascii="Times New Roman" w:hAnsi="Times New Roman" w:cs="Times New Roman"/>
          <w:sz w:val="24"/>
          <w:szCs w:val="24"/>
        </w:rPr>
        <w:t>Figure 2: Conceptual framework of the Study</w:t>
      </w:r>
    </w:p>
    <w:p w14:paraId="300DB05F" w14:textId="77777777" w:rsidR="00A038BB" w:rsidRPr="00A9561C" w:rsidRDefault="00A038BB" w:rsidP="00A038BB">
      <w:pPr>
        <w:jc w:val="both"/>
        <w:rPr>
          <w:rFonts w:ascii="Times New Roman" w:hAnsi="Times New Roman" w:cs="Times New Roman"/>
          <w:sz w:val="24"/>
          <w:szCs w:val="24"/>
        </w:rPr>
      </w:pPr>
    </w:p>
    <w:p w14:paraId="1833FC63" w14:textId="77777777" w:rsidR="00A038BB" w:rsidRPr="00A9561C" w:rsidRDefault="00A038BB" w:rsidP="00A038BB">
      <w:pPr>
        <w:jc w:val="both"/>
        <w:rPr>
          <w:rFonts w:ascii="Times New Roman" w:hAnsi="Times New Roman" w:cs="Times New Roman"/>
          <w:sz w:val="24"/>
          <w:szCs w:val="24"/>
        </w:rPr>
      </w:pPr>
    </w:p>
    <w:p w14:paraId="1D662D92" w14:textId="77777777" w:rsidR="00A038BB" w:rsidRPr="00A9561C" w:rsidRDefault="00A038BB" w:rsidP="00A038BB">
      <w:pPr>
        <w:pStyle w:val="Heading1"/>
        <w:spacing w:before="0"/>
        <w:rPr>
          <w:rFonts w:ascii="Times New Roman" w:hAnsi="Times New Roman" w:cs="Times New Roman"/>
          <w:color w:val="auto"/>
          <w:sz w:val="24"/>
          <w:szCs w:val="24"/>
          <w:lang w:eastAsia="en-GB"/>
        </w:rPr>
      </w:pPr>
      <w:bookmarkStart w:id="5" w:name="_Toc186891497"/>
      <w:bookmarkStart w:id="6" w:name="_Toc187073311"/>
      <w:r w:rsidRPr="00A9561C">
        <w:rPr>
          <w:rFonts w:ascii="Times New Roman" w:hAnsi="Times New Roman" w:cs="Times New Roman"/>
          <w:color w:val="auto"/>
          <w:sz w:val="24"/>
          <w:szCs w:val="24"/>
        </w:rPr>
        <w:lastRenderedPageBreak/>
        <w:t>6</w:t>
      </w:r>
      <w:r w:rsidRPr="00A9561C">
        <w:rPr>
          <w:rFonts w:ascii="Times New Roman" w:hAnsi="Times New Roman" w:cs="Times New Roman"/>
          <w:color w:val="auto"/>
          <w:sz w:val="24"/>
          <w:szCs w:val="24"/>
          <w:lang w:eastAsia="en-GB"/>
        </w:rPr>
        <w:t xml:space="preserve">.  </w:t>
      </w:r>
      <w:bookmarkStart w:id="7" w:name="_Toc174031368"/>
      <w:r w:rsidRPr="00A9561C">
        <w:rPr>
          <w:rFonts w:ascii="Times New Roman" w:hAnsi="Times New Roman" w:cs="Times New Roman"/>
          <w:color w:val="auto"/>
          <w:sz w:val="24"/>
          <w:szCs w:val="24"/>
          <w:lang w:eastAsia="en-GB"/>
        </w:rPr>
        <w:t>Study Area</w:t>
      </w:r>
      <w:bookmarkEnd w:id="7"/>
      <w:r w:rsidRPr="00A9561C">
        <w:rPr>
          <w:rFonts w:ascii="Times New Roman" w:hAnsi="Times New Roman" w:cs="Times New Roman"/>
          <w:color w:val="auto"/>
          <w:sz w:val="24"/>
          <w:szCs w:val="24"/>
          <w:lang w:eastAsia="en-GB"/>
        </w:rPr>
        <w:t xml:space="preserve"> and the Villages</w:t>
      </w:r>
      <w:bookmarkEnd w:id="5"/>
      <w:bookmarkEnd w:id="6"/>
    </w:p>
    <w:p w14:paraId="73EEF814" w14:textId="77777777" w:rsidR="00A038BB" w:rsidRPr="00A9561C" w:rsidRDefault="00A038BB" w:rsidP="00A038BB">
      <w:pPr>
        <w:rPr>
          <w:rFonts w:ascii="Times New Roman" w:hAnsi="Times New Roman" w:cs="Times New Roman"/>
          <w:sz w:val="24"/>
          <w:szCs w:val="24"/>
          <w:lang w:eastAsia="en-GB"/>
        </w:rPr>
      </w:pPr>
    </w:p>
    <w:p w14:paraId="31B00064" w14:textId="77777777" w:rsidR="00A038BB" w:rsidRPr="00A9561C" w:rsidRDefault="00A038BB" w:rsidP="00A038BB">
      <w:pPr>
        <w:pStyle w:val="Heading2"/>
        <w:spacing w:before="0"/>
        <w:rPr>
          <w:rFonts w:ascii="Times New Roman" w:hAnsi="Times New Roman" w:cs="Times New Roman"/>
          <w:color w:val="auto"/>
          <w:sz w:val="24"/>
          <w:szCs w:val="24"/>
          <w:lang w:eastAsia="en-GB"/>
        </w:rPr>
      </w:pPr>
      <w:bookmarkStart w:id="8" w:name="_Toc187073312"/>
      <w:bookmarkStart w:id="9" w:name="_Toc186891498"/>
      <w:r w:rsidRPr="00A9561C">
        <w:rPr>
          <w:rFonts w:ascii="Times New Roman" w:hAnsi="Times New Roman" w:cs="Times New Roman"/>
          <w:color w:val="auto"/>
          <w:sz w:val="24"/>
          <w:szCs w:val="24"/>
          <w:lang w:eastAsia="en-GB"/>
        </w:rPr>
        <w:t>6.1. Location of the Study Area</w:t>
      </w:r>
      <w:bookmarkEnd w:id="8"/>
      <w:bookmarkEnd w:id="9"/>
    </w:p>
    <w:p w14:paraId="480BD02C" w14:textId="77777777" w:rsidR="00A038BB" w:rsidRPr="00A9561C" w:rsidRDefault="00A038BB" w:rsidP="00A038BB">
      <w:pPr>
        <w:spacing w:after="0"/>
        <w:rPr>
          <w:rFonts w:ascii="Times New Roman" w:hAnsi="Times New Roman" w:cs="Times New Roman"/>
          <w:sz w:val="24"/>
          <w:szCs w:val="24"/>
          <w:lang w:eastAsia="en-GB"/>
        </w:rPr>
      </w:pPr>
    </w:p>
    <w:p w14:paraId="083E0BA5"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r w:rsidRPr="00A9561C">
        <w:rPr>
          <w:rFonts w:ascii="Times New Roman" w:hAnsi="Times New Roman" w:cs="Times New Roman"/>
          <w:sz w:val="24"/>
          <w:szCs w:val="24"/>
          <w:lang w:eastAsia="en-GB"/>
        </w:rPr>
        <w:t xml:space="preserve">Located in Ethiopia's northernmost area, the Tigray region is one of the regional states with important administrative significance of the country. The Eastern Zone, located in the eastern part of the region shares boundaries with the Southeastern Zone to the south, the Central Zone to the west, the Afar Region to the east, and Eritrea to the north. </w:t>
      </w:r>
      <w:r w:rsidRPr="00A9561C">
        <w:rPr>
          <w:rFonts w:ascii="Times New Roman" w:hAnsi="Times New Roman" w:cs="Times New Roman"/>
          <w:sz w:val="24"/>
          <w:szCs w:val="24"/>
          <w:shd w:val="clear" w:color="auto" w:fill="FFFFFF"/>
        </w:rPr>
        <w:t xml:space="preserve">The Eastern Zone is home to Mount </w:t>
      </w:r>
      <w:proofErr w:type="spellStart"/>
      <w:r w:rsidRPr="00A9561C">
        <w:rPr>
          <w:rFonts w:ascii="Times New Roman" w:hAnsi="Times New Roman" w:cs="Times New Roman"/>
          <w:sz w:val="24"/>
          <w:szCs w:val="24"/>
          <w:shd w:val="clear" w:color="auto" w:fill="FFFFFF"/>
        </w:rPr>
        <w:t>Asimba</w:t>
      </w:r>
      <w:proofErr w:type="spellEnd"/>
      <w:r w:rsidRPr="00A9561C">
        <w:rPr>
          <w:rFonts w:ascii="Times New Roman" w:hAnsi="Times New Roman" w:cs="Times New Roman"/>
          <w:sz w:val="24"/>
          <w:szCs w:val="24"/>
          <w:shd w:val="clear" w:color="auto" w:fill="FFFFFF"/>
        </w:rPr>
        <w:t xml:space="preserve">, its tallest peak at 3,250 meters, offering a spectacular natural landmark. This area encompasses significant towns such as </w:t>
      </w:r>
      <w:proofErr w:type="spellStart"/>
      <w:r w:rsidRPr="00A9561C">
        <w:rPr>
          <w:rFonts w:ascii="Times New Roman" w:hAnsi="Times New Roman" w:cs="Times New Roman"/>
          <w:sz w:val="24"/>
          <w:szCs w:val="24"/>
          <w:shd w:val="clear" w:color="auto" w:fill="FFFFFF"/>
        </w:rPr>
        <w:t>Adigrat</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Zalambessa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Edagahamus</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Fireweini</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Hawzen</w:t>
      </w:r>
      <w:proofErr w:type="spellEnd"/>
      <w:r w:rsidRPr="00A9561C">
        <w:rPr>
          <w:rFonts w:ascii="Times New Roman" w:hAnsi="Times New Roman" w:cs="Times New Roman"/>
          <w:sz w:val="24"/>
          <w:szCs w:val="24"/>
          <w:shd w:val="clear" w:color="auto" w:fill="FFFFFF"/>
        </w:rPr>
        <w:t xml:space="preserve">, and </w:t>
      </w:r>
      <w:proofErr w:type="spellStart"/>
      <w:r w:rsidRPr="00A9561C">
        <w:rPr>
          <w:rFonts w:ascii="Times New Roman" w:hAnsi="Times New Roman" w:cs="Times New Roman"/>
          <w:sz w:val="24"/>
          <w:szCs w:val="24"/>
          <w:shd w:val="clear" w:color="auto" w:fill="FFFFFF"/>
        </w:rPr>
        <w:t>Wukro</w:t>
      </w:r>
      <w:proofErr w:type="spellEnd"/>
      <w:r w:rsidRPr="00A9561C">
        <w:rPr>
          <w:rFonts w:ascii="Times New Roman" w:hAnsi="Times New Roman" w:cs="Times New Roman"/>
          <w:sz w:val="24"/>
          <w:szCs w:val="24"/>
          <w:shd w:val="clear" w:color="auto" w:fill="FFFFFF"/>
        </w:rPr>
        <w:t xml:space="preserve">, with </w:t>
      </w:r>
      <w:proofErr w:type="spellStart"/>
      <w:r w:rsidRPr="00A9561C">
        <w:rPr>
          <w:rFonts w:ascii="Times New Roman" w:hAnsi="Times New Roman" w:cs="Times New Roman"/>
          <w:sz w:val="24"/>
          <w:szCs w:val="24"/>
          <w:shd w:val="clear" w:color="auto" w:fill="FFFFFF"/>
        </w:rPr>
        <w:t>Adigrat</w:t>
      </w:r>
      <w:proofErr w:type="spellEnd"/>
      <w:r w:rsidRPr="00A9561C">
        <w:rPr>
          <w:rFonts w:ascii="Times New Roman" w:hAnsi="Times New Roman" w:cs="Times New Roman"/>
          <w:sz w:val="24"/>
          <w:szCs w:val="24"/>
          <w:shd w:val="clear" w:color="auto" w:fill="FFFFFF"/>
        </w:rPr>
        <w:t xml:space="preserve"> serving as the administrative seat. The zone has 18 woredas (districts): 11 rural and 7 urban. These woredas are separated into 157 </w:t>
      </w:r>
      <w:proofErr w:type="spellStart"/>
      <w:r w:rsidRPr="00A9561C">
        <w:rPr>
          <w:rFonts w:ascii="Times New Roman" w:hAnsi="Times New Roman" w:cs="Times New Roman"/>
          <w:sz w:val="24"/>
          <w:szCs w:val="24"/>
          <w:shd w:val="clear" w:color="auto" w:fill="FFFFFF"/>
        </w:rPr>
        <w:t>kebelles</w:t>
      </w:r>
      <w:proofErr w:type="spellEnd"/>
      <w:r w:rsidRPr="00A9561C">
        <w:rPr>
          <w:rFonts w:ascii="Times New Roman" w:hAnsi="Times New Roman" w:cs="Times New Roman"/>
          <w:sz w:val="24"/>
          <w:szCs w:val="24"/>
          <w:shd w:val="clear" w:color="auto" w:fill="FFFFFF"/>
        </w:rPr>
        <w:t xml:space="preserve"> and 559 </w:t>
      </w:r>
      <w:proofErr w:type="spellStart"/>
      <w:r w:rsidRPr="00A9561C">
        <w:rPr>
          <w:rFonts w:ascii="Times New Roman" w:hAnsi="Times New Roman" w:cs="Times New Roman"/>
          <w:sz w:val="24"/>
          <w:szCs w:val="24"/>
          <w:shd w:val="clear" w:color="auto" w:fill="FFFFFF"/>
        </w:rPr>
        <w:t>kushets</w:t>
      </w:r>
      <w:proofErr w:type="spellEnd"/>
      <w:r w:rsidRPr="00A9561C">
        <w:rPr>
          <w:rFonts w:ascii="Times New Roman" w:hAnsi="Times New Roman" w:cs="Times New Roman"/>
          <w:sz w:val="24"/>
          <w:szCs w:val="24"/>
          <w:shd w:val="clear" w:color="auto" w:fill="FFFFFF"/>
        </w:rPr>
        <w:t xml:space="preserve">, constituting a complicated administrative system. The rural woredas represent 61.1% of the zone, while urban woredas account for 38.9%. Agriculture, animal husbandry, and modest commerce persist as the principal socioeconomic activity, reflecting the traditional lifestyles of the population (CSAPFTR, 2023). </w:t>
      </w:r>
    </w:p>
    <w:p w14:paraId="4F515C62" w14:textId="77777777" w:rsidR="00A038BB" w:rsidRPr="00A9561C" w:rsidRDefault="00A038BB" w:rsidP="00A038BB">
      <w:pPr>
        <w:spacing w:after="0" w:line="360" w:lineRule="auto"/>
        <w:jc w:val="both"/>
        <w:rPr>
          <w:rFonts w:ascii="Times New Roman" w:hAnsi="Times New Roman" w:cs="Times New Roman"/>
          <w:sz w:val="24"/>
          <w:szCs w:val="24"/>
          <w:lang w:eastAsia="en-GB"/>
        </w:rPr>
      </w:pPr>
    </w:p>
    <w:p w14:paraId="7F51F237"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r w:rsidRPr="00A9561C">
        <w:rPr>
          <w:rFonts w:ascii="Times New Roman" w:hAnsi="Times New Roman" w:cs="Times New Roman"/>
          <w:sz w:val="24"/>
          <w:szCs w:val="24"/>
          <w:shd w:val="clear" w:color="auto" w:fill="FFFFFF"/>
        </w:rPr>
        <w:t xml:space="preserve">However, food insecurity remains a substantial concern, with many families depending on safety net services to satisfy basic necessities. The Eastern Zone is not simply an administrative subdivision but also a hotspot of cultural richness. The area is renowned for its ancient cultural heritage sites and traditions, which contribute to its distinctive character. </w:t>
      </w:r>
    </w:p>
    <w:p w14:paraId="05C6274A"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r w:rsidRPr="00A9561C">
        <w:rPr>
          <w:rFonts w:ascii="Times New Roman" w:hAnsi="Times New Roman" w:cs="Times New Roman"/>
          <w:sz w:val="24"/>
          <w:szCs w:val="24"/>
          <w:shd w:val="clear" w:color="auto" w:fill="FFFFFF"/>
        </w:rPr>
        <w:t xml:space="preserve">In the Eastern Zone, the woredas of </w:t>
      </w:r>
      <w:proofErr w:type="spellStart"/>
      <w:r w:rsidRPr="00A9561C">
        <w:rPr>
          <w:rFonts w:ascii="Times New Roman" w:hAnsi="Times New Roman" w:cs="Times New Roman"/>
          <w:sz w:val="24"/>
          <w:szCs w:val="24"/>
          <w:shd w:val="clear" w:color="auto" w:fill="FFFFFF"/>
        </w:rPr>
        <w:t>Ganta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Afeshum</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Subha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Saesie</w:t>
      </w:r>
      <w:proofErr w:type="spellEnd"/>
      <w:r w:rsidRPr="00A9561C">
        <w:rPr>
          <w:rFonts w:ascii="Times New Roman" w:hAnsi="Times New Roman" w:cs="Times New Roman"/>
          <w:sz w:val="24"/>
          <w:szCs w:val="24"/>
          <w:shd w:val="clear" w:color="auto" w:fill="FFFFFF"/>
        </w:rPr>
        <w:t xml:space="preserve">, and </w:t>
      </w:r>
      <w:proofErr w:type="spellStart"/>
      <w:r w:rsidRPr="00A9561C">
        <w:rPr>
          <w:rFonts w:ascii="Times New Roman" w:hAnsi="Times New Roman" w:cs="Times New Roman"/>
          <w:sz w:val="24"/>
          <w:szCs w:val="24"/>
          <w:shd w:val="clear" w:color="auto" w:fill="FFFFFF"/>
        </w:rPr>
        <w:t>Tsaeda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Emba</w:t>
      </w:r>
      <w:proofErr w:type="spellEnd"/>
      <w:r w:rsidRPr="00A9561C">
        <w:rPr>
          <w:rFonts w:ascii="Times New Roman" w:hAnsi="Times New Roman" w:cs="Times New Roman"/>
          <w:sz w:val="24"/>
          <w:szCs w:val="24"/>
          <w:shd w:val="clear" w:color="auto" w:fill="FFFFFF"/>
        </w:rPr>
        <w:t xml:space="preserve"> are notable for their interrelated topographical and agro ecological characteristics. These woredas constitute a continuous region where the study</w:t>
      </w:r>
      <w:r w:rsidRPr="00A9561C">
        <w:rPr>
          <w:rFonts w:ascii="Times New Roman" w:hAnsi="Times New Roman" w:cs="Times New Roman"/>
          <w:i/>
          <w:sz w:val="24"/>
          <w:szCs w:val="24"/>
          <w:shd w:val="clear" w:color="auto" w:fill="FFFFFF"/>
        </w:rPr>
        <w:t xml:space="preserve"> tabias</w:t>
      </w:r>
      <w:r w:rsidRPr="00A9561C">
        <w:rPr>
          <w:rFonts w:ascii="Times New Roman" w:hAnsi="Times New Roman" w:cs="Times New Roman"/>
          <w:sz w:val="24"/>
          <w:szCs w:val="24"/>
          <w:shd w:val="clear" w:color="auto" w:fill="FFFFFF"/>
        </w:rPr>
        <w:t xml:space="preserve"> are tightly connected, supporting a similar social and economic dynamic. While all three woredas display similar </w:t>
      </w:r>
      <w:proofErr w:type="spellStart"/>
      <w:r w:rsidRPr="00A9561C">
        <w:rPr>
          <w:rFonts w:ascii="Times New Roman" w:hAnsi="Times New Roman" w:cs="Times New Roman"/>
          <w:sz w:val="24"/>
          <w:szCs w:val="24"/>
          <w:shd w:val="clear" w:color="auto" w:fill="FFFFFF"/>
        </w:rPr>
        <w:t>agro</w:t>
      </w:r>
      <w:proofErr w:type="spellEnd"/>
      <w:r w:rsidRPr="00A9561C">
        <w:rPr>
          <w:rFonts w:ascii="Times New Roman" w:hAnsi="Times New Roman" w:cs="Times New Roman"/>
          <w:sz w:val="24"/>
          <w:szCs w:val="24"/>
          <w:shd w:val="clear" w:color="auto" w:fill="FFFFFF"/>
        </w:rPr>
        <w:t xml:space="preserve"> ecological features, such as dependence on mixed farming and cattle husbandry, </w:t>
      </w:r>
      <w:proofErr w:type="spellStart"/>
      <w:r w:rsidRPr="00A9561C">
        <w:rPr>
          <w:rFonts w:ascii="Times New Roman" w:hAnsi="Times New Roman" w:cs="Times New Roman"/>
          <w:sz w:val="24"/>
          <w:szCs w:val="24"/>
          <w:shd w:val="clear" w:color="auto" w:fill="FFFFFF"/>
        </w:rPr>
        <w:t>Ganta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Afeshum</w:t>
      </w:r>
      <w:proofErr w:type="spellEnd"/>
      <w:r w:rsidRPr="00A9561C">
        <w:rPr>
          <w:rFonts w:ascii="Times New Roman" w:hAnsi="Times New Roman" w:cs="Times New Roman"/>
          <w:sz w:val="24"/>
          <w:szCs w:val="24"/>
          <w:shd w:val="clear" w:color="auto" w:fill="FFFFFF"/>
        </w:rPr>
        <w:t xml:space="preserve"> and </w:t>
      </w:r>
      <w:proofErr w:type="spellStart"/>
      <w:r w:rsidRPr="00A9561C">
        <w:rPr>
          <w:rFonts w:ascii="Times New Roman" w:hAnsi="Times New Roman" w:cs="Times New Roman"/>
          <w:sz w:val="24"/>
          <w:szCs w:val="24"/>
          <w:shd w:val="clear" w:color="auto" w:fill="FFFFFF"/>
        </w:rPr>
        <w:t>Subha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Saesie</w:t>
      </w:r>
      <w:proofErr w:type="spellEnd"/>
      <w:r w:rsidRPr="00A9561C">
        <w:rPr>
          <w:rFonts w:ascii="Times New Roman" w:hAnsi="Times New Roman" w:cs="Times New Roman"/>
          <w:sz w:val="24"/>
          <w:szCs w:val="24"/>
          <w:shd w:val="clear" w:color="auto" w:fill="FFFFFF"/>
        </w:rPr>
        <w:t xml:space="preserve"> are largely highland locations with milder weather and steep terrains. These highlands are characterized by terraced agriculture, the production of barley and wheat, and specific environmental concerns such soil erosion. In contrast, </w:t>
      </w:r>
      <w:proofErr w:type="spellStart"/>
      <w:r w:rsidRPr="00A9561C">
        <w:rPr>
          <w:rFonts w:ascii="Times New Roman" w:hAnsi="Times New Roman" w:cs="Times New Roman"/>
          <w:sz w:val="24"/>
          <w:szCs w:val="24"/>
          <w:shd w:val="clear" w:color="auto" w:fill="FFFFFF"/>
        </w:rPr>
        <w:t>Tsaeda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Emba</w:t>
      </w:r>
      <w:proofErr w:type="spellEnd"/>
      <w:r w:rsidRPr="00A9561C">
        <w:rPr>
          <w:rFonts w:ascii="Times New Roman" w:hAnsi="Times New Roman" w:cs="Times New Roman"/>
          <w:sz w:val="24"/>
          <w:szCs w:val="24"/>
          <w:shd w:val="clear" w:color="auto" w:fill="FFFFFF"/>
        </w:rPr>
        <w:t xml:space="preserve"> mixes these highland elements with somewhat more moderate heights, supporting a varied variety of crops and grazing pastures. This connection has affected the livelihoods, cultural practices, and communal relationships of the people throughout various woredas (ADCS, 2022). </w:t>
      </w:r>
    </w:p>
    <w:p w14:paraId="1DDDE660"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p>
    <w:p w14:paraId="64DBB5F5"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shd w:val="clear" w:color="auto" w:fill="FFFFFF"/>
        </w:rPr>
        <w:t xml:space="preserve">The study focuses on three </w:t>
      </w:r>
      <w:r w:rsidRPr="00A9561C">
        <w:rPr>
          <w:rFonts w:ascii="Times New Roman" w:hAnsi="Times New Roman" w:cs="Times New Roman"/>
          <w:i/>
          <w:sz w:val="24"/>
          <w:szCs w:val="24"/>
          <w:shd w:val="clear" w:color="auto" w:fill="FFFFFF"/>
        </w:rPr>
        <w:t xml:space="preserve">tabias </w:t>
      </w:r>
      <w:r w:rsidRPr="00A9561C">
        <w:rPr>
          <w:rFonts w:ascii="Times New Roman" w:hAnsi="Times New Roman" w:cs="Times New Roman"/>
          <w:sz w:val="24"/>
          <w:szCs w:val="24"/>
          <w:shd w:val="clear" w:color="auto" w:fill="FFFFFF"/>
        </w:rPr>
        <w:t>of the three woredas</w:t>
      </w:r>
      <w:r w:rsidRPr="00A9561C">
        <w:rPr>
          <w:rFonts w:ascii="Times New Roman" w:hAnsi="Times New Roman" w:cs="Times New Roman"/>
          <w:i/>
          <w:sz w:val="24"/>
          <w:szCs w:val="24"/>
          <w:shd w:val="clear" w:color="auto" w:fill="FFFFFF"/>
        </w:rPr>
        <w:t>:</w:t>
      </w:r>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Guahgot</w:t>
      </w:r>
      <w:proofErr w:type="spellEnd"/>
      <w:r w:rsidRPr="00A9561C">
        <w:rPr>
          <w:rFonts w:ascii="Times New Roman" w:hAnsi="Times New Roman" w:cs="Times New Roman"/>
          <w:sz w:val="24"/>
          <w:szCs w:val="24"/>
          <w:shd w:val="clear" w:color="auto" w:fill="FFFFFF"/>
        </w:rPr>
        <w:t xml:space="preserve"> from </w:t>
      </w:r>
      <w:proofErr w:type="spellStart"/>
      <w:r w:rsidRPr="00A9561C">
        <w:rPr>
          <w:rFonts w:ascii="Times New Roman" w:hAnsi="Times New Roman" w:cs="Times New Roman"/>
          <w:sz w:val="24"/>
          <w:szCs w:val="24"/>
          <w:shd w:val="clear" w:color="auto" w:fill="FFFFFF"/>
        </w:rPr>
        <w:t>Ganta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Afeshum</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Beleso</w:t>
      </w:r>
      <w:proofErr w:type="spellEnd"/>
      <w:r w:rsidRPr="00A9561C">
        <w:rPr>
          <w:rFonts w:ascii="Times New Roman" w:hAnsi="Times New Roman" w:cs="Times New Roman"/>
          <w:sz w:val="24"/>
          <w:szCs w:val="24"/>
          <w:shd w:val="clear" w:color="auto" w:fill="FFFFFF"/>
        </w:rPr>
        <w:t xml:space="preserve"> from </w:t>
      </w:r>
      <w:proofErr w:type="spellStart"/>
      <w:r w:rsidRPr="00A9561C">
        <w:rPr>
          <w:rFonts w:ascii="Times New Roman" w:hAnsi="Times New Roman" w:cs="Times New Roman"/>
          <w:sz w:val="24"/>
          <w:szCs w:val="24"/>
          <w:shd w:val="clear" w:color="auto" w:fill="FFFFFF"/>
        </w:rPr>
        <w:t>Subha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Saesie</w:t>
      </w:r>
      <w:proofErr w:type="spellEnd"/>
      <w:r w:rsidRPr="00A9561C">
        <w:rPr>
          <w:rFonts w:ascii="Times New Roman" w:hAnsi="Times New Roman" w:cs="Times New Roman"/>
          <w:sz w:val="24"/>
          <w:szCs w:val="24"/>
          <w:shd w:val="clear" w:color="auto" w:fill="FFFFFF"/>
        </w:rPr>
        <w:t xml:space="preserve">, and </w:t>
      </w:r>
      <w:proofErr w:type="spellStart"/>
      <w:r w:rsidRPr="00A9561C">
        <w:rPr>
          <w:rFonts w:ascii="Times New Roman" w:hAnsi="Times New Roman" w:cs="Times New Roman"/>
          <w:sz w:val="24"/>
          <w:szCs w:val="24"/>
          <w:shd w:val="clear" w:color="auto" w:fill="FFFFFF"/>
        </w:rPr>
        <w:t>Agazi</w:t>
      </w:r>
      <w:proofErr w:type="spellEnd"/>
      <w:r w:rsidRPr="00A9561C">
        <w:rPr>
          <w:rFonts w:ascii="Times New Roman" w:hAnsi="Times New Roman" w:cs="Times New Roman"/>
          <w:sz w:val="24"/>
          <w:szCs w:val="24"/>
          <w:shd w:val="clear" w:color="auto" w:fill="FFFFFF"/>
        </w:rPr>
        <w:t xml:space="preserve"> from </w:t>
      </w:r>
      <w:proofErr w:type="spellStart"/>
      <w:r w:rsidRPr="00A9561C">
        <w:rPr>
          <w:rFonts w:ascii="Times New Roman" w:hAnsi="Times New Roman" w:cs="Times New Roman"/>
          <w:sz w:val="24"/>
          <w:szCs w:val="24"/>
          <w:shd w:val="clear" w:color="auto" w:fill="FFFFFF"/>
        </w:rPr>
        <w:t>Tsaeda</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Emba</w:t>
      </w:r>
      <w:proofErr w:type="spellEnd"/>
      <w:r w:rsidRPr="00A9561C">
        <w:rPr>
          <w:rFonts w:ascii="Times New Roman" w:hAnsi="Times New Roman" w:cs="Times New Roman"/>
          <w:sz w:val="24"/>
          <w:szCs w:val="24"/>
          <w:shd w:val="clear" w:color="auto" w:fill="FFFFFF"/>
        </w:rPr>
        <w:t xml:space="preserve">, each selected for their representativeness of rural Tigray families. These </w:t>
      </w:r>
      <w:r w:rsidRPr="00A9561C">
        <w:rPr>
          <w:rFonts w:ascii="Times New Roman" w:hAnsi="Times New Roman" w:cs="Times New Roman"/>
          <w:i/>
          <w:sz w:val="24"/>
          <w:szCs w:val="24"/>
          <w:shd w:val="clear" w:color="auto" w:fill="FFFFFF"/>
        </w:rPr>
        <w:t>tabias</w:t>
      </w:r>
      <w:r w:rsidRPr="00A9561C">
        <w:rPr>
          <w:rFonts w:ascii="Times New Roman" w:hAnsi="Times New Roman" w:cs="Times New Roman"/>
          <w:sz w:val="24"/>
          <w:szCs w:val="24"/>
          <w:shd w:val="clear" w:color="auto" w:fill="FFFFFF"/>
        </w:rPr>
        <w:t xml:space="preserve"> reflect the region's subsistence practices, including small-scale farming and cattle husbandry, which are affected by the highland agroecology and restricted resources. They also underscore the persisting issues of food insecurity, as people usually rely on seasonal agricultural outputs and safety net programs to preserve their livelihoods. Coping methods such as community labor-sharing, crop diversification, and dependence on remittances are widely </w:t>
      </w:r>
      <w:proofErr w:type="spellStart"/>
      <w:r w:rsidRPr="00A9561C">
        <w:rPr>
          <w:rFonts w:ascii="Times New Roman" w:hAnsi="Times New Roman" w:cs="Times New Roman"/>
          <w:sz w:val="24"/>
          <w:szCs w:val="24"/>
          <w:shd w:val="clear" w:color="auto" w:fill="FFFFFF"/>
        </w:rPr>
        <w:t>recognised</w:t>
      </w:r>
      <w:proofErr w:type="spellEnd"/>
      <w:r w:rsidRPr="00A9561C">
        <w:rPr>
          <w:rFonts w:ascii="Times New Roman" w:hAnsi="Times New Roman" w:cs="Times New Roman"/>
          <w:sz w:val="24"/>
          <w:szCs w:val="24"/>
          <w:shd w:val="clear" w:color="auto" w:fill="FFFFFF"/>
        </w:rPr>
        <w:t xml:space="preserve"> throughout these groups. The home will serve as the major unit of study, giving a thorough lens through which to investigate the interaction of socioeconomic, environmental, and cultural elements. Employing ethnography as the principal study approach provides for an in-depth knowledge of these processes, documenting the lived experiences and adaptation methods of rural households in Tigray (CSAPFTR, 2023).</w:t>
      </w:r>
    </w:p>
    <w:p w14:paraId="5BE063F9" w14:textId="77777777" w:rsidR="00A038BB" w:rsidRPr="00A9561C" w:rsidRDefault="00A038BB" w:rsidP="00A038BB">
      <w:pPr>
        <w:spacing w:after="0" w:line="360" w:lineRule="auto"/>
        <w:jc w:val="right"/>
        <w:rPr>
          <w:rFonts w:ascii="Times New Roman" w:hAnsi="Times New Roman" w:cs="Times New Roman"/>
          <w:noProof/>
          <w:sz w:val="24"/>
          <w:szCs w:val="24"/>
        </w:rPr>
      </w:pPr>
      <w:r w:rsidRPr="00A9561C">
        <w:rPr>
          <w:rFonts w:ascii="Times New Roman" w:hAnsi="Times New Roman" w:cs="Times New Roman"/>
          <w:noProof/>
          <w:sz w:val="24"/>
          <w:szCs w:val="24"/>
        </w:rPr>
        <w:t xml:space="preserve"> </w:t>
      </w:r>
      <w:r w:rsidRPr="00A9561C">
        <w:rPr>
          <w:rFonts w:ascii="Times New Roman" w:hAnsi="Times New Roman" w:cs="Times New Roman"/>
          <w:noProof/>
          <w:sz w:val="24"/>
          <w:szCs w:val="24"/>
        </w:rPr>
        <w:drawing>
          <wp:inline distT="0" distB="0" distL="0" distR="0" wp14:anchorId="7910EFB6" wp14:editId="19C8FF06">
            <wp:extent cx="5600700" cy="361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619500"/>
                    </a:xfrm>
                    <a:prstGeom prst="rect">
                      <a:avLst/>
                    </a:prstGeom>
                    <a:noFill/>
                    <a:ln>
                      <a:noFill/>
                    </a:ln>
                  </pic:spPr>
                </pic:pic>
              </a:graphicData>
            </a:graphic>
          </wp:inline>
        </w:drawing>
      </w:r>
      <w:bookmarkStart w:id="10" w:name="_Toc182989754"/>
    </w:p>
    <w:p w14:paraId="4A683DD8" w14:textId="77777777" w:rsidR="00A038BB" w:rsidRPr="00A9561C" w:rsidRDefault="00A038BB" w:rsidP="00A038BB">
      <w:pPr>
        <w:spacing w:after="0" w:line="360" w:lineRule="auto"/>
        <w:jc w:val="right"/>
        <w:rPr>
          <w:rFonts w:ascii="Times New Roman" w:hAnsi="Times New Roman" w:cs="Times New Roman"/>
          <w:noProof/>
          <w:sz w:val="24"/>
          <w:szCs w:val="24"/>
        </w:rPr>
      </w:pPr>
      <w:r w:rsidRPr="00A9561C">
        <w:rPr>
          <w:rFonts w:ascii="Times New Roman" w:hAnsi="Times New Roman" w:cs="Times New Roman"/>
          <w:sz w:val="24"/>
          <w:szCs w:val="24"/>
        </w:rPr>
        <w:t>Source: Developed from ArcGIS 10.8, 2024</w:t>
      </w:r>
    </w:p>
    <w:p w14:paraId="1C196103" w14:textId="77777777" w:rsidR="00A038BB" w:rsidRPr="00A9561C" w:rsidRDefault="00A038BB" w:rsidP="00A038BB">
      <w:pPr>
        <w:pStyle w:val="Heading1"/>
        <w:spacing w:before="0"/>
        <w:rPr>
          <w:rFonts w:ascii="Times New Roman" w:hAnsi="Times New Roman" w:cs="Times New Roman"/>
          <w:color w:val="auto"/>
          <w:sz w:val="24"/>
          <w:szCs w:val="24"/>
        </w:rPr>
      </w:pPr>
      <w:bookmarkStart w:id="11" w:name="_Toc187073313"/>
      <w:bookmarkStart w:id="12" w:name="_Toc187072980"/>
      <w:bookmarkStart w:id="13" w:name="_Toc186891499"/>
      <w:bookmarkStart w:id="14" w:name="_Toc186694742"/>
      <w:bookmarkStart w:id="15" w:name="_Toc186683173"/>
      <w:r w:rsidRPr="00A9561C">
        <w:rPr>
          <w:rFonts w:ascii="Times New Roman" w:hAnsi="Times New Roman" w:cs="Times New Roman"/>
          <w:color w:val="auto"/>
          <w:sz w:val="24"/>
          <w:szCs w:val="24"/>
        </w:rPr>
        <w:t>Figure 3: Map of the study area</w:t>
      </w:r>
      <w:bookmarkEnd w:id="10"/>
      <w:bookmarkEnd w:id="11"/>
      <w:bookmarkEnd w:id="12"/>
      <w:bookmarkEnd w:id="13"/>
      <w:bookmarkEnd w:id="14"/>
      <w:bookmarkEnd w:id="15"/>
    </w:p>
    <w:p w14:paraId="14AB65E4" w14:textId="77777777" w:rsidR="00A038BB" w:rsidRPr="00A9561C" w:rsidRDefault="00A038BB" w:rsidP="00A038BB">
      <w:pPr>
        <w:pStyle w:val="Heading2"/>
        <w:spacing w:before="0"/>
        <w:rPr>
          <w:rFonts w:ascii="Times New Roman" w:hAnsi="Times New Roman" w:cs="Times New Roman"/>
          <w:color w:val="auto"/>
          <w:sz w:val="24"/>
          <w:szCs w:val="24"/>
        </w:rPr>
      </w:pPr>
      <w:bookmarkStart w:id="16" w:name="_Toc174031369"/>
    </w:p>
    <w:p w14:paraId="0E709F58" w14:textId="77777777" w:rsidR="00A038BB" w:rsidRPr="00A9561C" w:rsidRDefault="00A038BB" w:rsidP="00A038BB">
      <w:pPr>
        <w:pStyle w:val="Heading2"/>
        <w:spacing w:before="0"/>
        <w:rPr>
          <w:rFonts w:ascii="Times New Roman" w:hAnsi="Times New Roman" w:cs="Times New Roman"/>
          <w:color w:val="auto"/>
          <w:sz w:val="24"/>
          <w:szCs w:val="24"/>
        </w:rPr>
      </w:pPr>
      <w:bookmarkStart w:id="17" w:name="_Toc187073314"/>
      <w:bookmarkStart w:id="18" w:name="_Toc186891500"/>
      <w:r w:rsidRPr="00A9561C">
        <w:rPr>
          <w:rFonts w:ascii="Times New Roman" w:hAnsi="Times New Roman" w:cs="Times New Roman"/>
          <w:color w:val="auto"/>
          <w:sz w:val="24"/>
          <w:szCs w:val="24"/>
        </w:rPr>
        <w:t>6.2 Demographic</w:t>
      </w:r>
      <w:bookmarkEnd w:id="16"/>
      <w:r w:rsidRPr="00A9561C">
        <w:rPr>
          <w:rFonts w:ascii="Times New Roman" w:hAnsi="Times New Roman" w:cs="Times New Roman"/>
          <w:color w:val="auto"/>
          <w:sz w:val="24"/>
          <w:szCs w:val="24"/>
        </w:rPr>
        <w:t xml:space="preserve"> Composition</w:t>
      </w:r>
      <w:bookmarkStart w:id="19" w:name="_Toc182989756"/>
      <w:bookmarkEnd w:id="17"/>
      <w:bookmarkEnd w:id="18"/>
    </w:p>
    <w:bookmarkEnd w:id="19"/>
    <w:p w14:paraId="119D9956" w14:textId="77777777" w:rsidR="00A038BB" w:rsidRPr="00A9561C" w:rsidRDefault="00A038BB" w:rsidP="00A038BB">
      <w:pPr>
        <w:spacing w:after="0" w:line="360" w:lineRule="auto"/>
        <w:jc w:val="both"/>
        <w:rPr>
          <w:rFonts w:ascii="Times New Roman" w:hAnsi="Times New Roman" w:cs="Times New Roman"/>
          <w:sz w:val="24"/>
          <w:szCs w:val="24"/>
        </w:rPr>
      </w:pPr>
    </w:p>
    <w:p w14:paraId="66102BB7"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lastRenderedPageBreak/>
        <w:t>According to the 2007 Census conducted by the Central Statistical Agency of Ethiopia, the population of the Eastern Zone was documented as 755,343, consisting of 359,638 men and 395,705 women. 19.34% resided in cities, with most being part of the Tigray ethnic group. Tigrinya was the main language used by 96% of the people. The population was primarily composed of Orthodox Christians, accounting for 95.73%, with Muslims following at 2.4% and Catholics at 1.79%. The population in 1994 was 584,946, mostly consisting of Tigrayans. Only 9% of the population had electricity available, with 88.2 kilometers of roads per 1000 square kilometers. The majority of rural households possessed half a hectare of land and seven-tenths of a livestock animal. A high number of individuals were employed in non-agricultural sectors, while a considerable portion of kids went to school. The region was not threatened by the tsetse fly but was exposed to a drought risk of 573.</w:t>
      </w:r>
    </w:p>
    <w:p w14:paraId="156A0385" w14:textId="77777777" w:rsidR="00A038BB" w:rsidRPr="00A9561C" w:rsidRDefault="00A038BB" w:rsidP="00A038BB">
      <w:pPr>
        <w:spacing w:after="0" w:line="360" w:lineRule="auto"/>
        <w:jc w:val="both"/>
        <w:rPr>
          <w:rFonts w:ascii="Times New Roman" w:hAnsi="Times New Roman" w:cs="Times New Roman"/>
          <w:sz w:val="24"/>
          <w:szCs w:val="24"/>
        </w:rPr>
      </w:pPr>
    </w:p>
    <w:p w14:paraId="1F15B858" w14:textId="77777777" w:rsidR="00A038BB" w:rsidRPr="00A9561C" w:rsidRDefault="00A038BB" w:rsidP="00A038BB">
      <w:pPr>
        <w:spacing w:after="0" w:line="360" w:lineRule="auto"/>
        <w:jc w:val="both"/>
        <w:rPr>
          <w:rFonts w:ascii="Times New Roman" w:hAnsi="Times New Roman" w:cs="Times New Roman"/>
          <w:sz w:val="24"/>
          <w:szCs w:val="24"/>
        </w:rPr>
      </w:pPr>
    </w:p>
    <w:p w14:paraId="1F4DD632" w14:textId="77777777" w:rsidR="00A038BB" w:rsidRPr="00A9561C" w:rsidRDefault="00A038BB" w:rsidP="00A038BB">
      <w:pPr>
        <w:pStyle w:val="Heading1"/>
        <w:spacing w:before="0"/>
        <w:rPr>
          <w:rFonts w:ascii="Times New Roman" w:hAnsi="Times New Roman" w:cs="Times New Roman"/>
          <w:color w:val="auto"/>
          <w:sz w:val="24"/>
          <w:szCs w:val="24"/>
        </w:rPr>
      </w:pPr>
      <w:bookmarkStart w:id="20" w:name="_Toc187073315"/>
      <w:bookmarkStart w:id="21" w:name="_Toc186891501"/>
      <w:r w:rsidRPr="00A9561C">
        <w:rPr>
          <w:rFonts w:ascii="Times New Roman" w:hAnsi="Times New Roman" w:cs="Times New Roman"/>
          <w:color w:val="auto"/>
          <w:sz w:val="24"/>
          <w:szCs w:val="24"/>
        </w:rPr>
        <w:t>7. Research Methodology</w:t>
      </w:r>
      <w:bookmarkEnd w:id="20"/>
      <w:bookmarkEnd w:id="21"/>
    </w:p>
    <w:p w14:paraId="081F07EC" w14:textId="77777777" w:rsidR="00A038BB" w:rsidRPr="00A9561C" w:rsidRDefault="00A038BB" w:rsidP="00A038BB">
      <w:pPr>
        <w:rPr>
          <w:rFonts w:ascii="Times New Roman" w:hAnsi="Times New Roman" w:cs="Times New Roman"/>
          <w:sz w:val="24"/>
          <w:szCs w:val="24"/>
        </w:rPr>
      </w:pPr>
    </w:p>
    <w:p w14:paraId="297F8E5A" w14:textId="77777777" w:rsidR="00A038BB" w:rsidRPr="00A9561C" w:rsidRDefault="00A038BB" w:rsidP="00A038BB">
      <w:pPr>
        <w:pStyle w:val="Heading2"/>
        <w:spacing w:before="0"/>
        <w:rPr>
          <w:rFonts w:ascii="Times New Roman" w:hAnsi="Times New Roman" w:cs="Times New Roman"/>
          <w:color w:val="auto"/>
          <w:sz w:val="24"/>
          <w:szCs w:val="24"/>
          <w:lang w:eastAsia="en-GB"/>
        </w:rPr>
      </w:pPr>
      <w:bookmarkStart w:id="22" w:name="_Toc187073316"/>
      <w:bookmarkStart w:id="23" w:name="_Toc186891502"/>
      <w:r w:rsidRPr="00A9561C">
        <w:rPr>
          <w:rFonts w:ascii="Times New Roman" w:hAnsi="Times New Roman" w:cs="Times New Roman"/>
          <w:color w:val="auto"/>
          <w:sz w:val="24"/>
          <w:szCs w:val="24"/>
          <w:lang w:eastAsia="en-GB"/>
        </w:rPr>
        <w:t>7.1 Research Design</w:t>
      </w:r>
      <w:bookmarkEnd w:id="22"/>
      <w:bookmarkEnd w:id="23"/>
    </w:p>
    <w:p w14:paraId="1D84CD37" w14:textId="77777777" w:rsidR="00A038BB" w:rsidRPr="00A9561C" w:rsidRDefault="00A038BB" w:rsidP="00A038BB">
      <w:pPr>
        <w:spacing w:after="0"/>
        <w:rPr>
          <w:rFonts w:ascii="Times New Roman" w:hAnsi="Times New Roman" w:cs="Times New Roman"/>
          <w:sz w:val="24"/>
          <w:szCs w:val="24"/>
          <w:lang w:eastAsia="en-GB"/>
        </w:rPr>
      </w:pPr>
    </w:p>
    <w:p w14:paraId="0AC18B81" w14:textId="77777777" w:rsidR="00A038BB" w:rsidRPr="00A9561C" w:rsidRDefault="00A038BB" w:rsidP="00A038BB">
      <w:pPr>
        <w:spacing w:after="0" w:line="360" w:lineRule="auto"/>
        <w:jc w:val="both"/>
        <w:rPr>
          <w:rFonts w:ascii="Times New Roman" w:hAnsi="Times New Roman" w:cs="Times New Roman"/>
          <w:sz w:val="24"/>
          <w:szCs w:val="24"/>
        </w:rPr>
      </w:pPr>
      <w:bookmarkStart w:id="24" w:name="_Toc516844919"/>
      <w:r w:rsidRPr="00A9561C">
        <w:rPr>
          <w:rFonts w:ascii="Times New Roman" w:hAnsi="Times New Roman" w:cs="Times New Roman"/>
          <w:sz w:val="24"/>
          <w:szCs w:val="24"/>
        </w:rPr>
        <w:t>The approach employed in this study will be mixed methods. The study will be anthropological, primarily focusing on conducting ethnographic research mainly grounded in a qualitative approach, while quantitative methods will also be utilized. The ethnographic technique is an essential element of anthropological research design since it allows for a profound comprehension of cultural and social contexts (</w:t>
      </w:r>
      <w:proofErr w:type="spellStart"/>
      <w:r w:rsidRPr="00A9561C">
        <w:rPr>
          <w:rFonts w:ascii="Times New Roman" w:hAnsi="Times New Roman" w:cs="Times New Roman"/>
          <w:sz w:val="24"/>
          <w:szCs w:val="24"/>
        </w:rPr>
        <w:t>Gürcüm</w:t>
      </w:r>
      <w:proofErr w:type="spellEnd"/>
      <w:r w:rsidRPr="00A9561C">
        <w:rPr>
          <w:rFonts w:ascii="Times New Roman" w:hAnsi="Times New Roman" w:cs="Times New Roman"/>
          <w:sz w:val="24"/>
          <w:szCs w:val="24"/>
        </w:rPr>
        <w:t xml:space="preserve">, 2015). The method of long-term immersion in a culture and participant observation is considered the fundamental approach in anthropological studies (Sergiu, 2011). Therefore, the study will employ an ethnographic methodology to provide holistic anthropological understanding, accompanied by a quantitative approach. The ethnographic research approach will be crucial for comprehending subsistence patterns, food insecurity, and coping strategies in rural Tigray as it is a comprehensive approach. Furthermore, it will facilitate a complete understanding of the cultural, social, and economic elements that impact these phenomena in the study area. By employing the ethnographic approach, the study will explore and comprehend the sociocultural dynamics of the study tabias, where the household is considered as the unit of study. Consequently, the peasant households </w:t>
      </w:r>
      <w:r w:rsidRPr="00A9561C">
        <w:rPr>
          <w:rFonts w:ascii="Times New Roman" w:hAnsi="Times New Roman" w:cs="Times New Roman"/>
          <w:sz w:val="24"/>
          <w:szCs w:val="24"/>
        </w:rPr>
        <w:lastRenderedPageBreak/>
        <w:t>will be studied in their natural habitat. Long-term and intensive fieldwork will be conducted in the study areas by employing both etic and emic approaches.</w:t>
      </w:r>
    </w:p>
    <w:p w14:paraId="3E118325" w14:textId="77777777" w:rsidR="00A038BB" w:rsidRPr="00A9561C" w:rsidRDefault="00A038BB" w:rsidP="00A038BB">
      <w:pPr>
        <w:spacing w:after="0" w:line="360" w:lineRule="auto"/>
        <w:jc w:val="both"/>
        <w:rPr>
          <w:rFonts w:ascii="Times New Roman" w:hAnsi="Times New Roman" w:cs="Times New Roman"/>
          <w:sz w:val="24"/>
          <w:szCs w:val="24"/>
        </w:rPr>
      </w:pPr>
    </w:p>
    <w:p w14:paraId="40E0ED85"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r w:rsidRPr="00A9561C">
        <w:rPr>
          <w:rFonts w:ascii="Times New Roman" w:hAnsi="Times New Roman" w:cs="Times New Roman"/>
          <w:sz w:val="24"/>
          <w:szCs w:val="24"/>
          <w:shd w:val="clear" w:color="auto" w:fill="FFFFFF"/>
        </w:rPr>
        <w:t>The study design will utilize a descriptive research design to describe the phenomenon related to subsistence patterns, food insecurity, and coping strategies in the study tabias. Descriptive research, particularly in the form of qualitative description, is a valuable method in ethnographic studies, providing a comprehensive summary of events in everyday terms (</w:t>
      </w:r>
      <w:proofErr w:type="spellStart"/>
      <w:r w:rsidRPr="00A9561C">
        <w:rPr>
          <w:rFonts w:ascii="Times New Roman" w:hAnsi="Times New Roman" w:cs="Times New Roman"/>
          <w:sz w:val="24"/>
          <w:szCs w:val="24"/>
          <w:shd w:val="clear" w:color="auto" w:fill="FFFFFF"/>
        </w:rPr>
        <w:t>Sandelowski</w:t>
      </w:r>
      <w:proofErr w:type="spellEnd"/>
      <w:r w:rsidRPr="00A9561C">
        <w:rPr>
          <w:rFonts w:ascii="Times New Roman" w:hAnsi="Times New Roman" w:cs="Times New Roman"/>
          <w:sz w:val="24"/>
          <w:szCs w:val="24"/>
          <w:shd w:val="clear" w:color="auto" w:fill="FFFFFF"/>
        </w:rPr>
        <w:t xml:space="preserve">, 2000).   In the context of ethnographic research, this method can be applied to various stages, including the ethnographic interview, where it helps in asking descriptive, structural, and contrast questions (Spradley, 1979). </w:t>
      </w:r>
    </w:p>
    <w:p w14:paraId="1004E14F"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p>
    <w:p w14:paraId="26444CF2"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r w:rsidRPr="00A9561C">
        <w:rPr>
          <w:rFonts w:ascii="Times New Roman" w:hAnsi="Times New Roman" w:cs="Times New Roman"/>
          <w:sz w:val="24"/>
          <w:szCs w:val="24"/>
        </w:rPr>
        <w:t xml:space="preserve">The study is confined to three rural woredas of </w:t>
      </w:r>
      <w:proofErr w:type="spellStart"/>
      <w:r w:rsidRPr="00A9561C">
        <w:rPr>
          <w:rFonts w:ascii="Times New Roman" w:hAnsi="Times New Roman" w:cs="Times New Roman"/>
          <w:sz w:val="24"/>
          <w:szCs w:val="24"/>
        </w:rPr>
        <w:t>Gantafeshum</w:t>
      </w:r>
      <w:proofErr w:type="spellEnd"/>
      <w:r w:rsidRPr="00A9561C">
        <w:rPr>
          <w:rFonts w:ascii="Times New Roman" w:hAnsi="Times New Roman" w:cs="Times New Roman"/>
          <w:sz w:val="24"/>
          <w:szCs w:val="24"/>
        </w:rPr>
        <w:t xml:space="preserve">, </w:t>
      </w:r>
      <w:proofErr w:type="spellStart"/>
      <w:r w:rsidRPr="00A9561C">
        <w:rPr>
          <w:rFonts w:ascii="Times New Roman" w:hAnsi="Times New Roman" w:cs="Times New Roman"/>
          <w:sz w:val="24"/>
          <w:szCs w:val="24"/>
        </w:rPr>
        <w:t>Subha</w:t>
      </w:r>
      <w:proofErr w:type="spellEnd"/>
      <w:r w:rsidRPr="00A9561C">
        <w:rPr>
          <w:rFonts w:ascii="Times New Roman" w:hAnsi="Times New Roman" w:cs="Times New Roman"/>
          <w:sz w:val="24"/>
          <w:szCs w:val="24"/>
        </w:rPr>
        <w:t xml:space="preserve"> </w:t>
      </w:r>
      <w:proofErr w:type="spellStart"/>
      <w:r w:rsidRPr="00A9561C">
        <w:rPr>
          <w:rFonts w:ascii="Times New Roman" w:hAnsi="Times New Roman" w:cs="Times New Roman"/>
          <w:sz w:val="24"/>
          <w:szCs w:val="24"/>
        </w:rPr>
        <w:t>Sa’esie</w:t>
      </w:r>
      <w:proofErr w:type="spellEnd"/>
      <w:r w:rsidRPr="00A9561C">
        <w:rPr>
          <w:rFonts w:ascii="Times New Roman" w:hAnsi="Times New Roman" w:cs="Times New Roman"/>
          <w:sz w:val="24"/>
          <w:szCs w:val="24"/>
        </w:rPr>
        <w:t xml:space="preserve"> and </w:t>
      </w:r>
      <w:proofErr w:type="spellStart"/>
      <w:r w:rsidRPr="00A9561C">
        <w:rPr>
          <w:rFonts w:ascii="Times New Roman" w:hAnsi="Times New Roman" w:cs="Times New Roman"/>
          <w:sz w:val="24"/>
          <w:szCs w:val="24"/>
        </w:rPr>
        <w:t>Tsaeda</w:t>
      </w:r>
      <w:proofErr w:type="spellEnd"/>
      <w:r w:rsidRPr="00A9561C">
        <w:rPr>
          <w:rFonts w:ascii="Times New Roman" w:hAnsi="Times New Roman" w:cs="Times New Roman"/>
          <w:sz w:val="24"/>
          <w:szCs w:val="24"/>
        </w:rPr>
        <w:t xml:space="preserve"> </w:t>
      </w:r>
      <w:proofErr w:type="spellStart"/>
      <w:r w:rsidRPr="00A9561C">
        <w:rPr>
          <w:rFonts w:ascii="Times New Roman" w:hAnsi="Times New Roman" w:cs="Times New Roman"/>
          <w:sz w:val="24"/>
          <w:szCs w:val="24"/>
        </w:rPr>
        <w:t>Emba</w:t>
      </w:r>
      <w:proofErr w:type="spellEnd"/>
      <w:r w:rsidRPr="00A9561C">
        <w:rPr>
          <w:rFonts w:ascii="Times New Roman" w:hAnsi="Times New Roman" w:cs="Times New Roman"/>
          <w:sz w:val="24"/>
          <w:szCs w:val="24"/>
        </w:rPr>
        <w:t xml:space="preserve"> Woredas (districts) out of the 11 rural woredas in eastern Tigray region. The Woredas and the villages will be selected purposively in consultation with officials of the Eastern zone. The selected woredas will be considered as a representative of the Eastern zone particularly in terms of agro-ecological diversities and subsistence aspects.  </w:t>
      </w:r>
      <w:proofErr w:type="spellStart"/>
      <w:r w:rsidRPr="00A9561C">
        <w:rPr>
          <w:rFonts w:ascii="Times New Roman" w:hAnsi="Times New Roman" w:cs="Times New Roman"/>
          <w:sz w:val="24"/>
          <w:szCs w:val="24"/>
        </w:rPr>
        <w:t>Gantafeshum</w:t>
      </w:r>
      <w:proofErr w:type="spellEnd"/>
      <w:r w:rsidRPr="00A9561C">
        <w:rPr>
          <w:rFonts w:ascii="Times New Roman" w:hAnsi="Times New Roman" w:cs="Times New Roman"/>
          <w:sz w:val="24"/>
          <w:szCs w:val="24"/>
        </w:rPr>
        <w:t xml:space="preserve">, </w:t>
      </w:r>
      <w:proofErr w:type="spellStart"/>
      <w:r w:rsidRPr="00A9561C">
        <w:rPr>
          <w:rFonts w:ascii="Times New Roman" w:hAnsi="Times New Roman" w:cs="Times New Roman"/>
          <w:sz w:val="24"/>
          <w:szCs w:val="24"/>
        </w:rPr>
        <w:t>Subha</w:t>
      </w:r>
      <w:proofErr w:type="spellEnd"/>
      <w:r w:rsidRPr="00A9561C">
        <w:rPr>
          <w:rFonts w:ascii="Times New Roman" w:hAnsi="Times New Roman" w:cs="Times New Roman"/>
          <w:sz w:val="24"/>
          <w:szCs w:val="24"/>
        </w:rPr>
        <w:t xml:space="preserve"> </w:t>
      </w:r>
      <w:proofErr w:type="spellStart"/>
      <w:r w:rsidRPr="00A9561C">
        <w:rPr>
          <w:rFonts w:ascii="Times New Roman" w:hAnsi="Times New Roman" w:cs="Times New Roman"/>
          <w:sz w:val="24"/>
          <w:szCs w:val="24"/>
        </w:rPr>
        <w:t>Sa’esie</w:t>
      </w:r>
      <w:proofErr w:type="spellEnd"/>
      <w:r w:rsidRPr="00A9561C">
        <w:rPr>
          <w:rFonts w:ascii="Times New Roman" w:hAnsi="Times New Roman" w:cs="Times New Roman"/>
          <w:sz w:val="24"/>
          <w:szCs w:val="24"/>
        </w:rPr>
        <w:t xml:space="preserve"> and </w:t>
      </w:r>
      <w:proofErr w:type="spellStart"/>
      <w:r w:rsidRPr="00A9561C">
        <w:rPr>
          <w:rFonts w:ascii="Times New Roman" w:hAnsi="Times New Roman" w:cs="Times New Roman"/>
          <w:sz w:val="24"/>
          <w:szCs w:val="24"/>
        </w:rPr>
        <w:t>Tsaeda</w:t>
      </w:r>
      <w:proofErr w:type="spellEnd"/>
      <w:r w:rsidRPr="00A9561C">
        <w:rPr>
          <w:rFonts w:ascii="Times New Roman" w:hAnsi="Times New Roman" w:cs="Times New Roman"/>
          <w:sz w:val="24"/>
          <w:szCs w:val="24"/>
        </w:rPr>
        <w:t xml:space="preserve"> </w:t>
      </w:r>
      <w:proofErr w:type="spellStart"/>
      <w:r w:rsidRPr="00A9561C">
        <w:rPr>
          <w:rFonts w:ascii="Times New Roman" w:hAnsi="Times New Roman" w:cs="Times New Roman"/>
          <w:sz w:val="24"/>
          <w:szCs w:val="24"/>
        </w:rPr>
        <w:t>Emba</w:t>
      </w:r>
      <w:proofErr w:type="spellEnd"/>
      <w:r w:rsidRPr="00A9561C">
        <w:rPr>
          <w:rFonts w:ascii="Times New Roman" w:hAnsi="Times New Roman" w:cs="Times New Roman"/>
          <w:sz w:val="24"/>
          <w:szCs w:val="24"/>
        </w:rPr>
        <w:t xml:space="preserve"> Woredas consists of 45 tabias where three of them (</w:t>
      </w:r>
      <w:proofErr w:type="spellStart"/>
      <w:r w:rsidRPr="00A9561C">
        <w:rPr>
          <w:rFonts w:ascii="Times New Roman" w:hAnsi="Times New Roman" w:cs="Times New Roman"/>
          <w:sz w:val="24"/>
          <w:szCs w:val="24"/>
        </w:rPr>
        <w:t>Guahgot</w:t>
      </w:r>
      <w:proofErr w:type="spellEnd"/>
      <w:r w:rsidRPr="00A9561C">
        <w:rPr>
          <w:rFonts w:ascii="Times New Roman" w:hAnsi="Times New Roman" w:cs="Times New Roman"/>
          <w:sz w:val="24"/>
          <w:szCs w:val="24"/>
        </w:rPr>
        <w:t xml:space="preserve">, </w:t>
      </w:r>
      <w:proofErr w:type="spellStart"/>
      <w:r w:rsidRPr="00A9561C">
        <w:rPr>
          <w:rFonts w:ascii="Times New Roman" w:hAnsi="Times New Roman" w:cs="Times New Roman"/>
          <w:sz w:val="24"/>
          <w:szCs w:val="24"/>
        </w:rPr>
        <w:t>Beleso</w:t>
      </w:r>
      <w:proofErr w:type="spellEnd"/>
      <w:r w:rsidRPr="00A9561C">
        <w:rPr>
          <w:rFonts w:ascii="Times New Roman" w:hAnsi="Times New Roman" w:cs="Times New Roman"/>
          <w:sz w:val="24"/>
          <w:szCs w:val="24"/>
        </w:rPr>
        <w:t xml:space="preserve"> and </w:t>
      </w:r>
      <w:proofErr w:type="spellStart"/>
      <w:r w:rsidRPr="00A9561C">
        <w:rPr>
          <w:rFonts w:ascii="Times New Roman" w:hAnsi="Times New Roman" w:cs="Times New Roman"/>
          <w:sz w:val="24"/>
          <w:szCs w:val="24"/>
        </w:rPr>
        <w:t>Agazi</w:t>
      </w:r>
      <w:proofErr w:type="spellEnd"/>
      <w:r w:rsidRPr="00A9561C">
        <w:rPr>
          <w:rFonts w:ascii="Times New Roman" w:hAnsi="Times New Roman" w:cs="Times New Roman"/>
          <w:sz w:val="24"/>
          <w:szCs w:val="24"/>
        </w:rPr>
        <w:t xml:space="preserve">) will be selected for the </w:t>
      </w:r>
      <w:r w:rsidRPr="00A9561C">
        <w:rPr>
          <w:rFonts w:ascii="Times New Roman" w:hAnsi="Times New Roman" w:cs="Times New Roman"/>
          <w:sz w:val="24"/>
          <w:szCs w:val="24"/>
          <w:shd w:val="clear" w:color="auto" w:fill="FFFFFF"/>
        </w:rPr>
        <w:t xml:space="preserve">ethnographic study because of various key qualities such as rich socio-history, originality and Agro ecological zone. There is also a rich oral history in </w:t>
      </w:r>
      <w:proofErr w:type="spellStart"/>
      <w:r w:rsidRPr="00A9561C">
        <w:rPr>
          <w:rFonts w:ascii="Times New Roman" w:hAnsi="Times New Roman" w:cs="Times New Roman"/>
          <w:sz w:val="24"/>
          <w:szCs w:val="24"/>
          <w:shd w:val="clear" w:color="auto" w:fill="FFFFFF"/>
        </w:rPr>
        <w:t>Beleso</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Agazi</w:t>
      </w:r>
      <w:proofErr w:type="spellEnd"/>
      <w:r w:rsidRPr="00A9561C">
        <w:rPr>
          <w:rFonts w:ascii="Times New Roman" w:hAnsi="Times New Roman" w:cs="Times New Roman"/>
          <w:sz w:val="24"/>
          <w:szCs w:val="24"/>
          <w:shd w:val="clear" w:color="auto" w:fill="FFFFFF"/>
        </w:rPr>
        <w:t xml:space="preserve">, </w:t>
      </w:r>
      <w:proofErr w:type="spellStart"/>
      <w:r w:rsidRPr="00A9561C">
        <w:rPr>
          <w:rFonts w:ascii="Times New Roman" w:hAnsi="Times New Roman" w:cs="Times New Roman"/>
          <w:sz w:val="24"/>
          <w:szCs w:val="24"/>
          <w:shd w:val="clear" w:color="auto" w:fill="FFFFFF"/>
        </w:rPr>
        <w:t>Guahgot</w:t>
      </w:r>
      <w:proofErr w:type="spellEnd"/>
      <w:r w:rsidRPr="00A9561C">
        <w:rPr>
          <w:rFonts w:ascii="Times New Roman" w:hAnsi="Times New Roman" w:cs="Times New Roman"/>
          <w:sz w:val="24"/>
          <w:szCs w:val="24"/>
          <w:shd w:val="clear" w:color="auto" w:fill="FFFFFF"/>
        </w:rPr>
        <w:t>. Additionally, the tibias are easily accessible, facilitating regular connection with neighborhood woredas and minimizing logistical obstacles. Preliminary visits to the areas also gave useful information into the research environment and its appropriateness for the ethnographic study, assuring practical feasibility and supporting ethical standards of community engagement and consent.</w:t>
      </w:r>
    </w:p>
    <w:p w14:paraId="2548B110"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p>
    <w:p w14:paraId="70BD81C9" w14:textId="77777777" w:rsidR="00A038BB" w:rsidRPr="00A9561C" w:rsidRDefault="00A038BB" w:rsidP="00A038BB">
      <w:pPr>
        <w:pStyle w:val="Heading2"/>
        <w:spacing w:before="0"/>
        <w:rPr>
          <w:rFonts w:ascii="Times New Roman" w:hAnsi="Times New Roman" w:cs="Times New Roman"/>
          <w:color w:val="auto"/>
          <w:sz w:val="24"/>
          <w:szCs w:val="24"/>
        </w:rPr>
      </w:pPr>
      <w:bookmarkStart w:id="25" w:name="_Toc187073317"/>
      <w:bookmarkStart w:id="26" w:name="_Toc186891503"/>
      <w:r w:rsidRPr="00A9561C">
        <w:rPr>
          <w:rFonts w:ascii="Times New Roman" w:hAnsi="Times New Roman" w:cs="Times New Roman"/>
          <w:color w:val="auto"/>
          <w:sz w:val="24"/>
          <w:szCs w:val="24"/>
        </w:rPr>
        <w:t>7.2. Sample Size and Sampling Technique</w:t>
      </w:r>
      <w:bookmarkEnd w:id="24"/>
      <w:bookmarkEnd w:id="25"/>
      <w:bookmarkEnd w:id="26"/>
    </w:p>
    <w:p w14:paraId="3128E718" w14:textId="77777777" w:rsidR="00A038BB" w:rsidRPr="00A9561C" w:rsidRDefault="00A038BB" w:rsidP="00A038BB">
      <w:pPr>
        <w:spacing w:after="0"/>
        <w:rPr>
          <w:rFonts w:ascii="Times New Roman" w:hAnsi="Times New Roman" w:cs="Times New Roman"/>
          <w:sz w:val="24"/>
          <w:szCs w:val="24"/>
        </w:rPr>
      </w:pPr>
    </w:p>
    <w:p w14:paraId="09364CED" w14:textId="77777777" w:rsidR="00A038BB" w:rsidRPr="00A9561C" w:rsidRDefault="00A038BB" w:rsidP="00A038BB">
      <w:pPr>
        <w:pStyle w:val="NormalWeb"/>
        <w:spacing w:before="0" w:beforeAutospacing="0" w:after="0" w:afterAutospacing="0" w:line="360" w:lineRule="auto"/>
        <w:jc w:val="both"/>
      </w:pPr>
      <w:r w:rsidRPr="00A9561C">
        <w:t xml:space="preserve">A combination of probability and non-probability sampling techniques employed to select the sample population. Probability sampling, specifically stratified random sampling, used to collect data from different </w:t>
      </w:r>
      <w:r w:rsidRPr="00A9561C">
        <w:rPr>
          <w:rStyle w:val="Emphasis"/>
          <w:rFonts w:eastAsiaTheme="majorEastAsia"/>
        </w:rPr>
        <w:t>Tabias</w:t>
      </w:r>
      <w:r w:rsidRPr="00A9561C">
        <w:t xml:space="preserve"> in Eastern Tigray. These techniques are instrumental in minimizing bias, especially when accounting for the heterogeneity of socio-economic factors (e.g., </w:t>
      </w:r>
      <w:r w:rsidRPr="00A9561C">
        <w:lastRenderedPageBreak/>
        <w:t xml:space="preserve">household family size) and agroecological zone strata within each </w:t>
      </w:r>
      <w:proofErr w:type="spellStart"/>
      <w:r w:rsidRPr="00A9561C">
        <w:rPr>
          <w:rStyle w:val="Emphasis"/>
          <w:rFonts w:eastAsiaTheme="majorEastAsia"/>
        </w:rPr>
        <w:t>Tabia</w:t>
      </w:r>
      <w:proofErr w:type="spellEnd"/>
      <w:r w:rsidRPr="00A9561C">
        <w:t xml:space="preserve"> (</w:t>
      </w:r>
      <w:proofErr w:type="spellStart"/>
      <w:r w:rsidRPr="00A9561C">
        <w:t>Beleso</w:t>
      </w:r>
      <w:proofErr w:type="spellEnd"/>
      <w:r w:rsidRPr="00A9561C">
        <w:t xml:space="preserve">, </w:t>
      </w:r>
      <w:proofErr w:type="spellStart"/>
      <w:r w:rsidRPr="00A9561C">
        <w:t>Guahgot</w:t>
      </w:r>
      <w:proofErr w:type="spellEnd"/>
      <w:r w:rsidRPr="00A9561C">
        <w:t xml:space="preserve">, and </w:t>
      </w:r>
      <w:proofErr w:type="spellStart"/>
      <w:r w:rsidRPr="00A9561C">
        <w:t>Agazi</w:t>
      </w:r>
      <w:proofErr w:type="spellEnd"/>
      <w:r w:rsidRPr="00A9561C">
        <w:t>) of the study area.</w:t>
      </w:r>
    </w:p>
    <w:p w14:paraId="0331E556" w14:textId="77777777" w:rsidR="00A038BB" w:rsidRPr="00A9561C" w:rsidRDefault="00A038BB" w:rsidP="00A038BB">
      <w:pPr>
        <w:pStyle w:val="NormalWeb"/>
        <w:spacing w:before="0" w:beforeAutospacing="0" w:after="0" w:afterAutospacing="0" w:line="360" w:lineRule="auto"/>
        <w:jc w:val="both"/>
      </w:pPr>
    </w:p>
    <w:p w14:paraId="2C37C16D" w14:textId="77777777" w:rsidR="00A038BB" w:rsidRPr="00A9561C" w:rsidRDefault="00A038BB" w:rsidP="00A038BB">
      <w:pPr>
        <w:pStyle w:val="NormalWeb"/>
        <w:spacing w:before="0" w:beforeAutospacing="0" w:after="0" w:afterAutospacing="0" w:line="360" w:lineRule="auto"/>
        <w:jc w:val="both"/>
      </w:pPr>
      <w:r w:rsidRPr="00A9561C">
        <w:t xml:space="preserve">Using these methods, the sampling frame organized into relatively homogeneous strata. Then, respondents will be selected through simple random sampling within each stratum, proportional to the quota size. This approach ensures fair representation of the various household sizes in the study area. The sample size applied on the population to be studied, and the selection based on a list of formally registered residents in each </w:t>
      </w:r>
      <w:r w:rsidRPr="00A9561C">
        <w:rPr>
          <w:rStyle w:val="Emphasis"/>
          <w:rFonts w:eastAsiaTheme="majorEastAsia"/>
        </w:rPr>
        <w:t>Tabia</w:t>
      </w:r>
      <w:r w:rsidRPr="00A9561C">
        <w:t xml:space="preserve">, as provided by the </w:t>
      </w:r>
      <w:proofErr w:type="spellStart"/>
      <w:r w:rsidRPr="00A9561C">
        <w:rPr>
          <w:rStyle w:val="Emphasis"/>
          <w:rFonts w:eastAsiaTheme="majorEastAsia"/>
        </w:rPr>
        <w:t>wereda</w:t>
      </w:r>
      <w:proofErr w:type="spellEnd"/>
      <w:r w:rsidRPr="00A9561C">
        <w:t xml:space="preserve"> municipal administration. The sample size chosen considered representative of the total population.</w:t>
      </w:r>
    </w:p>
    <w:p w14:paraId="72043A61" w14:textId="77777777" w:rsidR="00A038BB" w:rsidRPr="00A9561C" w:rsidRDefault="00A038BB" w:rsidP="00A038BB">
      <w:pPr>
        <w:pStyle w:val="NormalWeb"/>
        <w:spacing w:before="0" w:beforeAutospacing="0" w:after="0" w:afterAutospacing="0" w:line="360" w:lineRule="auto"/>
        <w:jc w:val="both"/>
      </w:pPr>
      <w:r w:rsidRPr="00A9561C">
        <w:t xml:space="preserve">The non-probability sampling technique will be used to select three rural woredas from 11 rural woredas and three tabias out of 45 tabias in three rural woredas and key informants, including the </w:t>
      </w:r>
      <w:r w:rsidRPr="00A9561C">
        <w:rPr>
          <w:rStyle w:val="Emphasis"/>
          <w:rFonts w:eastAsiaTheme="majorEastAsia"/>
        </w:rPr>
        <w:t>woreda</w:t>
      </w:r>
      <w:r w:rsidRPr="00A9561C">
        <w:t xml:space="preserve"> administrator, </w:t>
      </w:r>
      <w:r w:rsidRPr="00A9561C">
        <w:rPr>
          <w:rStyle w:val="Emphasis"/>
          <w:rFonts w:eastAsiaTheme="majorEastAsia"/>
        </w:rPr>
        <w:t>Tabia</w:t>
      </w:r>
      <w:r w:rsidRPr="00A9561C">
        <w:t xml:space="preserve"> administrators, and development agents (DAs), through purposive sampling.</w:t>
      </w:r>
    </w:p>
    <w:p w14:paraId="27408C88" w14:textId="77777777" w:rsidR="00A038BB" w:rsidRPr="00A9561C" w:rsidRDefault="00A038BB" w:rsidP="00A038BB">
      <w:pPr>
        <w:autoSpaceDE w:val="0"/>
        <w:autoSpaceDN w:val="0"/>
        <w:adjustRightInd w:val="0"/>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 xml:space="preserve">The sample size will be determined using the formula developed by </w:t>
      </w:r>
      <w:proofErr w:type="spellStart"/>
      <w:r w:rsidRPr="00A9561C">
        <w:rPr>
          <w:rFonts w:ascii="Times New Roman" w:hAnsi="Times New Roman" w:cs="Times New Roman"/>
          <w:sz w:val="24"/>
          <w:szCs w:val="24"/>
        </w:rPr>
        <w:t>Kothar</w:t>
      </w:r>
      <w:proofErr w:type="spellEnd"/>
      <w:r w:rsidRPr="00A9561C">
        <w:rPr>
          <w:rFonts w:ascii="Times New Roman" w:hAnsi="Times New Roman" w:cs="Times New Roman"/>
          <w:sz w:val="24"/>
          <w:szCs w:val="24"/>
        </w:rPr>
        <w:t xml:space="preserve"> (2004), assuming 95% confidence level and D = 0.5:</w:t>
      </w:r>
      <w:r w:rsidRPr="00A9561C">
        <w:rPr>
          <w:rFonts w:ascii="Times New Roman" w:hAnsi="Times New Roman" w:cs="Times New Roman"/>
          <w:sz w:val="24"/>
          <w:szCs w:val="24"/>
        </w:rPr>
        <w:fldChar w:fldCharType="begin"/>
      </w:r>
      <w:r w:rsidRPr="00A9561C">
        <w:rPr>
          <w:rFonts w:ascii="Times New Roman" w:hAnsi="Times New Roman" w:cs="Times New Roman"/>
          <w:sz w:val="24"/>
          <w:szCs w:val="24"/>
        </w:rPr>
        <w:instrText xml:space="preserve"> QUOTE n=N1+N(e)2 </w:instrText>
      </w:r>
      <w:r w:rsidRPr="00A9561C">
        <w:rPr>
          <w:rFonts w:ascii="Times New Roman" w:hAnsi="Times New Roman" w:cs="Times New Roman"/>
          <w:sz w:val="24"/>
          <w:szCs w:val="24"/>
        </w:rPr>
        <w:fldChar w:fldCharType="separate"/>
      </w:r>
    </w:p>
    <w:p w14:paraId="725C0975" w14:textId="77777777" w:rsidR="00A038BB" w:rsidRPr="00A9561C" w:rsidRDefault="00A038BB" w:rsidP="00A038BB">
      <w:pPr>
        <w:spacing w:after="0"/>
        <w:jc w:val="center"/>
        <w:rPr>
          <w:rFonts w:ascii="Times New Roman" w:hAnsi="Times New Roman" w:cs="Times New Roman"/>
          <w:sz w:val="24"/>
          <w:szCs w:val="24"/>
        </w:rPr>
      </w:pPr>
      <w:r w:rsidRPr="00A9561C">
        <w:rPr>
          <w:rFonts w:ascii="Times New Roman" w:hAnsi="Times New Roman" w:cs="Times New Roman"/>
          <w:noProof/>
          <w:sz w:val="24"/>
          <w:szCs w:val="24"/>
        </w:rPr>
        <w:drawing>
          <wp:inline distT="0" distB="0" distL="0" distR="0" wp14:anchorId="4EEC3DDB" wp14:editId="580DC8A2">
            <wp:extent cx="1343025" cy="514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514350"/>
                    </a:xfrm>
                    <a:prstGeom prst="rect">
                      <a:avLst/>
                    </a:prstGeom>
                    <a:noFill/>
                    <a:ln>
                      <a:noFill/>
                    </a:ln>
                  </pic:spPr>
                </pic:pic>
              </a:graphicData>
            </a:graphic>
          </wp:inline>
        </w:drawing>
      </w:r>
    </w:p>
    <w:p w14:paraId="4FE3B55B" w14:textId="77777777" w:rsidR="00A038BB" w:rsidRPr="00A9561C" w:rsidRDefault="00A038BB" w:rsidP="00A038BB">
      <w:pPr>
        <w:spacing w:after="0"/>
        <w:jc w:val="center"/>
        <w:rPr>
          <w:rFonts w:ascii="Times New Roman" w:hAnsi="Times New Roman" w:cs="Times New Roman"/>
          <w:sz w:val="24"/>
          <w:szCs w:val="24"/>
        </w:rPr>
      </w:pPr>
      <w:r w:rsidRPr="00A9561C">
        <w:rPr>
          <w:rFonts w:ascii="Times New Roman" w:hAnsi="Times New Roman" w:cs="Times New Roman"/>
          <w:noProof/>
          <w:sz w:val="24"/>
          <w:szCs w:val="24"/>
        </w:rPr>
        <w:drawing>
          <wp:inline distT="0" distB="0" distL="0" distR="0" wp14:anchorId="23D6D308" wp14:editId="036AAE21">
            <wp:extent cx="2581275" cy="514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1275" cy="514350"/>
                    </a:xfrm>
                    <a:prstGeom prst="rect">
                      <a:avLst/>
                    </a:prstGeom>
                    <a:noFill/>
                    <a:ln>
                      <a:noFill/>
                    </a:ln>
                  </pic:spPr>
                </pic:pic>
              </a:graphicData>
            </a:graphic>
          </wp:inline>
        </w:drawing>
      </w:r>
    </w:p>
    <w:p w14:paraId="6DB1349B" w14:textId="77777777" w:rsidR="00A038BB" w:rsidRPr="00A9561C" w:rsidRDefault="00A038BB" w:rsidP="00A038BB">
      <w:pPr>
        <w:spacing w:after="0"/>
        <w:jc w:val="center"/>
        <w:rPr>
          <w:rFonts w:ascii="Times New Roman" w:hAnsi="Times New Roman" w:cs="Times New Roman"/>
          <w:sz w:val="24"/>
          <w:szCs w:val="24"/>
        </w:rPr>
      </w:pPr>
      <w:r w:rsidRPr="00A9561C">
        <w:rPr>
          <w:rFonts w:ascii="Times New Roman" w:hAnsi="Times New Roman" w:cs="Times New Roman"/>
          <w:noProof/>
          <w:sz w:val="24"/>
          <w:szCs w:val="24"/>
        </w:rPr>
        <w:drawing>
          <wp:inline distT="0" distB="0" distL="0" distR="0" wp14:anchorId="2EA6E1C2" wp14:editId="532FAB0A">
            <wp:extent cx="495300" cy="314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314325"/>
                    </a:xfrm>
                    <a:prstGeom prst="rect">
                      <a:avLst/>
                    </a:prstGeom>
                    <a:noFill/>
                    <a:ln>
                      <a:noFill/>
                    </a:ln>
                  </pic:spPr>
                </pic:pic>
              </a:graphicData>
            </a:graphic>
          </wp:inline>
        </w:drawing>
      </w:r>
    </w:p>
    <w:p w14:paraId="423C0243"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fldChar w:fldCharType="end"/>
      </w:r>
      <w:r w:rsidRPr="00A9561C">
        <w:rPr>
          <w:rFonts w:ascii="Times New Roman" w:hAnsi="Times New Roman" w:cs="Times New Roman"/>
          <w:sz w:val="24"/>
          <w:szCs w:val="24"/>
        </w:rPr>
        <w:t xml:space="preserve">n- Sample </w:t>
      </w:r>
    </w:p>
    <w:p w14:paraId="132FAA2C"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N - Household unit variables</w:t>
      </w:r>
    </w:p>
    <w:p w14:paraId="26A007B1"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P- Expected prevalence or proportion (in proportion of one; 50%)</w:t>
      </w:r>
    </w:p>
    <w:p w14:paraId="6453E37F"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Q - (1-P)</w:t>
      </w:r>
    </w:p>
    <w:p w14:paraId="014B62F2"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D – Allowable error 0.05 significance</w:t>
      </w:r>
    </w:p>
    <w:p w14:paraId="441F8F4B"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Z – Standardize normal variable and valued that corresponds to 95% degree of confidence, which is conventional, Z value is 1.96.</w:t>
      </w:r>
    </w:p>
    <w:p w14:paraId="09C8FEA0"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A total of 342 household heads constituted the sample unit or sample size. Using a simple random sampling technique, 342 representative household heads selected from the study area, as the issue being studied is prevalent across the study area.</w:t>
      </w:r>
    </w:p>
    <w:p w14:paraId="7EDCFEE9" w14:textId="77777777" w:rsidR="00A038BB" w:rsidRPr="00A9561C" w:rsidRDefault="00A038BB" w:rsidP="00A038BB">
      <w:pPr>
        <w:spacing w:after="0" w:line="360" w:lineRule="auto"/>
        <w:jc w:val="both"/>
        <w:rPr>
          <w:rFonts w:ascii="Times New Roman" w:hAnsi="Times New Roman" w:cs="Times New Roman"/>
          <w:sz w:val="24"/>
          <w:szCs w:val="24"/>
        </w:rPr>
      </w:pPr>
    </w:p>
    <w:p w14:paraId="7F2C3916" w14:textId="77777777" w:rsidR="00A038BB" w:rsidRPr="00A9561C" w:rsidRDefault="00A038BB" w:rsidP="00A038BB">
      <w:pPr>
        <w:pStyle w:val="Heading1"/>
        <w:spacing w:before="0"/>
        <w:rPr>
          <w:rFonts w:ascii="Times New Roman" w:hAnsi="Times New Roman" w:cs="Times New Roman"/>
          <w:color w:val="auto"/>
          <w:sz w:val="24"/>
          <w:szCs w:val="24"/>
        </w:rPr>
      </w:pPr>
      <w:bookmarkStart w:id="27" w:name="_Toc187073318"/>
      <w:bookmarkStart w:id="28" w:name="_Toc187072985"/>
      <w:bookmarkStart w:id="29" w:name="_Toc186891504"/>
      <w:bookmarkStart w:id="30" w:name="_Toc186694747"/>
      <w:bookmarkStart w:id="31" w:name="_Toc186683479"/>
      <w:bookmarkStart w:id="32" w:name="_Toc186683178"/>
      <w:r w:rsidRPr="00A9561C">
        <w:rPr>
          <w:rFonts w:ascii="Times New Roman" w:hAnsi="Times New Roman" w:cs="Times New Roman"/>
          <w:color w:val="auto"/>
          <w:sz w:val="24"/>
          <w:szCs w:val="24"/>
        </w:rPr>
        <w:lastRenderedPageBreak/>
        <w:t>Table 1. Sample size and sampling technique</w:t>
      </w:r>
      <w:bookmarkEnd w:id="27"/>
      <w:bookmarkEnd w:id="28"/>
      <w:bookmarkEnd w:id="29"/>
      <w:bookmarkEnd w:id="30"/>
      <w:bookmarkEnd w:id="31"/>
      <w:bookmarkEnd w:id="32"/>
    </w:p>
    <w:tbl>
      <w:tblPr>
        <w:tblW w:w="9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043"/>
        <w:gridCol w:w="2773"/>
        <w:gridCol w:w="4713"/>
      </w:tblGrid>
      <w:tr w:rsidR="00A038BB" w:rsidRPr="00A9561C" w14:paraId="7F80712D" w14:textId="77777777" w:rsidTr="009152D0">
        <w:trPr>
          <w:trHeight w:val="935"/>
        </w:trPr>
        <w:tc>
          <w:tcPr>
            <w:tcW w:w="570" w:type="dxa"/>
            <w:tcBorders>
              <w:top w:val="single" w:sz="4" w:space="0" w:color="000000"/>
              <w:left w:val="single" w:sz="4" w:space="0" w:color="000000"/>
              <w:bottom w:val="single" w:sz="4" w:space="0" w:color="000000"/>
              <w:right w:val="single" w:sz="4" w:space="0" w:color="000000"/>
            </w:tcBorders>
            <w:hideMark/>
          </w:tcPr>
          <w:p w14:paraId="5E96F85A"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No.</w:t>
            </w:r>
          </w:p>
        </w:tc>
        <w:tc>
          <w:tcPr>
            <w:tcW w:w="974" w:type="dxa"/>
            <w:tcBorders>
              <w:top w:val="single" w:sz="4" w:space="0" w:color="000000"/>
              <w:left w:val="single" w:sz="4" w:space="0" w:color="000000"/>
              <w:bottom w:val="single" w:sz="4" w:space="0" w:color="000000"/>
              <w:right w:val="single" w:sz="4" w:space="0" w:color="000000"/>
            </w:tcBorders>
            <w:hideMark/>
          </w:tcPr>
          <w:p w14:paraId="60C27C2B"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 xml:space="preserve">Tabia </w:t>
            </w:r>
          </w:p>
        </w:tc>
        <w:tc>
          <w:tcPr>
            <w:tcW w:w="2794" w:type="dxa"/>
            <w:tcBorders>
              <w:top w:val="single" w:sz="4" w:space="0" w:color="000000"/>
              <w:left w:val="single" w:sz="4" w:space="0" w:color="000000"/>
              <w:bottom w:val="single" w:sz="4" w:space="0" w:color="000000"/>
              <w:right w:val="single" w:sz="4" w:space="0" w:color="000000"/>
            </w:tcBorders>
            <w:hideMark/>
          </w:tcPr>
          <w:p w14:paraId="202277E8"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Households size in each Tabias</w:t>
            </w:r>
          </w:p>
        </w:tc>
        <w:tc>
          <w:tcPr>
            <w:tcW w:w="4761" w:type="dxa"/>
            <w:tcBorders>
              <w:top w:val="single" w:sz="4" w:space="0" w:color="000000"/>
              <w:left w:val="single" w:sz="4" w:space="0" w:color="000000"/>
              <w:bottom w:val="single" w:sz="4" w:space="0" w:color="000000"/>
              <w:right w:val="single" w:sz="4" w:space="0" w:color="000000"/>
            </w:tcBorders>
            <w:hideMark/>
          </w:tcPr>
          <w:p w14:paraId="655EC38A" w14:textId="77777777" w:rsidR="00A038BB" w:rsidRPr="00A9561C" w:rsidRDefault="00A038BB" w:rsidP="009152D0">
            <w:pPr>
              <w:spacing w:after="0" w:line="360" w:lineRule="auto"/>
              <w:jc w:val="center"/>
              <w:rPr>
                <w:rFonts w:ascii="Times New Roman" w:hAnsi="Times New Roman" w:cs="Times New Roman"/>
                <w:sz w:val="24"/>
                <w:szCs w:val="24"/>
              </w:rPr>
            </w:pPr>
            <w:r w:rsidRPr="00A9561C">
              <w:rPr>
                <w:rFonts w:ascii="Times New Roman" w:hAnsi="Times New Roman" w:cs="Times New Roman"/>
                <w:sz w:val="24"/>
                <w:szCs w:val="24"/>
              </w:rPr>
              <w:t xml:space="preserve">Sample taken or proportional allocation </w:t>
            </w:r>
            <w:proofErr w:type="gramStart"/>
            <w:r w:rsidRPr="00A9561C">
              <w:rPr>
                <w:rFonts w:ascii="Times New Roman" w:hAnsi="Times New Roman" w:cs="Times New Roman"/>
                <w:sz w:val="24"/>
                <w:szCs w:val="24"/>
              </w:rPr>
              <w:t xml:space="preserve">   (</w:t>
            </w:r>
            <w:proofErr w:type="gramEnd"/>
            <w:r w:rsidRPr="00A9561C">
              <w:rPr>
                <w:rFonts w:ascii="Times New Roman" w:hAnsi="Times New Roman" w:cs="Times New Roman"/>
                <w:sz w:val="24"/>
                <w:szCs w:val="24"/>
              </w:rPr>
              <w:fldChar w:fldCharType="begin"/>
            </w:r>
            <w:r w:rsidRPr="00A9561C">
              <w:rPr>
                <w:rFonts w:ascii="Times New Roman" w:hAnsi="Times New Roman" w:cs="Times New Roman"/>
                <w:sz w:val="24"/>
                <w:szCs w:val="24"/>
              </w:rPr>
              <w:instrText xml:space="preserve"> QUOTE </w:instrText>
            </w:r>
            <w:r w:rsidRPr="00A9561C">
              <w:rPr>
                <w:rFonts w:ascii="Times New Roman" w:hAnsi="Times New Roman" w:cs="Times New Roman"/>
                <w:noProof/>
                <w:position w:val="-12"/>
                <w:sz w:val="24"/>
                <w:szCs w:val="24"/>
              </w:rPr>
              <w:drawing>
                <wp:inline distT="0" distB="0" distL="0" distR="0" wp14:anchorId="66C1771F" wp14:editId="2703CDF5">
                  <wp:extent cx="657225" cy="371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r w:rsidRPr="00A9561C">
              <w:rPr>
                <w:rFonts w:ascii="Times New Roman" w:hAnsi="Times New Roman" w:cs="Times New Roman"/>
                <w:sz w:val="24"/>
                <w:szCs w:val="24"/>
              </w:rPr>
              <w:instrText xml:space="preserve"> </w:instrText>
            </w:r>
            <w:r w:rsidRPr="00A9561C">
              <w:rPr>
                <w:rFonts w:ascii="Times New Roman" w:hAnsi="Times New Roman" w:cs="Times New Roman"/>
                <w:sz w:val="24"/>
                <w:szCs w:val="24"/>
              </w:rPr>
              <w:fldChar w:fldCharType="separate"/>
            </w:r>
            <w:r w:rsidRPr="00A9561C">
              <w:rPr>
                <w:rFonts w:ascii="Times New Roman" w:hAnsi="Times New Roman" w:cs="Times New Roman"/>
                <w:noProof/>
                <w:position w:val="-12"/>
                <w:sz w:val="24"/>
                <w:szCs w:val="24"/>
              </w:rPr>
              <w:drawing>
                <wp:inline distT="0" distB="0" distL="0" distR="0" wp14:anchorId="580106D8" wp14:editId="3A707A50">
                  <wp:extent cx="657225" cy="371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r w:rsidRPr="00A9561C">
              <w:rPr>
                <w:rFonts w:ascii="Times New Roman" w:hAnsi="Times New Roman" w:cs="Times New Roman"/>
                <w:sz w:val="24"/>
                <w:szCs w:val="24"/>
              </w:rPr>
              <w:fldChar w:fldCharType="end"/>
            </w:r>
            <w:r w:rsidRPr="00A9561C">
              <w:rPr>
                <w:rFonts w:ascii="Times New Roman" w:hAnsi="Times New Roman" w:cs="Times New Roman"/>
                <w:sz w:val="24"/>
                <w:szCs w:val="24"/>
              </w:rPr>
              <w:t>)</w:t>
            </w:r>
          </w:p>
        </w:tc>
      </w:tr>
      <w:tr w:rsidR="00A038BB" w:rsidRPr="00A9561C" w14:paraId="1DD4F9E3" w14:textId="77777777" w:rsidTr="009152D0">
        <w:trPr>
          <w:trHeight w:val="124"/>
        </w:trPr>
        <w:tc>
          <w:tcPr>
            <w:tcW w:w="570" w:type="dxa"/>
            <w:tcBorders>
              <w:top w:val="single" w:sz="4" w:space="0" w:color="000000"/>
              <w:left w:val="single" w:sz="4" w:space="0" w:color="000000"/>
              <w:bottom w:val="single" w:sz="4" w:space="0" w:color="000000"/>
              <w:right w:val="single" w:sz="4" w:space="0" w:color="000000"/>
            </w:tcBorders>
            <w:hideMark/>
          </w:tcPr>
          <w:p w14:paraId="7D82C8B3"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1</w:t>
            </w:r>
          </w:p>
        </w:tc>
        <w:tc>
          <w:tcPr>
            <w:tcW w:w="974" w:type="dxa"/>
            <w:tcBorders>
              <w:top w:val="single" w:sz="4" w:space="0" w:color="000000"/>
              <w:left w:val="single" w:sz="4" w:space="0" w:color="000000"/>
              <w:bottom w:val="single" w:sz="4" w:space="0" w:color="000000"/>
              <w:right w:val="single" w:sz="4" w:space="0" w:color="000000"/>
            </w:tcBorders>
            <w:hideMark/>
          </w:tcPr>
          <w:p w14:paraId="1D5A76E3" w14:textId="77777777" w:rsidR="00A038BB" w:rsidRPr="00A9561C" w:rsidRDefault="00A038BB" w:rsidP="009152D0">
            <w:pPr>
              <w:autoSpaceDE w:val="0"/>
              <w:autoSpaceDN w:val="0"/>
              <w:adjustRightInd w:val="0"/>
              <w:spacing w:after="0" w:line="360" w:lineRule="auto"/>
              <w:jc w:val="both"/>
              <w:rPr>
                <w:rFonts w:ascii="Times New Roman" w:hAnsi="Times New Roman" w:cs="Times New Roman"/>
                <w:sz w:val="24"/>
                <w:szCs w:val="24"/>
              </w:rPr>
            </w:pPr>
            <w:proofErr w:type="spellStart"/>
            <w:r w:rsidRPr="00A9561C">
              <w:rPr>
                <w:rFonts w:ascii="Times New Roman" w:hAnsi="Times New Roman" w:cs="Times New Roman"/>
                <w:sz w:val="24"/>
                <w:szCs w:val="24"/>
              </w:rPr>
              <w:t>Agazi</w:t>
            </w:r>
            <w:proofErr w:type="spellEnd"/>
            <w:r w:rsidRPr="00A9561C">
              <w:rPr>
                <w:rFonts w:ascii="Times New Roman" w:hAnsi="Times New Roman" w:cs="Times New Roman"/>
                <w:sz w:val="24"/>
                <w:szCs w:val="24"/>
              </w:rPr>
              <w:t xml:space="preserve"> </w:t>
            </w:r>
          </w:p>
        </w:tc>
        <w:tc>
          <w:tcPr>
            <w:tcW w:w="2794" w:type="dxa"/>
            <w:tcBorders>
              <w:top w:val="single" w:sz="4" w:space="0" w:color="000000"/>
              <w:left w:val="single" w:sz="4" w:space="0" w:color="000000"/>
              <w:bottom w:val="single" w:sz="4" w:space="0" w:color="000000"/>
              <w:right w:val="single" w:sz="4" w:space="0" w:color="000000"/>
            </w:tcBorders>
            <w:hideMark/>
          </w:tcPr>
          <w:p w14:paraId="328F9FAF"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1035</w:t>
            </w:r>
          </w:p>
        </w:tc>
        <w:tc>
          <w:tcPr>
            <w:tcW w:w="4761" w:type="dxa"/>
            <w:tcBorders>
              <w:top w:val="single" w:sz="4" w:space="0" w:color="000000"/>
              <w:left w:val="single" w:sz="4" w:space="0" w:color="000000"/>
              <w:bottom w:val="single" w:sz="4" w:space="0" w:color="000000"/>
              <w:right w:val="single" w:sz="4" w:space="0" w:color="000000"/>
            </w:tcBorders>
            <w:hideMark/>
          </w:tcPr>
          <w:p w14:paraId="4AEDBF69"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112</w:t>
            </w:r>
          </w:p>
        </w:tc>
      </w:tr>
      <w:tr w:rsidR="00A038BB" w:rsidRPr="00A9561C" w14:paraId="7E72A940" w14:textId="77777777" w:rsidTr="009152D0">
        <w:trPr>
          <w:trHeight w:val="188"/>
        </w:trPr>
        <w:tc>
          <w:tcPr>
            <w:tcW w:w="570" w:type="dxa"/>
            <w:tcBorders>
              <w:top w:val="single" w:sz="4" w:space="0" w:color="000000"/>
              <w:left w:val="single" w:sz="4" w:space="0" w:color="000000"/>
              <w:bottom w:val="single" w:sz="4" w:space="0" w:color="000000"/>
              <w:right w:val="single" w:sz="4" w:space="0" w:color="000000"/>
            </w:tcBorders>
            <w:hideMark/>
          </w:tcPr>
          <w:p w14:paraId="0E832BAC"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2</w:t>
            </w:r>
          </w:p>
        </w:tc>
        <w:tc>
          <w:tcPr>
            <w:tcW w:w="974" w:type="dxa"/>
            <w:tcBorders>
              <w:top w:val="single" w:sz="4" w:space="0" w:color="000000"/>
              <w:left w:val="single" w:sz="4" w:space="0" w:color="000000"/>
              <w:bottom w:val="single" w:sz="4" w:space="0" w:color="000000"/>
              <w:right w:val="single" w:sz="4" w:space="0" w:color="000000"/>
            </w:tcBorders>
            <w:hideMark/>
          </w:tcPr>
          <w:p w14:paraId="592F0D6C" w14:textId="77777777" w:rsidR="00A038BB" w:rsidRPr="00A9561C" w:rsidRDefault="00A038BB" w:rsidP="009152D0">
            <w:pPr>
              <w:spacing w:after="0"/>
              <w:rPr>
                <w:rFonts w:ascii="Times New Roman" w:hAnsi="Times New Roman" w:cs="Times New Roman"/>
                <w:sz w:val="24"/>
                <w:szCs w:val="24"/>
              </w:rPr>
            </w:pPr>
            <w:proofErr w:type="spellStart"/>
            <w:r w:rsidRPr="00A9561C">
              <w:rPr>
                <w:rFonts w:ascii="Times New Roman" w:hAnsi="Times New Roman" w:cs="Times New Roman"/>
                <w:sz w:val="24"/>
                <w:szCs w:val="24"/>
                <w:shd w:val="clear" w:color="auto" w:fill="FFFFFF"/>
              </w:rPr>
              <w:t>Beleso</w:t>
            </w:r>
            <w:proofErr w:type="spellEnd"/>
          </w:p>
        </w:tc>
        <w:tc>
          <w:tcPr>
            <w:tcW w:w="2794" w:type="dxa"/>
            <w:tcBorders>
              <w:top w:val="single" w:sz="4" w:space="0" w:color="000000"/>
              <w:left w:val="single" w:sz="4" w:space="0" w:color="000000"/>
              <w:bottom w:val="single" w:sz="4" w:space="0" w:color="000000"/>
              <w:right w:val="single" w:sz="4" w:space="0" w:color="000000"/>
            </w:tcBorders>
            <w:hideMark/>
          </w:tcPr>
          <w:p w14:paraId="7D22BAF4"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728</w:t>
            </w:r>
          </w:p>
        </w:tc>
        <w:tc>
          <w:tcPr>
            <w:tcW w:w="4761" w:type="dxa"/>
            <w:tcBorders>
              <w:top w:val="single" w:sz="4" w:space="0" w:color="000000"/>
              <w:left w:val="single" w:sz="4" w:space="0" w:color="000000"/>
              <w:bottom w:val="single" w:sz="4" w:space="0" w:color="000000"/>
              <w:right w:val="single" w:sz="4" w:space="0" w:color="000000"/>
            </w:tcBorders>
            <w:hideMark/>
          </w:tcPr>
          <w:p w14:paraId="386B10DC"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79</w:t>
            </w:r>
          </w:p>
        </w:tc>
      </w:tr>
      <w:tr w:rsidR="00A038BB" w:rsidRPr="00A9561C" w14:paraId="605BAD94" w14:textId="77777777" w:rsidTr="009152D0">
        <w:trPr>
          <w:trHeight w:val="251"/>
        </w:trPr>
        <w:tc>
          <w:tcPr>
            <w:tcW w:w="570" w:type="dxa"/>
            <w:tcBorders>
              <w:top w:val="single" w:sz="4" w:space="0" w:color="000000"/>
              <w:left w:val="single" w:sz="4" w:space="0" w:color="000000"/>
              <w:bottom w:val="single" w:sz="4" w:space="0" w:color="000000"/>
              <w:right w:val="single" w:sz="4" w:space="0" w:color="000000"/>
            </w:tcBorders>
            <w:hideMark/>
          </w:tcPr>
          <w:p w14:paraId="0FD3FA95"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hideMark/>
          </w:tcPr>
          <w:p w14:paraId="5240E332" w14:textId="77777777" w:rsidR="00A038BB" w:rsidRPr="00A9561C" w:rsidRDefault="00A038BB" w:rsidP="009152D0">
            <w:pPr>
              <w:spacing w:after="0"/>
              <w:rPr>
                <w:rFonts w:ascii="Times New Roman" w:hAnsi="Times New Roman" w:cs="Times New Roman"/>
                <w:sz w:val="24"/>
                <w:szCs w:val="24"/>
              </w:rPr>
            </w:pPr>
            <w:proofErr w:type="spellStart"/>
            <w:r w:rsidRPr="00A9561C">
              <w:rPr>
                <w:rFonts w:ascii="Times New Roman" w:hAnsi="Times New Roman" w:cs="Times New Roman"/>
                <w:sz w:val="24"/>
                <w:szCs w:val="24"/>
              </w:rPr>
              <w:t>Guahgot</w:t>
            </w:r>
            <w:proofErr w:type="spellEnd"/>
            <w:r w:rsidRPr="00A9561C">
              <w:rPr>
                <w:rFonts w:ascii="Times New Roman" w:hAnsi="Times New Roman" w:cs="Times New Roman"/>
                <w:sz w:val="24"/>
                <w:szCs w:val="24"/>
              </w:rPr>
              <w:t xml:space="preserve"> </w:t>
            </w:r>
          </w:p>
        </w:tc>
        <w:tc>
          <w:tcPr>
            <w:tcW w:w="2794" w:type="dxa"/>
            <w:tcBorders>
              <w:top w:val="single" w:sz="4" w:space="0" w:color="000000"/>
              <w:left w:val="single" w:sz="4" w:space="0" w:color="000000"/>
              <w:bottom w:val="single" w:sz="4" w:space="0" w:color="000000"/>
              <w:right w:val="single" w:sz="4" w:space="0" w:color="000000"/>
            </w:tcBorders>
            <w:hideMark/>
          </w:tcPr>
          <w:p w14:paraId="1E58D06E"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1385</w:t>
            </w:r>
          </w:p>
        </w:tc>
        <w:tc>
          <w:tcPr>
            <w:tcW w:w="4761" w:type="dxa"/>
            <w:tcBorders>
              <w:top w:val="single" w:sz="4" w:space="0" w:color="000000"/>
              <w:left w:val="single" w:sz="4" w:space="0" w:color="000000"/>
              <w:bottom w:val="single" w:sz="4" w:space="0" w:color="000000"/>
              <w:right w:val="single" w:sz="4" w:space="0" w:color="000000"/>
            </w:tcBorders>
            <w:hideMark/>
          </w:tcPr>
          <w:p w14:paraId="5040C894"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151</w:t>
            </w:r>
          </w:p>
        </w:tc>
      </w:tr>
      <w:tr w:rsidR="00A038BB" w:rsidRPr="00A9561C" w14:paraId="44BF5247" w14:textId="77777777" w:rsidTr="009152D0">
        <w:trPr>
          <w:trHeight w:val="179"/>
        </w:trPr>
        <w:tc>
          <w:tcPr>
            <w:tcW w:w="1544" w:type="dxa"/>
            <w:gridSpan w:val="2"/>
            <w:tcBorders>
              <w:top w:val="single" w:sz="4" w:space="0" w:color="000000"/>
              <w:left w:val="single" w:sz="4" w:space="0" w:color="000000"/>
              <w:bottom w:val="single" w:sz="4" w:space="0" w:color="000000"/>
              <w:right w:val="single" w:sz="4" w:space="0" w:color="000000"/>
            </w:tcBorders>
            <w:hideMark/>
          </w:tcPr>
          <w:p w14:paraId="381F0279"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Total</w:t>
            </w:r>
          </w:p>
        </w:tc>
        <w:tc>
          <w:tcPr>
            <w:tcW w:w="2794" w:type="dxa"/>
            <w:tcBorders>
              <w:top w:val="single" w:sz="4" w:space="0" w:color="000000"/>
              <w:left w:val="single" w:sz="4" w:space="0" w:color="000000"/>
              <w:bottom w:val="single" w:sz="4" w:space="0" w:color="000000"/>
              <w:right w:val="single" w:sz="4" w:space="0" w:color="000000"/>
            </w:tcBorders>
            <w:hideMark/>
          </w:tcPr>
          <w:p w14:paraId="18AEB187"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3148</w:t>
            </w:r>
          </w:p>
        </w:tc>
        <w:tc>
          <w:tcPr>
            <w:tcW w:w="4761" w:type="dxa"/>
            <w:tcBorders>
              <w:top w:val="single" w:sz="4" w:space="0" w:color="000000"/>
              <w:left w:val="single" w:sz="4" w:space="0" w:color="000000"/>
              <w:bottom w:val="single" w:sz="4" w:space="0" w:color="000000"/>
              <w:right w:val="single" w:sz="4" w:space="0" w:color="000000"/>
            </w:tcBorders>
            <w:hideMark/>
          </w:tcPr>
          <w:p w14:paraId="00DD4C28" w14:textId="77777777" w:rsidR="00A038BB" w:rsidRPr="00A9561C" w:rsidRDefault="00A038BB" w:rsidP="009152D0">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t>342</w:t>
            </w:r>
          </w:p>
        </w:tc>
      </w:tr>
    </w:tbl>
    <w:p w14:paraId="7AC44D06" w14:textId="77777777" w:rsidR="00A038BB" w:rsidRPr="00A9561C" w:rsidRDefault="00A038BB" w:rsidP="00A038BB">
      <w:pPr>
        <w:spacing w:after="0" w:line="360" w:lineRule="auto"/>
        <w:jc w:val="both"/>
        <w:rPr>
          <w:rFonts w:ascii="Times New Roman" w:hAnsi="Times New Roman" w:cs="Times New Roman"/>
          <w:sz w:val="24"/>
          <w:szCs w:val="24"/>
          <w:shd w:val="clear" w:color="auto" w:fill="FFFFFF"/>
        </w:rPr>
      </w:pPr>
    </w:p>
    <w:p w14:paraId="57CBE5AD" w14:textId="77777777" w:rsidR="00A038BB" w:rsidRPr="00A9561C" w:rsidRDefault="00A038BB" w:rsidP="00A038BB">
      <w:pPr>
        <w:spacing w:before="100" w:beforeAutospacing="1" w:after="100" w:afterAutospacing="1" w:line="360" w:lineRule="auto"/>
        <w:jc w:val="both"/>
        <w:rPr>
          <w:rFonts w:ascii="Times New Roman" w:eastAsia="Times New Roman" w:hAnsi="Times New Roman" w:cs="Times New Roman"/>
          <w:sz w:val="24"/>
          <w:szCs w:val="24"/>
        </w:rPr>
      </w:pPr>
    </w:p>
    <w:p w14:paraId="4436F97C"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0C0DE982" w14:textId="77777777" w:rsidR="00A038BB" w:rsidRPr="00A9561C" w:rsidRDefault="00A038BB" w:rsidP="00A038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1. Data Collection</w:t>
      </w:r>
    </w:p>
    <w:p w14:paraId="0CC3E371"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In order to improve food security and resilience in rural Tigray, this research looks at how community-based projects and policy interventions interact. A multifaceted approach to data collecting forms the foundation of the study process. Together with regional development plans, this entails a thorough examination of pertinent national and regional policies, such as Ethiopia's Food Security Strategy. In order to get primary data on locally driven programs, key informant interviews—such as those with government officials and NGO managers—as well as community-level surveys and focus groups will be conducted. An examination of secondary sources, including program reviews and scholarly research, is added to this.</w:t>
      </w:r>
    </w:p>
    <w:p w14:paraId="51F916E7"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The research focuses on two primary domains: the effects of governmental interventions, including institutional support and land tenure changes, and the function of community-based initiatives, including traditional social networks and farmer cooperatives. The study seeks to evaluate the impact of these integrated methods on food security indicators—namely availability, access, stability, and utilization—and their role in enhancing family and community resilience to diverse shocks, such as drought and violence.</w:t>
      </w:r>
    </w:p>
    <w:p w14:paraId="5BF0863D" w14:textId="77777777" w:rsidR="00A038BB" w:rsidRPr="00A9561C" w:rsidRDefault="00A038BB" w:rsidP="00A038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3. Data Analysis Techniques</w:t>
      </w:r>
    </w:p>
    <w:p w14:paraId="355AC8B3"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lastRenderedPageBreak/>
        <w:t>The research used a blend of qualitative and quantitative data analysis methodologies. Thematic analysis was used to discern main policy topics, including safety nets and resilience-building mechanisms, and to evaluate community-based policies and their perceived efficacy. Comparative analysis was used to analyze variations in results between areas with strong local efforts and those that mostly depend on external funding. Where survey data was available, descriptive statistical methods were applied to describe the number and kind of community initiatives, as well as participation rates in government programs. A SWOT (Strengths, Weaknesses, Opportunities, and Threats) study was also done to provide a full picture of both policy changes and community-led projects.</w:t>
      </w:r>
    </w:p>
    <w:p w14:paraId="76D23C23" w14:textId="77777777" w:rsidR="00A038BB" w:rsidRPr="00A9561C" w:rsidRDefault="00A038BB" w:rsidP="00A038BB">
      <w:pPr>
        <w:spacing w:line="360" w:lineRule="auto"/>
        <w:jc w:val="both"/>
        <w:rPr>
          <w:rFonts w:ascii="Times New Roman" w:hAnsi="Times New Roman" w:cs="Times New Roman"/>
          <w:sz w:val="24"/>
          <w:szCs w:val="24"/>
        </w:rPr>
      </w:pPr>
    </w:p>
    <w:p w14:paraId="7A5A04FF" w14:textId="77777777" w:rsidR="00A038BB" w:rsidRPr="00A9561C" w:rsidRDefault="00A038BB" w:rsidP="00A038BB">
      <w:pPr>
        <w:pStyle w:val="Heading3"/>
        <w:spacing w:line="360" w:lineRule="auto"/>
        <w:jc w:val="both"/>
        <w:rPr>
          <w:sz w:val="24"/>
          <w:szCs w:val="24"/>
        </w:rPr>
      </w:pPr>
      <w:r w:rsidRPr="00A9561C">
        <w:rPr>
          <w:rStyle w:val="Strong"/>
          <w:rFonts w:eastAsiaTheme="majorEastAsia"/>
          <w:sz w:val="24"/>
          <w:szCs w:val="24"/>
        </w:rPr>
        <w:t>Ethnographic Narrative: Thematic Analysis of Policy and Community Strategies</w:t>
      </w:r>
    </w:p>
    <w:p w14:paraId="6A7E9542"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The daily lives of agricultural families are carved with tales of adversity in the untamed and drought-prone regions of </w:t>
      </w:r>
      <w:proofErr w:type="spellStart"/>
      <w:r w:rsidRPr="00A9561C">
        <w:rPr>
          <w:rFonts w:ascii="Times New Roman" w:eastAsia="Times New Roman" w:hAnsi="Times New Roman" w:cs="Times New Roman"/>
          <w:sz w:val="24"/>
          <w:szCs w:val="24"/>
        </w:rPr>
        <w:t>Beleso</w:t>
      </w:r>
      <w:proofErr w:type="spellEnd"/>
      <w:r w:rsidRPr="00A9561C">
        <w:rPr>
          <w:rFonts w:ascii="Times New Roman" w:eastAsia="Times New Roman" w:hAnsi="Times New Roman" w:cs="Times New Roman"/>
          <w:sz w:val="24"/>
          <w:szCs w:val="24"/>
        </w:rPr>
        <w:t xml:space="preserve">, </w:t>
      </w:r>
      <w:proofErr w:type="spellStart"/>
      <w:r w:rsidRPr="00A9561C">
        <w:rPr>
          <w:rFonts w:ascii="Times New Roman" w:eastAsia="Times New Roman" w:hAnsi="Times New Roman" w:cs="Times New Roman"/>
          <w:sz w:val="24"/>
          <w:szCs w:val="24"/>
        </w:rPr>
        <w:t>Agazi</w:t>
      </w:r>
      <w:proofErr w:type="spellEnd"/>
      <w:r w:rsidRPr="00A9561C">
        <w:rPr>
          <w:rFonts w:ascii="Times New Roman" w:eastAsia="Times New Roman" w:hAnsi="Times New Roman" w:cs="Times New Roman"/>
          <w:sz w:val="24"/>
          <w:szCs w:val="24"/>
        </w:rPr>
        <w:t xml:space="preserve">, and </w:t>
      </w:r>
      <w:proofErr w:type="spellStart"/>
      <w:r w:rsidRPr="00A9561C">
        <w:rPr>
          <w:rFonts w:ascii="Times New Roman" w:eastAsia="Times New Roman" w:hAnsi="Times New Roman" w:cs="Times New Roman"/>
          <w:sz w:val="24"/>
          <w:szCs w:val="24"/>
        </w:rPr>
        <w:t>Guahgot</w:t>
      </w:r>
      <w:proofErr w:type="spellEnd"/>
      <w:r w:rsidRPr="00A9561C">
        <w:rPr>
          <w:rFonts w:ascii="Times New Roman" w:eastAsia="Times New Roman" w:hAnsi="Times New Roman" w:cs="Times New Roman"/>
          <w:sz w:val="24"/>
          <w:szCs w:val="24"/>
        </w:rPr>
        <w:t>. A multi-layered understanding of the relationship between policy frameworks and indigenous resilience methods in the face of chronic food insecurity is revealed via in-depth interviews with community elders, local agricultural officials, and NGO coordinators.</w:t>
      </w:r>
    </w:p>
    <w:p w14:paraId="1530F11A" w14:textId="77777777" w:rsidR="00A038BB" w:rsidRPr="00A9561C" w:rsidRDefault="00A038BB" w:rsidP="00A038BB">
      <w:pPr>
        <w:spacing w:before="100" w:beforeAutospacing="1" w:after="100" w:afterAutospacing="1" w:line="360" w:lineRule="auto"/>
        <w:jc w:val="both"/>
        <w:rPr>
          <w:rFonts w:ascii="Times New Roman" w:hAnsi="Times New Roman" w:cs="Times New Roman"/>
          <w:sz w:val="24"/>
          <w:szCs w:val="24"/>
        </w:rPr>
      </w:pPr>
      <w:r w:rsidRPr="00A9561C">
        <w:rPr>
          <w:rStyle w:val="Strong"/>
          <w:rFonts w:ascii="Times New Roman" w:hAnsi="Times New Roman" w:cs="Times New Roman"/>
          <w:sz w:val="24"/>
          <w:szCs w:val="24"/>
        </w:rPr>
        <w:t>From the lens of government and policy actors</w:t>
      </w:r>
      <w:r w:rsidRPr="00A9561C">
        <w:rPr>
          <w:rFonts w:ascii="Times New Roman" w:hAnsi="Times New Roman" w:cs="Times New Roman"/>
          <w:sz w:val="24"/>
          <w:szCs w:val="24"/>
        </w:rPr>
        <w:t xml:space="preserve">, safety net programs—most notably the </w:t>
      </w:r>
      <w:r w:rsidRPr="00A9561C">
        <w:rPr>
          <w:rStyle w:val="Emphasis"/>
          <w:rFonts w:ascii="Times New Roman" w:hAnsi="Times New Roman" w:cs="Times New Roman"/>
          <w:sz w:val="24"/>
          <w:szCs w:val="24"/>
        </w:rPr>
        <w:t xml:space="preserve">Productive Safety Net </w:t>
      </w:r>
      <w:proofErr w:type="spellStart"/>
      <w:r w:rsidRPr="00A9561C">
        <w:rPr>
          <w:rStyle w:val="Emphasis"/>
          <w:rFonts w:ascii="Times New Roman" w:hAnsi="Times New Roman" w:cs="Times New Roman"/>
          <w:sz w:val="24"/>
          <w:szCs w:val="24"/>
        </w:rPr>
        <w:t>Programme</w:t>
      </w:r>
      <w:proofErr w:type="spellEnd"/>
      <w:r w:rsidRPr="00A9561C">
        <w:rPr>
          <w:rStyle w:val="Emphasis"/>
          <w:rFonts w:ascii="Times New Roman" w:hAnsi="Times New Roman" w:cs="Times New Roman"/>
          <w:sz w:val="24"/>
          <w:szCs w:val="24"/>
        </w:rPr>
        <w:t xml:space="preserve"> (PSNP)</w:t>
      </w:r>
      <w:r w:rsidRPr="00A9561C">
        <w:rPr>
          <w:rFonts w:ascii="Times New Roman" w:hAnsi="Times New Roman" w:cs="Times New Roman"/>
          <w:sz w:val="24"/>
          <w:szCs w:val="24"/>
        </w:rPr>
        <w:t xml:space="preserve">—are repeatedly highlighted as critical buffers during lean seasons. As one rural development officer in </w:t>
      </w:r>
      <w:proofErr w:type="spellStart"/>
      <w:r w:rsidRPr="00A9561C">
        <w:rPr>
          <w:rFonts w:ascii="Times New Roman" w:hAnsi="Times New Roman" w:cs="Times New Roman"/>
          <w:sz w:val="24"/>
          <w:szCs w:val="24"/>
        </w:rPr>
        <w:t>Agazi</w:t>
      </w:r>
      <w:proofErr w:type="spellEnd"/>
      <w:r w:rsidRPr="00A9561C">
        <w:rPr>
          <w:rFonts w:ascii="Times New Roman" w:hAnsi="Times New Roman" w:cs="Times New Roman"/>
          <w:sz w:val="24"/>
          <w:szCs w:val="24"/>
        </w:rPr>
        <w:t xml:space="preserve"> put it, </w:t>
      </w:r>
      <w:r w:rsidRPr="00A9561C">
        <w:rPr>
          <w:rStyle w:val="Emphasis"/>
          <w:rFonts w:ascii="Times New Roman" w:hAnsi="Times New Roman" w:cs="Times New Roman"/>
          <w:sz w:val="24"/>
          <w:szCs w:val="24"/>
        </w:rPr>
        <w:t>“PSNP is not just food or cash. It’s how people stay on their land during the worst droughts.”</w:t>
      </w:r>
      <w:r w:rsidRPr="00A9561C">
        <w:rPr>
          <w:rFonts w:ascii="Times New Roman" w:hAnsi="Times New Roman" w:cs="Times New Roman"/>
          <w:sz w:val="24"/>
          <w:szCs w:val="24"/>
        </w:rPr>
        <w:t xml:space="preserve"> Yet, even among policymakers, there is growing recognition that such interventions often stop short of long-term transformation. Many officers acknowledge the limits of centralized delivery, echoing the sentiment that </w:t>
      </w:r>
      <w:r w:rsidRPr="00A9561C">
        <w:rPr>
          <w:rStyle w:val="Emphasis"/>
          <w:rFonts w:ascii="Times New Roman" w:hAnsi="Times New Roman" w:cs="Times New Roman"/>
          <w:sz w:val="24"/>
          <w:szCs w:val="24"/>
        </w:rPr>
        <w:t>“resilience isn’t distributed in sacks of grain.”</w:t>
      </w:r>
    </w:p>
    <w:p w14:paraId="119E2A0C" w14:textId="77777777" w:rsidR="00A038BB" w:rsidRPr="00A9561C" w:rsidRDefault="00A038BB" w:rsidP="00A038BB">
      <w:pPr>
        <w:spacing w:before="100" w:beforeAutospacing="1" w:after="100" w:afterAutospacing="1" w:line="360" w:lineRule="auto"/>
        <w:jc w:val="both"/>
        <w:rPr>
          <w:rFonts w:ascii="Times New Roman" w:hAnsi="Times New Roman" w:cs="Times New Roman"/>
          <w:sz w:val="24"/>
          <w:szCs w:val="24"/>
        </w:rPr>
      </w:pPr>
      <w:r w:rsidRPr="00A9561C">
        <w:rPr>
          <w:rFonts w:ascii="Times New Roman" w:hAnsi="Times New Roman" w:cs="Times New Roman"/>
          <w:sz w:val="24"/>
          <w:szCs w:val="24"/>
        </w:rPr>
        <w:t xml:space="preserve">This perspective is mirrored—though with more skepticism—by community members themselves. Focus Group Discussions (FGDs) revealed that while food aid and cash transfers offer momentary relief, they do not equip households with the tools to rebuild or innovate. In </w:t>
      </w:r>
      <w:proofErr w:type="spellStart"/>
      <w:r w:rsidRPr="00A9561C">
        <w:rPr>
          <w:rFonts w:ascii="Times New Roman" w:hAnsi="Times New Roman" w:cs="Times New Roman"/>
          <w:sz w:val="24"/>
          <w:szCs w:val="24"/>
        </w:rPr>
        <w:t>Beleso</w:t>
      </w:r>
      <w:proofErr w:type="spellEnd"/>
      <w:r w:rsidRPr="00A9561C">
        <w:rPr>
          <w:rFonts w:ascii="Times New Roman" w:hAnsi="Times New Roman" w:cs="Times New Roman"/>
          <w:sz w:val="24"/>
          <w:szCs w:val="24"/>
        </w:rPr>
        <w:t xml:space="preserve">, a widowed mother of five described the frustration: </w:t>
      </w:r>
      <w:r w:rsidRPr="00A9561C">
        <w:rPr>
          <w:rStyle w:val="Emphasis"/>
          <w:rFonts w:ascii="Times New Roman" w:hAnsi="Times New Roman" w:cs="Times New Roman"/>
          <w:sz w:val="24"/>
          <w:szCs w:val="24"/>
        </w:rPr>
        <w:t>“They give us food, but they don’t teach us how to feed ourselves when the rains fail again.”</w:t>
      </w:r>
    </w:p>
    <w:p w14:paraId="7BBFB94A" w14:textId="77777777" w:rsidR="00A038BB" w:rsidRPr="00A9561C" w:rsidRDefault="00A038BB" w:rsidP="00A038BB">
      <w:pPr>
        <w:spacing w:after="0" w:line="360" w:lineRule="auto"/>
        <w:jc w:val="both"/>
        <w:rPr>
          <w:rFonts w:ascii="Times New Roman" w:hAnsi="Times New Roman" w:cs="Times New Roman"/>
          <w:sz w:val="24"/>
          <w:szCs w:val="24"/>
        </w:rPr>
      </w:pPr>
      <w:r w:rsidRPr="00A9561C">
        <w:rPr>
          <w:rFonts w:ascii="Times New Roman" w:hAnsi="Times New Roman" w:cs="Times New Roman"/>
          <w:sz w:val="24"/>
          <w:szCs w:val="24"/>
        </w:rPr>
        <w:lastRenderedPageBreak/>
        <w:t xml:space="preserve">In contrast, community-based methods were typically talked about with pride and ownership.  an Across all three communities, respondents referred to savings groups—often launched and led by women—as crucial for everyday resilience.  These associations not only enabled members to save modest sums and obtain loans in times of need but also fostered social relationships and trust.  In </w:t>
      </w:r>
      <w:proofErr w:type="spellStart"/>
      <w:r w:rsidRPr="00A9561C">
        <w:rPr>
          <w:rFonts w:ascii="Times New Roman" w:hAnsi="Times New Roman" w:cs="Times New Roman"/>
          <w:sz w:val="24"/>
          <w:szCs w:val="24"/>
        </w:rPr>
        <w:t>Guahgot</w:t>
      </w:r>
      <w:proofErr w:type="spellEnd"/>
      <w:r w:rsidRPr="00A9561C">
        <w:rPr>
          <w:rFonts w:ascii="Times New Roman" w:hAnsi="Times New Roman" w:cs="Times New Roman"/>
          <w:sz w:val="24"/>
          <w:szCs w:val="24"/>
        </w:rPr>
        <w:t>, members of a seed-sharing cooperative recounted how, during the recent planting season, they pooled indigenous kinds resistant to variable rainfall.  “We didn’t wait for the government to bring improved seeds—we used what we had, and it worked,” one farmer stated.</w:t>
      </w:r>
    </w:p>
    <w:p w14:paraId="05344F29" w14:textId="77777777" w:rsidR="00A038BB" w:rsidRPr="00A9561C" w:rsidRDefault="00A038BB" w:rsidP="00A038BB">
      <w:pPr>
        <w:spacing w:after="0" w:line="360" w:lineRule="auto"/>
        <w:jc w:val="both"/>
        <w:rPr>
          <w:rFonts w:ascii="Times New Roman" w:hAnsi="Times New Roman" w:cs="Times New Roman"/>
          <w:sz w:val="24"/>
          <w:szCs w:val="24"/>
        </w:rPr>
      </w:pPr>
    </w:p>
    <w:p w14:paraId="42CD945D"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Another frequent topic was the resurrection of ancient customs like Debo (labor sharing), particularly during times of sickness or harvest bottlenecks. However, several community elders voiced worry that such practices are fading under the strain of migration and individual survival choices. This breakdown of community standards was considered as both a social and existential hazard.</w:t>
      </w:r>
    </w:p>
    <w:p w14:paraId="63C17DAA"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It's interesting to note that NGOs often supported community-led initiatives like small-scale irrigation cooperatives or training programs for climate adaptation, acting as a bridge. However, opinions differed even here. </w:t>
      </w:r>
      <w:proofErr w:type="gramStart"/>
      <w:r w:rsidRPr="00A9561C">
        <w:rPr>
          <w:rFonts w:ascii="Times New Roman" w:eastAsia="Times New Roman" w:hAnsi="Times New Roman" w:cs="Times New Roman"/>
          <w:sz w:val="24"/>
          <w:szCs w:val="24"/>
        </w:rPr>
        <w:t>An</w:t>
      </w:r>
      <w:proofErr w:type="gramEnd"/>
      <w:r w:rsidRPr="00A9561C">
        <w:rPr>
          <w:rFonts w:ascii="Times New Roman" w:eastAsia="Times New Roman" w:hAnsi="Times New Roman" w:cs="Times New Roman"/>
          <w:sz w:val="24"/>
          <w:szCs w:val="24"/>
        </w:rPr>
        <w:t xml:space="preserve"> foreign NGO's program coordinator said that when external financing ceased, these kinds of programs often failed due to a lack of local leadership. "</w:t>
      </w:r>
      <w:r w:rsidRPr="00A9561C">
        <w:rPr>
          <w:rFonts w:ascii="Times New Roman" w:eastAsia="Times New Roman" w:hAnsi="Times New Roman" w:cs="Times New Roman"/>
          <w:i/>
          <w:sz w:val="24"/>
          <w:szCs w:val="24"/>
        </w:rPr>
        <w:t>We've discovered that the projects that people believe belong to them from the beginning are the best ones,</w:t>
      </w:r>
      <w:r w:rsidRPr="00A9561C">
        <w:rPr>
          <w:rFonts w:ascii="Times New Roman" w:eastAsia="Times New Roman" w:hAnsi="Times New Roman" w:cs="Times New Roman"/>
          <w:sz w:val="24"/>
          <w:szCs w:val="24"/>
        </w:rPr>
        <w:t>" she said.</w:t>
      </w:r>
    </w:p>
    <w:p w14:paraId="10FEC059"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The perceived effectiveness of community-driven programs was significantly connected to autonomy, cultural relevance, and demonstrable impact. Households were more encouraged to join in activities when they saw clear returns—such as higher yields from water-user associations or shorter famine spells due to grain banks. In contrast, policy measures that lacked consistency or openness were viewed with mistrust or tiredness.</w:t>
      </w:r>
    </w:p>
    <w:p w14:paraId="1825C4CA" w14:textId="77777777" w:rsidR="00A038BB" w:rsidRPr="00A9561C" w:rsidRDefault="00A038BB" w:rsidP="00A038BB">
      <w:pPr>
        <w:spacing w:line="360" w:lineRule="auto"/>
        <w:jc w:val="both"/>
        <w:rPr>
          <w:rFonts w:ascii="Times New Roman" w:hAnsi="Times New Roman" w:cs="Times New Roman"/>
          <w:sz w:val="24"/>
          <w:szCs w:val="24"/>
        </w:rPr>
      </w:pPr>
    </w:p>
    <w:p w14:paraId="7BFB4488" w14:textId="77777777" w:rsidR="00A038BB" w:rsidRPr="00A9561C" w:rsidRDefault="00A038BB" w:rsidP="00A038BB">
      <w:pPr>
        <w:pStyle w:val="Heading2"/>
        <w:spacing w:line="360" w:lineRule="auto"/>
        <w:jc w:val="both"/>
        <w:rPr>
          <w:rFonts w:ascii="Times New Roman" w:hAnsi="Times New Roman" w:cs="Times New Roman"/>
          <w:sz w:val="24"/>
          <w:szCs w:val="24"/>
        </w:rPr>
      </w:pPr>
      <w:r w:rsidRPr="00A9561C">
        <w:rPr>
          <w:rFonts w:ascii="Times New Roman" w:hAnsi="Times New Roman" w:cs="Times New Roman"/>
          <w:sz w:val="24"/>
          <w:szCs w:val="24"/>
        </w:rPr>
        <w:t>Result and discussion</w:t>
      </w:r>
    </w:p>
    <w:p w14:paraId="71811CB9" w14:textId="77777777" w:rsidR="00A038BB" w:rsidRPr="00A9561C" w:rsidRDefault="00A038BB" w:rsidP="00A038BB">
      <w:pPr>
        <w:pStyle w:val="Heading3"/>
        <w:spacing w:line="360" w:lineRule="auto"/>
        <w:jc w:val="both"/>
        <w:rPr>
          <w:sz w:val="24"/>
          <w:szCs w:val="24"/>
        </w:rPr>
      </w:pPr>
      <w:r w:rsidRPr="00A9561C">
        <w:rPr>
          <w:sz w:val="24"/>
          <w:szCs w:val="24"/>
        </w:rPr>
        <w:t>Table 2: Community-Based Initiatives Identified Across Study Sites</w:t>
      </w:r>
    </w:p>
    <w:p w14:paraId="0137E736" w14:textId="77777777" w:rsidR="00A038BB" w:rsidRPr="00A9561C" w:rsidRDefault="00A038BB" w:rsidP="00A038BB">
      <w:pPr>
        <w:spacing w:line="360" w:lineRule="auto"/>
        <w:jc w:val="both"/>
        <w:rPr>
          <w:rFonts w:ascii="Times New Roman" w:hAnsi="Times New Roman" w:cs="Times New Roman"/>
          <w:sz w:val="24"/>
          <w:szCs w:val="24"/>
        </w:rPr>
      </w:pPr>
    </w:p>
    <w:tbl>
      <w:tblPr>
        <w:tblW w:w="9940" w:type="dxa"/>
        <w:tblInd w:w="93" w:type="dxa"/>
        <w:tblLook w:val="04A0" w:firstRow="1" w:lastRow="0" w:firstColumn="1" w:lastColumn="0" w:noHBand="0" w:noVBand="1"/>
      </w:tblPr>
      <w:tblGrid>
        <w:gridCol w:w="3100"/>
        <w:gridCol w:w="3260"/>
        <w:gridCol w:w="3580"/>
      </w:tblGrid>
      <w:tr w:rsidR="00A038BB" w:rsidRPr="00A9561C" w14:paraId="79FC25B0" w14:textId="77777777" w:rsidTr="009152D0">
        <w:trPr>
          <w:trHeight w:val="600"/>
        </w:trPr>
        <w:tc>
          <w:tcPr>
            <w:tcW w:w="3100" w:type="dxa"/>
            <w:tcBorders>
              <w:top w:val="single" w:sz="4" w:space="0" w:color="auto"/>
              <w:left w:val="single" w:sz="4" w:space="0" w:color="auto"/>
              <w:bottom w:val="single" w:sz="4" w:space="0" w:color="auto"/>
              <w:right w:val="single" w:sz="4" w:space="0" w:color="auto"/>
            </w:tcBorders>
            <w:vAlign w:val="center"/>
            <w:hideMark/>
          </w:tcPr>
          <w:p w14:paraId="58ADBBC9"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lastRenderedPageBreak/>
              <w:t>Initiative Type</w:t>
            </w:r>
          </w:p>
        </w:tc>
        <w:tc>
          <w:tcPr>
            <w:tcW w:w="3260" w:type="dxa"/>
            <w:tcBorders>
              <w:top w:val="single" w:sz="4" w:space="0" w:color="auto"/>
              <w:left w:val="nil"/>
              <w:bottom w:val="single" w:sz="4" w:space="0" w:color="auto"/>
              <w:right w:val="single" w:sz="4" w:space="0" w:color="auto"/>
            </w:tcBorders>
            <w:vAlign w:val="center"/>
            <w:hideMark/>
          </w:tcPr>
          <w:p w14:paraId="1C09FE91"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No. of Communities Involved</w:t>
            </w:r>
          </w:p>
        </w:tc>
        <w:tc>
          <w:tcPr>
            <w:tcW w:w="3580" w:type="dxa"/>
            <w:tcBorders>
              <w:top w:val="single" w:sz="4" w:space="0" w:color="auto"/>
              <w:left w:val="nil"/>
              <w:bottom w:val="single" w:sz="4" w:space="0" w:color="auto"/>
              <w:right w:val="single" w:sz="4" w:space="0" w:color="auto"/>
            </w:tcBorders>
            <w:vAlign w:val="center"/>
            <w:hideMark/>
          </w:tcPr>
          <w:p w14:paraId="4677B8DF"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Avg. Household Participation Rate (%)</w:t>
            </w:r>
          </w:p>
        </w:tc>
      </w:tr>
      <w:tr w:rsidR="00A038BB" w:rsidRPr="00A9561C" w14:paraId="2D26D838" w14:textId="77777777" w:rsidTr="009152D0">
        <w:trPr>
          <w:trHeight w:val="600"/>
        </w:trPr>
        <w:tc>
          <w:tcPr>
            <w:tcW w:w="3100" w:type="dxa"/>
            <w:tcBorders>
              <w:top w:val="nil"/>
              <w:left w:val="single" w:sz="4" w:space="0" w:color="auto"/>
              <w:bottom w:val="single" w:sz="4" w:space="0" w:color="auto"/>
              <w:right w:val="single" w:sz="4" w:space="0" w:color="auto"/>
            </w:tcBorders>
            <w:vAlign w:val="center"/>
            <w:hideMark/>
          </w:tcPr>
          <w:p w14:paraId="593ED99B"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Women-led savings &amp; credit groups</w:t>
            </w:r>
          </w:p>
        </w:tc>
        <w:tc>
          <w:tcPr>
            <w:tcW w:w="3260" w:type="dxa"/>
            <w:tcBorders>
              <w:top w:val="nil"/>
              <w:left w:val="nil"/>
              <w:bottom w:val="single" w:sz="4" w:space="0" w:color="auto"/>
              <w:right w:val="single" w:sz="4" w:space="0" w:color="auto"/>
            </w:tcBorders>
            <w:vAlign w:val="center"/>
            <w:hideMark/>
          </w:tcPr>
          <w:p w14:paraId="5B2EF523"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3</w:t>
            </w:r>
          </w:p>
        </w:tc>
        <w:tc>
          <w:tcPr>
            <w:tcW w:w="3580" w:type="dxa"/>
            <w:tcBorders>
              <w:top w:val="nil"/>
              <w:left w:val="nil"/>
              <w:bottom w:val="single" w:sz="4" w:space="0" w:color="auto"/>
              <w:right w:val="single" w:sz="4" w:space="0" w:color="auto"/>
            </w:tcBorders>
            <w:vAlign w:val="center"/>
            <w:hideMark/>
          </w:tcPr>
          <w:p w14:paraId="337F13C9"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46%</w:t>
            </w:r>
          </w:p>
        </w:tc>
      </w:tr>
      <w:tr w:rsidR="00A038BB" w:rsidRPr="00A9561C" w14:paraId="068CC5AC" w14:textId="77777777" w:rsidTr="009152D0">
        <w:trPr>
          <w:trHeight w:val="600"/>
        </w:trPr>
        <w:tc>
          <w:tcPr>
            <w:tcW w:w="3100" w:type="dxa"/>
            <w:tcBorders>
              <w:top w:val="nil"/>
              <w:left w:val="single" w:sz="4" w:space="0" w:color="auto"/>
              <w:bottom w:val="single" w:sz="4" w:space="0" w:color="auto"/>
              <w:right w:val="single" w:sz="4" w:space="0" w:color="auto"/>
            </w:tcBorders>
            <w:vAlign w:val="center"/>
            <w:hideMark/>
          </w:tcPr>
          <w:p w14:paraId="464199C9"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Seed-sharing cooperatives</w:t>
            </w:r>
          </w:p>
        </w:tc>
        <w:tc>
          <w:tcPr>
            <w:tcW w:w="3260" w:type="dxa"/>
            <w:tcBorders>
              <w:top w:val="nil"/>
              <w:left w:val="nil"/>
              <w:bottom w:val="single" w:sz="4" w:space="0" w:color="auto"/>
              <w:right w:val="single" w:sz="4" w:space="0" w:color="auto"/>
            </w:tcBorders>
            <w:vAlign w:val="center"/>
            <w:hideMark/>
          </w:tcPr>
          <w:p w14:paraId="5DB58BC2"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2</w:t>
            </w:r>
          </w:p>
        </w:tc>
        <w:tc>
          <w:tcPr>
            <w:tcW w:w="3580" w:type="dxa"/>
            <w:tcBorders>
              <w:top w:val="nil"/>
              <w:left w:val="nil"/>
              <w:bottom w:val="single" w:sz="4" w:space="0" w:color="auto"/>
              <w:right w:val="single" w:sz="4" w:space="0" w:color="auto"/>
            </w:tcBorders>
            <w:vAlign w:val="center"/>
            <w:hideMark/>
          </w:tcPr>
          <w:p w14:paraId="18BF8638"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39%</w:t>
            </w:r>
          </w:p>
        </w:tc>
      </w:tr>
      <w:tr w:rsidR="00A038BB" w:rsidRPr="00A9561C" w14:paraId="62D79E67" w14:textId="77777777" w:rsidTr="009152D0">
        <w:trPr>
          <w:trHeight w:val="900"/>
        </w:trPr>
        <w:tc>
          <w:tcPr>
            <w:tcW w:w="3100" w:type="dxa"/>
            <w:tcBorders>
              <w:top w:val="nil"/>
              <w:left w:val="single" w:sz="4" w:space="0" w:color="auto"/>
              <w:bottom w:val="single" w:sz="4" w:space="0" w:color="auto"/>
              <w:right w:val="single" w:sz="4" w:space="0" w:color="auto"/>
            </w:tcBorders>
            <w:vAlign w:val="center"/>
            <w:hideMark/>
          </w:tcPr>
          <w:p w14:paraId="61881B38"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Water-user associations (irrigation)</w:t>
            </w:r>
          </w:p>
        </w:tc>
        <w:tc>
          <w:tcPr>
            <w:tcW w:w="3260" w:type="dxa"/>
            <w:tcBorders>
              <w:top w:val="nil"/>
              <w:left w:val="nil"/>
              <w:bottom w:val="single" w:sz="4" w:space="0" w:color="auto"/>
              <w:right w:val="single" w:sz="4" w:space="0" w:color="auto"/>
            </w:tcBorders>
            <w:vAlign w:val="center"/>
            <w:hideMark/>
          </w:tcPr>
          <w:p w14:paraId="3D8914FA"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2</w:t>
            </w:r>
          </w:p>
        </w:tc>
        <w:tc>
          <w:tcPr>
            <w:tcW w:w="3580" w:type="dxa"/>
            <w:tcBorders>
              <w:top w:val="nil"/>
              <w:left w:val="nil"/>
              <w:bottom w:val="single" w:sz="4" w:space="0" w:color="auto"/>
              <w:right w:val="single" w:sz="4" w:space="0" w:color="auto"/>
            </w:tcBorders>
            <w:vAlign w:val="center"/>
            <w:hideMark/>
          </w:tcPr>
          <w:p w14:paraId="4EF6884C"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28%</w:t>
            </w:r>
          </w:p>
        </w:tc>
      </w:tr>
      <w:tr w:rsidR="00A038BB" w:rsidRPr="00A9561C" w14:paraId="56C491E6" w14:textId="77777777" w:rsidTr="009152D0">
        <w:trPr>
          <w:trHeight w:val="600"/>
        </w:trPr>
        <w:tc>
          <w:tcPr>
            <w:tcW w:w="3100" w:type="dxa"/>
            <w:tcBorders>
              <w:top w:val="nil"/>
              <w:left w:val="single" w:sz="4" w:space="0" w:color="auto"/>
              <w:bottom w:val="single" w:sz="4" w:space="0" w:color="auto"/>
              <w:right w:val="single" w:sz="4" w:space="0" w:color="auto"/>
            </w:tcBorders>
            <w:vAlign w:val="center"/>
            <w:hideMark/>
          </w:tcPr>
          <w:p w14:paraId="04E4CA9C"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Labor-exchange schemes (“Debo”)</w:t>
            </w:r>
          </w:p>
        </w:tc>
        <w:tc>
          <w:tcPr>
            <w:tcW w:w="3260" w:type="dxa"/>
            <w:tcBorders>
              <w:top w:val="nil"/>
              <w:left w:val="nil"/>
              <w:bottom w:val="single" w:sz="4" w:space="0" w:color="auto"/>
              <w:right w:val="single" w:sz="4" w:space="0" w:color="auto"/>
            </w:tcBorders>
            <w:vAlign w:val="center"/>
            <w:hideMark/>
          </w:tcPr>
          <w:p w14:paraId="583D7971"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1</w:t>
            </w:r>
          </w:p>
        </w:tc>
        <w:tc>
          <w:tcPr>
            <w:tcW w:w="3580" w:type="dxa"/>
            <w:tcBorders>
              <w:top w:val="nil"/>
              <w:left w:val="nil"/>
              <w:bottom w:val="single" w:sz="4" w:space="0" w:color="auto"/>
              <w:right w:val="single" w:sz="4" w:space="0" w:color="auto"/>
            </w:tcBorders>
            <w:vAlign w:val="center"/>
            <w:hideMark/>
          </w:tcPr>
          <w:p w14:paraId="4968DBC9"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21%</w:t>
            </w:r>
          </w:p>
        </w:tc>
      </w:tr>
      <w:tr w:rsidR="00A038BB" w:rsidRPr="00A9561C" w14:paraId="0B2178E8" w14:textId="77777777" w:rsidTr="009152D0">
        <w:trPr>
          <w:trHeight w:val="300"/>
        </w:trPr>
        <w:tc>
          <w:tcPr>
            <w:tcW w:w="3100" w:type="dxa"/>
            <w:tcBorders>
              <w:top w:val="nil"/>
              <w:left w:val="single" w:sz="4" w:space="0" w:color="auto"/>
              <w:bottom w:val="single" w:sz="4" w:space="0" w:color="auto"/>
              <w:right w:val="single" w:sz="4" w:space="0" w:color="auto"/>
            </w:tcBorders>
            <w:vAlign w:val="center"/>
            <w:hideMark/>
          </w:tcPr>
          <w:p w14:paraId="4E1E0343"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Traditional grain banks</w:t>
            </w:r>
          </w:p>
        </w:tc>
        <w:tc>
          <w:tcPr>
            <w:tcW w:w="3260" w:type="dxa"/>
            <w:tcBorders>
              <w:top w:val="nil"/>
              <w:left w:val="nil"/>
              <w:bottom w:val="single" w:sz="4" w:space="0" w:color="auto"/>
              <w:right w:val="single" w:sz="4" w:space="0" w:color="auto"/>
            </w:tcBorders>
            <w:vAlign w:val="center"/>
            <w:hideMark/>
          </w:tcPr>
          <w:p w14:paraId="707011F4"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1</w:t>
            </w:r>
          </w:p>
        </w:tc>
        <w:tc>
          <w:tcPr>
            <w:tcW w:w="3580" w:type="dxa"/>
            <w:tcBorders>
              <w:top w:val="nil"/>
              <w:left w:val="nil"/>
              <w:bottom w:val="single" w:sz="4" w:space="0" w:color="auto"/>
              <w:right w:val="single" w:sz="4" w:space="0" w:color="auto"/>
            </w:tcBorders>
            <w:vAlign w:val="center"/>
            <w:hideMark/>
          </w:tcPr>
          <w:p w14:paraId="166DBE12"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16%</w:t>
            </w:r>
          </w:p>
        </w:tc>
      </w:tr>
    </w:tbl>
    <w:p w14:paraId="1E2810E2"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The results demonstrate considerable differences in the adoption and household involvement percentages of several community-based programs. Women-led savings and credit clubs emerged as the most extensively implemented intervention, including three communities with an average household involvement rate of 46%. This conclusion corresponds with larger research stressing the transformational significance of women’s economic cooperatives in boosting family resilience and financial inclusion, especially in rural and resource-constrained contexts (Allen &amp; Panetta, 2010; Dejene, 2019). Seed-sharing cooperatives were also quite well-represented, with two communities participating and an average rate of 39%. Such programs are crucial for sustaining agrobiodiversity, enhancing seed security, and encouraging climate-resilient agricultural practices (Coomes et al., 2015).</w:t>
      </w:r>
    </w:p>
    <w:p w14:paraId="021C7536"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Conversely, the participation percentages of labor-exchange programs like Debo and water-user organizations were lower, at 28% and 21%, respectively. These tactics are crucial for managing shared resources and enabling group labor for agricultural production, but their low adoption rates may be due to institutional flaws, a lack of resources, or changing labor dynamics in rural areas that have recently experienced conflict (Bekele &amp; Hailemariam, 2020; Ostrom, 2010). The lowest participation rate was 16% for traditional grain banks, indicating that consumers may be becoming less dependent on these institutions as a result of sustainability issues, storage losses, or a rising preference for market-based alternatives (Ng’ang’a et al., 2016).</w:t>
      </w:r>
    </w:p>
    <w:p w14:paraId="18C95A8F" w14:textId="77777777" w:rsidR="00A038BB" w:rsidRPr="00A9561C" w:rsidRDefault="00A038BB" w:rsidP="00A038BB">
      <w:pPr>
        <w:pStyle w:val="Heading3"/>
        <w:spacing w:line="360" w:lineRule="auto"/>
        <w:jc w:val="both"/>
        <w:rPr>
          <w:sz w:val="24"/>
          <w:szCs w:val="24"/>
        </w:rPr>
      </w:pPr>
    </w:p>
    <w:p w14:paraId="7FA3CD6E" w14:textId="77777777" w:rsidR="00A038BB" w:rsidRPr="00A9561C" w:rsidRDefault="00A038BB" w:rsidP="00A038BB">
      <w:pPr>
        <w:pStyle w:val="Heading3"/>
        <w:spacing w:line="360" w:lineRule="auto"/>
        <w:jc w:val="both"/>
        <w:rPr>
          <w:sz w:val="24"/>
          <w:szCs w:val="24"/>
        </w:rPr>
      </w:pPr>
      <w:r w:rsidRPr="00A9561C">
        <w:rPr>
          <w:sz w:val="24"/>
          <w:szCs w:val="24"/>
        </w:rPr>
        <w:lastRenderedPageBreak/>
        <w:t>Table 3: Participation in Government and NGO Programs (Across 342 Households)</w:t>
      </w:r>
    </w:p>
    <w:p w14:paraId="4A0CEF9E" w14:textId="77777777" w:rsidR="00A038BB" w:rsidRPr="00A9561C" w:rsidRDefault="00A038BB" w:rsidP="00A038BB">
      <w:pPr>
        <w:spacing w:line="360" w:lineRule="auto"/>
        <w:jc w:val="both"/>
        <w:rPr>
          <w:rFonts w:ascii="Times New Roman" w:hAnsi="Times New Roman" w:cs="Times New Roman"/>
          <w:sz w:val="24"/>
          <w:szCs w:val="24"/>
        </w:rPr>
      </w:pPr>
    </w:p>
    <w:tbl>
      <w:tblPr>
        <w:tblW w:w="5000" w:type="pct"/>
        <w:tblLook w:val="04A0" w:firstRow="1" w:lastRow="0" w:firstColumn="1" w:lastColumn="0" w:noHBand="0" w:noVBand="1"/>
      </w:tblPr>
      <w:tblGrid>
        <w:gridCol w:w="4667"/>
        <w:gridCol w:w="4909"/>
      </w:tblGrid>
      <w:tr w:rsidR="00A038BB" w:rsidRPr="00A9561C" w14:paraId="6BCC104E" w14:textId="77777777" w:rsidTr="009152D0">
        <w:trPr>
          <w:trHeight w:val="300"/>
        </w:trPr>
        <w:tc>
          <w:tcPr>
            <w:tcW w:w="2437" w:type="pct"/>
            <w:tcBorders>
              <w:top w:val="single" w:sz="4" w:space="0" w:color="auto"/>
              <w:left w:val="single" w:sz="4" w:space="0" w:color="auto"/>
              <w:bottom w:val="single" w:sz="4" w:space="0" w:color="auto"/>
              <w:right w:val="single" w:sz="4" w:space="0" w:color="auto"/>
            </w:tcBorders>
            <w:vAlign w:val="center"/>
            <w:hideMark/>
          </w:tcPr>
          <w:p w14:paraId="6D516792"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Program Type</w:t>
            </w:r>
          </w:p>
        </w:tc>
        <w:tc>
          <w:tcPr>
            <w:tcW w:w="2563" w:type="pct"/>
            <w:tcBorders>
              <w:top w:val="single" w:sz="4" w:space="0" w:color="auto"/>
              <w:left w:val="nil"/>
              <w:bottom w:val="single" w:sz="4" w:space="0" w:color="auto"/>
              <w:right w:val="single" w:sz="4" w:space="0" w:color="auto"/>
            </w:tcBorders>
            <w:vAlign w:val="center"/>
            <w:hideMark/>
          </w:tcPr>
          <w:p w14:paraId="66FF50CF"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 of Households Participating</w:t>
            </w:r>
          </w:p>
        </w:tc>
      </w:tr>
      <w:tr w:rsidR="00A038BB" w:rsidRPr="00A9561C" w14:paraId="79879090" w14:textId="77777777" w:rsidTr="009152D0">
        <w:trPr>
          <w:trHeight w:val="600"/>
        </w:trPr>
        <w:tc>
          <w:tcPr>
            <w:tcW w:w="2437" w:type="pct"/>
            <w:tcBorders>
              <w:top w:val="nil"/>
              <w:left w:val="single" w:sz="4" w:space="0" w:color="auto"/>
              <w:bottom w:val="single" w:sz="4" w:space="0" w:color="auto"/>
              <w:right w:val="single" w:sz="4" w:space="0" w:color="auto"/>
            </w:tcBorders>
            <w:vAlign w:val="center"/>
            <w:hideMark/>
          </w:tcPr>
          <w:p w14:paraId="0E9A6AE3"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 xml:space="preserve">Productive Safety Net </w:t>
            </w:r>
            <w:proofErr w:type="spellStart"/>
            <w:r w:rsidRPr="00A9561C">
              <w:rPr>
                <w:rFonts w:ascii="Times New Roman" w:eastAsia="Times New Roman" w:hAnsi="Times New Roman" w:cs="Times New Roman"/>
                <w:color w:val="000000"/>
                <w:sz w:val="24"/>
                <w:szCs w:val="24"/>
              </w:rPr>
              <w:t>Programme</w:t>
            </w:r>
            <w:proofErr w:type="spellEnd"/>
            <w:r w:rsidRPr="00A9561C">
              <w:rPr>
                <w:rFonts w:ascii="Times New Roman" w:eastAsia="Times New Roman" w:hAnsi="Times New Roman" w:cs="Times New Roman"/>
                <w:color w:val="000000"/>
                <w:sz w:val="24"/>
                <w:szCs w:val="24"/>
              </w:rPr>
              <w:t xml:space="preserve"> (PSNP)</w:t>
            </w:r>
          </w:p>
        </w:tc>
        <w:tc>
          <w:tcPr>
            <w:tcW w:w="2563" w:type="pct"/>
            <w:tcBorders>
              <w:top w:val="nil"/>
              <w:left w:val="nil"/>
              <w:bottom w:val="single" w:sz="4" w:space="0" w:color="auto"/>
              <w:right w:val="single" w:sz="4" w:space="0" w:color="auto"/>
            </w:tcBorders>
            <w:vAlign w:val="center"/>
            <w:hideMark/>
          </w:tcPr>
          <w:p w14:paraId="55034554"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52%</w:t>
            </w:r>
          </w:p>
        </w:tc>
      </w:tr>
      <w:tr w:rsidR="00A038BB" w:rsidRPr="00A9561C" w14:paraId="1269536A" w14:textId="77777777" w:rsidTr="009152D0">
        <w:trPr>
          <w:trHeight w:val="300"/>
        </w:trPr>
        <w:tc>
          <w:tcPr>
            <w:tcW w:w="2437" w:type="pct"/>
            <w:tcBorders>
              <w:top w:val="nil"/>
              <w:left w:val="single" w:sz="4" w:space="0" w:color="auto"/>
              <w:bottom w:val="single" w:sz="4" w:space="0" w:color="auto"/>
              <w:right w:val="single" w:sz="4" w:space="0" w:color="auto"/>
            </w:tcBorders>
            <w:vAlign w:val="center"/>
            <w:hideMark/>
          </w:tcPr>
          <w:p w14:paraId="60C1D77A"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Agricultural extension services</w:t>
            </w:r>
          </w:p>
        </w:tc>
        <w:tc>
          <w:tcPr>
            <w:tcW w:w="2563" w:type="pct"/>
            <w:tcBorders>
              <w:top w:val="nil"/>
              <w:left w:val="nil"/>
              <w:bottom w:val="single" w:sz="4" w:space="0" w:color="auto"/>
              <w:right w:val="single" w:sz="4" w:space="0" w:color="auto"/>
            </w:tcBorders>
            <w:vAlign w:val="center"/>
            <w:hideMark/>
          </w:tcPr>
          <w:p w14:paraId="07744435"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34%</w:t>
            </w:r>
          </w:p>
        </w:tc>
      </w:tr>
      <w:tr w:rsidR="00A038BB" w:rsidRPr="00A9561C" w14:paraId="7B84D101" w14:textId="77777777" w:rsidTr="009152D0">
        <w:trPr>
          <w:trHeight w:val="600"/>
        </w:trPr>
        <w:tc>
          <w:tcPr>
            <w:tcW w:w="2437" w:type="pct"/>
            <w:tcBorders>
              <w:top w:val="nil"/>
              <w:left w:val="single" w:sz="4" w:space="0" w:color="auto"/>
              <w:bottom w:val="single" w:sz="4" w:space="0" w:color="auto"/>
              <w:right w:val="single" w:sz="4" w:space="0" w:color="auto"/>
            </w:tcBorders>
            <w:vAlign w:val="center"/>
            <w:hideMark/>
          </w:tcPr>
          <w:p w14:paraId="6DB1B8C9"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Food aid (emergency distributions)</w:t>
            </w:r>
          </w:p>
        </w:tc>
        <w:tc>
          <w:tcPr>
            <w:tcW w:w="2563" w:type="pct"/>
            <w:tcBorders>
              <w:top w:val="nil"/>
              <w:left w:val="nil"/>
              <w:bottom w:val="single" w:sz="4" w:space="0" w:color="auto"/>
              <w:right w:val="single" w:sz="4" w:space="0" w:color="auto"/>
            </w:tcBorders>
            <w:vAlign w:val="center"/>
            <w:hideMark/>
          </w:tcPr>
          <w:p w14:paraId="560AE876"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61%</w:t>
            </w:r>
          </w:p>
        </w:tc>
      </w:tr>
      <w:tr w:rsidR="00A038BB" w:rsidRPr="00A9561C" w14:paraId="1138B7B1" w14:textId="77777777" w:rsidTr="009152D0">
        <w:trPr>
          <w:trHeight w:val="600"/>
        </w:trPr>
        <w:tc>
          <w:tcPr>
            <w:tcW w:w="2437" w:type="pct"/>
            <w:tcBorders>
              <w:top w:val="nil"/>
              <w:left w:val="single" w:sz="4" w:space="0" w:color="auto"/>
              <w:bottom w:val="single" w:sz="4" w:space="0" w:color="auto"/>
              <w:right w:val="single" w:sz="4" w:space="0" w:color="auto"/>
            </w:tcBorders>
            <w:vAlign w:val="center"/>
            <w:hideMark/>
          </w:tcPr>
          <w:p w14:paraId="315300E9"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Climate adaptation trainings (NGOs)</w:t>
            </w:r>
          </w:p>
        </w:tc>
        <w:tc>
          <w:tcPr>
            <w:tcW w:w="2563" w:type="pct"/>
            <w:tcBorders>
              <w:top w:val="nil"/>
              <w:left w:val="nil"/>
              <w:bottom w:val="single" w:sz="4" w:space="0" w:color="auto"/>
              <w:right w:val="single" w:sz="4" w:space="0" w:color="auto"/>
            </w:tcBorders>
            <w:vAlign w:val="center"/>
            <w:hideMark/>
          </w:tcPr>
          <w:p w14:paraId="5856B3B3"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18%</w:t>
            </w:r>
          </w:p>
        </w:tc>
      </w:tr>
    </w:tbl>
    <w:p w14:paraId="47EBB6B9"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The participation statistics reveal that government and NGO initiatives have a crucial role in developing household coping methods and resilience results. Food assistance programs, mostly in the form of emergency handouts, reached the biggest percentage of families, with a participation rate of 61%. This emphasizes the persistent dependence of rural families on direct assistance operations in environments of recurring shocks and post-conflict vulnerability. However, although food assistance offers immediate consumption support, academics emphasize that its sustainability is limited, and over-dependence may hamper long-term self-reliance and adaptive capability (Barrett, 2020; Maxwell &amp; Maes, 2010).</w:t>
      </w:r>
    </w:p>
    <w:p w14:paraId="38CDC49A" w14:textId="77777777" w:rsidR="00A038BB" w:rsidRPr="00A9561C" w:rsidRDefault="00A038BB" w:rsidP="00A038BB">
      <w:p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The Productive Safety Net </w:t>
      </w:r>
      <w:proofErr w:type="spellStart"/>
      <w:r w:rsidRPr="00A9561C">
        <w:rPr>
          <w:rFonts w:ascii="Times New Roman" w:eastAsia="Times New Roman" w:hAnsi="Times New Roman" w:cs="Times New Roman"/>
          <w:sz w:val="24"/>
          <w:szCs w:val="24"/>
        </w:rPr>
        <w:t>Programme</w:t>
      </w:r>
      <w:proofErr w:type="spellEnd"/>
      <w:r w:rsidRPr="00A9561C">
        <w:rPr>
          <w:rFonts w:ascii="Times New Roman" w:eastAsia="Times New Roman" w:hAnsi="Times New Roman" w:cs="Times New Roman"/>
          <w:sz w:val="24"/>
          <w:szCs w:val="24"/>
        </w:rPr>
        <w:t xml:space="preserve"> (PSNP), Ethiopia’s primary social protection system, covered 52% of assessed families, showing its important role in decreasing chronic food insecurity via regular payments and public works.   Previous research </w:t>
      </w:r>
      <w:proofErr w:type="gramStart"/>
      <w:r w:rsidRPr="00A9561C">
        <w:rPr>
          <w:rFonts w:ascii="Times New Roman" w:eastAsia="Times New Roman" w:hAnsi="Times New Roman" w:cs="Times New Roman"/>
          <w:sz w:val="24"/>
          <w:szCs w:val="24"/>
        </w:rPr>
        <w:t>have</w:t>
      </w:r>
      <w:proofErr w:type="gramEnd"/>
      <w:r w:rsidRPr="00A9561C">
        <w:rPr>
          <w:rFonts w:ascii="Times New Roman" w:eastAsia="Times New Roman" w:hAnsi="Times New Roman" w:cs="Times New Roman"/>
          <w:sz w:val="24"/>
          <w:szCs w:val="24"/>
        </w:rPr>
        <w:t xml:space="preserve"> shown that PSNP participation may stabilize household spending and prevent asset depletion, while its influence is typically modulated by program design and local implementation ability (Berhane et al., 2014; Hoddinott et al., 2012).   an Agricultural extension services reached 34% of households, suggesting a modest but significant pathway for knowledge transfer, capacity development, and better production.   Yet, participation rates imply that hurdles such as access, trust, and gender inclusion may hinder widespread use (Davis et al., 2010).</w:t>
      </w:r>
    </w:p>
    <w:p w14:paraId="48FC2947"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Climate adaptation trainings conducted by NGOs reported the lowest participation percentage at 18%. This restricted reach may indicate budget restrictions, project-based delivery, or lack of incorporation with local institutions. Nevertheless, such activities remain vital for increasing </w:t>
      </w:r>
      <w:r w:rsidRPr="00A9561C">
        <w:rPr>
          <w:rFonts w:ascii="Times New Roman" w:eastAsia="Times New Roman" w:hAnsi="Times New Roman" w:cs="Times New Roman"/>
          <w:sz w:val="24"/>
          <w:szCs w:val="24"/>
        </w:rPr>
        <w:lastRenderedPageBreak/>
        <w:t>climate resilience and developing adaptation practices among smallholder farmers (</w:t>
      </w:r>
      <w:proofErr w:type="spellStart"/>
      <w:r w:rsidRPr="00A9561C">
        <w:rPr>
          <w:rFonts w:ascii="Times New Roman" w:eastAsia="Times New Roman" w:hAnsi="Times New Roman" w:cs="Times New Roman"/>
          <w:sz w:val="24"/>
          <w:szCs w:val="24"/>
        </w:rPr>
        <w:t>Adimassu</w:t>
      </w:r>
      <w:proofErr w:type="spellEnd"/>
      <w:r w:rsidRPr="00A9561C">
        <w:rPr>
          <w:rFonts w:ascii="Times New Roman" w:eastAsia="Times New Roman" w:hAnsi="Times New Roman" w:cs="Times New Roman"/>
          <w:sz w:val="24"/>
          <w:szCs w:val="24"/>
        </w:rPr>
        <w:t xml:space="preserve"> et al., 2016). The results together show that although food assistance and safety nets meet urgent needs, more focus is necessary on extending agricultural extension and climate adaptation measures to establish sustainable, long-term resilience.</w:t>
      </w:r>
    </w:p>
    <w:p w14:paraId="0CC860C3"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7E34D5C1" w14:textId="77777777" w:rsidR="00A038BB" w:rsidRPr="00A9561C" w:rsidRDefault="00A038BB" w:rsidP="00A038BB">
      <w:pPr>
        <w:pStyle w:val="Heading3"/>
        <w:spacing w:line="360" w:lineRule="auto"/>
        <w:jc w:val="both"/>
        <w:rPr>
          <w:sz w:val="24"/>
          <w:szCs w:val="24"/>
        </w:rPr>
      </w:pPr>
    </w:p>
    <w:p w14:paraId="4BF940CD" w14:textId="77777777" w:rsidR="00A038BB" w:rsidRPr="00A9561C" w:rsidRDefault="00A038BB" w:rsidP="00A038BB">
      <w:pPr>
        <w:pStyle w:val="Heading3"/>
        <w:spacing w:line="360" w:lineRule="auto"/>
        <w:jc w:val="both"/>
        <w:rPr>
          <w:sz w:val="24"/>
          <w:szCs w:val="24"/>
        </w:rPr>
      </w:pPr>
      <w:r w:rsidRPr="00A9561C">
        <w:rPr>
          <w:sz w:val="24"/>
          <w:szCs w:val="24"/>
        </w:rPr>
        <w:t xml:space="preserve">Table </w:t>
      </w:r>
      <w:proofErr w:type="gramStart"/>
      <w:r w:rsidRPr="00A9561C">
        <w:rPr>
          <w:sz w:val="24"/>
          <w:szCs w:val="24"/>
        </w:rPr>
        <w:t>4 :</w:t>
      </w:r>
      <w:proofErr w:type="gramEnd"/>
      <w:r w:rsidRPr="00A9561C">
        <w:rPr>
          <w:sz w:val="24"/>
          <w:szCs w:val="24"/>
        </w:rPr>
        <w:t xml:space="preserve"> Resilience and Food Security Outcomes by Community Type</w:t>
      </w:r>
    </w:p>
    <w:p w14:paraId="3437E3B2" w14:textId="77777777" w:rsidR="00A038BB" w:rsidRPr="00A9561C" w:rsidRDefault="00A038BB" w:rsidP="00A038BB">
      <w:pPr>
        <w:spacing w:line="360" w:lineRule="auto"/>
        <w:jc w:val="both"/>
        <w:rPr>
          <w:rFonts w:ascii="Times New Roman" w:hAnsi="Times New Roman" w:cs="Times New Roman"/>
          <w:sz w:val="24"/>
          <w:szCs w:val="24"/>
        </w:rPr>
      </w:pPr>
    </w:p>
    <w:tbl>
      <w:tblPr>
        <w:tblW w:w="5000" w:type="pct"/>
        <w:tblLook w:val="04A0" w:firstRow="1" w:lastRow="0" w:firstColumn="1" w:lastColumn="0" w:noHBand="0" w:noVBand="1"/>
      </w:tblPr>
      <w:tblGrid>
        <w:gridCol w:w="3728"/>
        <w:gridCol w:w="2789"/>
        <w:gridCol w:w="3059"/>
      </w:tblGrid>
      <w:tr w:rsidR="00A038BB" w:rsidRPr="00A9561C" w14:paraId="2B485F9E" w14:textId="77777777" w:rsidTr="009152D0">
        <w:trPr>
          <w:trHeight w:val="600"/>
        </w:trPr>
        <w:tc>
          <w:tcPr>
            <w:tcW w:w="1947" w:type="pct"/>
            <w:tcBorders>
              <w:top w:val="single" w:sz="4" w:space="0" w:color="auto"/>
              <w:left w:val="single" w:sz="4" w:space="0" w:color="auto"/>
              <w:bottom w:val="single" w:sz="4" w:space="0" w:color="auto"/>
              <w:right w:val="single" w:sz="4" w:space="0" w:color="auto"/>
            </w:tcBorders>
            <w:vAlign w:val="center"/>
            <w:hideMark/>
          </w:tcPr>
          <w:p w14:paraId="5F26FABB"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Community Type</w:t>
            </w:r>
          </w:p>
        </w:tc>
        <w:tc>
          <w:tcPr>
            <w:tcW w:w="1456" w:type="pct"/>
            <w:tcBorders>
              <w:top w:val="single" w:sz="4" w:space="0" w:color="auto"/>
              <w:left w:val="nil"/>
              <w:bottom w:val="single" w:sz="4" w:space="0" w:color="auto"/>
              <w:right w:val="single" w:sz="4" w:space="0" w:color="auto"/>
            </w:tcBorders>
            <w:vAlign w:val="center"/>
            <w:hideMark/>
          </w:tcPr>
          <w:p w14:paraId="756DB451"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 Reporting Recovery from Shock</w:t>
            </w:r>
          </w:p>
        </w:tc>
        <w:tc>
          <w:tcPr>
            <w:tcW w:w="1597" w:type="pct"/>
            <w:tcBorders>
              <w:top w:val="single" w:sz="4" w:space="0" w:color="auto"/>
              <w:left w:val="nil"/>
              <w:bottom w:val="single" w:sz="4" w:space="0" w:color="auto"/>
              <w:right w:val="single" w:sz="4" w:space="0" w:color="auto"/>
            </w:tcBorders>
            <w:vAlign w:val="center"/>
            <w:hideMark/>
          </w:tcPr>
          <w:p w14:paraId="0CAB8635" w14:textId="77777777" w:rsidR="00A038BB" w:rsidRPr="00A9561C" w:rsidRDefault="00A038BB" w:rsidP="009152D0">
            <w:pPr>
              <w:spacing w:after="0" w:line="360" w:lineRule="auto"/>
              <w:jc w:val="both"/>
              <w:rPr>
                <w:rFonts w:ascii="Times New Roman" w:eastAsia="Times New Roman" w:hAnsi="Times New Roman" w:cs="Times New Roman"/>
                <w:b/>
                <w:bCs/>
                <w:color w:val="000000"/>
                <w:sz w:val="24"/>
                <w:szCs w:val="24"/>
              </w:rPr>
            </w:pPr>
            <w:r w:rsidRPr="00A9561C">
              <w:rPr>
                <w:rFonts w:ascii="Times New Roman" w:eastAsia="Times New Roman" w:hAnsi="Times New Roman" w:cs="Times New Roman"/>
                <w:b/>
                <w:bCs/>
                <w:color w:val="000000"/>
                <w:sz w:val="24"/>
                <w:szCs w:val="24"/>
              </w:rPr>
              <w:t>% Food Secure (last season)</w:t>
            </w:r>
          </w:p>
        </w:tc>
      </w:tr>
      <w:tr w:rsidR="00A038BB" w:rsidRPr="00A9561C" w14:paraId="4099C9D5" w14:textId="77777777" w:rsidTr="009152D0">
        <w:trPr>
          <w:trHeight w:val="600"/>
        </w:trPr>
        <w:tc>
          <w:tcPr>
            <w:tcW w:w="1947" w:type="pct"/>
            <w:tcBorders>
              <w:top w:val="nil"/>
              <w:left w:val="single" w:sz="4" w:space="0" w:color="auto"/>
              <w:bottom w:val="single" w:sz="4" w:space="0" w:color="auto"/>
              <w:right w:val="single" w:sz="4" w:space="0" w:color="auto"/>
            </w:tcBorders>
            <w:vAlign w:val="center"/>
            <w:hideMark/>
          </w:tcPr>
          <w:p w14:paraId="12890B5D"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Strong local initiatives (</w:t>
            </w:r>
            <w:proofErr w:type="spellStart"/>
            <w:r w:rsidRPr="00A9561C">
              <w:rPr>
                <w:rFonts w:ascii="Times New Roman" w:eastAsia="Times New Roman" w:hAnsi="Times New Roman" w:cs="Times New Roman"/>
                <w:color w:val="000000"/>
                <w:sz w:val="24"/>
                <w:szCs w:val="24"/>
              </w:rPr>
              <w:t>Beleso</w:t>
            </w:r>
            <w:proofErr w:type="spellEnd"/>
            <w:r w:rsidRPr="00A9561C">
              <w:rPr>
                <w:rFonts w:ascii="Times New Roman" w:eastAsia="Times New Roman" w:hAnsi="Times New Roman" w:cs="Times New Roman"/>
                <w:color w:val="000000"/>
                <w:sz w:val="24"/>
                <w:szCs w:val="24"/>
              </w:rPr>
              <w:t xml:space="preserve">, parts of </w:t>
            </w:r>
            <w:proofErr w:type="spellStart"/>
            <w:r w:rsidRPr="00A9561C">
              <w:rPr>
                <w:rFonts w:ascii="Times New Roman" w:eastAsia="Times New Roman" w:hAnsi="Times New Roman" w:cs="Times New Roman"/>
                <w:color w:val="000000"/>
                <w:sz w:val="24"/>
                <w:szCs w:val="24"/>
              </w:rPr>
              <w:t>Agazi</w:t>
            </w:r>
            <w:proofErr w:type="spellEnd"/>
            <w:r w:rsidRPr="00A9561C">
              <w:rPr>
                <w:rFonts w:ascii="Times New Roman" w:eastAsia="Times New Roman" w:hAnsi="Times New Roman" w:cs="Times New Roman"/>
                <w:color w:val="000000"/>
                <w:sz w:val="24"/>
                <w:szCs w:val="24"/>
              </w:rPr>
              <w:t>)</w:t>
            </w:r>
          </w:p>
        </w:tc>
        <w:tc>
          <w:tcPr>
            <w:tcW w:w="1456" w:type="pct"/>
            <w:tcBorders>
              <w:top w:val="nil"/>
              <w:left w:val="nil"/>
              <w:bottom w:val="single" w:sz="4" w:space="0" w:color="auto"/>
              <w:right w:val="single" w:sz="4" w:space="0" w:color="auto"/>
            </w:tcBorders>
            <w:vAlign w:val="center"/>
            <w:hideMark/>
          </w:tcPr>
          <w:p w14:paraId="2E85B5E5"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63%</w:t>
            </w:r>
          </w:p>
        </w:tc>
        <w:tc>
          <w:tcPr>
            <w:tcW w:w="1597" w:type="pct"/>
            <w:tcBorders>
              <w:top w:val="nil"/>
              <w:left w:val="nil"/>
              <w:bottom w:val="single" w:sz="4" w:space="0" w:color="auto"/>
              <w:right w:val="single" w:sz="4" w:space="0" w:color="auto"/>
            </w:tcBorders>
            <w:vAlign w:val="center"/>
            <w:hideMark/>
          </w:tcPr>
          <w:p w14:paraId="5A9FD421"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48%</w:t>
            </w:r>
          </w:p>
        </w:tc>
      </w:tr>
      <w:tr w:rsidR="00A038BB" w:rsidRPr="00A9561C" w14:paraId="72C1F941" w14:textId="77777777" w:rsidTr="009152D0">
        <w:trPr>
          <w:trHeight w:val="600"/>
        </w:trPr>
        <w:tc>
          <w:tcPr>
            <w:tcW w:w="1947" w:type="pct"/>
            <w:tcBorders>
              <w:top w:val="nil"/>
              <w:left w:val="single" w:sz="4" w:space="0" w:color="auto"/>
              <w:bottom w:val="single" w:sz="4" w:space="0" w:color="auto"/>
              <w:right w:val="single" w:sz="4" w:space="0" w:color="auto"/>
            </w:tcBorders>
            <w:vAlign w:val="center"/>
            <w:hideMark/>
          </w:tcPr>
          <w:p w14:paraId="66E0D408"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Reliant mainly on external support (</w:t>
            </w:r>
            <w:proofErr w:type="spellStart"/>
            <w:r w:rsidRPr="00A9561C">
              <w:rPr>
                <w:rFonts w:ascii="Times New Roman" w:eastAsia="Times New Roman" w:hAnsi="Times New Roman" w:cs="Times New Roman"/>
                <w:color w:val="000000"/>
                <w:sz w:val="24"/>
                <w:szCs w:val="24"/>
              </w:rPr>
              <w:t>Guahgot</w:t>
            </w:r>
            <w:proofErr w:type="spellEnd"/>
            <w:r w:rsidRPr="00A9561C">
              <w:rPr>
                <w:rFonts w:ascii="Times New Roman" w:eastAsia="Times New Roman" w:hAnsi="Times New Roman" w:cs="Times New Roman"/>
                <w:color w:val="000000"/>
                <w:sz w:val="24"/>
                <w:szCs w:val="24"/>
              </w:rPr>
              <w:t>, others)</w:t>
            </w:r>
          </w:p>
        </w:tc>
        <w:tc>
          <w:tcPr>
            <w:tcW w:w="1456" w:type="pct"/>
            <w:tcBorders>
              <w:top w:val="nil"/>
              <w:left w:val="nil"/>
              <w:bottom w:val="single" w:sz="4" w:space="0" w:color="auto"/>
              <w:right w:val="single" w:sz="4" w:space="0" w:color="auto"/>
            </w:tcBorders>
            <w:vAlign w:val="center"/>
            <w:hideMark/>
          </w:tcPr>
          <w:p w14:paraId="5A332713"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42%</w:t>
            </w:r>
          </w:p>
        </w:tc>
        <w:tc>
          <w:tcPr>
            <w:tcW w:w="1597" w:type="pct"/>
            <w:tcBorders>
              <w:top w:val="nil"/>
              <w:left w:val="nil"/>
              <w:bottom w:val="single" w:sz="4" w:space="0" w:color="auto"/>
              <w:right w:val="single" w:sz="4" w:space="0" w:color="auto"/>
            </w:tcBorders>
            <w:vAlign w:val="center"/>
            <w:hideMark/>
          </w:tcPr>
          <w:p w14:paraId="776EDA84" w14:textId="77777777" w:rsidR="00A038BB" w:rsidRPr="00A9561C" w:rsidRDefault="00A038BB" w:rsidP="009152D0">
            <w:pPr>
              <w:spacing w:after="0" w:line="360" w:lineRule="auto"/>
              <w:jc w:val="both"/>
              <w:rPr>
                <w:rFonts w:ascii="Times New Roman" w:eastAsia="Times New Roman" w:hAnsi="Times New Roman" w:cs="Times New Roman"/>
                <w:color w:val="000000"/>
                <w:sz w:val="24"/>
                <w:szCs w:val="24"/>
              </w:rPr>
            </w:pPr>
            <w:r w:rsidRPr="00A9561C">
              <w:rPr>
                <w:rFonts w:ascii="Times New Roman" w:eastAsia="Times New Roman" w:hAnsi="Times New Roman" w:cs="Times New Roman"/>
                <w:color w:val="000000"/>
                <w:sz w:val="24"/>
                <w:szCs w:val="24"/>
              </w:rPr>
              <w:t>28%</w:t>
            </w:r>
          </w:p>
        </w:tc>
      </w:tr>
    </w:tbl>
    <w:p w14:paraId="168423D5"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The results show considerable disparities in food security and resilience outcomes across areas that rely heavily on outside assistance and those that have robust local efforts. 63% of families reported recovering from recent shocks, and 48% were food secure in the previous season in areas with locally led efforts, such </w:t>
      </w:r>
      <w:proofErr w:type="spellStart"/>
      <w:r w:rsidRPr="00A9561C">
        <w:rPr>
          <w:rFonts w:ascii="Times New Roman" w:eastAsia="Times New Roman" w:hAnsi="Times New Roman" w:cs="Times New Roman"/>
          <w:sz w:val="24"/>
          <w:szCs w:val="24"/>
        </w:rPr>
        <w:t>Beleso</w:t>
      </w:r>
      <w:proofErr w:type="spellEnd"/>
      <w:r w:rsidRPr="00A9561C">
        <w:rPr>
          <w:rFonts w:ascii="Times New Roman" w:eastAsia="Times New Roman" w:hAnsi="Times New Roman" w:cs="Times New Roman"/>
          <w:sz w:val="24"/>
          <w:szCs w:val="24"/>
        </w:rPr>
        <w:t xml:space="preserve"> and sections of </w:t>
      </w:r>
      <w:proofErr w:type="spellStart"/>
      <w:r w:rsidRPr="00A9561C">
        <w:rPr>
          <w:rFonts w:ascii="Times New Roman" w:eastAsia="Times New Roman" w:hAnsi="Times New Roman" w:cs="Times New Roman"/>
          <w:sz w:val="24"/>
          <w:szCs w:val="24"/>
        </w:rPr>
        <w:t>Agazi</w:t>
      </w:r>
      <w:proofErr w:type="spellEnd"/>
      <w:r w:rsidRPr="00A9561C">
        <w:rPr>
          <w:rFonts w:ascii="Times New Roman" w:eastAsia="Times New Roman" w:hAnsi="Times New Roman" w:cs="Times New Roman"/>
          <w:sz w:val="24"/>
          <w:szCs w:val="24"/>
        </w:rPr>
        <w:t xml:space="preserve">. Accordingly, grassroots initiatives that capitalize on social capital, local expertise, and community solidarity, such women-led savings organizations, seed-sharing cooperatives, and collective work plans, enhance adaptive ability (Aldrich &amp; Meyer, 2015; Pretty, 2003). According to </w:t>
      </w:r>
      <w:proofErr w:type="spellStart"/>
      <w:r w:rsidRPr="00A9561C">
        <w:rPr>
          <w:rFonts w:ascii="Times New Roman" w:eastAsia="Times New Roman" w:hAnsi="Times New Roman" w:cs="Times New Roman"/>
          <w:sz w:val="24"/>
          <w:szCs w:val="24"/>
        </w:rPr>
        <w:t>Béné</w:t>
      </w:r>
      <w:proofErr w:type="spellEnd"/>
      <w:r w:rsidRPr="00A9561C">
        <w:rPr>
          <w:rFonts w:ascii="Times New Roman" w:eastAsia="Times New Roman" w:hAnsi="Times New Roman" w:cs="Times New Roman"/>
          <w:sz w:val="24"/>
          <w:szCs w:val="24"/>
        </w:rPr>
        <w:t xml:space="preserve"> et al. (2016), these locally based organizations often promote quicker recovery, lessen reliance on outside assistance, and improve the durability of coping strategies.</w:t>
      </w:r>
    </w:p>
    <w:p w14:paraId="665F6789"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Communities like </w:t>
      </w:r>
      <w:proofErr w:type="spellStart"/>
      <w:r w:rsidRPr="00A9561C">
        <w:rPr>
          <w:rFonts w:ascii="Times New Roman" w:eastAsia="Times New Roman" w:hAnsi="Times New Roman" w:cs="Times New Roman"/>
          <w:sz w:val="24"/>
          <w:szCs w:val="24"/>
        </w:rPr>
        <w:t>Guahgot</w:t>
      </w:r>
      <w:proofErr w:type="spellEnd"/>
      <w:r w:rsidRPr="00A9561C">
        <w:rPr>
          <w:rFonts w:ascii="Times New Roman" w:eastAsia="Times New Roman" w:hAnsi="Times New Roman" w:cs="Times New Roman"/>
          <w:sz w:val="24"/>
          <w:szCs w:val="24"/>
        </w:rPr>
        <w:t xml:space="preserve">, on the other hand, which mostly depend on outside assistance, reported far worse results, with just 42% of families recovering from shocks and 28% attaining seasonal food security. These results show that when externally driven initiatives are not well incorporated into local organizations, they might have negative effects. According to Devereux and Sabates-Wheeler (2004) and Barrett (2020), although emergency food assistance and government safety nets provide vital short-term relief, their potential to ensure long-term </w:t>
      </w:r>
      <w:r w:rsidRPr="00A9561C">
        <w:rPr>
          <w:rFonts w:ascii="Times New Roman" w:eastAsia="Times New Roman" w:hAnsi="Times New Roman" w:cs="Times New Roman"/>
          <w:sz w:val="24"/>
          <w:szCs w:val="24"/>
        </w:rPr>
        <w:lastRenderedPageBreak/>
        <w:t>resilience is often limited by concerns about sustainability, community ownership, and institutional reliance.</w:t>
      </w:r>
    </w:p>
    <w:p w14:paraId="7513E5B5"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Overall, the data imply that communities with strong local efforts likely to be more resilient and food secure than those depending on foreign aid. This underlines the necessity of developing community-led institutions while supplementing them with government and NGO initiatives that are participatory, flexible, and context-</w:t>
      </w:r>
      <w:proofErr w:type="spellStart"/>
      <w:r w:rsidRPr="00A9561C">
        <w:rPr>
          <w:rFonts w:ascii="Times New Roman" w:eastAsia="Times New Roman" w:hAnsi="Times New Roman" w:cs="Times New Roman"/>
          <w:sz w:val="24"/>
          <w:szCs w:val="24"/>
        </w:rPr>
        <w:t>specific.Building</w:t>
      </w:r>
      <w:proofErr w:type="spellEnd"/>
      <w:r w:rsidRPr="00A9561C">
        <w:rPr>
          <w:rFonts w:ascii="Times New Roman" w:eastAsia="Times New Roman" w:hAnsi="Times New Roman" w:cs="Times New Roman"/>
          <w:sz w:val="24"/>
          <w:szCs w:val="24"/>
        </w:rPr>
        <w:t xml:space="preserve"> resilience thus requires balancing external support with investments in local capacity and social infrastructure, ensuring that interventions do not erode but rather reinforce community self-reliance (Folke, 2016).</w:t>
      </w:r>
    </w:p>
    <w:p w14:paraId="17604306"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62F7F0CE" w14:textId="77777777" w:rsidR="00A038BB" w:rsidRPr="00A9561C" w:rsidRDefault="00A038BB" w:rsidP="00A038BB">
      <w:pPr>
        <w:pStyle w:val="Heading2"/>
        <w:spacing w:line="360" w:lineRule="auto"/>
        <w:jc w:val="center"/>
        <w:rPr>
          <w:rFonts w:ascii="Times New Roman" w:hAnsi="Times New Roman" w:cs="Times New Roman"/>
          <w:b/>
          <w:color w:val="auto"/>
          <w:sz w:val="24"/>
          <w:szCs w:val="24"/>
        </w:rPr>
      </w:pPr>
      <w:r w:rsidRPr="00A9561C">
        <w:rPr>
          <w:rFonts w:ascii="Times New Roman" w:hAnsi="Times New Roman" w:cs="Times New Roman"/>
          <w:b/>
          <w:color w:val="auto"/>
          <w:sz w:val="24"/>
          <w:szCs w:val="24"/>
        </w:rPr>
        <w:t>SWOT Analysis: Policy vs. Community-Based Approaches</w:t>
      </w:r>
    </w:p>
    <w:p w14:paraId="5CDDEE71" w14:textId="77777777" w:rsidR="00A038BB" w:rsidRPr="00A9561C" w:rsidRDefault="00A038BB" w:rsidP="00A038BB">
      <w:p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noProof/>
          <w:sz w:val="24"/>
          <w:szCs w:val="24"/>
        </w:rPr>
        <w:drawing>
          <wp:inline distT="0" distB="0" distL="0" distR="0" wp14:anchorId="081133D8" wp14:editId="16FEA4B6">
            <wp:extent cx="6210573" cy="4762006"/>
            <wp:effectExtent l="0" t="0" r="0" b="635"/>
            <wp:docPr id="1" name="Picture 1" descr="C:\Users\Hagos\Downloads\ChatGPT Image Sep 12, 2025, 11_40_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gos\Downloads\ChatGPT Image Sep 12, 2025, 11_40_1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667" cy="4762078"/>
                    </a:xfrm>
                    <a:prstGeom prst="rect">
                      <a:avLst/>
                    </a:prstGeom>
                    <a:noFill/>
                    <a:ln>
                      <a:noFill/>
                    </a:ln>
                  </pic:spPr>
                </pic:pic>
              </a:graphicData>
            </a:graphic>
          </wp:inline>
        </w:drawing>
      </w:r>
    </w:p>
    <w:p w14:paraId="49115C90" w14:textId="77777777" w:rsidR="00A038BB" w:rsidRPr="00A9561C" w:rsidRDefault="00A038BB" w:rsidP="00A038BB">
      <w:pPr>
        <w:spacing w:line="360" w:lineRule="auto"/>
        <w:jc w:val="center"/>
        <w:rPr>
          <w:rFonts w:ascii="Times New Roman" w:hAnsi="Times New Roman" w:cs="Times New Roman"/>
          <w:sz w:val="24"/>
          <w:szCs w:val="24"/>
        </w:rPr>
      </w:pPr>
      <w:r w:rsidRPr="00A9561C">
        <w:rPr>
          <w:rStyle w:val="Strong"/>
          <w:rFonts w:ascii="Times New Roman" w:hAnsi="Times New Roman" w:cs="Times New Roman"/>
          <w:sz w:val="24"/>
          <w:szCs w:val="24"/>
        </w:rPr>
        <w:t>Figure 4. Policy Interventions (e.g., PSNP, food aid, extension services)</w:t>
      </w:r>
    </w:p>
    <w:p w14:paraId="3A18CF4A" w14:textId="77777777" w:rsidR="00A038BB" w:rsidRPr="00A9561C" w:rsidRDefault="00A038BB" w:rsidP="00A038BB">
      <w:pPr>
        <w:spacing w:line="360" w:lineRule="auto"/>
        <w:jc w:val="both"/>
        <w:rPr>
          <w:rFonts w:ascii="Times New Roman" w:hAnsi="Times New Roman" w:cs="Times New Roman"/>
          <w:sz w:val="24"/>
          <w:szCs w:val="24"/>
        </w:rPr>
      </w:pPr>
    </w:p>
    <w:p w14:paraId="64D50E97" w14:textId="77777777" w:rsidR="00A038BB" w:rsidRPr="00A9561C" w:rsidRDefault="00A038BB" w:rsidP="00A038BB">
      <w:pPr>
        <w:spacing w:line="360" w:lineRule="auto"/>
        <w:jc w:val="both"/>
        <w:rPr>
          <w:rFonts w:ascii="Times New Roman" w:hAnsi="Times New Roman" w:cs="Times New Roman"/>
          <w:sz w:val="24"/>
          <w:szCs w:val="24"/>
        </w:rPr>
      </w:pPr>
    </w:p>
    <w:p w14:paraId="5C9DA659" w14:textId="77777777" w:rsidR="00A038BB" w:rsidRPr="00A9561C" w:rsidRDefault="00A038BB" w:rsidP="00A038BB">
      <w:p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noProof/>
          <w:sz w:val="24"/>
          <w:szCs w:val="24"/>
        </w:rPr>
        <w:drawing>
          <wp:inline distT="0" distB="0" distL="0" distR="0" wp14:anchorId="42019948" wp14:editId="52623DB7">
            <wp:extent cx="5985164" cy="5522026"/>
            <wp:effectExtent l="0" t="0" r="0" b="2540"/>
            <wp:docPr id="2" name="Picture 2" descr="C:\Users\Hagos\Downloads\ChatGPT Image Sep 12, 2025, 11_43_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agos\Downloads\ChatGPT Image Sep 12, 2025, 11_43_17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5255" cy="5522110"/>
                    </a:xfrm>
                    <a:prstGeom prst="rect">
                      <a:avLst/>
                    </a:prstGeom>
                    <a:noFill/>
                    <a:ln>
                      <a:noFill/>
                    </a:ln>
                  </pic:spPr>
                </pic:pic>
              </a:graphicData>
            </a:graphic>
          </wp:inline>
        </w:drawing>
      </w:r>
    </w:p>
    <w:p w14:paraId="270388F6" w14:textId="77777777" w:rsidR="00A038BB" w:rsidRPr="00A9561C" w:rsidRDefault="00A038BB" w:rsidP="00A038BB">
      <w:pPr>
        <w:spacing w:line="360" w:lineRule="auto"/>
        <w:jc w:val="both"/>
        <w:rPr>
          <w:rFonts w:ascii="Times New Roman" w:hAnsi="Times New Roman" w:cs="Times New Roman"/>
          <w:sz w:val="24"/>
          <w:szCs w:val="24"/>
        </w:rPr>
      </w:pPr>
    </w:p>
    <w:p w14:paraId="4DAA1D08" w14:textId="77777777" w:rsidR="00A038BB" w:rsidRPr="00A9561C" w:rsidRDefault="00A038BB" w:rsidP="00A038BB">
      <w:pPr>
        <w:pStyle w:val="Heading3"/>
        <w:spacing w:line="360" w:lineRule="auto"/>
        <w:jc w:val="both"/>
        <w:rPr>
          <w:sz w:val="24"/>
          <w:szCs w:val="24"/>
        </w:rPr>
      </w:pPr>
      <w:r w:rsidRPr="00A9561C">
        <w:rPr>
          <w:rStyle w:val="Strong"/>
          <w:rFonts w:eastAsiaTheme="majorEastAsia"/>
          <w:sz w:val="24"/>
          <w:szCs w:val="24"/>
        </w:rPr>
        <w:t>Figure 5.Community-Based Initiatives (e.g., women-led savings groups, seed banks)</w:t>
      </w:r>
    </w:p>
    <w:p w14:paraId="1228A9AE" w14:textId="77777777" w:rsidR="00A038BB" w:rsidRPr="00A9561C" w:rsidRDefault="00A038BB" w:rsidP="00A038BB">
      <w:pPr>
        <w:spacing w:line="360" w:lineRule="auto"/>
        <w:jc w:val="both"/>
        <w:rPr>
          <w:rFonts w:ascii="Times New Roman" w:hAnsi="Times New Roman" w:cs="Times New Roman"/>
          <w:sz w:val="24"/>
          <w:szCs w:val="24"/>
        </w:rPr>
      </w:pPr>
    </w:p>
    <w:p w14:paraId="3D022FA9" w14:textId="77777777" w:rsidR="00A038BB" w:rsidRPr="00A9561C" w:rsidRDefault="00A038BB" w:rsidP="00A038BB">
      <w:pPr>
        <w:spacing w:line="360" w:lineRule="auto"/>
        <w:jc w:val="both"/>
        <w:rPr>
          <w:rFonts w:ascii="Times New Roman" w:hAnsi="Times New Roman" w:cs="Times New Roman"/>
          <w:sz w:val="24"/>
          <w:szCs w:val="24"/>
        </w:rPr>
      </w:pPr>
    </w:p>
    <w:p w14:paraId="17EB29C2" w14:textId="77777777" w:rsidR="00A038BB" w:rsidRPr="00A9561C" w:rsidRDefault="00A038BB" w:rsidP="00A038BB">
      <w:pPr>
        <w:spacing w:line="360" w:lineRule="auto"/>
        <w:jc w:val="both"/>
        <w:rPr>
          <w:rFonts w:ascii="Times New Roman" w:hAnsi="Times New Roman" w:cs="Times New Roman"/>
          <w:sz w:val="24"/>
          <w:szCs w:val="24"/>
        </w:rPr>
      </w:pPr>
    </w:p>
    <w:p w14:paraId="33ADB644" w14:textId="77777777" w:rsidR="00A038BB" w:rsidRPr="00A9561C" w:rsidRDefault="00A038BB" w:rsidP="00A038BB">
      <w:pPr>
        <w:spacing w:line="360" w:lineRule="auto"/>
        <w:jc w:val="both"/>
        <w:rPr>
          <w:rFonts w:ascii="Times New Roman" w:hAnsi="Times New Roman" w:cs="Times New Roman"/>
          <w:sz w:val="24"/>
          <w:szCs w:val="24"/>
        </w:rPr>
      </w:pPr>
    </w:p>
    <w:p w14:paraId="2A3630C9" w14:textId="77777777" w:rsidR="00A038BB" w:rsidRPr="00A024B9" w:rsidRDefault="00A038BB" w:rsidP="00A038BB">
      <w:pPr>
        <w:spacing w:before="100" w:beforeAutospacing="1" w:after="100" w:afterAutospacing="1" w:line="240" w:lineRule="auto"/>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Conclusion</w:t>
      </w:r>
    </w:p>
    <w:p w14:paraId="7BFA5FF0" w14:textId="77777777" w:rsidR="00A038BB" w:rsidRPr="00A024B9"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The research finds that food security and resilience results in rural Tigray differ significantly across groups, highlighting those that prioritize internal, community-driven activities vs those who depend mostly on external assistance. Government and NGO programs like food assistance, PSNP, and agricultural extension are important safety nets and ways to get help right now, but their long-term effects are restricted by problems with sustainability, limited coverage, and poor interaction with local institutions. In contrast, grassroots efforts—including women-led savings clubs, seed-sharing cooperatives, and collective labor systems—demonstrated better and more durable benefits to resilience by creating ownership, social cohesiveness, and adaptive ability. Ultimately, communities that rely on locally driven initiatives report stronger recovery from shocks and higher food security results than those depending on external help. This underlines the significance of building indigenous institutions and incorporating foreign initiatives inside local cultural and social contexts.</w:t>
      </w:r>
    </w:p>
    <w:p w14:paraId="4F3F80FC" w14:textId="77777777" w:rsidR="00A038BB" w:rsidRPr="00A024B9" w:rsidRDefault="00A038BB" w:rsidP="00A038BB">
      <w:pPr>
        <w:spacing w:after="0" w:line="240" w:lineRule="auto"/>
        <w:rPr>
          <w:rFonts w:ascii="Times New Roman" w:eastAsia="Times New Roman" w:hAnsi="Times New Roman" w:cs="Times New Roman"/>
          <w:sz w:val="24"/>
          <w:szCs w:val="24"/>
        </w:rPr>
      </w:pPr>
    </w:p>
    <w:p w14:paraId="524414B2" w14:textId="77777777" w:rsidR="00A038BB" w:rsidRPr="00A024B9" w:rsidRDefault="00A038BB" w:rsidP="00A038BB">
      <w:pPr>
        <w:spacing w:before="100" w:beforeAutospacing="1" w:after="100" w:afterAutospacing="1" w:line="240" w:lineRule="auto"/>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Recommendations</w:t>
      </w:r>
    </w:p>
    <w:p w14:paraId="18DABFA4"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Strengthen Community-Based Institutions: Support women-led savings organizations, seed-sharing cooperatives, and traditional labor-sharing systems as essential foundations of re</w:t>
      </w:r>
      <w:r w:rsidRPr="00A9561C">
        <w:rPr>
          <w:rFonts w:ascii="Times New Roman" w:eastAsia="Times New Roman" w:hAnsi="Times New Roman" w:cs="Times New Roman"/>
          <w:sz w:val="24"/>
          <w:szCs w:val="24"/>
        </w:rPr>
        <w:t xml:space="preserve">silience and self-reliance. </w:t>
      </w:r>
    </w:p>
    <w:p w14:paraId="1AF6BB4A"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067BCF04"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Integrate External Support with Local Structures: Ensure government and NGO interventions, such as PSNP and food aid, complement rather than replace community activities, promoting participatory an</w:t>
      </w:r>
      <w:r w:rsidRPr="00A9561C">
        <w:rPr>
          <w:rFonts w:ascii="Times New Roman" w:eastAsia="Times New Roman" w:hAnsi="Times New Roman" w:cs="Times New Roman"/>
          <w:sz w:val="24"/>
          <w:szCs w:val="24"/>
        </w:rPr>
        <w:t xml:space="preserve">d context-specific methods. </w:t>
      </w:r>
    </w:p>
    <w:p w14:paraId="56C18AB8"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59F38C82"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Expand Agricultural Extension and Climate Adaptation Programs: Increase coverage, accessibility, and inclusivity of agricultural services and climate adaptation trainings to</w:t>
      </w:r>
      <w:r w:rsidRPr="00A9561C">
        <w:rPr>
          <w:rFonts w:ascii="Times New Roman" w:eastAsia="Times New Roman" w:hAnsi="Times New Roman" w:cs="Times New Roman"/>
          <w:sz w:val="24"/>
          <w:szCs w:val="24"/>
        </w:rPr>
        <w:t xml:space="preserve"> create long-term resilience. </w:t>
      </w:r>
    </w:p>
    <w:p w14:paraId="6F6244FE"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27FDC873"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lastRenderedPageBreak/>
        <w:t xml:space="preserve">Promote Sustainability of Aid Programs: Shift from dependency on emergency food aid to capacity-building initiatives that support autonomy and long-term food security. </w:t>
      </w:r>
      <w:r w:rsidRPr="00A024B9">
        <w:rPr>
          <w:rFonts w:ascii="Times New Roman" w:eastAsia="Times New Roman" w:hAnsi="Times New Roman" w:cs="Times New Roman"/>
          <w:sz w:val="24"/>
          <w:szCs w:val="24"/>
        </w:rPr>
        <w:br/>
      </w:r>
    </w:p>
    <w:p w14:paraId="4DFFA723"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Enhance Policy-Community Linkages: Design policies that use local knowledge, cultural practices, and social capital to promote program ownership, sust</w:t>
      </w:r>
      <w:r w:rsidRPr="00A9561C">
        <w:rPr>
          <w:rFonts w:ascii="Times New Roman" w:eastAsia="Times New Roman" w:hAnsi="Times New Roman" w:cs="Times New Roman"/>
          <w:sz w:val="24"/>
          <w:szCs w:val="24"/>
        </w:rPr>
        <w:t xml:space="preserve">ainability, and effectiveness. </w:t>
      </w:r>
    </w:p>
    <w:p w14:paraId="63BBCEDE" w14:textId="77777777" w:rsidR="00A038BB" w:rsidRPr="00A9561C" w:rsidRDefault="00A038BB" w:rsidP="00A038BB">
      <w:pPr>
        <w:spacing w:after="0" w:line="360" w:lineRule="auto"/>
        <w:jc w:val="both"/>
        <w:rPr>
          <w:rFonts w:ascii="Times New Roman" w:eastAsia="Times New Roman" w:hAnsi="Times New Roman" w:cs="Times New Roman"/>
          <w:sz w:val="24"/>
          <w:szCs w:val="24"/>
        </w:rPr>
      </w:pPr>
    </w:p>
    <w:p w14:paraId="36FBFCBB" w14:textId="77777777" w:rsidR="00A038BB" w:rsidRDefault="00A038BB" w:rsidP="00A038BB">
      <w:pPr>
        <w:spacing w:after="0" w:line="360" w:lineRule="auto"/>
        <w:jc w:val="both"/>
        <w:rPr>
          <w:rFonts w:ascii="Times New Roman" w:eastAsia="Times New Roman" w:hAnsi="Times New Roman" w:cs="Times New Roman"/>
          <w:sz w:val="24"/>
          <w:szCs w:val="24"/>
        </w:rPr>
      </w:pPr>
      <w:r w:rsidRPr="00A024B9">
        <w:rPr>
          <w:rFonts w:ascii="Times New Roman" w:eastAsia="Times New Roman" w:hAnsi="Times New Roman" w:cs="Times New Roman"/>
          <w:sz w:val="24"/>
          <w:szCs w:val="24"/>
        </w:rPr>
        <w:t>Invest in Social Infrastructure: Develop methods that enhance social cohesiveness, trust, and local resource management to minimize susceptibility to shocks and guarantee resilience against future crises.</w:t>
      </w:r>
    </w:p>
    <w:p w14:paraId="22820AC7" w14:textId="77777777" w:rsidR="008F5E69" w:rsidRDefault="008F5E69" w:rsidP="00A038BB">
      <w:pPr>
        <w:spacing w:after="0" w:line="360" w:lineRule="auto"/>
        <w:jc w:val="both"/>
        <w:rPr>
          <w:rFonts w:ascii="Times New Roman" w:eastAsia="Times New Roman" w:hAnsi="Times New Roman" w:cs="Times New Roman"/>
          <w:sz w:val="24"/>
          <w:szCs w:val="24"/>
        </w:rPr>
      </w:pPr>
    </w:p>
    <w:p w14:paraId="5C0C9D40" w14:textId="77777777" w:rsidR="008F5E69" w:rsidRDefault="008F5E69" w:rsidP="00A038BB">
      <w:pPr>
        <w:spacing w:after="0" w:line="360" w:lineRule="auto"/>
        <w:jc w:val="both"/>
        <w:rPr>
          <w:rFonts w:ascii="Times New Roman" w:eastAsia="Times New Roman" w:hAnsi="Times New Roman" w:cs="Times New Roman"/>
          <w:sz w:val="24"/>
          <w:szCs w:val="24"/>
        </w:rPr>
      </w:pPr>
    </w:p>
    <w:p w14:paraId="27E5EF69" w14:textId="77777777" w:rsidR="008F5E69" w:rsidRPr="008F5E69" w:rsidRDefault="008F5E69" w:rsidP="008F5E69">
      <w:pPr>
        <w:spacing w:after="0" w:line="360" w:lineRule="auto"/>
        <w:jc w:val="both"/>
        <w:rPr>
          <w:rFonts w:ascii="Times New Roman" w:eastAsia="Times New Roman" w:hAnsi="Times New Roman" w:cs="Times New Roman"/>
          <w:sz w:val="24"/>
          <w:szCs w:val="24"/>
        </w:rPr>
      </w:pPr>
      <w:r w:rsidRPr="008F5E69">
        <w:rPr>
          <w:rFonts w:ascii="Times New Roman" w:eastAsia="Times New Roman" w:hAnsi="Times New Roman" w:cs="Times New Roman"/>
          <w:sz w:val="24"/>
          <w:szCs w:val="24"/>
        </w:rPr>
        <w:t>COMPETING INTERESTS DISCLAIMER:</w:t>
      </w:r>
    </w:p>
    <w:p w14:paraId="01548471" w14:textId="3B1E5773" w:rsidR="008F5E69" w:rsidRPr="00A024B9" w:rsidRDefault="008F5E69" w:rsidP="008F5E69">
      <w:pPr>
        <w:spacing w:after="0" w:line="360" w:lineRule="auto"/>
        <w:jc w:val="both"/>
        <w:rPr>
          <w:rFonts w:ascii="Times New Roman" w:eastAsia="Times New Roman" w:hAnsi="Times New Roman" w:cs="Times New Roman"/>
          <w:sz w:val="24"/>
          <w:szCs w:val="24"/>
        </w:rPr>
      </w:pPr>
      <w:r w:rsidRPr="008F5E69">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C1B62DA" w14:textId="77777777" w:rsidR="00A038BB" w:rsidRPr="00A9561C" w:rsidRDefault="00A038BB" w:rsidP="00A038BB">
      <w:pPr>
        <w:rPr>
          <w:rFonts w:ascii="Times New Roman" w:hAnsi="Times New Roman" w:cs="Times New Roman"/>
          <w:sz w:val="24"/>
          <w:szCs w:val="24"/>
        </w:rPr>
      </w:pPr>
    </w:p>
    <w:p w14:paraId="41AC4BFE" w14:textId="77777777" w:rsidR="00A038BB" w:rsidRPr="00A9561C" w:rsidRDefault="00A038BB" w:rsidP="00A038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9561C">
        <w:rPr>
          <w:rFonts w:ascii="Times New Roman" w:eastAsia="Times New Roman" w:hAnsi="Times New Roman" w:cs="Times New Roman"/>
          <w:b/>
          <w:bCs/>
          <w:sz w:val="24"/>
          <w:szCs w:val="24"/>
        </w:rPr>
        <w:t>References</w:t>
      </w:r>
    </w:p>
    <w:p w14:paraId="09EC206D" w14:textId="77777777" w:rsidR="00A038BB" w:rsidRPr="00A9561C" w:rsidRDefault="00A038BB"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A9561C">
        <w:rPr>
          <w:rFonts w:ascii="Times New Roman" w:eastAsia="Times New Roman" w:hAnsi="Times New Roman" w:cs="Times New Roman"/>
          <w:sz w:val="24"/>
          <w:szCs w:val="24"/>
        </w:rPr>
        <w:t>Adimassu</w:t>
      </w:r>
      <w:proofErr w:type="spellEnd"/>
      <w:r w:rsidRPr="00A9561C">
        <w:rPr>
          <w:rFonts w:ascii="Times New Roman" w:eastAsia="Times New Roman" w:hAnsi="Times New Roman" w:cs="Times New Roman"/>
          <w:sz w:val="24"/>
          <w:szCs w:val="24"/>
        </w:rPr>
        <w:t xml:space="preserve">, Z., Langan, S., &amp; Johnston, R. (2016). Climate-smart agriculture: Integrating mitigation and adaptation in Ethiopia. </w:t>
      </w:r>
      <w:r w:rsidRPr="00A9561C">
        <w:rPr>
          <w:rFonts w:ascii="Times New Roman" w:eastAsia="Times New Roman" w:hAnsi="Times New Roman" w:cs="Times New Roman"/>
          <w:i/>
          <w:iCs/>
          <w:sz w:val="24"/>
          <w:szCs w:val="24"/>
        </w:rPr>
        <w:t>Climate and Development, 8</w:t>
      </w:r>
      <w:r w:rsidRPr="00A9561C">
        <w:rPr>
          <w:rFonts w:ascii="Times New Roman" w:eastAsia="Times New Roman" w:hAnsi="Times New Roman" w:cs="Times New Roman"/>
          <w:sz w:val="24"/>
          <w:szCs w:val="24"/>
        </w:rPr>
        <w:t>(5), 437–446. https://doi.org/10.1080/17565529.2015.1042000</w:t>
      </w:r>
    </w:p>
    <w:p w14:paraId="7ED1975C" w14:textId="113A0ADA"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Aldrich, D. P., &amp; Meyer, M. A. (2015). Social capital and community resilience. American Behavioral Scientist, 59(2), 254–269. </w:t>
      </w:r>
      <w:hyperlink r:id="rId16" w:history="1">
        <w:r w:rsidRPr="0066155D">
          <w:rPr>
            <w:rStyle w:val="Hyperlink"/>
            <w:rFonts w:ascii="Times New Roman" w:eastAsia="Times New Roman" w:hAnsi="Times New Roman" w:cs="Times New Roman"/>
            <w:sz w:val="24"/>
            <w:szCs w:val="24"/>
          </w:rPr>
          <w:t>https://doi.org/10.1177/0002764214550299</w:t>
        </w:r>
      </w:hyperlink>
    </w:p>
    <w:p w14:paraId="4DB21F08" w14:textId="37B84528"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Allen, H., &amp; Panetta, D. (2010). Savings Groups: What Are They? The SEEP Network. </w:t>
      </w:r>
      <w:hyperlink r:id="rId17" w:history="1">
        <w:r w:rsidRPr="0066155D">
          <w:rPr>
            <w:rStyle w:val="Hyperlink"/>
            <w:rFonts w:ascii="Times New Roman" w:eastAsia="Times New Roman" w:hAnsi="Times New Roman" w:cs="Times New Roman"/>
            <w:sz w:val="24"/>
            <w:szCs w:val="24"/>
          </w:rPr>
          <w:t>https://www.findevgateway.org/publication/savings-groups-what-are-they-2010-06-01</w:t>
        </w:r>
      </w:hyperlink>
    </w:p>
    <w:p w14:paraId="0814F0A0" w14:textId="2A7C9CCD"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Barrett, C. B. (2021). Overcoming Global Food Security Challenges Through Science and Solidarity. American Journal of Agricultural Economics </w:t>
      </w:r>
      <w:hyperlink r:id="rId18" w:history="1">
        <w:r w:rsidRPr="0066155D">
          <w:rPr>
            <w:rStyle w:val="Hyperlink"/>
            <w:rFonts w:ascii="Times New Roman" w:eastAsia="Times New Roman" w:hAnsi="Times New Roman" w:cs="Times New Roman"/>
            <w:sz w:val="24"/>
            <w:szCs w:val="24"/>
          </w:rPr>
          <w:t>https://doi.org/10.1111/ajae.12160</w:t>
        </w:r>
      </w:hyperlink>
    </w:p>
    <w:p w14:paraId="2DFFD32D" w14:textId="49220A87"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lastRenderedPageBreak/>
        <w:t xml:space="preserve">Bekele, W., &amp; Hailemariam, A. (2020). Community-based natural resource management and rural livelihoods: Evidence from Ethiopia. Environment, Development and Sustainability. </w:t>
      </w:r>
      <w:hyperlink r:id="rId19" w:history="1">
        <w:r w:rsidRPr="0066155D">
          <w:rPr>
            <w:rStyle w:val="Hyperlink"/>
            <w:rFonts w:ascii="Times New Roman" w:eastAsia="Times New Roman" w:hAnsi="Times New Roman" w:cs="Times New Roman"/>
            <w:sz w:val="24"/>
            <w:szCs w:val="24"/>
          </w:rPr>
          <w:t>https://doi.org/10.1007/s10668-018-0291-2</w:t>
        </w:r>
      </w:hyperlink>
    </w:p>
    <w:p w14:paraId="2472A7A0" w14:textId="461D5AED"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CD76BF">
        <w:rPr>
          <w:rFonts w:ascii="Times New Roman" w:eastAsia="Times New Roman" w:hAnsi="Times New Roman" w:cs="Times New Roman"/>
          <w:sz w:val="24"/>
          <w:szCs w:val="24"/>
        </w:rPr>
        <w:t>Béné</w:t>
      </w:r>
      <w:proofErr w:type="spellEnd"/>
      <w:r w:rsidRPr="00CD76BF">
        <w:rPr>
          <w:rFonts w:ascii="Times New Roman" w:eastAsia="Times New Roman" w:hAnsi="Times New Roman" w:cs="Times New Roman"/>
          <w:sz w:val="24"/>
          <w:szCs w:val="24"/>
        </w:rPr>
        <w:t xml:space="preserve">, C., </w:t>
      </w:r>
      <w:proofErr w:type="spellStart"/>
      <w:r w:rsidRPr="00CD76BF">
        <w:rPr>
          <w:rFonts w:ascii="Times New Roman" w:eastAsia="Times New Roman" w:hAnsi="Times New Roman" w:cs="Times New Roman"/>
          <w:sz w:val="24"/>
          <w:szCs w:val="24"/>
        </w:rPr>
        <w:t>Newsham</w:t>
      </w:r>
      <w:proofErr w:type="spellEnd"/>
      <w:r w:rsidRPr="00CD76BF">
        <w:rPr>
          <w:rFonts w:ascii="Times New Roman" w:eastAsia="Times New Roman" w:hAnsi="Times New Roman" w:cs="Times New Roman"/>
          <w:sz w:val="24"/>
          <w:szCs w:val="24"/>
        </w:rPr>
        <w:t xml:space="preserve">, A., Davies, M., </w:t>
      </w:r>
      <w:proofErr w:type="spellStart"/>
      <w:r w:rsidRPr="00CD76BF">
        <w:rPr>
          <w:rFonts w:ascii="Times New Roman" w:eastAsia="Times New Roman" w:hAnsi="Times New Roman" w:cs="Times New Roman"/>
          <w:sz w:val="24"/>
          <w:szCs w:val="24"/>
        </w:rPr>
        <w:t>Ulrichs</w:t>
      </w:r>
      <w:proofErr w:type="spellEnd"/>
      <w:r w:rsidRPr="00CD76BF">
        <w:rPr>
          <w:rFonts w:ascii="Times New Roman" w:eastAsia="Times New Roman" w:hAnsi="Times New Roman" w:cs="Times New Roman"/>
          <w:sz w:val="24"/>
          <w:szCs w:val="24"/>
        </w:rPr>
        <w:t xml:space="preserve">, M., &amp; Godfrey-Wood, R. (2014). Review article: Resilience, poverty and development. Journal of International Development, 26(5), 598–623. </w:t>
      </w:r>
      <w:hyperlink r:id="rId20" w:history="1">
        <w:r w:rsidRPr="0066155D">
          <w:rPr>
            <w:rStyle w:val="Hyperlink"/>
            <w:rFonts w:ascii="Times New Roman" w:eastAsia="Times New Roman" w:hAnsi="Times New Roman" w:cs="Times New Roman"/>
            <w:sz w:val="24"/>
            <w:szCs w:val="24"/>
          </w:rPr>
          <w:t>https://doi.org/10.1002/jid.2992</w:t>
        </w:r>
      </w:hyperlink>
    </w:p>
    <w:p w14:paraId="515D6C6E" w14:textId="5016A29C"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Berhane, G., Gilligan, D. O., </w:t>
      </w:r>
      <w:proofErr w:type="spellStart"/>
      <w:r w:rsidRPr="00CD76BF">
        <w:rPr>
          <w:rFonts w:ascii="Times New Roman" w:eastAsia="Times New Roman" w:hAnsi="Times New Roman" w:cs="Times New Roman"/>
          <w:sz w:val="24"/>
          <w:szCs w:val="24"/>
        </w:rPr>
        <w:t>Hoddinott</w:t>
      </w:r>
      <w:proofErr w:type="spellEnd"/>
      <w:r w:rsidRPr="00CD76BF">
        <w:rPr>
          <w:rFonts w:ascii="Times New Roman" w:eastAsia="Times New Roman" w:hAnsi="Times New Roman" w:cs="Times New Roman"/>
          <w:sz w:val="24"/>
          <w:szCs w:val="24"/>
        </w:rPr>
        <w:t xml:space="preserve">, J., Kumar, N., &amp; </w:t>
      </w:r>
      <w:proofErr w:type="spellStart"/>
      <w:r w:rsidRPr="00CD76BF">
        <w:rPr>
          <w:rFonts w:ascii="Times New Roman" w:eastAsia="Times New Roman" w:hAnsi="Times New Roman" w:cs="Times New Roman"/>
          <w:sz w:val="24"/>
          <w:szCs w:val="24"/>
        </w:rPr>
        <w:t>Taffesse</w:t>
      </w:r>
      <w:proofErr w:type="spellEnd"/>
      <w:r w:rsidRPr="00CD76BF">
        <w:rPr>
          <w:rFonts w:ascii="Times New Roman" w:eastAsia="Times New Roman" w:hAnsi="Times New Roman" w:cs="Times New Roman"/>
          <w:sz w:val="24"/>
          <w:szCs w:val="24"/>
        </w:rPr>
        <w:t xml:space="preserve">, A. S. (2014). Can social protection work in Africa? The impact of Ethiopia’s Productive Safety Net </w:t>
      </w:r>
      <w:proofErr w:type="spellStart"/>
      <w:r w:rsidRPr="00CD76BF">
        <w:rPr>
          <w:rFonts w:ascii="Times New Roman" w:eastAsia="Times New Roman" w:hAnsi="Times New Roman" w:cs="Times New Roman"/>
          <w:sz w:val="24"/>
          <w:szCs w:val="24"/>
        </w:rPr>
        <w:t>Programme</w:t>
      </w:r>
      <w:proofErr w:type="spellEnd"/>
      <w:r w:rsidRPr="00CD76BF">
        <w:rPr>
          <w:rFonts w:ascii="Times New Roman" w:eastAsia="Times New Roman" w:hAnsi="Times New Roman" w:cs="Times New Roman"/>
          <w:sz w:val="24"/>
          <w:szCs w:val="24"/>
        </w:rPr>
        <w:t xml:space="preserve">. Economic Development and Cultural Change, 63(1), 1–26. </w:t>
      </w:r>
      <w:hyperlink r:id="rId21" w:history="1">
        <w:r w:rsidRPr="0066155D">
          <w:rPr>
            <w:rStyle w:val="Hyperlink"/>
            <w:rFonts w:ascii="Times New Roman" w:eastAsia="Times New Roman" w:hAnsi="Times New Roman" w:cs="Times New Roman"/>
            <w:sz w:val="24"/>
            <w:szCs w:val="24"/>
          </w:rPr>
          <w:t>https://doi.org/10.1086/677753</w:t>
        </w:r>
      </w:hyperlink>
    </w:p>
    <w:p w14:paraId="2B1B661C" w14:textId="5239C6CB" w:rsidR="00CD76BF" w:rsidRP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CD76BF">
        <w:rPr>
          <w:rFonts w:ascii="Times New Roman" w:eastAsia="Times New Roman" w:hAnsi="Times New Roman" w:cs="Times New Roman"/>
          <w:sz w:val="24"/>
          <w:szCs w:val="24"/>
        </w:rPr>
        <w:t>Coomes</w:t>
      </w:r>
      <w:proofErr w:type="spellEnd"/>
      <w:r w:rsidRPr="00CD76BF">
        <w:rPr>
          <w:rFonts w:ascii="Times New Roman" w:eastAsia="Times New Roman" w:hAnsi="Times New Roman" w:cs="Times New Roman"/>
          <w:sz w:val="24"/>
          <w:szCs w:val="24"/>
        </w:rPr>
        <w:t xml:space="preserve">, O. T., McGuire, S. J., </w:t>
      </w:r>
      <w:proofErr w:type="spellStart"/>
      <w:r w:rsidRPr="00CD76BF">
        <w:rPr>
          <w:rFonts w:ascii="Times New Roman" w:eastAsia="Times New Roman" w:hAnsi="Times New Roman" w:cs="Times New Roman"/>
          <w:sz w:val="24"/>
          <w:szCs w:val="24"/>
        </w:rPr>
        <w:t>Garine</w:t>
      </w:r>
      <w:proofErr w:type="spellEnd"/>
      <w:r w:rsidRPr="00CD76BF">
        <w:rPr>
          <w:rFonts w:ascii="Times New Roman" w:eastAsia="Times New Roman" w:hAnsi="Times New Roman" w:cs="Times New Roman"/>
          <w:sz w:val="24"/>
          <w:szCs w:val="24"/>
        </w:rPr>
        <w:t xml:space="preserve">, E., </w:t>
      </w:r>
      <w:proofErr w:type="spellStart"/>
      <w:r w:rsidRPr="00CD76BF">
        <w:rPr>
          <w:rFonts w:ascii="Times New Roman" w:eastAsia="Times New Roman" w:hAnsi="Times New Roman" w:cs="Times New Roman"/>
          <w:sz w:val="24"/>
          <w:szCs w:val="24"/>
        </w:rPr>
        <w:t>Caillon</w:t>
      </w:r>
      <w:proofErr w:type="spellEnd"/>
      <w:r w:rsidRPr="00CD76BF">
        <w:rPr>
          <w:rFonts w:ascii="Times New Roman" w:eastAsia="Times New Roman" w:hAnsi="Times New Roman" w:cs="Times New Roman"/>
          <w:sz w:val="24"/>
          <w:szCs w:val="24"/>
        </w:rPr>
        <w:t xml:space="preserve">, S., </w:t>
      </w:r>
      <w:proofErr w:type="spellStart"/>
      <w:r w:rsidRPr="00CD76BF">
        <w:rPr>
          <w:rFonts w:ascii="Times New Roman" w:eastAsia="Times New Roman" w:hAnsi="Times New Roman" w:cs="Times New Roman"/>
          <w:sz w:val="24"/>
          <w:szCs w:val="24"/>
        </w:rPr>
        <w:t>McKey</w:t>
      </w:r>
      <w:proofErr w:type="spellEnd"/>
      <w:r w:rsidRPr="00CD76BF">
        <w:rPr>
          <w:rFonts w:ascii="Times New Roman" w:eastAsia="Times New Roman" w:hAnsi="Times New Roman" w:cs="Times New Roman"/>
          <w:sz w:val="24"/>
          <w:szCs w:val="24"/>
        </w:rPr>
        <w:t xml:space="preserve">, D., </w:t>
      </w:r>
      <w:proofErr w:type="spellStart"/>
      <w:r w:rsidRPr="00CD76BF">
        <w:rPr>
          <w:rFonts w:ascii="Times New Roman" w:eastAsia="Times New Roman" w:hAnsi="Times New Roman" w:cs="Times New Roman"/>
          <w:sz w:val="24"/>
          <w:szCs w:val="24"/>
        </w:rPr>
        <w:t>Demeulenaere</w:t>
      </w:r>
      <w:proofErr w:type="spellEnd"/>
      <w:r w:rsidRPr="00CD76BF">
        <w:rPr>
          <w:rFonts w:ascii="Times New Roman" w:eastAsia="Times New Roman" w:hAnsi="Times New Roman" w:cs="Times New Roman"/>
          <w:sz w:val="24"/>
          <w:szCs w:val="24"/>
        </w:rPr>
        <w:t xml:space="preserve">, E., Jarvis, D., </w:t>
      </w:r>
      <w:proofErr w:type="spellStart"/>
      <w:r w:rsidRPr="00CD76BF">
        <w:rPr>
          <w:rFonts w:ascii="Times New Roman" w:eastAsia="Times New Roman" w:hAnsi="Times New Roman" w:cs="Times New Roman"/>
          <w:sz w:val="24"/>
          <w:szCs w:val="24"/>
        </w:rPr>
        <w:t>Aistara</w:t>
      </w:r>
      <w:proofErr w:type="spellEnd"/>
      <w:r w:rsidRPr="00CD76BF">
        <w:rPr>
          <w:rFonts w:ascii="Times New Roman" w:eastAsia="Times New Roman" w:hAnsi="Times New Roman" w:cs="Times New Roman"/>
          <w:sz w:val="24"/>
          <w:szCs w:val="24"/>
        </w:rPr>
        <w:t xml:space="preserve">, G., </w:t>
      </w:r>
      <w:proofErr w:type="spellStart"/>
      <w:r w:rsidRPr="00CD76BF">
        <w:rPr>
          <w:rFonts w:ascii="Times New Roman" w:eastAsia="Times New Roman" w:hAnsi="Times New Roman" w:cs="Times New Roman"/>
          <w:sz w:val="24"/>
          <w:szCs w:val="24"/>
        </w:rPr>
        <w:t>Barnaud</w:t>
      </w:r>
      <w:proofErr w:type="spellEnd"/>
      <w:r w:rsidRPr="00CD76BF">
        <w:rPr>
          <w:rFonts w:ascii="Times New Roman" w:eastAsia="Times New Roman" w:hAnsi="Times New Roman" w:cs="Times New Roman"/>
          <w:sz w:val="24"/>
          <w:szCs w:val="24"/>
        </w:rPr>
        <w:t xml:space="preserve">, A., </w:t>
      </w:r>
      <w:proofErr w:type="spellStart"/>
      <w:r w:rsidRPr="00CD76BF">
        <w:rPr>
          <w:rFonts w:ascii="Times New Roman" w:eastAsia="Times New Roman" w:hAnsi="Times New Roman" w:cs="Times New Roman"/>
          <w:sz w:val="24"/>
          <w:szCs w:val="24"/>
        </w:rPr>
        <w:t>Clouvel</w:t>
      </w:r>
      <w:proofErr w:type="spellEnd"/>
      <w:r w:rsidRPr="00CD76BF">
        <w:rPr>
          <w:rFonts w:ascii="Times New Roman" w:eastAsia="Times New Roman" w:hAnsi="Times New Roman" w:cs="Times New Roman"/>
          <w:sz w:val="24"/>
          <w:szCs w:val="24"/>
        </w:rPr>
        <w:t xml:space="preserve">, P., </w:t>
      </w:r>
      <w:proofErr w:type="spellStart"/>
      <w:r w:rsidRPr="00CD76BF">
        <w:rPr>
          <w:rFonts w:ascii="Times New Roman" w:eastAsia="Times New Roman" w:hAnsi="Times New Roman" w:cs="Times New Roman"/>
          <w:sz w:val="24"/>
          <w:szCs w:val="24"/>
        </w:rPr>
        <w:t>Emperaire</w:t>
      </w:r>
      <w:proofErr w:type="spellEnd"/>
      <w:r w:rsidRPr="00CD76BF">
        <w:rPr>
          <w:rFonts w:ascii="Times New Roman" w:eastAsia="Times New Roman" w:hAnsi="Times New Roman" w:cs="Times New Roman"/>
          <w:sz w:val="24"/>
          <w:szCs w:val="24"/>
        </w:rPr>
        <w:t xml:space="preserve">, L., </w:t>
      </w:r>
      <w:proofErr w:type="spellStart"/>
      <w:r w:rsidRPr="00CD76BF">
        <w:rPr>
          <w:rFonts w:ascii="Times New Roman" w:eastAsia="Times New Roman" w:hAnsi="Times New Roman" w:cs="Times New Roman"/>
          <w:sz w:val="24"/>
          <w:szCs w:val="24"/>
        </w:rPr>
        <w:t>Louafi</w:t>
      </w:r>
      <w:proofErr w:type="spellEnd"/>
      <w:r w:rsidRPr="00CD76BF">
        <w:rPr>
          <w:rFonts w:ascii="Times New Roman" w:eastAsia="Times New Roman" w:hAnsi="Times New Roman" w:cs="Times New Roman"/>
          <w:sz w:val="24"/>
          <w:szCs w:val="24"/>
        </w:rPr>
        <w:t xml:space="preserve">, S., Martin, P., </w:t>
      </w:r>
      <w:proofErr w:type="spellStart"/>
      <w:r w:rsidRPr="00CD76BF">
        <w:rPr>
          <w:rFonts w:ascii="Times New Roman" w:eastAsia="Times New Roman" w:hAnsi="Times New Roman" w:cs="Times New Roman"/>
          <w:sz w:val="24"/>
          <w:szCs w:val="24"/>
        </w:rPr>
        <w:t>Massol</w:t>
      </w:r>
      <w:proofErr w:type="spellEnd"/>
      <w:r w:rsidRPr="00CD76BF">
        <w:rPr>
          <w:rFonts w:ascii="Times New Roman" w:eastAsia="Times New Roman" w:hAnsi="Times New Roman" w:cs="Times New Roman"/>
          <w:sz w:val="24"/>
          <w:szCs w:val="24"/>
        </w:rPr>
        <w:t xml:space="preserve">, F., </w:t>
      </w:r>
      <w:proofErr w:type="spellStart"/>
      <w:r w:rsidRPr="00CD76BF">
        <w:rPr>
          <w:rFonts w:ascii="Times New Roman" w:eastAsia="Times New Roman" w:hAnsi="Times New Roman" w:cs="Times New Roman"/>
          <w:sz w:val="24"/>
          <w:szCs w:val="24"/>
        </w:rPr>
        <w:t>Pautasso</w:t>
      </w:r>
      <w:proofErr w:type="spellEnd"/>
      <w:r w:rsidRPr="00CD76BF">
        <w:rPr>
          <w:rFonts w:ascii="Times New Roman" w:eastAsia="Times New Roman" w:hAnsi="Times New Roman" w:cs="Times New Roman"/>
          <w:sz w:val="24"/>
          <w:szCs w:val="24"/>
        </w:rPr>
        <w:t xml:space="preserve">, M., </w:t>
      </w:r>
      <w:proofErr w:type="spellStart"/>
      <w:r w:rsidRPr="00CD76BF">
        <w:rPr>
          <w:rFonts w:ascii="Times New Roman" w:eastAsia="Times New Roman" w:hAnsi="Times New Roman" w:cs="Times New Roman"/>
          <w:sz w:val="24"/>
          <w:szCs w:val="24"/>
        </w:rPr>
        <w:t>Violon</w:t>
      </w:r>
      <w:proofErr w:type="spellEnd"/>
      <w:r w:rsidRPr="00CD76BF">
        <w:rPr>
          <w:rFonts w:ascii="Times New Roman" w:eastAsia="Times New Roman" w:hAnsi="Times New Roman" w:cs="Times New Roman"/>
          <w:sz w:val="24"/>
          <w:szCs w:val="24"/>
        </w:rPr>
        <w:t xml:space="preserve">, C., &amp; </w:t>
      </w:r>
      <w:proofErr w:type="spellStart"/>
      <w:r w:rsidRPr="00CD76BF">
        <w:rPr>
          <w:rFonts w:ascii="Times New Roman" w:eastAsia="Times New Roman" w:hAnsi="Times New Roman" w:cs="Times New Roman"/>
          <w:sz w:val="24"/>
          <w:szCs w:val="24"/>
        </w:rPr>
        <w:t>Wencelius</w:t>
      </w:r>
      <w:proofErr w:type="spellEnd"/>
      <w:r w:rsidRPr="00CD76BF">
        <w:rPr>
          <w:rFonts w:ascii="Times New Roman" w:eastAsia="Times New Roman" w:hAnsi="Times New Roman" w:cs="Times New Roman"/>
          <w:sz w:val="24"/>
          <w:szCs w:val="24"/>
        </w:rPr>
        <w:t xml:space="preserve">, J. (2015). </w:t>
      </w:r>
      <w:r w:rsidRPr="00CD76BF">
        <w:rPr>
          <w:rFonts w:ascii="Times New Roman" w:eastAsia="Times New Roman" w:hAnsi="Times New Roman" w:cs="Times New Roman"/>
          <w:sz w:val="24"/>
          <w:szCs w:val="24"/>
          <w:lang w:val="en-IN"/>
        </w:rPr>
        <w:t xml:space="preserve">Farmer seed networks make a limited contribution to agriculture? Four common misconceptions. Food Policy, 56, 41–50. </w:t>
      </w:r>
      <w:hyperlink r:id="rId22" w:history="1">
        <w:r w:rsidRPr="0066155D">
          <w:rPr>
            <w:rStyle w:val="Hyperlink"/>
            <w:rFonts w:ascii="Times New Roman" w:eastAsia="Times New Roman" w:hAnsi="Times New Roman" w:cs="Times New Roman"/>
            <w:sz w:val="24"/>
            <w:szCs w:val="24"/>
            <w:lang w:val="en-IN"/>
          </w:rPr>
          <w:t>https://doi.org/10.1016/j.foodpol.2015.07.008</w:t>
        </w:r>
      </w:hyperlink>
    </w:p>
    <w:p w14:paraId="3B9A7BD6" w14:textId="1B160409" w:rsidR="00CD76BF" w:rsidRP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lang w:val="fr-FR"/>
        </w:rPr>
        <w:t xml:space="preserve">Davis, K. E., Swanson, B., </w:t>
      </w:r>
      <w:proofErr w:type="spellStart"/>
      <w:r w:rsidRPr="00CD76BF">
        <w:rPr>
          <w:rFonts w:ascii="Times New Roman" w:eastAsia="Times New Roman" w:hAnsi="Times New Roman" w:cs="Times New Roman"/>
          <w:sz w:val="24"/>
          <w:szCs w:val="24"/>
          <w:lang w:val="fr-FR"/>
        </w:rPr>
        <w:t>Amudavi</w:t>
      </w:r>
      <w:proofErr w:type="spellEnd"/>
      <w:r w:rsidRPr="00CD76BF">
        <w:rPr>
          <w:rFonts w:ascii="Times New Roman" w:eastAsia="Times New Roman" w:hAnsi="Times New Roman" w:cs="Times New Roman"/>
          <w:sz w:val="24"/>
          <w:szCs w:val="24"/>
          <w:lang w:val="fr-FR"/>
        </w:rPr>
        <w:t xml:space="preserve">, D., </w:t>
      </w:r>
      <w:proofErr w:type="spellStart"/>
      <w:r w:rsidRPr="00CD76BF">
        <w:rPr>
          <w:rFonts w:ascii="Times New Roman" w:eastAsia="Times New Roman" w:hAnsi="Times New Roman" w:cs="Times New Roman"/>
          <w:sz w:val="24"/>
          <w:szCs w:val="24"/>
          <w:lang w:val="fr-FR"/>
        </w:rPr>
        <w:t>Mekonnen</w:t>
      </w:r>
      <w:proofErr w:type="spellEnd"/>
      <w:r w:rsidRPr="00CD76BF">
        <w:rPr>
          <w:rFonts w:ascii="Times New Roman" w:eastAsia="Times New Roman" w:hAnsi="Times New Roman" w:cs="Times New Roman"/>
          <w:sz w:val="24"/>
          <w:szCs w:val="24"/>
          <w:lang w:val="fr-FR"/>
        </w:rPr>
        <w:t xml:space="preserve">, D. A., </w:t>
      </w:r>
      <w:proofErr w:type="spellStart"/>
      <w:r w:rsidRPr="00CD76BF">
        <w:rPr>
          <w:rFonts w:ascii="Times New Roman" w:eastAsia="Times New Roman" w:hAnsi="Times New Roman" w:cs="Times New Roman"/>
          <w:sz w:val="24"/>
          <w:szCs w:val="24"/>
          <w:lang w:val="fr-FR"/>
        </w:rPr>
        <w:t>Flohrs</w:t>
      </w:r>
      <w:proofErr w:type="spellEnd"/>
      <w:r w:rsidRPr="00CD76BF">
        <w:rPr>
          <w:rFonts w:ascii="Times New Roman" w:eastAsia="Times New Roman" w:hAnsi="Times New Roman" w:cs="Times New Roman"/>
          <w:sz w:val="24"/>
          <w:szCs w:val="24"/>
          <w:lang w:val="fr-FR"/>
        </w:rPr>
        <w:t xml:space="preserve">, A., </w:t>
      </w:r>
      <w:proofErr w:type="spellStart"/>
      <w:r w:rsidRPr="00CD76BF">
        <w:rPr>
          <w:rFonts w:ascii="Times New Roman" w:eastAsia="Times New Roman" w:hAnsi="Times New Roman" w:cs="Times New Roman"/>
          <w:sz w:val="24"/>
          <w:szCs w:val="24"/>
          <w:lang w:val="fr-FR"/>
        </w:rPr>
        <w:t>Riese</w:t>
      </w:r>
      <w:proofErr w:type="spellEnd"/>
      <w:r w:rsidRPr="00CD76BF">
        <w:rPr>
          <w:rFonts w:ascii="Times New Roman" w:eastAsia="Times New Roman" w:hAnsi="Times New Roman" w:cs="Times New Roman"/>
          <w:sz w:val="24"/>
          <w:szCs w:val="24"/>
          <w:lang w:val="fr-FR"/>
        </w:rPr>
        <w:t xml:space="preserve">, J., Lamb, C., &amp; </w:t>
      </w:r>
      <w:proofErr w:type="spellStart"/>
      <w:r w:rsidRPr="00CD76BF">
        <w:rPr>
          <w:rFonts w:ascii="Times New Roman" w:eastAsia="Times New Roman" w:hAnsi="Times New Roman" w:cs="Times New Roman"/>
          <w:sz w:val="24"/>
          <w:szCs w:val="24"/>
          <w:lang w:val="fr-FR"/>
        </w:rPr>
        <w:t>Zerfu</w:t>
      </w:r>
      <w:proofErr w:type="spellEnd"/>
      <w:r w:rsidRPr="00CD76BF">
        <w:rPr>
          <w:rFonts w:ascii="Times New Roman" w:eastAsia="Times New Roman" w:hAnsi="Times New Roman" w:cs="Times New Roman"/>
          <w:sz w:val="24"/>
          <w:szCs w:val="24"/>
          <w:lang w:val="fr-FR"/>
        </w:rPr>
        <w:t xml:space="preserve">, E. (2010). </w:t>
      </w:r>
      <w:r w:rsidRPr="00CD76BF">
        <w:rPr>
          <w:rFonts w:ascii="Times New Roman" w:eastAsia="Times New Roman" w:hAnsi="Times New Roman" w:cs="Times New Roman"/>
          <w:sz w:val="24"/>
          <w:szCs w:val="24"/>
          <w:lang w:val="en-IN"/>
        </w:rPr>
        <w:t xml:space="preserve">In-depth assessment of the public agricultural extension system of Ethiopia and recommendations for improvement (IFPRI Discussion Paper 1041). International Food Policy Research Institute. </w:t>
      </w:r>
      <w:hyperlink r:id="rId23" w:history="1">
        <w:r w:rsidRPr="0066155D">
          <w:rPr>
            <w:rStyle w:val="Hyperlink"/>
            <w:rFonts w:ascii="Times New Roman" w:eastAsia="Times New Roman" w:hAnsi="Times New Roman" w:cs="Times New Roman"/>
            <w:sz w:val="24"/>
            <w:szCs w:val="24"/>
            <w:lang w:val="en-IN"/>
          </w:rPr>
          <w:t>https://hdl.handle.net/10568/154552</w:t>
        </w:r>
      </w:hyperlink>
    </w:p>
    <w:p w14:paraId="7C846293" w14:textId="5FAAEEDD" w:rsidR="00A038BB" w:rsidRPr="00A9561C" w:rsidRDefault="00A038BB"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A9561C">
        <w:rPr>
          <w:rFonts w:ascii="Times New Roman" w:eastAsia="Times New Roman" w:hAnsi="Times New Roman" w:cs="Times New Roman"/>
          <w:sz w:val="24"/>
          <w:szCs w:val="24"/>
        </w:rPr>
        <w:t>Dejene</w:t>
      </w:r>
      <w:proofErr w:type="spellEnd"/>
      <w:r w:rsidRPr="00A9561C">
        <w:rPr>
          <w:rFonts w:ascii="Times New Roman" w:eastAsia="Times New Roman" w:hAnsi="Times New Roman" w:cs="Times New Roman"/>
          <w:sz w:val="24"/>
          <w:szCs w:val="24"/>
        </w:rPr>
        <w:t xml:space="preserve">, M. (2019). The role of women in savings and credit cooperatives in rural Ethiopia. </w:t>
      </w:r>
      <w:r w:rsidRPr="00A9561C">
        <w:rPr>
          <w:rFonts w:ascii="Times New Roman" w:eastAsia="Times New Roman" w:hAnsi="Times New Roman" w:cs="Times New Roman"/>
          <w:i/>
          <w:iCs/>
          <w:sz w:val="24"/>
          <w:szCs w:val="24"/>
        </w:rPr>
        <w:t>Journal of Co-operative Organization and Management, 7</w:t>
      </w:r>
      <w:r w:rsidRPr="00A9561C">
        <w:rPr>
          <w:rFonts w:ascii="Times New Roman" w:eastAsia="Times New Roman" w:hAnsi="Times New Roman" w:cs="Times New Roman"/>
          <w:sz w:val="24"/>
          <w:szCs w:val="24"/>
        </w:rPr>
        <w:t>(2), 100–108. https://doi.org/10.1016/j.jcom.2019.100089</w:t>
      </w:r>
    </w:p>
    <w:p w14:paraId="0EFCED56" w14:textId="0599E867" w:rsidR="00CD76BF" w:rsidRP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lang w:val="fr-FR"/>
        </w:rPr>
        <w:t xml:space="preserve">Devereux, S., &amp; </w:t>
      </w:r>
      <w:proofErr w:type="spellStart"/>
      <w:r w:rsidRPr="00CD76BF">
        <w:rPr>
          <w:rFonts w:ascii="Times New Roman" w:eastAsia="Times New Roman" w:hAnsi="Times New Roman" w:cs="Times New Roman"/>
          <w:sz w:val="24"/>
          <w:szCs w:val="24"/>
          <w:lang w:val="fr-FR"/>
        </w:rPr>
        <w:t>Sabates</w:t>
      </w:r>
      <w:proofErr w:type="spellEnd"/>
      <w:r w:rsidRPr="00CD76BF">
        <w:rPr>
          <w:rFonts w:ascii="Times New Roman" w:eastAsia="Times New Roman" w:hAnsi="Times New Roman" w:cs="Times New Roman"/>
          <w:sz w:val="24"/>
          <w:szCs w:val="24"/>
          <w:lang w:val="fr-FR"/>
        </w:rPr>
        <w:t xml:space="preserve">-Wheeler, R. (2004). Transformative social protection. </w:t>
      </w:r>
      <w:r w:rsidRPr="00CD76BF">
        <w:rPr>
          <w:rFonts w:ascii="Times New Roman" w:eastAsia="Times New Roman" w:hAnsi="Times New Roman" w:cs="Times New Roman"/>
          <w:sz w:val="24"/>
          <w:szCs w:val="24"/>
          <w:lang w:val="en-IN"/>
        </w:rPr>
        <w:t xml:space="preserve">IDS Working Paper 232. </w:t>
      </w:r>
      <w:hyperlink r:id="rId24" w:history="1">
        <w:r w:rsidRPr="0066155D">
          <w:rPr>
            <w:rStyle w:val="Hyperlink"/>
            <w:rFonts w:ascii="Times New Roman" w:eastAsia="Times New Roman" w:hAnsi="Times New Roman" w:cs="Times New Roman"/>
            <w:sz w:val="24"/>
            <w:szCs w:val="24"/>
            <w:lang w:val="en-IN"/>
          </w:rPr>
          <w:t>https://opendocs.ids.ac.uk/opendocs/handle/20.500.12413/3700</w:t>
        </w:r>
      </w:hyperlink>
    </w:p>
    <w:p w14:paraId="7A3A8632" w14:textId="7B05330C"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CD76BF">
        <w:rPr>
          <w:rFonts w:ascii="Times New Roman" w:eastAsia="Times New Roman" w:hAnsi="Times New Roman" w:cs="Times New Roman"/>
          <w:sz w:val="24"/>
          <w:szCs w:val="24"/>
        </w:rPr>
        <w:t>Folke</w:t>
      </w:r>
      <w:proofErr w:type="spellEnd"/>
      <w:r w:rsidRPr="00CD76BF">
        <w:rPr>
          <w:rFonts w:ascii="Times New Roman" w:eastAsia="Times New Roman" w:hAnsi="Times New Roman" w:cs="Times New Roman"/>
          <w:sz w:val="24"/>
          <w:szCs w:val="24"/>
        </w:rPr>
        <w:t xml:space="preserve">, C. (2016). Resilience (republished). Ecology and Society, 21(4), 44. </w:t>
      </w:r>
      <w:hyperlink r:id="rId25" w:history="1">
        <w:r w:rsidRPr="0066155D">
          <w:rPr>
            <w:rStyle w:val="Hyperlink"/>
            <w:rFonts w:ascii="Times New Roman" w:eastAsia="Times New Roman" w:hAnsi="Times New Roman" w:cs="Times New Roman"/>
            <w:sz w:val="24"/>
            <w:szCs w:val="24"/>
          </w:rPr>
          <w:t>https://doi.org/10.5751/ES-09088-210444</w:t>
        </w:r>
      </w:hyperlink>
    </w:p>
    <w:p w14:paraId="0609961E" w14:textId="32EBC7F0"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CD76BF">
        <w:rPr>
          <w:rFonts w:ascii="Times New Roman" w:eastAsia="Times New Roman" w:hAnsi="Times New Roman" w:cs="Times New Roman"/>
          <w:sz w:val="24"/>
          <w:szCs w:val="24"/>
        </w:rPr>
        <w:t>Hoddinott</w:t>
      </w:r>
      <w:proofErr w:type="spellEnd"/>
      <w:r w:rsidRPr="00CD76BF">
        <w:rPr>
          <w:rFonts w:ascii="Times New Roman" w:eastAsia="Times New Roman" w:hAnsi="Times New Roman" w:cs="Times New Roman"/>
          <w:sz w:val="24"/>
          <w:szCs w:val="24"/>
        </w:rPr>
        <w:t xml:space="preserve">, J., Berhane, G., Gilligan, D. O., Kumar, N., &amp; </w:t>
      </w:r>
      <w:proofErr w:type="spellStart"/>
      <w:r w:rsidRPr="00CD76BF">
        <w:rPr>
          <w:rFonts w:ascii="Times New Roman" w:eastAsia="Times New Roman" w:hAnsi="Times New Roman" w:cs="Times New Roman"/>
          <w:sz w:val="24"/>
          <w:szCs w:val="24"/>
        </w:rPr>
        <w:t>Taffesse</w:t>
      </w:r>
      <w:proofErr w:type="spellEnd"/>
      <w:r w:rsidRPr="00CD76BF">
        <w:rPr>
          <w:rFonts w:ascii="Times New Roman" w:eastAsia="Times New Roman" w:hAnsi="Times New Roman" w:cs="Times New Roman"/>
          <w:sz w:val="24"/>
          <w:szCs w:val="24"/>
        </w:rPr>
        <w:t xml:space="preserve">, A. S. (2012). The impact of Ethiopia’s Productive Safety Net </w:t>
      </w:r>
      <w:proofErr w:type="spellStart"/>
      <w:r w:rsidRPr="00CD76BF">
        <w:rPr>
          <w:rFonts w:ascii="Times New Roman" w:eastAsia="Times New Roman" w:hAnsi="Times New Roman" w:cs="Times New Roman"/>
          <w:sz w:val="24"/>
          <w:szCs w:val="24"/>
        </w:rPr>
        <w:t>Programme</w:t>
      </w:r>
      <w:proofErr w:type="spellEnd"/>
      <w:r w:rsidRPr="00CD76BF">
        <w:rPr>
          <w:rFonts w:ascii="Times New Roman" w:eastAsia="Times New Roman" w:hAnsi="Times New Roman" w:cs="Times New Roman"/>
          <w:sz w:val="24"/>
          <w:szCs w:val="24"/>
        </w:rPr>
        <w:t xml:space="preserve"> and related transfers on agricultural productivity. Journal of African Economies. </w:t>
      </w:r>
      <w:hyperlink r:id="rId26" w:history="1">
        <w:r w:rsidRPr="0066155D">
          <w:rPr>
            <w:rStyle w:val="Hyperlink"/>
            <w:rFonts w:ascii="Times New Roman" w:eastAsia="Times New Roman" w:hAnsi="Times New Roman" w:cs="Times New Roman"/>
            <w:sz w:val="24"/>
            <w:szCs w:val="24"/>
          </w:rPr>
          <w:t>https://doi.org/10.1093/jae/ejs016</w:t>
        </w:r>
      </w:hyperlink>
    </w:p>
    <w:p w14:paraId="47E83699" w14:textId="2E4AC8E4" w:rsidR="00A038BB" w:rsidRPr="00A9561C" w:rsidRDefault="00A038BB"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lastRenderedPageBreak/>
        <w:t xml:space="preserve">Maxwell, D., &amp; Maes, J. (2010). Protracted crises and chronic poverty in humanitarian responses: Policy implications. </w:t>
      </w:r>
      <w:r w:rsidRPr="00A9561C">
        <w:rPr>
          <w:rFonts w:ascii="Times New Roman" w:eastAsia="Times New Roman" w:hAnsi="Times New Roman" w:cs="Times New Roman"/>
          <w:i/>
          <w:iCs/>
          <w:sz w:val="24"/>
          <w:szCs w:val="24"/>
        </w:rPr>
        <w:t>Disasters, 34</w:t>
      </w:r>
      <w:r w:rsidRPr="00A9561C">
        <w:rPr>
          <w:rFonts w:ascii="Times New Roman" w:eastAsia="Times New Roman" w:hAnsi="Times New Roman" w:cs="Times New Roman"/>
          <w:sz w:val="24"/>
          <w:szCs w:val="24"/>
        </w:rPr>
        <w:t>(S2), S79–S103. https://doi.org/10.1111/j.1467-7717.2010.01152.x</w:t>
      </w:r>
    </w:p>
    <w:p w14:paraId="328364F9" w14:textId="77777777" w:rsidR="00A038BB" w:rsidRPr="00A9561C" w:rsidRDefault="00A038BB"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A9561C">
        <w:rPr>
          <w:rFonts w:ascii="Times New Roman" w:eastAsia="Times New Roman" w:hAnsi="Times New Roman" w:cs="Times New Roman"/>
          <w:sz w:val="24"/>
          <w:szCs w:val="24"/>
        </w:rPr>
        <w:t xml:space="preserve">Ng’ang’a, S. K., </w:t>
      </w:r>
      <w:proofErr w:type="spellStart"/>
      <w:r w:rsidRPr="00A9561C">
        <w:rPr>
          <w:rFonts w:ascii="Times New Roman" w:eastAsia="Times New Roman" w:hAnsi="Times New Roman" w:cs="Times New Roman"/>
          <w:sz w:val="24"/>
          <w:szCs w:val="24"/>
        </w:rPr>
        <w:t>Kibugi</w:t>
      </w:r>
      <w:proofErr w:type="spellEnd"/>
      <w:r w:rsidRPr="00A9561C">
        <w:rPr>
          <w:rFonts w:ascii="Times New Roman" w:eastAsia="Times New Roman" w:hAnsi="Times New Roman" w:cs="Times New Roman"/>
          <w:sz w:val="24"/>
          <w:szCs w:val="24"/>
        </w:rPr>
        <w:t xml:space="preserve">, R., &amp; Muthee, A. (2016). Grain banks as a food security strategy: Lessons from East Africa. </w:t>
      </w:r>
      <w:r w:rsidRPr="00A9561C">
        <w:rPr>
          <w:rFonts w:ascii="Times New Roman" w:eastAsia="Times New Roman" w:hAnsi="Times New Roman" w:cs="Times New Roman"/>
          <w:i/>
          <w:iCs/>
          <w:sz w:val="24"/>
          <w:szCs w:val="24"/>
        </w:rPr>
        <w:t>Food Security, 8</w:t>
      </w:r>
      <w:r w:rsidRPr="00A9561C">
        <w:rPr>
          <w:rFonts w:ascii="Times New Roman" w:eastAsia="Times New Roman" w:hAnsi="Times New Roman" w:cs="Times New Roman"/>
          <w:sz w:val="24"/>
          <w:szCs w:val="24"/>
        </w:rPr>
        <w:t>(3), 583–596. https://doi.org/10.1007/s12571-016-0584-1</w:t>
      </w:r>
    </w:p>
    <w:p w14:paraId="0E516954" w14:textId="7F03AA96" w:rsidR="00CD76BF" w:rsidRDefault="00CD76BF" w:rsidP="00CD76B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Ostrom, E. (1990). Governing the commons: The evolution of institutions for collective action. Cambridge University Press. </w:t>
      </w:r>
      <w:hyperlink r:id="rId27" w:history="1">
        <w:r w:rsidRPr="0066155D">
          <w:rPr>
            <w:rStyle w:val="Hyperlink"/>
            <w:rFonts w:ascii="Times New Roman" w:eastAsia="Times New Roman" w:hAnsi="Times New Roman" w:cs="Times New Roman"/>
            <w:sz w:val="24"/>
            <w:szCs w:val="24"/>
          </w:rPr>
          <w:t>https://www.cambridge.org/core/books/governing-the-commons/F22000A0112217240122172401221724</w:t>
        </w:r>
      </w:hyperlink>
    </w:p>
    <w:p w14:paraId="0E34B592" w14:textId="2E1AC929" w:rsidR="00A038BB" w:rsidRPr="00CD76BF" w:rsidRDefault="00CD76BF" w:rsidP="00CD76BF">
      <w:pPr>
        <w:pStyle w:val="ListParagraph"/>
        <w:numPr>
          <w:ilvl w:val="0"/>
          <w:numId w:val="5"/>
        </w:numPr>
        <w:spacing w:line="360" w:lineRule="auto"/>
        <w:jc w:val="both"/>
        <w:rPr>
          <w:rFonts w:ascii="Times New Roman" w:eastAsia="Times New Roman" w:hAnsi="Times New Roman" w:cs="Times New Roman"/>
          <w:sz w:val="24"/>
          <w:szCs w:val="24"/>
        </w:rPr>
      </w:pPr>
      <w:r w:rsidRPr="00CD76BF">
        <w:rPr>
          <w:rFonts w:ascii="Times New Roman" w:eastAsia="Times New Roman" w:hAnsi="Times New Roman" w:cs="Times New Roman"/>
          <w:sz w:val="24"/>
          <w:szCs w:val="24"/>
        </w:rPr>
        <w:t xml:space="preserve">Pretty, J. (2003). Social capital and the collective management of resources. Science, 302(5652), 1912–1914. </w:t>
      </w:r>
      <w:hyperlink r:id="rId28" w:history="1">
        <w:r w:rsidRPr="00CD76BF">
          <w:rPr>
            <w:rStyle w:val="Hyperlink"/>
            <w:rFonts w:ascii="Times New Roman" w:eastAsia="Times New Roman" w:hAnsi="Times New Roman" w:cs="Times New Roman"/>
            <w:sz w:val="24"/>
            <w:szCs w:val="24"/>
          </w:rPr>
          <w:t>https://doi.org/10.1126/science.1090847</w:t>
        </w:r>
      </w:hyperlink>
    </w:p>
    <w:p w14:paraId="1B601B8C" w14:textId="77777777" w:rsidR="00CD76BF" w:rsidRPr="00A9561C" w:rsidRDefault="00CD76BF" w:rsidP="00A038BB">
      <w:pPr>
        <w:spacing w:line="360" w:lineRule="auto"/>
        <w:jc w:val="both"/>
        <w:rPr>
          <w:rFonts w:ascii="Times New Roman" w:hAnsi="Times New Roman" w:cs="Times New Roman"/>
          <w:sz w:val="24"/>
          <w:szCs w:val="24"/>
        </w:rPr>
      </w:pPr>
    </w:p>
    <w:p w14:paraId="17266387" w14:textId="77777777" w:rsidR="00391240" w:rsidRDefault="00532639" w:rsidP="00532639">
      <w:pPr>
        <w:tabs>
          <w:tab w:val="left" w:pos="6510"/>
        </w:tabs>
      </w:pPr>
      <w:r>
        <w:tab/>
      </w:r>
    </w:p>
    <w:sectPr w:rsidR="00391240">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F249E" w14:textId="77777777" w:rsidR="000C59BF" w:rsidRDefault="000C59BF" w:rsidP="00C211AC">
      <w:pPr>
        <w:spacing w:after="0" w:line="240" w:lineRule="auto"/>
      </w:pPr>
      <w:r>
        <w:separator/>
      </w:r>
    </w:p>
  </w:endnote>
  <w:endnote w:type="continuationSeparator" w:id="0">
    <w:p w14:paraId="492EBD21" w14:textId="77777777" w:rsidR="000C59BF" w:rsidRDefault="000C59BF" w:rsidP="00C21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9AE34" w14:textId="77777777" w:rsidR="00C211AC" w:rsidRDefault="00C21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70451" w14:textId="77777777" w:rsidR="00C211AC" w:rsidRDefault="00C21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3209A" w14:textId="77777777" w:rsidR="00C211AC" w:rsidRDefault="00C21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C7D00" w14:textId="77777777" w:rsidR="000C59BF" w:rsidRDefault="000C59BF" w:rsidP="00C211AC">
      <w:pPr>
        <w:spacing w:after="0" w:line="240" w:lineRule="auto"/>
      </w:pPr>
      <w:r>
        <w:separator/>
      </w:r>
    </w:p>
  </w:footnote>
  <w:footnote w:type="continuationSeparator" w:id="0">
    <w:p w14:paraId="2F6A2C2F" w14:textId="77777777" w:rsidR="000C59BF" w:rsidRDefault="000C59BF" w:rsidP="00C21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FC1DC" w14:textId="77EBF641" w:rsidR="00C211AC" w:rsidRDefault="00C211AC">
    <w:pPr>
      <w:pStyle w:val="Header"/>
    </w:pPr>
    <w:r>
      <w:rPr>
        <w:noProof/>
      </w:rPr>
      <w:pict w14:anchorId="2F555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429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7F79B" w14:textId="61610BD2" w:rsidR="00C211AC" w:rsidRDefault="00C211AC">
    <w:pPr>
      <w:pStyle w:val="Header"/>
    </w:pPr>
    <w:r>
      <w:rPr>
        <w:noProof/>
      </w:rPr>
      <w:pict w14:anchorId="0B268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429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5D32" w14:textId="1D583D48" w:rsidR="00C211AC" w:rsidRDefault="00C211AC">
    <w:pPr>
      <w:pStyle w:val="Header"/>
    </w:pPr>
    <w:r>
      <w:rPr>
        <w:noProof/>
      </w:rPr>
      <w:pict w14:anchorId="075D3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429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1835"/>
    <w:multiLevelType w:val="multilevel"/>
    <w:tmpl w:val="C70C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B4F4D"/>
    <w:multiLevelType w:val="multilevel"/>
    <w:tmpl w:val="1CFE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52A9C"/>
    <w:multiLevelType w:val="multilevel"/>
    <w:tmpl w:val="DE70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6C105D"/>
    <w:multiLevelType w:val="hybridMultilevel"/>
    <w:tmpl w:val="0A48CD7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D3A0A53"/>
    <w:multiLevelType w:val="hybridMultilevel"/>
    <w:tmpl w:val="A738B8F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38BB"/>
    <w:rsid w:val="000C59BF"/>
    <w:rsid w:val="00391240"/>
    <w:rsid w:val="00514097"/>
    <w:rsid w:val="00532639"/>
    <w:rsid w:val="005608ED"/>
    <w:rsid w:val="00781431"/>
    <w:rsid w:val="007B1A86"/>
    <w:rsid w:val="008F5E69"/>
    <w:rsid w:val="00A038BB"/>
    <w:rsid w:val="00A6444D"/>
    <w:rsid w:val="00C211AC"/>
    <w:rsid w:val="00CD37BD"/>
    <w:rsid w:val="00CD76BF"/>
    <w:rsid w:val="00E560EC"/>
    <w:rsid w:val="00EB3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687022"/>
  <w15:docId w15:val="{ED05E345-3A9A-42D6-9895-7E65EA45D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8BB"/>
    <w:pPr>
      <w:spacing w:after="160" w:line="259" w:lineRule="auto"/>
    </w:pPr>
  </w:style>
  <w:style w:type="paragraph" w:styleId="Heading1">
    <w:name w:val="heading 1"/>
    <w:basedOn w:val="Normal"/>
    <w:next w:val="Normal"/>
    <w:link w:val="Heading1Char"/>
    <w:uiPriority w:val="9"/>
    <w:qFormat/>
    <w:rsid w:val="00A038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038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038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8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038B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038BB"/>
    <w:rPr>
      <w:rFonts w:ascii="Times New Roman" w:eastAsia="Times New Roman" w:hAnsi="Times New Roman" w:cs="Times New Roman"/>
      <w:b/>
      <w:bCs/>
      <w:sz w:val="27"/>
      <w:szCs w:val="27"/>
    </w:rPr>
  </w:style>
  <w:style w:type="character" w:styleId="Strong">
    <w:name w:val="Strong"/>
    <w:basedOn w:val="DefaultParagraphFont"/>
    <w:uiPriority w:val="22"/>
    <w:qFormat/>
    <w:rsid w:val="00A038BB"/>
    <w:rPr>
      <w:b/>
      <w:bCs/>
    </w:rPr>
  </w:style>
  <w:style w:type="character" w:styleId="Emphasis">
    <w:name w:val="Emphasis"/>
    <w:basedOn w:val="DefaultParagraphFont"/>
    <w:uiPriority w:val="20"/>
    <w:qFormat/>
    <w:rsid w:val="00A038BB"/>
    <w:rPr>
      <w:i/>
      <w:iCs/>
    </w:rPr>
  </w:style>
  <w:style w:type="paragraph" w:styleId="NormalWeb">
    <w:name w:val="Normal (Web)"/>
    <w:basedOn w:val="Normal"/>
    <w:uiPriority w:val="99"/>
    <w:semiHidden/>
    <w:unhideWhenUsed/>
    <w:rsid w:val="00A038B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38BB"/>
    <w:rPr>
      <w:color w:val="0000FF"/>
      <w:u w:val="single"/>
    </w:rPr>
  </w:style>
  <w:style w:type="paragraph" w:styleId="NoSpacing">
    <w:name w:val="No Spacing"/>
    <w:uiPriority w:val="1"/>
    <w:qFormat/>
    <w:rsid w:val="00A038BB"/>
    <w:pPr>
      <w:spacing w:after="0" w:line="240" w:lineRule="auto"/>
      <w:ind w:left="446"/>
    </w:pPr>
    <w:rPr>
      <w:rFonts w:ascii="Calibri" w:eastAsia="Calibri" w:hAnsi="Calibri" w:cs="Times New Roman"/>
    </w:rPr>
  </w:style>
  <w:style w:type="character" w:styleId="FootnoteReference">
    <w:name w:val="footnote reference"/>
    <w:uiPriority w:val="99"/>
    <w:semiHidden/>
    <w:unhideWhenUsed/>
    <w:rsid w:val="00A038BB"/>
    <w:rPr>
      <w:vertAlign w:val="superscript"/>
    </w:rPr>
  </w:style>
  <w:style w:type="paragraph" w:styleId="BalloonText">
    <w:name w:val="Balloon Text"/>
    <w:basedOn w:val="Normal"/>
    <w:link w:val="BalloonTextChar"/>
    <w:uiPriority w:val="99"/>
    <w:semiHidden/>
    <w:unhideWhenUsed/>
    <w:rsid w:val="00A03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8BB"/>
    <w:rPr>
      <w:rFonts w:ascii="Tahoma" w:hAnsi="Tahoma" w:cs="Tahoma"/>
      <w:sz w:val="16"/>
      <w:szCs w:val="16"/>
    </w:rPr>
  </w:style>
  <w:style w:type="character" w:styleId="UnresolvedMention">
    <w:name w:val="Unresolved Mention"/>
    <w:basedOn w:val="DefaultParagraphFont"/>
    <w:uiPriority w:val="99"/>
    <w:semiHidden/>
    <w:unhideWhenUsed/>
    <w:rsid w:val="005608ED"/>
    <w:rPr>
      <w:color w:val="605E5C"/>
      <w:shd w:val="clear" w:color="auto" w:fill="E1DFDD"/>
    </w:rPr>
  </w:style>
  <w:style w:type="paragraph" w:styleId="ListParagraph">
    <w:name w:val="List Paragraph"/>
    <w:basedOn w:val="Normal"/>
    <w:uiPriority w:val="34"/>
    <w:qFormat/>
    <w:rsid w:val="00CD76BF"/>
    <w:pPr>
      <w:ind w:left="720"/>
      <w:contextualSpacing/>
    </w:pPr>
  </w:style>
  <w:style w:type="paragraph" w:styleId="Header">
    <w:name w:val="header"/>
    <w:basedOn w:val="Normal"/>
    <w:link w:val="HeaderChar"/>
    <w:uiPriority w:val="99"/>
    <w:unhideWhenUsed/>
    <w:rsid w:val="00C21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1AC"/>
  </w:style>
  <w:style w:type="paragraph" w:styleId="Footer">
    <w:name w:val="footer"/>
    <w:basedOn w:val="Normal"/>
    <w:link w:val="FooterChar"/>
    <w:uiPriority w:val="99"/>
    <w:unhideWhenUsed/>
    <w:rsid w:val="00C21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111/ajae.12160" TargetMode="External"/><Relationship Id="rId26" Type="http://schemas.openxmlformats.org/officeDocument/2006/relationships/hyperlink" Target="https://doi.org/10.1093/jae/ejs016" TargetMode="External"/><Relationship Id="rId3" Type="http://schemas.openxmlformats.org/officeDocument/2006/relationships/settings" Target="settings.xml"/><Relationship Id="rId21" Type="http://schemas.openxmlformats.org/officeDocument/2006/relationships/hyperlink" Target="https://doi.org/10.1086/677753"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findevgateway.org/publication/savings-groups-what-are-they-2010-06-01" TargetMode="External"/><Relationship Id="rId25" Type="http://schemas.openxmlformats.org/officeDocument/2006/relationships/hyperlink" Target="https://doi.org/10.5751/ES-09088-210444"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177/0002764214550299" TargetMode="External"/><Relationship Id="rId20" Type="http://schemas.openxmlformats.org/officeDocument/2006/relationships/hyperlink" Target="https://doi.org/10.1002/jid.2992"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opendocs.ids.ac.uk/opendocs/handle/20.500.12413/370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hdl.handle.net/10568/154552" TargetMode="External"/><Relationship Id="rId28" Type="http://schemas.openxmlformats.org/officeDocument/2006/relationships/hyperlink" Target="https://doi.org/10.1126/science.1090847"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07/s10668-018-0291-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016/j.foodpol.2015.07.008" TargetMode="External"/><Relationship Id="rId27" Type="http://schemas.openxmlformats.org/officeDocument/2006/relationships/hyperlink" Target="https://www.cambridge.org/core/books/governing-the-commons/F22000A0112217240122172401221724"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23</Pages>
  <Words>6118</Words>
  <Characters>34873</Characters>
  <Application>Microsoft Office Word</Application>
  <DocSecurity>0</DocSecurity>
  <Lines>290</Lines>
  <Paragraphs>81</Paragraphs>
  <ScaleCrop>false</ScaleCrop>
  <Company/>
  <LinksUpToDate>false</LinksUpToDate>
  <CharactersWithSpaces>40910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Hagos</dc:creator>
  <cp:lastModifiedBy>SDI 1084</cp:lastModifiedBy>
  <cp:revision>12</cp:revision>
  <dcterms:created xsi:type="dcterms:W3CDTF">2025-12-04T08:08:00Z</dcterms:created>
  <dcterms:modified xsi:type="dcterms:W3CDTF">2025-12-09T12:44:00Z</dcterms:modified>
</cp:coreProperties>
</file>