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71E9" w14:textId="0570A045" w:rsidR="00754C9A" w:rsidRDefault="0091772C" w:rsidP="00441B6F">
      <w:pPr>
        <w:pStyle w:val="Title"/>
        <w:spacing w:after="0"/>
        <w:jc w:val="both"/>
        <w:rPr>
          <w:rFonts w:ascii="Arial" w:hAnsi="Arial" w:cs="Arial"/>
          <w:u w:val="single"/>
        </w:rPr>
      </w:pPr>
      <w:r w:rsidRPr="0091772C">
        <w:rPr>
          <w:rFonts w:ascii="Arial" w:hAnsi="Arial" w:cs="Arial"/>
          <w:u w:val="single"/>
        </w:rPr>
        <w:t>Original Research Article</w:t>
      </w:r>
    </w:p>
    <w:p w14:paraId="1060A752" w14:textId="77777777" w:rsidR="0091772C" w:rsidRPr="0091772C" w:rsidRDefault="0091772C" w:rsidP="00441B6F">
      <w:pPr>
        <w:pStyle w:val="Title"/>
        <w:spacing w:after="0"/>
        <w:jc w:val="both"/>
        <w:rPr>
          <w:rFonts w:ascii="Arial" w:hAnsi="Arial" w:cs="Arial"/>
          <w:u w:val="single"/>
        </w:rPr>
      </w:pPr>
    </w:p>
    <w:p w14:paraId="4AB8D681" w14:textId="77777777" w:rsidR="00163BC4" w:rsidRPr="00163BC4" w:rsidRDefault="0093673A" w:rsidP="00441B6F">
      <w:pPr>
        <w:pStyle w:val="Author"/>
        <w:spacing w:line="240" w:lineRule="auto"/>
        <w:rPr>
          <w:rFonts w:ascii="Arial" w:hAnsi="Arial" w:cs="Arial"/>
          <w:bCs/>
          <w:iCs/>
          <w:kern w:val="28"/>
          <w:sz w:val="36"/>
        </w:rPr>
      </w:pPr>
      <w:r>
        <w:rPr>
          <w:rFonts w:ascii="Arial" w:hAnsi="Arial" w:cs="Arial"/>
          <w:bCs/>
          <w:iCs/>
          <w:kern w:val="28"/>
          <w:sz w:val="36"/>
        </w:rPr>
        <w:t xml:space="preserve">The Effectiveness of the Function of the Agricultural Extension System in Encouraging Local Food Independence in North Buton Regency, Indonesia: An Analysis of the AGIL Framework </w:t>
      </w:r>
    </w:p>
    <w:p w14:paraId="3009F685" w14:textId="77777777" w:rsidR="00A258C3" w:rsidRPr="00790ADA" w:rsidRDefault="00A258C3" w:rsidP="00441B6F">
      <w:pPr>
        <w:pStyle w:val="Author"/>
        <w:spacing w:line="240" w:lineRule="auto"/>
        <w:jc w:val="both"/>
        <w:rPr>
          <w:rFonts w:ascii="Arial" w:hAnsi="Arial" w:cs="Arial"/>
          <w:sz w:val="36"/>
        </w:rPr>
      </w:pPr>
    </w:p>
    <w:p w14:paraId="701DADD3" w14:textId="77777777" w:rsidR="00B01FCD" w:rsidRDefault="0093673A" w:rsidP="00441B6F">
      <w:pPr>
        <w:pStyle w:val="AbstHead"/>
        <w:spacing w:after="0"/>
        <w:jc w:val="both"/>
        <w:rPr>
          <w:rFonts w:ascii="Arial" w:hAnsi="Arial" w:cs="Arial"/>
        </w:rPr>
      </w:pPr>
      <w:r w:rsidRPr="00FB3A86">
        <w:rPr>
          <w:rFonts w:ascii="Arial" w:hAnsi="Arial" w:cs="Arial"/>
        </w:rPr>
        <w:t xml:space="preserve">ABSTRACT </w:t>
      </w:r>
    </w:p>
    <w:p w14:paraId="3DA2687F" w14:textId="77777777" w:rsidR="00790A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1E9E" w14:paraId="3DEE4518" w14:textId="77777777" w:rsidTr="00C6277B">
        <w:tc>
          <w:tcPr>
            <w:tcW w:w="8198" w:type="dxa"/>
            <w:shd w:val="clear" w:color="auto" w:fill="F2F2F2"/>
          </w:tcPr>
          <w:p w14:paraId="1A8F98E5" w14:textId="77777777" w:rsidR="008E1C55" w:rsidRPr="00B21591" w:rsidRDefault="0093673A" w:rsidP="00375E81">
            <w:pPr>
              <w:ind w:left="-76"/>
              <w:jc w:val="both"/>
              <w:rPr>
                <w:rFonts w:ascii="Arial" w:eastAsia="Calibri" w:hAnsi="Arial" w:cs="Arial"/>
                <w:szCs w:val="22"/>
              </w:rPr>
            </w:pPr>
            <w:r w:rsidRPr="00B21591">
              <w:rPr>
                <w:rFonts w:ascii="Arial" w:eastAsia="Calibri" w:hAnsi="Arial" w:cs="Arial"/>
              </w:rPr>
              <w:t>This study aims to analyze the Effectiveness of the function of the agricultural extension system in North Buton Regency, Indonesia, in encouraging local food independence using the AGIL Parsons framework. The research involved 24 key informants, including food researchers and academics (government and FAO), agricultural extension workers (UPTD), farmers (</w:t>
            </w:r>
            <w:proofErr w:type="spellStart"/>
            <w:r w:rsidRPr="00B21591">
              <w:rPr>
                <w:rFonts w:ascii="Arial" w:eastAsia="Calibri" w:hAnsi="Arial" w:cs="Arial"/>
              </w:rPr>
              <w:t>Gapoktan</w:t>
            </w:r>
            <w:proofErr w:type="spellEnd"/>
            <w:r w:rsidRPr="00B21591">
              <w:rPr>
                <w:rFonts w:ascii="Arial" w:eastAsia="Calibri" w:hAnsi="Arial" w:cs="Arial"/>
              </w:rPr>
              <w:t>), and policy and private stakeholders (</w:t>
            </w:r>
            <w:proofErr w:type="spellStart"/>
            <w:r w:rsidRPr="00B21591">
              <w:rPr>
                <w:rFonts w:ascii="Arial" w:eastAsia="Calibri" w:hAnsi="Arial" w:cs="Arial"/>
              </w:rPr>
              <w:t>Bappeda</w:t>
            </w:r>
            <w:proofErr w:type="spellEnd"/>
            <w:r w:rsidRPr="00B21591">
              <w:rPr>
                <w:rFonts w:ascii="Arial" w:eastAsia="Calibri" w:hAnsi="Arial" w:cs="Arial"/>
              </w:rPr>
              <w:t>, Agriculture Service, Food Security Service, and entrepreneurs). The research design combines</w:t>
            </w:r>
            <w:bookmarkStart w:id="0" w:name="_GoBack"/>
            <w:bookmarkEnd w:id="0"/>
            <w:r w:rsidRPr="00B21591">
              <w:rPr>
                <w:rFonts w:ascii="Arial" w:eastAsia="Calibri" w:hAnsi="Arial" w:cs="Arial"/>
              </w:rPr>
              <w:t xml:space="preserve"> qualitative methods with case studies, enabling detailed analysis of the implementation of the food subsystem's functions.  </w:t>
            </w:r>
            <w:r w:rsidR="00702590" w:rsidRPr="00B21591">
              <w:rPr>
                <w:rFonts w:ascii="Arial" w:hAnsi="Arial" w:cs="Arial"/>
              </w:rPr>
              <w:t>Data were collected through in-depth interviews, participatory Observation, and document analysis. They were then analyzed thematically using AGIL, with triangulation of methods and sources and member checking to ensure validity. Results show that adaptation is more carried out individually by researchers, extension workers, and farmers, while institutional support is limited; goal achievement is driven by the intrinsic motivation of the actor, not the institutional goal; integration between weak and informal subsystems; and local values, integrity, and moral responsibility are the main forces of system maintenance. The extension system in North Buton Regency is actor-driven, with structural vulnerability to policy and bureaucratic changes. However, the potential for food independence remains significant through the roles of individuals and local values. The research recommends strengthening adaptation to local contexts, setting specific goals for food self-sufficiency, establishing formal coordination forums for institutional integration, and adopting participatory approaches that leverage local motivations and values. These findings provide insights into the development of resilient and sustainable local food systems and open up further research space on how intrinsic motivation and local values can be systematically institutionalized to ensure the Effectiveness of agricultural extension systems in realizing regional food independence.</w:t>
            </w:r>
          </w:p>
          <w:p w14:paraId="11E94AFB" w14:textId="77777777" w:rsidR="008E1C55" w:rsidRPr="00B21591" w:rsidRDefault="008E1C55" w:rsidP="00375E81">
            <w:pPr>
              <w:ind w:left="-76"/>
              <w:jc w:val="both"/>
              <w:rPr>
                <w:rFonts w:ascii="Arial" w:eastAsia="Calibri" w:hAnsi="Arial" w:cs="Arial"/>
                <w:szCs w:val="22"/>
              </w:rPr>
            </w:pPr>
          </w:p>
        </w:tc>
      </w:tr>
    </w:tbl>
    <w:p w14:paraId="78DD6F40" w14:textId="77777777" w:rsidR="00636EB2" w:rsidRPr="00375E81" w:rsidRDefault="00636EB2" w:rsidP="00441B6F">
      <w:pPr>
        <w:pStyle w:val="Body"/>
        <w:spacing w:after="0"/>
        <w:rPr>
          <w:rFonts w:ascii="Arial" w:hAnsi="Arial" w:cs="Arial"/>
          <w:i/>
        </w:rPr>
      </w:pPr>
    </w:p>
    <w:p w14:paraId="6201D9AB" w14:textId="3E4D8E3C" w:rsidR="00A24E7E" w:rsidRDefault="0093673A" w:rsidP="00441B6F">
      <w:pPr>
        <w:pStyle w:val="Body"/>
        <w:spacing w:after="0"/>
        <w:rPr>
          <w:rFonts w:ascii="Arial" w:hAnsi="Arial" w:cs="Arial"/>
          <w:i/>
        </w:rPr>
      </w:pPr>
      <w:r>
        <w:rPr>
          <w:rFonts w:ascii="Arial" w:hAnsi="Arial" w:cs="Arial"/>
          <w:i/>
        </w:rPr>
        <w:t xml:space="preserve">Keywords: </w:t>
      </w:r>
      <w:r w:rsidR="00715DB4">
        <w:rPr>
          <w:rFonts w:ascii="Arial" w:hAnsi="Arial" w:cs="Arial"/>
          <w:i/>
        </w:rPr>
        <w:t>A</w:t>
      </w:r>
      <w:r>
        <w:rPr>
          <w:rFonts w:ascii="Arial" w:hAnsi="Arial" w:cs="Arial"/>
          <w:i/>
        </w:rPr>
        <w:t>gricultural extension</w:t>
      </w:r>
      <w:r w:rsidR="00715DB4">
        <w:rPr>
          <w:rFonts w:ascii="Arial" w:hAnsi="Arial" w:cs="Arial"/>
          <w:i/>
        </w:rPr>
        <w:t xml:space="preserve"> system</w:t>
      </w:r>
      <w:r>
        <w:rPr>
          <w:rFonts w:ascii="Arial" w:hAnsi="Arial" w:cs="Arial"/>
          <w:i/>
        </w:rPr>
        <w:t xml:space="preserve">; food independence; AGIL functions, local values; </w:t>
      </w:r>
      <w:r w:rsidR="00715DB4">
        <w:rPr>
          <w:rFonts w:ascii="Arial" w:hAnsi="Arial" w:cs="Arial"/>
          <w:i/>
        </w:rPr>
        <w:t>a</w:t>
      </w:r>
      <w:r>
        <w:rPr>
          <w:rFonts w:ascii="Arial" w:hAnsi="Arial" w:cs="Arial"/>
          <w:i/>
        </w:rPr>
        <w:t>ctor-driven system</w:t>
      </w:r>
    </w:p>
    <w:p w14:paraId="7C0852DA" w14:textId="77777777" w:rsidR="00790ADA" w:rsidRDefault="00790ADA" w:rsidP="00441B6F">
      <w:pPr>
        <w:pStyle w:val="Body"/>
        <w:spacing w:after="0"/>
        <w:rPr>
          <w:rFonts w:ascii="Arial" w:hAnsi="Arial" w:cs="Arial"/>
          <w:i/>
        </w:rPr>
      </w:pPr>
    </w:p>
    <w:p w14:paraId="665F7E50" w14:textId="77777777" w:rsidR="007F7B32" w:rsidRDefault="0093673A" w:rsidP="00441B6F">
      <w:pPr>
        <w:pStyle w:val="AbstHead"/>
        <w:spacing w:after="0"/>
        <w:jc w:val="both"/>
        <w:rPr>
          <w:rFonts w:ascii="Arial" w:hAnsi="Arial" w:cs="Arial"/>
        </w:rPr>
      </w:pPr>
      <w:r>
        <w:rPr>
          <w:rFonts w:ascii="Arial" w:hAnsi="Arial" w:cs="Arial"/>
        </w:rPr>
        <w:t xml:space="preserve">1. INTRODUCTION </w:t>
      </w:r>
    </w:p>
    <w:p w14:paraId="787DAC7C" w14:textId="77777777" w:rsidR="00790ADA" w:rsidRPr="00FB3A86" w:rsidRDefault="00790ADA" w:rsidP="00441B6F">
      <w:pPr>
        <w:pStyle w:val="AbstHead"/>
        <w:spacing w:after="0"/>
        <w:jc w:val="both"/>
        <w:rPr>
          <w:rFonts w:ascii="Arial" w:hAnsi="Arial" w:cs="Arial"/>
        </w:rPr>
      </w:pPr>
    </w:p>
    <w:p w14:paraId="084F00B2" w14:textId="77777777" w:rsidR="002F68BA" w:rsidRPr="00C6277B" w:rsidRDefault="0093673A" w:rsidP="007643FD">
      <w:pPr>
        <w:spacing w:after="160"/>
        <w:jc w:val="both"/>
        <w:rPr>
          <w:rFonts w:ascii="Arial" w:hAnsi="Arial" w:cs="Arial"/>
          <w:color w:val="FF0000"/>
          <w:lang w:eastAsia="en-ID"/>
        </w:rPr>
      </w:pPr>
      <w:r w:rsidRPr="00CA4BBB">
        <w:rPr>
          <w:rFonts w:ascii="Arial" w:hAnsi="Arial" w:cs="Arial"/>
          <w:lang w:eastAsia="en-ID"/>
        </w:rPr>
        <w:t xml:space="preserve">Food independence is the primary foundation of sustainable agricultural development and is an important indicator of a region's food security. Food independence is a condition in which a region or country can meet its community's food needs through domestic production carried out in a sustainable, dignified manner and in line with local potential </w:t>
      </w:r>
      <w:r w:rsidR="003E7BA9" w:rsidRPr="00A70D9D">
        <w:rPr>
          <w:rFonts w:ascii="Arial" w:hAnsi="Arial" w:cs="Arial"/>
        </w:rPr>
        <w:fldChar w:fldCharType="begin" w:fldLock="1"/>
      </w:r>
      <w:r w:rsidR="00C426B7" w:rsidRPr="00A70D9D">
        <w:rPr>
          <w:rFonts w:ascii="Arial" w:hAnsi="Arial" w:cs="Arial"/>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11-21.","author":[{"dropping-particle":"","family":"Pemerintah Pusat Indonesia","given":"","non-dropping-particle":"","parse-names":false,"suffix":""}],"container-title":"Badan Pangan Nasional","id":"ITEM-1","issued":{"date-parts":[["2012"]]},"page":"1-11","title":"Undang-Undang Republik Indonesia Nomor 18 Tahun 2012 Tentang Pangan","type":"article-journal"},"uris":["http://www.mendeley.com/documents/?uuid=8bb50637-9e24-4bd2-a7c5-bde7da6366c2"]}],"mendeley":{"formattedCitation":"(Pemerintah Pusat Indonesia, 2012)","plainTextFormattedCitation":"(Pemerintah Pusat Indonesia, 2012)","previouslyFormattedCitation":"(Pemerintah Pusat Indonesia, 2012)"},"properties":{"noteIndex":0},"schema":"https://github.com/citation-style-language/schema/raw/master/csl-citation.json"}</w:instrText>
      </w:r>
      <w:r w:rsidR="003E7BA9" w:rsidRPr="00A70D9D">
        <w:rPr>
          <w:rFonts w:ascii="Arial" w:hAnsi="Arial" w:cs="Arial"/>
        </w:rPr>
        <w:fldChar w:fldCharType="separate"/>
      </w:r>
      <w:r w:rsidR="00C426B7" w:rsidRPr="00A70D9D">
        <w:rPr>
          <w:rFonts w:ascii="Arial" w:hAnsi="Arial" w:cs="Arial"/>
          <w:noProof/>
        </w:rPr>
        <w:t>(Central Government of Indonesia, 2012)</w:t>
      </w:r>
      <w:r w:rsidR="003E7BA9" w:rsidRPr="00A70D9D">
        <w:rPr>
          <w:rFonts w:ascii="Arial" w:hAnsi="Arial" w:cs="Arial"/>
        </w:rPr>
        <w:fldChar w:fldCharType="end"/>
      </w:r>
      <w:r w:rsidR="003E7BA9" w:rsidRPr="00A70D9D">
        <w:rPr>
          <w:rFonts w:ascii="Arial" w:hAnsi="Arial" w:cs="Arial"/>
        </w:rPr>
        <w:t xml:space="preserve">. In Indonesia, efforts to achieve food independence face challenges, </w:t>
      </w:r>
      <w:r w:rsidR="003E7BA9" w:rsidRPr="00A70D9D">
        <w:rPr>
          <w:rFonts w:ascii="Arial" w:hAnsi="Arial" w:cs="Arial"/>
        </w:rPr>
        <w:lastRenderedPageBreak/>
        <w:t xml:space="preserve">including dependence on imports, limited capacity of agricultural human resources </w:t>
      </w:r>
      <w:r w:rsidR="003E7BA9" w:rsidRPr="009E23E8">
        <w:rPr>
          <w:rFonts w:ascii="Arial" w:hAnsi="Arial" w:cs="Arial"/>
          <w:lang w:eastAsia="en-ID"/>
        </w:rPr>
        <w:fldChar w:fldCharType="begin" w:fldLock="1"/>
      </w:r>
      <w:r w:rsidR="00C426B7">
        <w:rPr>
          <w:rFonts w:ascii="Arial" w:hAnsi="Arial" w:cs="Arial"/>
          <w:lang w:eastAsia="en-ID"/>
        </w:rPr>
        <w:instrText>ADDIN CSL_CITATION {"citationItems":[{"id":"ITEM-1","itemData":{"DOI":"10.1007/s12571-019-00941-y","ISBN":"1257101900","ISSN":"18764525","abstract":"Several measures of food insecurity, whether at the household or at the national level, have been introduced during the past two or three decades. Some concentrate on the determinants of food security while other emphasize more the consequences of food insecurity. The main focus of this paper is on the food security indicators introduced by the Economist Intelligence Unit (EIU), the Global Food Security Index (GFSI). The paper has two goals. It first checks whether the set of weights selected by the panel of experts of the EIU plays a crucial role in the ranking of countries by level of food security. Then it examines to what extent the ranking of countries given by the GFSI is sensitive to the list of indicators selected. The empirical analysis conducted, based on statistical techniques such as principal components and efficiency analysis, led us to conclude that both the weights selected and the choice of indicators give a reasonable ranking of countries by level of their food security.","author":[{"dropping-particle":"","family":"Izraelov","given":"Meital","non-dropping-particle":"","parse-names":false,"suffix":""},{"dropping-particle":"","family":"Silber","given":"Jacques","non-dropping-particle":"","parse-names":false,"suffix":""}],"container-title":"Food Security","id":"ITEM-1","issue":"5","issued":{"date-parts":[["2019"]]},"page":"1135-1152","title":"An assessment of the global food security index","type":"article-journal","volume":"11"},"uris":["http://www.mendeley.com/documents/?uuid=4ce71f6b-ca82-48ec-9c4d-8793f1aaec6c"]}],"mendeley":{"formattedCitation":"(Izraelov &amp; Silber, 2019)","plainTextFormattedCitation":"(Izraelov &amp; Silber, 2019)","previouslyFormattedCitation":"(Izraelov &amp; Silber, 2019)"},"properties":{"noteIndex":0},"schema":"https://github.com/citation-style-language/schema/raw/master/csl-citation.json"}</w:instrText>
      </w:r>
      <w:r w:rsidR="003E7BA9" w:rsidRPr="009E23E8">
        <w:rPr>
          <w:rFonts w:ascii="Arial" w:hAnsi="Arial" w:cs="Arial"/>
          <w:lang w:eastAsia="en-ID"/>
        </w:rPr>
        <w:fldChar w:fldCharType="separate"/>
      </w:r>
      <w:r w:rsidR="00C426B7" w:rsidRPr="00C426B7">
        <w:rPr>
          <w:rFonts w:ascii="Arial" w:hAnsi="Arial" w:cs="Arial"/>
          <w:noProof/>
          <w:lang w:eastAsia="en-ID"/>
        </w:rPr>
        <w:t>(Izraelov &amp; Silber, 2019)</w:t>
      </w:r>
      <w:r w:rsidR="003E7BA9" w:rsidRPr="009E23E8">
        <w:rPr>
          <w:rFonts w:ascii="Arial" w:hAnsi="Arial" w:cs="Arial"/>
          <w:lang w:eastAsia="en-ID"/>
        </w:rPr>
        <w:fldChar w:fldCharType="end"/>
      </w:r>
      <w:r w:rsidR="009E23E8" w:rsidRPr="009E23E8">
        <w:rPr>
          <w:rFonts w:ascii="Arial" w:hAnsi="Arial" w:cs="Arial"/>
          <w:lang w:eastAsia="en-ID"/>
        </w:rPr>
        <w:t xml:space="preserve">, climate change, land degradation, and weak agricultural innovation support systems </w:t>
      </w:r>
      <w:r w:rsidR="003E7BA9" w:rsidRPr="009E23E8">
        <w:rPr>
          <w:rFonts w:ascii="Arial" w:hAnsi="Arial" w:cs="Arial"/>
          <w:lang w:eastAsia="en-ID"/>
        </w:rPr>
        <w:fldChar w:fldCharType="begin" w:fldLock="1"/>
      </w:r>
      <w:r w:rsidR="00C426B7">
        <w:rPr>
          <w:rFonts w:ascii="Arial" w:hAnsi="Arial" w:cs="Arial"/>
          <w:lang w:eastAsia="en-ID"/>
        </w:rPr>
        <w:instrText>ADDIN CSL_CITATION {"citationItems":[{"id":"ITEM-1","itemData":{"DOI":"10.4060/cb4476en","ISBN":"9789251343296","author":[{"dropping-particle":"","family":"Bicksler","given":"Abram","non-dropping-particle":"","parse-names":false,"suffix":""}],"id":"ITEM-1","issue":"November","issued":{"date-parts":[["2021"]]},"publisher":"Food and Agriculture Organization of the United Nations","title":"The State of Food and Agriculture 2021 agrifood systems resilient to shocks and stresses","type":"book"},"uris":["http://www.mendeley.com/documents/?uuid=1e0b03a9-7882-4dee-b41f-b72d950793a3"]}],"mendeley":{"formattedCitation":"(Bicksler, 2021)","plainTextFormattedCitation":"(Bicksler, 2021)","previouslyFormattedCitation":"(Bicksler, 2021)"},"properties":{"noteIndex":0},"schema":"https://github.com/citation-style-language/schema/raw/master/csl-citation.json"}</w:instrText>
      </w:r>
      <w:r w:rsidR="003E7BA9" w:rsidRPr="009E23E8">
        <w:rPr>
          <w:rFonts w:ascii="Arial" w:hAnsi="Arial" w:cs="Arial"/>
          <w:lang w:eastAsia="en-ID"/>
        </w:rPr>
        <w:fldChar w:fldCharType="separate"/>
      </w:r>
      <w:r w:rsidR="00C426B7" w:rsidRPr="00C426B7">
        <w:rPr>
          <w:rFonts w:ascii="Arial" w:hAnsi="Arial" w:cs="Arial"/>
          <w:noProof/>
          <w:lang w:eastAsia="en-ID"/>
        </w:rPr>
        <w:t>(Bicksler, 2021)</w:t>
      </w:r>
      <w:r w:rsidR="003E7BA9" w:rsidRPr="009E23E8">
        <w:rPr>
          <w:rFonts w:ascii="Arial" w:hAnsi="Arial" w:cs="Arial"/>
          <w:lang w:eastAsia="en-ID"/>
        </w:rPr>
        <w:fldChar w:fldCharType="end"/>
      </w:r>
      <w:r w:rsidR="009E23E8">
        <w:rPr>
          <w:rFonts w:ascii="Arial" w:hAnsi="Arial" w:cs="Arial"/>
          <w:lang w:eastAsia="en-ID"/>
        </w:rPr>
        <w:t xml:space="preserve">. This complexity is exacerbated by threats to local food sustainability </w:t>
      </w:r>
      <w:r w:rsidR="009E23E8">
        <w:rPr>
          <w:rFonts w:ascii="Arial" w:hAnsi="Arial" w:cs="Arial"/>
          <w:lang w:eastAsia="en-ID"/>
        </w:rPr>
        <w:fldChar w:fldCharType="begin" w:fldLock="1"/>
      </w:r>
      <w:r w:rsidR="00C426B7">
        <w:rPr>
          <w:rFonts w:ascii="Arial" w:hAnsi="Arial" w:cs="Arial"/>
          <w:lang w:eastAsia="en-ID"/>
        </w:rPr>
        <w:instrText>ADDIN CSL_CITATION {"citationItems":[{"id":"ITEM-1","itemData":{"DOI":"http://doi.org/10.46754/jssm.2025.11.002","author":[{"dropping-particle":"","family":"Isnian","given":"Sitti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Management","id":"ITEM-1","issue":"11","issued":{"date-parts":[["2025"]]},"page":"2306-2324","title":"Universities’ Role in Food Germplasm Sustainability","type":"article-journal","volume":"20"},"uris":["http://www.mendeley.com/documents/?uuid=ee50c851-e34e-4ea8-99e5-8978750ee907"]}],"mendeley":{"formattedCitation":"(Isnian et al., 2025)","plainTextFormattedCitation":"(Isnian et al., 2025)","previouslyFormattedCitation":"(Isnian et al., 2025)"},"properties":{"noteIndex":0},"schema":"https://github.com/citation-style-language/schema/raw/master/csl-citation.json"}</w:instrText>
      </w:r>
      <w:r w:rsidR="009E23E8">
        <w:rPr>
          <w:rFonts w:ascii="Arial" w:hAnsi="Arial" w:cs="Arial"/>
          <w:lang w:eastAsia="en-ID"/>
        </w:rPr>
        <w:fldChar w:fldCharType="separate"/>
      </w:r>
      <w:r w:rsidR="00C426B7" w:rsidRPr="00C426B7">
        <w:rPr>
          <w:rFonts w:ascii="Arial" w:hAnsi="Arial" w:cs="Arial"/>
          <w:noProof/>
          <w:lang w:eastAsia="en-ID"/>
        </w:rPr>
        <w:t>(Isnian et al., 2025)</w:t>
      </w:r>
      <w:r w:rsidR="009E23E8">
        <w:rPr>
          <w:rFonts w:ascii="Arial" w:hAnsi="Arial" w:cs="Arial"/>
          <w:lang w:eastAsia="en-ID"/>
        </w:rPr>
        <w:fldChar w:fldCharType="end"/>
      </w:r>
      <w:r w:rsidR="009E23E8">
        <w:rPr>
          <w:rFonts w:ascii="Arial" w:hAnsi="Arial" w:cs="Arial"/>
          <w:lang w:eastAsia="en-ID"/>
        </w:rPr>
        <w:t xml:space="preserve">, which is a pillar of achieving food independence </w:t>
      </w:r>
      <w:r w:rsidR="002F7EDB" w:rsidRPr="002F7ED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{"citationItems":[{"id":"ITEM-1","itemData":{"author":[{"dropping-particle":"","family":"Badan Ketahanan Pangan","given":"","non-dropping-particle":"","parse-names":false,"suffix":""}],"id":"ITEM-1","issued":{"date-parts":[["2019"]]},"number-of-pages":"1-40","publisher":"BADAN KETAHANAN PANGAN KEMENTERIAN PERTANIAN REPUBLIK INDONESIA. Jakarta.","publisher-place":"Jakarta","title":"Rencana Strategis Badan Ketahanan Pangan Tahun 2020-2024","type":"book"},"uris":["http://www.mendeley.com/documents/?uuid=39301d7e-7058-40cf-888b-2211395733e4"]}],"mendeley":{"formattedCitation":"(Badan Ketahanan Pangan, 2019)","plainTextFormattedCitation":"(Badan Ketahanan Pangan, 2019)","previouslyFormattedCitation":"(Badan Ketahanan Pangan, 2019)"},"properties":{"noteIndex":0},"schema":"https://github.com/citation-style-language/schema/raw/master/csl-citation.json"}</w:instrText>
      </w:r>
      <w:r w:rsidR="002F7EDB" w:rsidRPr="002F7EDB">
        <w:rPr>
          <w:rFonts w:ascii="Arial" w:hAnsi="Arial" w:cs="Arial"/>
          <w:lang w:eastAsia="en-ID"/>
        </w:rPr>
        <w:fldChar w:fldCharType="separate"/>
      </w:r>
      <w:r w:rsidR="00C426B7" w:rsidRPr="00C426B7">
        <w:rPr>
          <w:rFonts w:ascii="Arial" w:hAnsi="Arial" w:cs="Arial"/>
          <w:noProof/>
          <w:lang w:eastAsia="en-ID"/>
        </w:rPr>
        <w:t>(Food Security Agency, 2019)</w:t>
      </w:r>
      <w:r w:rsidR="002F7EDB" w:rsidRPr="002F7EDB">
        <w:rPr>
          <w:rFonts w:ascii="Arial" w:hAnsi="Arial" w:cs="Arial"/>
          <w:lang w:eastAsia="en-ID"/>
        </w:rPr>
        <w:fldChar w:fldCharType="end"/>
      </w:r>
      <w:r w:rsidR="002F7EDB" w:rsidRPr="002F7EDB">
        <w:rPr>
          <w:rFonts w:ascii="Arial" w:hAnsi="Arial" w:cs="Arial"/>
          <w:lang w:eastAsia="en-ID"/>
        </w:rPr>
        <w:t xml:space="preserve"> and an important factor in realizing Sustainable Development Goals (SDGs) point two, namely a world without hunger </w:t>
      </w:r>
      <w:r w:rsidR="003E7BA9" w:rsidRPr="00F24DD2">
        <w:rPr>
          <w:rFonts w:ascii="Arial" w:hAnsi="Arial" w:cs="Arial"/>
          <w:lang w:eastAsia="en-ID"/>
        </w:rPr>
        <w:fldChar w:fldCharType="begin" w:fldLock="1"/>
      </w:r>
      <w:r w:rsidR="005237B3">
        <w:rPr>
          <w:rFonts w:ascii="Arial" w:hAnsi="Arial" w:cs="Arial"/>
          <w:lang w:eastAsia="en-ID"/>
        </w:rPr>
        <w:instrText>ADDIN CSL_CITATION {"citationItems":[{"id":"ITEM-1","itemData":{"DOI":"10.3390/foods13020306","ISSN":"23048158","abstract":"The accomplishment of food/nutrition security for all across sustainable food systems (SFS) is tied to the Sustainable Development Goals (SDGs). SFS is connected to all SDGs via the traditional framework of social inclusion, economic development, environmental safety, inclusivity, and the development of sustainable food systems. We suggest that, for the world to achieve sustainable development, a shift to SFS is necessary to guarantee food/nutrition security for all, while operating within planetary boundaries to protect ecosystems and adapt to and mitigate climate change. Therefore, there is a requirement for original approaches that implement systemic and more participatory methods to engage with a wider range of food system stakeholders. However, the lack of skills and tools regarding novel methodologies for food system transformation is a key obstacle to the deployment of such approaches in practice. In the first part of this review, a summary of some challenges that occur in the governance of food system transformation is given. Through a case study of plant-based proteins and their biological and chemical modification as diets shift towards alternative proteins, we demonstrate that resource-efficient food systems and food waste, through system transformation, are useful in understanding both (i) how food system transformation has ensued and (ii) how the required transformation is prohibited. Finally, we discuss the implications of food system transformation in terms of nutrition and sustainable healthy diets, which are needed to achieve changes in food safety systems in the future. The linkage of food and the environment is evident, focusing on nutrition and sustainable healthy diets. This cannot be accomplished without system change and research towards new foods and, more specifically, new proteins such as plant-based ones and their biological and chemical modification.","author":[{"dropping-particle":"","family":"Varzakas","given":"Theodoros","non-dropping-particle":"","parse-names":false,"suffix":""},{"dropping-particle":"","family":"Smaoui","given":"Slim","non-dropping-particle":"","parse-names":false,"suffix":""}],"container-title":"Foods","id":"ITEM-1","issue":"2","issued":{"date-parts":[["2024"]]},"title":"Global Food Security and Sustainability Issues: The Road to 2030 from Nutrition and Sustainable Healthy Diets to Food Systems Change","type":"article-journal","volume":"13"},"uris":["http://www.mendeley.com/documents/?uuid=6a07c96a-6ddb-4f1e-b4eb-577544427cfc"]},{"id":"ITEM-2","itemData":{"author":[{"dropping-particle":"","family":"Sangameswaran","given":"R","non-dropping-particle":"","parse-names":false,"suffix":""},{"dropping-particle":"","family":"Kumaravel","given":"P","non-dropping-particle":"","parse-names":false,"suffix":""},{"dropping-particle":"","family":"Akila","given":"N","non-dropping-particle":"","parse-names":false,"suffix":""}],"container-title":"Asian Journal of Agricultural Extension, Economis &amp; Sociology","id":"ITEM-2","issue":"11","issued":{"date-parts":[["2025"]]},"page":"100-105","title":"Perceived Impact of Climate Change and Adaptation Strategies of Dairy Farmers in Drought-prone Districts of Tamil Nadu , India","type":"article-journal","volume":"43"},"uris":["http://www.mendeley.com/documents/?uuid=0d592c87-05d4-454c-bc79-842064c1c31c"]}],"mendeley":{"formattedCitation":"(Sangameswaran et al., 2025; Varzakas &amp; Smaoui, 2024)","plainTextFormattedCitation":"(Sangameswaran et al., 2025; Varzakas &amp; Smaoui, 2024)","previouslyFormattedCitation":"(Varzakas &amp; Smaoui, 2024)"},"properties":{"noteIndex":0},"schema":"https://github.com/citation-style-language/schema/raw/master/csl-citation.json"}</w:instrText>
      </w:r>
      <w:r w:rsidR="003E7BA9" w:rsidRPr="00F24DD2">
        <w:rPr>
          <w:rFonts w:ascii="Arial" w:hAnsi="Arial" w:cs="Arial"/>
          <w:lang w:eastAsia="en-ID"/>
        </w:rPr>
        <w:fldChar w:fldCharType="separate"/>
      </w:r>
      <w:r w:rsidR="005237B3" w:rsidRPr="005237B3">
        <w:rPr>
          <w:rFonts w:ascii="Arial" w:hAnsi="Arial" w:cs="Arial"/>
          <w:noProof/>
          <w:lang w:eastAsia="en-ID"/>
        </w:rPr>
        <w:t>(Sangameswaran et al., 2025; Varzakas &amp; Smaoui, 2024)</w:t>
      </w:r>
      <w:r w:rsidR="003E7BA9" w:rsidRPr="00F24DD2">
        <w:rPr>
          <w:rFonts w:ascii="Arial" w:hAnsi="Arial" w:cs="Arial"/>
          <w:lang w:eastAsia="en-ID"/>
        </w:rPr>
        <w:fldChar w:fldCharType="end"/>
      </w:r>
      <w:r w:rsidR="002F7EDB">
        <w:rPr>
          <w:rFonts w:ascii="Arial" w:hAnsi="Arial" w:cs="Arial"/>
          <w:lang w:eastAsia="en-ID"/>
        </w:rPr>
        <w:t>, in the midst of the world's population that continues to grow until</w:t>
      </w:r>
      <w:r w:rsidR="002F7EDB" w:rsidRPr="00BB5819">
        <w:t xml:space="preserve"> estimated by the United Nations to reach 9.8 Billion world population by 2050   </w:t>
      </w:r>
      <w:r w:rsidR="002F7EDB" w:rsidRPr="00BB5819">
        <w:fldChar w:fldCharType="begin" w:fldLock="1"/>
      </w:r>
      <w:r w:rsidR="00C426B7">
        <w:instrText>ADDIN CSL_CITATION {"citationItems":[{"id":"ITEM-1","itemData":{"author":[{"dropping-particle":"","family":"Affairs","given":"Department of Economic and Social","non-dropping-particle":"","parse-names":false,"suffix":""}],"container-title":"United Nations","id":"ITEM-1","issued":{"date-parts":[["2024"]]},"title":"World population projected to reach 9.8 billion in 2050, and 11.2 billion in 2100","type":"article-journal"},"uris":["http://www.mendeley.com/documents/?uuid=25b2a431-e149-43ee-b291-a812b2b33fdf"]}],"mendeley":{"formattedCitation":"(Affairs, 2024)","plainTextFormattedCitation":"(Affairs, 2024)","previouslyFormattedCitation":"(Affairs, 2024)"},"properties":{"noteIndex":0},"schema":"https://github.com/citation-style-language/schema/raw/master/csl-citation.json"}</w:instrText>
      </w:r>
      <w:r w:rsidR="002F7EDB" w:rsidRPr="00BB5819">
        <w:fldChar w:fldCharType="separate"/>
      </w:r>
      <w:r w:rsidR="00C426B7" w:rsidRPr="00C426B7">
        <w:rPr>
          <w:noProof/>
        </w:rPr>
        <w:t>(Business, 2024)</w:t>
      </w:r>
      <w:r w:rsidR="002F7EDB" w:rsidRPr="00BB5819">
        <w:fldChar w:fldCharType="end"/>
      </w:r>
      <w:r w:rsidR="003E7BA9" w:rsidRPr="00F24DD2">
        <w:rPr>
          <w:rFonts w:ascii="Arial" w:hAnsi="Arial" w:cs="Arial"/>
          <w:lang w:eastAsia="en-ID"/>
        </w:rPr>
        <w:t xml:space="preserve">. This condition underscores the urgent need for an agricultural extension system that can increase farmers' capacity and facilitate the adoption of innovations to strengthen food independence </w:t>
      </w:r>
      <w:r w:rsidRPr="00F24DD2">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{"citationItems":[{"id":"ITEM-1","itemData":{"author":[{"dropping-particle":"","family":"Kementerian Pertanian","given":"","non-dropping-particle":"","parse-names":false,"suffix":""}],"id":"ITEM-1","issue":"Badan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2020-2024","type":"article-journal"},"uris":["http://www.mendeley.com/documents/?uuid=1f922bdd-2f4e-4f89-904e-528bd7f5381d"]},{"id":"ITEM-2","itemData":{"URL":"https://ppid.pertanian.go.id/doc/1/Draft Renstra 2020-2024 edited BAPPENAS (Final).pdf","accessed":{"date-parts":[["2024","8","7"]]},"author":[{"dropping-particle":"","family":"Kementerian Pertanian","given":"","non-dropping-particle":"","parse-names":false,"suffix":""}],"container-title":"Kementerian Pertanian Republik Indonesia. Jakarta.","id":"ITEM-2","issued":{"date-parts":[["2020"]]},"page":"1-165","title":"Rencana Strategis Kementerian Pertanian 2020-2024","type":"webpage"},"uris":["http://www.mendeley.com/documents/?uuid=050f464c-8c6e-4963-b4da-bd8919c3fd9b"]}],"mendeley":{"formattedCitation":"(Kementerian Pertanian, 2020a, 2020b)","plainTextFormattedCitation":"(Kementerian Pertanian, 2020a, 2020b)","previouslyFormattedCitation":"(Kementerian Pertanian, 2020a, 2020b)"},"properties":{"noteIndex":0},"schema":"https://github.com/citation-style-language/schema/raw/master/csl-citation.json"}</w:instrText>
      </w:r>
      <w:r w:rsidRPr="00F24DD2">
        <w:rPr>
          <w:rFonts w:ascii="Arial" w:hAnsi="Arial" w:cs="Arial"/>
          <w:lang w:eastAsia="en-ID"/>
        </w:rPr>
        <w:fldChar w:fldCharType="separate"/>
      </w:r>
      <w:r w:rsidR="00C426B7" w:rsidRPr="00C426B7">
        <w:rPr>
          <w:rFonts w:ascii="Arial" w:hAnsi="Arial" w:cs="Arial"/>
          <w:noProof/>
          <w:lang w:eastAsia="en-ID"/>
        </w:rPr>
        <w:t>(Ministry of Agriculture, 2020a, 2020b)</w:t>
      </w:r>
      <w:r w:rsidRPr="00F24DD2">
        <w:rPr>
          <w:rFonts w:ascii="Arial" w:hAnsi="Arial" w:cs="Arial"/>
          <w:lang w:eastAsia="en-ID"/>
        </w:rPr>
        <w:fldChar w:fldCharType="end"/>
      </w:r>
      <w:r w:rsidRPr="00F24DD2">
        <w:rPr>
          <w:rFonts w:ascii="Arial" w:hAnsi="Arial" w:cs="Arial"/>
          <w:lang w:eastAsia="en-ID"/>
        </w:rPr>
        <w:t xml:space="preserve">. </w:t>
      </w:r>
    </w:p>
    <w:p w14:paraId="59DA52A7" w14:textId="77777777" w:rsidR="00931CEA" w:rsidRDefault="0093673A" w:rsidP="009B785D">
      <w:pPr>
        <w:spacing w:before="100" w:beforeAutospacing="1" w:after="100" w:afterAutospacing="1"/>
        <w:jc w:val="both"/>
        <w:rPr>
          <w:rFonts w:ascii="Arial" w:hAnsi="Arial" w:cs="Arial"/>
          <w:lang w:eastAsia="en-ID"/>
        </w:rPr>
      </w:pPr>
      <w:r w:rsidRPr="00F24DD2">
        <w:rPr>
          <w:rFonts w:ascii="Arial" w:hAnsi="Arial" w:cs="Arial"/>
        </w:rPr>
        <w:t xml:space="preserve">The agricultural extension system is a series of development of capabilities, knowledge, skills, and attitudes of the leading actors and agricultural businesses that aim to develop human resources and social capital of the agricultural sector sustainably in realizing agricultural development goals that ensure the achievement of food independence, is participatory, based on the needs of the community as the subject of change </w:t>
      </w:r>
      <w:r w:rsidRPr="00F24DD2">
        <w:rPr>
          <w:rFonts w:ascii="Arial" w:hAnsi="Arial" w:cs="Arial"/>
        </w:rPr>
        <w:fldChar w:fldCharType="begin" w:fldLock="1"/>
      </w:r>
      <w:r w:rsidR="00C426B7">
        <w:rPr>
          <w:rFonts w:ascii="Arial" w:hAnsi="Arial" w:cs="Arial"/>
        </w:rPr>
        <w:instrText>ADDIN CSL_CITATION {"citationItems":[{"id":"ITEM-1","itemData":{"DOI":"10.1007/978-981-15-3673-1","ISBN":"9789811536731","abstract":"Food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Advancements","id":"ITEM-1","issue":"October 2020","issued":{"date-parts":[["2020"]]},"page":"1-528","title":"Communication” in the Context of Agricultural Extension: Past, Present and Way Forward in Achieving Sustainable Food Systems in Sri Lanka","type":"article-journal","volume":"2"},"uris":["http://www.mendeley.com/documents/?uuid=7e79139b-69ae-48e4-b52b-cdba64afa23f"]},{"id":"ITEM-2","itemData":{"author":[{"dropping-particle":"","family":"Kementerian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2020-2024","type":"article-journal"},"uris":["http://www.mendeley.com/documents/?uuid=1f922bdd-2f4e-4f89-904e-528bd7f5381d"]},{"id":"ITEM-3","itemData":{"abstract":"Predicting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Indonesia","given":"","non-dropping-particle":"","parse-names":false,"suffix":""}],"id":"ITEM-3","issued":{"date-parts":[["2006"]]},"page":"Jakarta","publisher":"Pemerintah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Kehutanan","type":"article-journal"},"uris":["http://www.mendeley.com/documents/?uuid=44b39c3c-02bf-40b7-b963-296b1b946da6"]},{"id":"ITEM-4","itemData":{"DOI":"10.4018/978-1-5225-3631-4.ch007","ISBN":"9781522536338","abstract":"The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Economies","id":"ITEM-4","issue":"March","issued":{"date-parts":[["2018"]]},"page":"160-171","title":"Harmonising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Kementerian Pertanian, 2020a; Pemerintah Pusat Indonesia, 2006; Wijerathna &amp; Wanigasundera, 2020)","plainTextFormattedCitation":"(Akinnagbe, 2018; Kementerian Pertanian, 2020a; Pemerintah Pusat Indonesia, 2006; Wijerathna &amp; Wanigasundera, 2020)","previouslyFormattedCitation":"(Akinnagbe, 2018; Kementerian Pertanian, 2020a; Pemerintah Pusat Indonesia, 2006; Wijerathna &amp; Wanigasundera, 2020)"},"properties":{"noteIndex":0},"schema":"https://github.com/citation-style-language/schema/raw/master/csl-citation.json"}</w:instrText>
      </w:r>
      <w:r w:rsidRPr="00F24DD2">
        <w:rPr>
          <w:rFonts w:ascii="Arial" w:hAnsi="Arial" w:cs="Arial"/>
        </w:rPr>
        <w:fldChar w:fldCharType="separate"/>
      </w:r>
      <w:r w:rsidR="00C426B7" w:rsidRPr="00C426B7">
        <w:rPr>
          <w:rFonts w:ascii="Arial" w:hAnsi="Arial" w:cs="Arial"/>
          <w:noProof/>
        </w:rPr>
        <w:t>(Akinnagbe, 2018; Ministry of Agriculture, 2020a; Central Government of Indonesia, 2006; Wijerathna &amp; Wanigasundera, 2020)</w:t>
      </w:r>
      <w:r w:rsidRPr="00F24DD2">
        <w:rPr>
          <w:rFonts w:ascii="Arial" w:hAnsi="Arial" w:cs="Arial"/>
        </w:rPr>
        <w:fldChar w:fldCharType="end"/>
      </w:r>
      <w:r w:rsidRPr="00F24DD2">
        <w:rPr>
          <w:rFonts w:ascii="Arial" w:hAnsi="Arial" w:cs="Arial"/>
        </w:rPr>
        <w:t xml:space="preserve">. This system is built with the philosophy of extension education, namely substantial changes </w:t>
      </w:r>
      <w:r w:rsidR="00100B25" w:rsidRPr="00100B25">
        <w:rPr>
          <w:rFonts w:ascii="Arial" w:hAnsi="Arial" w:cs="Arial"/>
        </w:rPr>
        <w:fldChar w:fldCharType="begin" w:fldLock="1"/>
      </w:r>
      <w:r w:rsidR="00C426B7">
        <w:rPr>
          <w:rFonts w:ascii="Arial" w:hAnsi="Arial" w:cs="Arial"/>
        </w:rPr>
        <w:instrText>ADDIN CSL_CITATION {"citationItems":[{"id":"ITEM-1","itemData":{"DOI":"http://doi.org/10.46754/jssm.2025.11.002","author":[{"dropping-particle":"","family":"Isnian","given":"Sitti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Management","id":"ITEM-1","issue":"11","issued":{"date-parts":[["2025"]]},"page":"2306-2324","title":"Universities’ Role in Food Germplasm Sustainability","type":"article-journal","volume":"20"},"uris":["http://www.mendeley.com/documents/?uuid=ee50c851-e34e-4ea8-99e5-8978750ee907"]},{"id":"ITEM-2","itemData":{"DOI":"10.4018/978-1-5225-3631-4.ch007","ISBN":"9781522536338","abstract":"The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Isnian et al., 2025)","plainTextFormattedCitation":"(Akinnagbe, 2018; Isnian et al., 2025)","previouslyFormattedCitation":"(Akinnagbe, 2018; Isnian et al., 2025)"},"properties":{"noteIndex":0},"schema":"https://github.com/citation-style-language/schema/raw/master/csl-citation.json"}</w:instrText>
      </w:r>
      <w:r w:rsidR="00100B25" w:rsidRPr="00100B25">
        <w:rPr>
          <w:rFonts w:ascii="Arial" w:hAnsi="Arial" w:cs="Arial"/>
        </w:rPr>
        <w:fldChar w:fldCharType="separate"/>
      </w:r>
      <w:r w:rsidR="00C426B7" w:rsidRPr="00C426B7">
        <w:rPr>
          <w:rFonts w:ascii="Arial" w:hAnsi="Arial" w:cs="Arial"/>
          <w:noProof/>
        </w:rPr>
        <w:t>(Akinnagbe, 2018; Isnian et al., 2025)</w:t>
      </w:r>
      <w:r w:rsidR="00100B25" w:rsidRPr="00100B25">
        <w:rPr>
          <w:rFonts w:ascii="Arial" w:hAnsi="Arial" w:cs="Arial"/>
        </w:rPr>
        <w:fldChar w:fldCharType="end"/>
      </w:r>
      <w:r w:rsidR="00100B25" w:rsidRPr="00100B25">
        <w:rPr>
          <w:rFonts w:ascii="Arial" w:hAnsi="Arial" w:cs="Arial"/>
        </w:rPr>
        <w:t xml:space="preserve"> So that operationally this system works with the community (farmers) not for the community </w:t>
      </w:r>
      <w:r w:rsidR="00CC06EE">
        <w:rPr>
          <w:rFonts w:ascii="Arial" w:hAnsi="Arial" w:cs="Arial"/>
        </w:rPr>
        <w:fldChar w:fldCharType="begin" w:fldLock="1"/>
      </w:r>
      <w:r w:rsidR="00C426B7">
        <w:rPr>
          <w:rFonts w:ascii="Arial" w:hAnsi="Arial" w:cs="Arial"/>
        </w:rPr>
        <w:instrText>ADDIN CSL_CITATION {"citationItems":[{"id":"ITEM-1","itemData":{"author":[{"dropping-particle":"","family":"Mardikanto","given":"Totok","non-dropping-particle":"","parse-names":false,"suffix":""}],"id":"ITEM-1","issued":{"date-parts":[["2009"]]},"publisher":"Lembaga Pengembangan Pendidikan UNS dan UPT Penerbitan dan Percetakan UNS Press. Surakarta.","title":"Sistem Penyuluhan Pertanian","type":"book"},"uris":["http://www.mendeley.com/documents/?uuid=eb1db5ea-f25c-4393-9c18-9fe2c0ce273e"]}],"mendeley":{"formattedCitation":"(Mardikanto, 2009)","plainTextFormattedCitation":"(Mardikanto, 2009)","previouslyFormattedCitation":"(Mardikanto, 2009)"},"properties":{"noteIndex":0},"schema":"https://github.com/citation-style-language/schema/raw/master/csl-citation.json"}</w:instrText>
      </w:r>
      <w:r w:rsidR="00CC06EE">
        <w:rPr>
          <w:rFonts w:ascii="Arial" w:hAnsi="Arial" w:cs="Arial"/>
        </w:rPr>
        <w:fldChar w:fldCharType="separate"/>
      </w:r>
      <w:r w:rsidR="00C426B7" w:rsidRPr="00C426B7">
        <w:rPr>
          <w:rFonts w:ascii="Arial" w:hAnsi="Arial" w:cs="Arial"/>
          <w:noProof/>
        </w:rPr>
        <w:t>(Scott, 2009)</w:t>
      </w:r>
      <w:r w:rsidR="00CC06EE">
        <w:rPr>
          <w:rFonts w:ascii="Arial" w:hAnsi="Arial" w:cs="Arial"/>
        </w:rPr>
        <w:fldChar w:fldCharType="end"/>
      </w:r>
      <w:r w:rsidRPr="00100B25">
        <w:rPr>
          <w:rFonts w:ascii="Arial" w:hAnsi="Arial" w:cs="Arial"/>
        </w:rPr>
        <w:t xml:space="preserve">, does not create dependency but strengthens the capacity of farmers to be able to solve their agricultural problems independently, increase productivity, and manage farming sustainably </w:t>
      </w:r>
      <w:r w:rsidRPr="001E7446">
        <w:rPr>
          <w:rFonts w:ascii="Arial" w:hAnsi="Arial" w:cs="Arial"/>
        </w:rPr>
        <w:fldChar w:fldCharType="begin" w:fldLock="1"/>
      </w:r>
      <w:r w:rsidR="00C426B7">
        <w:rPr>
          <w:rFonts w:ascii="Arial" w:hAnsi="Arial" w:cs="Arial"/>
        </w:rPr>
        <w:instrText>ADDIN CSL_CITATION {"citationItems":[{"id":"ITEM-1","itemData":{"DOI":"10.22034/JAST.26.1.13","ISSN":"23453737","abstract":"A well-designed Agricultural Extension System (AES) can facilitate transitions towards sustainable agriculture. However, in most developing countries, AES has failed to promote sustainable agricultural development. The New Agricultural Extension System (NAES) was initiated to facilitate agricultural development in Iran. However, there is still no definite reflection on the influences of NAES on agricultural development. Therefore, this research aimed to evaluate the performance of NAES. To ensure an integrative and holistic analysis of the NAES’s performance, the Complexity Theory (CT) and Agricultural Innovation System (AIS) approaches were used. To gather data, survey research was conducted in Fars Province, southern Iran. A multi-stage random sampling was used to identify the designated extension agents. The findings indicated that effective implementation of the NAES needs facilitated interaction through network mediation (X̄= 71.6), creation of an enabling context for the delivery of extension services (X̄= 66.6), improved communication and marketing infrastructures (X̄= 72), development of a value chain (X̄= 71.4), acceptance of self-organization (X̄= 67.8) and adoption of complexity-aware management (X̄= 66). The results also identified the hindering effects of demographic, structural and psychological factors on the practical application of CT and AIS principles. Some recommendations and implications are offered to improve the effectiveness of NAES.","author":[{"dropping-particle":"","family":"Jafari","given":"N.","non-dropping-particle":"","parse-names":false,"suffix":""},{"dropping-particle":"","family":"Karami","given":"E.","non-dropping-particle":"","parse-names":false,"suffix":""},{"dropping-particle":"","family":"Keshavarz","given":"M.","non-dropping-particle":"","parse-names":false,"suffix":""},{"dropping-particle":"","family":"Karami","given":"Sh","non-dropping-particle":"","parse-names":false,"suffix":""},{"dropping-particle":"","family":"Azadi","given":"H.","non-dropping-particle":"","parse-names":false,"suffix":""}],"container-title":"Journal of Agricultural Science and Technology","id":"ITEM-1","issue":"1","issued":{"date-parts":[["2024"]]},"page":"13-25","title":"Application of Complexity Theory and Agricultural Innovation System Approaches to Evaluate Performance of the New Agricultural Extension System: The Case of Iran","type":"article-journal","volume":"26"},"uris":["http://www.mendeley.com/documents/?uuid=67141a2d-f090-41c8-b18c-02c3e111efff"]}],"mendeley":{"formattedCitation":"(Jafari et al., 2024)","plainTextFormattedCitation":"(Jafari et al., 2024)","previouslyFormattedCitation":"(Jafari et al., 2024)"},"properties":{"noteIndex":0},"schema":"https://github.com/citation-style-language/schema/raw/master/csl-citation.json"}</w:instrText>
      </w:r>
      <w:r w:rsidRPr="001E7446">
        <w:rPr>
          <w:rFonts w:ascii="Arial" w:hAnsi="Arial" w:cs="Arial"/>
        </w:rPr>
        <w:fldChar w:fldCharType="separate"/>
      </w:r>
      <w:r w:rsidR="00C426B7" w:rsidRPr="00C426B7">
        <w:rPr>
          <w:rFonts w:ascii="Arial" w:hAnsi="Arial" w:cs="Arial"/>
          <w:noProof/>
        </w:rPr>
        <w:t>(Jafari et al., 2024)</w:t>
      </w:r>
      <w:r w:rsidRPr="001E7446">
        <w:rPr>
          <w:rFonts w:ascii="Arial" w:hAnsi="Arial" w:cs="Arial"/>
        </w:rPr>
        <w:fldChar w:fldCharType="end"/>
      </w:r>
      <w:r w:rsidRPr="001E7446">
        <w:rPr>
          <w:rFonts w:ascii="Arial" w:hAnsi="Arial" w:cs="Arial"/>
        </w:rPr>
        <w:t xml:space="preserve">. The agricultural extension system consists of four interdependent subsystems with their respective specific roles, namely subsystems: research, change (extension workers), clients (farmers) and support (policy and market support), </w:t>
      </w:r>
      <w:r w:rsidR="00E04903">
        <w:rPr>
          <w:rFonts w:ascii="Arial" w:hAnsi="Arial" w:cs="Arial"/>
        </w:rPr>
        <w:fldChar w:fldCharType="begin" w:fldLock="1"/>
      </w:r>
      <w:r w:rsidR="00C426B7">
        <w:rPr>
          <w:rFonts w:ascii="Arial" w:hAnsi="Arial" w:cs="Arial"/>
        </w:rPr>
        <w:instrText>ADDIN CSL_CITATION {"citationItems":[{"id":"ITEM-1","itemData":{"author":[{"dropping-particle":"","family":"Badan Litbang Pertanian","given":"","non-dropping-particle":"","parse-names":false,"suffix":""}],"id":"ITEM-1","issued":{"date-parts":[["2001"]]},"publisher":"Badan Penelitian dan Pengembangan Pertanian. Departemen Pertanian. Jakarta","title":"Rancangan Dasar Prima Tani (Program Rintisan dan Akselerasi Pemasyarakatan Inovasi Teknologi Pertanian)","type":"book"},"uris":["http://www.mendeley.com/documents/?uuid=72922fc8-7e40-458f-925b-e17bb04c8e42"]},{"id":"ITEM-2","itemData":{"ISBN":"9711007088,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F","non-dropping-particle":"","parse-names":false,"suffix":""}],"id":"ITEM-2","issued":{"date-parts":[["1987"]]},"number-of-pages":"187 Halaman","publisher":"Island Publishing House","publisher-place":"Manila","title":"An Introduction to Extension Delivery Systems","type":"book"},"uris":["http://www.mendeley.com/documents/?uuid=25eb7371-5bb6-4472-9038-d9554e92c1dd"]},{"id":"ITEM-3","itemData":{"author":[{"dropping-particle":"","family":"Kementerian Pertanian","given":"","non-dropping-particle":"","parse-names":false,"suffix":""}],"id":"ITEM-3","issue":"Badan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2020-2024","type":"article-journal"},"uris":["http://www.mendeley.com/documents/?uuid=1f922bdd-2f4e-4f89-904e-528bd7f5381d"]}],"mendeley":{"formattedCitation":"(Badan Litbang Pertanian, 2001; Kementerian Pertanian, 2020a; Valera et al., 1987)","plainTextFormattedCitation":"(Badan Litbang Pertanian, 2001; Kementerian Pertanian, 2020a; Valera et al., 1987)","previouslyFormattedCitation":"(Badan Litbang Pertanian, 2001; Kementerian Pertanian, 2020a; Valera et al., 1987)"},"properties":{"noteIndex":0},"schema":"https://github.com/citation-style-language/schema/raw/master/csl-citation.json"}</w:instrText>
      </w:r>
      <w:r w:rsidR="00E04903">
        <w:rPr>
          <w:rFonts w:ascii="Arial" w:hAnsi="Arial" w:cs="Arial"/>
        </w:rPr>
        <w:fldChar w:fldCharType="separate"/>
      </w:r>
      <w:r w:rsidR="00C426B7" w:rsidRPr="00C426B7">
        <w:rPr>
          <w:rFonts w:ascii="Arial" w:hAnsi="Arial" w:cs="Arial"/>
          <w:noProof/>
        </w:rPr>
        <w:t>(Agricultural Research &amp; Development Agency, 2001; Ministry of Agriculture, 2020a; Valera et al., 1987)</w:t>
      </w:r>
      <w:r w:rsidR="00E04903">
        <w:rPr>
          <w:rFonts w:ascii="Arial" w:hAnsi="Arial" w:cs="Arial"/>
        </w:rPr>
        <w:fldChar w:fldCharType="end"/>
      </w:r>
      <w:r w:rsidR="001349C2">
        <w:rPr>
          <w:rFonts w:ascii="Arial" w:hAnsi="Arial" w:cs="Arial"/>
        </w:rPr>
        <w:t xml:space="preserve">, which systemically, interacts to provide innovations relevant to the needs of farmers and the characteristics of local agroecology </w:t>
      </w:r>
      <w:r w:rsidR="00861FF6" w:rsidRPr="00861FF6">
        <w:rPr>
          <w:rFonts w:ascii="Arial" w:hAnsi="Arial" w:cs="Arial"/>
        </w:rPr>
        <w:fldChar w:fldCharType="begin" w:fldLock="1"/>
      </w:r>
      <w:r w:rsidR="00C426B7">
        <w:rPr>
          <w:rFonts w:ascii="Arial" w:hAnsi="Arial" w:cs="Arial"/>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Joshi","non-dropping-particle":"","parse-names":false,"suffix":""}],"id":"ITEM-2","issued":{"date-parts":[["2019"]]},"page":"141-165","publisher":"Academic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India","type":"chapter"},"uris":["http://www.mendeley.com/documents/?uuid=547d2077-ea33-4ea6-be5a-bd7f71121771"]},{"id":"ITEM-3","itemData":{"DOI":"https://doi.org/10.1016/j.agsy.2019.102673","author":[{"dropping-particle":"","family":"Kamara","given":"Lamin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Systems","id":"ITEM-3","issue":"102673","issued":{"date-parts":[["2019"]]},"title":"Unpacking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Leone","type":"article-journal","volume":"176"},"uris":["http://www.mendeley.com/documents/?uuid=875703bf-727a-44b8-9454-2477418e2aa5"]}],"mendeley":{"formattedCitation":"(Ananth et al., 2019; Kamara et al., 2019; Mansour et al., 2022)","plainTextFormattedCitation":"(Ananth et al., 2019; Kamara et al., 2019; Mansour et al., 2022)","previouslyFormattedCitation":"(Ananth et al., 2019; Kamara et al., 2019; Mansour et al., 2022)"},"properties":{"noteIndex":0},"schema":"https://github.com/citation-style-language/schema/raw/master/csl-citation.json"}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(Ananth et al., 2019; Kamara et al., 2019; Mansour et al., 2022)</w:t>
      </w:r>
      <w:r w:rsidR="00861FF6" w:rsidRPr="00861FF6">
        <w:rPr>
          <w:rFonts w:ascii="Arial" w:hAnsi="Arial" w:cs="Arial"/>
        </w:rPr>
        <w:fldChar w:fldCharType="end"/>
      </w:r>
      <w:r w:rsidR="00861FF6">
        <w:rPr>
          <w:rFonts w:ascii="Arial" w:hAnsi="Arial" w:cs="Arial"/>
        </w:rPr>
        <w:t xml:space="preserve">, designing social learning </w:t>
      </w:r>
      <w:r w:rsidR="00861FF6" w:rsidRPr="00861FF6">
        <w:rPr>
          <w:rFonts w:ascii="Arial" w:hAnsi="Arial" w:cs="Arial"/>
        </w:rPr>
        <w:fldChar w:fldCharType="begin" w:fldLock="1"/>
      </w:r>
      <w:r w:rsidR="00C426B7">
        <w:rPr>
          <w:rFonts w:ascii="Arial" w:hAnsi="Arial" w:cs="Arial"/>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Indonesia","given":"","non-dropping-particle":"","parse-names":false,"suffix":""}],"id":"ITEM-1","issued":{"date-parts":[["2006"]]},"page":"Jakarta","publisher":"Pemerintah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Nigeria","type":"article-journal"},"uris":["http://www.mendeley.com/documents/?uuid=eabde0ab-1857-48b2-9f77-0156bf547f5c"]},{"id":"ITEM-3","itemData":{"DOI":"10.1007/978-981-15-3673-1","ISBN":"9789811536731","abstract":"Food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Advancements","id":"ITEM-3","issue":"October 2020","issued":{"date-parts":[["2020"]]},"page":"1-528","title":"Communication” in the Context of Agricultural Extension: Past, Present and Way Forward in Achieving Sustainable Food Systems in Sri Lanka","type":"article-journal","volume":"2"},"uris":["http://www.mendeley.com/documents/?uuid=7e79139b-69ae-48e4-b52b-cdba64afa23f"]}],"mendeley":{"formattedCitation":"(Akinnagbe, 2018; Pemerintah Pusat Indonesia, 2006; Wijerathna &amp; Wanigasundera, 2020)","plainTextFormattedCitation":"(Akinnagbe, 2018; Pemerintah Pusat Indonesia, 2006; Wijerathna &amp; Wanigasundera, 2020)","previouslyFormattedCitation":"(Akinnagbe, 2018; Pemerintah Pusat Indonesia, 2006; Wijerathna &amp; Wanigasundera, 2020)"},"properties":{"noteIndex":0},"schema":"https://github.com/citation-style-language/schema/raw/master/csl-citation.json"}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(Akinnagbe, 2018; Central Government of Indonesia, 2006; Wijerathna &amp; Wanigasundera, 2020)</w:t>
      </w:r>
      <w:r w:rsidR="00861FF6" w:rsidRPr="00861FF6">
        <w:rPr>
          <w:rFonts w:ascii="Arial" w:hAnsi="Arial" w:cs="Arial"/>
        </w:rPr>
        <w:fldChar w:fldCharType="end"/>
      </w:r>
      <w:r w:rsidR="00861FF6" w:rsidRPr="00861FF6">
        <w:rPr>
          <w:rFonts w:ascii="Arial" w:hAnsi="Arial" w:cs="Arial"/>
        </w:rPr>
        <w:t xml:space="preserve">, encouraging farmer participation and adoption of technological innovations </w:t>
      </w:r>
      <w:r w:rsidR="00861FF6" w:rsidRPr="00861FF6">
        <w:rPr>
          <w:rFonts w:ascii="Arial" w:hAnsi="Arial" w:cs="Arial"/>
        </w:rPr>
        <w:fldChar w:fldCharType="begin" w:fldLock="1"/>
      </w:r>
      <w:r w:rsidR="00C426B7">
        <w:rPr>
          <w:rFonts w:ascii="Arial" w:hAnsi="Arial" w:cs="Arial"/>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Prajapati et al., 2025)","plainTextFormattedCitation":"(Kountios et al., 2024; Prajapati et al., 2025)","previouslyFormattedCitation":"(Kountios et al., 2024; Prajapati et al., 2025)"},"properties":{"noteIndex":0},"schema":"https://github.com/citation-style-language/schema/raw/master/csl-citation.json"}</w:instrText>
      </w:r>
      <w:r w:rsidR="00861FF6" w:rsidRPr="00861FF6">
        <w:rPr>
          <w:rFonts w:ascii="Arial" w:hAnsi="Arial" w:cs="Arial"/>
        </w:rPr>
        <w:fldChar w:fldCharType="separate"/>
      </w:r>
      <w:r w:rsidR="00C426B7" w:rsidRPr="00C426B7">
        <w:rPr>
          <w:rFonts w:ascii="Arial" w:hAnsi="Arial" w:cs="Arial"/>
          <w:noProof/>
        </w:rPr>
        <w:t>(Kountios et al., 2024; Prajapati et al., 2025)</w:t>
      </w:r>
      <w:r w:rsidR="00861FF6" w:rsidRPr="00861FF6">
        <w:rPr>
          <w:rFonts w:ascii="Arial" w:hAnsi="Arial" w:cs="Arial"/>
        </w:rPr>
        <w:fldChar w:fldCharType="end"/>
      </w:r>
      <w:r w:rsidR="00861FF6" w:rsidRPr="00861FF6">
        <w:rPr>
          <w:rFonts w:ascii="Arial" w:hAnsi="Arial" w:cs="Arial"/>
        </w:rPr>
        <w:t xml:space="preserve">, as well as a supportive environment for technology and market adoption </w:t>
      </w:r>
      <w:r w:rsidR="00861FF6" w:rsidRPr="001349C2">
        <w:rPr>
          <w:rFonts w:ascii="Arial" w:hAnsi="Arial" w:cs="Arial"/>
          <w:lang w:eastAsia="en-ID"/>
        </w:rPr>
        <w:fldChar w:fldCharType="begin" w:fldLock="1"/>
      </w:r>
      <w:r w:rsidR="00C426B7">
        <w:rPr>
          <w:rFonts w:ascii="Arial" w:hAnsi="Arial" w:cs="Arial"/>
          <w:lang w:eastAsia="en-ID"/>
        </w:rPr>
        <w:instrText>ADDIN CSL_CITATION {"citationItems":[{"id":"ITEM-1","itemData":{"DOI":"10.3390/su16167068","ISSN":"20711050","abstract":"The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(Switzerland)","id":"ITEM-1","issue":"16","issued":{"date-parts":[["2024"]]},"title":"Strengthening AKIS for Sustainable Agricultural Features: Insights and Innovations from the European Union: A Literature Review","type":"article-journal","volume":"16"},"uris":["http://www.mendeley.com/documents/?uuid=9e8f601b-de15-45f2-bf24-816ce4d75f36"]},{"id":"ITEM-2","itemData":{"DOI":"10.4038/jas.v17i2.9740","ISSN":"23861363","abstract":"Purpose: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sidR="00861FF6" w:rsidRPr="001349C2">
        <w:rPr>
          <w:rFonts w:ascii="Arial" w:hAnsi="Arial" w:cs="Arial"/>
          <w:lang w:eastAsia="en-ID"/>
        </w:rPr>
        <w:fldChar w:fldCharType="separate"/>
      </w:r>
      <w:r w:rsidR="00C426B7" w:rsidRPr="00C426B7">
        <w:rPr>
          <w:rFonts w:ascii="Arial" w:hAnsi="Arial" w:cs="Arial"/>
          <w:noProof/>
          <w:lang w:eastAsia="en-ID"/>
        </w:rPr>
        <w:t>(Kountios et al., 2024; Mansour et al., 2022)</w:t>
      </w:r>
      <w:r w:rsidR="00861FF6" w:rsidRPr="001349C2">
        <w:rPr>
          <w:rFonts w:ascii="Arial" w:hAnsi="Arial" w:cs="Arial"/>
          <w:lang w:eastAsia="en-ID"/>
        </w:rPr>
        <w:fldChar w:fldCharType="end"/>
      </w:r>
      <w:r w:rsidR="00861FF6" w:rsidRPr="001349C2">
        <w:rPr>
          <w:rFonts w:ascii="Arial" w:hAnsi="Arial" w:cs="Arial"/>
          <w:lang w:eastAsia="en-ID"/>
        </w:rPr>
        <w:t xml:space="preserve">. This is inseparable from the specific role of the subsystem for the system, namely the research subsystem to provide innovation </w:t>
      </w:r>
      <w:r w:rsidR="00861FF6">
        <w:rPr>
          <w:rFonts w:ascii="Arial" w:hAnsi="Arial" w:cs="Arial"/>
          <w:lang w:eastAsia="en-ID"/>
        </w:rPr>
        <w:fldChar w:fldCharType="begin" w:fldLock="1"/>
      </w:r>
      <w:r w:rsidR="00C426B7">
        <w:rPr>
          <w:rFonts w:ascii="Arial" w:hAnsi="Arial" w:cs="Arial"/>
          <w:lang w:eastAsia="en-ID"/>
        </w:rPr>
        <w:instrText>ADDIN CSL_CITATION {"citationItems":[{"id":"ITEM-1","itemData":{"DOI":"https://doi.org/10.1016/B978-0-12-818752-4.00007-2","ISBN":"9780128187524","abstract":"Krishi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Joshi","non-dropping-particle":"","parse-names":false,"suffix":""}],"id":"ITEM-1","issued":{"date-parts":[["2019"]]},"page":"141-165","publisher":"Academic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Egypt","type":"article-journal","volume":"17"},"uris":["http://www.mendeley.com/documents/?uuid=6851c97e-7cb4-4afd-832e-d2d0978eb63e"]}],"mendeley":{"formattedCitation":"(Ananth et al., 2019; Mansour et al., 2022)","plainTextFormattedCitation":"(Ananth et al., 2019; Mansour et al., 2022)","previouslyFormattedCitation":"(Ananth et al., 2019; Mansour et al., 2022)"},"properties":{"noteIndex":0},"schema":"https://github.com/citation-style-language/schema/raw/master/csl-citation.json"}</w:instrText>
      </w:r>
      <w:r w:rsidR="00861FF6">
        <w:rPr>
          <w:rFonts w:ascii="Arial" w:hAnsi="Arial" w:cs="Arial"/>
          <w:lang w:eastAsia="en-ID"/>
        </w:rPr>
        <w:fldChar w:fldCharType="separate"/>
      </w:r>
      <w:r w:rsidR="00C426B7" w:rsidRPr="00C426B7">
        <w:rPr>
          <w:rFonts w:ascii="Arial" w:hAnsi="Arial" w:cs="Arial"/>
          <w:noProof/>
          <w:lang w:eastAsia="en-ID"/>
        </w:rPr>
        <w:t>(Ananth et al., 2019; Mansour et al., 2022)</w:t>
      </w:r>
      <w:r w:rsidR="00861FF6">
        <w:rPr>
          <w:rFonts w:ascii="Arial" w:hAnsi="Arial" w:cs="Arial"/>
          <w:lang w:eastAsia="en-ID"/>
        </w:rPr>
        <w:fldChar w:fldCharType="end"/>
      </w:r>
      <w:r w:rsidR="00861FF6" w:rsidRPr="009B758B">
        <w:rPr>
          <w:rFonts w:ascii="Arial" w:hAnsi="Arial" w:cs="Arial"/>
          <w:lang w:eastAsia="en-ID"/>
        </w:rPr>
        <w:t xml:space="preserve">, extension workers become the link between knowledge and practice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{"citationItems":[{"id":"ITEM-1","itemData":{"DOI":"10.34068/joe.58.01.21","ISSN":"10775315","abstract":"According to the 2018 Intergovernmental Panel on Climate Change, without urgent global changes, climatecatastrophe caused by warming of greater than 1.5°C will occur by 2030, endangering the planet's capacity tosustain human populations and livelihoods. The National Network for Sustainable Living Educationadministered a national survey in January 2017 to assess how well-positioned Extension is to addresssustainability in the communities the organization serves. Educators from 40 states responded, and 1,395usable surveys were received. Survey results will help Extension employees discover opportunities forinnovation and relevancy in their programming.","author":[{"dropping-particle":"","family":"McCann","given":"Roslynn Brain","non-dropping-particle":"","parse-names":false,"suffix":""},{"dropping-particle":"","family":"Apel","given":"Mark","non-dropping-particle":"","parse-names":false,"suffix":""},{"dropping-particle":"","family":"Dove","given":"Clark","non-dropping-particle":"","parse-names":false,"suffix":""},{"dropping-particle":"","family":"Madhosingh-Hector","given":"Ramona","non-dropping-particle":"","parse-names":false,"suffix":""},{"dropping-particle":"","family":"Kipp","given":"Jennison","non-dropping-particle":"","parse-names":false,"suffix":""},{"dropping-particle":"","family":"Kay","given":"David","non-dropping-particle":"","parse-names":false,"suffix":""}],"container-title":"Journal of Extension","id":"ITEM-1","issue":"1","issued":{"date-parts":[["2020"]]},"page":"1-12","title":"Cooperative extension and sustainability outreach: Programmatic successes, administrative support, and areas for improvement","type":"article-journal","volume":"58"},"uris":["http://www.mendeley.com/documents/?uuid=37a2f9a0-df5d-4f6c-8e74-020f1aee2fb8"]}],"mendeley":{"formattedCitation":"(McCann et al., 2020)","plainTextFormattedCitation":"(McCann et al., 2020)","previouslyFormattedCitation":"(McCann et al., 2020)"},"properties":{"noteIndex":0},"schema":"https://github.com/citation-style-language/schema/raw/master/csl-citation.json"}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(McCann et al., 2020)</w:t>
      </w:r>
      <w:r w:rsidR="00FE4184">
        <w:rPr>
          <w:rFonts w:ascii="Arial" w:hAnsi="Arial" w:cs="Arial"/>
          <w:lang w:eastAsia="en-ID"/>
        </w:rPr>
        <w:fldChar w:fldCharType="end"/>
      </w:r>
      <w:r w:rsidR="00861FF6" w:rsidRPr="009B758B">
        <w:rPr>
          <w:rFonts w:ascii="Arial" w:hAnsi="Arial" w:cs="Arial"/>
          <w:lang w:eastAsia="en-ID"/>
        </w:rPr>
        <w:t xml:space="preserve">, farmers play the role of active actors of learning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(Prajapati et al., 2025)</w:t>
      </w:r>
      <w:r w:rsidR="00FE4184">
        <w:rPr>
          <w:rFonts w:ascii="Arial" w:hAnsi="Arial" w:cs="Arial"/>
          <w:lang w:eastAsia="en-ID"/>
        </w:rPr>
        <w:fldChar w:fldCharType="end"/>
      </w:r>
      <w:r w:rsidR="00861FF6" w:rsidRPr="009B758B">
        <w:rPr>
          <w:rFonts w:ascii="Arial" w:hAnsi="Arial" w:cs="Arial"/>
          <w:lang w:eastAsia="en-ID"/>
        </w:rPr>
        <w:t xml:space="preserve"> and supporting institutions provide infrastructure, regulation, and access to resources </w:t>
      </w:r>
      <w:r w:rsidR="00FE4184">
        <w:rPr>
          <w:rFonts w:ascii="Arial" w:hAnsi="Arial" w:cs="Arial"/>
          <w:lang w:eastAsia="en-ID"/>
        </w:rPr>
        <w:fldChar w:fldCharType="begin" w:fldLock="1"/>
      </w:r>
      <w:r w:rsidR="00C426B7">
        <w:rPr>
          <w:rFonts w:ascii="Arial" w:hAnsi="Arial" w:cs="Arial"/>
          <w:lang w:eastAsia="en-ID"/>
        </w:rPr>
        <w:instrText>ADDIN CSL_CITATION {"citationItems":[{"id":"ITEM-1","itemData":{"DOI":"10.1016/S1574-0072(06)03044-1","ISBN":"9780444518736","ISSN":"15740072","abstract":"In this chapter we analyze the considerations that lead policy makers to undertake extension investments as a key public responsibility, as well as the complex set of factors and intra-agency incentives that explain why different extension systems' performance varies. Accordingly, the chapter provides a conceptual framework outlining farmers' demand for information, the welfare economic characterizations of extension services, and the organizational and political attributes that govern the performance of extension systems. The framework is used to examine several extension modalities and to analyze their likely and actual effectiveness. Specifically, the modalities reviewed include \"training and visit\" extension, decentralized systems, \"fee-for-service\" and privatized extension, and farmer-field-schools. The chapter also provides a discussion of methodological issues pertaining to the assessment of extension outcomes, and a review of some of the recent empirical literature on extension impact. The chapter emphasizes the efficiency gains that can come from locally decentralized delivery systems with incentive structures based on largely private provision that in most countries will still be publicly funded. In wealthier countries, and for particular higher income farmer groups, extension systems will likely evolve into fee-for-service organizations. © 2007 Elsevier B.V. All rights reserved.","author":[{"dropping-particle":"","family":"Anderson","given":"Jock R.","non-dropping-particle":"","parse-names":false,"suffix":""},{"dropping-particle":"","family":"Feder","given":"Gershon","non-dropping-particle":"","parse-names":false,"suffix":""}],"container-title":"Handbook of Agricultural Economics","id":"ITEM-1","issue":"December 2007","issued":{"date-parts":[["2007"]]},"page":"2343-2378","title":"Chapter 44 Agricultural Extension","type":"article-journal","volume":"3"},"uris":["http://www.mendeley.com/documents/?uuid=e270617c-0531-4ebf-a75b-d93a00874bd6"]}],"mendeley":{"formattedCitation":"(Anderson &amp; Feder, 2007)","plainTextFormattedCitation":"(Anderson &amp; Feder, 2007)","previouslyFormattedCitation":"(Anderson &amp; Feder, 2007)"},"properties":{"noteIndex":0},"schema":"https://github.com/citation-style-language/schema/raw/master/csl-citation.json"}</w:instrText>
      </w:r>
      <w:r w:rsidR="00FE4184">
        <w:rPr>
          <w:rFonts w:ascii="Arial" w:hAnsi="Arial" w:cs="Arial"/>
          <w:lang w:eastAsia="en-ID"/>
        </w:rPr>
        <w:fldChar w:fldCharType="separate"/>
      </w:r>
      <w:r w:rsidR="00C426B7" w:rsidRPr="00C426B7">
        <w:rPr>
          <w:rFonts w:ascii="Arial" w:hAnsi="Arial" w:cs="Arial"/>
          <w:noProof/>
          <w:lang w:eastAsia="en-ID"/>
        </w:rPr>
        <w:t>(Anderson &amp; Feder, 2007)</w:t>
      </w:r>
      <w:r w:rsidR="00FE4184">
        <w:rPr>
          <w:rFonts w:ascii="Arial" w:hAnsi="Arial" w:cs="Arial"/>
          <w:lang w:eastAsia="en-ID"/>
        </w:rPr>
        <w:fldChar w:fldCharType="end"/>
      </w:r>
      <w:r>
        <w:rPr>
          <w:rFonts w:ascii="Arial" w:hAnsi="Arial" w:cs="Arial"/>
          <w:lang w:eastAsia="en-ID"/>
        </w:rPr>
        <w:t xml:space="preserve">, so that the interaction between these subsystems will encourage the achievement of the system's goals for food independence.    For this reason, it must be ensured that the system works effectively. </w:t>
      </w:r>
    </w:p>
    <w:p w14:paraId="27A1AE08" w14:textId="77777777" w:rsidR="00B23926" w:rsidRDefault="0093673A" w:rsidP="009B785D">
      <w:pPr>
        <w:spacing w:before="100" w:beforeAutospacing="1" w:after="100" w:afterAutospacing="1"/>
        <w:jc w:val="both"/>
        <w:rPr>
          <w:rFonts w:ascii="Arial" w:hAnsi="Arial" w:cs="Arial"/>
          <w:lang w:eastAsia="en-ID"/>
        </w:rPr>
      </w:pPr>
      <w:r>
        <w:rPr>
          <w:rFonts w:ascii="Arial" w:hAnsi="Arial" w:cs="Arial"/>
        </w:rPr>
        <w:t xml:space="preserve">However, the Effectiveness of the extension system is not determined by the role of each subsystem, but by the ability of the system to fulfill the four essential functions in the system as explained from Parsons' Social-Functional System Theory which lays the basis for assessing the Effectiveness of the system in AGIL functions, namely: adaptation to the environment (A), achievement of goals (G), integration between components (I), and maintenance of values (L) </w:t>
      </w:r>
      <w:r w:rsidR="00E9431B">
        <w:rPr>
          <w:rFonts w:ascii="Arial" w:hAnsi="Arial" w:cs="Arial"/>
          <w:lang w:eastAsia="en-ID"/>
        </w:rPr>
        <w:fldChar w:fldCharType="begin" w:fldLock="1"/>
      </w:r>
      <w:r w:rsidR="00C426B7">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id":"ITEM-2","itemData":{"author":[{"dropping-particle":"","family":"Parson","given":"Talcott","non-dropping-particle":"","parse-names":false,"suffix":""}],"id":"ITEM-2","issued":{"date-parts":[["1968"]]},"publisher":"Free Press","title":"The Structure of Social Action","type":"book"},"uris":["http://www.mendeley.com/documents/?uuid=f5d1bbb5-8d7c-4070-bc35-28c9d66cb64c"]}],"mendeley":{"formattedCitation":"(Parson, 1968; Parsons, 1951)","plainTextFormattedCitation":"(Parson, 1968; Parsons, 1951)","previouslyFormattedCitation":"(Parson, 1968; Parsons, 1951)"},"properties":{"noteIndex":0},"schema":"https://github.com/citation-style-language/schema/raw/master/csl-citation.json"}</w:instrText>
      </w:r>
      <w:r w:rsidR="00E9431B">
        <w:rPr>
          <w:rFonts w:ascii="Arial" w:hAnsi="Arial" w:cs="Arial"/>
          <w:lang w:eastAsia="en-ID"/>
        </w:rPr>
        <w:fldChar w:fldCharType="separate"/>
      </w:r>
      <w:r w:rsidR="00C426B7" w:rsidRPr="00C426B7">
        <w:rPr>
          <w:rFonts w:ascii="Arial" w:hAnsi="Arial" w:cs="Arial"/>
          <w:noProof/>
          <w:lang w:eastAsia="en-ID"/>
        </w:rPr>
        <w:t>(Parson, 1968; Parsons, 1951)</w:t>
      </w:r>
      <w:r w:rsidR="00E9431B">
        <w:rPr>
          <w:rFonts w:ascii="Arial" w:hAnsi="Arial" w:cs="Arial"/>
          <w:lang w:eastAsia="en-ID"/>
        </w:rPr>
        <w:fldChar w:fldCharType="end"/>
      </w:r>
      <w:r w:rsidRPr="009B758B">
        <w:rPr>
          <w:rFonts w:ascii="Arial" w:hAnsi="Arial" w:cs="Arial"/>
          <w:lang w:eastAsia="en-ID"/>
        </w:rPr>
        <w:t xml:space="preserve">. With this, the system will be ensured to be effective in producing innovations and social learning designs, triggering active participation of farmers, and aligning policies and the environment with real conditions and the root of the problem: weak efforts to achieve food independence.  </w:t>
      </w:r>
    </w:p>
    <w:p w14:paraId="009E28D3" w14:textId="77777777" w:rsidR="002608F1" w:rsidRPr="002608F1" w:rsidRDefault="0093673A" w:rsidP="002608F1">
      <w:pPr>
        <w:spacing w:before="100" w:beforeAutospacing="1" w:after="100" w:afterAutospacing="1"/>
        <w:jc w:val="both"/>
        <w:rPr>
          <w:rFonts w:ascii="Arial" w:hAnsi="Arial" w:cs="Arial"/>
          <w:lang w:eastAsia="en-ID"/>
        </w:rPr>
      </w:pPr>
      <w:r w:rsidRPr="00474ABA">
        <w:rPr>
          <w:rFonts w:ascii="Arial" w:hAnsi="Arial" w:cs="Arial"/>
          <w:lang w:eastAsia="en-ID"/>
        </w:rPr>
        <w:t xml:space="preserve">North Buton Regency is an agricultural area with rich local food potential </w:t>
      </w:r>
      <w:r w:rsidRPr="00474ABA">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{"citationItems":[{"id":"ITEM-1","itemData":{"author":[{"dropping-particle":"","family":"Zakariah","given":"Muhammad Ridwan","non-dropping-particle":"","parse-names":false,"suffix":""}],"id":"ITEM-1","issued":{"date-parts":[["2024"]]},"title":"Laporan Penyelenggaraan Pemerintah Daerah 2023","type":"report"},"uris":["http://www.mendeley.com/documents/?uuid=6e33d34e-6f18-41a9-aa6f-379f7ebccc17"]},{"id":"ITEM-2","itemData":{"author":[{"dropping-particle":"","family":"BPS Kabupaten Buton Utara","given":"","non-dropping-particle":"","parse-names":false,"suffix":""}],"id":"ITEM-2","issued":{"date-parts":[["2024"]]},"publisher-place":"Buton Utara","title":"Kabupaten Buton Utara dalam Angka 2024","type":"report"},"uris":["http://www.mendeley.com/documents/?uuid=2b4ffc9b-3928-45ef-9eda-a80c327f0f43"]}],"mendeley":{"formattedCitation":"(BPS Kabupaten Buton Utara, 2024; Zakariah, 2024)","plainTextFormattedCitation":"(BPS Kabupaten Buton Utara, 2024; Zakariah, 2024)","previouslyFormattedCitation":"(BPS Kabupaten Buton Utara, 2024; Zakariah, 2024)"},"properties":{"noteIndex":0},"schema":"https://github.com/citation-style-language/schema/raw/master/csl-citation.json"}</w:instrText>
      </w:r>
      <w:r w:rsidRPr="00474ABA">
        <w:rPr>
          <w:rFonts w:ascii="Arial" w:hAnsi="Arial" w:cs="Arial"/>
          <w:lang w:eastAsia="en-ID"/>
        </w:rPr>
        <w:fldChar w:fldCharType="separate"/>
      </w:r>
      <w:r w:rsidR="00C426B7" w:rsidRPr="00C426B7">
        <w:rPr>
          <w:rFonts w:ascii="Arial" w:hAnsi="Arial" w:cs="Arial"/>
          <w:noProof/>
          <w:lang w:eastAsia="en-ID"/>
        </w:rPr>
        <w:t>(BPS North Buton Regency, 2024; Zechariah, 2024)</w:t>
      </w:r>
      <w:r w:rsidRPr="00474ABA">
        <w:rPr>
          <w:rFonts w:ascii="Arial" w:hAnsi="Arial" w:cs="Arial"/>
          <w:lang w:eastAsia="en-ID"/>
        </w:rPr>
        <w:fldChar w:fldCharType="end"/>
      </w:r>
      <w:r w:rsidRPr="00474ABA">
        <w:rPr>
          <w:rFonts w:ascii="Arial" w:hAnsi="Arial" w:cs="Arial"/>
          <w:lang w:eastAsia="en-ID"/>
        </w:rPr>
        <w:t xml:space="preserve">, and there is local food germplasm of rice and colored rice </w:t>
      </w:r>
      <w:r w:rsidRPr="00474ABA">
        <w:rPr>
          <w:rFonts w:ascii="Arial" w:hAnsi="Arial" w:cs="Arial"/>
          <w:lang w:eastAsia="en-ID"/>
        </w:rPr>
        <w:lastRenderedPageBreak/>
        <w:t xml:space="preserve">(Oryza </w:t>
      </w:r>
      <w:proofErr w:type="spellStart"/>
      <w:r w:rsidRPr="00474ABA">
        <w:rPr>
          <w:rFonts w:ascii="Arial" w:hAnsi="Arial" w:cs="Arial"/>
          <w:lang w:eastAsia="en-ID"/>
        </w:rPr>
        <w:t>Nivara</w:t>
      </w:r>
      <w:proofErr w:type="spellEnd"/>
      <w:r w:rsidRPr="00474ABA">
        <w:rPr>
          <w:rFonts w:ascii="Arial" w:hAnsi="Arial" w:cs="Arial"/>
          <w:lang w:eastAsia="en-ID"/>
        </w:rPr>
        <w:t xml:space="preserve">), which is unique in terms of taste, efficacy, and high nutritional value </w:t>
      </w:r>
      <w:r w:rsidRPr="00474ABA">
        <w:rPr>
          <w:rFonts w:ascii="Arial" w:hAnsi="Arial" w:cs="Arial"/>
          <w:lang w:eastAsia="en-ID"/>
        </w:rPr>
        <w:fldChar w:fldCharType="begin" w:fldLock="1"/>
      </w:r>
      <w:r w:rsidR="00C426B7">
        <w:rPr>
          <w:rFonts w:ascii="Arial" w:hAnsi="Arial" w:cs="Arial"/>
          <w:lang w:eastAsia="en-ID"/>
        </w:rPr>
        <w:instrText>ADDIN CSL_CITATION {"citationItems":[{"id":"ITEM-1","itemData":{"DOI":"10.1007/s13197-023-05813-0","ISBN":"0123456789","ISSN":"09758402","abstract":"In this study, the physicochemical properties of local colored rice flour were studied after modification through fermentation with lactic acid bacteria (LAB) SBM.4A. SBM.4A was LAB isolated from the rice washing water and was in the cladogram of the Pediococcus pentosaceus strain SRCM102739 CP028266.1 and Pediococcus pentosaceus strain SRCM102738 CP028264.1. The studied rice varieties were wakacinda (white rice), wakawondu (red rice), warumbia (brown rice), and wakaombe (black rice). Characterizations of both fermented and native rice flour included chemical composition, FTIR profile, crystallinity, morphology, and pasting properties. Fermentation did not introduce new chemical functional groups to the flour and only slightly increased crystallinity from approximately 22.5% to 25.05%. In contrast, fermentation greatly affected the chemical composition and pasting properties of rice flour. Protein content of the fermented flour increased up to 214% relative to the native rice flour. Effect of fermentation on pasting properties varied between rice varieties. Increase in peak and final viscosities was observed in red, brown, and black rice. The opposite effect was found in white rice. However, fermentation improved the stability of flour to retrogradation for all rice varieties. These showed that the fermentation improved the properties of the local-colored rice flour and may widen their application as food ingredients.","author":[{"dropping-particle":"","family":"Wahyuni","given":"Sri","non-dropping-particle":"","parse-names":false,"suffix":""},{"dropping-particle":"","family":"Asnani","given":"Asnani","non-dropping-particle":"","parse-names":false,"suffix":""},{"dropping-particle":"","family":"Khaeruni","given":"Andi","non-dropping-particle":"","parse-names":false,"suffix":""},{"dropping-particle":"","family":"Dewi","given":"Novi Dian Puspita","non-dropping-particle":"","parse-names":false,"suffix":""},{"dropping-particle":"","family":"Sarinah","given":"Sarinah","non-dropping-particle":"","parse-names":false,"suffix":""},{"dropping-particle":"","family":"Faradilla","given":"R. H.Fitri","non-dropping-particle":"","parse-names":false,"suffix":""}],"container-title":"Journal of Food Science and Technology","id":"ITEM-1","issue":"12","issued":{"date-parts":[["2023"]]},"page":"3035-3042","publisher":"Springer India","title":"Study on physicochemical characteristics of local colored rice varieties (black, red, brown, and white) fermented with lactic acid bacteria (SBM.4A)","type":"article-journal","volume":"60"},"uris":["http://www.mendeley.com/documents/?uuid=5c6fc526-d825-4ecd-8317-a4d17ea74d6b"]},{"id":"ITEM-2","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Management","id":"ITEM-2","issue":"11","issued":{"date-parts":[["2025"]]},"page":"2306-2324","title":"Universities’ Role in Food Germplasm Sustainability","type":"article-journal","volume":"20"},"uris":["http://www.mendeley.com/documents/?uuid=ee50c851-e34e-4ea8-99e5-8978750ee907"]}],"mendeley":{"formattedCitation":"(Isnian et al., 2025; Wahyuni et al., 2023)","plainTextFormattedCitation":"(Isnian et al., 2025; Wahyuni et al., 2023)","previouslyFormattedCitation":"(Isnian et al., 2025; Wahyuni et al., 2023)"},"properties":{"noteIndex":0},"schema":"https://github.com/citation-style-language/schema/raw/master/csl-citation.json"}</w:instrText>
      </w:r>
      <w:r w:rsidRPr="00474ABA">
        <w:rPr>
          <w:rFonts w:ascii="Arial" w:hAnsi="Arial" w:cs="Arial"/>
          <w:lang w:eastAsia="en-ID"/>
        </w:rPr>
        <w:fldChar w:fldCharType="separate"/>
      </w:r>
      <w:r w:rsidR="00C426B7" w:rsidRPr="00C426B7">
        <w:rPr>
          <w:rFonts w:ascii="Arial" w:hAnsi="Arial" w:cs="Arial"/>
          <w:noProof/>
          <w:lang w:eastAsia="en-ID"/>
        </w:rPr>
        <w:t>(Isnian et al., 2025; Wahyuni et al., 2023)</w:t>
      </w:r>
      <w:r w:rsidRPr="00474ABA">
        <w:rPr>
          <w:rFonts w:ascii="Arial" w:hAnsi="Arial" w:cs="Arial"/>
          <w:lang w:eastAsia="en-ID"/>
        </w:rPr>
        <w:fldChar w:fldCharType="end"/>
      </w:r>
      <w:r>
        <w:rPr>
          <w:rFonts w:ascii="Arial" w:hAnsi="Arial" w:cs="Arial"/>
          <w:lang w:eastAsia="en-ID"/>
        </w:rPr>
        <w:t xml:space="preserve"> and ecological adaptation </w:t>
      </w:r>
      <w:r>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{"citationItems":[{"id":"ITEM-1","itemData":{"author":[{"dropping-particle":"","family":"Miska","given":"Miska","non-dropping-particle":"","parse-names":false,"suffix":""},{"dropping-particle":"","family":"Hemon","given":"M Tufaila","non-dropping-particle":"","parse-names":false,"suffix":""},{"dropping-particle":"","family":"Alam","given":"Syamsu","non-dropping-particle":"","parse-names":false,"suffix":""},{"dropping-particle":"","family":"Zulfikar","given":"Zulfikar","non-dropping-particle":"","parse-names":false,"suffix":""},{"dropping-particle":"","family":"Syaf","given":"Hasbullah","non-dropping-particle":"","parse-names":false,"suffix":""},{"dropping-particle":"","family":"Ode","given":"La","non-dropping-particle":"","parse-names":false,"suffix":""}],"id":"ITEM-1","issued":{"date-parts":[["2024"]]},"page":"81-91","title":"Kajian Tanah Menurut Pedologi dan Etnopedologi pada Usahatani Padi Ladang di Kecamatan Kulisusu Kabupaten Buton Utara","type":"article-journal","volume":"3"},"uris":["http://www.mendeley.com/documents/?uuid=37f65145-f38b-4340-ac53-d58cbe03b0b1"]}],"mendeley":{"formattedCitation":"(Miska et al., 2024)","plainTextFormattedCitation":"(Miska et al., 2024)","previouslyFormattedCitation":"(Miska et al., 2024)"},"properties":{"noteIndex":0},"schema":"https://github.com/citation-style-language/schema/raw/master/csl-citation.json"}</w:instrText>
      </w:r>
      <w:r>
        <w:rPr>
          <w:rFonts w:ascii="Arial" w:hAnsi="Arial" w:cs="Arial"/>
          <w:lang w:eastAsia="en-ID"/>
        </w:rPr>
        <w:fldChar w:fldCharType="separate"/>
      </w:r>
      <w:r w:rsidR="00C426B7" w:rsidRPr="00C426B7">
        <w:rPr>
          <w:rFonts w:ascii="Arial" w:hAnsi="Arial" w:cs="Arial"/>
          <w:noProof/>
          <w:lang w:eastAsia="en-ID"/>
        </w:rPr>
        <w:t>(Miska et al., 2024)</w:t>
      </w:r>
      <w:r>
        <w:rPr>
          <w:rFonts w:ascii="Arial" w:hAnsi="Arial" w:cs="Arial"/>
          <w:lang w:eastAsia="en-ID"/>
        </w:rPr>
        <w:fldChar w:fldCharType="end"/>
      </w:r>
      <w:r>
        <w:rPr>
          <w:rFonts w:ascii="Arial" w:hAnsi="Arial" w:cs="Arial"/>
          <w:lang w:eastAsia="en-ID"/>
        </w:rPr>
        <w:t xml:space="preserve">. Unfortunately, this region faces a paradox: the great potential of local resources and the low productivity and competitiveness of its food commodities. In this context, the extension system plays a strategic role as the main link between research innovation and field practice to strengthen regional food independence </w:t>
      </w:r>
      <w:r w:rsidRPr="002608F1">
        <w:rPr>
          <w:rFonts w:ascii="Arial" w:hAnsi="Arial" w:cs="Arial"/>
          <w:lang w:eastAsia="en-ID"/>
        </w:rPr>
        <w:fldChar w:fldCharType="begin" w:fldLock="1"/>
      </w:r>
      <w:r w:rsidR="00C426B7">
        <w:rPr>
          <w:rFonts w:ascii="Arial" w:hAnsi="Arial" w:cs="Arial"/>
          <w:lang w:eastAsia="en-ID"/>
        </w:rPr>
        <w:instrText>ADDIN CSL_CITATION {"citationItems":[{"id":"ITEM-1","itemData":{"DOI":"10.34068/joe.55.04.22","ISSN":"10775315","abstract":"Interest in local foods began in the early 2000s and has grown substantially over the past decade and a half. Although Extension is addressing local food systems in many states, training and materials in this program area are nascent. To address this circumstance, we developed a graduate course on local food systems for Extension educators. Post-course evaluations indicate increased confidence and knowledge related to local food system facilitation, implementation, and evaluation. Students cited site tours and panel presentations as the most effective course aspects and suggested improving the course by adjusting content to account for varying levels of familiarity with local food systems.","author":[{"dropping-particle":"","family":"Bloom","given":"J. Dara","non-dropping-particle":"","parse-names":false,"suffix":""},{"dropping-particle":"","family":"Lelekacs","given":"Joanna Massey","non-dropping-particle":"","parse-names":false,"suffix":""},{"dropping-particle":"","family":"Dunning","given":"Rebecca","non-dropping-particle":"","parse-names":false,"suffix":""},{"dropping-particle":"","family":"Piner","given":"Abbey","non-dropping-particle":"","parse-names":false,"suffix":""},{"dropping-particle":"","family":"Brinkmeyer","given":"Emma","non-dropping-particle":"","parse-names":false,"suffix":""}],"container-title":"Journal of Extension","id":"ITEM-1","issue":"4","issued":{"date-parts":[["2017"]]},"title":"Local food systems course for extension educators in North Carolina: Summary of an innovative program","type":"article-journal","volume":"55"},"uris":["http://www.mendeley.com/documents/?uuid=c83f1d74-c349-48e4-969c-7c7414bf50fd"]},{"id":"ITEM-2","itemData":{"DOI":"10.1186/s40066-018-0225-x","ISSN":"20487010","abstract":"Background: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Security","id":"ITEM-2","issue":"1","issued":{"date-parts":[["2018"]]},"page":"1-10","publisher":"BioMed Central","title":"Agricultural extension and its effects on farm productivity and income: Insight from Northern Ghana","type":"article-journal","volume":"7"},"uris":["http://www.mendeley.com/documents/?uuid=661f3b75-901d-4618-b272-6b277e34a5e4"]}],"mendeley":{"formattedCitation":"(Bloom et al., 2017; Danso-Abbeam et al., 2018)","plainTextFormattedCitation":"(Bloom et al., 2017; Danso-Abbeam et al., 2018)","previouslyFormattedCitation":"(Bloom et al., 2017; Danso-Abbeam et al., 2018)"},"properties":{"noteIndex":0},"schema":"https://github.com/citation-style-language/schema/raw/master/csl-citation.json"}</w:instrText>
      </w:r>
      <w:r w:rsidRPr="002608F1">
        <w:rPr>
          <w:rFonts w:ascii="Arial" w:hAnsi="Arial" w:cs="Arial"/>
          <w:lang w:eastAsia="en-ID"/>
        </w:rPr>
        <w:fldChar w:fldCharType="separate"/>
      </w:r>
      <w:r w:rsidR="00C426B7" w:rsidRPr="00C426B7">
        <w:rPr>
          <w:rFonts w:ascii="Arial" w:hAnsi="Arial" w:cs="Arial"/>
          <w:noProof/>
          <w:lang w:eastAsia="en-ID"/>
        </w:rPr>
        <w:t>(Bloom et al., 2017; Danso-Abbeam et al., 2018)</w:t>
      </w:r>
      <w:r w:rsidRPr="002608F1">
        <w:rPr>
          <w:rFonts w:ascii="Arial" w:hAnsi="Arial" w:cs="Arial"/>
          <w:lang w:eastAsia="en-ID"/>
        </w:rPr>
        <w:fldChar w:fldCharType="end"/>
      </w:r>
      <w:r>
        <w:rPr>
          <w:rFonts w:ascii="Arial" w:hAnsi="Arial" w:cs="Arial"/>
          <w:color w:val="FF0000"/>
          <w:lang w:eastAsia="en-ID"/>
        </w:rPr>
        <w:t xml:space="preserve">. </w:t>
      </w:r>
      <w:r w:rsidRPr="002608F1">
        <w:rPr>
          <w:rFonts w:ascii="Arial" w:hAnsi="Arial" w:cs="Arial"/>
          <w:lang w:eastAsia="en-ID"/>
        </w:rPr>
        <w:t xml:space="preserve">However, institutional dynamics, weak coordination among actors, and the incompatibility of programs with farmers' real needs often hinder the Effectiveness of the system </w:t>
      </w:r>
      <w:r w:rsidR="001B5C03">
        <w:rPr>
          <w:rFonts w:ascii="Arial" w:hAnsi="Arial" w:cs="Arial"/>
          <w:lang w:eastAsia="en-ID"/>
        </w:rPr>
        <w:fldChar w:fldCharType="begin" w:fldLock="1"/>
      </w:r>
      <w:r w:rsidR="00C426B7">
        <w:rPr>
          <w:rFonts w:ascii="Arial" w:hAnsi="Arial" w:cs="Arial"/>
          <w:lang w:eastAsia="en-ID"/>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sidR="001B5C03">
        <w:rPr>
          <w:rFonts w:ascii="Arial" w:hAnsi="Arial" w:cs="Arial"/>
          <w:lang w:eastAsia="en-ID"/>
        </w:rPr>
        <w:fldChar w:fldCharType="separate"/>
      </w:r>
      <w:r w:rsidR="00C426B7" w:rsidRPr="00C426B7">
        <w:rPr>
          <w:rFonts w:ascii="Arial" w:hAnsi="Arial" w:cs="Arial"/>
          <w:noProof/>
          <w:lang w:eastAsia="en-ID"/>
        </w:rPr>
        <w:t>(Kountios et al., 2024; Mansour et al., 2022)</w:t>
      </w:r>
      <w:r w:rsidR="001B5C03">
        <w:rPr>
          <w:rFonts w:ascii="Arial" w:hAnsi="Arial" w:cs="Arial"/>
          <w:lang w:eastAsia="en-ID"/>
        </w:rPr>
        <w:fldChar w:fldCharType="end"/>
      </w:r>
      <w:r w:rsidRPr="002608F1">
        <w:rPr>
          <w:rFonts w:ascii="Arial" w:hAnsi="Arial" w:cs="Arial"/>
          <w:lang w:eastAsia="en-ID"/>
        </w:rPr>
        <w:t>.</w:t>
      </w:r>
    </w:p>
    <w:p w14:paraId="4E90D7CE" w14:textId="77777777" w:rsidR="00CA3B8C" w:rsidRDefault="0093673A" w:rsidP="002608F1">
      <w:pPr>
        <w:pStyle w:val="Body"/>
        <w:spacing w:after="160"/>
        <w:rPr>
          <w:rFonts w:ascii="Arial" w:hAnsi="Arial" w:cs="Arial"/>
          <w:lang w:eastAsia="en-ID"/>
        </w:rPr>
      </w:pPr>
      <w:r w:rsidRPr="002608F1">
        <w:rPr>
          <w:rFonts w:ascii="Arial" w:hAnsi="Arial" w:cs="Arial"/>
          <w:lang w:eastAsia="en-ID"/>
        </w:rPr>
        <w:t xml:space="preserve">Although previous research has highlighted the role of counseling in increasing production </w:t>
      </w:r>
      <w:r w:rsidR="00A43CBB">
        <w:rPr>
          <w:rFonts w:ascii="Arial" w:hAnsi="Arial" w:cs="Arial"/>
          <w:lang w:eastAsia="en-ID"/>
        </w:rPr>
        <w:fldChar w:fldCharType="begin" w:fldLock="1"/>
      </w:r>
      <w:r w:rsidR="00C426B7">
        <w:rPr>
          <w:rFonts w:ascii="Arial" w:hAnsi="Arial" w:cs="Arial"/>
          <w:lang w:eastAsia="en-ID"/>
        </w:rPr>
        <w:instrText>ADDIN CSL_CITATION {"citationItems":[{"id":"ITEM-1","itemData":{"DOI":"10.1186/s40066-018-0225-x","ISSN":"20487010","abstract":"Background: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Security","id":"ITEM-1","issue":"1","issued":{"date-parts":[["2018"]]},"page":"1-10","publisher":"BioMed Central","title":"Agricultural extension and its effects on farm productivity and income: Insight from Northern Ghana","type":"article-journal","volume":"7"},"uris":["http://www.mendeley.com/documents/?uuid=661f3b75-901d-4618-b272-6b277e34a5e4"]}],"mendeley":{"formattedCitation":"(Danso-Abbeam et al., 2018)","plainTextFormattedCitation":"(Danso-Abbeam et al., 2018)","previouslyFormattedCitation":"(Danso-Abbeam et al., 2018)"},"properties":{"noteIndex":0},"schema":"https://github.com/citation-style-language/schema/raw/master/csl-citation.json"}</w:instrText>
      </w:r>
      <w:r w:rsidR="00A43CBB">
        <w:rPr>
          <w:rFonts w:ascii="Arial" w:hAnsi="Arial" w:cs="Arial"/>
          <w:lang w:eastAsia="en-ID"/>
        </w:rPr>
        <w:fldChar w:fldCharType="separate"/>
      </w:r>
      <w:r w:rsidR="00C426B7" w:rsidRPr="00C426B7">
        <w:rPr>
          <w:rFonts w:ascii="Arial" w:hAnsi="Arial" w:cs="Arial"/>
          <w:noProof/>
          <w:lang w:eastAsia="en-ID"/>
        </w:rPr>
        <w:t>(Danso-Abbeam et al., 2018)</w:t>
      </w:r>
      <w:r w:rsidR="00A43CBB">
        <w:rPr>
          <w:rFonts w:ascii="Arial" w:hAnsi="Arial" w:cs="Arial"/>
          <w:lang w:eastAsia="en-ID"/>
        </w:rPr>
        <w:fldChar w:fldCharType="end"/>
      </w:r>
      <w:r w:rsidR="00A43CBB">
        <w:rPr>
          <w:rFonts w:ascii="Arial" w:hAnsi="Arial" w:cs="Arial"/>
          <w:lang w:eastAsia="en-ID"/>
        </w:rPr>
        <w:t xml:space="preserve">, strengthening the capacity of farmers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F","non-dropping-particle":"","parse-names":false,"suffix":""}],"id":"ITEM-1","issued":{"date-parts":[["1987"]]},"number-of-pages":"187 Halaman","publisher":"Island Publishing House","publisher-place":"Manila","title":"An Introduction to Extension Delivery Systems","type":"book"},"uris":["http://www.mendeley.com/documents/?uuid=25eb7371-5bb6-4472-9038-d9554e92c1dd"]},{"id":"ITEM-2","itemData":{"author":[{"dropping-particle":"","family":"Kementerian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2020-2024","type":"article-journal"},"uris":["http://www.mendeley.com/documents/?uuid=1f922bdd-2f4e-4f89-904e-528bd7f5381d"]}],"mendeley":{"formattedCitation":"(Kementerian Pertanian, 2020a; Valera et al., 1987)","plainTextFormattedCitation":"(Kementerian Pertanian, 2020a; Valera et al., 1987)","previouslyFormattedCitation":"(Kementerian Pertanian, 2020a; Valera et al., 1987)"},"properties":{"noteIndex":0},"schema":"https://github.com/citation-style-language/schema/raw/master/csl-citation.json"}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(Ministry of Agriculture, 2020a; Valera et al., 1987)</w:t>
      </w:r>
      <w:r w:rsidR="00A43CBB" w:rsidRPr="00A43CBB">
        <w:rPr>
          <w:rFonts w:ascii="Arial" w:hAnsi="Arial" w:cs="Arial"/>
          <w:lang w:eastAsia="en-ID"/>
        </w:rPr>
        <w:fldChar w:fldCharType="end"/>
      </w:r>
      <w:r w:rsidR="00A43CBB" w:rsidRPr="00A43CBB">
        <w:rPr>
          <w:rFonts w:ascii="Arial" w:hAnsi="Arial" w:cs="Arial"/>
          <w:lang w:eastAsia="en-ID"/>
        </w:rPr>
        <w:t xml:space="preserve">, integration of technological innovation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DOI":"10.3389/fsufs.2024.1428069","author":[{"dropping-particle":"","family":"Yanfika","given":"Helvi","non-dropping-particle":"","parse-names":false,"suffix":""},{"dropping-particle":"","family":"Effendi","given":"Irwan","non-dropping-particle":"","parse-names":false,"suffix":""},{"dropping-particle":"","family":"Ansari","given":"Andrianto","non-dropping-particle":"","parse-names":false,"suffix":""}],"container-title":"Frountier in Sustainable Food System","id":"ITEM-1","issue":"July","issued":{"date-parts":[["2024"]]},"page":"1-6","title":"The role of agricultural extension services on supporting circular bioeconomy in Indonesia","type":"article-journal"},"uris":["http://www.mendeley.com/documents/?uuid=274b204b-d495-443f-836a-9890fb447b5c"]}],"mendeley":{"formattedCitation":"(Yanfika et al., 2024)","plainTextFormattedCitation":"(Yanfika et al., 2024)","previouslyFormattedCitation":"(Yanfika et al., 2024)"},"properties":{"noteIndex":0},"schema":"https://github.com/citation-style-language/schema/raw/master/csl-citation.json"}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(Yanfika et al., 2024)</w:t>
      </w:r>
      <w:r w:rsidR="00A43CBB" w:rsidRPr="00A43CBB">
        <w:rPr>
          <w:rFonts w:ascii="Arial" w:hAnsi="Arial" w:cs="Arial"/>
          <w:lang w:eastAsia="en-ID"/>
        </w:rPr>
        <w:fldChar w:fldCharType="end"/>
      </w:r>
      <w:r w:rsidR="00A43CBB" w:rsidRPr="00A43CBB">
        <w:rPr>
          <w:rFonts w:ascii="Arial" w:hAnsi="Arial" w:cs="Arial"/>
          <w:lang w:eastAsia="en-ID"/>
        </w:rPr>
        <w:t xml:space="preserve">, increasing the empowerment of farmers in the face of climate change </w:t>
      </w:r>
      <w:r w:rsidR="00A43CBB" w:rsidRPr="00A43CB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{"citationItems":[{"id":"ITEM-1","itemData":{"author":[{"dropping-particle":"","family":"Mahmood","given":"Ekhlas Thaer","non-dropping-particle":"","parse-names":false,"suffix":""}],"container-title":"American Journal of Biodiversity","id":"ITEM-1","issue":"2","issued":{"date-parts":[["2025"]]},"page":"254-265","title":"Climate Change and the Role of Agricultural Extension in Adaptation and Mitigation : A Review Article","type":"article-journal","volume":"2"},"uris":["http://www.mendeley.com/documents/?uuid=4565d304-54fe-4adb-a47e-8ed1acce5695"]},{"id":"ITEM-2","itemData":{"DOI":"http://dx.doi.org/10.29244/jpsl.15.5.904","author":[{"dropping-particle":"","family":"Azhari","given":"Rafnel","non-dropping-particle":"","parse-names":false,"suffix":""},{"dropping-particle":"","family":"Amanah","given":"Siti","non-dropping-particle":"","parse-names":false,"suffix":""},{"dropping-particle":"","family":"Fatchiya","given":"Anna","non-dropping-particle":"","parse-names":false,"suffix":""},{"dropping-particle":"","family":"Kinseng","given":"Rilus A","non-dropping-particle":"","parse-names":false,"suffix":""}],"container-title":"Journal of Natural Resources and Environmental Management","id":"ITEM-2","issue":"5","issued":{"date-parts":[["2025"]]},"page":"904-922","title":"The Influence of Agricultural Extension Services and Livelihood Capitals on Farmers ' Climate Resilience in West Java , Indonesia : A Structural Equation Modelling Approach","type":"article-journal","volume":"15"},"uris":["http://www.mendeley.com/documents/?uuid=fbf8f94f-122d-4a4d-8cb7-e2c27b1b2f71"]}],"mendeley":{"formattedCitation":"(Azhari et al., 2025; Mahmood, 2025)","plainTextFormattedCitation":"(Azhari et al., 2025; Mahmood, 2025)","previouslyFormattedCitation":"(Azhari et al., 2025; Mahmood, 2025)"},"properties":{"noteIndex":0},"schema":"https://github.com/citation-style-language/schema/raw/master/csl-citation.json"}</w:instrText>
      </w:r>
      <w:r w:rsidR="00A43CBB" w:rsidRPr="00A43CBB">
        <w:rPr>
          <w:rFonts w:ascii="Arial" w:hAnsi="Arial" w:cs="Arial"/>
          <w:lang w:eastAsia="en-ID"/>
        </w:rPr>
        <w:fldChar w:fldCharType="separate"/>
      </w:r>
      <w:r w:rsidR="00C426B7" w:rsidRPr="00C426B7">
        <w:rPr>
          <w:rFonts w:ascii="Arial" w:hAnsi="Arial" w:cs="Arial"/>
          <w:noProof/>
          <w:lang w:eastAsia="en-ID"/>
        </w:rPr>
        <w:t>(Azhari et al., 2025; Mahmood, 2025)</w:t>
      </w:r>
      <w:r w:rsidR="00A43CBB" w:rsidRPr="00A43CBB">
        <w:rPr>
          <w:rFonts w:ascii="Arial" w:hAnsi="Arial" w:cs="Arial"/>
          <w:lang w:eastAsia="en-ID"/>
        </w:rPr>
        <w:fldChar w:fldCharType="end"/>
      </w:r>
      <w:r w:rsidR="00A43CBB" w:rsidRPr="00A43CBB">
        <w:rPr>
          <w:rFonts w:ascii="Arial" w:hAnsi="Arial" w:cs="Arial"/>
          <w:lang w:eastAsia="en-ID"/>
        </w:rPr>
        <w:t xml:space="preserve">, and strengthening local food sustainability </w:t>
      </w:r>
      <w:r w:rsidRPr="00A43CBB">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{"citationItems":[{"id":"ITEM-1","itemData":{"author":[{"dropping-particle":"","family":"Swanson","given":"Burton E","non-dropping-particle":"","parse-names":false,"suffix":""},{"dropping-particle":"","family":"Rajalahti","given":"Riika","non-dropping-particle":"","parse-names":false,"suffix":""}],"container-title":"World Bank Agriculture and Rural Development Discussion Paper 45","id":"ITEM-1","issued":{"date-parts":[["2010"]]},"number-of-pages":"1-206","title":"Extension and Advisory Systems: Procedures for Assessing, Transfomring, and Evaluating Extension Systems","type":"book"},"uris":["http://www.mendeley.com/documents/?uuid=a1000ca7-62d7-45cc-8133-11168f76d01c"]}],"mendeley":{"formattedCitation":"(Swanson &amp; Rajalahti, 2010)","plainTextFormattedCitation":"(Swanson &amp; Rajalahti, 2010)","previouslyFormattedCitation":"(Swanson &amp; Rajalahti, 2010)"},"properties":{"noteIndex":0},"schema":"https://github.com/citation-style-language/schema/raw/master/csl-citation.json"}</w:instrText>
      </w:r>
      <w:r w:rsidRPr="00A43CBB">
        <w:rPr>
          <w:rFonts w:ascii="Arial" w:hAnsi="Arial" w:cs="Arial"/>
          <w:lang w:eastAsia="en-ID"/>
        </w:rPr>
        <w:fldChar w:fldCharType="separate"/>
      </w:r>
      <w:r w:rsidR="00C426B7" w:rsidRPr="00C426B7">
        <w:rPr>
          <w:rFonts w:ascii="Arial" w:hAnsi="Arial" w:cs="Arial"/>
          <w:noProof/>
          <w:lang w:eastAsia="en-ID"/>
        </w:rPr>
        <w:t>(Swanson &amp; Rajalahti, 2010)</w:t>
      </w:r>
      <w:r w:rsidRPr="00A43CBB">
        <w:rPr>
          <w:rFonts w:ascii="Arial" w:hAnsi="Arial" w:cs="Arial"/>
          <w:lang w:eastAsia="en-ID"/>
        </w:rPr>
        <w:fldChar w:fldCharType="end"/>
      </w:r>
      <w:r w:rsidR="00AC47ED">
        <w:rPr>
          <w:rFonts w:ascii="Arial" w:hAnsi="Arial" w:cs="Arial"/>
          <w:lang w:eastAsia="en-ID"/>
        </w:rPr>
        <w:t xml:space="preserve">, but the study is partial in nature where it assesses the Effectiveness of only one subsystem.  Similarly, research using the AGIL framework </w:t>
      </w:r>
      <w:r>
        <w:rPr>
          <w:rFonts w:ascii="Arial" w:hAnsi="Arial" w:cs="Arial"/>
          <w:lang w:eastAsia="en-ID"/>
        </w:rPr>
        <w:fldChar w:fldCharType="begin" w:fldLock="1"/>
      </w:r>
      <w:r w:rsidR="00C426B7">
        <w:rPr>
          <w:rFonts w:ascii="Arial" w:hAnsi="Arial" w:cs="Arial"/>
          <w:lang w:eastAsia="en-ID"/>
        </w:rPr>
        <w:instrText>ADDIN CSL_CITATION {"citationItems":[{"id":"ITEM-1","itemData":{"abstract":"Famer group or social interaction media is very efective to give innovation, and the smallest unit from non formal institution from rural community. Social interaction always happen in social live, expecially in ruralcommunity group, Who stilll have strong family relationship. Farmer's motivation by became a member of farmer group are very various. farmer group or social interaction media have advantage for farmer as: 1) Adaptation of the environmental. 2) To reac ther purpose. 3) Integration tools. 4) A way to keep culture value norm, cooperation in rural live.","author":[{"dropping-particle":"","family":"Lestary","given":"Eny","non-dropping-particle":"","parse-names":false,"suffix":""}],"container-title":"AGRITEXTS: Journal of Agricultural Extension","id":"ITEM-1","issue":"2","issued":{"date-parts":[["2004"]]},"page":"59-73","title":"Kelompok Tani Sebagai Media Interaksi Sosial (Kajian Analisis Fungsional Struktural Talcott Parson)","type":"article-journal","volume":"16"},"uris":["http://www.mendeley.com/documents/?uuid=c8ba1497-e32d-4e80-ac84-65ddd585d46a"]}],"mendeley":{"formattedCitation":"(Lestary, 2004)","plainTextFormattedCitation":"(Lestary, 2004)","previouslyFormattedCitation":"(Lestary, 2004)"},"properties":{"noteIndex":0},"schema":"https://github.com/citation-style-language/schema/raw/master/csl-citation.json"}</w:instrText>
      </w:r>
      <w:r>
        <w:rPr>
          <w:rFonts w:ascii="Arial" w:hAnsi="Arial" w:cs="Arial"/>
          <w:lang w:eastAsia="en-ID"/>
        </w:rPr>
        <w:fldChar w:fldCharType="separate"/>
      </w:r>
      <w:r w:rsidR="00C426B7" w:rsidRPr="00C426B7">
        <w:rPr>
          <w:rFonts w:ascii="Arial" w:hAnsi="Arial" w:cs="Arial"/>
          <w:noProof/>
          <w:lang w:eastAsia="en-ID"/>
        </w:rPr>
        <w:t>(Lestary, 2004)</w:t>
      </w:r>
      <w:r>
        <w:rPr>
          <w:rFonts w:ascii="Arial" w:hAnsi="Arial" w:cs="Arial"/>
          <w:lang w:eastAsia="en-ID"/>
        </w:rPr>
        <w:fldChar w:fldCharType="end"/>
      </w:r>
      <w:r>
        <w:rPr>
          <w:rFonts w:ascii="Arial" w:hAnsi="Arial" w:cs="Arial"/>
          <w:lang w:eastAsia="en-ID"/>
        </w:rPr>
        <w:t xml:space="preserve"> consisted only of micro-studies of farmer groups, without involving other subsystem elements. This study offers a novel approach to fill gaps in previous research by examining the Effectiveness of the agricultural extension system using the AGIL framework </w:t>
      </w:r>
      <w:r w:rsidR="00DB61EC">
        <w:rPr>
          <w:rFonts w:ascii="Arial" w:hAnsi="Arial" w:cs="Arial"/>
          <w:lang w:eastAsia="en-ID"/>
        </w:rPr>
        <w:fldChar w:fldCharType="begin" w:fldLock="1"/>
      </w:r>
      <w:r w:rsidR="00C426B7">
        <w:rPr>
          <w:rFonts w:ascii="Arial" w:hAnsi="Arial" w:cs="Arial"/>
          <w:lang w:eastAsia="en-ID"/>
        </w:rPr>
        <w:instrText>ADDIN CSL_CITATION {"citationItems":[{"id":"ITEM-1","itemData":{"author":[{"dropping-particle":"","family":"Parson","given":"Talcott","non-dropping-particle":"","parse-names":false,"suffix":""}],"id":"ITEM-1","issued":{"date-parts":[["1968"]]},"publisher":"Free Press","title":"The Structure of Social Action","type":"book"},"uris":["http://www.mendeley.com/documents/?uuid=f5d1bbb5-8d7c-4070-bc35-28c9d66cb64c"]},{"id":"ITEM-2","itemData":{"DOI":"10.4159/harvard.9780674493155.c3","ISBN":"0203992954","abstract":"In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Sociology","id":"ITEM-2","issued":{"date-parts":[["1951"]]},"number-of-pages":"16-19","publisher":"Routledge &amp; Kegan Paul LTd","title":"The Social System","type":"book"},"uris":["http://www.mendeley.com/documents/?uuid=d86a84c3-1679-4720-b10c-bbabff187e95"]}],"mendeley":{"formattedCitation":"(Parson, 1968; Parsons, 1951)","plainTextFormattedCitation":"(Parson, 1968; Parsons, 1951)","previouslyFormattedCitation":"(Parson, 1968; Parsons, 1951)"},"properties":{"noteIndex":0},"schema":"https://github.com/citation-style-language/schema/raw/master/csl-citation.json"}</w:instrText>
      </w:r>
      <w:r w:rsidR="00DB61EC">
        <w:rPr>
          <w:rFonts w:ascii="Arial" w:hAnsi="Arial" w:cs="Arial"/>
          <w:lang w:eastAsia="en-ID"/>
        </w:rPr>
        <w:fldChar w:fldCharType="separate"/>
      </w:r>
      <w:r w:rsidR="00C426B7" w:rsidRPr="00C426B7">
        <w:rPr>
          <w:rFonts w:ascii="Arial" w:hAnsi="Arial" w:cs="Arial"/>
          <w:noProof/>
          <w:lang w:eastAsia="en-ID"/>
        </w:rPr>
        <w:t>(Parsons, 1968; Parsons, 1951)</w:t>
      </w:r>
      <w:r w:rsidR="00DB61EC">
        <w:rPr>
          <w:rFonts w:ascii="Arial" w:hAnsi="Arial" w:cs="Arial"/>
          <w:lang w:eastAsia="en-ID"/>
        </w:rPr>
        <w:fldChar w:fldCharType="end"/>
      </w:r>
      <w:r>
        <w:rPr>
          <w:rFonts w:ascii="Arial" w:hAnsi="Arial" w:cs="Arial"/>
          <w:lang w:eastAsia="en-ID"/>
        </w:rPr>
        <w:t xml:space="preserve"> to analyze its role in supporting local food independence. This also contributes to providing a new theory-based analysis tool in assessing the Effectiveness of the system's work.  </w:t>
      </w:r>
    </w:p>
    <w:p w14:paraId="25B3D9AC" w14:textId="77777777" w:rsidR="00CA3B8C" w:rsidRDefault="00CA3B8C" w:rsidP="002608F1">
      <w:pPr>
        <w:pStyle w:val="Body"/>
        <w:spacing w:after="160"/>
        <w:rPr>
          <w:rFonts w:ascii="Arial" w:hAnsi="Arial" w:cs="Arial"/>
          <w:lang w:eastAsia="en-ID"/>
        </w:rPr>
      </w:pPr>
    </w:p>
    <w:p w14:paraId="7FB266A2" w14:textId="77777777" w:rsidR="00790ADA" w:rsidRPr="00FB3A86" w:rsidRDefault="00790ADA" w:rsidP="00441B6F">
      <w:pPr>
        <w:pStyle w:val="Body"/>
        <w:spacing w:after="0"/>
        <w:rPr>
          <w:rFonts w:ascii="Arial" w:hAnsi="Arial" w:cs="Arial"/>
        </w:rPr>
      </w:pPr>
    </w:p>
    <w:p w14:paraId="7A185C2B" w14:textId="77777777" w:rsidR="007F7B32" w:rsidRDefault="0093673A" w:rsidP="00441B6F">
      <w:pPr>
        <w:pStyle w:val="AbstHead"/>
        <w:spacing w:after="0"/>
        <w:jc w:val="both"/>
        <w:rPr>
          <w:rFonts w:ascii="Arial" w:hAnsi="Arial" w:cs="Arial"/>
        </w:rPr>
      </w:pPr>
      <w:r>
        <w:rPr>
          <w:rFonts w:ascii="Arial" w:hAnsi="Arial" w:cs="Arial"/>
        </w:rPr>
        <w:t xml:space="preserve">2. Methodology </w:t>
      </w:r>
    </w:p>
    <w:p w14:paraId="1394DFA0" w14:textId="77777777" w:rsidR="00790ADA" w:rsidRPr="00FB3A86" w:rsidRDefault="00790ADA" w:rsidP="00441B6F">
      <w:pPr>
        <w:pStyle w:val="Body"/>
        <w:spacing w:after="0"/>
        <w:rPr>
          <w:rFonts w:ascii="Arial" w:hAnsi="Arial" w:cs="Arial"/>
        </w:rPr>
      </w:pPr>
    </w:p>
    <w:p w14:paraId="5153B64B" w14:textId="77777777" w:rsidR="00AA74E0" w:rsidRPr="001B5C03" w:rsidRDefault="0093673A" w:rsidP="00441B6F">
      <w:pPr>
        <w:pStyle w:val="Body"/>
        <w:spacing w:after="0"/>
        <w:rPr>
          <w:rFonts w:ascii="Arial" w:hAnsi="Arial" w:cs="Arial"/>
          <w:b/>
        </w:rPr>
      </w:pPr>
      <w:r w:rsidRPr="001B5C03">
        <w:rPr>
          <w:rFonts w:ascii="Arial" w:hAnsi="Arial" w:cs="Arial"/>
          <w:b/>
          <w:caps/>
        </w:rPr>
        <w:t xml:space="preserve">2.1 </w:t>
      </w:r>
      <w:r w:rsidR="00D16533" w:rsidRPr="001B5C03">
        <w:rPr>
          <w:rStyle w:val="Strong"/>
          <w:rFonts w:ascii="Arial" w:hAnsi="Arial" w:cs="Arial"/>
          <w:bCs w:val="0"/>
        </w:rPr>
        <w:t xml:space="preserve">Research Design   </w:t>
      </w:r>
    </w:p>
    <w:p w14:paraId="13854BCB" w14:textId="77777777" w:rsidR="00D16533" w:rsidRPr="007F0744" w:rsidRDefault="0093673A" w:rsidP="001B5C03">
      <w:pPr>
        <w:pStyle w:val="NormalWeb"/>
        <w:jc w:val="both"/>
        <w:rPr>
          <w:rFonts w:ascii="Arial" w:hAnsi="Arial" w:cs="Arial"/>
          <w:sz w:val="20"/>
          <w:szCs w:val="20"/>
        </w:rPr>
      </w:pPr>
      <w:r w:rsidRPr="007F0744">
        <w:rPr>
          <w:rFonts w:ascii="Arial" w:hAnsi="Arial" w:cs="Arial"/>
          <w:sz w:val="20"/>
          <w:szCs w:val="20"/>
        </w:rPr>
        <w:t xml:space="preserve">This study uses </w:t>
      </w:r>
      <w:r w:rsidRPr="007F0744">
        <w:rPr>
          <w:rStyle w:val="Strong"/>
          <w:rFonts w:ascii="Arial" w:hAnsi="Arial" w:cs="Arial"/>
          <w:b w:val="0"/>
          <w:bCs w:val="0"/>
          <w:sz w:val="20"/>
          <w:szCs w:val="20"/>
        </w:rPr>
        <w:t xml:space="preserve">a Descriptive qualitative approach with case studies </w:t>
      </w:r>
      <w:r w:rsidR="0035665E"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{"citationItems":[{"id":"ITEM-1","itemData":{"author":[{"dropping-particle":"","family":"Yin","given":"R.K","non-dropping-particle":"","parse-names":false,"suffix":""}],"container-title":"Sage Publications","id":"ITEM-1","issued":{"date-parts":[["2014"]]},"title":"Case Study Research: Design and Methods (5th ed.)","type":"article-journal"},"uris":["http://www.mendeley.com/documents/?uuid=ddbcbb8f-c1f9-4716-bf9e-c0710e646b12"]},{"id":"ITEM-2","itemData":{"DOI":"https://doi.org/10.2307/2392599","author":[{"dropping-particle":"","family":"Yin","given":"R.K","non-dropping-particle":"","parse-names":false,"suffix":""}],"container-title":"Administrative Science Quarterly. Sage Publication","id":"ITEM-2","issue":"1","issued":{"date-parts":[["1981"]]},"page":"58-65","title":"The Case Study Crisis: Some Answers","type":"article-journal","volume":"26"},"uris":["http://www.mendeley.com/documents/?uuid=781c886b-a6bc-42d2-8648-be727b83ecff"]}],"mendeley":{"formattedCitation":"(Yin, 1981, 2014)","plainTextFormattedCitation":"(Yin, 1981, 2014)","previouslyFormattedCitation":"(Yin, 1981, 2014)"},"properties":{"noteIndex":0},"schema":"https://github.com/citation-style-language/schema/raw/master/csl-citation.json"}</w:instrText>
      </w:r>
      <w:r w:rsidR="0035665E"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(Yin, 1981, 2014)</w:t>
      </w:r>
      <w:r w:rsidR="0035665E" w:rsidRPr="007F0744">
        <w:rPr>
          <w:rStyle w:val="Strong"/>
          <w:rFonts w:ascii="Arial" w:hAnsi="Arial" w:cs="Arial"/>
          <w:b w:val="0"/>
          <w:bCs w:val="0"/>
          <w:sz w:val="20"/>
          <w:szCs w:val="20"/>
        </w:rPr>
        <w:fldChar w:fldCharType="end"/>
      </w:r>
      <w:r w:rsidR="006E0188" w:rsidRPr="007F0744">
        <w:rPr>
          <w:rFonts w:ascii="Arial" w:hAnsi="Arial" w:cs="Arial"/>
          <w:sz w:val="20"/>
          <w:szCs w:val="20"/>
        </w:rPr>
        <w:t xml:space="preserve">. A descriptive qualitative approach was chosen to provide a detailed and comprehensive picture of the dynamics of the agricultural extension system's implementation.  Meanwhile, the case study design was used to explore the phenomenon in the context of North Buton Regency, with greater depth and context.  With this combination, the research was able to reveal the implementation of the inter-functional agricultural extension system in encouraging food independence in detail to be </w:t>
      </w:r>
      <w:proofErr w:type="spellStart"/>
      <w:r w:rsidR="006E0188" w:rsidRPr="007F0744">
        <w:rPr>
          <w:rFonts w:ascii="Arial" w:hAnsi="Arial" w:cs="Arial"/>
          <w:sz w:val="20"/>
          <w:szCs w:val="20"/>
        </w:rPr>
        <w:t>analyzed</w:t>
      </w:r>
      <w:proofErr w:type="spellEnd"/>
      <w:r w:rsidR="006E0188" w:rsidRPr="007F0744">
        <w:rPr>
          <w:rFonts w:ascii="Arial" w:hAnsi="Arial" w:cs="Arial"/>
          <w:sz w:val="20"/>
          <w:szCs w:val="20"/>
        </w:rPr>
        <w:t xml:space="preserve"> holistically through the </w:t>
      </w:r>
      <w:r w:rsidRPr="007F0744">
        <w:rPr>
          <w:rStyle w:val="Strong"/>
          <w:rFonts w:ascii="Arial" w:hAnsi="Arial" w:cs="Arial"/>
          <w:b w:val="0"/>
          <w:bCs w:val="0"/>
          <w:sz w:val="20"/>
          <w:szCs w:val="20"/>
        </w:rPr>
        <w:t xml:space="preserve">Theoretical framework of AGIL Parsons </w:t>
      </w:r>
      <w:r w:rsidR="00F42749"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{"citationItems":[{"id":"ITEM-1","itemData":{"author":[{"dropping-particle":"","family":"Parson","given":"Talcott","non-dropping-particle":"","parse-names":false,"suffix":""}],"id":"ITEM-1","issued":{"date-parts":[["1968"]]},"publisher":"Free Press","title":"The Structure of Social Action","type":"book"},"uris":["http://www.mendeley.com/documents/?uuid=f5d1bbb5-8d7c-4070-bc35-28c9d66cb64c"]},{"id":"ITEM-2","itemData":{"DOI":"10.4159/harvard.9780674493155.c3","ISBN":"0203992954","abstract":"In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Sociology","id":"ITEM-2","issued":{"date-parts":[["1951"]]},"number-of-pages":"16-19","publisher":"Routledge &amp; Kegan Paul LTd","title":"The Social System","type":"book"},"uris":["http://www.mendeley.com/documents/?uuid=d86a84c3-1679-4720-b10c-bbabff187e95"]}],"mendeley":{"formattedCitation":"(Parson, 1968; Parsons, 1951)","plainTextFormattedCitation":"(Parson, 1968; Parsons, 1951)","previouslyFormattedCitation":"(Parson, 1968; Parsons, 1951)"},"properties":{"noteIndex":0},"schema":"https://github.com/citation-style-language/schema/raw/master/csl-citation.json"}</w:instrText>
      </w:r>
      <w:r w:rsidR="00F42749"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(Parsons, 1968; Parsons, 1951)</w:t>
      </w:r>
      <w:r w:rsidR="00F42749" w:rsidRPr="007F0744">
        <w:rPr>
          <w:rStyle w:val="Strong"/>
          <w:rFonts w:ascii="Arial" w:hAnsi="Arial" w:cs="Arial"/>
          <w:b w:val="0"/>
          <w:bCs w:val="0"/>
          <w:sz w:val="20"/>
          <w:szCs w:val="20"/>
        </w:rPr>
        <w:fldChar w:fldCharType="end"/>
      </w:r>
      <w:r w:rsidRPr="007F0744">
        <w:rPr>
          <w:rFonts w:ascii="Arial" w:hAnsi="Arial" w:cs="Arial"/>
          <w:sz w:val="20"/>
          <w:szCs w:val="20"/>
        </w:rPr>
        <w:t xml:space="preserve"> (Parsons, 1951; Parsons, 1968).</w:t>
      </w:r>
    </w:p>
    <w:p w14:paraId="7BB9577A" w14:textId="77777777" w:rsidR="00D16533" w:rsidRDefault="00D16533" w:rsidP="00441B6F">
      <w:pPr>
        <w:pStyle w:val="Body"/>
        <w:spacing w:after="0"/>
        <w:rPr>
          <w:rFonts w:ascii="Arial" w:hAnsi="Arial" w:cs="Arial"/>
          <w:b/>
          <w:u w:val="single"/>
        </w:rPr>
      </w:pPr>
    </w:p>
    <w:p w14:paraId="105DCE05" w14:textId="77777777" w:rsidR="00AA74E0" w:rsidRDefault="0093673A" w:rsidP="00441B6F">
      <w:pPr>
        <w:pStyle w:val="Body"/>
        <w:spacing w:after="0"/>
        <w:rPr>
          <w:rFonts w:ascii="Arial" w:hAnsi="Arial" w:cs="Arial"/>
        </w:rPr>
      </w:pPr>
      <w:r w:rsidRPr="00272418">
        <w:rPr>
          <w:rFonts w:ascii="Arial" w:hAnsi="Arial" w:cs="Arial"/>
          <w:b/>
        </w:rPr>
        <w:t xml:space="preserve">2.2 Research Site and Context   </w:t>
      </w:r>
    </w:p>
    <w:p w14:paraId="79B56277" w14:textId="77777777" w:rsidR="00792919" w:rsidRPr="00F0577F" w:rsidRDefault="0093673A" w:rsidP="00272418">
      <w:pPr>
        <w:pStyle w:val="NormalWeb"/>
        <w:jc w:val="both"/>
        <w:rPr>
          <w:rFonts w:ascii="Arial" w:hAnsi="Arial" w:cs="Arial"/>
          <w:sz w:val="20"/>
          <w:szCs w:val="20"/>
        </w:rPr>
      </w:pPr>
      <w:r w:rsidRPr="00F0577F">
        <w:rPr>
          <w:rFonts w:ascii="Arial" w:hAnsi="Arial" w:cs="Arial"/>
          <w:sz w:val="20"/>
          <w:szCs w:val="20"/>
        </w:rPr>
        <w:t xml:space="preserve">This research was carried out in January-March 2024 in North Buton Regency, Southeast Sulawesi Province, an agrarian area with high local food potential and germplasm, a strategic commodity for building local food independence (BPS </w:t>
      </w:r>
      <w:proofErr w:type="spellStart"/>
      <w:r w:rsidRPr="00F0577F">
        <w:rPr>
          <w:rFonts w:ascii="Arial" w:hAnsi="Arial" w:cs="Arial"/>
          <w:sz w:val="20"/>
          <w:szCs w:val="20"/>
        </w:rPr>
        <w:t>Buton</w:t>
      </w:r>
      <w:proofErr w:type="spellEnd"/>
      <w:r w:rsidRPr="00F0577F">
        <w:rPr>
          <w:rFonts w:ascii="Arial" w:hAnsi="Arial" w:cs="Arial"/>
          <w:sz w:val="20"/>
          <w:szCs w:val="20"/>
        </w:rPr>
        <w:t xml:space="preserve"> Utara, 2024; </w:t>
      </w:r>
      <w:proofErr w:type="spellStart"/>
      <w:r w:rsidRPr="00F0577F">
        <w:rPr>
          <w:rFonts w:ascii="Arial" w:hAnsi="Arial" w:cs="Arial"/>
          <w:sz w:val="20"/>
          <w:szCs w:val="20"/>
        </w:rPr>
        <w:t>Isnian</w:t>
      </w:r>
      <w:proofErr w:type="spellEnd"/>
      <w:r w:rsidRPr="00F0577F">
        <w:rPr>
          <w:rFonts w:ascii="Arial" w:hAnsi="Arial" w:cs="Arial"/>
          <w:sz w:val="20"/>
          <w:szCs w:val="20"/>
        </w:rPr>
        <w:t xml:space="preserve"> et al., 2025). This region presents a classic challenge to strengthening food self-sufficiency: high local resource potential but low productivity, weak institutional coordination, and limited adoption of innovations. This context is relevant for assessing the Effectiveness of the functioning of the extension system systemically (AGIL framework)</w:t>
      </w:r>
    </w:p>
    <w:p w14:paraId="3E8F6877" w14:textId="77777777" w:rsidR="00F0577F" w:rsidRDefault="0093673A" w:rsidP="00F0577F">
      <w:pPr>
        <w:pStyle w:val="Body"/>
        <w:spacing w:after="0"/>
        <w:rPr>
          <w:rFonts w:ascii="Arial" w:hAnsi="Arial" w:cs="Arial"/>
        </w:rPr>
      </w:pPr>
      <w:r w:rsidRPr="00272418">
        <w:rPr>
          <w:rFonts w:ascii="Arial" w:hAnsi="Arial" w:cs="Arial"/>
          <w:b/>
        </w:rPr>
        <w:t xml:space="preserve">2.2 Informant and Interview Topics   </w:t>
      </w:r>
    </w:p>
    <w:p w14:paraId="1EA7732D" w14:textId="77777777" w:rsidR="00285F6C" w:rsidRPr="00F0577F" w:rsidRDefault="0093673A" w:rsidP="00F0577F">
      <w:pPr>
        <w:pStyle w:val="NormalWeb"/>
        <w:jc w:val="both"/>
        <w:rPr>
          <w:rFonts w:ascii="Arial" w:hAnsi="Arial" w:cs="Arial"/>
          <w:sz w:val="20"/>
          <w:szCs w:val="20"/>
        </w:rPr>
      </w:pPr>
      <w:r w:rsidRPr="00F0577F">
        <w:rPr>
          <w:rFonts w:ascii="Arial" w:hAnsi="Arial" w:cs="Arial"/>
          <w:sz w:val="20"/>
          <w:szCs w:val="20"/>
        </w:rPr>
        <w:lastRenderedPageBreak/>
        <w:t xml:space="preserve">This study involved </w:t>
      </w:r>
      <w:r w:rsidRPr="00F0577F">
        <w:rPr>
          <w:rStyle w:val="Strong"/>
          <w:rFonts w:ascii="Arial" w:hAnsi="Arial" w:cs="Arial"/>
          <w:b w:val="0"/>
          <w:bCs w:val="0"/>
          <w:sz w:val="20"/>
          <w:szCs w:val="20"/>
        </w:rPr>
        <w:t>24 key informants</w:t>
      </w:r>
      <w:r w:rsidRPr="00F0577F">
        <w:rPr>
          <w:rFonts w:ascii="Arial" w:hAnsi="Arial" w:cs="Arial"/>
          <w:sz w:val="20"/>
          <w:szCs w:val="20"/>
        </w:rPr>
        <w:t xml:space="preserve"> across four extension subsystems, including researchers, extension workers, farmers, policy makers, and private actors. The selection of informants is carried out </w:t>
      </w:r>
      <w:r w:rsidRPr="00F0577F">
        <w:rPr>
          <w:rStyle w:val="Strong"/>
          <w:rFonts w:ascii="Arial" w:hAnsi="Arial" w:cs="Arial"/>
          <w:b w:val="0"/>
          <w:bCs w:val="0"/>
          <w:sz w:val="20"/>
          <w:szCs w:val="20"/>
        </w:rPr>
        <w:t xml:space="preserve">using a method </w:t>
      </w:r>
      <w:r w:rsidRPr="00F0577F">
        <w:rPr>
          <w:rFonts w:ascii="Arial" w:hAnsi="Arial" w:cs="Arial"/>
          <w:sz w:val="20"/>
          <w:szCs w:val="20"/>
        </w:rPr>
        <w:t xml:space="preserve">designed to obtain an in-depth perspective across all subsystems. The institutions involved are the University of Muhammadiyah Kendari (UMK), </w:t>
      </w:r>
      <w:proofErr w:type="spellStart"/>
      <w:r w:rsidRPr="00F0577F">
        <w:rPr>
          <w:rFonts w:ascii="Arial" w:hAnsi="Arial" w:cs="Arial"/>
          <w:sz w:val="20"/>
          <w:szCs w:val="20"/>
        </w:rPr>
        <w:t>Halu</w:t>
      </w:r>
      <w:proofErr w:type="spellEnd"/>
      <w:r w:rsidRPr="00F0577F">
        <w:rPr>
          <w:rFonts w:ascii="Arial" w:hAnsi="Arial" w:cs="Arial"/>
          <w:sz w:val="20"/>
          <w:szCs w:val="20"/>
        </w:rPr>
        <w:t xml:space="preserve"> Oleo University (UHO), FAO, the Regional Technical Implementation Unit of Agricultural Extension (UPTD), the Association of Farmer Groups (</w:t>
      </w:r>
      <w:proofErr w:type="spellStart"/>
      <w:r w:rsidRPr="00F0577F">
        <w:rPr>
          <w:rFonts w:ascii="Arial" w:hAnsi="Arial" w:cs="Arial"/>
          <w:sz w:val="20"/>
          <w:szCs w:val="20"/>
        </w:rPr>
        <w:t>Gapoktan</w:t>
      </w:r>
      <w:proofErr w:type="spellEnd"/>
      <w:r w:rsidRPr="00F0577F">
        <w:rPr>
          <w:rFonts w:ascii="Arial" w:hAnsi="Arial" w:cs="Arial"/>
          <w:sz w:val="20"/>
          <w:szCs w:val="20"/>
        </w:rPr>
        <w:t>), the Regional Development Planning Agency (</w:t>
      </w:r>
      <w:proofErr w:type="spellStart"/>
      <w:r w:rsidRPr="00F0577F">
        <w:rPr>
          <w:rFonts w:ascii="Arial" w:hAnsi="Arial" w:cs="Arial"/>
          <w:sz w:val="20"/>
          <w:szCs w:val="20"/>
        </w:rPr>
        <w:t>Bappeda</w:t>
      </w:r>
      <w:proofErr w:type="spellEnd"/>
      <w:r w:rsidRPr="00F0577F">
        <w:rPr>
          <w:rFonts w:ascii="Arial" w:hAnsi="Arial" w:cs="Arial"/>
          <w:sz w:val="20"/>
          <w:szCs w:val="20"/>
        </w:rPr>
        <w:t xml:space="preserve">), the Agriculture Office, the Food Security Service, and the private sector/entrepreneurs. The informants and interview topics are presented in Table 1.  </w:t>
      </w:r>
    </w:p>
    <w:p w14:paraId="18FA45F0" w14:textId="77777777" w:rsidR="00F0577F" w:rsidRPr="00BC1D1A" w:rsidRDefault="0093673A" w:rsidP="00F0577F">
      <w:pPr>
        <w:tabs>
          <w:tab w:val="left" w:pos="1080"/>
        </w:tabs>
        <w:jc w:val="both"/>
        <w:rPr>
          <w:rFonts w:ascii="Arial" w:hAnsi="Arial"/>
          <w:b/>
        </w:rPr>
      </w:pPr>
      <w:r w:rsidRPr="00BC1D1A">
        <w:rPr>
          <w:rFonts w:ascii="Arial" w:hAnsi="Arial"/>
          <w:b/>
        </w:rPr>
        <w:t>Table 1.</w:t>
      </w:r>
      <w:r w:rsidRPr="00BC1D1A">
        <w:rPr>
          <w:rFonts w:ascii="Arial" w:hAnsi="Arial"/>
          <w:b/>
        </w:rPr>
        <w:tab/>
        <w:t>Resource Persons and Topics</w:t>
      </w:r>
    </w:p>
    <w:p w14:paraId="5459D1B1" w14:textId="77777777" w:rsidR="00F0577F" w:rsidRPr="00DC3180" w:rsidRDefault="00F0577F" w:rsidP="00F0577F">
      <w:pPr>
        <w:tabs>
          <w:tab w:val="left" w:pos="1080"/>
        </w:tabs>
        <w:jc w:val="both"/>
        <w:rPr>
          <w:rFonts w:ascii="Arial" w:hAnsi="Arial"/>
          <w:b/>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18"/>
        <w:gridCol w:w="2474"/>
        <w:gridCol w:w="1495"/>
        <w:gridCol w:w="2821"/>
      </w:tblGrid>
      <w:tr w:rsidR="00F41E9E" w14:paraId="373C5FE2" w14:textId="77777777" w:rsidTr="00D42D63">
        <w:trPr>
          <w:jc w:val="center"/>
        </w:trPr>
        <w:tc>
          <w:tcPr>
            <w:tcW w:w="1418" w:type="dxa"/>
            <w:tcBorders>
              <w:bottom w:val="single" w:sz="4" w:space="0" w:color="auto"/>
            </w:tcBorders>
          </w:tcPr>
          <w:p w14:paraId="14CE5469" w14:textId="77777777" w:rsidR="001B2624" w:rsidRPr="00DC3180" w:rsidRDefault="0093673A" w:rsidP="00D42D63">
            <w:pPr>
              <w:spacing w:before="40" w:after="40"/>
              <w:jc w:val="both"/>
              <w:rPr>
                <w:rFonts w:ascii="Arial" w:hAnsi="Arial"/>
                <w:b/>
                <w:bCs/>
              </w:rPr>
            </w:pPr>
            <w:r>
              <w:rPr>
                <w:rFonts w:ascii="Arial" w:hAnsi="Arial"/>
                <w:b/>
              </w:rPr>
              <w:t>Elements</w:t>
            </w:r>
          </w:p>
        </w:tc>
        <w:tc>
          <w:tcPr>
            <w:tcW w:w="2474" w:type="dxa"/>
            <w:tcBorders>
              <w:bottom w:val="single" w:sz="4" w:space="0" w:color="auto"/>
            </w:tcBorders>
          </w:tcPr>
          <w:p w14:paraId="4A890334" w14:textId="77777777" w:rsidR="001B2624" w:rsidRPr="00DC3180" w:rsidRDefault="0093673A" w:rsidP="00D42D63">
            <w:pPr>
              <w:spacing w:before="40" w:after="40"/>
              <w:jc w:val="both"/>
              <w:rPr>
                <w:rFonts w:ascii="Arial" w:hAnsi="Arial"/>
                <w:b/>
                <w:bCs/>
              </w:rPr>
            </w:pPr>
            <w:r>
              <w:rPr>
                <w:rFonts w:ascii="Arial" w:hAnsi="Arial"/>
                <w:b/>
                <w:bCs/>
              </w:rPr>
              <w:t>Sources</w:t>
            </w:r>
          </w:p>
        </w:tc>
        <w:tc>
          <w:tcPr>
            <w:tcW w:w="1495" w:type="dxa"/>
            <w:tcBorders>
              <w:bottom w:val="single" w:sz="4" w:space="0" w:color="auto"/>
            </w:tcBorders>
          </w:tcPr>
          <w:p w14:paraId="054CD18A" w14:textId="77777777" w:rsidR="001B2624" w:rsidRPr="00DC3180" w:rsidRDefault="0093673A" w:rsidP="00D42D63">
            <w:pPr>
              <w:spacing w:before="40" w:after="40"/>
              <w:jc w:val="both"/>
              <w:rPr>
                <w:rFonts w:ascii="Arial" w:hAnsi="Arial"/>
                <w:b/>
                <w:bCs/>
              </w:rPr>
            </w:pPr>
            <w:r>
              <w:rPr>
                <w:rFonts w:ascii="Arial" w:hAnsi="Arial"/>
                <w:b/>
                <w:bCs/>
              </w:rPr>
              <w:t>Total Quantity</w:t>
            </w:r>
          </w:p>
        </w:tc>
        <w:tc>
          <w:tcPr>
            <w:tcW w:w="2821" w:type="dxa"/>
            <w:tcBorders>
              <w:bottom w:val="single" w:sz="4" w:space="0" w:color="auto"/>
            </w:tcBorders>
          </w:tcPr>
          <w:p w14:paraId="6F0F40F8" w14:textId="77777777" w:rsidR="001B2624" w:rsidRDefault="0093673A" w:rsidP="00D42D63">
            <w:pPr>
              <w:spacing w:before="40" w:after="40"/>
              <w:jc w:val="both"/>
              <w:rPr>
                <w:rFonts w:ascii="Arial" w:hAnsi="Arial"/>
                <w:b/>
                <w:bCs/>
              </w:rPr>
            </w:pPr>
            <w:r>
              <w:rPr>
                <w:rFonts w:ascii="Arial" w:hAnsi="Arial"/>
                <w:b/>
                <w:bCs/>
              </w:rPr>
              <w:t>Topic</w:t>
            </w:r>
          </w:p>
        </w:tc>
      </w:tr>
      <w:tr w:rsidR="00F41E9E" w14:paraId="0C308B87" w14:textId="77777777" w:rsidTr="00D42D63">
        <w:trPr>
          <w:trHeight w:val="773"/>
          <w:jc w:val="center"/>
          <w:hidden/>
        </w:trPr>
        <w:tc>
          <w:tcPr>
            <w:tcW w:w="1418" w:type="dxa"/>
            <w:tcBorders>
              <w:bottom w:val="nil"/>
            </w:tcBorders>
          </w:tcPr>
          <w:p w14:paraId="22372942" w14:textId="77777777" w:rsidR="001B2624" w:rsidRPr="00DC3180" w:rsidRDefault="001B2624" w:rsidP="00D42D63">
            <w:pPr>
              <w:spacing w:before="40" w:after="40"/>
              <w:jc w:val="both"/>
              <w:rPr>
                <w:rFonts w:ascii="Arial" w:hAnsi="Arial"/>
                <w:vanish/>
              </w:rPr>
            </w:pPr>
          </w:p>
          <w:p w14:paraId="39369FBF" w14:textId="77777777" w:rsidR="001B2624" w:rsidRPr="00DC3180" w:rsidRDefault="0093673A" w:rsidP="00D42D63">
            <w:pPr>
              <w:spacing w:before="40" w:after="40"/>
              <w:jc w:val="both"/>
              <w:rPr>
                <w:rFonts w:ascii="Arial" w:hAnsi="Arial"/>
                <w:vanish/>
              </w:rPr>
            </w:pPr>
            <w:r w:rsidRPr="00DC3180">
              <w:rPr>
                <w:rFonts w:ascii="Arial" w:hAnsi="Arial"/>
              </w:rPr>
              <w:t>Research Sub System</w:t>
            </w:r>
          </w:p>
          <w:p w14:paraId="7F9B22E5" w14:textId="77777777" w:rsidR="001B2624" w:rsidRPr="00DC3180" w:rsidRDefault="001B2624" w:rsidP="00D42D63">
            <w:pPr>
              <w:spacing w:before="40" w:after="40"/>
              <w:jc w:val="both"/>
              <w:rPr>
                <w:rFonts w:ascii="Arial" w:hAnsi="Arial"/>
              </w:rPr>
            </w:pPr>
          </w:p>
          <w:p w14:paraId="7D96BA73" w14:textId="77777777" w:rsidR="001B2624" w:rsidRPr="00DC3180" w:rsidRDefault="001B2624" w:rsidP="00D42D63">
            <w:pPr>
              <w:spacing w:before="40" w:after="40"/>
              <w:jc w:val="both"/>
              <w:rPr>
                <w:rFonts w:ascii="Arial" w:hAnsi="Arial"/>
                <w:b/>
                <w:bCs/>
              </w:rPr>
            </w:pPr>
          </w:p>
        </w:tc>
        <w:tc>
          <w:tcPr>
            <w:tcW w:w="2474" w:type="dxa"/>
            <w:tcBorders>
              <w:bottom w:val="nil"/>
            </w:tcBorders>
          </w:tcPr>
          <w:p w14:paraId="1A7BD95F" w14:textId="77777777" w:rsidR="001B2624" w:rsidRPr="00DC3180" w:rsidRDefault="0093673A" w:rsidP="00D42D63">
            <w:pPr>
              <w:spacing w:before="40" w:after="40"/>
              <w:jc w:val="both"/>
              <w:rPr>
                <w:rFonts w:ascii="Arial" w:hAnsi="Arial"/>
              </w:rPr>
            </w:pPr>
            <w:r>
              <w:rPr>
                <w:rFonts w:ascii="Arial" w:hAnsi="Arial"/>
              </w:rPr>
              <w:t>2 Government Food Researchers (MSEs, UHO)</w:t>
            </w:r>
          </w:p>
          <w:p w14:paraId="1C4ED446" w14:textId="77777777" w:rsidR="001B2624" w:rsidRDefault="0093673A" w:rsidP="00D42D63">
            <w:pPr>
              <w:spacing w:before="40" w:after="40"/>
              <w:jc w:val="both"/>
              <w:rPr>
                <w:rFonts w:ascii="Arial" w:hAnsi="Arial"/>
              </w:rPr>
            </w:pPr>
            <w:r>
              <w:rPr>
                <w:rFonts w:ascii="Arial" w:hAnsi="Arial"/>
              </w:rPr>
              <w:t>1 Food Expert, 1 Food Academic,</w:t>
            </w:r>
          </w:p>
          <w:p w14:paraId="17325534" w14:textId="77777777" w:rsidR="001B2624" w:rsidRPr="001B2624" w:rsidRDefault="0093673A" w:rsidP="00D42D63">
            <w:pPr>
              <w:spacing w:before="40" w:after="40"/>
              <w:jc w:val="both"/>
              <w:rPr>
                <w:rFonts w:ascii="Arial" w:hAnsi="Arial"/>
              </w:rPr>
            </w:pPr>
            <w:r w:rsidRPr="001B2624">
              <w:rPr>
                <w:rFonts w:ascii="Arial" w:hAnsi="Arial"/>
              </w:rPr>
              <w:t>1 Private Food Researcher</w:t>
            </w:r>
          </w:p>
        </w:tc>
        <w:tc>
          <w:tcPr>
            <w:tcW w:w="1495" w:type="dxa"/>
            <w:tcBorders>
              <w:bottom w:val="nil"/>
            </w:tcBorders>
          </w:tcPr>
          <w:p w14:paraId="00FB6238" w14:textId="77777777" w:rsidR="001B2624" w:rsidRPr="00DC3180" w:rsidRDefault="0093673A" w:rsidP="00D42D63">
            <w:pPr>
              <w:spacing w:before="40" w:after="40"/>
              <w:jc w:val="center"/>
              <w:rPr>
                <w:rFonts w:ascii="Arial" w:hAnsi="Arial"/>
                <w:b/>
                <w:bCs/>
              </w:rPr>
            </w:pPr>
            <w:r>
              <w:rPr>
                <w:rFonts w:ascii="Arial" w:hAnsi="Arial" w:cs="Arial"/>
              </w:rPr>
              <w:t>5</w:t>
            </w:r>
          </w:p>
        </w:tc>
        <w:tc>
          <w:tcPr>
            <w:tcW w:w="2821" w:type="dxa"/>
            <w:tcBorders>
              <w:bottom w:val="nil"/>
            </w:tcBorders>
          </w:tcPr>
          <w:p w14:paraId="46F3A5E8" w14:textId="77777777" w:rsidR="001B2624" w:rsidRPr="00DC3180" w:rsidRDefault="0093673A" w:rsidP="00D42D63">
            <w:pPr>
              <w:spacing w:before="40" w:after="40"/>
              <w:jc w:val="both"/>
              <w:rPr>
                <w:rFonts w:ascii="Arial" w:hAnsi="Arial" w:cs="Arial"/>
              </w:rPr>
            </w:pPr>
            <w:r w:rsidRPr="001B2624">
              <w:rPr>
                <w:rFonts w:ascii="Arial" w:hAnsi="Arial" w:cs="Arial"/>
              </w:rPr>
              <w:t>Research inputs, materials, processes, outputs, outcomes, stakeholders involved, networks, challenges and opportunities, role values and norms, contribution to food independence</w:t>
            </w:r>
          </w:p>
        </w:tc>
      </w:tr>
      <w:tr w:rsidR="00F41E9E" w14:paraId="7A1EA1B5" w14:textId="77777777" w:rsidTr="00D42D63">
        <w:trPr>
          <w:jc w:val="center"/>
        </w:trPr>
        <w:tc>
          <w:tcPr>
            <w:tcW w:w="1418" w:type="dxa"/>
            <w:tcBorders>
              <w:top w:val="nil"/>
              <w:bottom w:val="nil"/>
            </w:tcBorders>
          </w:tcPr>
          <w:p w14:paraId="3D657B9B" w14:textId="77777777" w:rsidR="00B864DD" w:rsidRPr="00DC3180" w:rsidRDefault="0093673A" w:rsidP="00D42D63">
            <w:pPr>
              <w:spacing w:before="40" w:after="40"/>
              <w:jc w:val="both"/>
              <w:rPr>
                <w:rFonts w:ascii="Arial" w:hAnsi="Arial" w:cs="Arial"/>
                <w:vanish/>
                <w:vertAlign w:val="superscript"/>
              </w:rPr>
            </w:pPr>
            <w:r>
              <w:rPr>
                <w:rFonts w:ascii="Arial" w:hAnsi="Arial" w:cs="Arial"/>
              </w:rPr>
              <w:t xml:space="preserve">Sub System Change </w:t>
            </w:r>
          </w:p>
          <w:p w14:paraId="7943C0AC" w14:textId="77777777" w:rsidR="00B864DD" w:rsidRPr="00DC3180" w:rsidRDefault="00B864DD" w:rsidP="00D42D63">
            <w:pPr>
              <w:spacing w:before="40" w:after="40"/>
              <w:jc w:val="both"/>
              <w:rPr>
                <w:rFonts w:ascii="Arial" w:hAnsi="Arial" w:cs="Arial"/>
                <w:vanish/>
              </w:rPr>
            </w:pPr>
          </w:p>
          <w:p w14:paraId="37437EBF" w14:textId="77777777" w:rsidR="00B864DD" w:rsidRPr="00DC3180" w:rsidRDefault="00B864DD" w:rsidP="00D42D63">
            <w:pPr>
              <w:spacing w:before="40" w:after="40"/>
              <w:jc w:val="both"/>
              <w:rPr>
                <w:rFonts w:ascii="Arial" w:hAnsi="Arial" w:cs="Arial"/>
              </w:rPr>
            </w:pPr>
          </w:p>
        </w:tc>
        <w:tc>
          <w:tcPr>
            <w:tcW w:w="2474" w:type="dxa"/>
            <w:tcBorders>
              <w:top w:val="nil"/>
              <w:bottom w:val="nil"/>
            </w:tcBorders>
          </w:tcPr>
          <w:p w14:paraId="33622D65" w14:textId="77777777" w:rsidR="00B864DD" w:rsidRPr="00DC3180" w:rsidRDefault="0093673A" w:rsidP="00D42D63">
            <w:pPr>
              <w:spacing w:before="40" w:after="40"/>
              <w:jc w:val="both"/>
              <w:rPr>
                <w:rFonts w:ascii="Arial" w:hAnsi="Arial" w:cs="Arial"/>
              </w:rPr>
            </w:pPr>
            <w:r w:rsidRPr="00F07B01">
              <w:rPr>
                <w:rFonts w:ascii="Arial" w:hAnsi="Arial" w:cs="Arial"/>
              </w:rPr>
              <w:t>1 Head of UPTD, 1 Head of Human Resources and Extension Division, 2 Extension Coordinators, 3 Field Agricultural Extension Workers</w:t>
            </w:r>
          </w:p>
        </w:tc>
        <w:tc>
          <w:tcPr>
            <w:tcW w:w="1495" w:type="dxa"/>
            <w:tcBorders>
              <w:top w:val="nil"/>
              <w:bottom w:val="nil"/>
            </w:tcBorders>
          </w:tcPr>
          <w:p w14:paraId="58744485" w14:textId="77777777" w:rsidR="00B864DD" w:rsidRDefault="0093673A" w:rsidP="00D42D63">
            <w:pPr>
              <w:spacing w:before="40" w:after="40"/>
              <w:jc w:val="center"/>
              <w:rPr>
                <w:rFonts w:ascii="Arial" w:hAnsi="Arial" w:cs="Arial"/>
              </w:rPr>
            </w:pPr>
            <w:r>
              <w:rPr>
                <w:rFonts w:ascii="Arial" w:hAnsi="Arial" w:cs="Arial"/>
              </w:rPr>
              <w:t>7</w:t>
            </w:r>
          </w:p>
          <w:p w14:paraId="7F75916E" w14:textId="77777777" w:rsidR="00B864DD" w:rsidRPr="00DC3180" w:rsidRDefault="00B864DD" w:rsidP="00D42D63">
            <w:pPr>
              <w:spacing w:before="40" w:after="40"/>
              <w:jc w:val="center"/>
              <w:rPr>
                <w:rFonts w:ascii="Arial" w:hAnsi="Arial" w:cs="Arial"/>
                <w:vanish/>
              </w:rPr>
            </w:pPr>
          </w:p>
          <w:p w14:paraId="5C593779" w14:textId="77777777" w:rsidR="00B864DD" w:rsidRPr="00DC3180" w:rsidRDefault="00B864DD" w:rsidP="00D42D63">
            <w:pPr>
              <w:spacing w:before="40" w:after="40"/>
              <w:jc w:val="center"/>
              <w:rPr>
                <w:rFonts w:ascii="Arial" w:hAnsi="Arial"/>
              </w:rPr>
            </w:pPr>
          </w:p>
        </w:tc>
        <w:tc>
          <w:tcPr>
            <w:tcW w:w="2821" w:type="dxa"/>
            <w:tcBorders>
              <w:top w:val="nil"/>
              <w:bottom w:val="nil"/>
            </w:tcBorders>
          </w:tcPr>
          <w:p w14:paraId="65B20960" w14:textId="77777777" w:rsidR="00B864DD" w:rsidRPr="00DC3180" w:rsidRDefault="0093673A" w:rsidP="00D42D63">
            <w:pPr>
              <w:spacing w:before="40" w:after="40"/>
              <w:jc w:val="both"/>
              <w:rPr>
                <w:rFonts w:ascii="Arial" w:hAnsi="Arial" w:cs="Arial"/>
              </w:rPr>
            </w:pPr>
            <w:r w:rsidRPr="00B864DD">
              <w:rPr>
                <w:rFonts w:ascii="Arial" w:hAnsi="Arial" w:cs="Arial"/>
              </w:rPr>
              <w:t>Extension mechanisms, programs, materials, tools, competencies of extension workers, stakeholders involved, design of behavior change, contextual extension policies, role values and norms, and contribution to food independence</w:t>
            </w:r>
          </w:p>
        </w:tc>
      </w:tr>
      <w:tr w:rsidR="00F41E9E" w14:paraId="3A1C58AD" w14:textId="77777777" w:rsidTr="00D42D63">
        <w:trPr>
          <w:jc w:val="center"/>
        </w:trPr>
        <w:tc>
          <w:tcPr>
            <w:tcW w:w="1418" w:type="dxa"/>
            <w:tcBorders>
              <w:top w:val="nil"/>
              <w:bottom w:val="nil"/>
            </w:tcBorders>
          </w:tcPr>
          <w:p w14:paraId="042E83EF" w14:textId="77777777" w:rsidR="00B864DD" w:rsidRDefault="0093673A" w:rsidP="00D42D63">
            <w:pPr>
              <w:spacing w:before="40" w:after="40"/>
              <w:jc w:val="both"/>
              <w:rPr>
                <w:rFonts w:ascii="Arial" w:hAnsi="Arial" w:cs="Arial"/>
              </w:rPr>
            </w:pPr>
            <w:r>
              <w:rPr>
                <w:rFonts w:ascii="Arial" w:hAnsi="Arial" w:cs="Arial"/>
              </w:rPr>
              <w:t>Client Sub System</w:t>
            </w:r>
          </w:p>
        </w:tc>
        <w:tc>
          <w:tcPr>
            <w:tcW w:w="2474" w:type="dxa"/>
            <w:tcBorders>
              <w:top w:val="nil"/>
              <w:bottom w:val="nil"/>
            </w:tcBorders>
          </w:tcPr>
          <w:p w14:paraId="07881FF3" w14:textId="77777777" w:rsidR="00B864DD" w:rsidRPr="00F07B01" w:rsidRDefault="0093673A" w:rsidP="00D42D63">
            <w:pPr>
              <w:spacing w:before="40" w:after="40"/>
              <w:jc w:val="both"/>
              <w:rPr>
                <w:rFonts w:ascii="Arial" w:hAnsi="Arial" w:cs="Arial"/>
              </w:rPr>
            </w:pPr>
            <w:r w:rsidRPr="00B864DD">
              <w:rPr>
                <w:rFonts w:ascii="Arial" w:hAnsi="Arial" w:cs="Arial"/>
              </w:rPr>
              <w:t xml:space="preserve">2 experienced farmers (old farmers), 1 </w:t>
            </w:r>
            <w:proofErr w:type="spellStart"/>
            <w:r w:rsidRPr="00B864DD">
              <w:rPr>
                <w:rFonts w:ascii="Arial" w:hAnsi="Arial" w:cs="Arial"/>
              </w:rPr>
              <w:t>Gapoktan</w:t>
            </w:r>
            <w:proofErr w:type="spellEnd"/>
            <w:r w:rsidRPr="00B864DD">
              <w:rPr>
                <w:rFonts w:ascii="Arial" w:hAnsi="Arial" w:cs="Arial"/>
              </w:rPr>
              <w:t xml:space="preserve">, one successful farmer, one farmer under 5 years old, 3 </w:t>
            </w:r>
            <w:proofErr w:type="spellStart"/>
            <w:r w:rsidRPr="00B864DD">
              <w:rPr>
                <w:rFonts w:ascii="Arial" w:hAnsi="Arial" w:cs="Arial"/>
              </w:rPr>
              <w:t>Gapoktan</w:t>
            </w:r>
            <w:proofErr w:type="spellEnd"/>
            <w:r w:rsidRPr="00B864DD">
              <w:rPr>
                <w:rFonts w:ascii="Arial" w:hAnsi="Arial" w:cs="Arial"/>
              </w:rPr>
              <w:t xml:space="preserve"> members</w:t>
            </w:r>
          </w:p>
        </w:tc>
        <w:tc>
          <w:tcPr>
            <w:tcW w:w="1495" w:type="dxa"/>
            <w:tcBorders>
              <w:top w:val="nil"/>
              <w:bottom w:val="nil"/>
            </w:tcBorders>
          </w:tcPr>
          <w:p w14:paraId="0C3E62A1" w14:textId="77777777" w:rsidR="00B864DD" w:rsidRPr="00DC3180" w:rsidRDefault="0093673A" w:rsidP="00D42D63">
            <w:pPr>
              <w:spacing w:before="40" w:after="40"/>
              <w:jc w:val="center"/>
              <w:rPr>
                <w:rFonts w:ascii="Arial" w:hAnsi="Arial" w:cs="Arial"/>
              </w:rPr>
            </w:pPr>
            <w:r>
              <w:rPr>
                <w:rFonts w:ascii="Arial" w:hAnsi="Arial" w:cs="Arial"/>
              </w:rPr>
              <w:t>8</w:t>
            </w:r>
          </w:p>
        </w:tc>
        <w:tc>
          <w:tcPr>
            <w:tcW w:w="2821" w:type="dxa"/>
            <w:tcBorders>
              <w:top w:val="nil"/>
              <w:bottom w:val="nil"/>
            </w:tcBorders>
          </w:tcPr>
          <w:p w14:paraId="505A7A8D" w14:textId="77777777" w:rsidR="00B864DD" w:rsidRPr="00DC3180" w:rsidRDefault="0093673A" w:rsidP="00D42D63">
            <w:pPr>
              <w:spacing w:before="40" w:after="40"/>
              <w:jc w:val="both"/>
              <w:rPr>
                <w:rFonts w:ascii="Arial" w:hAnsi="Arial" w:cs="Arial"/>
              </w:rPr>
            </w:pPr>
            <w:r w:rsidRPr="00B864DD">
              <w:rPr>
                <w:rFonts w:ascii="Arial" w:hAnsi="Arial" w:cs="Arial"/>
              </w:rPr>
              <w:t xml:space="preserve">Commodities, farmer competence, farming methods, needs, root problems, design of desired behavior change, innovations used, government food programs implemented, expectations for researchers, extension workers, and the government, the value of farming, local wisdom, and contribution to local food sustainability </w:t>
            </w:r>
          </w:p>
        </w:tc>
      </w:tr>
      <w:tr w:rsidR="00F41E9E" w14:paraId="38F46F30" w14:textId="77777777" w:rsidTr="00D42D63">
        <w:trPr>
          <w:jc w:val="center"/>
        </w:trPr>
        <w:tc>
          <w:tcPr>
            <w:tcW w:w="1418" w:type="dxa"/>
            <w:tcBorders>
              <w:top w:val="nil"/>
              <w:bottom w:val="single" w:sz="4" w:space="0" w:color="auto"/>
            </w:tcBorders>
          </w:tcPr>
          <w:p w14:paraId="6C82BC70" w14:textId="77777777" w:rsidR="00D42D63" w:rsidRDefault="0093673A" w:rsidP="00D42D63">
            <w:pPr>
              <w:spacing w:before="40" w:after="40"/>
              <w:jc w:val="both"/>
              <w:rPr>
                <w:rFonts w:ascii="Arial" w:hAnsi="Arial" w:cs="Arial"/>
              </w:rPr>
            </w:pPr>
            <w:r>
              <w:rPr>
                <w:rFonts w:ascii="Arial" w:hAnsi="Arial" w:cs="Arial"/>
              </w:rPr>
              <w:t>Sub Supporting Systems</w:t>
            </w:r>
          </w:p>
        </w:tc>
        <w:tc>
          <w:tcPr>
            <w:tcW w:w="2474" w:type="dxa"/>
            <w:tcBorders>
              <w:top w:val="nil"/>
              <w:bottom w:val="single" w:sz="4" w:space="0" w:color="auto"/>
            </w:tcBorders>
          </w:tcPr>
          <w:p w14:paraId="6E83FB7D" w14:textId="77777777" w:rsidR="00D42D63" w:rsidRPr="00B864DD" w:rsidRDefault="0093673A" w:rsidP="00D42D63">
            <w:pPr>
              <w:pStyle w:val="Body"/>
              <w:spacing w:before="40" w:after="40"/>
              <w:rPr>
                <w:rFonts w:ascii="Arial" w:hAnsi="Arial" w:cs="Arial"/>
              </w:rPr>
            </w:pPr>
            <w:r w:rsidRPr="00D42D63">
              <w:rPr>
                <w:rFonts w:ascii="Arial" w:hAnsi="Arial" w:cs="Arial"/>
              </w:rPr>
              <w:t xml:space="preserve">1 Head of </w:t>
            </w:r>
            <w:proofErr w:type="spellStart"/>
            <w:r w:rsidRPr="00D42D63">
              <w:rPr>
                <w:rFonts w:ascii="Arial" w:hAnsi="Arial" w:cs="Arial"/>
              </w:rPr>
              <w:t>Bappeda</w:t>
            </w:r>
            <w:proofErr w:type="spellEnd"/>
            <w:r w:rsidRPr="00D42D63">
              <w:rPr>
                <w:rFonts w:ascii="Arial" w:hAnsi="Arial" w:cs="Arial"/>
              </w:rPr>
              <w:t>, 1 Head of Agriculture Service, 1 Head of Food Security Service, one private actor (Food entrepreneur)</w:t>
            </w:r>
          </w:p>
        </w:tc>
        <w:tc>
          <w:tcPr>
            <w:tcW w:w="1495" w:type="dxa"/>
            <w:tcBorders>
              <w:top w:val="nil"/>
              <w:bottom w:val="single" w:sz="4" w:space="0" w:color="auto"/>
            </w:tcBorders>
          </w:tcPr>
          <w:p w14:paraId="5853CC57" w14:textId="77777777" w:rsidR="00D42D63" w:rsidRDefault="0093673A" w:rsidP="00D42D63">
            <w:pPr>
              <w:spacing w:before="40" w:after="40"/>
              <w:jc w:val="center"/>
              <w:rPr>
                <w:rFonts w:ascii="Arial" w:hAnsi="Arial" w:cs="Arial"/>
              </w:rPr>
            </w:pPr>
            <w:r>
              <w:rPr>
                <w:rFonts w:ascii="Arial" w:hAnsi="Arial" w:cs="Arial"/>
              </w:rPr>
              <w:t>4</w:t>
            </w:r>
          </w:p>
        </w:tc>
        <w:tc>
          <w:tcPr>
            <w:tcW w:w="2821" w:type="dxa"/>
            <w:tcBorders>
              <w:top w:val="nil"/>
              <w:bottom w:val="single" w:sz="4" w:space="0" w:color="auto"/>
            </w:tcBorders>
          </w:tcPr>
          <w:p w14:paraId="21D30F08" w14:textId="77777777" w:rsidR="00D42D63" w:rsidRPr="00B864DD" w:rsidRDefault="0093673A" w:rsidP="00D42D63">
            <w:pPr>
              <w:spacing w:before="40" w:after="40"/>
              <w:jc w:val="both"/>
              <w:rPr>
                <w:rFonts w:ascii="Arial" w:hAnsi="Arial" w:cs="Arial"/>
              </w:rPr>
            </w:pPr>
            <w:r w:rsidRPr="00D42D63">
              <w:rPr>
                <w:rFonts w:ascii="Arial" w:hAnsi="Arial" w:cs="Arial"/>
              </w:rPr>
              <w:t>Regional food policy, policy selection considerations, the role of the private sector for local food, interaction with researchers, extension workers, and farmers, and contribution to food independence</w:t>
            </w:r>
          </w:p>
        </w:tc>
      </w:tr>
    </w:tbl>
    <w:p w14:paraId="145A50A4" w14:textId="77777777" w:rsidR="00F0577F" w:rsidRDefault="0093673A" w:rsidP="00F0577F">
      <w:pPr>
        <w:pStyle w:val="BodyText3"/>
        <w:tabs>
          <w:tab w:val="left" w:pos="1080"/>
        </w:tabs>
        <w:spacing w:after="0"/>
        <w:ind w:left="1080" w:hanging="1080"/>
        <w:jc w:val="both"/>
        <w:rPr>
          <w:rFonts w:ascii="Arial" w:hAnsi="Arial"/>
          <w:b/>
          <w:sz w:val="20"/>
          <w:szCs w:val="20"/>
        </w:rPr>
      </w:pPr>
      <w:r>
        <w:rPr>
          <w:rFonts w:ascii="Arial" w:hAnsi="Arial"/>
          <w:bCs/>
          <w:i/>
          <w:sz w:val="18"/>
        </w:rPr>
        <w:lastRenderedPageBreak/>
        <w:t>Source: Authors' work</w:t>
      </w:r>
    </w:p>
    <w:p w14:paraId="67D47300" w14:textId="77777777" w:rsidR="00CB2D7B" w:rsidRPr="007F0744" w:rsidRDefault="0093673A" w:rsidP="004B58D2">
      <w:pPr>
        <w:pStyle w:val="NormalWeb"/>
        <w:ind w:left="360"/>
        <w:jc w:val="both"/>
        <w:rPr>
          <w:rFonts w:ascii="Arial" w:hAnsi="Arial" w:cs="Arial"/>
          <w:sz w:val="20"/>
          <w:szCs w:val="20"/>
        </w:rPr>
      </w:pPr>
      <w:r w:rsidRPr="007F0744">
        <w:rPr>
          <w:rFonts w:ascii="Arial" w:hAnsi="Arial" w:cs="Arial"/>
          <w:sz w:val="20"/>
          <w:szCs w:val="20"/>
        </w:rPr>
        <w:t xml:space="preserve">The criteria for selecting informants are based on </w:t>
      </w:r>
      <w:r w:rsidRPr="007F0744">
        <w:rPr>
          <w:rStyle w:val="Strong"/>
          <w:rFonts w:ascii="Arial" w:hAnsi="Arial" w:cs="Arial"/>
          <w:b w:val="0"/>
          <w:bCs w:val="0"/>
          <w:sz w:val="20"/>
          <w:szCs w:val="20"/>
        </w:rPr>
        <w:t>experience, involvement in agricultural innovation, and representation of local food commodities</w:t>
      </w:r>
      <w:r w:rsidRPr="007F0744">
        <w:rPr>
          <w:rFonts w:ascii="Arial" w:hAnsi="Arial" w:cs="Arial"/>
          <w:b/>
          <w:bCs/>
          <w:sz w:val="20"/>
          <w:szCs w:val="20"/>
        </w:rPr>
        <w:t xml:space="preserve">. </w:t>
      </w:r>
      <w:r w:rsidRPr="007F0744">
        <w:rPr>
          <w:rFonts w:ascii="Arial" w:hAnsi="Arial" w:cs="Arial"/>
          <w:sz w:val="20"/>
          <w:szCs w:val="20"/>
        </w:rPr>
        <w:t xml:space="preserve">This selection ensures </w:t>
      </w:r>
      <w:r w:rsidRPr="007F0744">
        <w:rPr>
          <w:rStyle w:val="Strong"/>
          <w:rFonts w:ascii="Arial" w:hAnsi="Arial" w:cs="Arial"/>
          <w:b w:val="0"/>
          <w:bCs w:val="0"/>
          <w:sz w:val="20"/>
          <w:szCs w:val="20"/>
        </w:rPr>
        <w:t xml:space="preserve">triangulation of perspectives </w:t>
      </w:r>
      <w:r w:rsidRPr="007F0744">
        <w:rPr>
          <w:rFonts w:ascii="Arial" w:hAnsi="Arial" w:cs="Arial"/>
          <w:sz w:val="20"/>
          <w:szCs w:val="20"/>
        </w:rPr>
        <w:t>across subsystems, enabling a comprehensive understanding of system interactions and Effectiveness.</w:t>
      </w:r>
    </w:p>
    <w:p w14:paraId="5C4CB585" w14:textId="77777777" w:rsidR="00F26CC1" w:rsidRPr="002E086E" w:rsidRDefault="0093673A" w:rsidP="004B58D2">
      <w:pPr>
        <w:pStyle w:val="NormalWeb"/>
        <w:jc w:val="both"/>
        <w:rPr>
          <w:rFonts w:ascii="Arial" w:hAnsi="Arial" w:cs="Arial"/>
          <w:sz w:val="20"/>
          <w:szCs w:val="20"/>
        </w:rPr>
      </w:pPr>
      <w:r w:rsidRPr="002E086E">
        <w:rPr>
          <w:rStyle w:val="Strong"/>
          <w:rFonts w:ascii="Arial" w:hAnsi="Arial" w:cs="Arial"/>
          <w:sz w:val="20"/>
          <w:szCs w:val="20"/>
        </w:rPr>
        <w:t>2.4 Data Collection</w:t>
      </w:r>
    </w:p>
    <w:p w14:paraId="05DC8616" w14:textId="77777777" w:rsidR="00E92776" w:rsidRDefault="0093673A" w:rsidP="00E92776">
      <w:pPr>
        <w:pStyle w:val="NormalWeb"/>
        <w:jc w:val="both"/>
        <w:rPr>
          <w:rFonts w:ascii="Arial" w:hAnsi="Arial" w:cs="Arial"/>
          <w:sz w:val="20"/>
          <w:szCs w:val="20"/>
        </w:rPr>
      </w:pPr>
      <w:r w:rsidRPr="007F0744">
        <w:rPr>
          <w:rFonts w:ascii="Arial" w:hAnsi="Arial" w:cs="Arial"/>
          <w:sz w:val="20"/>
          <w:szCs w:val="20"/>
        </w:rPr>
        <w:t xml:space="preserve">Data is collected through a combination of techniques: </w:t>
      </w:r>
      <w:r w:rsidRPr="007F0744">
        <w:rPr>
          <w:rStyle w:val="Strong"/>
          <w:rFonts w:ascii="Arial" w:hAnsi="Arial" w:cs="Arial"/>
          <w:b w:val="0"/>
          <w:bCs w:val="0"/>
          <w:sz w:val="20"/>
          <w:szCs w:val="20"/>
        </w:rPr>
        <w:t xml:space="preserve">semi-structured in-depth interviews, </w:t>
      </w:r>
      <w:r w:rsidRPr="007F0744">
        <w:rPr>
          <w:rFonts w:ascii="Arial" w:hAnsi="Arial" w:cs="Arial"/>
          <w:sz w:val="20"/>
          <w:szCs w:val="20"/>
        </w:rPr>
        <w:t>Observation</w:t>
      </w:r>
      <w:r w:rsidRPr="007F0744">
        <w:rPr>
          <w:rStyle w:val="Strong"/>
          <w:rFonts w:ascii="Arial" w:hAnsi="Arial" w:cs="Arial"/>
          <w:b w:val="0"/>
          <w:bCs w:val="0"/>
          <w:sz w:val="20"/>
          <w:szCs w:val="20"/>
        </w:rPr>
        <w:t>, participatory</w:t>
      </w:r>
      <w:r w:rsidRPr="007F0744">
        <w:rPr>
          <w:rFonts w:ascii="Arial" w:hAnsi="Arial" w:cs="Arial"/>
          <w:sz w:val="20"/>
          <w:szCs w:val="20"/>
        </w:rPr>
        <w:t xml:space="preserve"> fieldwork, and </w:t>
      </w:r>
      <w:r w:rsidRPr="007F0744">
        <w:rPr>
          <w:rStyle w:val="Strong"/>
          <w:rFonts w:ascii="Arial" w:hAnsi="Arial" w:cs="Arial"/>
          <w:b w:val="0"/>
          <w:bCs w:val="0"/>
          <w:sz w:val="20"/>
          <w:szCs w:val="20"/>
        </w:rPr>
        <w:t xml:space="preserve">document analysis </w:t>
      </w:r>
      <w:r w:rsidRPr="007F0744">
        <w:rPr>
          <w:rStyle w:val="Strong"/>
          <w:rFonts w:ascii="Arial" w:hAnsi="Arial" w:cs="Arial"/>
          <w:b w:val="0"/>
          <w:bCs w:val="0"/>
          <w:sz w:val="20"/>
          <w:szCs w:val="20"/>
        </w:rPr>
        <w:fldChar w:fldCharType="begin" w:fldLock="1"/>
      </w:r>
      <w:r w:rsidR="00C426B7" w:rsidRPr="007F0744">
        <w:rPr>
          <w:rStyle w:val="Strong"/>
          <w:rFonts w:ascii="Arial" w:hAnsi="Arial" w:cs="Arial"/>
          <w:b w:val="0"/>
          <w:bCs w:val="0"/>
          <w:sz w:val="20"/>
          <w:szCs w:val="20"/>
        </w:rPr>
        <w:instrText>ADDIN CSL_CITATION {"citationItems":[{"id":"ITEM-1","itemData":{"author":[{"dropping-particle":"","family":"Yin","given":"R.K","non-dropping-particle":"","parse-names":false,"suffix":""}],"container-title":"Sage Publications","id":"ITEM-1","issued":{"date-parts":[["2014"]]},"title":"Case Study Research: Design and Methods (5th ed.)","type":"article-journal"},"uris":["http://www.mendeley.com/documents/?uuid=ddbcbb8f-c1f9-4716-bf9e-c0710e646b12"]}],"mendeley":{"formattedCitation":"(Yin, 2014)","plainTextFormattedCitation":"(Yin, 2014)","previouslyFormattedCitation":"(Yin, 2014)"},"properties":{"noteIndex":0},"schema":"https://github.com/citation-style-language/schema/raw/master/csl-citation.json"}</w:instrText>
      </w:r>
      <w:r w:rsidRPr="007F0744">
        <w:rPr>
          <w:rStyle w:val="Strong"/>
          <w:rFonts w:ascii="Arial" w:hAnsi="Arial" w:cs="Arial"/>
          <w:b w:val="0"/>
          <w:bCs w:val="0"/>
          <w:sz w:val="20"/>
          <w:szCs w:val="20"/>
        </w:rPr>
        <w:fldChar w:fldCharType="separate"/>
      </w:r>
      <w:r w:rsidR="00C426B7" w:rsidRPr="007F0744">
        <w:rPr>
          <w:rStyle w:val="Strong"/>
          <w:rFonts w:ascii="Arial" w:hAnsi="Arial" w:cs="Arial"/>
          <w:b w:val="0"/>
          <w:bCs w:val="0"/>
          <w:noProof/>
          <w:sz w:val="20"/>
          <w:szCs w:val="20"/>
        </w:rPr>
        <w:t>(Yin, 2014)</w:t>
      </w:r>
      <w:r w:rsidRPr="007F0744">
        <w:rPr>
          <w:rStyle w:val="Strong"/>
          <w:rFonts w:ascii="Arial" w:hAnsi="Arial" w:cs="Arial"/>
          <w:b w:val="0"/>
          <w:bCs w:val="0"/>
          <w:sz w:val="20"/>
          <w:szCs w:val="20"/>
        </w:rPr>
        <w:fldChar w:fldCharType="end"/>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interview process is carried out in several stages of the meeting to ensure </w:t>
      </w:r>
      <w:r w:rsidRPr="007F0744">
        <w:rPr>
          <w:rStyle w:val="Strong"/>
          <w:rFonts w:ascii="Arial" w:hAnsi="Arial" w:cs="Arial"/>
          <w:b w:val="0"/>
          <w:bCs w:val="0"/>
          <w:sz w:val="20"/>
          <w:szCs w:val="20"/>
        </w:rPr>
        <w:t>information triangulation, data validation, and information saturation</w:t>
      </w:r>
      <w:r w:rsidRPr="007F0744">
        <w:rPr>
          <w:rFonts w:ascii="Arial" w:hAnsi="Arial" w:cs="Arial"/>
          <w:sz w:val="20"/>
          <w:szCs w:val="20"/>
        </w:rPr>
        <w:t>. Each interview is recorded and transcribed for in-depth analysis.</w:t>
      </w:r>
    </w:p>
    <w:p w14:paraId="08733F27" w14:textId="77777777" w:rsidR="00052219" w:rsidRDefault="00052219" w:rsidP="00E92776">
      <w:pPr>
        <w:pStyle w:val="NormalWeb"/>
        <w:jc w:val="both"/>
        <w:rPr>
          <w:rFonts w:ascii="Arial" w:hAnsi="Arial" w:cs="Arial"/>
          <w:sz w:val="20"/>
          <w:szCs w:val="20"/>
        </w:rPr>
      </w:pPr>
    </w:p>
    <w:p w14:paraId="4589FAA4" w14:textId="6BC1D72C" w:rsidR="00052219" w:rsidRPr="00052219" w:rsidRDefault="00052219" w:rsidP="00E92776">
      <w:pPr>
        <w:pStyle w:val="NormalWeb"/>
        <w:jc w:val="both"/>
        <w:rPr>
          <w:rFonts w:ascii="Arial" w:hAnsi="Arial" w:cs="Arial"/>
          <w:b/>
          <w:bCs/>
          <w:sz w:val="20"/>
          <w:szCs w:val="20"/>
        </w:rPr>
      </w:pPr>
      <w:r w:rsidRPr="00052219">
        <w:rPr>
          <w:rFonts w:ascii="Arial" w:hAnsi="Arial" w:cs="Arial"/>
          <w:b/>
          <w:bCs/>
          <w:sz w:val="20"/>
          <w:szCs w:val="20"/>
        </w:rPr>
        <w:t>RESULTS &amp; DISCUSSION</w:t>
      </w:r>
    </w:p>
    <w:p w14:paraId="7810BA81" w14:textId="77777777" w:rsidR="00FC6B31" w:rsidRPr="002E086E" w:rsidRDefault="0093673A" w:rsidP="00FC6B31">
      <w:pPr>
        <w:pStyle w:val="Heading2"/>
        <w:rPr>
          <w:rFonts w:ascii="Arial" w:hAnsi="Arial" w:cs="Arial"/>
          <w:color w:val="auto"/>
          <w:sz w:val="20"/>
          <w:szCs w:val="20"/>
        </w:rPr>
      </w:pPr>
      <w:r w:rsidRPr="002E086E">
        <w:rPr>
          <w:rStyle w:val="Strong"/>
          <w:rFonts w:ascii="Arial" w:hAnsi="Arial" w:cs="Arial"/>
          <w:color w:val="auto"/>
          <w:sz w:val="20"/>
          <w:szCs w:val="20"/>
        </w:rPr>
        <w:t>2.5 Data and Process Analysis</w:t>
      </w:r>
    </w:p>
    <w:p w14:paraId="34CFCFC4" w14:textId="77777777" w:rsidR="00FC6B31" w:rsidRPr="007F0744" w:rsidRDefault="0093673A" w:rsidP="00E9661B">
      <w:pPr>
        <w:pStyle w:val="NormalWeb"/>
        <w:jc w:val="both"/>
        <w:rPr>
          <w:rFonts w:ascii="Arial" w:hAnsi="Arial" w:cs="Arial"/>
          <w:sz w:val="20"/>
          <w:szCs w:val="20"/>
        </w:rPr>
      </w:pPr>
      <w:r w:rsidRPr="007F0744">
        <w:rPr>
          <w:rFonts w:ascii="Arial" w:hAnsi="Arial" w:cs="Arial"/>
          <w:sz w:val="20"/>
          <w:szCs w:val="20"/>
        </w:rPr>
        <w:t xml:space="preserve">Data analysis was carried out using </w:t>
      </w:r>
      <w:r w:rsidRPr="007F0744">
        <w:rPr>
          <w:rStyle w:val="Strong"/>
          <w:rFonts w:ascii="Arial" w:hAnsi="Arial" w:cs="Arial"/>
          <w:b w:val="0"/>
          <w:bCs w:val="0"/>
          <w:sz w:val="20"/>
          <w:szCs w:val="20"/>
        </w:rPr>
        <w:t xml:space="preserve">theory-based thematic analysis </w:t>
      </w:r>
      <w:r w:rsidRPr="007F0744">
        <w:rPr>
          <w:rFonts w:ascii="Arial" w:hAnsi="Arial" w:cs="Arial"/>
          <w:sz w:val="20"/>
          <w:szCs w:val="20"/>
        </w:rPr>
        <w:t xml:space="preserve">within the </w:t>
      </w:r>
      <w:r w:rsidRPr="007F0744">
        <w:rPr>
          <w:rStyle w:val="Strong"/>
          <w:rFonts w:ascii="Arial" w:hAnsi="Arial" w:cs="Arial"/>
          <w:b w:val="0"/>
          <w:bCs w:val="0"/>
          <w:sz w:val="20"/>
          <w:szCs w:val="20"/>
        </w:rPr>
        <w:t xml:space="preserve">framework of AGIL Parsons </w:t>
      </w:r>
      <w:r w:rsidRPr="007F0744">
        <w:rPr>
          <w:rFonts w:ascii="Arial" w:hAnsi="Arial" w:cs="Arial"/>
          <w:sz w:val="20"/>
          <w:szCs w:val="20"/>
        </w:rPr>
        <w:t xml:space="preserve">to assess: (1) </w:t>
      </w:r>
      <w:r w:rsidRPr="007F0744">
        <w:rPr>
          <w:rStyle w:val="Strong"/>
          <w:rFonts w:ascii="Arial" w:hAnsi="Arial" w:cs="Arial"/>
          <w:sz w:val="20"/>
          <w:szCs w:val="20"/>
        </w:rPr>
        <w:t>Adaptation (A):</w:t>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ability of the system to adapt to the environment, farmers' needs, root problems and designs for increasing farmers' self-capacity, and policies; (2) </w:t>
      </w:r>
      <w:r w:rsidRPr="007F0744">
        <w:rPr>
          <w:rStyle w:val="Strong"/>
          <w:rFonts w:ascii="Arial" w:hAnsi="Arial" w:cs="Arial"/>
          <w:sz w:val="20"/>
          <w:szCs w:val="20"/>
        </w:rPr>
        <w:t xml:space="preserve">Goal attainment (G): </w:t>
      </w:r>
      <w:r w:rsidR="00E9661B" w:rsidRPr="007F0744">
        <w:rPr>
          <w:rFonts w:ascii="Arial" w:hAnsi="Arial" w:cs="Arial"/>
          <w:sz w:val="20"/>
          <w:szCs w:val="20"/>
        </w:rPr>
        <w:t xml:space="preserve">the ability to achieve the goals of the system in encouraging food independence; (3) </w:t>
      </w:r>
      <w:r w:rsidRPr="007F0744">
        <w:rPr>
          <w:rStyle w:val="Strong"/>
          <w:rFonts w:ascii="Arial" w:hAnsi="Arial" w:cs="Arial"/>
          <w:sz w:val="20"/>
          <w:szCs w:val="20"/>
        </w:rPr>
        <w:t xml:space="preserve">Integration (I): </w:t>
      </w:r>
      <w:r w:rsidRPr="007F0744">
        <w:rPr>
          <w:rFonts w:ascii="Arial" w:hAnsi="Arial" w:cs="Arial"/>
          <w:sz w:val="20"/>
          <w:szCs w:val="20"/>
        </w:rPr>
        <w:t xml:space="preserve">coordination and synergy between subsystems; </w:t>
      </w:r>
      <w:r w:rsidRPr="007F0744">
        <w:rPr>
          <w:rStyle w:val="Strong"/>
          <w:rFonts w:ascii="Arial" w:hAnsi="Arial" w:cs="Arial"/>
          <w:sz w:val="20"/>
          <w:szCs w:val="20"/>
        </w:rPr>
        <w:t xml:space="preserve">Latency (L): </w:t>
      </w:r>
      <w:r w:rsidRPr="007F0744">
        <w:rPr>
          <w:rFonts w:ascii="Arial" w:hAnsi="Arial" w:cs="Arial"/>
          <w:sz w:val="20"/>
          <w:szCs w:val="20"/>
        </w:rPr>
        <w:t>the maintenance of values, norms and motivations that support the sustainability of the system for food independence.</w:t>
      </w:r>
    </w:p>
    <w:p w14:paraId="23625112" w14:textId="77777777" w:rsidR="00FC6B31" w:rsidRPr="007F0744" w:rsidRDefault="0093673A" w:rsidP="00E9661B">
      <w:pPr>
        <w:pStyle w:val="NormalWeb"/>
        <w:jc w:val="both"/>
        <w:rPr>
          <w:rFonts w:ascii="Arial" w:hAnsi="Arial" w:cs="Arial"/>
          <w:sz w:val="20"/>
          <w:szCs w:val="20"/>
        </w:rPr>
      </w:pPr>
      <w:r w:rsidRPr="007F0744">
        <w:rPr>
          <w:rFonts w:ascii="Arial" w:hAnsi="Arial" w:cs="Arial"/>
          <w:sz w:val="20"/>
          <w:szCs w:val="20"/>
        </w:rPr>
        <w:t xml:space="preserve">The data analysis process was carried out using </w:t>
      </w:r>
      <w:r w:rsidRPr="007F0744">
        <w:rPr>
          <w:rStyle w:val="Strong"/>
          <w:rFonts w:ascii="Arial" w:hAnsi="Arial" w:cs="Arial"/>
          <w:b w:val="0"/>
          <w:bCs w:val="0"/>
          <w:sz w:val="20"/>
          <w:szCs w:val="20"/>
        </w:rPr>
        <w:t>the interactive model of Miles &amp; Huberman (1994),</w:t>
      </w:r>
      <w:r w:rsidRPr="007F0744">
        <w:rPr>
          <w:rFonts w:ascii="Arial" w:hAnsi="Arial" w:cs="Arial"/>
          <w:sz w:val="20"/>
          <w:szCs w:val="20"/>
        </w:rPr>
        <w:t xml:space="preserve"> which included: (1) </w:t>
      </w:r>
      <w:r w:rsidR="004E5377" w:rsidRPr="007F0744">
        <w:rPr>
          <w:rStyle w:val="Strong"/>
          <w:rFonts w:ascii="Arial" w:hAnsi="Arial" w:cs="Arial"/>
          <w:b w:val="0"/>
          <w:bCs w:val="0"/>
          <w:sz w:val="20"/>
          <w:szCs w:val="20"/>
        </w:rPr>
        <w:t xml:space="preserve">data reduction </w:t>
      </w:r>
      <w:r w:rsidRPr="007F0744">
        <w:rPr>
          <w:rFonts w:ascii="Arial" w:hAnsi="Arial" w:cs="Arial"/>
          <w:sz w:val="20"/>
          <w:szCs w:val="20"/>
        </w:rPr>
        <w:t xml:space="preserve">to filter relevant information; (2) </w:t>
      </w:r>
      <w:r w:rsidR="004E5377" w:rsidRPr="007F0744">
        <w:rPr>
          <w:rStyle w:val="Strong"/>
          <w:rFonts w:ascii="Arial" w:hAnsi="Arial" w:cs="Arial"/>
          <w:b w:val="0"/>
          <w:bCs w:val="0"/>
          <w:sz w:val="20"/>
          <w:szCs w:val="20"/>
        </w:rPr>
        <w:t xml:space="preserve">presenting data </w:t>
      </w:r>
      <w:r w:rsidRPr="007F0744">
        <w:rPr>
          <w:rFonts w:ascii="Arial" w:hAnsi="Arial" w:cs="Arial"/>
          <w:sz w:val="20"/>
          <w:szCs w:val="20"/>
        </w:rPr>
        <w:t>through matrix and thematic tables to facilitate interpretation, and (3) drawing</w:t>
      </w:r>
      <w:r w:rsidRPr="007F0744">
        <w:rPr>
          <w:rStyle w:val="Strong"/>
          <w:rFonts w:ascii="Arial" w:hAnsi="Arial" w:cs="Arial"/>
          <w:b w:val="0"/>
          <w:bCs w:val="0"/>
          <w:sz w:val="20"/>
          <w:szCs w:val="20"/>
        </w:rPr>
        <w:t xml:space="preserve"> conclusions </w:t>
      </w:r>
      <w:r w:rsidRPr="007F0744">
        <w:rPr>
          <w:rFonts w:ascii="Arial" w:hAnsi="Arial" w:cs="Arial"/>
          <w:sz w:val="20"/>
          <w:szCs w:val="20"/>
        </w:rPr>
        <w:t>based on patterns and themes that emerge from the data.</w:t>
      </w:r>
    </w:p>
    <w:p w14:paraId="0DCCE23B" w14:textId="77777777" w:rsidR="004E5377" w:rsidRPr="004E2E83" w:rsidRDefault="0093673A" w:rsidP="004E5377">
      <w:pPr>
        <w:pStyle w:val="Heading2"/>
        <w:rPr>
          <w:rFonts w:ascii="Arial" w:hAnsi="Arial" w:cs="Arial"/>
          <w:color w:val="auto"/>
          <w:sz w:val="20"/>
          <w:szCs w:val="20"/>
        </w:rPr>
      </w:pPr>
      <w:r w:rsidRPr="004E2E83">
        <w:rPr>
          <w:rStyle w:val="Strong"/>
          <w:rFonts w:ascii="Arial" w:hAnsi="Arial" w:cs="Arial"/>
          <w:color w:val="auto"/>
          <w:sz w:val="20"/>
          <w:szCs w:val="20"/>
        </w:rPr>
        <w:t>2.6 Validity and Trustworthiness</w:t>
      </w:r>
    </w:p>
    <w:p w14:paraId="080F97E0" w14:textId="77777777" w:rsidR="004E5377" w:rsidRPr="004E2E83" w:rsidRDefault="0093673A" w:rsidP="004E5377">
      <w:pPr>
        <w:pStyle w:val="NormalWeb"/>
        <w:jc w:val="both"/>
        <w:rPr>
          <w:rFonts w:ascii="Arial" w:hAnsi="Arial" w:cs="Arial"/>
          <w:sz w:val="20"/>
          <w:szCs w:val="20"/>
        </w:rPr>
      </w:pPr>
      <w:r w:rsidRPr="004E2E83">
        <w:rPr>
          <w:rFonts w:ascii="Arial" w:hAnsi="Arial" w:cs="Arial"/>
          <w:sz w:val="20"/>
          <w:szCs w:val="20"/>
        </w:rPr>
        <w:t xml:space="preserve">To maintain the credibility and validity of the data, source </w:t>
      </w:r>
      <w:r w:rsidRPr="004E2E83">
        <w:rPr>
          <w:rFonts w:ascii="Arial" w:hAnsi="Arial" w:cs="Arial"/>
          <w:b/>
          <w:bCs/>
          <w:sz w:val="20"/>
          <w:szCs w:val="20"/>
        </w:rPr>
        <w:t xml:space="preserve">triangulation </w:t>
      </w:r>
      <w:r w:rsidRPr="004E2E83">
        <w:rPr>
          <w:rStyle w:val="Strong"/>
          <w:rFonts w:ascii="Arial" w:hAnsi="Arial" w:cs="Arial"/>
          <w:b w:val="0"/>
          <w:bCs w:val="0"/>
          <w:sz w:val="20"/>
          <w:szCs w:val="20"/>
        </w:rPr>
        <w:t xml:space="preserve">was carried out: </w:t>
      </w:r>
      <w:r w:rsidRPr="004E2E83">
        <w:rPr>
          <w:rFonts w:ascii="Arial" w:hAnsi="Arial" w:cs="Arial"/>
          <w:sz w:val="20"/>
          <w:szCs w:val="20"/>
        </w:rPr>
        <w:t xml:space="preserve">comparing data from the four extension subsystems; </w:t>
      </w:r>
      <w:r w:rsidRPr="004E2E83">
        <w:rPr>
          <w:rStyle w:val="Strong"/>
          <w:rFonts w:ascii="Arial" w:hAnsi="Arial" w:cs="Arial"/>
          <w:b w:val="0"/>
          <w:bCs w:val="0"/>
          <w:sz w:val="20"/>
          <w:szCs w:val="20"/>
        </w:rPr>
        <w:t xml:space="preserve">triangulation by </w:t>
      </w:r>
      <w:r w:rsidRPr="004E2E83">
        <w:rPr>
          <w:rFonts w:ascii="Arial" w:hAnsi="Arial" w:cs="Arial"/>
          <w:sz w:val="20"/>
          <w:szCs w:val="20"/>
        </w:rPr>
        <w:t xml:space="preserve">combining interviews, observations, and documents; and </w:t>
      </w:r>
      <w:r w:rsidRPr="004E2E83">
        <w:rPr>
          <w:rFonts w:ascii="Arial" w:hAnsi="Arial" w:cs="Arial"/>
          <w:b/>
          <w:bCs/>
          <w:sz w:val="20"/>
          <w:szCs w:val="20"/>
        </w:rPr>
        <w:t>member checking</w:t>
      </w:r>
      <w:r w:rsidRPr="004E2E83">
        <w:rPr>
          <w:rStyle w:val="Strong"/>
          <w:rFonts w:ascii="Arial" w:hAnsi="Arial" w:cs="Arial"/>
          <w:b w:val="0"/>
          <w:bCs w:val="0"/>
          <w:sz w:val="20"/>
          <w:szCs w:val="20"/>
        </w:rPr>
        <w:t xml:space="preserve">, which </w:t>
      </w:r>
      <w:r w:rsidRPr="004E2E83">
        <w:rPr>
          <w:rFonts w:ascii="Arial" w:hAnsi="Arial" w:cs="Arial"/>
          <w:sz w:val="20"/>
          <w:szCs w:val="20"/>
        </w:rPr>
        <w:t xml:space="preserve">verifies provisional findings with key informants. These steps are to ensure </w:t>
      </w:r>
      <w:r w:rsidRPr="004E2E83">
        <w:rPr>
          <w:rStyle w:val="Strong"/>
          <w:rFonts w:ascii="Arial" w:hAnsi="Arial" w:cs="Arial"/>
          <w:b w:val="0"/>
          <w:bCs w:val="0"/>
          <w:sz w:val="20"/>
          <w:szCs w:val="20"/>
        </w:rPr>
        <w:t>that the data is valid, credible, and accountable</w:t>
      </w:r>
      <w:r w:rsidRPr="004E2E83">
        <w:rPr>
          <w:rFonts w:ascii="Arial" w:hAnsi="Arial" w:cs="Arial"/>
          <w:sz w:val="20"/>
          <w:szCs w:val="20"/>
        </w:rPr>
        <w:t>.</w:t>
      </w:r>
    </w:p>
    <w:p w14:paraId="594226D1" w14:textId="77777777" w:rsidR="004105B5" w:rsidRPr="004105B5" w:rsidRDefault="0093673A" w:rsidP="004105B5">
      <w:pPr>
        <w:pStyle w:val="Heading2"/>
        <w:rPr>
          <w:rFonts w:ascii="Arial" w:hAnsi="Arial" w:cs="Arial"/>
          <w:color w:val="auto"/>
          <w:sz w:val="20"/>
          <w:szCs w:val="20"/>
        </w:rPr>
      </w:pPr>
      <w:r w:rsidRPr="004105B5">
        <w:rPr>
          <w:rStyle w:val="Strong"/>
          <w:rFonts w:ascii="Arial" w:hAnsi="Arial" w:cs="Arial"/>
          <w:color w:val="auto"/>
          <w:sz w:val="20"/>
          <w:szCs w:val="20"/>
        </w:rPr>
        <w:t>2.7 Research Flow Illustration</w:t>
      </w:r>
    </w:p>
    <w:p w14:paraId="59D813D7" w14:textId="77777777" w:rsidR="004105B5" w:rsidRDefault="0093673A" w:rsidP="00866B41">
      <w:pPr>
        <w:pStyle w:val="NormalWeb"/>
        <w:jc w:val="both"/>
      </w:pPr>
      <w:r w:rsidRPr="007F0744">
        <w:rPr>
          <w:rFonts w:ascii="Arial" w:hAnsi="Arial" w:cs="Arial"/>
          <w:noProof/>
          <w:sz w:val="20"/>
          <w:szCs w:val="20"/>
        </w:rPr>
        <w:drawing>
          <wp:anchor distT="0" distB="0" distL="114300" distR="114300" simplePos="0" relativeHeight="251658240" behindDoc="0" locked="0" layoutInCell="1" allowOverlap="1" wp14:anchorId="3297813E" wp14:editId="794607BA">
            <wp:simplePos x="0" y="0"/>
            <wp:positionH relativeFrom="column">
              <wp:posOffset>5715</wp:posOffset>
            </wp:positionH>
            <wp:positionV relativeFrom="paragraph">
              <wp:posOffset>798195</wp:posOffset>
            </wp:positionV>
            <wp:extent cx="5731510" cy="36747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674745"/>
                    </a:xfrm>
                    <a:prstGeom prst="rect">
                      <a:avLst/>
                    </a:prstGeom>
                  </pic:spPr>
                </pic:pic>
              </a:graphicData>
            </a:graphic>
            <wp14:sizeRelH relativeFrom="page">
              <wp14:pctWidth>0</wp14:pctWidth>
            </wp14:sizeRelH>
            <wp14:sizeRelV relativeFrom="page">
              <wp14:pctHeight>0</wp14:pctHeight>
            </wp14:sizeRelV>
          </wp:anchor>
        </w:drawing>
      </w:r>
      <w:r w:rsidRPr="007F0744">
        <w:rPr>
          <w:rFonts w:ascii="Arial" w:hAnsi="Arial" w:cs="Arial"/>
          <w:sz w:val="20"/>
          <w:szCs w:val="20"/>
        </w:rPr>
        <w:t xml:space="preserve">In full, the research's working mechanism is illustrated in </w:t>
      </w:r>
      <w:r w:rsidRPr="007F0744">
        <w:rPr>
          <w:rStyle w:val="Strong"/>
          <w:rFonts w:ascii="Arial" w:hAnsi="Arial" w:cs="Arial"/>
          <w:b w:val="0"/>
          <w:bCs w:val="0"/>
          <w:sz w:val="20"/>
          <w:szCs w:val="20"/>
        </w:rPr>
        <w:t>Figure 1</w:t>
      </w:r>
      <w:r w:rsidRPr="007F0744">
        <w:rPr>
          <w:rFonts w:ascii="Arial" w:hAnsi="Arial" w:cs="Arial"/>
          <w:b/>
          <w:bCs/>
          <w:sz w:val="20"/>
          <w:szCs w:val="20"/>
        </w:rPr>
        <w:t>,</w:t>
      </w:r>
      <w:r w:rsidRPr="007F0744">
        <w:rPr>
          <w:rFonts w:ascii="Arial" w:hAnsi="Arial" w:cs="Arial"/>
          <w:sz w:val="20"/>
          <w:szCs w:val="20"/>
        </w:rPr>
        <w:t xml:space="preserve"> which shows the flow of data collection, AGIL-based thematic analysis, and the integration of findings across subsystems</w:t>
      </w:r>
      <w:r>
        <w:t>.</w:t>
      </w:r>
    </w:p>
    <w:p w14:paraId="517DF8DE" w14:textId="77777777" w:rsidR="00285F6C" w:rsidRDefault="00285F6C" w:rsidP="00E92776">
      <w:pPr>
        <w:pStyle w:val="NormalWeb"/>
        <w:jc w:val="both"/>
        <w:rPr>
          <w:rFonts w:ascii="Arial" w:hAnsi="Arial" w:cs="Arial"/>
        </w:rPr>
      </w:pPr>
    </w:p>
    <w:p w14:paraId="68C14DB7" w14:textId="77777777" w:rsidR="00285F6C" w:rsidRDefault="00285F6C" w:rsidP="00441B6F">
      <w:pPr>
        <w:pStyle w:val="Body"/>
        <w:spacing w:after="0"/>
        <w:rPr>
          <w:rFonts w:ascii="Arial" w:hAnsi="Arial" w:cs="Arial"/>
        </w:rPr>
      </w:pPr>
    </w:p>
    <w:p w14:paraId="5ACF42FD" w14:textId="77777777" w:rsidR="00285F6C" w:rsidRDefault="00285F6C" w:rsidP="00441B6F">
      <w:pPr>
        <w:pStyle w:val="Body"/>
        <w:spacing w:after="0"/>
        <w:rPr>
          <w:rFonts w:ascii="Arial" w:hAnsi="Arial" w:cs="Arial"/>
        </w:rPr>
      </w:pPr>
    </w:p>
    <w:p w14:paraId="5C49D81F" w14:textId="77777777" w:rsidR="00285F6C" w:rsidRDefault="00285F6C" w:rsidP="00441B6F">
      <w:pPr>
        <w:pStyle w:val="Body"/>
        <w:spacing w:after="0"/>
        <w:rPr>
          <w:rFonts w:ascii="Arial" w:hAnsi="Arial" w:cs="Arial"/>
        </w:rPr>
      </w:pPr>
    </w:p>
    <w:p w14:paraId="17F512E7" w14:textId="77777777" w:rsidR="00285F6C" w:rsidRDefault="00285F6C" w:rsidP="00441B6F">
      <w:pPr>
        <w:pStyle w:val="Body"/>
        <w:spacing w:after="0"/>
        <w:rPr>
          <w:rFonts w:ascii="Arial" w:hAnsi="Arial" w:cs="Arial"/>
        </w:rPr>
      </w:pPr>
    </w:p>
    <w:p w14:paraId="2FE2E223" w14:textId="77777777" w:rsidR="00285F6C" w:rsidRDefault="00285F6C" w:rsidP="00441B6F">
      <w:pPr>
        <w:pStyle w:val="Body"/>
        <w:spacing w:after="0"/>
        <w:rPr>
          <w:rFonts w:ascii="Arial" w:hAnsi="Arial" w:cs="Arial"/>
        </w:rPr>
      </w:pPr>
    </w:p>
    <w:p w14:paraId="2E0A37BA" w14:textId="77777777" w:rsidR="00285F6C" w:rsidRDefault="00285F6C" w:rsidP="00441B6F">
      <w:pPr>
        <w:pStyle w:val="Body"/>
        <w:spacing w:after="0"/>
        <w:rPr>
          <w:rFonts w:ascii="Arial" w:hAnsi="Arial" w:cs="Arial"/>
        </w:rPr>
      </w:pPr>
    </w:p>
    <w:p w14:paraId="59089A55" w14:textId="77777777" w:rsidR="00285F6C" w:rsidRPr="00FB3A86" w:rsidRDefault="00285F6C" w:rsidP="00441B6F">
      <w:pPr>
        <w:pStyle w:val="Body"/>
        <w:spacing w:after="0"/>
        <w:rPr>
          <w:rFonts w:ascii="Arial" w:hAnsi="Arial" w:cs="Arial"/>
        </w:rPr>
      </w:pPr>
    </w:p>
    <w:p w14:paraId="3A159ED3" w14:textId="77777777" w:rsidR="004105B5" w:rsidRDefault="004105B5" w:rsidP="00441B6F">
      <w:pPr>
        <w:pStyle w:val="Head1"/>
        <w:spacing w:after="0"/>
        <w:jc w:val="both"/>
        <w:rPr>
          <w:rFonts w:ascii="Arial" w:hAnsi="Arial" w:cs="Arial"/>
        </w:rPr>
      </w:pPr>
    </w:p>
    <w:p w14:paraId="6A7AC65D" w14:textId="77777777" w:rsidR="004105B5" w:rsidRDefault="004105B5" w:rsidP="00441B6F">
      <w:pPr>
        <w:pStyle w:val="Head1"/>
        <w:spacing w:after="0"/>
        <w:jc w:val="both"/>
        <w:rPr>
          <w:rFonts w:ascii="Arial" w:hAnsi="Arial" w:cs="Arial"/>
        </w:rPr>
      </w:pPr>
    </w:p>
    <w:p w14:paraId="0318C318" w14:textId="77777777" w:rsidR="004105B5" w:rsidRDefault="004105B5" w:rsidP="00441B6F">
      <w:pPr>
        <w:pStyle w:val="Head1"/>
        <w:spacing w:after="0"/>
        <w:jc w:val="both"/>
        <w:rPr>
          <w:rFonts w:ascii="Arial" w:hAnsi="Arial" w:cs="Arial"/>
        </w:rPr>
      </w:pPr>
    </w:p>
    <w:p w14:paraId="68011302" w14:textId="77777777" w:rsidR="004105B5" w:rsidRDefault="004105B5" w:rsidP="00441B6F">
      <w:pPr>
        <w:pStyle w:val="Head1"/>
        <w:spacing w:after="0"/>
        <w:jc w:val="both"/>
        <w:rPr>
          <w:rFonts w:ascii="Arial" w:hAnsi="Arial" w:cs="Arial"/>
        </w:rPr>
      </w:pPr>
    </w:p>
    <w:p w14:paraId="0C4322C7" w14:textId="77777777" w:rsidR="004105B5" w:rsidRDefault="004105B5" w:rsidP="00441B6F">
      <w:pPr>
        <w:pStyle w:val="Head1"/>
        <w:spacing w:after="0"/>
        <w:jc w:val="both"/>
        <w:rPr>
          <w:rFonts w:ascii="Arial" w:hAnsi="Arial" w:cs="Arial"/>
        </w:rPr>
      </w:pPr>
    </w:p>
    <w:p w14:paraId="0699D7C1" w14:textId="77777777" w:rsidR="004105B5" w:rsidRDefault="004105B5" w:rsidP="00441B6F">
      <w:pPr>
        <w:pStyle w:val="Head1"/>
        <w:spacing w:after="0"/>
        <w:jc w:val="both"/>
        <w:rPr>
          <w:rFonts w:ascii="Arial" w:hAnsi="Arial" w:cs="Arial"/>
        </w:rPr>
      </w:pPr>
    </w:p>
    <w:p w14:paraId="56F6C813" w14:textId="77777777" w:rsidR="004105B5" w:rsidRDefault="004105B5" w:rsidP="00441B6F">
      <w:pPr>
        <w:pStyle w:val="Head1"/>
        <w:spacing w:after="0"/>
        <w:jc w:val="both"/>
        <w:rPr>
          <w:rFonts w:ascii="Arial" w:hAnsi="Arial" w:cs="Arial"/>
        </w:rPr>
      </w:pPr>
    </w:p>
    <w:p w14:paraId="54666D3F" w14:textId="77777777" w:rsidR="004105B5" w:rsidRDefault="004105B5" w:rsidP="00441B6F">
      <w:pPr>
        <w:pStyle w:val="Head1"/>
        <w:spacing w:after="0"/>
        <w:jc w:val="both"/>
        <w:rPr>
          <w:rFonts w:ascii="Arial" w:hAnsi="Arial" w:cs="Arial"/>
        </w:rPr>
      </w:pPr>
    </w:p>
    <w:p w14:paraId="7879FCC0" w14:textId="77777777" w:rsidR="004105B5" w:rsidRDefault="004105B5" w:rsidP="00441B6F">
      <w:pPr>
        <w:pStyle w:val="Head1"/>
        <w:spacing w:after="0"/>
        <w:jc w:val="both"/>
        <w:rPr>
          <w:rFonts w:ascii="Arial" w:hAnsi="Arial" w:cs="Arial"/>
        </w:rPr>
      </w:pPr>
    </w:p>
    <w:p w14:paraId="7AE23D0B" w14:textId="77777777" w:rsidR="004105B5" w:rsidRDefault="004105B5" w:rsidP="00441B6F">
      <w:pPr>
        <w:pStyle w:val="Head1"/>
        <w:spacing w:after="0"/>
        <w:jc w:val="both"/>
        <w:rPr>
          <w:rFonts w:ascii="Arial" w:hAnsi="Arial" w:cs="Arial"/>
        </w:rPr>
      </w:pPr>
    </w:p>
    <w:p w14:paraId="544CD365" w14:textId="77777777" w:rsidR="004105B5" w:rsidRDefault="004105B5" w:rsidP="00441B6F">
      <w:pPr>
        <w:pStyle w:val="Head1"/>
        <w:spacing w:after="0"/>
        <w:jc w:val="both"/>
        <w:rPr>
          <w:rFonts w:ascii="Arial" w:hAnsi="Arial" w:cs="Arial"/>
        </w:rPr>
      </w:pPr>
    </w:p>
    <w:p w14:paraId="2256A209" w14:textId="77777777" w:rsidR="004105B5" w:rsidRDefault="004105B5" w:rsidP="00441B6F">
      <w:pPr>
        <w:pStyle w:val="Head1"/>
        <w:spacing w:after="0"/>
        <w:jc w:val="both"/>
        <w:rPr>
          <w:rFonts w:ascii="Arial" w:hAnsi="Arial" w:cs="Arial"/>
        </w:rPr>
      </w:pPr>
    </w:p>
    <w:p w14:paraId="7092ECA9" w14:textId="77777777" w:rsidR="00902823" w:rsidRDefault="0093673A" w:rsidP="00441B6F">
      <w:pPr>
        <w:pStyle w:val="Head1"/>
        <w:spacing w:after="0"/>
        <w:jc w:val="both"/>
        <w:rPr>
          <w:rFonts w:ascii="Arial" w:hAnsi="Arial" w:cs="Arial"/>
        </w:rPr>
      </w:pPr>
      <w:r>
        <w:rPr>
          <w:rFonts w:ascii="Arial" w:hAnsi="Arial" w:cs="Arial"/>
        </w:rPr>
        <w:t>3. results and discussion</w:t>
      </w:r>
    </w:p>
    <w:p w14:paraId="4F8E14D7" w14:textId="77777777" w:rsidR="00790ADA" w:rsidRPr="00FB3A86" w:rsidRDefault="00790ADA" w:rsidP="00441B6F">
      <w:pPr>
        <w:pStyle w:val="Head1"/>
        <w:spacing w:after="0"/>
        <w:jc w:val="both"/>
        <w:rPr>
          <w:rFonts w:ascii="Arial" w:hAnsi="Arial" w:cs="Arial"/>
        </w:rPr>
      </w:pPr>
    </w:p>
    <w:p w14:paraId="18C26947" w14:textId="77777777" w:rsidR="00632D3B" w:rsidRPr="00BC1D1A" w:rsidRDefault="0093673A" w:rsidP="00632D3B">
      <w:pPr>
        <w:jc w:val="center"/>
        <w:rPr>
          <w:rFonts w:ascii="Arial" w:hAnsi="Arial" w:cs="Arial"/>
          <w:b/>
          <w:bCs/>
        </w:rPr>
      </w:pPr>
      <w:r w:rsidRPr="00BC1D1A">
        <w:rPr>
          <w:rFonts w:ascii="Arial" w:hAnsi="Arial" w:cs="Arial"/>
          <w:b/>
          <w:bCs/>
        </w:rPr>
        <w:t>Figure 1. Research Methodology Mechanism</w:t>
      </w:r>
    </w:p>
    <w:p w14:paraId="754D9538" w14:textId="77777777" w:rsidR="00632D3B" w:rsidRDefault="00632D3B" w:rsidP="004105B5">
      <w:pPr>
        <w:spacing w:after="120"/>
        <w:ind w:left="360"/>
        <w:jc w:val="both"/>
        <w:rPr>
          <w:rFonts w:ascii="Book Antiqua" w:hAnsi="Book Antiqua"/>
          <w:sz w:val="24"/>
          <w:szCs w:val="24"/>
        </w:rPr>
      </w:pPr>
    </w:p>
    <w:p w14:paraId="3C6269AC" w14:textId="77777777" w:rsidR="004105B5" w:rsidRPr="00632D3B" w:rsidRDefault="0093673A" w:rsidP="004105B5">
      <w:pPr>
        <w:spacing w:after="120"/>
        <w:ind w:left="360"/>
        <w:jc w:val="both"/>
        <w:rPr>
          <w:rFonts w:ascii="Arial" w:hAnsi="Arial" w:cs="Arial"/>
        </w:rPr>
      </w:pPr>
      <w:r w:rsidRPr="00632D3B">
        <w:rPr>
          <w:rFonts w:ascii="Arial" w:hAnsi="Arial" w:cs="Arial"/>
        </w:rPr>
        <w:t xml:space="preserve">AGIL's analysis shows that the agricultural extension system in North Buton </w:t>
      </w:r>
      <w:r w:rsidRPr="00632D3B">
        <w:rPr>
          <w:rStyle w:val="Strong"/>
          <w:rFonts w:ascii="Arial" w:hAnsi="Arial" w:cs="Arial"/>
          <w:b w:val="0"/>
          <w:bCs w:val="0"/>
        </w:rPr>
        <w:t>operates in a state of functional imbalance</w:t>
      </w:r>
      <w:r w:rsidRPr="00632D3B">
        <w:rPr>
          <w:rFonts w:ascii="Arial" w:hAnsi="Arial" w:cs="Arial"/>
          <w:b/>
          <w:bCs/>
        </w:rPr>
        <w:t xml:space="preserve">. </w:t>
      </w:r>
      <w:r w:rsidRPr="00632D3B">
        <w:rPr>
          <w:rFonts w:ascii="Arial" w:hAnsi="Arial" w:cs="Arial"/>
        </w:rPr>
        <w:t>Weak adaptation and integration hinder the achievement of institutional goals, while the sustainability of the extension function is fully supported by value (latency) and personal motivation. The results of the study are summarized in Table 2.</w:t>
      </w:r>
    </w:p>
    <w:p w14:paraId="267CCDB8" w14:textId="77777777" w:rsidR="004105B5" w:rsidRPr="00BC1D1A" w:rsidRDefault="0093673A" w:rsidP="004105B5">
      <w:pPr>
        <w:spacing w:before="100" w:beforeAutospacing="1" w:after="100" w:afterAutospacing="1"/>
        <w:outlineLvl w:val="2"/>
        <w:rPr>
          <w:rFonts w:ascii="Arial" w:hAnsi="Arial" w:cs="Arial"/>
          <w:lang w:eastAsia="en-ID"/>
        </w:rPr>
      </w:pPr>
      <w:r w:rsidRPr="00BC1D1A">
        <w:rPr>
          <w:rStyle w:val="Strong"/>
          <w:rFonts w:ascii="Arial" w:hAnsi="Arial" w:cs="Arial"/>
        </w:rPr>
        <w:t>Table 2. Summary of Findings Based on AGIL Framework</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4"/>
        <w:gridCol w:w="2996"/>
        <w:gridCol w:w="1965"/>
        <w:gridCol w:w="2073"/>
      </w:tblGrid>
      <w:tr w:rsidR="00F41E9E" w14:paraId="7DEEDC5D" w14:textId="77777777" w:rsidTr="00272418">
        <w:trPr>
          <w:tblHeader/>
          <w:tblCellSpacing w:w="15" w:type="dxa"/>
        </w:trPr>
        <w:tc>
          <w:tcPr>
            <w:tcW w:w="0" w:type="auto"/>
            <w:hideMark/>
          </w:tcPr>
          <w:p w14:paraId="1CECC458"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AGIL Function</w:t>
            </w:r>
          </w:p>
        </w:tc>
        <w:tc>
          <w:tcPr>
            <w:tcW w:w="0" w:type="auto"/>
            <w:hideMark/>
          </w:tcPr>
          <w:p w14:paraId="423515CC"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Empirical Findings</w:t>
            </w:r>
          </w:p>
        </w:tc>
        <w:tc>
          <w:tcPr>
            <w:tcW w:w="0" w:type="auto"/>
            <w:hideMark/>
          </w:tcPr>
          <w:p w14:paraId="099204EF"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Strengths</w:t>
            </w:r>
          </w:p>
        </w:tc>
        <w:tc>
          <w:tcPr>
            <w:tcW w:w="0" w:type="auto"/>
            <w:hideMark/>
          </w:tcPr>
          <w:p w14:paraId="41D405CA"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Weaknesses</w:t>
            </w:r>
          </w:p>
        </w:tc>
      </w:tr>
      <w:tr w:rsidR="00F41E9E" w14:paraId="3D2943C5" w14:textId="77777777" w:rsidTr="00272418">
        <w:trPr>
          <w:tblCellSpacing w:w="15" w:type="dxa"/>
        </w:trPr>
        <w:tc>
          <w:tcPr>
            <w:tcW w:w="0" w:type="auto"/>
            <w:tcBorders>
              <w:top w:val="single" w:sz="4" w:space="0" w:color="auto"/>
              <w:bottom w:val="nil"/>
            </w:tcBorders>
            <w:hideMark/>
          </w:tcPr>
          <w:p w14:paraId="4F88CEA6"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Adaptation</w:t>
            </w:r>
          </w:p>
        </w:tc>
        <w:tc>
          <w:tcPr>
            <w:tcW w:w="0" w:type="auto"/>
            <w:tcBorders>
              <w:top w:val="single" w:sz="4" w:space="0" w:color="auto"/>
              <w:bottom w:val="nil"/>
            </w:tcBorders>
            <w:hideMark/>
          </w:tcPr>
          <w:p w14:paraId="4E6CA1AD"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Research leads to the diversification of local foods; extension workers and farmers adapt to compromises; Top-down regional policies are not appropriate to the local context.</w:t>
            </w:r>
          </w:p>
        </w:tc>
        <w:tc>
          <w:tcPr>
            <w:tcW w:w="0" w:type="auto"/>
            <w:tcBorders>
              <w:top w:val="single" w:sz="4" w:space="0" w:color="auto"/>
              <w:bottom w:val="nil"/>
            </w:tcBorders>
            <w:hideMark/>
          </w:tcPr>
          <w:p w14:paraId="38834EDA"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Flexibility of actors; Local Food Innovation Initiated by Researchers </w:t>
            </w:r>
          </w:p>
        </w:tc>
        <w:tc>
          <w:tcPr>
            <w:tcW w:w="0" w:type="auto"/>
            <w:tcBorders>
              <w:top w:val="single" w:sz="4" w:space="0" w:color="auto"/>
              <w:bottom w:val="nil"/>
            </w:tcBorders>
            <w:hideMark/>
          </w:tcPr>
          <w:p w14:paraId="2074D558"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Policies are not adaptive; ICT is still weak; minimal systemic support</w:t>
            </w:r>
          </w:p>
        </w:tc>
      </w:tr>
      <w:tr w:rsidR="00F41E9E" w14:paraId="36B7B063" w14:textId="77777777" w:rsidTr="00272418">
        <w:trPr>
          <w:tblCellSpacing w:w="15" w:type="dxa"/>
        </w:trPr>
        <w:tc>
          <w:tcPr>
            <w:tcW w:w="0" w:type="auto"/>
            <w:hideMark/>
          </w:tcPr>
          <w:p w14:paraId="7319BC3F"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Goal Attainment</w:t>
            </w:r>
          </w:p>
        </w:tc>
        <w:tc>
          <w:tcPr>
            <w:tcW w:w="0" w:type="auto"/>
            <w:hideMark/>
          </w:tcPr>
          <w:p w14:paraId="3D57BB5E"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Institutional objectives are not specific to food; individual actors drive goal achievement; Farmers maintain local commodities.</w:t>
            </w:r>
          </w:p>
        </w:tc>
        <w:tc>
          <w:tcPr>
            <w:tcW w:w="0" w:type="auto"/>
            <w:hideMark/>
          </w:tcPr>
          <w:p w14:paraId="69BBD00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High intrinsic motivation; Innovation is born from individuals</w:t>
            </w:r>
          </w:p>
        </w:tc>
        <w:tc>
          <w:tcPr>
            <w:tcW w:w="0" w:type="auto"/>
            <w:hideMark/>
          </w:tcPr>
          <w:p w14:paraId="65277B72"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The purpose of the institution is unclear; The role of extension workers is more administrative</w:t>
            </w:r>
          </w:p>
        </w:tc>
      </w:tr>
      <w:tr w:rsidR="00F41E9E" w14:paraId="5F70325B" w14:textId="77777777" w:rsidTr="00272418">
        <w:trPr>
          <w:tblCellSpacing w:w="15" w:type="dxa"/>
        </w:trPr>
        <w:tc>
          <w:tcPr>
            <w:tcW w:w="0" w:type="auto"/>
            <w:hideMark/>
          </w:tcPr>
          <w:p w14:paraId="3FF695FD"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Integration</w:t>
            </w:r>
          </w:p>
        </w:tc>
        <w:tc>
          <w:tcPr>
            <w:tcW w:w="0" w:type="auto"/>
            <w:hideMark/>
          </w:tcPr>
          <w:p w14:paraId="71E4E472"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Integration between subsystems is not systemic; informal relationships are more dominant; Strong Farmer Social Integration.</w:t>
            </w:r>
          </w:p>
        </w:tc>
        <w:tc>
          <w:tcPr>
            <w:tcW w:w="0" w:type="auto"/>
            <w:hideMark/>
          </w:tcPr>
          <w:p w14:paraId="751CEBF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Moral values and commitment are the glue between actors, </w:t>
            </w:r>
          </w:p>
        </w:tc>
        <w:tc>
          <w:tcPr>
            <w:tcW w:w="0" w:type="auto"/>
            <w:hideMark/>
          </w:tcPr>
          <w:p w14:paraId="71944035"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Rigid bureaucracy; weak formal coordination; Research–</w:t>
            </w:r>
            <w:r w:rsidRPr="00BC1D1A">
              <w:rPr>
                <w:rFonts w:ascii="Arial" w:hAnsi="Arial" w:cs="Arial"/>
                <w:lang w:eastAsia="en-ID"/>
              </w:rPr>
              <w:lastRenderedPageBreak/>
              <w:t>Counseling–Policy Not Synchronized</w:t>
            </w:r>
          </w:p>
        </w:tc>
      </w:tr>
      <w:tr w:rsidR="00F41E9E" w14:paraId="370D5838" w14:textId="77777777" w:rsidTr="00272418">
        <w:trPr>
          <w:tblCellSpacing w:w="15" w:type="dxa"/>
        </w:trPr>
        <w:tc>
          <w:tcPr>
            <w:tcW w:w="0" w:type="auto"/>
            <w:hideMark/>
          </w:tcPr>
          <w:p w14:paraId="6E48A5B2"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lastRenderedPageBreak/>
              <w:t>Latency</w:t>
            </w:r>
          </w:p>
        </w:tc>
        <w:tc>
          <w:tcPr>
            <w:tcW w:w="0" w:type="auto"/>
            <w:hideMark/>
          </w:tcPr>
          <w:p w14:paraId="7409994B"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The values of integrity, spirituality, and social responsibility are the energy for stabilizing the system.</w:t>
            </w:r>
          </w:p>
        </w:tc>
        <w:tc>
          <w:tcPr>
            <w:tcW w:w="0" w:type="auto"/>
            <w:hideMark/>
          </w:tcPr>
          <w:p w14:paraId="2F4AC75C"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Instinctive motivation and strong local values, resilience built by local values</w:t>
            </w:r>
          </w:p>
        </w:tc>
        <w:tc>
          <w:tcPr>
            <w:tcW w:w="0" w:type="auto"/>
            <w:hideMark/>
          </w:tcPr>
          <w:p w14:paraId="62CEEAAA"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Not supported by the system; Depends on personal value</w:t>
            </w:r>
          </w:p>
        </w:tc>
      </w:tr>
    </w:tbl>
    <w:p w14:paraId="15FE3BBB" w14:textId="77777777" w:rsidR="004105B5" w:rsidRPr="00BC1D1A" w:rsidRDefault="0093673A" w:rsidP="004105B5">
      <w:pPr>
        <w:spacing w:line="360" w:lineRule="auto"/>
        <w:ind w:left="-76"/>
        <w:jc w:val="both"/>
        <w:rPr>
          <w:rFonts w:ascii="Arial" w:hAnsi="Arial" w:cs="Arial"/>
          <w:sz w:val="18"/>
          <w:szCs w:val="18"/>
          <w:lang w:eastAsia="en-ID"/>
        </w:rPr>
      </w:pPr>
      <w:bookmarkStart w:id="1" w:name="_Hlk214566896"/>
      <w:r w:rsidRPr="00BC1D1A">
        <w:rPr>
          <w:rFonts w:ascii="Arial" w:hAnsi="Arial" w:cs="Arial"/>
          <w:i/>
          <w:iCs/>
          <w:sz w:val="18"/>
          <w:szCs w:val="18"/>
        </w:rPr>
        <w:t xml:space="preserve">Source: </w:t>
      </w:r>
      <w:r w:rsidRPr="00BC1D1A">
        <w:rPr>
          <w:rFonts w:ascii="Arial" w:hAnsi="Arial" w:cs="Arial"/>
          <w:sz w:val="18"/>
          <w:szCs w:val="18"/>
        </w:rPr>
        <w:t>Author's work</w:t>
      </w:r>
    </w:p>
    <w:bookmarkEnd w:id="1"/>
    <w:p w14:paraId="5546312D" w14:textId="77777777" w:rsidR="00CD6B24" w:rsidRDefault="00CD6B24" w:rsidP="00E574D5">
      <w:pPr>
        <w:jc w:val="both"/>
        <w:rPr>
          <w:b/>
          <w:bCs/>
          <w:noProof/>
        </w:rPr>
      </w:pPr>
    </w:p>
    <w:p w14:paraId="00D966B0" w14:textId="77777777" w:rsidR="00E574D5" w:rsidRPr="00D037AA" w:rsidRDefault="0093673A" w:rsidP="00E574D5">
      <w:pPr>
        <w:jc w:val="both"/>
        <w:rPr>
          <w:rFonts w:ascii="Arial" w:hAnsi="Arial" w:cs="Arial"/>
          <w:b/>
          <w:bCs/>
          <w:noProof/>
        </w:rPr>
      </w:pPr>
      <w:r w:rsidRPr="00D037AA">
        <w:rPr>
          <w:rFonts w:ascii="Arial" w:hAnsi="Arial" w:cs="Arial"/>
          <w:b/>
          <w:bCs/>
          <w:noProof/>
        </w:rPr>
        <w:t>3.1. Adaptation Function</w:t>
      </w:r>
    </w:p>
    <w:p w14:paraId="2F453186" w14:textId="77777777" w:rsidR="00D037AA" w:rsidRDefault="00D037AA" w:rsidP="00CD6B24">
      <w:pPr>
        <w:ind w:left="-76"/>
        <w:jc w:val="both"/>
        <w:rPr>
          <w:rFonts w:ascii="Book Antiqua" w:hAnsi="Book Antiqua"/>
          <w:sz w:val="24"/>
          <w:szCs w:val="24"/>
        </w:rPr>
      </w:pPr>
    </w:p>
    <w:p w14:paraId="0C89B561" w14:textId="77777777" w:rsidR="00E574D5" w:rsidRPr="00D037AA" w:rsidRDefault="0093673A" w:rsidP="00CD6B24">
      <w:pPr>
        <w:ind w:left="-76"/>
        <w:jc w:val="both"/>
        <w:rPr>
          <w:rFonts w:ascii="Arial" w:hAnsi="Arial" w:cs="Arial"/>
        </w:rPr>
      </w:pPr>
      <w:r w:rsidRPr="00D037AA">
        <w:rPr>
          <w:rFonts w:ascii="Arial" w:hAnsi="Arial" w:cs="Arial"/>
        </w:rPr>
        <w:t xml:space="preserve">The research subsystem demonstrates adaptive capacity by adjusting its research theme to local food issues and regional policies. University researchers are investigating locally based food innovations, such as the diversification </w:t>
      </w:r>
      <w:r w:rsidRPr="00D037AA">
        <w:rPr>
          <w:rStyle w:val="Emphasis"/>
          <w:rFonts w:ascii="Arial" w:hAnsi="Arial" w:cs="Arial"/>
        </w:rPr>
        <w:t>of processed</w:t>
      </w:r>
      <w:r w:rsidRPr="00D037AA">
        <w:rPr>
          <w:rFonts w:ascii="Arial" w:hAnsi="Arial" w:cs="Arial"/>
        </w:rPr>
        <w:t xml:space="preserve"> foods and the development of processed </w:t>
      </w:r>
      <w:proofErr w:type="spellStart"/>
      <w:r w:rsidRPr="00D037AA">
        <w:rPr>
          <w:rStyle w:val="Emphasis"/>
          <w:rFonts w:ascii="Arial" w:hAnsi="Arial" w:cs="Arial"/>
        </w:rPr>
        <w:t>kaupi</w:t>
      </w:r>
      <w:proofErr w:type="spellEnd"/>
      <w:r w:rsidRPr="00D037AA">
        <w:rPr>
          <w:rStyle w:val="Emphasis"/>
          <w:rFonts w:ascii="Arial" w:hAnsi="Arial" w:cs="Arial"/>
        </w:rPr>
        <w:t xml:space="preserve"> </w:t>
      </w:r>
      <w:r w:rsidRPr="00D037AA">
        <w:rPr>
          <w:rFonts w:ascii="Arial" w:hAnsi="Arial" w:cs="Arial"/>
        </w:rPr>
        <w:t>with high nutritional value. Adaptation can also be seen in efforts to integrate information technology to expand access to research information, although these efforts remain limited.</w:t>
      </w:r>
    </w:p>
    <w:p w14:paraId="1A000519" w14:textId="77777777" w:rsidR="00D037AA" w:rsidRDefault="00D037AA" w:rsidP="00D037AA">
      <w:pPr>
        <w:ind w:left="-76"/>
        <w:jc w:val="both"/>
        <w:rPr>
          <w:rFonts w:ascii="Arial" w:hAnsi="Arial" w:cs="Arial"/>
        </w:rPr>
      </w:pPr>
    </w:p>
    <w:p w14:paraId="0DD04A6B" w14:textId="77777777" w:rsidR="00E574D5" w:rsidRPr="00D037AA" w:rsidRDefault="0093673A" w:rsidP="00D037AA">
      <w:pPr>
        <w:ind w:left="-76"/>
        <w:jc w:val="both"/>
        <w:rPr>
          <w:rFonts w:ascii="Arial" w:hAnsi="Arial" w:cs="Arial"/>
        </w:rPr>
      </w:pPr>
      <w:r w:rsidRPr="00D037AA">
        <w:rPr>
          <w:rFonts w:ascii="Arial" w:hAnsi="Arial" w:cs="Arial"/>
        </w:rPr>
        <w:t>At the regional policy level, adaptation has not been optimal. The extension program is still top-down, especially the policy of developing yellow corn for animal feed, which is not relevant to local food needs. Extension workers in the field make compromises while still supporting local commodities that farmers are trying to produce. Similarly, farmers continue to cultivate local crops they have been trying to grow, dividing the land into smaller plots to follow the government's directive to plant yellow corn. These compromise efforts are not supported systemically, thus reducing the Effectiveness of system adaptation.</w:t>
      </w:r>
    </w:p>
    <w:p w14:paraId="0AC39ACB" w14:textId="77777777" w:rsidR="00D037AA" w:rsidRDefault="00D037AA" w:rsidP="00D037AA">
      <w:pPr>
        <w:ind w:left="-76"/>
        <w:jc w:val="both"/>
        <w:rPr>
          <w:rFonts w:ascii="Arial" w:hAnsi="Arial" w:cs="Arial"/>
        </w:rPr>
      </w:pPr>
    </w:p>
    <w:p w14:paraId="0D160426" w14:textId="77777777" w:rsidR="00E574D5" w:rsidRPr="00D037AA" w:rsidRDefault="0093673A" w:rsidP="00D037AA">
      <w:pPr>
        <w:ind w:left="-76"/>
        <w:jc w:val="both"/>
        <w:rPr>
          <w:rFonts w:ascii="Arial" w:hAnsi="Arial" w:cs="Arial"/>
          <w:lang w:eastAsia="en-ID"/>
        </w:rPr>
      </w:pPr>
      <w:r w:rsidRPr="00D037AA">
        <w:rPr>
          <w:rFonts w:ascii="Arial" w:hAnsi="Arial" w:cs="Arial"/>
        </w:rPr>
        <w:t xml:space="preserve">The adaptation function shows that it is compromised and has not achieved optimal Effectiveness. Adaptation relies more on individuals' flexibility (researchers, extension workers, farmers) than on institutional support. Although there are efforts to support food independence through compromise-based adaptation efforts carried out by extension workers at the field level, it is recognized as a significant challenge to the Effectiveness of the extension system. Initiatives carried out by extension workers (individual adaptation) who lack systemic support hinder efforts to achieve food independence. This aligns with Alison's research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Sustainability","id":"ITEM-1","issue":"4","issued":{"date-parts":[["2022"]]},"page":"576-594","title":"Barriers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Tanzania","type":"article-journal","volume":"20"},"uris":["http://www.mendeley.com/documents/?uuid=53d71bd7-b600-4d9b-84a6-2ea32a3a0b16"]}],"mendeley":{"formattedCitation":"(Nord et al., 2022)","plainTextFormattedCitation":"(Nord et al., 2022)","previouslyFormattedCitation":"(Nord et al., 2022)"},"properties":{"noteIndex":0},"schema":"https://github.com/citation-style-language/schema/raw/master/csl-citation.json"}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(Nord et al., 2022)</w:t>
      </w:r>
      <w:r w:rsidRPr="00D037AA">
        <w:rPr>
          <w:rFonts w:ascii="Arial" w:hAnsi="Arial" w:cs="Arial"/>
          <w:lang w:eastAsia="en-ID"/>
        </w:rPr>
        <w:fldChar w:fldCharType="end"/>
      </w:r>
      <w:r w:rsidRPr="00D037AA">
        <w:rPr>
          <w:rFonts w:ascii="Arial" w:hAnsi="Arial" w:cs="Arial"/>
          <w:lang w:eastAsia="en-ID"/>
        </w:rPr>
        <w:t xml:space="preserve">, which confirms that, for the extension system to be more effective, it must attend to the recommendations of extension workers and to farmers' local practices. The novelty of this finding lies in the identification of the role of individual adaptation as the main motor of food independence, which is an opportunity for the problem of lack of institutional support, which results in weakening the system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{"citationItems":[{"id":"ITEM-1","itemData":{"DOI":"10.1007/978-981-15-2152-2_15","ISBN":"Online: 978-981-15-2152-2; Print: 978-981-15-2151-5","abstract":"Agricultural extension, though plays an important role in agricultural development, continues to be a neglected component of the agricultural knowledge and information system in Sri Lanka. Agricultural extension service in the food crop sector of Sri Lanka had been built-up over the years as an evolutionary process. Various extension approaches such as conventional technology transfer, training and visit, integrated agricultural extension, and block demonstration were implemented in this sector along with the introduction of information and communication technology interventions in the recent past. Similarly, different extension approaches were adopted over the years to suit the specific requirements of the main plantation crops, namely tea, rubber, and coconut as well as sugarcane and minor export agricultural crops. The livestock sector also has an island-wide extension service similar to the food crop sector. The agricultural extension services provided by the state departments are supplemented to a limited extent by the extension activities of the universities, private sector companies, nongovernment organizations, and international development agencies. The major challenges facing agricultural extension in Sri Lanka are (a) lack of a comprehensive national agricultural extension policy, (b) limited recognition of agricultural extension service at all levels, (c) poor linkages among research, extension, and other agri-support services, (d) shortage of competent extension professionals, and (e) inadequate research in extension.","author":[{"dropping-particle":"","family":"Sivayoganathan","given":"C.","non-dropping-particle":"","parse-names":false,"suffix":""}],"chapter-number":"First Onli","container-title":"Agricultural Research for Sustainable Food Systems in Sri Lanka","id":"ITEM-1","issued":{"date-parts":[["2020"]]},"page":"351-367","publisher":"Springer, Singapore","title":"Evolution of Agricultural Extension System in Sri Lanka","type":"chapter"},"uris":["http://www.mendeley.com/documents/?uuid=92d1b2a8-9030-42c2-9820-f4d76b8e442f"]},{"id":"ITEM-2","itemData":{"DOI":"10.4038/jas.v17i2.9740","ISSN":"23861363","abstract":"Purpose: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Egypt","type":"article-journal","volume":"17"},"uris":["http://www.mendeley.com/documents/?uuid=6851c97e-7cb4-4afd-832e-d2d0978eb63e"]}],"mendeley":{"formattedCitation":"(Mansour et al., 2022; Sivayoganathan, 2020)","plainTextFormattedCitation":"(Mansour et al., 2022; Sivayoganathan, 2020)","previouslyFormattedCitation":"(Mansour et al., 2022; Sivayoganathan, 2020)"},"properties":{"noteIndex":0},"schema":"https://github.com/citation-style-language/schema/raw/master/csl-citation.json"}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(Mansour et al., 2022; Sivayoganathan, 2020)</w:t>
      </w:r>
      <w:r w:rsidRPr="00D037AA">
        <w:rPr>
          <w:rFonts w:ascii="Arial" w:hAnsi="Arial" w:cs="Arial"/>
          <w:lang w:eastAsia="en-ID"/>
        </w:rPr>
        <w:fldChar w:fldCharType="end"/>
      </w:r>
      <w:r w:rsidRPr="00D037AA">
        <w:rPr>
          <w:rFonts w:ascii="Arial" w:hAnsi="Arial" w:cs="Arial"/>
          <w:lang w:eastAsia="en-ID"/>
        </w:rPr>
        <w:t xml:space="preserve">, as well as the basis for further studies to integrate individual adaptations into system operations. </w:t>
      </w:r>
    </w:p>
    <w:p w14:paraId="20A9EFF3" w14:textId="77777777" w:rsidR="00D037AA" w:rsidRDefault="00D037AA" w:rsidP="00D037AA">
      <w:pPr>
        <w:ind w:left="-76"/>
        <w:jc w:val="both"/>
        <w:rPr>
          <w:rFonts w:ascii="Arial" w:hAnsi="Arial" w:cs="Arial"/>
          <w:lang w:eastAsia="en-ID"/>
        </w:rPr>
      </w:pPr>
    </w:p>
    <w:p w14:paraId="3266F9B5" w14:textId="77777777" w:rsidR="00E574D5" w:rsidRPr="00D037AA" w:rsidRDefault="0093673A" w:rsidP="00D037AA">
      <w:pPr>
        <w:ind w:left="-76"/>
        <w:jc w:val="both"/>
        <w:rPr>
          <w:rFonts w:ascii="Arial" w:hAnsi="Arial" w:cs="Arial"/>
          <w:lang w:eastAsia="en-ID"/>
        </w:rPr>
      </w:pPr>
      <w:r>
        <w:rPr>
          <w:rFonts w:ascii="Arial" w:hAnsi="Arial" w:cs="Arial"/>
          <w:lang w:eastAsia="en-ID"/>
        </w:rPr>
        <w:t xml:space="preserve">However, these findings show that the extension system's adaptation remains </w:t>
      </w:r>
      <w:r w:rsidRPr="00D037AA">
        <w:rPr>
          <w:rStyle w:val="Strong"/>
          <w:rFonts w:ascii="Arial" w:hAnsi="Arial" w:cs="Arial"/>
          <w:b w:val="0"/>
          <w:bCs w:val="0"/>
        </w:rPr>
        <w:t>Reactive</w:t>
      </w:r>
      <w:r w:rsidRPr="00D037AA">
        <w:rPr>
          <w:rFonts w:ascii="Arial" w:hAnsi="Arial" w:cs="Arial"/>
          <w:b/>
          <w:bCs/>
        </w:rPr>
        <w:t xml:space="preserve">, </w:t>
      </w:r>
      <w:r w:rsidRPr="00D037AA">
        <w:rPr>
          <w:rFonts w:ascii="Arial" w:hAnsi="Arial" w:cs="Arial"/>
        </w:rPr>
        <w:t xml:space="preserve">not </w:t>
      </w:r>
      <w:r w:rsidRPr="00D037AA">
        <w:rPr>
          <w:rStyle w:val="Strong"/>
          <w:rFonts w:ascii="Arial" w:hAnsi="Arial" w:cs="Arial"/>
          <w:b w:val="0"/>
          <w:bCs w:val="0"/>
        </w:rPr>
        <w:t>Proactive</w:t>
      </w:r>
      <w:r w:rsidRPr="00D037AA">
        <w:rPr>
          <w:rFonts w:ascii="Arial" w:hAnsi="Arial" w:cs="Arial"/>
          <w:lang w:eastAsia="en-ID"/>
        </w:rPr>
        <w:t xml:space="preserve">, and has not achieved the Effectiveness of the adaptation function in realizing food independence in North Buton Regency. According to Parsons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id":"ITEM-2","itemData":{"author":[{"dropping-particle":"","family":"Parson","given":"Talcott","non-dropping-particle":"","parse-names":false,"suffix":""}],"id":"ITEM-2","issued":{"date-parts":[["1968"]]},"publisher":"Free Press","title":"The Structure of Social Action","type":"book"},"uris":["http://www.mendeley.com/documents/?uuid=f5d1bbb5-8d7c-4070-bc35-28c9d66cb64c"]}],"mendeley":{"formattedCitation":"(Parson, 1968; Parsons, 1951)","plainTextFormattedCitation":"(Parson, 1968; Parsons, 1951)","previouslyFormattedCitation":"(Parson, 1968; Parsons, 1951)"},"properties":{"noteIndex":0},"schema":"https://github.com/citation-style-language/schema/raw/master/csl-citation.json"}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(Parsons, 1968; Parsons, 1951)</w:t>
      </w:r>
      <w:r w:rsidRPr="00D037AA">
        <w:rPr>
          <w:rFonts w:ascii="Arial" w:hAnsi="Arial" w:cs="Arial"/>
          <w:lang w:eastAsia="en-ID"/>
        </w:rPr>
        <w:fldChar w:fldCharType="end"/>
      </w:r>
      <w:r w:rsidRPr="00D037AA">
        <w:rPr>
          <w:rFonts w:ascii="Arial" w:hAnsi="Arial" w:cs="Arial"/>
          <w:lang w:eastAsia="en-ID"/>
        </w:rPr>
        <w:t>, an adaptive system must balance external demands with internal needs. In this context, the flexibility of extension workers, researchers, and policy support based on local conditions is a determining factor in the Effectiveness of adaptation.</w:t>
      </w:r>
    </w:p>
    <w:p w14:paraId="33866E55" w14:textId="77777777" w:rsidR="00E574D5" w:rsidRPr="00D037AA" w:rsidRDefault="00E574D5" w:rsidP="00E574D5">
      <w:pPr>
        <w:jc w:val="both"/>
        <w:rPr>
          <w:rFonts w:ascii="Arial" w:hAnsi="Arial" w:cs="Arial"/>
        </w:rPr>
      </w:pPr>
    </w:p>
    <w:p w14:paraId="47437F58" w14:textId="77777777" w:rsidR="00E574D5" w:rsidRPr="00D037AA" w:rsidRDefault="0093673A" w:rsidP="00E574D5">
      <w:pPr>
        <w:jc w:val="both"/>
        <w:rPr>
          <w:rFonts w:ascii="Arial" w:hAnsi="Arial" w:cs="Arial"/>
          <w:b/>
          <w:bCs/>
        </w:rPr>
      </w:pPr>
      <w:r w:rsidRPr="00D037AA">
        <w:rPr>
          <w:rFonts w:ascii="Arial" w:hAnsi="Arial" w:cs="Arial"/>
          <w:b/>
          <w:bCs/>
        </w:rPr>
        <w:t>3.2. Goal Attainment Function</w:t>
      </w:r>
    </w:p>
    <w:p w14:paraId="0379279B" w14:textId="77777777" w:rsidR="00D037AA" w:rsidRDefault="00D037AA" w:rsidP="00D037AA">
      <w:pPr>
        <w:spacing w:after="120"/>
        <w:ind w:left="-76"/>
        <w:jc w:val="both"/>
        <w:rPr>
          <w:rFonts w:ascii="Arial" w:hAnsi="Arial" w:cs="Arial"/>
        </w:rPr>
      </w:pPr>
    </w:p>
    <w:p w14:paraId="59F10BD2" w14:textId="77777777" w:rsidR="00E574D5" w:rsidRPr="00D037AA" w:rsidRDefault="0093673A" w:rsidP="00D037AA">
      <w:pPr>
        <w:spacing w:after="120"/>
        <w:ind w:left="-76"/>
        <w:jc w:val="both"/>
        <w:rPr>
          <w:rFonts w:ascii="Arial" w:hAnsi="Arial" w:cs="Arial"/>
        </w:rPr>
      </w:pPr>
      <w:r w:rsidRPr="00D037AA">
        <w:rPr>
          <w:rFonts w:ascii="Arial" w:hAnsi="Arial" w:cs="Arial"/>
        </w:rPr>
        <w:lastRenderedPageBreak/>
        <w:t>Formally, the purpose of research and extension institutions is to improve farmers' welfare. However, operational objectives are more influenced by regional leaders' policies than by farmers' empirical needs. The achievement of goals is driven more by the individual motivations of researchers, farmers, and some extension workers than by institutional goals. The institutional objectives of LPPM or DRTPM do not specifically mention the direction of food independence, while FAO does not focus on local issues. Farmers have a strong motivation to maintain local production of commodities, even though this is contrary to government policies. Meanwhile, extension workers remain limited because administrative orientation is more dominant than substantive coaching for farmers.</w:t>
      </w:r>
    </w:p>
    <w:p w14:paraId="0F5F5F11" w14:textId="77777777" w:rsidR="00D037AA" w:rsidRDefault="00D037AA" w:rsidP="00D037AA">
      <w:pPr>
        <w:ind w:left="-76"/>
        <w:jc w:val="both"/>
        <w:rPr>
          <w:rFonts w:ascii="Arial" w:hAnsi="Arial" w:cs="Arial"/>
        </w:rPr>
      </w:pPr>
    </w:p>
    <w:p w14:paraId="58CED89B" w14:textId="77777777" w:rsidR="00E574D5" w:rsidRPr="00D037AA" w:rsidRDefault="0093673A" w:rsidP="00D037AA">
      <w:pPr>
        <w:ind w:left="-76"/>
        <w:jc w:val="both"/>
        <w:rPr>
          <w:rFonts w:ascii="Arial" w:hAnsi="Arial" w:cs="Arial"/>
          <w:lang w:eastAsia="en-ID"/>
        </w:rPr>
      </w:pPr>
      <w:r w:rsidRPr="00D037AA">
        <w:rPr>
          <w:rFonts w:ascii="Arial" w:hAnsi="Arial" w:cs="Arial"/>
        </w:rPr>
        <w:t xml:space="preserve">The achievement of goals is driven more by actors' intrinsic motivations (researchers, extension workers, and farmers) than by institutional mechanisms. These findings show a unique differentiation in roles, where personal contribution is more likely to determine outcomes than unclear institutional goals related to food. Strong instinctive motivation among farmers to continue cultivating local commodities, even though this is contrary to prevailing government policy, supports food independence, as stated by Chandra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(Prajapati et al., 2025)</w:t>
      </w:r>
      <w:r w:rsidRPr="00D037AA">
        <w:rPr>
          <w:rFonts w:ascii="Arial" w:hAnsi="Arial" w:cs="Arial"/>
          <w:lang w:eastAsia="en-ID"/>
        </w:rPr>
        <w:fldChar w:fldCharType="end"/>
      </w:r>
      <w:r w:rsidRPr="00D037AA">
        <w:rPr>
          <w:rFonts w:ascii="Arial" w:hAnsi="Arial" w:cs="Arial"/>
          <w:lang w:eastAsia="en-ID"/>
        </w:rPr>
        <w:t xml:space="preserve">, who argues that farmers' active participation determines agricultural sustainability for food independence. A new contribution of this study is the emphasis on the role of individual motivation as a determinant of food independence, even in weak institutional contexts, a perspective rarely analyzed in previous studies </w:t>
      </w:r>
      <w:r w:rsidRPr="00D037AA">
        <w:rPr>
          <w:rFonts w:ascii="Arial" w:hAnsi="Arial" w:cs="Arial"/>
        </w:rPr>
        <w:fldChar w:fldCharType="begin" w:fldLock="1"/>
      </w:r>
      <w:r w:rsidR="00C426B7">
        <w:rPr>
          <w:rFonts w:ascii="Arial" w:hAnsi="Arial" w:cs="Arial"/>
        </w:rPr>
        <w:instrText>ADDIN CSL_CITATION {"citationItems":[{"id":"ITEM-1","itemData":{"ISBN":"9786056581465","abstract":"Mango which is also known as king of fruits in the country is the second largest growing fruit after citrus in Pakistan. Although mango is being grown in more than hundred countries but none of them is comparable to Pakistani mango which is famous for its unique taste all over the world. Pakistan’s per hectare production is much lower than its potential. The purpose of this study was to assess those factors which are preventing mango growers from getting its potential yield. For this major mango producing area Muzzaffargarh was selected. The 110 randomly selected farmers were interviewed with welldesigned questionnaire. The mango growers were divided into three categories on the basis of land holding. The Cobb-Douglas model was used to assess the effect of different factors on the productivity. The education level and age of large farmers was found highest among small and medium farmers. Large farmers were enjoying significant high profit per acre with US $ 519.58 as compare to medium farmers (US$ 454.15) and small farmers (US $ 395.10). The independent variables were explaining almost 89 percent variation in productivity of mango. The significant positive effect of orchard experience, access to extension services, quantity of NPK, quantity of pesticides and labour cost was found. The age and intercropping practices in mango orchard had a significant negative effect on mango production. Credit facilities must be made available at lower interest rate and the range of extension services must be enhanced to increase the productivity of mango.","author":[{"dropping-particle":"","family":"Behceci","given":"Melike","non-dropping-particle":"","parse-names":false,"suffix":""}],"container-title":"International Conference on Food and Agricultural Economics","id":"ITEM-1","issue":"April","issued":{"date-parts":[["2018"]]},"page":"134-140","title":"Participatory Aproaches and Develompments","type":"article-journal"},"uris":["http://www.mendeley.com/documents/?uuid=508f1869-c088-4fbc-be7e-a4a470c66b61"]},{"id":"ITEM-2","itemData":{"DOI":"10.3390/su16167068","ISSN":"20711050","abstract":"The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Review","type":"article-journal","volume":"16"},"uris":["http://www.mendeley.com/documents/?uuid=9e8f601b-de15-45f2-bf24-816ce4d75f36"]},{"id":"ITEM-3","itemData":{"ISSN":"10770755","abstract":"This paper describes the role of agricultural extension in sub-Saharan Africa, and gives a typology for types of extension, which includes the basic forms of public top-down, participatory, and private. An overview of the evidence base for successes or failures of various models is given, which shows that evidence has been mixed on some of the major extension models in SSA, and that it is difficult to show impact for extension. There is also a lack of evidence on some of the newer models, extension reforms, and pluralistic models that involve many different extension providers. In general, though, problems in extension systems were due to a combination of a lack of relevant technology, failure by research and extension to understand and involve clientele in problem definition and solving, lack of incentives for extension agents, and weak linkages between extension, research, and farmers. The current status of extension in various sub-Saharan African countries is assessed, and new models are discussed. A framework for designing and analyzing extension systems is briefly described. Finally, future prospects for extension in sub-Saharan Africa are discussed.","author":[{"dropping-particle":"","family":"Davis","given":"Kristin E.","non-dropping-particle":"","parse-names":false,"suffix":""}],"container-title":"Journal of International Agricultural and Extension Education","id":"ITEM-3","issue":"3","issued":{"date-parts":[["2008"]]},"page":"15-28","title":"Extension in sub-saharan Africa: Overview and assessment of past and current models, and future prospects","type":"article-journal","volume":"15"},"uris":["http://www.mendeley.com/documents/?uuid=07b8f114-a3c1-47cf-b6a5-9abf20403baf"]}],"mendeley":{"formattedCitation":"(Behceci, 2018; Davis, 2008; Kountios et al., 2024)","plainTextFormattedCitation":"(Behceci, 2018; Davis, 2008; Kountios et al., 2024)","previouslyFormattedCitation":"(Behceci, 2018; Davis, 2008; Kountios et al., 2024)"},"properties":{"noteIndex":0},"schema":"https://github.com/citation-style-language/schema/raw/master/csl-citation.json"}</w:instrText>
      </w:r>
      <w:r w:rsidRPr="00D037AA">
        <w:rPr>
          <w:rFonts w:ascii="Arial" w:hAnsi="Arial" w:cs="Arial"/>
        </w:rPr>
        <w:fldChar w:fldCharType="separate"/>
      </w:r>
      <w:r w:rsidR="00C426B7" w:rsidRPr="00C426B7">
        <w:rPr>
          <w:rFonts w:ascii="Arial" w:hAnsi="Arial" w:cs="Arial"/>
          <w:noProof/>
        </w:rPr>
        <w:t>(Behceci, 2018; Davis, 2008; Kountios et al., 2024)</w:t>
      </w:r>
      <w:r w:rsidRPr="00D037AA">
        <w:rPr>
          <w:rFonts w:ascii="Arial" w:hAnsi="Arial" w:cs="Arial"/>
        </w:rPr>
        <w:fldChar w:fldCharType="end"/>
      </w:r>
      <w:r w:rsidRPr="00D037AA">
        <w:rPr>
          <w:rFonts w:ascii="Arial" w:hAnsi="Arial" w:cs="Arial"/>
        </w:rPr>
        <w:t>. This lays the groundwork for further study of harnessing these individual motivations to strengthen institutionalized systems.</w:t>
      </w:r>
    </w:p>
    <w:p w14:paraId="12588C73" w14:textId="77777777" w:rsidR="00D25EBA" w:rsidRDefault="00D25EBA" w:rsidP="00D25EBA">
      <w:pPr>
        <w:ind w:left="-76"/>
        <w:jc w:val="both"/>
        <w:rPr>
          <w:rFonts w:ascii="Arial" w:hAnsi="Arial" w:cs="Arial"/>
        </w:rPr>
      </w:pPr>
    </w:p>
    <w:p w14:paraId="6A10DEF5" w14:textId="77777777" w:rsidR="00E574D5" w:rsidRPr="00D037AA" w:rsidRDefault="0093673A" w:rsidP="00D25EBA">
      <w:pPr>
        <w:ind w:left="-76"/>
        <w:jc w:val="both"/>
        <w:rPr>
          <w:rFonts w:ascii="Arial" w:hAnsi="Arial" w:cs="Arial"/>
          <w:lang w:eastAsia="en-ID"/>
        </w:rPr>
      </w:pPr>
      <w:r w:rsidRPr="00D037AA">
        <w:rPr>
          <w:rFonts w:ascii="Arial" w:hAnsi="Arial" w:cs="Arial"/>
        </w:rPr>
        <w:t xml:space="preserve">However, if policy institutions do not support it, they can hinder the Effectiveness of the agricultural extension system </w:t>
      </w:r>
      <w:r w:rsidRPr="00D037AA">
        <w:rPr>
          <w:rFonts w:ascii="Arial" w:hAnsi="Arial" w:cs="Arial"/>
          <w:lang w:eastAsia="en-ID"/>
        </w:rPr>
        <w:fldChar w:fldCharType="begin" w:fldLock="1"/>
      </w:r>
      <w:r w:rsidR="00C426B7">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Systems","id":"ITEM-2","issue":"102673","issued":{"date-parts":[["2019"]]},"title":"Unpacking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Leone","type":"article-journal","volume":"176"},"uris":["http://www.mendeley.com/documents/?uuid=875703bf-727a-44b8-9454-2477418e2aa5"]},{"id":"ITEM-3","itemData":{"DOI":"10.1080/14735903.2021.1961416","ISSN":"1747762X","abstract":"Effective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Sustainability","id":"ITEM-3","issue":"4","issued":{"date-parts":[["2022"]]},"page":"576-594","title":"Barriers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Tanzania","type":"article-journal","volume":"20"},"uris":["http://www.mendeley.com/documents/?uuid=53d71bd7-b600-4d9b-84a6-2ea32a3a0b16"]}],"mendeley":{"formattedCitation":"(Kamara et al., 2019; Nord et al., 2022; Prajapati et al., 2025)","plainTextFormattedCitation":"(Kamara et al., 2019; Nord et al., 2022; Prajapati et al., 2025)","previouslyFormattedCitation":"(Kamara et al., 2019; Nord et al., 2022; Prajapati et al., 2025)"},"properties":{"noteIndex":0},"schema":"https://github.com/citation-style-language/schema/raw/master/csl-citation.json"}</w:instrText>
      </w:r>
      <w:r w:rsidRPr="00D037AA">
        <w:rPr>
          <w:rFonts w:ascii="Arial" w:hAnsi="Arial" w:cs="Arial"/>
          <w:lang w:eastAsia="en-ID"/>
        </w:rPr>
        <w:fldChar w:fldCharType="separate"/>
      </w:r>
      <w:r w:rsidR="00C426B7" w:rsidRPr="00C426B7">
        <w:rPr>
          <w:rFonts w:ascii="Arial" w:hAnsi="Arial" w:cs="Arial"/>
          <w:noProof/>
          <w:lang w:eastAsia="en-ID"/>
        </w:rPr>
        <w:t>(Kamara et al., 2019; Nord et al., 2022; Prajapati et al., 2025)</w:t>
      </w:r>
      <w:r w:rsidRPr="00D037AA">
        <w:rPr>
          <w:rFonts w:ascii="Arial" w:hAnsi="Arial" w:cs="Arial"/>
          <w:lang w:eastAsia="en-ID"/>
        </w:rPr>
        <w:fldChar w:fldCharType="end"/>
      </w:r>
      <w:r w:rsidRPr="00D037AA">
        <w:rPr>
          <w:rFonts w:ascii="Arial" w:hAnsi="Arial" w:cs="Arial"/>
          <w:lang w:eastAsia="en-ID"/>
        </w:rPr>
        <w:t xml:space="preserve">. In Parsons' framework, an effective system that achieves its goals is one in which subsystems are synergistic and interdependent. The condition in North Buton shows goal fragmentation, with weak institutions and strong actor motivation, leading to goal achievement but not sustainability at the systemic level, thereby directly affecting the system's Effectiveness in achieving its goals. These findings open up further research space on how to utilize </w:t>
      </w:r>
      <w:proofErr w:type="spellStart"/>
      <w:r w:rsidRPr="00D037AA">
        <w:rPr>
          <w:rFonts w:ascii="Arial" w:hAnsi="Arial" w:cs="Arial"/>
          <w:lang w:eastAsia="en-ID"/>
        </w:rPr>
        <w:t>instrix</w:t>
      </w:r>
      <w:proofErr w:type="spellEnd"/>
      <w:r w:rsidRPr="00D037AA">
        <w:rPr>
          <w:rFonts w:ascii="Arial" w:hAnsi="Arial" w:cs="Arial"/>
          <w:lang w:eastAsia="en-ID"/>
        </w:rPr>
        <w:t xml:space="preserve"> mobilization to increase system Effectiveness and reduce reliance on non-contextual policy challenges.</w:t>
      </w:r>
    </w:p>
    <w:p w14:paraId="24464C46" w14:textId="77777777" w:rsidR="00D25EBA" w:rsidRDefault="00D25EBA" w:rsidP="00D25EBA">
      <w:pPr>
        <w:ind w:left="-76"/>
        <w:jc w:val="both"/>
        <w:rPr>
          <w:rFonts w:ascii="Arial" w:hAnsi="Arial" w:cs="Arial"/>
          <w:lang w:eastAsia="en-ID"/>
        </w:rPr>
      </w:pPr>
    </w:p>
    <w:p w14:paraId="37E8E927" w14:textId="77777777" w:rsidR="00E574D5" w:rsidRPr="00D037AA" w:rsidRDefault="0093673A" w:rsidP="00D25EBA">
      <w:pPr>
        <w:ind w:left="-76"/>
        <w:jc w:val="both"/>
        <w:rPr>
          <w:rFonts w:ascii="Arial" w:hAnsi="Arial" w:cs="Arial"/>
          <w:b/>
          <w:bCs/>
          <w:lang w:eastAsia="en-ID"/>
        </w:rPr>
      </w:pPr>
      <w:r w:rsidRPr="00D037AA">
        <w:rPr>
          <w:rFonts w:ascii="Arial" w:hAnsi="Arial" w:cs="Arial"/>
          <w:lang w:eastAsia="en-ID"/>
        </w:rPr>
        <w:t xml:space="preserve">Furthermore, the limited human resources (HR) of extension workers are also an obstacle to achieving counseling goals. Most extension workers are still administratively oriented (simultaneous reporting) rather than substantive coaching to farmers. This condition weakens the system's drive toward true food self-sufficiency </w:t>
      </w:r>
      <w:r w:rsidRPr="00952A58">
        <w:rPr>
          <w:rFonts w:ascii="Arial" w:hAnsi="Arial" w:cs="Arial"/>
          <w:lang w:eastAsia="en-ID"/>
        </w:rPr>
        <w:fldChar w:fldCharType="begin" w:fldLock="1"/>
      </w:r>
      <w:r w:rsidR="00C426B7">
        <w:rPr>
          <w:rFonts w:ascii="Arial" w:hAnsi="Arial" w:cs="Arial"/>
          <w:lang w:eastAsia="en-ID"/>
        </w:rPr>
        <w:instrText>ADDIN CSL_CITATION {"citationItems":[{"id":"ITEM-1","itemData":{"DOI":"https://doi.org/10.1080/19460171.2019.1616212","abstract":"We present a context-sensitive perspective on participation in rural development, revolving around the reconstruction of unique sets of differences between rhetorics and realities. Using a theoretical frame inspired by the Evolutionary Governance Theory, we identify mechanisms of reinterpretation and delimitation of participation in the context of evolving rural governance. Through a detailed case study of the Ethiopian agricultural extension system, we observed that various path dependencies, interdependencies, and goal dependencies in the extension system but notably also in the embedding system of rural governance limit and shape farmers’ participation. It is argued that the precise difference between official state rhetoric and on-the-ground realities of participation become understandable through reconstruction of embedding governance paths, and that the difference is further defined by relating it to the way other key concepts in rural development are implemented: decentralization, self-governance, and agricultural extension itself. Mapping out these coevolving rhetorics and realities gives insights in real reform options, for extension in particular and rural governance in general. Our case findings show that despite numerous reforms in the agricultural extension system and a steady increase in the extension coverage with a huge number of extension workers (Development Agents), participatory approaches largely failed to meet farmers’ needs.","author":[{"dropping-particle":"","family":"Leta","given":"Gerba","non-dropping-particle":"","parse-names":false,"suffix":""},{"dropping-particle":"","family":"Kelboro","given":"Girma","non-dropping-particle":"","parse-names":false,"suffix":""},{"dropping-particle":"Van","family":"Assche","given":"Kristof","non-dropping-particle":"","parse-names":false,"suffix":""},{"dropping-particle":"","family":"Stellmacher","given":"Till","non-dropping-particle":"","parse-names":false,"suffix":""},{"dropping-particle":"","family":"Hornidge","given":"Anna-Katharina","non-dropping-particle":"","parse-names":false,"suffix":""}],"container-title":"Critical Policy Studies","id":"ITEM-1","issue":"4","issued":{"date-parts":[["2019"]]},"page":"388-407","title":"Rhetorics and realities of participation: the Ethiopian agricultural extension system and its participatory turns","type":"article-journal","volume":"14"},"uris":["http://www.mendeley.com/documents/?uuid=2e315437-a7ef-4b1e-8a9e-04602ea7a7fa"]}],"mendeley":{"formattedCitation":"(Leta et al., 2019)","plainTextFormattedCitation":"(Leta et al., 2019)","previouslyFormattedCitation":"(Leta et al., 2019)"},"properties":{"noteIndex":0},"schema":"https://github.com/citation-style-language/schema/raw/master/csl-citation.json"}</w:instrText>
      </w:r>
      <w:r w:rsidRPr="00952A58">
        <w:rPr>
          <w:rFonts w:ascii="Arial" w:hAnsi="Arial" w:cs="Arial"/>
          <w:lang w:eastAsia="en-ID"/>
        </w:rPr>
        <w:fldChar w:fldCharType="separate"/>
      </w:r>
      <w:r w:rsidR="00C426B7" w:rsidRPr="00C426B7">
        <w:rPr>
          <w:rFonts w:ascii="Arial" w:hAnsi="Arial" w:cs="Arial"/>
          <w:noProof/>
          <w:lang w:eastAsia="en-ID"/>
        </w:rPr>
        <w:t>(Leta et al., 2019)</w:t>
      </w:r>
      <w:r w:rsidRPr="00952A58">
        <w:rPr>
          <w:rFonts w:ascii="Arial" w:hAnsi="Arial" w:cs="Arial"/>
          <w:lang w:eastAsia="en-ID"/>
        </w:rPr>
        <w:fldChar w:fldCharType="end"/>
      </w:r>
      <w:r w:rsidRPr="00952A58">
        <w:rPr>
          <w:rFonts w:ascii="Arial" w:hAnsi="Arial" w:cs="Arial"/>
          <w:lang w:eastAsia="en-ID"/>
        </w:rPr>
        <w:t xml:space="preserve">. </w:t>
      </w:r>
      <w:r w:rsidRPr="00D037AA">
        <w:rPr>
          <w:rStyle w:val="Strong"/>
          <w:rFonts w:ascii="Arial" w:hAnsi="Arial" w:cs="Arial"/>
          <w:b w:val="0"/>
          <w:bCs w:val="0"/>
        </w:rPr>
        <w:t>This aspect highlights the novelty of the analysis in understanding the impact of extension administration orientation on the Effectiveness of the system, which has not been previously studied in depth.</w:t>
      </w:r>
    </w:p>
    <w:p w14:paraId="7D456132" w14:textId="77777777" w:rsidR="00E574D5" w:rsidRPr="00D037AA" w:rsidRDefault="00E574D5" w:rsidP="00E574D5">
      <w:pPr>
        <w:jc w:val="both"/>
        <w:rPr>
          <w:rFonts w:ascii="Arial" w:hAnsi="Arial" w:cs="Arial"/>
        </w:rPr>
      </w:pPr>
    </w:p>
    <w:p w14:paraId="69AEA7CF" w14:textId="77777777" w:rsidR="00E574D5" w:rsidRPr="00952A58" w:rsidRDefault="0093673A" w:rsidP="00E574D5">
      <w:pPr>
        <w:jc w:val="both"/>
        <w:rPr>
          <w:rFonts w:ascii="Arial" w:hAnsi="Arial" w:cs="Arial"/>
          <w:b/>
          <w:bCs/>
        </w:rPr>
      </w:pPr>
      <w:r w:rsidRPr="00952A58">
        <w:rPr>
          <w:rFonts w:ascii="Arial" w:hAnsi="Arial" w:cs="Arial"/>
          <w:b/>
          <w:bCs/>
        </w:rPr>
        <w:t>3.3. Integration Functions</w:t>
      </w:r>
    </w:p>
    <w:p w14:paraId="6C6898B9" w14:textId="77777777" w:rsidR="00952A58" w:rsidRDefault="00952A58" w:rsidP="00952A58">
      <w:pPr>
        <w:spacing w:after="120"/>
        <w:ind w:left="-76"/>
        <w:jc w:val="both"/>
        <w:rPr>
          <w:rFonts w:ascii="Arial" w:hAnsi="Arial" w:cs="Arial"/>
        </w:rPr>
      </w:pPr>
    </w:p>
    <w:p w14:paraId="03B7D9F6" w14:textId="77777777" w:rsidR="00E574D5" w:rsidRPr="00D037AA" w:rsidRDefault="0093673A" w:rsidP="00952A58">
      <w:pPr>
        <w:spacing w:after="120"/>
        <w:ind w:left="-76"/>
        <w:jc w:val="both"/>
        <w:rPr>
          <w:rFonts w:ascii="Arial" w:hAnsi="Arial" w:cs="Arial"/>
        </w:rPr>
      </w:pPr>
      <w:r w:rsidRPr="00D037AA">
        <w:rPr>
          <w:rFonts w:ascii="Arial" w:hAnsi="Arial" w:cs="Arial"/>
        </w:rPr>
        <w:t xml:space="preserve">The integration of the extension system in North Buton Regency tends to depend on interpersonal relationships rather than formal institutional mechanisms. The pattern of integration between subsystems has not been established systematically; horizontal communication between researchers and extension workers occurs through informal channels, while rigid bureaucratic procedures hamper vertical integration. At the community level, social cohesion among farmers is relatively strong, supported by the presence of farmer groups. However, this social capital has not been optimally utilized as an arena for learning, innovation, and knowledge exchange, as recommended in the participatory extension approach. In addition, local values include peasant culture, a sense of attachment to the village, cooperation, sincerity, commitment, and professional responsibility, functioning as a non-structural </w:t>
      </w:r>
      <w:r w:rsidRPr="00D037AA">
        <w:rPr>
          <w:rFonts w:ascii="Arial" w:hAnsi="Arial" w:cs="Arial"/>
        </w:rPr>
        <w:lastRenderedPageBreak/>
        <w:t>integrative mechanism that maintains the continuity of interaction between actors, even though it has not been institutionalized in the practice of a more formal extension system.</w:t>
      </w:r>
    </w:p>
    <w:p w14:paraId="3F316372" w14:textId="77777777" w:rsidR="006965F0" w:rsidRDefault="006965F0" w:rsidP="006965F0">
      <w:pPr>
        <w:spacing w:after="120"/>
        <w:ind w:left="-76"/>
        <w:jc w:val="both"/>
        <w:rPr>
          <w:rFonts w:ascii="Arial" w:hAnsi="Arial" w:cs="Arial"/>
        </w:rPr>
      </w:pPr>
    </w:p>
    <w:p w14:paraId="64C0E547" w14:textId="77777777" w:rsidR="00E574D5" w:rsidRPr="00D037AA" w:rsidRDefault="0093673A" w:rsidP="006965F0">
      <w:pPr>
        <w:spacing w:after="120"/>
        <w:ind w:left="-76"/>
        <w:jc w:val="both"/>
        <w:rPr>
          <w:rFonts w:ascii="Arial" w:hAnsi="Arial" w:cs="Arial"/>
          <w:color w:val="FF0000"/>
        </w:rPr>
      </w:pPr>
      <w:r w:rsidRPr="00D037AA">
        <w:rPr>
          <w:rFonts w:ascii="Arial" w:hAnsi="Arial" w:cs="Arial"/>
        </w:rPr>
        <w:t xml:space="preserve">The Integration function has not yet been built in a systemic form. Integration runs through informal mechanisms such as personal relationships or non-structured communication. Integration that relies on personal relationships is not enough to build systemic synergy. Stable integration requires rules, role coordination, and consistent information paths. Parsons (1951) emphasized that integration requires </w:t>
      </w:r>
      <w:r w:rsidRPr="00D037AA">
        <w:rPr>
          <w:rStyle w:val="Strong"/>
          <w:rFonts w:ascii="Arial" w:hAnsi="Arial" w:cs="Arial"/>
          <w:b w:val="0"/>
          <w:bCs w:val="0"/>
        </w:rPr>
        <w:t>the alignment of norms</w:t>
      </w:r>
      <w:r w:rsidRPr="00D037AA">
        <w:rPr>
          <w:rFonts w:ascii="Arial" w:hAnsi="Arial" w:cs="Arial"/>
          <w:b/>
          <w:bCs/>
        </w:rPr>
        <w:t xml:space="preserve">, </w:t>
      </w:r>
      <w:r w:rsidRPr="00D037AA">
        <w:rPr>
          <w:rStyle w:val="Strong"/>
          <w:rFonts w:ascii="Arial" w:hAnsi="Arial" w:cs="Arial"/>
          <w:b w:val="0"/>
          <w:bCs w:val="0"/>
        </w:rPr>
        <w:t>coordination of roles</w:t>
      </w:r>
      <w:r w:rsidRPr="00D037AA">
        <w:rPr>
          <w:rFonts w:ascii="Arial" w:hAnsi="Arial" w:cs="Arial"/>
          <w:b/>
          <w:bCs/>
        </w:rPr>
        <w:t xml:space="preserve">, </w:t>
      </w:r>
      <w:r w:rsidRPr="006965F0">
        <w:rPr>
          <w:rFonts w:ascii="Arial" w:hAnsi="Arial" w:cs="Arial"/>
        </w:rPr>
        <w:t xml:space="preserve">and </w:t>
      </w:r>
      <w:r w:rsidRPr="00D037AA">
        <w:rPr>
          <w:rStyle w:val="Strong"/>
          <w:rFonts w:ascii="Arial" w:hAnsi="Arial" w:cs="Arial"/>
          <w:b w:val="0"/>
          <w:bCs w:val="0"/>
        </w:rPr>
        <w:t>mechanisms of relationships between subsystems</w:t>
      </w:r>
      <w:r w:rsidRPr="00D037AA">
        <w:rPr>
          <w:rFonts w:ascii="Arial" w:hAnsi="Arial" w:cs="Arial"/>
          <w:b/>
          <w:bCs/>
        </w:rPr>
        <w:t xml:space="preserve">. </w:t>
      </w:r>
      <w:r w:rsidRPr="00D037AA">
        <w:rPr>
          <w:rFonts w:ascii="Arial" w:hAnsi="Arial" w:cs="Arial"/>
        </w:rPr>
        <w:t xml:space="preserve">The function of system integration rests on the moral norms of the actors, cooperation, sincerity, commitment, and professional responsibility, rather than structural mechanisms. The weak integration function is due to the dominance of top-down policies. To improve integration, the principle </w:t>
      </w:r>
      <w:r w:rsidRPr="00D037AA">
        <w:rPr>
          <w:rStyle w:val="Emphasis"/>
          <w:rFonts w:ascii="Arial" w:hAnsi="Arial" w:cs="Arial"/>
        </w:rPr>
        <w:t xml:space="preserve">of participatory extension </w:t>
      </w:r>
      <w:r w:rsidRPr="00D037AA">
        <w:rPr>
          <w:rFonts w:ascii="Arial" w:hAnsi="Arial" w:cs="Arial"/>
        </w:rPr>
        <w:t xml:space="preserve">should be adopted, with farmers involved in the planning, implementation, and evaluation of programs. This aligns with the recommendations of Prajapati et al. (2025) regarding the importance of actor participation in strengthening the system.  </w:t>
      </w:r>
    </w:p>
    <w:p w14:paraId="5728BEF7" w14:textId="77777777" w:rsidR="00E574D5" w:rsidRPr="00D037AA" w:rsidRDefault="00E574D5" w:rsidP="00E574D5">
      <w:pPr>
        <w:jc w:val="both"/>
        <w:rPr>
          <w:rFonts w:ascii="Arial" w:hAnsi="Arial" w:cs="Arial"/>
        </w:rPr>
      </w:pPr>
    </w:p>
    <w:p w14:paraId="5132F254" w14:textId="77777777" w:rsidR="00E574D5" w:rsidRPr="006965F0" w:rsidRDefault="0093673A" w:rsidP="00E574D5">
      <w:pPr>
        <w:jc w:val="both"/>
        <w:rPr>
          <w:rFonts w:ascii="Arial" w:hAnsi="Arial" w:cs="Arial"/>
          <w:b/>
          <w:bCs/>
        </w:rPr>
      </w:pPr>
      <w:r w:rsidRPr="006965F0">
        <w:rPr>
          <w:rFonts w:ascii="Arial" w:hAnsi="Arial" w:cs="Arial"/>
          <w:b/>
          <w:bCs/>
        </w:rPr>
        <w:t>3.4. Latency Function</w:t>
      </w:r>
    </w:p>
    <w:p w14:paraId="2A87703C" w14:textId="77777777" w:rsidR="006965F0" w:rsidRDefault="006965F0" w:rsidP="006965F0">
      <w:pPr>
        <w:ind w:left="-76"/>
        <w:jc w:val="both"/>
        <w:rPr>
          <w:rFonts w:ascii="Arial" w:hAnsi="Arial" w:cs="Arial"/>
        </w:rPr>
      </w:pPr>
    </w:p>
    <w:p w14:paraId="28E980F8" w14:textId="77777777" w:rsidR="00E574D5" w:rsidRPr="00D037AA" w:rsidRDefault="0093673A" w:rsidP="006965F0">
      <w:pPr>
        <w:ind w:left="-76"/>
        <w:jc w:val="both"/>
        <w:rPr>
          <w:rFonts w:ascii="Arial" w:hAnsi="Arial" w:cs="Arial"/>
        </w:rPr>
      </w:pPr>
      <w:r w:rsidRPr="00D037AA">
        <w:rPr>
          <w:rFonts w:ascii="Arial" w:hAnsi="Arial" w:cs="Arial"/>
        </w:rPr>
        <w:t>The values of integrity, morality, commitment to service, and local values (culture and spirituality) are the foundation for stabilizing the extension system. These values serve as a source of internal energy for researchers and extension workers to continue serving farmers, even though facilities are limited and policies are less relevant. When adaptation, integration, and institutional goals are not optimal, the latency function helps maintain the system's sustainability.</w:t>
      </w:r>
    </w:p>
    <w:p w14:paraId="21057566" w14:textId="77777777" w:rsidR="002D0BE7" w:rsidRDefault="002D0BE7" w:rsidP="002D0BE7">
      <w:pPr>
        <w:ind w:left="-76"/>
        <w:jc w:val="both"/>
        <w:rPr>
          <w:rFonts w:ascii="Arial" w:hAnsi="Arial" w:cs="Arial"/>
        </w:rPr>
      </w:pPr>
    </w:p>
    <w:p w14:paraId="69759295" w14:textId="77777777" w:rsidR="00E574D5" w:rsidRPr="00D037AA" w:rsidRDefault="0093673A" w:rsidP="002D0BE7">
      <w:pPr>
        <w:ind w:left="-76"/>
        <w:jc w:val="both"/>
        <w:rPr>
          <w:rFonts w:ascii="Arial" w:hAnsi="Arial" w:cs="Arial"/>
        </w:rPr>
      </w:pPr>
      <w:r w:rsidRPr="00D037AA">
        <w:rPr>
          <w:rFonts w:ascii="Arial" w:hAnsi="Arial" w:cs="Arial"/>
        </w:rPr>
        <w:t>Maintaining values has proven to be a social energy that sustains the agricultural extension system in the North Buton district. Local values such as spirituality and culture, integrity and moral responsibility compensate for the structural weaknesses of other system functions. This reinforces Parsons' theory that values and motivation serve as social stabilizers when the system is under pressure. The findings in North Buton prove this, where the system continues to run not because of structural strength but because of the internal value of the actors. These values are the main support of the extension system, ensuring that services continue to run even when integration, adaptation, and goal achievement are not optimal. The novelty of these findings lies in the empirical evidence of the role of local values as the main pillars of system Effectiveness. This aspect has rarely been explored in the previous literature.</w:t>
      </w:r>
    </w:p>
    <w:p w14:paraId="5E8557BC" w14:textId="77777777" w:rsidR="00964387" w:rsidRPr="00D037AA" w:rsidRDefault="00964387" w:rsidP="00E574D5">
      <w:pPr>
        <w:ind w:left="-76" w:firstLine="796"/>
        <w:jc w:val="both"/>
        <w:rPr>
          <w:rFonts w:ascii="Arial" w:hAnsi="Arial" w:cs="Arial"/>
        </w:rPr>
      </w:pPr>
    </w:p>
    <w:p w14:paraId="3C83BFEF" w14:textId="77777777" w:rsidR="00E574D5" w:rsidRPr="002D0BE7" w:rsidRDefault="0093673A" w:rsidP="002D0BE7">
      <w:pPr>
        <w:jc w:val="both"/>
        <w:rPr>
          <w:rFonts w:ascii="Arial" w:hAnsi="Arial" w:cs="Arial"/>
          <w:b/>
          <w:bCs/>
        </w:rPr>
      </w:pPr>
      <w:r>
        <w:rPr>
          <w:rFonts w:ascii="Arial" w:hAnsi="Arial" w:cs="Arial"/>
          <w:b/>
          <w:bCs/>
        </w:rPr>
        <w:t>3.5. Synthesis and Novelty</w:t>
      </w:r>
    </w:p>
    <w:p w14:paraId="2566F83C" w14:textId="77777777" w:rsidR="002D0BE7" w:rsidRDefault="002D0BE7" w:rsidP="002D0BE7">
      <w:pPr>
        <w:ind w:left="-76"/>
        <w:jc w:val="both"/>
        <w:rPr>
          <w:rFonts w:ascii="Arial" w:hAnsi="Arial" w:cs="Arial"/>
        </w:rPr>
      </w:pPr>
    </w:p>
    <w:p w14:paraId="7A4DE96A" w14:textId="77777777" w:rsidR="00BA73FC" w:rsidRPr="00D037AA" w:rsidRDefault="0093673A" w:rsidP="002D0BE7">
      <w:pPr>
        <w:ind w:left="-76"/>
        <w:jc w:val="both"/>
        <w:rPr>
          <w:rFonts w:ascii="Arial" w:hAnsi="Arial" w:cs="Arial"/>
        </w:rPr>
      </w:pPr>
      <w:r w:rsidRPr="00D037AA">
        <w:rPr>
          <w:rFonts w:ascii="Arial" w:hAnsi="Arial" w:cs="Arial"/>
        </w:rPr>
        <w:t xml:space="preserve">Overall, the findings on the function of the agricultural extension system in North Buton Regency indicate a characteristic </w:t>
      </w:r>
      <w:r w:rsidRPr="002D0BE7">
        <w:rPr>
          <w:rStyle w:val="Strong"/>
          <w:rFonts w:ascii="Arial" w:hAnsi="Arial" w:cs="Arial"/>
          <w:b w:val="0"/>
          <w:bCs w:val="0"/>
        </w:rPr>
        <w:t>actor-driven</w:t>
      </w:r>
      <w:r w:rsidRPr="002D0BE7">
        <w:rPr>
          <w:rFonts w:ascii="Arial" w:hAnsi="Arial" w:cs="Arial"/>
          <w:b/>
          <w:bCs/>
        </w:rPr>
        <w:t xml:space="preserve"> extension system</w:t>
      </w:r>
      <w:r w:rsidRPr="00D037AA">
        <w:rPr>
          <w:rFonts w:ascii="Arial" w:hAnsi="Arial" w:cs="Arial"/>
        </w:rPr>
        <w:t xml:space="preserve"> rather than </w:t>
      </w:r>
      <w:r w:rsidRPr="002D0BE7">
        <w:rPr>
          <w:rStyle w:val="Strong"/>
          <w:rFonts w:ascii="Arial" w:hAnsi="Arial" w:cs="Arial"/>
          <w:b w:val="0"/>
          <w:bCs w:val="0"/>
        </w:rPr>
        <w:t xml:space="preserve">an institution-driven one.  </w:t>
      </w:r>
      <w:r w:rsidRPr="00D037AA">
        <w:rPr>
          <w:rFonts w:ascii="Arial" w:hAnsi="Arial" w:cs="Arial"/>
        </w:rPr>
        <w:t xml:space="preserve">Theoretically, this condition indicates </w:t>
      </w:r>
      <w:r w:rsidRPr="00D037AA">
        <w:rPr>
          <w:rStyle w:val="Emphasis"/>
          <w:rFonts w:ascii="Arial" w:hAnsi="Arial" w:cs="Arial"/>
        </w:rPr>
        <w:t>systemic vulnerability</w:t>
      </w:r>
      <w:r w:rsidRPr="00D037AA">
        <w:rPr>
          <w:rFonts w:ascii="Arial" w:hAnsi="Arial" w:cs="Arial"/>
        </w:rPr>
        <w:t xml:space="preserve">, namely a structural vulnerability to policy changes, market dynamics, or bureaucratic conflicts. In the future, to sustain the agricultural extension system in North Buton Regency, its Effectiveness must be improved to optimally encourage food independence in the regency, an area with significant agrarian potential.   This research presents a novel approach by identifying </w:t>
      </w:r>
      <w:r w:rsidRPr="00D037AA">
        <w:rPr>
          <w:rStyle w:val="Strong"/>
          <w:rFonts w:ascii="Arial" w:hAnsi="Arial" w:cs="Arial"/>
          <w:b w:val="0"/>
          <w:bCs w:val="0"/>
        </w:rPr>
        <w:t>the roles of individual actors and local values as drivers and stabilizers of the agricultural extension system</w:t>
      </w:r>
      <w:r w:rsidRPr="00D037AA">
        <w:rPr>
          <w:rFonts w:ascii="Arial" w:hAnsi="Arial" w:cs="Arial"/>
        </w:rPr>
        <w:t>, which can be used as a strategy to strengthen system functions and sustainably increase food independence in North Buton Regency.</w:t>
      </w:r>
    </w:p>
    <w:p w14:paraId="1A007CA0" w14:textId="77777777" w:rsidR="00E574D5" w:rsidRDefault="00E574D5" w:rsidP="00441B6F">
      <w:pPr>
        <w:tabs>
          <w:tab w:val="left" w:pos="1080"/>
        </w:tabs>
        <w:jc w:val="both"/>
        <w:rPr>
          <w:rFonts w:ascii="Arial" w:hAnsi="Arial"/>
          <w:b/>
        </w:rPr>
      </w:pPr>
    </w:p>
    <w:p w14:paraId="1FB9B602" w14:textId="77777777" w:rsidR="00927834" w:rsidRDefault="00927834" w:rsidP="00441B6F">
      <w:pPr>
        <w:autoSpaceDE w:val="0"/>
        <w:autoSpaceDN w:val="0"/>
        <w:adjustRightInd w:val="0"/>
        <w:jc w:val="both"/>
        <w:rPr>
          <w:rFonts w:ascii="Arial" w:hAnsi="Arial" w:cs="Arial"/>
          <w:b/>
          <w:bCs/>
          <w:sz w:val="22"/>
          <w:szCs w:val="22"/>
        </w:rPr>
      </w:pPr>
    </w:p>
    <w:p w14:paraId="328820D3" w14:textId="77777777" w:rsidR="00B01FCD" w:rsidRPr="002D0BE7" w:rsidRDefault="0093673A" w:rsidP="00441B6F">
      <w:pPr>
        <w:pStyle w:val="ConcHead"/>
        <w:spacing w:after="0"/>
        <w:jc w:val="both"/>
        <w:rPr>
          <w:rFonts w:ascii="Arial" w:hAnsi="Arial" w:cs="Arial"/>
        </w:rPr>
      </w:pPr>
      <w:r w:rsidRPr="002D0BE7">
        <w:rPr>
          <w:rFonts w:ascii="Arial" w:hAnsi="Arial" w:cs="Arial"/>
        </w:rPr>
        <w:lastRenderedPageBreak/>
        <w:t>4. Conclusion</w:t>
      </w:r>
    </w:p>
    <w:p w14:paraId="2B601E0A" w14:textId="77777777" w:rsidR="00790ADA" w:rsidRPr="002D0BE7" w:rsidRDefault="00790ADA" w:rsidP="00441B6F">
      <w:pPr>
        <w:pStyle w:val="ConcHead"/>
        <w:spacing w:after="0"/>
        <w:jc w:val="both"/>
        <w:rPr>
          <w:rFonts w:ascii="Arial" w:hAnsi="Arial" w:cs="Arial"/>
        </w:rPr>
      </w:pPr>
    </w:p>
    <w:p w14:paraId="216D21E1" w14:textId="77777777" w:rsidR="002D0BE7" w:rsidRDefault="0093673A" w:rsidP="002D0BE7">
      <w:pPr>
        <w:ind w:left="-76"/>
        <w:jc w:val="both"/>
        <w:rPr>
          <w:rFonts w:ascii="Arial" w:hAnsi="Arial" w:cs="Arial"/>
          <w:lang w:eastAsia="en-ID"/>
        </w:rPr>
      </w:pPr>
      <w:r w:rsidRPr="002D0BE7">
        <w:rPr>
          <w:rFonts w:ascii="Arial" w:hAnsi="Arial" w:cs="Arial"/>
          <w:lang w:eastAsia="en-ID"/>
        </w:rPr>
        <w:t>This study shows that the agricultural extension system in North Buton Regency is not structurally effective. However, it can be strengthened by the internal values of extension and the moral roles of its actors.  The analysis of AGIL functions shows that adaptation has been carried out at the individual level, but has not been supported by a flexible institutional system, the achievement of goals is still top-down and administrative, integration is weak, informal and moralistic, not yet institutional, the maintenance of local values, integrity, morality and social responsibility (latency) are the main driving forces of sustainability, and the client subsystem (farmers) has excellent potential as a driver of food independence by utilizing participatory approach and strengthening the capacity of human resources.</w:t>
      </w:r>
    </w:p>
    <w:p w14:paraId="72B969B6" w14:textId="77777777" w:rsidR="002D0BE7" w:rsidRDefault="002D0BE7" w:rsidP="002D0BE7">
      <w:pPr>
        <w:ind w:left="-76"/>
        <w:jc w:val="both"/>
        <w:rPr>
          <w:rFonts w:ascii="Arial" w:hAnsi="Arial" w:cs="Arial"/>
          <w:lang w:eastAsia="en-ID"/>
        </w:rPr>
      </w:pPr>
    </w:p>
    <w:p w14:paraId="4E195511" w14:textId="77777777" w:rsidR="00BA73FC" w:rsidRPr="002D0BE7" w:rsidRDefault="0093673A" w:rsidP="002D0BE7">
      <w:pPr>
        <w:ind w:left="-76"/>
        <w:jc w:val="both"/>
        <w:rPr>
          <w:rFonts w:ascii="Arial" w:hAnsi="Arial" w:cs="Arial"/>
        </w:rPr>
      </w:pPr>
      <w:r w:rsidRPr="002D0BE7">
        <w:rPr>
          <w:rFonts w:ascii="Arial" w:hAnsi="Arial" w:cs="Arial"/>
          <w:lang w:eastAsia="en-ID"/>
        </w:rPr>
        <w:t xml:space="preserve">Based on these findings, to increase the Effectiveness of the function of the agricultural extension system in encouraging food independence in North Buton Regency, it is necessary to strengthen the function of the system through a combination of institutional support, structural integration, and the use of local motivation and values. Several recommendations can be given: strengthening policy adaptation based on local contexts, setting specific goals related to contextual commodity-based food independence, establishing formal coordination forums (interface institutions) that facilitate systemic collaboration between researchers, extension workers, farmers, policy makers and other stakeholders, institutionalizing local values, and strengthening participatory extension approaches by involving farmers in planning,  program implementation, and evaluation so that it can ensure the suitability of the system's work contextually.     </w:t>
      </w:r>
    </w:p>
    <w:p w14:paraId="3CE14105" w14:textId="77777777" w:rsidR="002D0BE7" w:rsidRDefault="002D0BE7" w:rsidP="002D0BE7">
      <w:pPr>
        <w:ind w:left="-76"/>
        <w:jc w:val="both"/>
        <w:rPr>
          <w:rFonts w:ascii="Arial" w:hAnsi="Arial" w:cs="Arial"/>
          <w:lang w:eastAsia="en-ID"/>
        </w:rPr>
      </w:pPr>
    </w:p>
    <w:p w14:paraId="28884079" w14:textId="77777777" w:rsidR="00BA73FC" w:rsidRPr="002D0BE7" w:rsidRDefault="0093673A" w:rsidP="002D0BE7">
      <w:pPr>
        <w:ind w:left="-76"/>
        <w:jc w:val="both"/>
        <w:rPr>
          <w:rFonts w:ascii="Arial" w:hAnsi="Arial" w:cs="Arial"/>
          <w:lang w:eastAsia="en-ID"/>
        </w:rPr>
      </w:pPr>
      <w:r w:rsidRPr="002D0BE7">
        <w:rPr>
          <w:rFonts w:ascii="Arial" w:hAnsi="Arial" w:cs="Arial"/>
          <w:lang w:eastAsia="en-ID"/>
        </w:rPr>
        <w:t xml:space="preserve">This research opens up further space for study on how instinctive motivation and local values can be institutionalized systematically, rather than merely as personal attributes, to ensure that the agricultural extension system can effectively function in efforts to realize food independence in the region.  </w:t>
      </w:r>
    </w:p>
    <w:p w14:paraId="2B1322DC" w14:textId="77777777" w:rsidR="002B685A" w:rsidRPr="007F0744" w:rsidRDefault="002B685A" w:rsidP="00441B6F">
      <w:pPr>
        <w:pStyle w:val="ReferHead"/>
        <w:spacing w:after="0"/>
        <w:jc w:val="both"/>
        <w:rPr>
          <w:rFonts w:ascii="Arial" w:hAnsi="Arial" w:cs="Arial"/>
          <w:b w:val="0"/>
          <w:caps w:val="0"/>
          <w:sz w:val="20"/>
        </w:rPr>
      </w:pPr>
    </w:p>
    <w:p w14:paraId="182D1044" w14:textId="77777777" w:rsidR="005C784C" w:rsidRDefault="005C784C" w:rsidP="00441B6F">
      <w:pPr>
        <w:pStyle w:val="ReferHead"/>
        <w:spacing w:after="0"/>
        <w:jc w:val="both"/>
        <w:rPr>
          <w:rFonts w:ascii="Arial" w:hAnsi="Arial" w:cs="Arial"/>
          <w:b w:val="0"/>
          <w:caps w:val="0"/>
          <w:sz w:val="20"/>
        </w:rPr>
      </w:pPr>
    </w:p>
    <w:p w14:paraId="13D5B8FA" w14:textId="77777777" w:rsidR="005C784C" w:rsidRDefault="0093673A" w:rsidP="00441B6F">
      <w:pPr>
        <w:pStyle w:val="ReferHead"/>
        <w:spacing w:after="0"/>
        <w:jc w:val="both"/>
        <w:rPr>
          <w:rFonts w:ascii="Arial" w:hAnsi="Arial" w:cs="Arial"/>
          <w:bCs/>
        </w:rPr>
      </w:pPr>
      <w:r>
        <w:rPr>
          <w:rFonts w:ascii="Arial" w:hAnsi="Arial" w:cs="Arial"/>
          <w:bCs/>
        </w:rPr>
        <w:t xml:space="preserve">Ethical approval </w:t>
      </w:r>
    </w:p>
    <w:p w14:paraId="0926121C" w14:textId="77777777" w:rsidR="005C784C" w:rsidRPr="002B685A" w:rsidRDefault="005C784C" w:rsidP="00441B6F">
      <w:pPr>
        <w:pStyle w:val="ReferHead"/>
        <w:spacing w:after="0"/>
        <w:jc w:val="both"/>
        <w:rPr>
          <w:rFonts w:ascii="Arial" w:hAnsi="Arial" w:cs="Arial"/>
          <w:bCs/>
        </w:rPr>
      </w:pPr>
    </w:p>
    <w:p w14:paraId="149173FF" w14:textId="16C2E913" w:rsidR="0041027F" w:rsidRDefault="0093673A" w:rsidP="00441B6F">
      <w:pPr>
        <w:pStyle w:val="ReferHead"/>
        <w:spacing w:after="0"/>
        <w:jc w:val="both"/>
        <w:rPr>
          <w:rFonts w:ascii="Arial" w:hAnsi="Arial" w:cs="Arial"/>
          <w:b w:val="0"/>
          <w:caps w:val="0"/>
          <w:sz w:val="20"/>
        </w:rPr>
      </w:pPr>
      <w:r>
        <w:rPr>
          <w:rFonts w:ascii="Arial" w:hAnsi="Arial" w:cs="Arial"/>
          <w:b w:val="0"/>
          <w:caps w:val="0"/>
          <w:sz w:val="20"/>
        </w:rPr>
        <w:t>T</w:t>
      </w:r>
      <w:r w:rsidR="006D1FC7">
        <w:rPr>
          <w:rFonts w:ascii="Arial" w:hAnsi="Arial" w:cs="Arial"/>
          <w:b w:val="0"/>
          <w:caps w:val="0"/>
          <w:sz w:val="20"/>
        </w:rPr>
        <w:t xml:space="preserve">his research has received written approval from The Regional Government of Nort </w:t>
      </w:r>
      <w:r>
        <w:rPr>
          <w:rFonts w:ascii="Arial" w:hAnsi="Arial" w:cs="Arial"/>
          <w:b w:val="0"/>
          <w:caps w:val="0"/>
          <w:sz w:val="20"/>
        </w:rPr>
        <w:t>B</w:t>
      </w:r>
      <w:r w:rsidR="006D1FC7">
        <w:rPr>
          <w:rFonts w:ascii="Arial" w:hAnsi="Arial" w:cs="Arial"/>
          <w:b w:val="0"/>
          <w:caps w:val="0"/>
          <w:sz w:val="20"/>
        </w:rPr>
        <w:t xml:space="preserve">uton Regency after obtaining an explanation of the purpose and objective of </w:t>
      </w:r>
      <w:proofErr w:type="spellStart"/>
      <w:r w:rsidR="006D1FC7">
        <w:rPr>
          <w:rFonts w:ascii="Arial" w:hAnsi="Arial" w:cs="Arial"/>
          <w:b w:val="0"/>
          <w:caps w:val="0"/>
          <w:sz w:val="20"/>
        </w:rPr>
        <w:t>counducting</w:t>
      </w:r>
      <w:proofErr w:type="spellEnd"/>
      <w:r w:rsidR="006D1FC7">
        <w:rPr>
          <w:rFonts w:ascii="Arial" w:hAnsi="Arial" w:cs="Arial"/>
          <w:b w:val="0"/>
          <w:caps w:val="0"/>
          <w:sz w:val="20"/>
        </w:rPr>
        <w:t xml:space="preserve"> the research.  The Data is kept confidential according to research ethics standards.</w:t>
      </w:r>
      <w:r>
        <w:rPr>
          <w:rFonts w:ascii="Arial" w:hAnsi="Arial" w:cs="Arial"/>
          <w:b w:val="0"/>
          <w:caps w:val="0"/>
          <w:sz w:val="20"/>
        </w:rPr>
        <w:t xml:space="preserve"> </w:t>
      </w:r>
    </w:p>
    <w:p w14:paraId="1543365E" w14:textId="77777777" w:rsidR="00F6702B" w:rsidRDefault="00F6702B" w:rsidP="00441B6F">
      <w:pPr>
        <w:pStyle w:val="ReferHead"/>
        <w:spacing w:after="0"/>
        <w:jc w:val="both"/>
        <w:rPr>
          <w:rFonts w:ascii="Arial" w:hAnsi="Arial" w:cs="Arial"/>
          <w:b w:val="0"/>
          <w:caps w:val="0"/>
          <w:sz w:val="20"/>
        </w:rPr>
      </w:pPr>
    </w:p>
    <w:p w14:paraId="2B1BBD7A" w14:textId="77777777" w:rsidR="00860000" w:rsidRDefault="00860000" w:rsidP="00441B6F">
      <w:pPr>
        <w:pStyle w:val="ReferHead"/>
        <w:spacing w:after="0"/>
        <w:jc w:val="both"/>
        <w:rPr>
          <w:rFonts w:ascii="Arial" w:hAnsi="Arial" w:cs="Arial"/>
        </w:rPr>
      </w:pPr>
    </w:p>
    <w:p w14:paraId="6240C1DE" w14:textId="77777777" w:rsidR="00B01FCD" w:rsidRDefault="0093673A" w:rsidP="00441B6F">
      <w:pPr>
        <w:pStyle w:val="ReferHead"/>
        <w:spacing w:after="0"/>
        <w:jc w:val="both"/>
        <w:rPr>
          <w:rFonts w:ascii="Arial" w:hAnsi="Arial" w:cs="Arial"/>
        </w:rPr>
      </w:pPr>
      <w:r w:rsidRPr="00FB3A86">
        <w:rPr>
          <w:rFonts w:ascii="Arial" w:hAnsi="Arial" w:cs="Arial"/>
        </w:rPr>
        <w:t>References</w:t>
      </w:r>
    </w:p>
    <w:p w14:paraId="695A459A" w14:textId="77777777" w:rsidR="00790ADA" w:rsidRPr="00FB3A86" w:rsidRDefault="00790ADA" w:rsidP="00441B6F">
      <w:pPr>
        <w:pStyle w:val="ReferHead"/>
        <w:spacing w:after="0"/>
        <w:jc w:val="both"/>
        <w:rPr>
          <w:rFonts w:ascii="Arial" w:hAnsi="Arial" w:cs="Arial"/>
        </w:rPr>
      </w:pPr>
    </w:p>
    <w:p w14:paraId="472D0A9F"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5237B3">
        <w:rPr>
          <w:rFonts w:ascii="Arial" w:hAnsi="Arial" w:cs="Arial"/>
          <w:noProof/>
          <w:szCs w:val="24"/>
        </w:rPr>
        <w:t xml:space="preserve">Affairs, D. of E. and S. (2024). World population projected to reach 9.8 billion in 2050, and 11.2 billion in 2100. </w:t>
      </w:r>
      <w:r w:rsidRPr="005237B3">
        <w:rPr>
          <w:rFonts w:ascii="Arial" w:hAnsi="Arial" w:cs="Arial"/>
          <w:i/>
          <w:iCs/>
          <w:noProof/>
          <w:szCs w:val="24"/>
        </w:rPr>
        <w:t>United Nations</w:t>
      </w:r>
      <w:r w:rsidRPr="005237B3">
        <w:rPr>
          <w:rFonts w:ascii="Arial" w:hAnsi="Arial" w:cs="Arial"/>
          <w:noProof/>
          <w:szCs w:val="24"/>
        </w:rPr>
        <w:t>. https://www.un.org/en/desa/world-population-projected-reach-98-billion-2050-and-112-billion-2100</w:t>
      </w:r>
    </w:p>
    <w:p w14:paraId="25FD624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Akinnagbe, O. M. (2018). Harmonising roles of agricultural extension with other agencies involved in agricultural development towards sustainable food systems in Nigeria. </w:t>
      </w:r>
      <w:r w:rsidRPr="005237B3">
        <w:rPr>
          <w:rFonts w:ascii="Arial" w:hAnsi="Arial" w:cs="Arial"/>
          <w:i/>
          <w:iCs/>
          <w:noProof/>
          <w:szCs w:val="24"/>
        </w:rPr>
        <w:t>Food Systems Sustainability and Environmental Policies in Modern Economies</w:t>
      </w:r>
      <w:r w:rsidRPr="005237B3">
        <w:rPr>
          <w:rFonts w:ascii="Arial" w:hAnsi="Arial" w:cs="Arial"/>
          <w:noProof/>
          <w:szCs w:val="24"/>
        </w:rPr>
        <w:t xml:space="preserve">, </w:t>
      </w:r>
      <w:r w:rsidRPr="005237B3">
        <w:rPr>
          <w:rFonts w:ascii="Arial" w:hAnsi="Arial" w:cs="Arial"/>
          <w:i/>
          <w:iCs/>
          <w:noProof/>
          <w:szCs w:val="24"/>
        </w:rPr>
        <w:t>March</w:t>
      </w:r>
      <w:r w:rsidRPr="005237B3">
        <w:rPr>
          <w:rFonts w:ascii="Arial" w:hAnsi="Arial" w:cs="Arial"/>
          <w:noProof/>
          <w:szCs w:val="24"/>
        </w:rPr>
        <w:t>, 160–171. https://doi.org/10.4018/978-1-5225-3631-4.ch007</w:t>
      </w:r>
    </w:p>
    <w:p w14:paraId="04AF586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Ananth, P. N., Barik, N. K., Babu, S. C., Dash, A. K., &amp; Sundaray, J. K. (2019). Chapter 7 - Can institutional convergence force agricultural development in pluralistic extension systems: a case of Krishi Vigyan Kendra (the farm science center) in India. In P. K. J. Suresh Chandra Babu (Ed.), </w:t>
      </w:r>
      <w:r w:rsidRPr="005237B3">
        <w:rPr>
          <w:rFonts w:ascii="Arial" w:hAnsi="Arial" w:cs="Arial"/>
          <w:i/>
          <w:iCs/>
          <w:noProof/>
          <w:szCs w:val="24"/>
        </w:rPr>
        <w:t>Agricultural Extension Reforms in South Asia</w:t>
      </w:r>
      <w:r w:rsidRPr="005237B3">
        <w:rPr>
          <w:rFonts w:ascii="Arial" w:hAnsi="Arial" w:cs="Arial"/>
          <w:noProof/>
          <w:szCs w:val="24"/>
        </w:rPr>
        <w:t xml:space="preserve"> (pp. 141–165). Academic Press. https://doi.org/https://doi.org/10.1016/B978-0-12-818752-4.00007-2</w:t>
      </w:r>
    </w:p>
    <w:p w14:paraId="55DFBD9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Anderson, J. R., &amp; Feder, G. (2007). Chapter 44 Agricultural Extension. </w:t>
      </w:r>
      <w:r w:rsidRPr="005237B3">
        <w:rPr>
          <w:rFonts w:ascii="Arial" w:hAnsi="Arial" w:cs="Arial"/>
          <w:i/>
          <w:iCs/>
          <w:noProof/>
          <w:szCs w:val="24"/>
        </w:rPr>
        <w:t xml:space="preserve">Handbook of </w:t>
      </w:r>
      <w:r w:rsidRPr="005237B3">
        <w:rPr>
          <w:rFonts w:ascii="Arial" w:hAnsi="Arial" w:cs="Arial"/>
          <w:i/>
          <w:iCs/>
          <w:noProof/>
          <w:szCs w:val="24"/>
        </w:rPr>
        <w:lastRenderedPageBreak/>
        <w:t>Agricultural Economics</w:t>
      </w:r>
      <w:r w:rsidRPr="005237B3">
        <w:rPr>
          <w:rFonts w:ascii="Arial" w:hAnsi="Arial" w:cs="Arial"/>
          <w:noProof/>
          <w:szCs w:val="24"/>
        </w:rPr>
        <w:t xml:space="preserve">, </w:t>
      </w:r>
      <w:r w:rsidRPr="005237B3">
        <w:rPr>
          <w:rFonts w:ascii="Arial" w:hAnsi="Arial" w:cs="Arial"/>
          <w:i/>
          <w:iCs/>
          <w:noProof/>
          <w:szCs w:val="24"/>
        </w:rPr>
        <w:t>3</w:t>
      </w:r>
      <w:r w:rsidRPr="005237B3">
        <w:rPr>
          <w:rFonts w:ascii="Arial" w:hAnsi="Arial" w:cs="Arial"/>
          <w:noProof/>
          <w:szCs w:val="24"/>
        </w:rPr>
        <w:t>(December 2007), 2343–2378. https://doi.org/10.1016/S1574-0072(06)03044-1</w:t>
      </w:r>
    </w:p>
    <w:p w14:paraId="03781C1A"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Azhari, R., Amanah, S., Fatchiya, A., &amp; Kinseng, R. A. (2025). The Influence of Agricultural Extension Services and Livelihood Capitals on Farmers' Climate Resilience in West Java, Indonesia: A Structural Equation Modelling Approach. </w:t>
      </w:r>
      <w:r w:rsidRPr="005237B3">
        <w:rPr>
          <w:rFonts w:ascii="Arial" w:hAnsi="Arial" w:cs="Arial"/>
          <w:i/>
          <w:iCs/>
          <w:noProof/>
          <w:szCs w:val="24"/>
        </w:rPr>
        <w:t>Journal of Natural Resources and Environmental Management</w:t>
      </w:r>
      <w:r w:rsidRPr="005237B3">
        <w:rPr>
          <w:rFonts w:ascii="Arial" w:hAnsi="Arial" w:cs="Arial"/>
          <w:noProof/>
          <w:szCs w:val="24"/>
        </w:rPr>
        <w:t xml:space="preserve">, </w:t>
      </w:r>
      <w:r w:rsidRPr="005237B3">
        <w:rPr>
          <w:rFonts w:ascii="Arial" w:hAnsi="Arial" w:cs="Arial"/>
          <w:i/>
          <w:iCs/>
          <w:noProof/>
          <w:szCs w:val="24"/>
        </w:rPr>
        <w:t>15</w:t>
      </w:r>
      <w:r w:rsidRPr="005237B3">
        <w:rPr>
          <w:rFonts w:ascii="Arial" w:hAnsi="Arial" w:cs="Arial"/>
          <w:noProof/>
          <w:szCs w:val="24"/>
        </w:rPr>
        <w:t>(5), 904–922. https://doi.org/http://dx.doi.org/10.29244/jpsl.15.5.904</w:t>
      </w:r>
    </w:p>
    <w:p w14:paraId="31DABC4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Food Security Agency. (2019). </w:t>
      </w:r>
      <w:r w:rsidRPr="005237B3">
        <w:rPr>
          <w:rFonts w:ascii="Arial" w:hAnsi="Arial" w:cs="Arial"/>
          <w:i/>
          <w:iCs/>
          <w:noProof/>
          <w:szCs w:val="24"/>
        </w:rPr>
        <w:t>Strategic Plan of the Food Security Agency for 2020-2024</w:t>
      </w:r>
      <w:r w:rsidRPr="005237B3">
        <w:rPr>
          <w:rFonts w:ascii="Arial" w:hAnsi="Arial" w:cs="Arial"/>
          <w:noProof/>
          <w:szCs w:val="24"/>
        </w:rPr>
        <w:t>. FOOD SECURITY AGENCY OF THE MINISTRY OF AGRICULTURE OF THE REPUBLIC OF INDONESIA. Jakarta. https://badanpangan.go.id/storage/app/media/2021/Renstra BKP 2020_2024-.pdf</w:t>
      </w:r>
    </w:p>
    <w:p w14:paraId="2F76D24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Agricultural Research and Development Agency. (2001). </w:t>
      </w:r>
      <w:r w:rsidRPr="005237B3">
        <w:rPr>
          <w:rFonts w:ascii="Arial" w:hAnsi="Arial" w:cs="Arial"/>
          <w:i/>
          <w:iCs/>
          <w:noProof/>
          <w:szCs w:val="24"/>
        </w:rPr>
        <w:t>Draft of the Prima Tani Policy (Pilot and Acceleration Program for Correctional Corrections of Agricultural Technology Innovation)</w:t>
      </w:r>
      <w:r w:rsidRPr="005237B3">
        <w:rPr>
          <w:rFonts w:ascii="Arial" w:hAnsi="Arial" w:cs="Arial"/>
          <w:noProof/>
          <w:szCs w:val="24"/>
        </w:rPr>
        <w:t>. Agricultural Research and Development Agency. Department of Agriculture. Jakarta.</w:t>
      </w:r>
    </w:p>
    <w:p w14:paraId="7C6DD4B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Behceci, M. (2018). Participatory Approaches and Developments. </w:t>
      </w:r>
      <w:r w:rsidRPr="005237B3">
        <w:rPr>
          <w:rFonts w:ascii="Arial" w:hAnsi="Arial" w:cs="Arial"/>
          <w:i/>
          <w:iCs/>
          <w:noProof/>
          <w:szCs w:val="24"/>
        </w:rPr>
        <w:t>International Conference on Food and Agricultural Economics</w:t>
      </w:r>
      <w:r w:rsidRPr="005237B3">
        <w:rPr>
          <w:rFonts w:ascii="Arial" w:hAnsi="Arial" w:cs="Arial"/>
          <w:noProof/>
          <w:szCs w:val="24"/>
        </w:rPr>
        <w:t xml:space="preserve">, </w:t>
      </w:r>
      <w:r w:rsidRPr="005237B3">
        <w:rPr>
          <w:rFonts w:ascii="Arial" w:hAnsi="Arial" w:cs="Arial"/>
          <w:i/>
          <w:iCs/>
          <w:noProof/>
          <w:szCs w:val="24"/>
        </w:rPr>
        <w:t>April</w:t>
      </w:r>
      <w:r w:rsidRPr="005237B3">
        <w:rPr>
          <w:rFonts w:ascii="Arial" w:hAnsi="Arial" w:cs="Arial"/>
          <w:noProof/>
          <w:szCs w:val="24"/>
        </w:rPr>
        <w:t>, 134–140.</w:t>
      </w:r>
    </w:p>
    <w:p w14:paraId="1C876CE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Bicksler, A. (2021). </w:t>
      </w:r>
      <w:r w:rsidRPr="005237B3">
        <w:rPr>
          <w:rFonts w:ascii="Arial" w:hAnsi="Arial" w:cs="Arial"/>
          <w:i/>
          <w:iCs/>
          <w:noProof/>
          <w:szCs w:val="24"/>
        </w:rPr>
        <w:t>The State of Food and Agriculture 2021: agrifood systems resilient to shocks and stresses</w:t>
      </w:r>
      <w:r w:rsidRPr="005237B3">
        <w:rPr>
          <w:rFonts w:ascii="Arial" w:hAnsi="Arial" w:cs="Arial"/>
          <w:noProof/>
          <w:szCs w:val="24"/>
        </w:rPr>
        <w:t xml:space="preserve"> (Issue November). Food and Agriculture Organization of the United Nations. https://doi.org/10.4060/cb4476en</w:t>
      </w:r>
    </w:p>
    <w:p w14:paraId="1269480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Bloom, J. D., Lelekacs, J. M., Dunning, R., Piner, A., &amp; Brinkmeyer, E. (2017). Local food systems course for extension educators in North Carolina: Summary of an innovative program. </w:t>
      </w:r>
      <w:r w:rsidRPr="005237B3">
        <w:rPr>
          <w:rFonts w:ascii="Arial" w:hAnsi="Arial" w:cs="Arial"/>
          <w:i/>
          <w:iCs/>
          <w:noProof/>
          <w:szCs w:val="24"/>
        </w:rPr>
        <w:t>Journal of Extension</w:t>
      </w:r>
      <w:r w:rsidRPr="005237B3">
        <w:rPr>
          <w:rFonts w:ascii="Arial" w:hAnsi="Arial" w:cs="Arial"/>
          <w:noProof/>
          <w:szCs w:val="24"/>
        </w:rPr>
        <w:t xml:space="preserve">, </w:t>
      </w:r>
      <w:r w:rsidRPr="005237B3">
        <w:rPr>
          <w:rFonts w:ascii="Arial" w:hAnsi="Arial" w:cs="Arial"/>
          <w:i/>
          <w:iCs/>
          <w:noProof/>
          <w:szCs w:val="24"/>
        </w:rPr>
        <w:t>55</w:t>
      </w:r>
      <w:r w:rsidRPr="005237B3">
        <w:rPr>
          <w:rFonts w:ascii="Arial" w:hAnsi="Arial" w:cs="Arial"/>
          <w:noProof/>
          <w:szCs w:val="24"/>
        </w:rPr>
        <w:t>(4). https://doi.org/10.34068/joe.55.04.22</w:t>
      </w:r>
    </w:p>
    <w:p w14:paraId="6BFC651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BPS North Buton Regency. (2024). </w:t>
      </w:r>
      <w:r w:rsidRPr="005237B3">
        <w:rPr>
          <w:rFonts w:ascii="Arial" w:hAnsi="Arial" w:cs="Arial"/>
          <w:i/>
          <w:iCs/>
          <w:noProof/>
          <w:szCs w:val="24"/>
        </w:rPr>
        <w:t>North Buton Regency in 2024 Figures</w:t>
      </w:r>
      <w:r w:rsidRPr="005237B3">
        <w:rPr>
          <w:rFonts w:ascii="Arial" w:hAnsi="Arial" w:cs="Arial"/>
          <w:noProof/>
          <w:szCs w:val="24"/>
        </w:rPr>
        <w:t>.</w:t>
      </w:r>
    </w:p>
    <w:p w14:paraId="4CC01B6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Danso-Abbeam, G., Ehiakpor, D. S., &amp; Aidoo, R. (2018). Agricultural extension and its effects on farm productivity and income: Insights from Northern Ghana. </w:t>
      </w:r>
      <w:r w:rsidRPr="005237B3">
        <w:rPr>
          <w:rFonts w:ascii="Arial" w:hAnsi="Arial" w:cs="Arial"/>
          <w:i/>
          <w:iCs/>
          <w:noProof/>
          <w:szCs w:val="24"/>
        </w:rPr>
        <w:t>Agriculture and Food Security</w:t>
      </w:r>
      <w:r w:rsidRPr="005237B3">
        <w:rPr>
          <w:rFonts w:ascii="Arial" w:hAnsi="Arial" w:cs="Arial"/>
          <w:noProof/>
          <w:szCs w:val="24"/>
        </w:rPr>
        <w:t xml:space="preserve">, </w:t>
      </w:r>
      <w:r w:rsidRPr="005237B3">
        <w:rPr>
          <w:rFonts w:ascii="Arial" w:hAnsi="Arial" w:cs="Arial"/>
          <w:i/>
          <w:iCs/>
          <w:noProof/>
          <w:szCs w:val="24"/>
        </w:rPr>
        <w:t>7</w:t>
      </w:r>
      <w:r w:rsidRPr="005237B3">
        <w:rPr>
          <w:rFonts w:ascii="Arial" w:hAnsi="Arial" w:cs="Arial"/>
          <w:noProof/>
          <w:szCs w:val="24"/>
        </w:rPr>
        <w:t>(1), 1–10. https://doi.org/10.1186/s40066-018-0225-x</w:t>
      </w:r>
    </w:p>
    <w:p w14:paraId="00E8CAE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Davis, K. E. (2008). Extension in sub-saharan Africa: Overview and assessment of past and current models, and future prospects. </w:t>
      </w:r>
      <w:r w:rsidRPr="005237B3">
        <w:rPr>
          <w:rFonts w:ascii="Arial" w:hAnsi="Arial" w:cs="Arial"/>
          <w:i/>
          <w:iCs/>
          <w:noProof/>
          <w:szCs w:val="24"/>
        </w:rPr>
        <w:t>Journal of International Agricultural and Extension Education</w:t>
      </w:r>
      <w:r w:rsidRPr="005237B3">
        <w:rPr>
          <w:rFonts w:ascii="Arial" w:hAnsi="Arial" w:cs="Arial"/>
          <w:noProof/>
          <w:szCs w:val="24"/>
        </w:rPr>
        <w:t xml:space="preserve">, </w:t>
      </w:r>
      <w:r w:rsidRPr="005237B3">
        <w:rPr>
          <w:rFonts w:ascii="Arial" w:hAnsi="Arial" w:cs="Arial"/>
          <w:i/>
          <w:iCs/>
          <w:noProof/>
          <w:szCs w:val="24"/>
        </w:rPr>
        <w:t>15</w:t>
      </w:r>
      <w:r w:rsidRPr="005237B3">
        <w:rPr>
          <w:rFonts w:ascii="Arial" w:hAnsi="Arial" w:cs="Arial"/>
          <w:noProof/>
          <w:szCs w:val="24"/>
        </w:rPr>
        <w:t>(3), 15–28.</w:t>
      </w:r>
    </w:p>
    <w:p w14:paraId="7DBC395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Isnian, S. N., Haryadi, F. T., &amp; Wastutiningsih, S. P. (2025). Universities' Role in Food Germplasm Sustainability. </w:t>
      </w:r>
      <w:r w:rsidRPr="005237B3">
        <w:rPr>
          <w:rFonts w:ascii="Arial" w:hAnsi="Arial" w:cs="Arial"/>
          <w:i/>
          <w:iCs/>
          <w:noProof/>
          <w:szCs w:val="24"/>
        </w:rPr>
        <w:t>Journal of Sustainability Science and Management</w:t>
      </w:r>
      <w:r w:rsidRPr="005237B3">
        <w:rPr>
          <w:rFonts w:ascii="Arial" w:hAnsi="Arial" w:cs="Arial"/>
          <w:noProof/>
          <w:szCs w:val="24"/>
        </w:rPr>
        <w:t xml:space="preserve">, </w:t>
      </w:r>
      <w:r w:rsidRPr="005237B3">
        <w:rPr>
          <w:rFonts w:ascii="Arial" w:hAnsi="Arial" w:cs="Arial"/>
          <w:i/>
          <w:iCs/>
          <w:noProof/>
          <w:szCs w:val="24"/>
        </w:rPr>
        <w:t>20</w:t>
      </w:r>
      <w:r w:rsidRPr="005237B3">
        <w:rPr>
          <w:rFonts w:ascii="Arial" w:hAnsi="Arial" w:cs="Arial"/>
          <w:noProof/>
          <w:szCs w:val="24"/>
        </w:rPr>
        <w:t>(11), 2306–2324. https://doi.org/http://doi.org/10.46754/jssm.2025.11.002</w:t>
      </w:r>
    </w:p>
    <w:p w14:paraId="38F06E09"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Izraelov, M., &amp; Silber, J. (2019). An assessment of the global food security index. </w:t>
      </w:r>
      <w:r w:rsidRPr="005237B3">
        <w:rPr>
          <w:rFonts w:ascii="Arial" w:hAnsi="Arial" w:cs="Arial"/>
          <w:i/>
          <w:iCs/>
          <w:noProof/>
          <w:szCs w:val="24"/>
        </w:rPr>
        <w:t>Food Security</w:t>
      </w:r>
      <w:r w:rsidRPr="005237B3">
        <w:rPr>
          <w:rFonts w:ascii="Arial" w:hAnsi="Arial" w:cs="Arial"/>
          <w:noProof/>
          <w:szCs w:val="24"/>
        </w:rPr>
        <w:t xml:space="preserve">, </w:t>
      </w:r>
      <w:r w:rsidRPr="005237B3">
        <w:rPr>
          <w:rFonts w:ascii="Arial" w:hAnsi="Arial" w:cs="Arial"/>
          <w:i/>
          <w:iCs/>
          <w:noProof/>
          <w:szCs w:val="24"/>
        </w:rPr>
        <w:t>11</w:t>
      </w:r>
      <w:r w:rsidRPr="005237B3">
        <w:rPr>
          <w:rFonts w:ascii="Arial" w:hAnsi="Arial" w:cs="Arial"/>
          <w:noProof/>
          <w:szCs w:val="24"/>
        </w:rPr>
        <w:t>(5), 1135–1152. https://doi.org/10.1007/s12571-019-00941-y</w:t>
      </w:r>
    </w:p>
    <w:p w14:paraId="7ABA33E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Jafari, N., Karami, E., Keshavarz, M., Karami, S., &amp; Azadi, H. (2024). Application of Complexity Theory and Agricultural Innovation System Approaches to Evaluate Performance of the New Agricultural Extension System: The Case of Iran. </w:t>
      </w:r>
      <w:r w:rsidRPr="005237B3">
        <w:rPr>
          <w:rFonts w:ascii="Arial" w:hAnsi="Arial" w:cs="Arial"/>
          <w:i/>
          <w:iCs/>
          <w:noProof/>
          <w:szCs w:val="24"/>
        </w:rPr>
        <w:t>Journal of Agricultural Science and Technology</w:t>
      </w:r>
      <w:r w:rsidRPr="005237B3">
        <w:rPr>
          <w:rFonts w:ascii="Arial" w:hAnsi="Arial" w:cs="Arial"/>
          <w:noProof/>
          <w:szCs w:val="24"/>
        </w:rPr>
        <w:t xml:space="preserve">, </w:t>
      </w:r>
      <w:r w:rsidRPr="005237B3">
        <w:rPr>
          <w:rFonts w:ascii="Arial" w:hAnsi="Arial" w:cs="Arial"/>
          <w:i/>
          <w:iCs/>
          <w:noProof/>
          <w:szCs w:val="24"/>
        </w:rPr>
        <w:t>26</w:t>
      </w:r>
      <w:r w:rsidRPr="005237B3">
        <w:rPr>
          <w:rFonts w:ascii="Arial" w:hAnsi="Arial" w:cs="Arial"/>
          <w:noProof/>
          <w:szCs w:val="24"/>
        </w:rPr>
        <w:t>(1), 13–25. https://doi.org/10.22034/JAST.26.1.13</w:t>
      </w:r>
    </w:p>
    <w:p w14:paraId="5465D63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Kamara, L. I., Dorward, P., Lalani, B., &amp; Wauters, E. (2019). Unpacking the drivers behind the use of the Agricultural Innovation Systems (AIS) approach: The case of rice research and extension professionals in Sierra Leone. </w:t>
      </w:r>
      <w:r w:rsidRPr="005237B3">
        <w:rPr>
          <w:rFonts w:ascii="Arial" w:hAnsi="Arial" w:cs="Arial"/>
          <w:i/>
          <w:iCs/>
          <w:noProof/>
          <w:szCs w:val="24"/>
        </w:rPr>
        <w:t>Elsevier Agricultural Systems</w:t>
      </w:r>
      <w:r w:rsidRPr="005237B3">
        <w:rPr>
          <w:rFonts w:ascii="Arial" w:hAnsi="Arial" w:cs="Arial"/>
          <w:noProof/>
          <w:szCs w:val="24"/>
        </w:rPr>
        <w:t xml:space="preserve">, </w:t>
      </w:r>
      <w:r w:rsidRPr="005237B3">
        <w:rPr>
          <w:rFonts w:ascii="Arial" w:hAnsi="Arial" w:cs="Arial"/>
          <w:i/>
          <w:iCs/>
          <w:noProof/>
          <w:szCs w:val="24"/>
        </w:rPr>
        <w:t>176</w:t>
      </w:r>
      <w:r w:rsidRPr="005237B3">
        <w:rPr>
          <w:rFonts w:ascii="Arial" w:hAnsi="Arial" w:cs="Arial"/>
          <w:noProof/>
          <w:szCs w:val="24"/>
        </w:rPr>
        <w:t>(102673). https://doi.org/https://doi.org/10.1016/j.agsy.2019.102673</w:t>
      </w:r>
    </w:p>
    <w:p w14:paraId="61D8104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Ministry of Agriculture. (2020a). </w:t>
      </w:r>
      <w:r w:rsidRPr="005237B3">
        <w:rPr>
          <w:rFonts w:ascii="Arial" w:hAnsi="Arial" w:cs="Arial"/>
          <w:i/>
          <w:iCs/>
          <w:noProof/>
          <w:szCs w:val="24"/>
        </w:rPr>
        <w:t>BPPSDMP Strategic Plan for 2020-2024</w:t>
      </w:r>
      <w:r w:rsidRPr="005237B3">
        <w:rPr>
          <w:rFonts w:ascii="Arial" w:hAnsi="Arial" w:cs="Arial"/>
          <w:noProof/>
          <w:szCs w:val="24"/>
        </w:rPr>
        <w:t xml:space="preserve">. </w:t>
      </w:r>
      <w:r w:rsidRPr="005237B3">
        <w:rPr>
          <w:rFonts w:ascii="Arial" w:hAnsi="Arial" w:cs="Arial"/>
          <w:i/>
          <w:iCs/>
          <w:noProof/>
          <w:szCs w:val="24"/>
        </w:rPr>
        <w:t>Agricultural Human Resources Extension and Development Agency</w:t>
      </w:r>
      <w:r w:rsidRPr="005237B3">
        <w:rPr>
          <w:rFonts w:ascii="Arial" w:hAnsi="Arial" w:cs="Arial"/>
          <w:noProof/>
          <w:szCs w:val="24"/>
        </w:rPr>
        <w:t>, Jakarta.</w:t>
      </w:r>
    </w:p>
    <w:p w14:paraId="38F4C616"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Ministry of Agriculture. (2020b). </w:t>
      </w:r>
      <w:r w:rsidRPr="005237B3">
        <w:rPr>
          <w:rFonts w:ascii="Arial" w:hAnsi="Arial" w:cs="Arial"/>
          <w:i/>
          <w:iCs/>
          <w:noProof/>
          <w:szCs w:val="24"/>
        </w:rPr>
        <w:t>Strategic Plan of the Ministry of Agriculture 2020-2024</w:t>
      </w:r>
      <w:r w:rsidRPr="005237B3">
        <w:rPr>
          <w:rFonts w:ascii="Arial" w:hAnsi="Arial" w:cs="Arial"/>
          <w:noProof/>
          <w:szCs w:val="24"/>
        </w:rPr>
        <w:t>. Ministry of Agriculture of the Republic of Indonesia. Jakarta. https://ppid.pertanian.go.id/doc/1/Draft Strategic Plan 2020-2024 edited BAPPENAS (Final).pdf</w:t>
      </w:r>
    </w:p>
    <w:p w14:paraId="21601B7A"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Kountios, G., Kanakaris, S., Moulogianni, C., &amp; Bournaris, T. (2024). Strengthening AKIS for Sustainable Agricultural Features: Insights and Innovations from the European Union: A Literature Review. </w:t>
      </w:r>
      <w:r w:rsidRPr="005237B3">
        <w:rPr>
          <w:rFonts w:ascii="Arial" w:hAnsi="Arial" w:cs="Arial"/>
          <w:i/>
          <w:iCs/>
          <w:noProof/>
          <w:szCs w:val="24"/>
        </w:rPr>
        <w:t>Sustainability (Switzerland),</w:t>
      </w:r>
      <w:r w:rsidRPr="005237B3">
        <w:rPr>
          <w:rFonts w:ascii="Arial" w:hAnsi="Arial" w:cs="Arial"/>
          <w:noProof/>
          <w:szCs w:val="24"/>
        </w:rPr>
        <w:t xml:space="preserve"> </w:t>
      </w:r>
      <w:r w:rsidRPr="005237B3">
        <w:rPr>
          <w:rFonts w:ascii="Arial" w:hAnsi="Arial" w:cs="Arial"/>
          <w:i/>
          <w:iCs/>
          <w:noProof/>
          <w:szCs w:val="24"/>
        </w:rPr>
        <w:t>16</w:t>
      </w:r>
      <w:r w:rsidRPr="005237B3">
        <w:rPr>
          <w:rFonts w:ascii="Arial" w:hAnsi="Arial" w:cs="Arial"/>
          <w:noProof/>
          <w:szCs w:val="24"/>
        </w:rPr>
        <w:t>(16). https://doi.org/10.3390/su16167068</w:t>
      </w:r>
    </w:p>
    <w:p w14:paraId="7F0AD6D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lastRenderedPageBreak/>
        <w:t xml:space="preserve">Lestary, E. (2004). Peasant Groups as a Media of Social Interaction (Talcott Parson's Structural Functional Analysis Study). </w:t>
      </w:r>
      <w:r w:rsidRPr="005237B3">
        <w:rPr>
          <w:rFonts w:ascii="Arial" w:hAnsi="Arial" w:cs="Arial"/>
          <w:i/>
          <w:iCs/>
          <w:noProof/>
          <w:szCs w:val="24"/>
        </w:rPr>
        <w:t>AGRITEXTS: Journal of Agricultural Extension</w:t>
      </w:r>
      <w:r w:rsidRPr="005237B3">
        <w:rPr>
          <w:rFonts w:ascii="Arial" w:hAnsi="Arial" w:cs="Arial"/>
          <w:noProof/>
          <w:szCs w:val="24"/>
        </w:rPr>
        <w:t xml:space="preserve">, </w:t>
      </w:r>
      <w:r w:rsidRPr="005237B3">
        <w:rPr>
          <w:rFonts w:ascii="Arial" w:hAnsi="Arial" w:cs="Arial"/>
          <w:i/>
          <w:iCs/>
          <w:noProof/>
          <w:szCs w:val="24"/>
        </w:rPr>
        <w:t>16</w:t>
      </w:r>
      <w:r w:rsidRPr="005237B3">
        <w:rPr>
          <w:rFonts w:ascii="Arial" w:hAnsi="Arial" w:cs="Arial"/>
          <w:noProof/>
          <w:szCs w:val="24"/>
        </w:rPr>
        <w:t>(2), 59–73. https://jurnal.uns.ac.id/agritexts/article/view/43645</w:t>
      </w:r>
    </w:p>
    <w:p w14:paraId="5DE190F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Leta, G., Kelboro, G., Assche, K. Van, Stellmacher, T., &amp; Hornidge, A.-K. (2019). Rhetorics and realities of participation: the Ethiopian agricultural extension system and its participatory turns. </w:t>
      </w:r>
      <w:r w:rsidRPr="005237B3">
        <w:rPr>
          <w:rFonts w:ascii="Arial" w:hAnsi="Arial" w:cs="Arial"/>
          <w:i/>
          <w:iCs/>
          <w:noProof/>
          <w:szCs w:val="24"/>
        </w:rPr>
        <w:t>Critical Policy Studies</w:t>
      </w:r>
      <w:r w:rsidRPr="005237B3">
        <w:rPr>
          <w:rFonts w:ascii="Arial" w:hAnsi="Arial" w:cs="Arial"/>
          <w:noProof/>
          <w:szCs w:val="24"/>
        </w:rPr>
        <w:t xml:space="preserve">, </w:t>
      </w:r>
      <w:r w:rsidRPr="005237B3">
        <w:rPr>
          <w:rFonts w:ascii="Arial" w:hAnsi="Arial" w:cs="Arial"/>
          <w:i/>
          <w:iCs/>
          <w:noProof/>
          <w:szCs w:val="24"/>
        </w:rPr>
        <w:t>14</w:t>
      </w:r>
      <w:r w:rsidRPr="005237B3">
        <w:rPr>
          <w:rFonts w:ascii="Arial" w:hAnsi="Arial" w:cs="Arial"/>
          <w:noProof/>
          <w:szCs w:val="24"/>
        </w:rPr>
        <w:t>(4), 388–407. https://doi.org/https://doi.org/10.1080/19460171.2019.1616212</w:t>
      </w:r>
    </w:p>
    <w:p w14:paraId="3182FB8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Mahmood, E. T. (2025). Climate Change and the Role of Agricultural Extension in Adaptation and Mitigation : A Review Article. </w:t>
      </w:r>
      <w:r w:rsidRPr="005237B3">
        <w:rPr>
          <w:rFonts w:ascii="Arial" w:hAnsi="Arial" w:cs="Arial"/>
          <w:i/>
          <w:iCs/>
          <w:noProof/>
          <w:szCs w:val="24"/>
        </w:rPr>
        <w:t>American Journal of Biodiversity</w:t>
      </w:r>
      <w:r w:rsidRPr="005237B3">
        <w:rPr>
          <w:rFonts w:ascii="Arial" w:hAnsi="Arial" w:cs="Arial"/>
          <w:noProof/>
          <w:szCs w:val="24"/>
        </w:rPr>
        <w:t xml:space="preserve">, </w:t>
      </w:r>
      <w:r w:rsidRPr="005237B3">
        <w:rPr>
          <w:rFonts w:ascii="Arial" w:hAnsi="Arial" w:cs="Arial"/>
          <w:i/>
          <w:iCs/>
          <w:noProof/>
          <w:szCs w:val="24"/>
        </w:rPr>
        <w:t>2</w:t>
      </w:r>
      <w:r w:rsidRPr="005237B3">
        <w:rPr>
          <w:rFonts w:ascii="Arial" w:hAnsi="Arial" w:cs="Arial"/>
          <w:noProof/>
          <w:szCs w:val="24"/>
        </w:rPr>
        <w:t>(2), 254–265. https://biojournals.us/index.php/AJB</w:t>
      </w:r>
    </w:p>
    <w:p w14:paraId="08F7E21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Mansour, T. G. I., Abdelazez, M. A., &amp; Eleshmawiy, K. H. (2022). Challenges and Constraints Facing the Agricultural Extension System in Egypt. </w:t>
      </w:r>
      <w:r w:rsidRPr="005237B3">
        <w:rPr>
          <w:rFonts w:ascii="Arial" w:hAnsi="Arial" w:cs="Arial"/>
          <w:i/>
          <w:iCs/>
          <w:noProof/>
          <w:szCs w:val="24"/>
        </w:rPr>
        <w:t>Journal of Agricultural Sciences - Sri Lanka</w:t>
      </w:r>
      <w:r w:rsidRPr="005237B3">
        <w:rPr>
          <w:rFonts w:ascii="Arial" w:hAnsi="Arial" w:cs="Arial"/>
          <w:noProof/>
          <w:szCs w:val="24"/>
        </w:rPr>
        <w:t xml:space="preserve">, </w:t>
      </w:r>
      <w:r w:rsidRPr="005237B3">
        <w:rPr>
          <w:rFonts w:ascii="Arial" w:hAnsi="Arial" w:cs="Arial"/>
          <w:i/>
          <w:iCs/>
          <w:noProof/>
          <w:szCs w:val="24"/>
        </w:rPr>
        <w:t>17</w:t>
      </w:r>
      <w:r w:rsidRPr="005237B3">
        <w:rPr>
          <w:rFonts w:ascii="Arial" w:hAnsi="Arial" w:cs="Arial"/>
          <w:noProof/>
          <w:szCs w:val="24"/>
        </w:rPr>
        <w:t>(2), 241–257. https://doi.org/10.4038/jas.v17i2.9740</w:t>
      </w:r>
    </w:p>
    <w:p w14:paraId="28A9CF8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Mardicott, T. (2009). </w:t>
      </w:r>
      <w:r w:rsidRPr="005237B3">
        <w:rPr>
          <w:rFonts w:ascii="Arial" w:hAnsi="Arial" w:cs="Arial"/>
          <w:i/>
          <w:iCs/>
          <w:noProof/>
          <w:szCs w:val="24"/>
        </w:rPr>
        <w:t>Agricultural Extension System</w:t>
      </w:r>
      <w:r w:rsidRPr="005237B3">
        <w:rPr>
          <w:rFonts w:ascii="Arial" w:hAnsi="Arial" w:cs="Arial"/>
          <w:noProof/>
          <w:szCs w:val="24"/>
        </w:rPr>
        <w:t>. UNS Educational Development Institute and UNS Publishing and Printing UPT Press. Surakarta.</w:t>
      </w:r>
    </w:p>
    <w:p w14:paraId="158BE802"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McCann, R. B., Apel, M., Dove, C., Madhosingh-Hector, R., Kipp, J., &amp; Kay, D. (2020). Cooperative extension and sustainability outreach: Programmatic successes, administrative support, and areas for improvement. </w:t>
      </w:r>
      <w:r w:rsidRPr="005237B3">
        <w:rPr>
          <w:rFonts w:ascii="Arial" w:hAnsi="Arial" w:cs="Arial"/>
          <w:i/>
          <w:iCs/>
          <w:noProof/>
          <w:szCs w:val="24"/>
        </w:rPr>
        <w:t>Journal of Extension</w:t>
      </w:r>
      <w:r w:rsidRPr="005237B3">
        <w:rPr>
          <w:rFonts w:ascii="Arial" w:hAnsi="Arial" w:cs="Arial"/>
          <w:noProof/>
          <w:szCs w:val="24"/>
        </w:rPr>
        <w:t xml:space="preserve">, </w:t>
      </w:r>
      <w:r w:rsidRPr="005237B3">
        <w:rPr>
          <w:rFonts w:ascii="Arial" w:hAnsi="Arial" w:cs="Arial"/>
          <w:i/>
          <w:iCs/>
          <w:noProof/>
          <w:szCs w:val="24"/>
        </w:rPr>
        <w:t>58</w:t>
      </w:r>
      <w:r w:rsidRPr="005237B3">
        <w:rPr>
          <w:rFonts w:ascii="Arial" w:hAnsi="Arial" w:cs="Arial"/>
          <w:noProof/>
          <w:szCs w:val="24"/>
        </w:rPr>
        <w:t>(1), 1–12. https://doi.org/10.34068/joe.58.01.21</w:t>
      </w:r>
    </w:p>
    <w:p w14:paraId="33504668" w14:textId="77777777" w:rsidR="00A969AA" w:rsidRPr="00A969AA" w:rsidRDefault="0093673A" w:rsidP="00A969AA">
      <w:pPr>
        <w:widowControl w:val="0"/>
        <w:autoSpaceDE w:val="0"/>
        <w:autoSpaceDN w:val="0"/>
        <w:adjustRightInd w:val="0"/>
        <w:spacing w:after="80"/>
        <w:ind w:left="480" w:hanging="480"/>
        <w:jc w:val="both"/>
        <w:rPr>
          <w:rFonts w:ascii="Arial" w:hAnsi="Arial" w:cs="Arial"/>
          <w:lang w:eastAsia="en-ID"/>
        </w:rPr>
      </w:pPr>
      <w:r w:rsidRPr="00A969AA">
        <w:rPr>
          <w:rFonts w:ascii="Arial" w:hAnsi="Arial" w:cs="Arial"/>
          <w:lang w:eastAsia="en-ID"/>
        </w:rPr>
        <w:t xml:space="preserve">Miles, M. B., &amp; Huberman, A. M. (1994). </w:t>
      </w:r>
      <w:r w:rsidRPr="00A969AA">
        <w:rPr>
          <w:rFonts w:ascii="Arial" w:hAnsi="Arial" w:cs="Arial"/>
          <w:i/>
          <w:iCs/>
          <w:lang w:eastAsia="en-ID"/>
        </w:rPr>
        <w:t>Qualitative Data Analysis: An Expanded Sourcebook</w:t>
      </w:r>
      <w:r w:rsidRPr="00A969AA">
        <w:rPr>
          <w:rFonts w:ascii="Arial" w:hAnsi="Arial" w:cs="Arial"/>
          <w:lang w:eastAsia="en-ID"/>
        </w:rPr>
        <w:t>. Sage Publications</w:t>
      </w:r>
    </w:p>
    <w:p w14:paraId="29A9C7A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Miska, M., Hemon, M. T., Alam, S., Zulfikar, Z., Syaf, H., &amp; Ode, L. (2024). </w:t>
      </w:r>
      <w:r w:rsidRPr="005237B3">
        <w:rPr>
          <w:rFonts w:ascii="Arial" w:hAnsi="Arial" w:cs="Arial"/>
          <w:i/>
          <w:iCs/>
          <w:noProof/>
          <w:szCs w:val="24"/>
        </w:rPr>
        <w:t>Soil Study According to Pedology and Ethnopedology in Field Rice Farming in Kulisusu District, North Buton Regency</w:t>
      </w:r>
      <w:r w:rsidRPr="005237B3">
        <w:rPr>
          <w:rFonts w:ascii="Arial" w:hAnsi="Arial" w:cs="Arial"/>
          <w:noProof/>
          <w:szCs w:val="24"/>
        </w:rPr>
        <w:t xml:space="preserve">. </w:t>
      </w:r>
      <w:r w:rsidRPr="005237B3">
        <w:rPr>
          <w:rFonts w:ascii="Arial" w:hAnsi="Arial" w:cs="Arial"/>
          <w:i/>
          <w:iCs/>
          <w:noProof/>
          <w:szCs w:val="24"/>
        </w:rPr>
        <w:t>Consider using the Doctrine of Reason, 3</w:t>
      </w:r>
      <w:r w:rsidRPr="005237B3">
        <w:rPr>
          <w:rFonts w:ascii="Arial" w:hAnsi="Arial" w:cs="Arial"/>
          <w:noProof/>
          <w:szCs w:val="24"/>
        </w:rPr>
        <w:t>, 81–91.</w:t>
      </w:r>
    </w:p>
    <w:p w14:paraId="715DB45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Nord, A., Bekunda, M., McCormack, C., &amp; Snapp, S. (2022). Barriers to sustainable intensification: overlooked disconnects between agricultural extension and farmer practice in maize-vegetable cropping systems in Tanzania. </w:t>
      </w:r>
      <w:r w:rsidRPr="005237B3">
        <w:rPr>
          <w:rFonts w:ascii="Arial" w:hAnsi="Arial" w:cs="Arial"/>
          <w:i/>
          <w:iCs/>
          <w:noProof/>
          <w:szCs w:val="24"/>
        </w:rPr>
        <w:t>International Journal of Agricultural Sustainability</w:t>
      </w:r>
      <w:r w:rsidRPr="005237B3">
        <w:rPr>
          <w:rFonts w:ascii="Arial" w:hAnsi="Arial" w:cs="Arial"/>
          <w:noProof/>
          <w:szCs w:val="24"/>
        </w:rPr>
        <w:t xml:space="preserve">, </w:t>
      </w:r>
      <w:r w:rsidRPr="005237B3">
        <w:rPr>
          <w:rFonts w:ascii="Arial" w:hAnsi="Arial" w:cs="Arial"/>
          <w:i/>
          <w:iCs/>
          <w:noProof/>
          <w:szCs w:val="24"/>
        </w:rPr>
        <w:t>20</w:t>
      </w:r>
      <w:r w:rsidRPr="005237B3">
        <w:rPr>
          <w:rFonts w:ascii="Arial" w:hAnsi="Arial" w:cs="Arial"/>
          <w:noProof/>
          <w:szCs w:val="24"/>
        </w:rPr>
        <w:t>(4), 576–594. https://doi.org/10.1080/14735903.2021.1961416</w:t>
      </w:r>
    </w:p>
    <w:p w14:paraId="32DBBFC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Parson, T. (1968). </w:t>
      </w:r>
      <w:r w:rsidRPr="005237B3">
        <w:rPr>
          <w:rFonts w:ascii="Arial" w:hAnsi="Arial" w:cs="Arial"/>
          <w:i/>
          <w:iCs/>
          <w:noProof/>
          <w:szCs w:val="24"/>
        </w:rPr>
        <w:t>The Structure of Social Action</w:t>
      </w:r>
      <w:r w:rsidRPr="005237B3">
        <w:rPr>
          <w:rFonts w:ascii="Arial" w:hAnsi="Arial" w:cs="Arial"/>
          <w:noProof/>
          <w:szCs w:val="24"/>
        </w:rPr>
        <w:t>. Free Press.</w:t>
      </w:r>
    </w:p>
    <w:p w14:paraId="3357FC4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Parsons, T. (1951). The Social System. In </w:t>
      </w:r>
      <w:r w:rsidRPr="005237B3">
        <w:rPr>
          <w:rFonts w:ascii="Arial" w:hAnsi="Arial" w:cs="Arial"/>
          <w:i/>
          <w:iCs/>
          <w:noProof/>
          <w:szCs w:val="24"/>
        </w:rPr>
        <w:t>Pareto's General Sociology</w:t>
      </w:r>
      <w:r w:rsidRPr="005237B3">
        <w:rPr>
          <w:rFonts w:ascii="Arial" w:hAnsi="Arial" w:cs="Arial"/>
          <w:noProof/>
          <w:szCs w:val="24"/>
        </w:rPr>
        <w:t>. Routledge &amp; Kegan Paul Ltd. https://doi.org/10.4159/harvard.9780674493155.c3</w:t>
      </w:r>
    </w:p>
    <w:p w14:paraId="5176B76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Central Government of Indonesia. (2006). </w:t>
      </w:r>
      <w:r w:rsidRPr="005237B3">
        <w:rPr>
          <w:rFonts w:ascii="Arial" w:hAnsi="Arial" w:cs="Arial"/>
          <w:i/>
          <w:iCs/>
          <w:noProof/>
          <w:szCs w:val="24"/>
        </w:rPr>
        <w:t>Law of the Republic of Indonesia Number 16 of 2006 concerning the Agriculture, Fisheries, and Forestry Extension System</w:t>
      </w:r>
      <w:r w:rsidRPr="005237B3">
        <w:rPr>
          <w:rFonts w:ascii="Arial" w:hAnsi="Arial" w:cs="Arial"/>
          <w:noProof/>
          <w:szCs w:val="24"/>
        </w:rPr>
        <w:t>. Jakarta. https://peraturan.bpk.go.id/Details/40187</w:t>
      </w:r>
    </w:p>
    <w:p w14:paraId="5266519E"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Central Government of Indonesia. (2012). Law of the Republic of Indonesia Number 18 of 2012 concerning Food. </w:t>
      </w:r>
      <w:r w:rsidRPr="005237B3">
        <w:rPr>
          <w:rFonts w:ascii="Arial" w:hAnsi="Arial" w:cs="Arial"/>
          <w:i/>
          <w:iCs/>
          <w:noProof/>
          <w:szCs w:val="24"/>
        </w:rPr>
        <w:t>National Food Agency</w:t>
      </w:r>
      <w:r w:rsidRPr="005237B3">
        <w:rPr>
          <w:rFonts w:ascii="Arial" w:hAnsi="Arial" w:cs="Arial"/>
          <w:noProof/>
          <w:szCs w:val="24"/>
        </w:rPr>
        <w:t>, 1–11. https://badanpangan.go.id/blog/post/undang-undang-republik-indonesia-nomor-18-tahun-2012-tentang-pangan</w:t>
      </w:r>
    </w:p>
    <w:p w14:paraId="3A55EF85"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Prajapati, C. S., Priya, N. K., Bishnoi, S., Vishwakarma, S. K., Buvaneswari, K., Shastri, S., Tripathi, S., &amp; Jadhav, A. (2025). The Role of Participatory Approaches in Modern Agricultural Extension: Bridging Knowledge Gaps for Sustainable Farming Practices. </w:t>
      </w:r>
      <w:r w:rsidRPr="005237B3">
        <w:rPr>
          <w:rFonts w:ascii="Arial" w:hAnsi="Arial" w:cs="Arial"/>
          <w:i/>
          <w:iCs/>
          <w:noProof/>
          <w:szCs w:val="24"/>
        </w:rPr>
        <w:t>Journal of Experimental Agriculture International</w:t>
      </w:r>
      <w:r w:rsidRPr="005237B3">
        <w:rPr>
          <w:rFonts w:ascii="Arial" w:hAnsi="Arial" w:cs="Arial"/>
          <w:noProof/>
          <w:szCs w:val="24"/>
        </w:rPr>
        <w:t xml:space="preserve">, </w:t>
      </w:r>
      <w:r w:rsidRPr="005237B3">
        <w:rPr>
          <w:rFonts w:ascii="Arial" w:hAnsi="Arial" w:cs="Arial"/>
          <w:i/>
          <w:iCs/>
          <w:noProof/>
          <w:szCs w:val="24"/>
        </w:rPr>
        <w:t>47</w:t>
      </w:r>
      <w:r w:rsidRPr="005237B3">
        <w:rPr>
          <w:rFonts w:ascii="Arial" w:hAnsi="Arial" w:cs="Arial"/>
          <w:noProof/>
          <w:szCs w:val="24"/>
        </w:rPr>
        <w:t>(2), 204–222. https://doi.org/10.9734/jeai/2025/v47i23281</w:t>
      </w:r>
    </w:p>
    <w:p w14:paraId="0DD281FC"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Sangameswaran, R., Kumaravel, P., &amp; Akila, N. (2025). Perceived Impact of Climate Change and Adaptation Strategies of Dairy Farmers in Drought-prone Districts of Tamil Nadu , India. </w:t>
      </w:r>
      <w:r w:rsidRPr="005237B3">
        <w:rPr>
          <w:rFonts w:ascii="Arial" w:hAnsi="Arial" w:cs="Arial"/>
          <w:i/>
          <w:iCs/>
          <w:noProof/>
          <w:szCs w:val="24"/>
        </w:rPr>
        <w:t>Asian Journal of Agricultural Extension, Economis &amp; Sociology</w:t>
      </w:r>
      <w:r w:rsidRPr="005237B3">
        <w:rPr>
          <w:rFonts w:ascii="Arial" w:hAnsi="Arial" w:cs="Arial"/>
          <w:noProof/>
          <w:szCs w:val="24"/>
        </w:rPr>
        <w:t xml:space="preserve">, </w:t>
      </w:r>
      <w:r w:rsidRPr="005237B3">
        <w:rPr>
          <w:rFonts w:ascii="Arial" w:hAnsi="Arial" w:cs="Arial"/>
          <w:i/>
          <w:iCs/>
          <w:noProof/>
          <w:szCs w:val="24"/>
        </w:rPr>
        <w:t>43</w:t>
      </w:r>
      <w:r w:rsidRPr="005237B3">
        <w:rPr>
          <w:rFonts w:ascii="Arial" w:hAnsi="Arial" w:cs="Arial"/>
          <w:noProof/>
          <w:szCs w:val="24"/>
        </w:rPr>
        <w:t>(11), 100–105.</w:t>
      </w:r>
    </w:p>
    <w:p w14:paraId="5FD14AA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Sivayoganathan, C. (2020). Evolution of Agricultural Extension System in Sri Lanka. In </w:t>
      </w:r>
      <w:r w:rsidRPr="005237B3">
        <w:rPr>
          <w:rFonts w:ascii="Arial" w:hAnsi="Arial" w:cs="Arial"/>
          <w:i/>
          <w:iCs/>
          <w:noProof/>
          <w:szCs w:val="24"/>
        </w:rPr>
        <w:t>Agricultural Research for Sustainable Food Systems in Sri Lanka</w:t>
      </w:r>
      <w:r w:rsidRPr="005237B3">
        <w:rPr>
          <w:rFonts w:ascii="Arial" w:hAnsi="Arial" w:cs="Arial"/>
          <w:noProof/>
          <w:szCs w:val="24"/>
        </w:rPr>
        <w:t xml:space="preserve"> (pp. 351–367). Springer, Singapore. https://doi.org/10.1007/978-981-15-2152-2_15</w:t>
      </w:r>
    </w:p>
    <w:p w14:paraId="7B29EC04"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Swanson, B. E., &amp; Rajalahti, R. (2010). Extension and Advisory Systems: Procedures for Assessing, Transfomring, and Evaluating Extension Systems. In </w:t>
      </w:r>
      <w:r w:rsidRPr="005237B3">
        <w:rPr>
          <w:rFonts w:ascii="Arial" w:hAnsi="Arial" w:cs="Arial"/>
          <w:i/>
          <w:iCs/>
          <w:noProof/>
          <w:szCs w:val="24"/>
        </w:rPr>
        <w:t>World Bank Agriculture and Rural Development Discussion Paper 45</w:t>
      </w:r>
      <w:r w:rsidRPr="005237B3">
        <w:rPr>
          <w:rFonts w:ascii="Arial" w:hAnsi="Arial" w:cs="Arial"/>
          <w:noProof/>
          <w:szCs w:val="24"/>
        </w:rPr>
        <w:t>.</w:t>
      </w:r>
    </w:p>
    <w:p w14:paraId="12503F41"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lastRenderedPageBreak/>
        <w:t xml:space="preserve">Valera, J. B., Martinez, V. A., &amp; Plopino, R. F. (1987). </w:t>
      </w:r>
      <w:r w:rsidRPr="005237B3">
        <w:rPr>
          <w:rFonts w:ascii="Arial" w:hAnsi="Arial" w:cs="Arial"/>
          <w:i/>
          <w:iCs/>
          <w:noProof/>
          <w:szCs w:val="24"/>
        </w:rPr>
        <w:t>An Introduction to Extension Delivery Systems</w:t>
      </w:r>
      <w:r w:rsidRPr="005237B3">
        <w:rPr>
          <w:rFonts w:ascii="Arial" w:hAnsi="Arial" w:cs="Arial"/>
          <w:noProof/>
          <w:szCs w:val="24"/>
        </w:rPr>
        <w:t>. Island Publishing House.</w:t>
      </w:r>
    </w:p>
    <w:p w14:paraId="2B976660"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Varzakas, T., &amp; Smaoui, S. (2024). Global Food Security and Sustainability Issues: The Road to 2030 from Nutrition and Sustainable Healthy Diets to Food Systems Change. </w:t>
      </w:r>
      <w:r w:rsidRPr="005237B3">
        <w:rPr>
          <w:rFonts w:ascii="Arial" w:hAnsi="Arial" w:cs="Arial"/>
          <w:i/>
          <w:iCs/>
          <w:noProof/>
          <w:szCs w:val="24"/>
        </w:rPr>
        <w:t>Foods</w:t>
      </w:r>
      <w:r w:rsidRPr="005237B3">
        <w:rPr>
          <w:rFonts w:ascii="Arial" w:hAnsi="Arial" w:cs="Arial"/>
          <w:noProof/>
          <w:szCs w:val="24"/>
        </w:rPr>
        <w:t xml:space="preserve">, </w:t>
      </w:r>
      <w:r w:rsidRPr="005237B3">
        <w:rPr>
          <w:rFonts w:ascii="Arial" w:hAnsi="Arial" w:cs="Arial"/>
          <w:i/>
          <w:iCs/>
          <w:noProof/>
          <w:szCs w:val="24"/>
        </w:rPr>
        <w:t>13</w:t>
      </w:r>
      <w:r w:rsidRPr="005237B3">
        <w:rPr>
          <w:rFonts w:ascii="Arial" w:hAnsi="Arial" w:cs="Arial"/>
          <w:noProof/>
          <w:szCs w:val="24"/>
        </w:rPr>
        <w:t>(2). https://doi.org/10.3390/foods13020306</w:t>
      </w:r>
    </w:p>
    <w:p w14:paraId="6A3F2878"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Wahyuni, S., Asnani, A., Khaeruni, A., Dewi, N. D. P., Sarinah, S., &amp; Faradilla, R. H. F. (2023). Study on physicochemical characteristics of local colored rice varieties (black, red, brown, and white) fermented with lactic acid bacteria (SBM.4A). </w:t>
      </w:r>
      <w:r w:rsidRPr="005237B3">
        <w:rPr>
          <w:rFonts w:ascii="Arial" w:hAnsi="Arial" w:cs="Arial"/>
          <w:i/>
          <w:iCs/>
          <w:noProof/>
          <w:szCs w:val="24"/>
        </w:rPr>
        <w:t>Journal of Food Science and Technology</w:t>
      </w:r>
      <w:r w:rsidRPr="005237B3">
        <w:rPr>
          <w:rFonts w:ascii="Arial" w:hAnsi="Arial" w:cs="Arial"/>
          <w:noProof/>
          <w:szCs w:val="24"/>
        </w:rPr>
        <w:t xml:space="preserve">, </w:t>
      </w:r>
      <w:r w:rsidRPr="005237B3">
        <w:rPr>
          <w:rFonts w:ascii="Arial" w:hAnsi="Arial" w:cs="Arial"/>
          <w:i/>
          <w:iCs/>
          <w:noProof/>
          <w:szCs w:val="24"/>
        </w:rPr>
        <w:t>60</w:t>
      </w:r>
      <w:r w:rsidRPr="005237B3">
        <w:rPr>
          <w:rFonts w:ascii="Arial" w:hAnsi="Arial" w:cs="Arial"/>
          <w:noProof/>
          <w:szCs w:val="24"/>
        </w:rPr>
        <w:t>(12), 3035–3042. https://doi.org/10.1007/s13197-023-05813-0</w:t>
      </w:r>
    </w:p>
    <w:p w14:paraId="14007B42"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Wijerathna, M., &amp; Wanigasundera, W. A. D. (2020). Communication" in the Context of Agricultural Extension: Past, Present and Way Forward in Achieving Sustainable Food Systems in Sri Lanka. </w:t>
      </w:r>
      <w:r w:rsidRPr="005237B3">
        <w:rPr>
          <w:rFonts w:ascii="Arial" w:hAnsi="Arial" w:cs="Arial"/>
          <w:i/>
          <w:iCs/>
          <w:noProof/>
          <w:szCs w:val="24"/>
        </w:rPr>
        <w:t>Agricultural Research for Sustainable Food Systems in Sri Lanka: Volume 2: A Pursuit for Advancements</w:t>
      </w:r>
      <w:r w:rsidRPr="005237B3">
        <w:rPr>
          <w:rFonts w:ascii="Arial" w:hAnsi="Arial" w:cs="Arial"/>
          <w:noProof/>
          <w:szCs w:val="24"/>
        </w:rPr>
        <w:t xml:space="preserve">, </w:t>
      </w:r>
      <w:r w:rsidRPr="005237B3">
        <w:rPr>
          <w:rFonts w:ascii="Arial" w:hAnsi="Arial" w:cs="Arial"/>
          <w:i/>
          <w:iCs/>
          <w:noProof/>
          <w:szCs w:val="24"/>
        </w:rPr>
        <w:t xml:space="preserve">2 </w:t>
      </w:r>
      <w:r w:rsidRPr="005237B3">
        <w:rPr>
          <w:rFonts w:ascii="Arial" w:hAnsi="Arial" w:cs="Arial"/>
          <w:noProof/>
          <w:szCs w:val="24"/>
        </w:rPr>
        <w:t>(October 2020), 1–528. https://doi.org/10.1007/978-981-15-3673-1</w:t>
      </w:r>
    </w:p>
    <w:p w14:paraId="71854986"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Yanfika, H., Effendi, I., &amp; Ansari, A. (2024). The role of agricultural extension services on supporting circular bioeconomy in Indonesia. </w:t>
      </w:r>
      <w:r w:rsidRPr="005237B3">
        <w:rPr>
          <w:rFonts w:ascii="Arial" w:hAnsi="Arial" w:cs="Arial"/>
          <w:i/>
          <w:iCs/>
          <w:noProof/>
          <w:szCs w:val="24"/>
        </w:rPr>
        <w:t>Frountier in Sustainable Food System</w:t>
      </w:r>
      <w:r w:rsidRPr="005237B3">
        <w:rPr>
          <w:rFonts w:ascii="Arial" w:hAnsi="Arial" w:cs="Arial"/>
          <w:noProof/>
          <w:szCs w:val="24"/>
        </w:rPr>
        <w:t xml:space="preserve">, </w:t>
      </w:r>
      <w:r w:rsidRPr="005237B3">
        <w:rPr>
          <w:rFonts w:ascii="Arial" w:hAnsi="Arial" w:cs="Arial"/>
          <w:i/>
          <w:iCs/>
          <w:noProof/>
          <w:szCs w:val="24"/>
        </w:rPr>
        <w:t>July</w:t>
      </w:r>
      <w:r w:rsidRPr="005237B3">
        <w:rPr>
          <w:rFonts w:ascii="Arial" w:hAnsi="Arial" w:cs="Arial"/>
          <w:noProof/>
          <w:szCs w:val="24"/>
        </w:rPr>
        <w:t>, 1–6. https://doi.org/10.3389/fsufs.2024.1428069</w:t>
      </w:r>
    </w:p>
    <w:p w14:paraId="21627C83"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Yin, R. . (1981). The Case Study Crisis: Some Answers. </w:t>
      </w:r>
      <w:r w:rsidRPr="005237B3">
        <w:rPr>
          <w:rFonts w:ascii="Arial" w:hAnsi="Arial" w:cs="Arial"/>
          <w:i/>
          <w:iCs/>
          <w:noProof/>
          <w:szCs w:val="24"/>
        </w:rPr>
        <w:t>Administrative Science Quarterly. Sage Publication</w:t>
      </w:r>
      <w:r w:rsidRPr="005237B3">
        <w:rPr>
          <w:rFonts w:ascii="Arial" w:hAnsi="Arial" w:cs="Arial"/>
          <w:noProof/>
          <w:szCs w:val="24"/>
        </w:rPr>
        <w:t xml:space="preserve">, </w:t>
      </w:r>
      <w:r w:rsidRPr="005237B3">
        <w:rPr>
          <w:rFonts w:ascii="Arial" w:hAnsi="Arial" w:cs="Arial"/>
          <w:i/>
          <w:iCs/>
          <w:noProof/>
          <w:szCs w:val="24"/>
        </w:rPr>
        <w:t>26</w:t>
      </w:r>
      <w:r w:rsidRPr="005237B3">
        <w:rPr>
          <w:rFonts w:ascii="Arial" w:hAnsi="Arial" w:cs="Arial"/>
          <w:noProof/>
          <w:szCs w:val="24"/>
        </w:rPr>
        <w:t>(1), 58–65. https://doi.org/https://doi.org/10.2307/2392599</w:t>
      </w:r>
    </w:p>
    <w:p w14:paraId="5A4F778B" w14:textId="77777777" w:rsidR="005237B3" w:rsidRPr="005237B3" w:rsidRDefault="0093673A" w:rsidP="00134541">
      <w:pPr>
        <w:widowControl w:val="0"/>
        <w:autoSpaceDE w:val="0"/>
        <w:autoSpaceDN w:val="0"/>
        <w:adjustRightInd w:val="0"/>
        <w:ind w:left="480" w:hanging="480"/>
        <w:jc w:val="both"/>
        <w:rPr>
          <w:rFonts w:ascii="Arial" w:hAnsi="Arial" w:cs="Arial"/>
          <w:noProof/>
          <w:szCs w:val="24"/>
        </w:rPr>
      </w:pPr>
      <w:r w:rsidRPr="005237B3">
        <w:rPr>
          <w:rFonts w:ascii="Arial" w:hAnsi="Arial" w:cs="Arial"/>
          <w:noProof/>
          <w:szCs w:val="24"/>
        </w:rPr>
        <w:t xml:space="preserve">Yin, R. . (2014). Case Study Research: Design and Methods (5th ed.). </w:t>
      </w:r>
      <w:r w:rsidRPr="005237B3">
        <w:rPr>
          <w:rFonts w:ascii="Arial" w:hAnsi="Arial" w:cs="Arial"/>
          <w:i/>
          <w:iCs/>
          <w:noProof/>
          <w:szCs w:val="24"/>
        </w:rPr>
        <w:t>Sage Publications</w:t>
      </w:r>
      <w:r w:rsidRPr="005237B3">
        <w:rPr>
          <w:rFonts w:ascii="Arial" w:hAnsi="Arial" w:cs="Arial"/>
          <w:noProof/>
          <w:szCs w:val="24"/>
        </w:rPr>
        <w:t>. Sage Publications.</w:t>
      </w:r>
    </w:p>
    <w:p w14:paraId="35A9F40D" w14:textId="77777777" w:rsidR="005237B3" w:rsidRPr="005237B3" w:rsidRDefault="0093673A" w:rsidP="00134541">
      <w:pPr>
        <w:widowControl w:val="0"/>
        <w:autoSpaceDE w:val="0"/>
        <w:autoSpaceDN w:val="0"/>
        <w:adjustRightInd w:val="0"/>
        <w:ind w:left="480" w:hanging="480"/>
        <w:jc w:val="both"/>
        <w:rPr>
          <w:rFonts w:ascii="Arial" w:hAnsi="Arial" w:cs="Arial"/>
          <w:noProof/>
        </w:rPr>
      </w:pPr>
      <w:r w:rsidRPr="005237B3">
        <w:rPr>
          <w:rFonts w:ascii="Arial" w:hAnsi="Arial" w:cs="Arial"/>
          <w:noProof/>
          <w:szCs w:val="24"/>
        </w:rPr>
        <w:t xml:space="preserve">Zakariah, M. R. (2024). </w:t>
      </w:r>
      <w:r w:rsidRPr="005237B3">
        <w:rPr>
          <w:rFonts w:ascii="Arial" w:hAnsi="Arial" w:cs="Arial"/>
          <w:i/>
          <w:iCs/>
          <w:noProof/>
          <w:szCs w:val="24"/>
        </w:rPr>
        <w:t>2023 Local Government Implementation Report</w:t>
      </w:r>
      <w:r w:rsidRPr="005237B3">
        <w:rPr>
          <w:rFonts w:ascii="Arial" w:hAnsi="Arial" w:cs="Arial"/>
          <w:noProof/>
          <w:szCs w:val="24"/>
        </w:rPr>
        <w:t>.</w:t>
      </w:r>
    </w:p>
    <w:p w14:paraId="5404676B" w14:textId="77777777" w:rsidR="004D4277" w:rsidRPr="00FB3A86" w:rsidRDefault="0093673A" w:rsidP="002265E7">
      <w:pPr>
        <w:pStyle w:val="Body"/>
        <w:spacing w:after="0"/>
        <w:rPr>
          <w:rFonts w:ascii="Arial" w:hAnsi="Arial" w:cs="Arial"/>
          <w:b/>
        </w:rPr>
        <w:sectPr w:rsidR="004D4277" w:rsidRPr="00FB3A86" w:rsidSect="004E398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Pr>
          <w:rFonts w:ascii="Arial" w:hAnsi="Arial" w:cs="Arial"/>
        </w:rPr>
        <w:fldChar w:fldCharType="end"/>
      </w:r>
    </w:p>
    <w:p w14:paraId="480065C3" w14:textId="77777777" w:rsidR="00B01FCD" w:rsidRPr="00FB3A86" w:rsidRDefault="00B01FCD" w:rsidP="00441B6F">
      <w:pPr>
        <w:pStyle w:val="Appendix"/>
        <w:spacing w:after="0"/>
        <w:jc w:val="both"/>
        <w:rPr>
          <w:rFonts w:ascii="Arial" w:hAnsi="Arial" w:cs="Arial"/>
          <w:b w:val="0"/>
        </w:rPr>
      </w:pPr>
    </w:p>
    <w:sectPr w:rsidR="00B01FCD" w:rsidRPr="00FB3A86" w:rsidSect="004E39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54D28" w14:textId="77777777" w:rsidR="00AB35EE" w:rsidRDefault="00AB35EE">
      <w:r>
        <w:separator/>
      </w:r>
    </w:p>
  </w:endnote>
  <w:endnote w:type="continuationSeparator" w:id="0">
    <w:p w14:paraId="1B639DD8" w14:textId="77777777" w:rsidR="00AB35EE" w:rsidRDefault="00AB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AAFE" w14:textId="77777777" w:rsidR="00F00239" w:rsidRDefault="00F0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6AAC" w14:textId="77777777" w:rsidR="00A97F9E" w:rsidRPr="00C37E61" w:rsidRDefault="00A97F9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5063" w14:textId="77777777" w:rsidR="00F00239" w:rsidRDefault="00F0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AFBC" w14:textId="77777777" w:rsidR="00AB35EE" w:rsidRDefault="00AB35EE">
      <w:r>
        <w:separator/>
      </w:r>
    </w:p>
  </w:footnote>
  <w:footnote w:type="continuationSeparator" w:id="0">
    <w:p w14:paraId="100BD0D8" w14:textId="77777777" w:rsidR="00AB35EE" w:rsidRDefault="00AB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0A92" w14:textId="5C87E070" w:rsidR="00F00239" w:rsidRDefault="00F00239">
    <w:pPr>
      <w:pStyle w:val="Header"/>
    </w:pPr>
    <w:r>
      <w:rPr>
        <w:noProof/>
      </w:rPr>
      <w:pict w14:anchorId="24BC0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BFB7" w14:textId="28F5938C" w:rsidR="00F00239" w:rsidRDefault="00F00239">
    <w:pPr>
      <w:pStyle w:val="Header"/>
    </w:pPr>
    <w:r>
      <w:rPr>
        <w:noProof/>
      </w:rPr>
      <w:pict w14:anchorId="19854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9BDC" w14:textId="34454B4B" w:rsidR="00F00239" w:rsidRDefault="00F00239">
    <w:pPr>
      <w:pStyle w:val="Header"/>
    </w:pPr>
    <w:r>
      <w:rPr>
        <w:noProof/>
      </w:rPr>
      <w:pict w14:anchorId="1AC28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60CCDCAE">
      <w:start w:val="1"/>
      <w:numFmt w:val="bullet"/>
      <w:lvlText w:val=""/>
      <w:lvlJc w:val="left"/>
      <w:pPr>
        <w:ind w:left="720" w:hanging="360"/>
      </w:pPr>
      <w:rPr>
        <w:rFonts w:ascii="Wingdings" w:hAnsi="Wingdings" w:hint="default"/>
      </w:rPr>
    </w:lvl>
    <w:lvl w:ilvl="1" w:tplc="BA444C3A" w:tentative="1">
      <w:start w:val="1"/>
      <w:numFmt w:val="bullet"/>
      <w:lvlText w:val="o"/>
      <w:lvlJc w:val="left"/>
      <w:pPr>
        <w:ind w:left="1440" w:hanging="360"/>
      </w:pPr>
      <w:rPr>
        <w:rFonts w:ascii="Courier New" w:hAnsi="Courier New" w:cs="Courier New" w:hint="default"/>
      </w:rPr>
    </w:lvl>
    <w:lvl w:ilvl="2" w:tplc="B2F4D910" w:tentative="1">
      <w:start w:val="1"/>
      <w:numFmt w:val="bullet"/>
      <w:lvlText w:val=""/>
      <w:lvlJc w:val="left"/>
      <w:pPr>
        <w:ind w:left="2160" w:hanging="360"/>
      </w:pPr>
      <w:rPr>
        <w:rFonts w:ascii="Wingdings" w:hAnsi="Wingdings" w:hint="default"/>
      </w:rPr>
    </w:lvl>
    <w:lvl w:ilvl="3" w:tplc="F39C3A64" w:tentative="1">
      <w:start w:val="1"/>
      <w:numFmt w:val="bullet"/>
      <w:lvlText w:val=""/>
      <w:lvlJc w:val="left"/>
      <w:pPr>
        <w:ind w:left="2880" w:hanging="360"/>
      </w:pPr>
      <w:rPr>
        <w:rFonts w:ascii="Symbol" w:hAnsi="Symbol" w:hint="default"/>
      </w:rPr>
    </w:lvl>
    <w:lvl w:ilvl="4" w:tplc="7C54333A" w:tentative="1">
      <w:start w:val="1"/>
      <w:numFmt w:val="bullet"/>
      <w:lvlText w:val="o"/>
      <w:lvlJc w:val="left"/>
      <w:pPr>
        <w:ind w:left="3600" w:hanging="360"/>
      </w:pPr>
      <w:rPr>
        <w:rFonts w:ascii="Courier New" w:hAnsi="Courier New" w:cs="Courier New" w:hint="default"/>
      </w:rPr>
    </w:lvl>
    <w:lvl w:ilvl="5" w:tplc="C0DE9D3C" w:tentative="1">
      <w:start w:val="1"/>
      <w:numFmt w:val="bullet"/>
      <w:lvlText w:val=""/>
      <w:lvlJc w:val="left"/>
      <w:pPr>
        <w:ind w:left="4320" w:hanging="360"/>
      </w:pPr>
      <w:rPr>
        <w:rFonts w:ascii="Wingdings" w:hAnsi="Wingdings" w:hint="default"/>
      </w:rPr>
    </w:lvl>
    <w:lvl w:ilvl="6" w:tplc="AEF6BE74" w:tentative="1">
      <w:start w:val="1"/>
      <w:numFmt w:val="bullet"/>
      <w:lvlText w:val=""/>
      <w:lvlJc w:val="left"/>
      <w:pPr>
        <w:ind w:left="5040" w:hanging="360"/>
      </w:pPr>
      <w:rPr>
        <w:rFonts w:ascii="Symbol" w:hAnsi="Symbol" w:hint="default"/>
      </w:rPr>
    </w:lvl>
    <w:lvl w:ilvl="7" w:tplc="E716BD48" w:tentative="1">
      <w:start w:val="1"/>
      <w:numFmt w:val="bullet"/>
      <w:lvlText w:val="o"/>
      <w:lvlJc w:val="left"/>
      <w:pPr>
        <w:ind w:left="5760" w:hanging="360"/>
      </w:pPr>
      <w:rPr>
        <w:rFonts w:ascii="Courier New" w:hAnsi="Courier New" w:cs="Courier New" w:hint="default"/>
      </w:rPr>
    </w:lvl>
    <w:lvl w:ilvl="8" w:tplc="ECA88722"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F3F43"/>
    <w:multiLevelType w:val="multilevel"/>
    <w:tmpl w:val="3D7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AB6122"/>
    <w:multiLevelType w:val="multilevel"/>
    <w:tmpl w:val="52BE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C00413A6">
      <w:numFmt w:val="bullet"/>
      <w:lvlText w:val="·"/>
      <w:lvlJc w:val="left"/>
      <w:pPr>
        <w:ind w:left="900" w:hanging="540"/>
      </w:pPr>
      <w:rPr>
        <w:rFonts w:ascii="Arial" w:eastAsia="Times New Roman" w:hAnsi="Arial" w:cs="Arial" w:hint="default"/>
      </w:rPr>
    </w:lvl>
    <w:lvl w:ilvl="1" w:tplc="4AF867BA" w:tentative="1">
      <w:start w:val="1"/>
      <w:numFmt w:val="bullet"/>
      <w:lvlText w:val="o"/>
      <w:lvlJc w:val="left"/>
      <w:pPr>
        <w:ind w:left="1440" w:hanging="360"/>
      </w:pPr>
      <w:rPr>
        <w:rFonts w:ascii="Courier New" w:hAnsi="Courier New" w:cs="Courier New" w:hint="default"/>
      </w:rPr>
    </w:lvl>
    <w:lvl w:ilvl="2" w:tplc="A41C79A2" w:tentative="1">
      <w:start w:val="1"/>
      <w:numFmt w:val="bullet"/>
      <w:lvlText w:val=""/>
      <w:lvlJc w:val="left"/>
      <w:pPr>
        <w:ind w:left="2160" w:hanging="360"/>
      </w:pPr>
      <w:rPr>
        <w:rFonts w:ascii="Wingdings" w:hAnsi="Wingdings" w:hint="default"/>
      </w:rPr>
    </w:lvl>
    <w:lvl w:ilvl="3" w:tplc="AF8E6962" w:tentative="1">
      <w:start w:val="1"/>
      <w:numFmt w:val="bullet"/>
      <w:lvlText w:val=""/>
      <w:lvlJc w:val="left"/>
      <w:pPr>
        <w:ind w:left="2880" w:hanging="360"/>
      </w:pPr>
      <w:rPr>
        <w:rFonts w:ascii="Symbol" w:hAnsi="Symbol" w:hint="default"/>
      </w:rPr>
    </w:lvl>
    <w:lvl w:ilvl="4" w:tplc="58EA6F54" w:tentative="1">
      <w:start w:val="1"/>
      <w:numFmt w:val="bullet"/>
      <w:lvlText w:val="o"/>
      <w:lvlJc w:val="left"/>
      <w:pPr>
        <w:ind w:left="3600" w:hanging="360"/>
      </w:pPr>
      <w:rPr>
        <w:rFonts w:ascii="Courier New" w:hAnsi="Courier New" w:cs="Courier New" w:hint="default"/>
      </w:rPr>
    </w:lvl>
    <w:lvl w:ilvl="5" w:tplc="7CBE286E" w:tentative="1">
      <w:start w:val="1"/>
      <w:numFmt w:val="bullet"/>
      <w:lvlText w:val=""/>
      <w:lvlJc w:val="left"/>
      <w:pPr>
        <w:ind w:left="4320" w:hanging="360"/>
      </w:pPr>
      <w:rPr>
        <w:rFonts w:ascii="Wingdings" w:hAnsi="Wingdings" w:hint="default"/>
      </w:rPr>
    </w:lvl>
    <w:lvl w:ilvl="6" w:tplc="6D106044" w:tentative="1">
      <w:start w:val="1"/>
      <w:numFmt w:val="bullet"/>
      <w:lvlText w:val=""/>
      <w:lvlJc w:val="left"/>
      <w:pPr>
        <w:ind w:left="5040" w:hanging="360"/>
      </w:pPr>
      <w:rPr>
        <w:rFonts w:ascii="Symbol" w:hAnsi="Symbol" w:hint="default"/>
      </w:rPr>
    </w:lvl>
    <w:lvl w:ilvl="7" w:tplc="6A7EC126" w:tentative="1">
      <w:start w:val="1"/>
      <w:numFmt w:val="bullet"/>
      <w:lvlText w:val="o"/>
      <w:lvlJc w:val="left"/>
      <w:pPr>
        <w:ind w:left="5760" w:hanging="360"/>
      </w:pPr>
      <w:rPr>
        <w:rFonts w:ascii="Courier New" w:hAnsi="Courier New" w:cs="Courier New" w:hint="default"/>
      </w:rPr>
    </w:lvl>
    <w:lvl w:ilvl="8" w:tplc="656425B4"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C7100A"/>
    <w:multiLevelType w:val="multilevel"/>
    <w:tmpl w:val="EF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04EE2"/>
    <w:multiLevelType w:val="multilevel"/>
    <w:tmpl w:val="F51A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9427D3"/>
    <w:multiLevelType w:val="multilevel"/>
    <w:tmpl w:val="E2B4D2E4"/>
    <w:lvl w:ilvl="0">
      <w:start w:val="3"/>
      <w:numFmt w:val="decimal"/>
      <w:lvlText w:val="%1."/>
      <w:lvlJc w:val="left"/>
      <w:pPr>
        <w:ind w:left="360" w:hanging="360"/>
      </w:pPr>
      <w:rPr>
        <w:rFonts w:ascii="Helvetica" w:hAnsi="Helvetica" w:cs="Times New Roman" w:hint="default"/>
      </w:rPr>
    </w:lvl>
    <w:lvl w:ilvl="1">
      <w:start w:val="5"/>
      <w:numFmt w:val="decimal"/>
      <w:lvlText w:val="%1.%2."/>
      <w:lvlJc w:val="left"/>
      <w:pPr>
        <w:ind w:left="360" w:hanging="360"/>
      </w:pPr>
      <w:rPr>
        <w:rFonts w:ascii="Helvetica" w:hAnsi="Helvetica" w:cs="Times New Roman" w:hint="default"/>
      </w:rPr>
    </w:lvl>
    <w:lvl w:ilvl="2">
      <w:start w:val="1"/>
      <w:numFmt w:val="decimal"/>
      <w:lvlText w:val="%1.%2.%3."/>
      <w:lvlJc w:val="left"/>
      <w:pPr>
        <w:ind w:left="720" w:hanging="720"/>
      </w:pPr>
      <w:rPr>
        <w:rFonts w:ascii="Helvetica" w:hAnsi="Helvetica" w:cs="Times New Roman" w:hint="default"/>
      </w:rPr>
    </w:lvl>
    <w:lvl w:ilvl="3">
      <w:start w:val="1"/>
      <w:numFmt w:val="decimal"/>
      <w:lvlText w:val="%1.%2.%3.%4."/>
      <w:lvlJc w:val="left"/>
      <w:pPr>
        <w:ind w:left="720" w:hanging="720"/>
      </w:pPr>
      <w:rPr>
        <w:rFonts w:ascii="Helvetica" w:hAnsi="Helvetica" w:cs="Times New Roman" w:hint="default"/>
      </w:rPr>
    </w:lvl>
    <w:lvl w:ilvl="4">
      <w:start w:val="1"/>
      <w:numFmt w:val="decimal"/>
      <w:lvlText w:val="%1.%2.%3.%4.%5."/>
      <w:lvlJc w:val="left"/>
      <w:pPr>
        <w:ind w:left="1080" w:hanging="1080"/>
      </w:pPr>
      <w:rPr>
        <w:rFonts w:ascii="Helvetica" w:hAnsi="Helvetica" w:cs="Times New Roman" w:hint="default"/>
      </w:rPr>
    </w:lvl>
    <w:lvl w:ilvl="5">
      <w:start w:val="1"/>
      <w:numFmt w:val="decimal"/>
      <w:lvlText w:val="%1.%2.%3.%4.%5.%6."/>
      <w:lvlJc w:val="left"/>
      <w:pPr>
        <w:ind w:left="1080" w:hanging="1080"/>
      </w:pPr>
      <w:rPr>
        <w:rFonts w:ascii="Helvetica" w:hAnsi="Helvetica" w:cs="Times New Roman" w:hint="default"/>
      </w:rPr>
    </w:lvl>
    <w:lvl w:ilvl="6">
      <w:start w:val="1"/>
      <w:numFmt w:val="decimal"/>
      <w:lvlText w:val="%1.%2.%3.%4.%5.%6.%7."/>
      <w:lvlJc w:val="left"/>
      <w:pPr>
        <w:ind w:left="1440" w:hanging="1440"/>
      </w:pPr>
      <w:rPr>
        <w:rFonts w:ascii="Helvetica" w:hAnsi="Helvetica" w:cs="Times New Roman" w:hint="default"/>
      </w:rPr>
    </w:lvl>
    <w:lvl w:ilvl="7">
      <w:start w:val="1"/>
      <w:numFmt w:val="decimal"/>
      <w:lvlText w:val="%1.%2.%3.%4.%5.%6.%7.%8."/>
      <w:lvlJc w:val="left"/>
      <w:pPr>
        <w:ind w:left="1440" w:hanging="1440"/>
      </w:pPr>
      <w:rPr>
        <w:rFonts w:ascii="Helvetica" w:hAnsi="Helvetica" w:cs="Times New Roman" w:hint="default"/>
      </w:rPr>
    </w:lvl>
    <w:lvl w:ilvl="8">
      <w:start w:val="1"/>
      <w:numFmt w:val="decimal"/>
      <w:lvlText w:val="%1.%2.%3.%4.%5.%6.%7.%8.%9."/>
      <w:lvlJc w:val="left"/>
      <w:pPr>
        <w:ind w:left="1800" w:hanging="1800"/>
      </w:pPr>
      <w:rPr>
        <w:rFonts w:ascii="Helvetica" w:hAnsi="Helvetica" w:cs="Times New Roman"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782CA230">
      <w:start w:val="1"/>
      <w:numFmt w:val="bullet"/>
      <w:lvlText w:val=""/>
      <w:lvlJc w:val="left"/>
      <w:pPr>
        <w:tabs>
          <w:tab w:val="num" w:pos="720"/>
        </w:tabs>
        <w:ind w:left="720" w:hanging="360"/>
      </w:pPr>
      <w:rPr>
        <w:rFonts w:ascii="Symbol" w:hAnsi="Symbol" w:hint="default"/>
      </w:rPr>
    </w:lvl>
    <w:lvl w:ilvl="1" w:tplc="785AA4C4" w:tentative="1">
      <w:start w:val="1"/>
      <w:numFmt w:val="bullet"/>
      <w:lvlText w:val="o"/>
      <w:lvlJc w:val="left"/>
      <w:pPr>
        <w:tabs>
          <w:tab w:val="num" w:pos="1440"/>
        </w:tabs>
        <w:ind w:left="1440" w:hanging="360"/>
      </w:pPr>
      <w:rPr>
        <w:rFonts w:ascii="Courier New" w:hAnsi="Courier New" w:cs="Courier New" w:hint="default"/>
      </w:rPr>
    </w:lvl>
    <w:lvl w:ilvl="2" w:tplc="76760B16" w:tentative="1">
      <w:start w:val="1"/>
      <w:numFmt w:val="bullet"/>
      <w:lvlText w:val=""/>
      <w:lvlJc w:val="left"/>
      <w:pPr>
        <w:tabs>
          <w:tab w:val="num" w:pos="2160"/>
        </w:tabs>
        <w:ind w:left="2160" w:hanging="360"/>
      </w:pPr>
      <w:rPr>
        <w:rFonts w:ascii="Wingdings" w:hAnsi="Wingdings" w:hint="default"/>
      </w:rPr>
    </w:lvl>
    <w:lvl w:ilvl="3" w:tplc="BF4AF702" w:tentative="1">
      <w:start w:val="1"/>
      <w:numFmt w:val="bullet"/>
      <w:lvlText w:val=""/>
      <w:lvlJc w:val="left"/>
      <w:pPr>
        <w:tabs>
          <w:tab w:val="num" w:pos="2880"/>
        </w:tabs>
        <w:ind w:left="2880" w:hanging="360"/>
      </w:pPr>
      <w:rPr>
        <w:rFonts w:ascii="Symbol" w:hAnsi="Symbol" w:hint="default"/>
      </w:rPr>
    </w:lvl>
    <w:lvl w:ilvl="4" w:tplc="CD0021B0" w:tentative="1">
      <w:start w:val="1"/>
      <w:numFmt w:val="bullet"/>
      <w:lvlText w:val="o"/>
      <w:lvlJc w:val="left"/>
      <w:pPr>
        <w:tabs>
          <w:tab w:val="num" w:pos="3600"/>
        </w:tabs>
        <w:ind w:left="3600" w:hanging="360"/>
      </w:pPr>
      <w:rPr>
        <w:rFonts w:ascii="Courier New" w:hAnsi="Courier New" w:cs="Courier New" w:hint="default"/>
      </w:rPr>
    </w:lvl>
    <w:lvl w:ilvl="5" w:tplc="C8608CE6" w:tentative="1">
      <w:start w:val="1"/>
      <w:numFmt w:val="bullet"/>
      <w:lvlText w:val=""/>
      <w:lvlJc w:val="left"/>
      <w:pPr>
        <w:tabs>
          <w:tab w:val="num" w:pos="4320"/>
        </w:tabs>
        <w:ind w:left="4320" w:hanging="360"/>
      </w:pPr>
      <w:rPr>
        <w:rFonts w:ascii="Wingdings" w:hAnsi="Wingdings" w:hint="default"/>
      </w:rPr>
    </w:lvl>
    <w:lvl w:ilvl="6" w:tplc="CF743086" w:tentative="1">
      <w:start w:val="1"/>
      <w:numFmt w:val="bullet"/>
      <w:lvlText w:val=""/>
      <w:lvlJc w:val="left"/>
      <w:pPr>
        <w:tabs>
          <w:tab w:val="num" w:pos="5040"/>
        </w:tabs>
        <w:ind w:left="5040" w:hanging="360"/>
      </w:pPr>
      <w:rPr>
        <w:rFonts w:ascii="Symbol" w:hAnsi="Symbol" w:hint="default"/>
      </w:rPr>
    </w:lvl>
    <w:lvl w:ilvl="7" w:tplc="DACA143E" w:tentative="1">
      <w:start w:val="1"/>
      <w:numFmt w:val="bullet"/>
      <w:lvlText w:val="o"/>
      <w:lvlJc w:val="left"/>
      <w:pPr>
        <w:tabs>
          <w:tab w:val="num" w:pos="5760"/>
        </w:tabs>
        <w:ind w:left="5760" w:hanging="360"/>
      </w:pPr>
      <w:rPr>
        <w:rFonts w:ascii="Courier New" w:hAnsi="Courier New" w:cs="Courier New" w:hint="default"/>
      </w:rPr>
    </w:lvl>
    <w:lvl w:ilvl="8" w:tplc="FFF4CA8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F05239A0">
      <w:start w:val="1"/>
      <w:numFmt w:val="decimal"/>
      <w:lvlText w:val="%1."/>
      <w:lvlJc w:val="left"/>
      <w:pPr>
        <w:ind w:left="720" w:hanging="360"/>
      </w:pPr>
    </w:lvl>
    <w:lvl w:ilvl="1" w:tplc="3962B180" w:tentative="1">
      <w:start w:val="1"/>
      <w:numFmt w:val="lowerLetter"/>
      <w:lvlText w:val="%2."/>
      <w:lvlJc w:val="left"/>
      <w:pPr>
        <w:ind w:left="1440" w:hanging="360"/>
      </w:pPr>
    </w:lvl>
    <w:lvl w:ilvl="2" w:tplc="325C6D92" w:tentative="1">
      <w:start w:val="1"/>
      <w:numFmt w:val="lowerRoman"/>
      <w:lvlText w:val="%3."/>
      <w:lvlJc w:val="right"/>
      <w:pPr>
        <w:ind w:left="2160" w:hanging="180"/>
      </w:pPr>
    </w:lvl>
    <w:lvl w:ilvl="3" w:tplc="E616780C" w:tentative="1">
      <w:start w:val="1"/>
      <w:numFmt w:val="decimal"/>
      <w:lvlText w:val="%4."/>
      <w:lvlJc w:val="left"/>
      <w:pPr>
        <w:ind w:left="2880" w:hanging="360"/>
      </w:pPr>
    </w:lvl>
    <w:lvl w:ilvl="4" w:tplc="D60AD7CE" w:tentative="1">
      <w:start w:val="1"/>
      <w:numFmt w:val="lowerLetter"/>
      <w:lvlText w:val="%5."/>
      <w:lvlJc w:val="left"/>
      <w:pPr>
        <w:ind w:left="3600" w:hanging="360"/>
      </w:pPr>
    </w:lvl>
    <w:lvl w:ilvl="5" w:tplc="769E2AF0" w:tentative="1">
      <w:start w:val="1"/>
      <w:numFmt w:val="lowerRoman"/>
      <w:lvlText w:val="%6."/>
      <w:lvlJc w:val="right"/>
      <w:pPr>
        <w:ind w:left="4320" w:hanging="180"/>
      </w:pPr>
    </w:lvl>
    <w:lvl w:ilvl="6" w:tplc="A20AFE12" w:tentative="1">
      <w:start w:val="1"/>
      <w:numFmt w:val="decimal"/>
      <w:lvlText w:val="%7."/>
      <w:lvlJc w:val="left"/>
      <w:pPr>
        <w:ind w:left="5040" w:hanging="360"/>
      </w:pPr>
    </w:lvl>
    <w:lvl w:ilvl="7" w:tplc="B04CE6DC" w:tentative="1">
      <w:start w:val="1"/>
      <w:numFmt w:val="lowerLetter"/>
      <w:lvlText w:val="%8."/>
      <w:lvlJc w:val="left"/>
      <w:pPr>
        <w:ind w:left="5760" w:hanging="360"/>
      </w:pPr>
    </w:lvl>
    <w:lvl w:ilvl="8" w:tplc="1DC46130"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16"/>
  </w:num>
  <w:num w:numId="32">
    <w:abstractNumId w:val="21"/>
  </w:num>
  <w:num w:numId="33">
    <w:abstractNumId w:val="20"/>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A6F"/>
    <w:rsid w:val="00000F8F"/>
    <w:rsid w:val="00030174"/>
    <w:rsid w:val="0004579C"/>
    <w:rsid w:val="00052219"/>
    <w:rsid w:val="000701F8"/>
    <w:rsid w:val="00081CCB"/>
    <w:rsid w:val="000A47FA"/>
    <w:rsid w:val="000A65D3"/>
    <w:rsid w:val="000B1E33"/>
    <w:rsid w:val="000B2D5A"/>
    <w:rsid w:val="000D689F"/>
    <w:rsid w:val="000E7B7B"/>
    <w:rsid w:val="000E7D62"/>
    <w:rsid w:val="000F0056"/>
    <w:rsid w:val="000F67B5"/>
    <w:rsid w:val="00100B25"/>
    <w:rsid w:val="0010296D"/>
    <w:rsid w:val="00103357"/>
    <w:rsid w:val="00123C9F"/>
    <w:rsid w:val="00126190"/>
    <w:rsid w:val="00130F17"/>
    <w:rsid w:val="001320BF"/>
    <w:rsid w:val="00132C4A"/>
    <w:rsid w:val="00134541"/>
    <w:rsid w:val="001349C2"/>
    <w:rsid w:val="00163BC4"/>
    <w:rsid w:val="00191062"/>
    <w:rsid w:val="00192B72"/>
    <w:rsid w:val="001A29D8"/>
    <w:rsid w:val="001A5CAA"/>
    <w:rsid w:val="001B0427"/>
    <w:rsid w:val="001B2624"/>
    <w:rsid w:val="001B5C03"/>
    <w:rsid w:val="001D3A51"/>
    <w:rsid w:val="001E10D2"/>
    <w:rsid w:val="001E25B4"/>
    <w:rsid w:val="001E44FE"/>
    <w:rsid w:val="001E7446"/>
    <w:rsid w:val="00200595"/>
    <w:rsid w:val="00204835"/>
    <w:rsid w:val="002212B3"/>
    <w:rsid w:val="002261D8"/>
    <w:rsid w:val="002265E7"/>
    <w:rsid w:val="00231920"/>
    <w:rsid w:val="0023195C"/>
    <w:rsid w:val="0024282C"/>
    <w:rsid w:val="002460DC"/>
    <w:rsid w:val="00250985"/>
    <w:rsid w:val="002556F6"/>
    <w:rsid w:val="002608F1"/>
    <w:rsid w:val="00272418"/>
    <w:rsid w:val="00273F3B"/>
    <w:rsid w:val="00283105"/>
    <w:rsid w:val="00284C4C"/>
    <w:rsid w:val="00285F6C"/>
    <w:rsid w:val="00287E68"/>
    <w:rsid w:val="00296529"/>
    <w:rsid w:val="002A58AD"/>
    <w:rsid w:val="002B27FB"/>
    <w:rsid w:val="002B685A"/>
    <w:rsid w:val="002C57D2"/>
    <w:rsid w:val="002D0BE7"/>
    <w:rsid w:val="002E086E"/>
    <w:rsid w:val="002E0D56"/>
    <w:rsid w:val="002F68BA"/>
    <w:rsid w:val="002F7EDB"/>
    <w:rsid w:val="00315186"/>
    <w:rsid w:val="0033343E"/>
    <w:rsid w:val="003512C2"/>
    <w:rsid w:val="0035665E"/>
    <w:rsid w:val="00360121"/>
    <w:rsid w:val="00371FB6"/>
    <w:rsid w:val="00374D3C"/>
    <w:rsid w:val="00375E81"/>
    <w:rsid w:val="003763C1"/>
    <w:rsid w:val="00376BBE"/>
    <w:rsid w:val="0038097A"/>
    <w:rsid w:val="0039224F"/>
    <w:rsid w:val="003A43A4"/>
    <w:rsid w:val="003A7E18"/>
    <w:rsid w:val="003C4C74"/>
    <w:rsid w:val="003C4C86"/>
    <w:rsid w:val="003C6258"/>
    <w:rsid w:val="003E2904"/>
    <w:rsid w:val="003E7BA9"/>
    <w:rsid w:val="00401927"/>
    <w:rsid w:val="0041027F"/>
    <w:rsid w:val="004105B5"/>
    <w:rsid w:val="00412475"/>
    <w:rsid w:val="00423789"/>
    <w:rsid w:val="00426EED"/>
    <w:rsid w:val="00440F43"/>
    <w:rsid w:val="00441B6F"/>
    <w:rsid w:val="00446221"/>
    <w:rsid w:val="00450E62"/>
    <w:rsid w:val="004539DB"/>
    <w:rsid w:val="00471A80"/>
    <w:rsid w:val="00474ABA"/>
    <w:rsid w:val="004B58D2"/>
    <w:rsid w:val="004D305E"/>
    <w:rsid w:val="004D4277"/>
    <w:rsid w:val="004E2E83"/>
    <w:rsid w:val="004E3989"/>
    <w:rsid w:val="004E5377"/>
    <w:rsid w:val="00502516"/>
    <w:rsid w:val="00505F06"/>
    <w:rsid w:val="00506828"/>
    <w:rsid w:val="005237B3"/>
    <w:rsid w:val="0053056E"/>
    <w:rsid w:val="00535525"/>
    <w:rsid w:val="00554FDA"/>
    <w:rsid w:val="00576B43"/>
    <w:rsid w:val="00584BCD"/>
    <w:rsid w:val="005861B0"/>
    <w:rsid w:val="005A1D92"/>
    <w:rsid w:val="005B5267"/>
    <w:rsid w:val="005C784C"/>
    <w:rsid w:val="005D17F6"/>
    <w:rsid w:val="005E4471"/>
    <w:rsid w:val="005E5539"/>
    <w:rsid w:val="00602965"/>
    <w:rsid w:val="00602BF5"/>
    <w:rsid w:val="00617FDD"/>
    <w:rsid w:val="0063295C"/>
    <w:rsid w:val="00632D3B"/>
    <w:rsid w:val="00633614"/>
    <w:rsid w:val="00633F68"/>
    <w:rsid w:val="00636EB2"/>
    <w:rsid w:val="006375B8"/>
    <w:rsid w:val="00642893"/>
    <w:rsid w:val="00663A8B"/>
    <w:rsid w:val="0066510A"/>
    <w:rsid w:val="00673F9F"/>
    <w:rsid w:val="00686953"/>
    <w:rsid w:val="00687DEA"/>
    <w:rsid w:val="00687E67"/>
    <w:rsid w:val="006965F0"/>
    <w:rsid w:val="006967F7"/>
    <w:rsid w:val="006A250C"/>
    <w:rsid w:val="006B21D3"/>
    <w:rsid w:val="006B57D0"/>
    <w:rsid w:val="006C0413"/>
    <w:rsid w:val="006D1FC7"/>
    <w:rsid w:val="006D30FF"/>
    <w:rsid w:val="006D6940"/>
    <w:rsid w:val="006E0188"/>
    <w:rsid w:val="006F11EC"/>
    <w:rsid w:val="0070082C"/>
    <w:rsid w:val="00702590"/>
    <w:rsid w:val="0070699D"/>
    <w:rsid w:val="00715DB4"/>
    <w:rsid w:val="007369E6"/>
    <w:rsid w:val="00746E59"/>
    <w:rsid w:val="00754C9A"/>
    <w:rsid w:val="0075599A"/>
    <w:rsid w:val="00761D52"/>
    <w:rsid w:val="007643FD"/>
    <w:rsid w:val="0077749E"/>
    <w:rsid w:val="00786D36"/>
    <w:rsid w:val="00790ADA"/>
    <w:rsid w:val="00792919"/>
    <w:rsid w:val="00795C9D"/>
    <w:rsid w:val="007B66F8"/>
    <w:rsid w:val="007C3AD7"/>
    <w:rsid w:val="007D2288"/>
    <w:rsid w:val="007E088F"/>
    <w:rsid w:val="007F0744"/>
    <w:rsid w:val="007F7B32"/>
    <w:rsid w:val="00804BC2"/>
    <w:rsid w:val="0081431A"/>
    <w:rsid w:val="0083216F"/>
    <w:rsid w:val="00840A70"/>
    <w:rsid w:val="008513F8"/>
    <w:rsid w:val="00860000"/>
    <w:rsid w:val="00861FF6"/>
    <w:rsid w:val="00863BD3"/>
    <w:rsid w:val="008641ED"/>
    <w:rsid w:val="00866B41"/>
    <w:rsid w:val="00866D66"/>
    <w:rsid w:val="008671C6"/>
    <w:rsid w:val="00875803"/>
    <w:rsid w:val="008A6570"/>
    <w:rsid w:val="008B459E"/>
    <w:rsid w:val="008E13AE"/>
    <w:rsid w:val="008E1506"/>
    <w:rsid w:val="008E1C55"/>
    <w:rsid w:val="008E710C"/>
    <w:rsid w:val="008F3D2B"/>
    <w:rsid w:val="008F69D6"/>
    <w:rsid w:val="00902823"/>
    <w:rsid w:val="00915CA6"/>
    <w:rsid w:val="0091772C"/>
    <w:rsid w:val="00921E4C"/>
    <w:rsid w:val="00923EAD"/>
    <w:rsid w:val="00927834"/>
    <w:rsid w:val="00931CEA"/>
    <w:rsid w:val="0093673A"/>
    <w:rsid w:val="009500A6"/>
    <w:rsid w:val="00951AAA"/>
    <w:rsid w:val="00952A58"/>
    <w:rsid w:val="00957C18"/>
    <w:rsid w:val="00964387"/>
    <w:rsid w:val="009659BA"/>
    <w:rsid w:val="00983040"/>
    <w:rsid w:val="0099582F"/>
    <w:rsid w:val="009B3968"/>
    <w:rsid w:val="009B3FB9"/>
    <w:rsid w:val="009B758B"/>
    <w:rsid w:val="009B785D"/>
    <w:rsid w:val="009C2465"/>
    <w:rsid w:val="009D35A0"/>
    <w:rsid w:val="009D7EB7"/>
    <w:rsid w:val="009E048A"/>
    <w:rsid w:val="009E08E9"/>
    <w:rsid w:val="009E23E8"/>
    <w:rsid w:val="009E3DB9"/>
    <w:rsid w:val="009E6E35"/>
    <w:rsid w:val="009F0EDA"/>
    <w:rsid w:val="00A03B96"/>
    <w:rsid w:val="00A047FB"/>
    <w:rsid w:val="00A05B19"/>
    <w:rsid w:val="00A1134E"/>
    <w:rsid w:val="00A24E7E"/>
    <w:rsid w:val="00A258C3"/>
    <w:rsid w:val="00A347C0"/>
    <w:rsid w:val="00A43CBB"/>
    <w:rsid w:val="00A47AB2"/>
    <w:rsid w:val="00A51431"/>
    <w:rsid w:val="00A539AD"/>
    <w:rsid w:val="00A63879"/>
    <w:rsid w:val="00A70D9D"/>
    <w:rsid w:val="00A727B7"/>
    <w:rsid w:val="00A94063"/>
    <w:rsid w:val="00A969AA"/>
    <w:rsid w:val="00A97F9E"/>
    <w:rsid w:val="00AA6219"/>
    <w:rsid w:val="00AA74E0"/>
    <w:rsid w:val="00AB35EE"/>
    <w:rsid w:val="00AB703F"/>
    <w:rsid w:val="00AC47ED"/>
    <w:rsid w:val="00AC6BB8"/>
    <w:rsid w:val="00AD4ED5"/>
    <w:rsid w:val="00AE008F"/>
    <w:rsid w:val="00B01FCD"/>
    <w:rsid w:val="00B1776C"/>
    <w:rsid w:val="00B21591"/>
    <w:rsid w:val="00B23926"/>
    <w:rsid w:val="00B42B76"/>
    <w:rsid w:val="00B432C7"/>
    <w:rsid w:val="00B52583"/>
    <w:rsid w:val="00B52896"/>
    <w:rsid w:val="00B673C4"/>
    <w:rsid w:val="00B864DD"/>
    <w:rsid w:val="00B95236"/>
    <w:rsid w:val="00B96BD9"/>
    <w:rsid w:val="00BA1B01"/>
    <w:rsid w:val="00BA2641"/>
    <w:rsid w:val="00BA73FC"/>
    <w:rsid w:val="00BB37AA"/>
    <w:rsid w:val="00BB5819"/>
    <w:rsid w:val="00BC1D1A"/>
    <w:rsid w:val="00BC3A6E"/>
    <w:rsid w:val="00BC3F2C"/>
    <w:rsid w:val="00BC53A0"/>
    <w:rsid w:val="00BD7FE5"/>
    <w:rsid w:val="00BE62AD"/>
    <w:rsid w:val="00BF121F"/>
    <w:rsid w:val="00BF1F80"/>
    <w:rsid w:val="00BF63F5"/>
    <w:rsid w:val="00C166EF"/>
    <w:rsid w:val="00C17EB0"/>
    <w:rsid w:val="00C27F5F"/>
    <w:rsid w:val="00C307AF"/>
    <w:rsid w:val="00C3088B"/>
    <w:rsid w:val="00C30A0F"/>
    <w:rsid w:val="00C37E61"/>
    <w:rsid w:val="00C426B7"/>
    <w:rsid w:val="00C6277B"/>
    <w:rsid w:val="00C70F1B"/>
    <w:rsid w:val="00C71A47"/>
    <w:rsid w:val="00C7464C"/>
    <w:rsid w:val="00C85588"/>
    <w:rsid w:val="00C85D13"/>
    <w:rsid w:val="00CA3B8C"/>
    <w:rsid w:val="00CA4BBB"/>
    <w:rsid w:val="00CB2D7B"/>
    <w:rsid w:val="00CC06EE"/>
    <w:rsid w:val="00CC6F23"/>
    <w:rsid w:val="00CD6755"/>
    <w:rsid w:val="00CD6856"/>
    <w:rsid w:val="00CD6B24"/>
    <w:rsid w:val="00CE0089"/>
    <w:rsid w:val="00CE1D37"/>
    <w:rsid w:val="00CE793C"/>
    <w:rsid w:val="00CF193C"/>
    <w:rsid w:val="00CF1E2C"/>
    <w:rsid w:val="00CF509A"/>
    <w:rsid w:val="00D037AA"/>
    <w:rsid w:val="00D16533"/>
    <w:rsid w:val="00D173F1"/>
    <w:rsid w:val="00D25EBA"/>
    <w:rsid w:val="00D42464"/>
    <w:rsid w:val="00D42D63"/>
    <w:rsid w:val="00D74CB0"/>
    <w:rsid w:val="00D8295D"/>
    <w:rsid w:val="00D92015"/>
    <w:rsid w:val="00DB61EC"/>
    <w:rsid w:val="00DC2A65"/>
    <w:rsid w:val="00DC3180"/>
    <w:rsid w:val="00DE15F0"/>
    <w:rsid w:val="00DE2EC3"/>
    <w:rsid w:val="00DE5663"/>
    <w:rsid w:val="00DE78AA"/>
    <w:rsid w:val="00DF0686"/>
    <w:rsid w:val="00DF39C8"/>
    <w:rsid w:val="00E04903"/>
    <w:rsid w:val="00E053D0"/>
    <w:rsid w:val="00E15994"/>
    <w:rsid w:val="00E3114E"/>
    <w:rsid w:val="00E31A70"/>
    <w:rsid w:val="00E35B02"/>
    <w:rsid w:val="00E574D5"/>
    <w:rsid w:val="00E66496"/>
    <w:rsid w:val="00E66B35"/>
    <w:rsid w:val="00E66E10"/>
    <w:rsid w:val="00E769F6"/>
    <w:rsid w:val="00E8407C"/>
    <w:rsid w:val="00E84F3C"/>
    <w:rsid w:val="00E90894"/>
    <w:rsid w:val="00E92776"/>
    <w:rsid w:val="00E9431B"/>
    <w:rsid w:val="00E9661B"/>
    <w:rsid w:val="00EA012C"/>
    <w:rsid w:val="00EA616D"/>
    <w:rsid w:val="00EC6A55"/>
    <w:rsid w:val="00ED0288"/>
    <w:rsid w:val="00EE52CB"/>
    <w:rsid w:val="00EF33FB"/>
    <w:rsid w:val="00EF581D"/>
    <w:rsid w:val="00EF7FD8"/>
    <w:rsid w:val="00F00239"/>
    <w:rsid w:val="00F0577F"/>
    <w:rsid w:val="00F06F59"/>
    <w:rsid w:val="00F07B01"/>
    <w:rsid w:val="00F17988"/>
    <w:rsid w:val="00F24DD2"/>
    <w:rsid w:val="00F26CC1"/>
    <w:rsid w:val="00F34F8D"/>
    <w:rsid w:val="00F41E9E"/>
    <w:rsid w:val="00F42749"/>
    <w:rsid w:val="00F469F0"/>
    <w:rsid w:val="00F53273"/>
    <w:rsid w:val="00F6702B"/>
    <w:rsid w:val="00F755E4"/>
    <w:rsid w:val="00F7794D"/>
    <w:rsid w:val="00F77D02"/>
    <w:rsid w:val="00FB3A86"/>
    <w:rsid w:val="00FC6B31"/>
    <w:rsid w:val="00FD36C8"/>
    <w:rsid w:val="00FD3FFE"/>
    <w:rsid w:val="00FE4184"/>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51483"/>
  <w15:docId w15:val="{3A8C8650-D05F-4145-AFDB-7EBEDB18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C6B3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42B76"/>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D16533"/>
    <w:rPr>
      <w:b/>
      <w:bCs/>
    </w:rPr>
  </w:style>
  <w:style w:type="character" w:customStyle="1" w:styleId="Heading2Char">
    <w:name w:val="Heading 2 Char"/>
    <w:basedOn w:val="DefaultParagraphFont"/>
    <w:link w:val="Heading2"/>
    <w:uiPriority w:val="9"/>
    <w:semiHidden/>
    <w:rsid w:val="00FC6B31"/>
    <w:rPr>
      <w:rFonts w:asciiTheme="majorHAnsi" w:eastAsiaTheme="majorEastAsia" w:hAnsiTheme="majorHAnsi" w:cstheme="majorBidi"/>
      <w:color w:val="365F91" w:themeColor="accent1" w:themeShade="BF"/>
      <w:sz w:val="26"/>
      <w:szCs w:val="26"/>
      <w:lang w:val="en-ID"/>
    </w:rPr>
  </w:style>
  <w:style w:type="paragraph" w:styleId="ListParagraph">
    <w:name w:val="List Paragraph"/>
    <w:basedOn w:val="Normal"/>
    <w:uiPriority w:val="34"/>
    <w:qFormat/>
    <w:rsid w:val="00E574D5"/>
    <w:pPr>
      <w:spacing w:after="160" w:line="259" w:lineRule="auto"/>
      <w:ind w:left="720"/>
      <w:contextualSpacing/>
    </w:pPr>
    <w:rPr>
      <w:rFonts w:asciiTheme="minorHAnsi" w:eastAsiaTheme="minorHAnsi" w:hAnsiTheme="minorHAnsi" w:cstheme="minorBidi"/>
      <w:sz w:val="22"/>
      <w:szCs w:val="22"/>
      <w:lang w:val="en-ID"/>
    </w:rPr>
  </w:style>
  <w:style w:type="paragraph" w:customStyle="1" w:styleId="isselectedend">
    <w:name w:val="isselectedend"/>
    <w:basedOn w:val="Normal"/>
    <w:rsid w:val="00A47AB2"/>
    <w:pPr>
      <w:spacing w:before="100" w:beforeAutospacing="1" w:after="100" w:afterAutospacing="1"/>
    </w:pPr>
    <w:rPr>
      <w:rFonts w:ascii="Times New Roman" w:hAnsi="Times New Roman"/>
      <w:sz w:val="24"/>
      <w:szCs w:val="24"/>
      <w:lang w:val="en-ID" w:eastAsia="en-ID"/>
    </w:rPr>
  </w:style>
  <w:style w:type="character" w:styleId="PlaceholderText">
    <w:name w:val="Placeholder Text"/>
    <w:basedOn w:val="DefaultParagraphFont"/>
    <w:uiPriority w:val="99"/>
    <w:semiHidden/>
    <w:rsid w:val="007F07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7446-8482-4073-BBD8-A58030F5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610</TotalTime>
  <Pages>13</Pages>
  <Words>26454</Words>
  <Characters>150790</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43</cp:revision>
  <cp:lastPrinted>1999-07-06T11:00:00Z</cp:lastPrinted>
  <dcterms:created xsi:type="dcterms:W3CDTF">2014-10-25T14:34:00Z</dcterms:created>
  <dcterms:modified xsi:type="dcterms:W3CDTF">2025-11-21T11:59:00Z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http://csl.mendeley.com/styles/770282191/apa-2</vt:lpwstr>
  </property>
  <property fmtid="{D5CDD505-2E9C-101B-9397-08002B2CF9AE}" pid="8" name="Mendeley Recent Style Id 4_1">
    <vt:lpwstr>http://csl.mendeley.com/styles/770282191/apa-SNI2-2</vt:lpwstr>
  </property>
  <property fmtid="{D5CDD505-2E9C-101B-9397-08002B2CF9AE}" pid="9" name="Mendeley Recent Style Id 5_1">
    <vt:lpwstr>http://www.zotero.org/styles/american-sociological-association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http://www.zotero.org/styles/harvard-cite-them-right</vt:lpwstr>
  </property>
  <property fmtid="{D5CDD505-2E9C-101B-9397-08002B2CF9AE}" pid="12" name="Mendeley Recent Style Id 8_1">
    <vt:lpwstr>http://www.zotero.org/styles/ieee</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Psychological Association 7th edition - Sitti Nur Isnian Sitti Nur Isnian</vt:lpwstr>
  </property>
  <property fmtid="{D5CDD505-2E9C-101B-9397-08002B2CF9AE}" pid="18" name="Mendeley Recent Style Name 4_1">
    <vt:lpwstr>American Psychological Association 7th edition - Sitti Nur Isnian Sitti Nur Isnian</vt:lpwstr>
  </property>
  <property fmtid="{D5CDD505-2E9C-101B-9397-08002B2CF9AE}" pid="19" name="Mendeley Recent Style Name 5_1">
    <vt:lpwstr>American Sociological Association 6th edition</vt:lpwstr>
  </property>
  <property fmtid="{D5CDD505-2E9C-101B-9397-08002B2CF9AE}" pid="20" name="Mendeley Recent Style Name 6_1">
    <vt:lpwstr>Chicago Manual of Style 17th edition (author-date)</vt:lpwstr>
  </property>
  <property fmtid="{D5CDD505-2E9C-101B-9397-08002B2CF9AE}" pid="21" name="Mendeley Recent Style Name 7_1">
    <vt:lpwstr>Cite Them Right 10th edition - Harvard</vt:lpwstr>
  </property>
  <property fmtid="{D5CDD505-2E9C-101B-9397-08002B2CF9AE}" pid="22" name="Mendeley Recent Style Name 8_1">
    <vt:lpwstr>IEEE</vt:lpwstr>
  </property>
  <property fmtid="{D5CDD505-2E9C-101B-9397-08002B2CF9AE}" pid="23" name="Mendeley Recent Style Name 9_1">
    <vt:lpwstr>Modern Language Association 8th edition</vt:lpwstr>
  </property>
  <property fmtid="{D5CDD505-2E9C-101B-9397-08002B2CF9AE}" pid="24" name="Mendeley Unique User Id_1">
    <vt:lpwstr>00076ba1-7509-3377-8244-5655352eb36e</vt:lpwstr>
  </property>
</Properties>
</file>