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BF06B" w14:textId="5AFC416A" w:rsidR="007F66D2" w:rsidRPr="0076398E" w:rsidRDefault="007F66D2" w:rsidP="00315872">
      <w:pPr>
        <w:spacing w:after="0" w:line="240" w:lineRule="auto"/>
        <w:jc w:val="center"/>
        <w:rPr>
          <w:rFonts w:ascii="Times New Roman" w:hAnsi="Times New Roman" w:cs="Times New Roman"/>
          <w:b/>
          <w:sz w:val="32"/>
          <w:szCs w:val="32"/>
        </w:rPr>
      </w:pPr>
      <w:r w:rsidRPr="0076398E">
        <w:rPr>
          <w:rFonts w:ascii="Times New Roman" w:hAnsi="Times New Roman" w:cs="Times New Roman"/>
          <w:b/>
          <w:sz w:val="32"/>
          <w:szCs w:val="32"/>
        </w:rPr>
        <w:t xml:space="preserve">A </w:t>
      </w:r>
      <w:r w:rsidR="00247646" w:rsidRPr="0076398E">
        <w:rPr>
          <w:rFonts w:ascii="Times New Roman" w:hAnsi="Times New Roman" w:cs="Times New Roman"/>
          <w:b/>
          <w:sz w:val="32"/>
          <w:szCs w:val="32"/>
        </w:rPr>
        <w:t xml:space="preserve">Review </w:t>
      </w:r>
      <w:r w:rsidR="00247646">
        <w:rPr>
          <w:rFonts w:ascii="Times New Roman" w:hAnsi="Times New Roman" w:cs="Times New Roman"/>
          <w:b/>
          <w:sz w:val="32"/>
          <w:szCs w:val="32"/>
        </w:rPr>
        <w:t>o</w:t>
      </w:r>
      <w:r w:rsidR="00247646" w:rsidRPr="0076398E">
        <w:rPr>
          <w:rFonts w:ascii="Times New Roman" w:hAnsi="Times New Roman" w:cs="Times New Roman"/>
          <w:b/>
          <w:sz w:val="32"/>
          <w:szCs w:val="32"/>
        </w:rPr>
        <w:t xml:space="preserve">n Metal Complexes And </w:t>
      </w:r>
      <w:r w:rsidR="00247646">
        <w:rPr>
          <w:rFonts w:ascii="Times New Roman" w:hAnsi="Times New Roman" w:cs="Times New Roman"/>
          <w:b/>
          <w:sz w:val="32"/>
          <w:szCs w:val="32"/>
        </w:rPr>
        <w:t>i</w:t>
      </w:r>
      <w:r w:rsidR="00247646" w:rsidRPr="0076398E">
        <w:rPr>
          <w:rFonts w:ascii="Times New Roman" w:hAnsi="Times New Roman" w:cs="Times New Roman"/>
          <w:b/>
          <w:sz w:val="32"/>
          <w:szCs w:val="32"/>
        </w:rPr>
        <w:t xml:space="preserve">ts Anti-Cancer Activities: </w:t>
      </w:r>
      <w:r w:rsidRPr="0076398E">
        <w:rPr>
          <w:rFonts w:ascii="Times New Roman" w:hAnsi="Times New Roman" w:cs="Times New Roman"/>
          <w:b/>
          <w:sz w:val="32"/>
          <w:szCs w:val="32"/>
        </w:rPr>
        <w:t xml:space="preserve">Recent </w:t>
      </w:r>
      <w:r w:rsidR="00247646" w:rsidRPr="0076398E">
        <w:rPr>
          <w:rFonts w:ascii="Times New Roman" w:hAnsi="Times New Roman" w:cs="Times New Roman"/>
          <w:b/>
          <w:sz w:val="32"/>
          <w:szCs w:val="32"/>
        </w:rPr>
        <w:t>Updates From In Vivo Studies</w:t>
      </w:r>
    </w:p>
    <w:p w14:paraId="707DC655" w14:textId="22A48CF4" w:rsidR="000F799A" w:rsidRDefault="000F799A" w:rsidP="00315872">
      <w:pPr>
        <w:pStyle w:val="07AbatractContent"/>
        <w:spacing w:after="200"/>
        <w:jc w:val="center"/>
        <w:rPr>
          <w:rFonts w:eastAsiaTheme="minorEastAsia" w:cs="Times New Roman"/>
          <w:snapToGrid w:val="0"/>
          <w:kern w:val="0"/>
          <w:sz w:val="18"/>
          <w:szCs w:val="18"/>
        </w:rPr>
      </w:pPr>
    </w:p>
    <w:p w14:paraId="1DC041E9" w14:textId="77777777" w:rsidR="0021766C" w:rsidRPr="0076398E" w:rsidRDefault="0021766C" w:rsidP="00315872">
      <w:pPr>
        <w:pStyle w:val="07AbatractContent"/>
        <w:spacing w:after="200"/>
        <w:jc w:val="center"/>
        <w:rPr>
          <w:rFonts w:eastAsiaTheme="minorEastAsia" w:cs="Times New Roman"/>
          <w:snapToGrid w:val="0"/>
          <w:kern w:val="0"/>
          <w:sz w:val="18"/>
          <w:szCs w:val="18"/>
        </w:rPr>
      </w:pPr>
    </w:p>
    <w:p w14:paraId="52FCD17E" w14:textId="6CE3DE42" w:rsidR="001D24C7" w:rsidRPr="0076398E" w:rsidRDefault="006E62E9" w:rsidP="00D84361">
      <w:pPr>
        <w:spacing w:after="0"/>
        <w:jc w:val="both"/>
        <w:rPr>
          <w:rFonts w:ascii="Times New Roman" w:hAnsi="Times New Roman" w:cs="Times New Roman"/>
          <w:sz w:val="20"/>
          <w:szCs w:val="20"/>
        </w:rPr>
      </w:pPr>
      <w:r w:rsidRPr="0076398E">
        <w:rPr>
          <w:rFonts w:ascii="Times New Roman" w:hAnsi="Times New Roman" w:cs="Times New Roman"/>
          <w:b/>
          <w:bCs/>
          <w:sz w:val="20"/>
          <w:szCs w:val="20"/>
        </w:rPr>
        <w:t>Abstract</w:t>
      </w:r>
      <w:r w:rsidR="00D84361" w:rsidRPr="0076398E">
        <w:rPr>
          <w:rFonts w:ascii="Times New Roman" w:hAnsi="Times New Roman" w:cs="Times New Roman"/>
          <w:b/>
          <w:bCs/>
          <w:sz w:val="20"/>
          <w:szCs w:val="20"/>
        </w:rPr>
        <w:t>-</w:t>
      </w:r>
      <w:r w:rsidR="00D84361" w:rsidRPr="0076398E">
        <w:rPr>
          <w:rFonts w:ascii="Times New Roman" w:hAnsi="Times New Roman" w:cs="Times New Roman"/>
          <w:sz w:val="20"/>
          <w:szCs w:val="20"/>
        </w:rPr>
        <w:t xml:space="preserve">Since the clinical introduction of cisplatin, metal-based complexes have emerged as a cornerstone of cancer chemotherapy, offering diverse mechanisms of action that extend far beyond conventional organic therapeutics. While platinum drugs remain widely used, their clinical utility is often limited by severe systemic toxicity, intrinsic or acquired resistance, and a narrow spectrum of efficacy. Consequently, significant research efforts have focused on alternative metallodrugs based on ruthenium, gold, copper, iridium, and osmium—metals that exploit unique redox, coordination, and photophysical properties to target cancer cells with improved selectivity and novel mechanisms. Despite numerous </w:t>
      </w:r>
      <w:r w:rsidR="00D84361" w:rsidRPr="0076398E">
        <w:rPr>
          <w:rFonts w:ascii="Times New Roman" w:hAnsi="Times New Roman" w:cs="Times New Roman"/>
          <w:i/>
          <w:iCs/>
          <w:sz w:val="20"/>
          <w:szCs w:val="20"/>
        </w:rPr>
        <w:t>in vitro</w:t>
      </w:r>
      <w:r w:rsidR="00D84361" w:rsidRPr="0076398E">
        <w:rPr>
          <w:rFonts w:ascii="Times New Roman" w:hAnsi="Times New Roman" w:cs="Times New Roman"/>
          <w:sz w:val="20"/>
          <w:szCs w:val="20"/>
        </w:rPr>
        <w:t xml:space="preserve"> studies highlighting the promise of these complexes, only a fraction </w:t>
      </w:r>
      <w:proofErr w:type="gramStart"/>
      <w:r w:rsidR="00D84361" w:rsidRPr="0076398E">
        <w:rPr>
          <w:rFonts w:ascii="Times New Roman" w:hAnsi="Times New Roman" w:cs="Times New Roman"/>
          <w:sz w:val="20"/>
          <w:szCs w:val="20"/>
        </w:rPr>
        <w:t>have</w:t>
      </w:r>
      <w:proofErr w:type="gramEnd"/>
      <w:r w:rsidR="00D84361" w:rsidRPr="0076398E">
        <w:rPr>
          <w:rFonts w:ascii="Times New Roman" w:hAnsi="Times New Roman" w:cs="Times New Roman"/>
          <w:sz w:val="20"/>
          <w:szCs w:val="20"/>
        </w:rPr>
        <w:t xml:space="preserve"> demonstrated robust efficacy in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models, which are essential for bridging the translational gap to clinical application. This review critically evaluates recent advances (2017–2023) in the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antitumor activity of non-platinum and next-generation platinum complexes, with emphasis on tumor growth inhibition, survival outcomes, and toxicity profiles in murine and zebrafish models. We highlight structurally innovative agents—such as jatrorrhizine–platinum conjugates, coumarin–ruthenium hybrids, N-heterocyclic carbene–gold complexes, thiosemicarbazone–copper derivatives, and cyclometalated iridium/osmium systems—that overcome cisplatin resistance, induce mitochondrial dysfunction, trigger immunogenic cell death, or enable photodynamic therapy. Special attention is given to complexes that have progressed to clinical trials (e.g., NAMI-A, KP1339, TLD1433, Casiopeínas®) and those exhibiting theranostic potential. By synthesizing </w:t>
      </w:r>
      <w:r w:rsidR="00D84361" w:rsidRPr="0076398E">
        <w:rPr>
          <w:rFonts w:ascii="Times New Roman" w:hAnsi="Times New Roman" w:cs="Times New Roman"/>
          <w:i/>
          <w:iCs/>
          <w:sz w:val="20"/>
          <w:szCs w:val="20"/>
        </w:rPr>
        <w:t>in vivo</w:t>
      </w:r>
      <w:r w:rsidR="00D84361" w:rsidRPr="0076398E">
        <w:rPr>
          <w:rFonts w:ascii="Times New Roman" w:hAnsi="Times New Roman" w:cs="Times New Roman"/>
          <w:sz w:val="20"/>
          <w:szCs w:val="20"/>
        </w:rPr>
        <w:t xml:space="preserve"> evidence across metal classes, this review underscores the therapeutic viability of metallodrugs beyond platinum and advocates for standardized preclinical evaluation to accelerate their path toward clinical translation.</w:t>
      </w:r>
    </w:p>
    <w:p w14:paraId="325F8BCE" w14:textId="43EF46AD" w:rsidR="00D84361" w:rsidRPr="0076398E" w:rsidRDefault="00D84361" w:rsidP="00D84361">
      <w:pPr>
        <w:spacing w:after="0"/>
        <w:jc w:val="both"/>
        <w:rPr>
          <w:rFonts w:ascii="Times New Roman" w:hAnsi="Times New Roman" w:cs="Times New Roman"/>
          <w:b/>
          <w:bCs/>
          <w:sz w:val="20"/>
          <w:szCs w:val="20"/>
        </w:rPr>
      </w:pPr>
      <w:r w:rsidRPr="0076398E">
        <w:rPr>
          <w:rFonts w:ascii="Times New Roman" w:hAnsi="Times New Roman" w:cs="Times New Roman"/>
          <w:b/>
          <w:bCs/>
          <w:i/>
          <w:iCs/>
          <w:sz w:val="20"/>
          <w:szCs w:val="20"/>
        </w:rPr>
        <w:t xml:space="preserve">Key Words: </w:t>
      </w:r>
      <w:r w:rsidR="00196DF9" w:rsidRPr="0076398E">
        <w:rPr>
          <w:rFonts w:ascii="Times New Roman" w:hAnsi="Times New Roman" w:cs="Times New Roman"/>
          <w:b/>
          <w:bCs/>
          <w:sz w:val="20"/>
          <w:szCs w:val="20"/>
        </w:rPr>
        <w:t>Metal complexes, Anticancer agents, In vivo studies, Platinum drugs, Ruthenium complexes, Gold-based therapeutics, Copper metallodrugs, non-platinum metallodrugs.</w:t>
      </w:r>
    </w:p>
    <w:p w14:paraId="5448ED01" w14:textId="77777777" w:rsidR="006E62E9" w:rsidRPr="0076398E" w:rsidRDefault="006E62E9" w:rsidP="00D84361">
      <w:pPr>
        <w:spacing w:after="0"/>
        <w:jc w:val="both"/>
        <w:rPr>
          <w:rFonts w:ascii="Times New Roman" w:hAnsi="Times New Roman" w:cs="Times New Roman"/>
          <w:sz w:val="20"/>
          <w:szCs w:val="20"/>
        </w:rPr>
      </w:pPr>
    </w:p>
    <w:p w14:paraId="3E7C7620" w14:textId="77777777" w:rsidR="00550FF4" w:rsidRDefault="00550FF4" w:rsidP="00D84361">
      <w:pPr>
        <w:pStyle w:val="ListParagraph"/>
        <w:numPr>
          <w:ilvl w:val="0"/>
          <w:numId w:val="3"/>
        </w:numPr>
        <w:spacing w:after="0"/>
        <w:jc w:val="both"/>
        <w:rPr>
          <w:rFonts w:ascii="Times New Roman" w:hAnsi="Times New Roman" w:cs="Times New Roman"/>
          <w:b/>
          <w:bCs/>
          <w:sz w:val="20"/>
          <w:szCs w:val="20"/>
        </w:rPr>
        <w:sectPr w:rsidR="00550FF4" w:rsidSect="00722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D1162AD" w14:textId="10BD6F68" w:rsidR="006E62E9"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INTRODUCTION</w:t>
      </w:r>
    </w:p>
    <w:p w14:paraId="0777BC2A" w14:textId="151140A5" w:rsidR="006E62E9" w:rsidRPr="0076398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Cancer remains one of the leading causes of global morbidity and mortality, accounting for approximately one in six deaths worldwide [1,2]. It arises from the uncontrolled proliferation of genetically altered cells that evade normal regulatory mechanisms governing cell division, differentiation, and apoptosis. This pathological transformation is often driven by cumulative mutations in oncogenes and tumor suppressor genes, triggered by a complex interplay of environmental carcinogens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including chemical agents (e.g., tobacco smoke, aflatoxins, arsenic), physical factors (e.g., ultraviolet and ionizing radiation), and inherited genetic predispositions [1–3]. Depending on tumor type, stage, and molecular profile, therapeutic strategies range from conventional modalities</w:t>
      </w:r>
      <w:r w:rsidRPr="0076398E">
        <w:rPr>
          <w:rFonts w:ascii="Times New Roman" w:hAnsi="Times New Roman" w:cs="Times New Roman"/>
          <w:sz w:val="20"/>
          <w:szCs w:val="20"/>
        </w:rPr>
        <w:t xml:space="preserve">, </w:t>
      </w:r>
      <w:r w:rsidRPr="006E62E9">
        <w:rPr>
          <w:rFonts w:ascii="Times New Roman" w:hAnsi="Times New Roman" w:cs="Times New Roman"/>
          <w:sz w:val="20"/>
          <w:szCs w:val="20"/>
        </w:rPr>
        <w:t>such as surgical resection, radiotherapy, and cytotoxic chemotherapy—to more sophisticated approaches, including immunotherapy, hormonal therapy, gene editing, targeted molecular inhibitors, and photodynamic therapy (PDT) [3–13].</w:t>
      </w:r>
    </w:p>
    <w:p w14:paraId="42A7748E" w14:textId="2D2F322B" w:rsidR="00315872" w:rsidRPr="006E62E9" w:rsidRDefault="00315872" w:rsidP="00315872">
      <w:pPr>
        <w:tabs>
          <w:tab w:val="left" w:pos="1080"/>
        </w:tabs>
        <w:rPr>
          <w:rFonts w:ascii="Times New Roman" w:hAnsi="Times New Roman" w:cs="Times New Roman"/>
          <w:sz w:val="20"/>
          <w:szCs w:val="20"/>
        </w:rPr>
      </w:pPr>
      <w:r w:rsidRPr="0076398E">
        <w:rPr>
          <w:rFonts w:ascii="Times New Roman" w:hAnsi="Times New Roman" w:cs="Times New Roman"/>
          <w:sz w:val="20"/>
          <w:szCs w:val="20"/>
        </w:rPr>
        <w:tab/>
      </w:r>
    </w:p>
    <w:p w14:paraId="177A51DB"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Among chemotherapeutic agents, metallodrugs have emerged as a pivotal class of anticancer therapeutics due to their unique physicochemical properties and diverse mechanisms of biological action. The landmark discovery of cisplatin in the 1960s by Rosenberg and colleagues [29] revolutionized oncology and catalyzed the field of medicinal inorganic chemistry. Cisplatin, along with its clinically approved derivatives carboplatin and oxaliplatin, forms the cornerstone of platinum-based chemotherapy, effectively treating testicular, ovarian, lung, bladder, and other solid tumors [34]. These agents primarily exert cytotoxicity through covalent binding to nuclear DNA, forming intra- and inter-strand crosslinks that disrupt replication and transcription, ultimately triggering apoptosis [30–33].</w:t>
      </w:r>
    </w:p>
    <w:p w14:paraId="4AA2F3AF"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their clinical success, platinum drugs are burdened by significant limitations: dose-limiting toxicities (e.g., nephrotoxicity, neurotoxicity, ototoxicity), intrinsic or acquired resistance mechanisms, and an inability to target certain refractory or metastatic cancers [34]. These challenges have spurred intensive research into non-platinum metallodrugs with improved selectivity, reduced off-target effects, and activity against resistant phenotypes [26,38]. Transition metals—particularly ruthenium (Ru), gold (Au), copper (Cu), </w:t>
      </w:r>
      <w:r w:rsidRPr="006E62E9">
        <w:rPr>
          <w:rFonts w:ascii="Times New Roman" w:hAnsi="Times New Roman" w:cs="Times New Roman"/>
          <w:sz w:val="20"/>
          <w:szCs w:val="20"/>
        </w:rPr>
        <w:lastRenderedPageBreak/>
        <w:t>iridium (Ir), and osmium (Os)—offer compelling alternatives due to their versatile coordination geometries, tunable redox properties, and capacity to interact with a broad spectrum of biological targets beyond DNA [26,39,40].</w:t>
      </w:r>
    </w:p>
    <w:p w14:paraId="686B5218"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The biological activity of metal complexes is dictated not only by the central metal ion but also by its surrounding ligands, which modulate solubility, lipophilicity, stability, and target affinity. Unlike purely organic molecules, metallodrugs can engage in multiple modes of action simultaneously—such as redox cycling, protein inhibition, mitochondrial disruption, and immunomodulation—thereby circumventing classical resistance pathways [17–27]. For instance, copper complexes and arsenic trioxide (ATO) induce cancer cell death via reactive oxygen species (ROS)-mediated oxidative stress, damaging DNA and impairing mitochondrial function [32,35]. Similarly, gold-based compounds and certain platinum derivatives exhibit anti-angiogenic properties by suppressing vascular endothelial growth factor (VEGF) signaling, thereby starving tumors of their blood supply [36].</w:t>
      </w:r>
    </w:p>
    <w:p w14:paraId="78395488"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Ruthenium complexes, in particular, have garnered substantial interest due to their activation-by-reduction mechanism—wherein relatively inert </w:t>
      </w:r>
      <w:proofErr w:type="gramStart"/>
      <w:r w:rsidRPr="006E62E9">
        <w:rPr>
          <w:rFonts w:ascii="Times New Roman" w:hAnsi="Times New Roman" w:cs="Times New Roman"/>
          <w:sz w:val="20"/>
          <w:szCs w:val="20"/>
        </w:rPr>
        <w:t>Ru(</w:t>
      </w:r>
      <w:proofErr w:type="gramEnd"/>
      <w:r w:rsidRPr="006E62E9">
        <w:rPr>
          <w:rFonts w:ascii="Times New Roman" w:hAnsi="Times New Roman" w:cs="Times New Roman"/>
          <w:sz w:val="20"/>
          <w:szCs w:val="20"/>
        </w:rPr>
        <w:t>III) prodrugs are reduced to more reactive Ru(II) species in the hypoxic tumor microenvironment—mimicking iron metabolism and enabling selective accumulation in malignant tissues [40,46]. This property, combined with lower systemic toxicity and anti-metastatic activity, positions Ru complexes as promising candidates for treating aggressive or disseminated cancers [41,43–45]. Notably, clinical-stage agents such as NAMI-A, KP1019, and the photosensitizer TLD1433 have demonstrated tolerable safety profiles and mechanistic novelty in human trials [43–45,120].</w:t>
      </w:r>
    </w:p>
    <w:p w14:paraId="4A6CE23D"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Gold complexes, historically used in rheumatoid arthritis (e.g., auranofin), have re-emerged as potent anticancer agents due to their high affinity for thiol-containing biomolecules, particularly thioredoxin reductase (TrxR)—a key enzyme in redox homeostasis often overexpressed in cancer cells [149,150]. By inhibiting TrxR, Au(I/III) complexes disrupt redox balance, induce endoplasmic reticulum (ER) stress, and trigger caspase-dependent apoptosis [22,151]. Meanwhile, copper, an essential trace element involved in angiogenesis and mitochondrial respiration, is frequently elevated in tumors, making it both a metabolic vulnerability and a strategic vehicle for drug delivery [47,48]. Copper-based complexes like the Casiopeínas® have progressed to clinical evaluation, demonstrating efficacy in diverse malignancies [47,275–277].</w:t>
      </w:r>
    </w:p>
    <w:p w14:paraId="4E300950"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More recently, third-row transition metals—iridium and osmium—have entered the anticancer arena with distinctive photophysical, redox, and kinetic properties. </w:t>
      </w:r>
      <w:proofErr w:type="gramStart"/>
      <w:r w:rsidRPr="006E62E9">
        <w:rPr>
          <w:rFonts w:ascii="Times New Roman" w:hAnsi="Times New Roman" w:cs="Times New Roman"/>
          <w:sz w:val="20"/>
          <w:szCs w:val="20"/>
        </w:rPr>
        <w:t>Iridium(</w:t>
      </w:r>
      <w:proofErr w:type="gramEnd"/>
      <w:r w:rsidRPr="006E62E9">
        <w:rPr>
          <w:rFonts w:ascii="Times New Roman" w:hAnsi="Times New Roman" w:cs="Times New Roman"/>
          <w:sz w:val="20"/>
          <w:szCs w:val="20"/>
        </w:rPr>
        <w:t xml:space="preserve">III) complexes can localize to mitochondria, induce ferroptosis, and function as luminescent probes or photoactivated therapeutics [234–238]. Osmium complexes, though less explored, show no cross-resistance with cisplatin and can target ER stress pathways even in </w:t>
      </w:r>
      <w:r w:rsidRPr="006E62E9">
        <w:rPr>
          <w:rFonts w:ascii="Times New Roman" w:hAnsi="Times New Roman" w:cs="Times New Roman"/>
          <w:i/>
          <w:iCs/>
          <w:sz w:val="20"/>
          <w:szCs w:val="20"/>
        </w:rPr>
        <w:t>TP53</w:t>
      </w:r>
      <w:r w:rsidRPr="006E62E9">
        <w:rPr>
          <w:rFonts w:ascii="Times New Roman" w:hAnsi="Times New Roman" w:cs="Times New Roman"/>
          <w:sz w:val="20"/>
          <w:szCs w:val="20"/>
        </w:rPr>
        <w:t>-mutant cancers, suggesting potential for treating genetically complex tumors [17,263–265].</w:t>
      </w:r>
    </w:p>
    <w:p w14:paraId="23E22306" w14:textId="77777777" w:rsidR="006E62E9" w:rsidRPr="006E62E9"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Despite the abundance of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data on novel metallodrugs, a critical translational gap persists: only a minority have been validated in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models, and fewer still have advanced to clinical trials. </w:t>
      </w:r>
      <w:r w:rsidRPr="006E62E9">
        <w:rPr>
          <w:rFonts w:ascii="Times New Roman" w:hAnsi="Times New Roman" w:cs="Times New Roman"/>
          <w:i/>
          <w:iCs/>
          <w:sz w:val="20"/>
          <w:szCs w:val="20"/>
        </w:rPr>
        <w:t>In vitro</w:t>
      </w:r>
      <w:r w:rsidRPr="006E62E9">
        <w:rPr>
          <w:rFonts w:ascii="Times New Roman" w:hAnsi="Times New Roman" w:cs="Times New Roman"/>
          <w:sz w:val="20"/>
          <w:szCs w:val="20"/>
        </w:rPr>
        <w:t xml:space="preserve"> cytotoxicity often fails to predict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efficacy due to complexities in pharmacokinetics, biodistribution, metabolism, and tumor microenvironment interactions [32,38]. Consequently, there is an urgent need to prioritize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evaluation early in the drug development pipeline.</w:t>
      </w:r>
    </w:p>
    <w:p w14:paraId="3566524E" w14:textId="77777777" w:rsidR="006E62E9" w:rsidRPr="0076398E" w:rsidRDefault="006E62E9" w:rsidP="00D84361">
      <w:pPr>
        <w:spacing w:after="0"/>
        <w:jc w:val="both"/>
        <w:rPr>
          <w:rFonts w:ascii="Times New Roman" w:hAnsi="Times New Roman" w:cs="Times New Roman"/>
          <w:sz w:val="20"/>
          <w:szCs w:val="20"/>
        </w:rPr>
      </w:pPr>
      <w:r w:rsidRPr="006E62E9">
        <w:rPr>
          <w:rFonts w:ascii="Times New Roman" w:hAnsi="Times New Roman" w:cs="Times New Roman"/>
          <w:sz w:val="20"/>
          <w:szCs w:val="20"/>
        </w:rPr>
        <w:t xml:space="preserve">This review focuses specifically on metal complexes of Pt, Ru, Au, Cu, Ir, and Os that have demonstrated significant antitumor activity in animal models between 2017 and 2023. By critically analyzing their </w:t>
      </w:r>
      <w:r w:rsidRPr="006E62E9">
        <w:rPr>
          <w:rFonts w:ascii="Times New Roman" w:hAnsi="Times New Roman" w:cs="Times New Roman"/>
          <w:i/>
          <w:iCs/>
          <w:sz w:val="20"/>
          <w:szCs w:val="20"/>
        </w:rPr>
        <w:t>in vivo</w:t>
      </w:r>
      <w:r w:rsidRPr="006E62E9">
        <w:rPr>
          <w:rFonts w:ascii="Times New Roman" w:hAnsi="Times New Roman" w:cs="Times New Roman"/>
          <w:sz w:val="20"/>
          <w:szCs w:val="20"/>
        </w:rPr>
        <w:t xml:space="preserve"> performance, mechanisms of action, and structure–activity relationships, we aim to highlight the most promising candidates and underscore the importance of robust preclinical validation in advancing metallodrugs toward clinical reality.</w:t>
      </w:r>
    </w:p>
    <w:p w14:paraId="701FCE6A" w14:textId="492C0468" w:rsidR="0095751B" w:rsidRPr="0076398E" w:rsidRDefault="00815DC3" w:rsidP="00D84361">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METHODS AND MATERIALS</w:t>
      </w:r>
    </w:p>
    <w:p w14:paraId="4A8B3D50" w14:textId="0E28B19B"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Literature Search Strategy</w:t>
      </w:r>
    </w:p>
    <w:p w14:paraId="5ABC1495" w14:textId="77777777"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A systematic literature search was conducted using major scientific databases including PubMed, Web of Science, Scopus, and Google Scholar. Search terms combined metal-specific keywords (platinum, ruthenium, gold, copper, iridium, osmium) with therapeutic descriptors (“anticancer,” “antitumor,” “in vivo,” “xenograft,” “mouse model,” “animal study”) and temporal filters (2017–2023). Only peer-reviewed original research articles reporting quantitative in vivo anti-tumor data (e.g., tumor volume, inhibition rate, survival time, toxicity markers) in murine or zebrafish models were included.</w:t>
      </w:r>
    </w:p>
    <w:p w14:paraId="7C6E6EE4" w14:textId="77777777" w:rsidR="00D84361" w:rsidRPr="0076398E" w:rsidRDefault="00D84361" w:rsidP="00D84361">
      <w:pPr>
        <w:spacing w:after="0"/>
        <w:jc w:val="both"/>
        <w:rPr>
          <w:rFonts w:ascii="Times New Roman" w:hAnsi="Times New Roman" w:cs="Times New Roman"/>
          <w:sz w:val="20"/>
          <w:szCs w:val="20"/>
        </w:rPr>
      </w:pPr>
    </w:p>
    <w:p w14:paraId="33A12E12" w14:textId="0D40A897"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Inclusion and Exclusion Criteria</w:t>
      </w:r>
    </w:p>
    <w:p w14:paraId="49712B26" w14:textId="77777777" w:rsidR="00D84361"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Studies were included if they: (i) reported synthesis and characterization of a novel metal complex based on Pt, Ru, Au, Cu, Ir, or Os; (ii) provided in vitro cytotoxicity data (e.g., IC₅₀) in human cancer cell lines; and (iii) evaluated in vivo efficacy in xenograft, syngeneic, or genetically engineered animal models with clear dosing, route of administration, and ethical approval. Studies lacking control groups, using only in vitro models, or reporting non-cancer applications (e.g., antimicrobial, imaging) were excluded.</w:t>
      </w:r>
    </w:p>
    <w:p w14:paraId="7FDE0DED" w14:textId="750869E0" w:rsidR="00D84361" w:rsidRPr="0076398E" w:rsidRDefault="00D84361"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Data Extraction and Comparative Analysis</w:t>
      </w:r>
    </w:p>
    <w:p w14:paraId="2C3A787A" w14:textId="355BBAA7" w:rsidR="0095751B" w:rsidRPr="0076398E" w:rsidRDefault="00D84361" w:rsidP="00D84361">
      <w:pPr>
        <w:spacing w:after="0"/>
        <w:jc w:val="both"/>
        <w:rPr>
          <w:rFonts w:ascii="Times New Roman" w:hAnsi="Times New Roman" w:cs="Times New Roman"/>
          <w:sz w:val="20"/>
          <w:szCs w:val="20"/>
        </w:rPr>
      </w:pPr>
      <w:r w:rsidRPr="0076398E">
        <w:rPr>
          <w:rFonts w:ascii="Times New Roman" w:hAnsi="Times New Roman" w:cs="Times New Roman"/>
          <w:sz w:val="20"/>
          <w:szCs w:val="20"/>
        </w:rPr>
        <w:t>Key data were extracted into standardized tables, including: metal center, ligand type, cancer model, dosing regimen, tumor inhibition rate (%), median survival, and toxicity indicators (e.g., body weight loss, organ histopathology, serum biomarkers). Where possible, direct comparisons with cisplatin or clinical standards were noted. Mechanistic insights (e.g., ROS induction, DNA binding, TrxR inhibition) were cross-referenced with in vivo outcomes to assess translational relevance.</w:t>
      </w:r>
    </w:p>
    <w:p w14:paraId="3A3679E4" w14:textId="4BD8BD10" w:rsidR="0095751B" w:rsidRPr="0076398E" w:rsidRDefault="00815DC3"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lastRenderedPageBreak/>
        <w:t>RESULTS AND DISCUSSION</w:t>
      </w:r>
    </w:p>
    <w:p w14:paraId="7FFAFA56" w14:textId="20A3A284" w:rsidR="006E62E9" w:rsidRPr="0076398E" w:rsidRDefault="0095751B" w:rsidP="00D84361">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 xml:space="preserve">  </w:t>
      </w:r>
      <w:r w:rsidR="006E62E9" w:rsidRPr="0076398E">
        <w:rPr>
          <w:rFonts w:ascii="Times New Roman" w:hAnsi="Times New Roman" w:cs="Times New Roman"/>
          <w:b/>
          <w:bCs/>
          <w:sz w:val="20"/>
          <w:szCs w:val="20"/>
        </w:rPr>
        <w:t>General Mechanisms of Action of Anticancer Metal Complexes</w:t>
      </w:r>
    </w:p>
    <w:p w14:paraId="1374955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The therapeutic efficacy of metal-based anticancer agents arises from their ability to engage with a diverse array of biological targets through multiple, often synergistic, molecular mechanisms. Unlike conventional organic chemotherapeutics, which typically operate via a single dominant pathway, metallodrugs exploit the unique redox, coordination, and structural properties of metal centers to disrupt critical cellular processes in malignant cells [17–27]. These mechanisms include, but are not limited to, DNA binding and structural distortion, induction of oxidative stress via reactive oxygen species (ROS) generation, mitochondrial dysfunction, inhibition of key enzymes (e.g., thioredoxin reductase), anti-angiogenic signaling, and modulation of the tumor microenvironment [30–36].</w:t>
      </w:r>
    </w:p>
    <w:p w14:paraId="7A9217F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One of the most well-established mechanisms involves direct interaction with nuclear DNA. Platinum-based agents such as cisplatin, carboplatin, and oxaliplatin exert their cytotoxic effects primarily through covalent coordination to purine bases—particularly the N7 position of guanine—resulting in intra- and inter-strand crosslinks that impede DNA replication and transcription [30–33]. These DNA adducts are recognized as damage by cellular surveillance systems, triggering p53-mediated cell cycle arrest and intrinsic apoptosis. However, this mechanism is also associated with significant off-target toxicity and is frequently compromised in resistant tumors due to enhanced DNA repair or reduced drug accumulation [34].</w:t>
      </w:r>
    </w:p>
    <w:p w14:paraId="51AF9955"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Beyond platinum, other transition metal complexes also target nucleic acids, albeit through distinct binding modalities. </w:t>
      </w:r>
      <w:proofErr w:type="gramStart"/>
      <w:r w:rsidRPr="009B6FF4">
        <w:rPr>
          <w:rFonts w:ascii="Times New Roman" w:hAnsi="Times New Roman" w:cs="Times New Roman"/>
          <w:sz w:val="20"/>
          <w:szCs w:val="20"/>
        </w:rPr>
        <w:t>Ruthenium(</w:t>
      </w:r>
      <w:proofErr w:type="gramEnd"/>
      <w:r w:rsidRPr="009B6FF4">
        <w:rPr>
          <w:rFonts w:ascii="Times New Roman" w:hAnsi="Times New Roman" w:cs="Times New Roman"/>
          <w:sz w:val="20"/>
          <w:szCs w:val="20"/>
        </w:rPr>
        <w:t xml:space="preserve">II/III) and iridium(III) polypyridyl complexes, for instance, often intercalate between DNA base pairs or bind within the minor groove via planar aromatic ligands, thereby inducing conformational changes that interfere with topoisomerase function or transcription factor binding [42,129,142]. Similarly, </w:t>
      </w:r>
      <w:proofErr w:type="gramStart"/>
      <w:r w:rsidRPr="009B6FF4">
        <w:rPr>
          <w:rFonts w:ascii="Times New Roman" w:hAnsi="Times New Roman" w:cs="Times New Roman"/>
          <w:sz w:val="20"/>
          <w:szCs w:val="20"/>
        </w:rPr>
        <w:t>osmium(</w:t>
      </w:r>
      <w:proofErr w:type="gramEnd"/>
      <w:r w:rsidRPr="009B6FF4">
        <w:rPr>
          <w:rFonts w:ascii="Times New Roman" w:hAnsi="Times New Roman" w:cs="Times New Roman"/>
          <w:sz w:val="20"/>
          <w:szCs w:val="20"/>
        </w:rPr>
        <w:t>VI) nitrido complexes have been shown to both covalently bind and intercalate into DNA, leading to double-strand breaks and G2/M phase arrest [265].</w:t>
      </w:r>
    </w:p>
    <w:p w14:paraId="589A29EB"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A second major pathway involves the induction of oxidative stress. Metal ions with accessible redox states—such as Cu(I/II), </w:t>
      </w:r>
      <w:proofErr w:type="gramStart"/>
      <w:r w:rsidRPr="009B6FF4">
        <w:rPr>
          <w:rFonts w:ascii="Times New Roman" w:hAnsi="Times New Roman" w:cs="Times New Roman"/>
          <w:sz w:val="20"/>
          <w:szCs w:val="20"/>
        </w:rPr>
        <w:t>Fe(</w:t>
      </w:r>
      <w:proofErr w:type="gramEnd"/>
      <w:r w:rsidRPr="009B6FF4">
        <w:rPr>
          <w:rFonts w:ascii="Times New Roman" w:hAnsi="Times New Roman" w:cs="Times New Roman"/>
          <w:sz w:val="20"/>
          <w:szCs w:val="20"/>
        </w:rPr>
        <w:t>II/III), and Ru(II/III)—can catalyze Fenton- or Haber–Weiss–type reactions, converting endogenous hydrogen peroxide into highly reactive hydroxyl radicals [32,35]. This ROS burst overwhelms the antioxidant defenses of cancer cells (which often already operate under elevated basal oxidative stress), resulting in lipid peroxidation, protein misfolding, and mitochondrial membrane depolarization [32,35,236]. Arsenic trioxide (ATO), though not a transition metal, exemplifies this mechanism in the successful treatment of acute promyelocytic leukemia [35]. Copper-based complexes, including the clinical-stage Casiopeínas®, similarly exploit the elevated copper demand of tumors to selectively induce ROS-mediated apoptosis [47,48].</w:t>
      </w:r>
    </w:p>
    <w:p w14:paraId="2D47069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Mitochondria represent another critical target. Many gold(I/III) and </w:t>
      </w:r>
      <w:proofErr w:type="gramStart"/>
      <w:r w:rsidRPr="009B6FF4">
        <w:rPr>
          <w:rFonts w:ascii="Times New Roman" w:hAnsi="Times New Roman" w:cs="Times New Roman"/>
          <w:sz w:val="20"/>
          <w:szCs w:val="20"/>
        </w:rPr>
        <w:t>iridium(</w:t>
      </w:r>
      <w:proofErr w:type="gramEnd"/>
      <w:r w:rsidRPr="009B6FF4">
        <w:rPr>
          <w:rFonts w:ascii="Times New Roman" w:hAnsi="Times New Roman" w:cs="Times New Roman"/>
          <w:sz w:val="20"/>
          <w:szCs w:val="20"/>
        </w:rPr>
        <w:t>III) complexes accumulate preferentially in the mitochondrial matrix due to their lipophilic cationic nature and the negative mitochondrial membrane potential [22,151,234]. Once internalized, they disrupt electron transport chain function, uncouple oxidative phosphorylation, and promote cytochrome c release, thereby activating caspase-dependent apoptotic cascades [22,234,170]. Notably, some gold complexes also induce endoplasmic reticulum (ER) stress by inhibiting thioredoxin reductase (TrxR)—a selenocysteine-containing enzyme overexpressed in many cancers—leading to unfolded protein response (UPR) activation and non-canonical cell death pathways [22,150,168].</w:t>
      </w:r>
    </w:p>
    <w:p w14:paraId="18D5CAF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Furthermore, several metallodrugs exhibit anti-angiogenic properties. By suppressing the expression or signaling of vascular endothelial growth factor (VEGF), compounds such as certain platinum and gold derivatives can inhibit neovascularization, thereby limiting tumor growth and metastasis [36]. For example, a human serum albumin–conjugated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complex (HSA-Pt-28) was shown to block the HIF-1α/VEGF axis in the tumor microenvironment, significantly reducing tumor vascularization in vivo [96].</w:t>
      </w:r>
    </w:p>
    <w:p w14:paraId="5CD85153"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An emerging mechanism involves immunogenic cell death (ICD), wherein metallodrugs trigger the exposure of damage-associated molecular patterns (DAMPs)—such as calreticulin on the cell surface and ATP release—that recruit dendritic cells and activate antitumor immunity [105,108]. This immunomodulatory capacity positions certain metallodrugs not only as cytotoxic agents but also as potential adjuvants for combination with checkpoint inhibitors.</w:t>
      </w:r>
    </w:p>
    <w:p w14:paraId="71B4D70F"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Finally, the ligand environment surrounding the metal center plays a decisive role in modulating mechanism and selectivity. Ligands can be engineered to enhance tumor targeting (e.g., via folate or peptide conjugation), enable photoactivation (as in Ru- or Ir-based PDT agents like TLD1433) [120], or facilitate prodrug activation under tumor-specific conditions (e.g., hypoxia-mediated reduction of </w:t>
      </w:r>
      <w:proofErr w:type="gramStart"/>
      <w:r w:rsidRPr="009B6FF4">
        <w:rPr>
          <w:rFonts w:ascii="Times New Roman" w:hAnsi="Times New Roman" w:cs="Times New Roman"/>
          <w:sz w:val="20"/>
          <w:szCs w:val="20"/>
        </w:rPr>
        <w:t>Ru(</w:t>
      </w:r>
      <w:proofErr w:type="gramEnd"/>
      <w:r w:rsidRPr="009B6FF4">
        <w:rPr>
          <w:rFonts w:ascii="Times New Roman" w:hAnsi="Times New Roman" w:cs="Times New Roman"/>
          <w:sz w:val="20"/>
          <w:szCs w:val="20"/>
        </w:rPr>
        <w:t>III) to Ru(II)) [40,46]. This tunability underpins the versatility of metallodrugs and enables rational design strategies that transcend the limitations of classical chemotherapy.</w:t>
      </w:r>
    </w:p>
    <w:p w14:paraId="41AB4898"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In summary, the anticancer activity of metal complexes is rarely attributable to a single mechanism; rather, it emerges from a network of interconnected pathways that collectively overwhelm the adaptive capacity of malignant cells. This polypharmacological profile not only enhances therapeutic potency but also provides a robust framework for overcoming drug resistance—a persistent challenge in oncology.</w:t>
      </w:r>
    </w:p>
    <w:p w14:paraId="3E325266" w14:textId="35915946" w:rsidR="009B6FF4" w:rsidRPr="0076398E" w:rsidRDefault="009B6FF4"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Platinum-Based Complexes: Evolution and In Vivo Advances</w:t>
      </w:r>
    </w:p>
    <w:p w14:paraId="51CB5E11"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Platinum-based coordination compounds represent the most clinically validated class of metallodrugs in oncology, with cisplatin, carboplatin, and oxaliplatin forming the backbone of chemotherapy regimens for a wide spectrum of solid tumors, including testicular, </w:t>
      </w:r>
      <w:r w:rsidRPr="009B6FF4">
        <w:rPr>
          <w:rFonts w:ascii="Times New Roman" w:hAnsi="Times New Roman" w:cs="Times New Roman"/>
          <w:sz w:val="20"/>
          <w:szCs w:val="20"/>
        </w:rPr>
        <w:lastRenderedPageBreak/>
        <w:t xml:space="preserve">ovarian, colorectal, and non–small-cell lung carcinomas [34,55]. The serendipitous discovery of cisplatin’s antiproliferative activity by Rosenberg in 1965 [50] marked a paradigm shift in cancer therapeutics, establishing DNA as a viable pharmacological target and catalyzing decades of innovation in bioinorganic medicinal chemistry. Despite their therapeutic efficacy, first-generation platinum agents are plagued by severe dose-limiting toxicities—particularly nephrotoxicity, neurotoxicity, and ototoxicity—as well as intrinsic or acquired resistance mechanisms that substantially compromise long-term clinical outcomes [34,56]. These limitations have driven the rational design of next-generation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and Pt(IV) complexes with improved pharmacokinetic profiles, enhanced tumor selectivity, and the capacity to circumvent classical resistance pathways.</w:t>
      </w:r>
    </w:p>
    <w:p w14:paraId="01E49E00"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Second-generation analogs, such as carboplatin and oxaliplatin, were developed to mitigate cisplatin-associated adverse effects through strategic ligand substitution. Carboplatin replaces the labile chloride ligands with a chelating cyclobutane-1,1-dicarboxylate group, resulting in slower aquation kinetics, reduced reactivity with renal nucleophiles, and a markedly improved safety profile—albeit with modestly diminished potency [58–60]. Oxaliplatin, featuring a bulky (1R,2R)-diaminocyclohexane (DACH) carrier ligand, exhibits unique activity in cisplatin-resistant models and is the cornerstone of treatment for metastatic colorectal cancer, largely due to its ability to form bulkier DNA adducts that evade nucleotide excision repair [34,61,62]. Nedaplatin, another second-generation derivative bearing a glycolate leaving group, demonstrates comparable efficacy to carboplatin with further reductions in hematological and renal toxicity [63,64].</w:t>
      </w:r>
    </w:p>
    <w:p w14:paraId="3A8E2816" w14:textId="77777777"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Third-generation agents, including lobaplatin and heptaplatin, aim to further refine therapeutic indices. Lobaplatin, bearing a lactic acid leaving group and a 1,2-bis(aminomethyl)cyclobutane chelator, exhibits antitumor activity against small-cell lung cancer and demonstrates modulation of </w:t>
      </w:r>
      <w:r w:rsidRPr="009B6FF4">
        <w:rPr>
          <w:rFonts w:ascii="Times New Roman" w:hAnsi="Times New Roman" w:cs="Times New Roman"/>
          <w:i/>
          <w:iCs/>
          <w:sz w:val="20"/>
          <w:szCs w:val="20"/>
        </w:rPr>
        <w:t>c-myc</w:t>
      </w:r>
      <w:r w:rsidRPr="009B6FF4">
        <w:rPr>
          <w:rFonts w:ascii="Times New Roman" w:hAnsi="Times New Roman" w:cs="Times New Roman"/>
          <w:sz w:val="20"/>
          <w:szCs w:val="20"/>
        </w:rPr>
        <w:t xml:space="preserve"> oncogene expression [65,66]. Heptaplatin combines enhanced aqueous stability with activity in cisplatin-resistant cell lines, underscoring the continued viability of structural optimization within the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scaffold [56,65].</w:t>
      </w:r>
    </w:p>
    <w:p w14:paraId="7A569AF1" w14:textId="77777777" w:rsidR="00815DC3" w:rsidRDefault="00815DC3" w:rsidP="007B0320">
      <w:pPr>
        <w:keepNext/>
        <w:spacing w:after="0"/>
        <w:jc w:val="both"/>
        <w:sectPr w:rsidR="00815DC3" w:rsidSect="00722BD5">
          <w:type w:val="continuous"/>
          <w:pgSz w:w="12240" w:h="15840"/>
          <w:pgMar w:top="720" w:right="720" w:bottom="720" w:left="720" w:header="720" w:footer="720" w:gutter="0"/>
          <w:cols w:space="720"/>
          <w:titlePg/>
          <w:docGrid w:linePitch="360"/>
        </w:sectPr>
      </w:pPr>
    </w:p>
    <w:p w14:paraId="657973C5" w14:textId="77777777" w:rsidR="00815DC3" w:rsidRDefault="007B0320" w:rsidP="00815DC3">
      <w:pPr>
        <w:keepNext/>
        <w:spacing w:after="0"/>
        <w:jc w:val="both"/>
      </w:pPr>
      <w:r w:rsidRPr="00B73B4B">
        <w:rPr>
          <w:rFonts w:ascii="Times New Roman" w:eastAsia="Times New Roman" w:hAnsi="Times New Roman" w:cs="Times New Roman"/>
          <w:noProof/>
          <w:sz w:val="24"/>
          <w:szCs w:val="24"/>
        </w:rPr>
        <w:drawing>
          <wp:inline distT="0" distB="0" distL="0" distR="0" wp14:anchorId="0E9B9CB6" wp14:editId="4748A0D0">
            <wp:extent cx="6826250" cy="3854450"/>
            <wp:effectExtent l="0" t="0" r="0" b="0"/>
            <wp:docPr id="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6828862" cy="3855925"/>
                    </a:xfrm>
                    <a:prstGeom prst="rect">
                      <a:avLst/>
                    </a:prstGeom>
                  </pic:spPr>
                </pic:pic>
              </a:graphicData>
            </a:graphic>
          </wp:inline>
        </w:drawing>
      </w:r>
    </w:p>
    <w:p w14:paraId="67830D6E" w14:textId="2B411F80" w:rsidR="00815DC3" w:rsidRPr="00815DC3" w:rsidRDefault="00815DC3" w:rsidP="00815DC3">
      <w:pPr>
        <w:pStyle w:val="Caption"/>
        <w:jc w:val="center"/>
        <w:rPr>
          <w:rFonts w:ascii="Times New Roman" w:hAnsi="Times New Roman" w:cs="Times New Roman"/>
          <w:b/>
          <w:bCs/>
          <w:i w:val="0"/>
          <w:iCs w:val="0"/>
          <w:color w:val="auto"/>
          <w:sz w:val="20"/>
          <w:szCs w:val="20"/>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Clinically approved platinum anti-cancer drugs.</w:t>
      </w:r>
    </w:p>
    <w:p w14:paraId="7AA4B5C6"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Beyond incremental ligand modifications, recent years have witnessed the emergence of structurally innovative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complexes designed to engage non-canonical mechanisms of action while retaining potent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efficacy. Notably, quinoline–coumarin hybrid ligands have been employed to enhance cellular uptake and mitochondrial targeting. Qin et al. reported a series of </w:t>
      </w:r>
      <w:proofErr w:type="gramStart"/>
      <w:r w:rsidRPr="009B6FF4">
        <w:rPr>
          <w:rFonts w:ascii="Times New Roman" w:hAnsi="Times New Roman" w:cs="Times New Roman"/>
          <w:sz w:val="20"/>
          <w:szCs w:val="20"/>
        </w:rPr>
        <w:t>organoplatinum(</w:t>
      </w:r>
      <w:proofErr w:type="gramEnd"/>
      <w:r w:rsidRPr="009B6FF4">
        <w:rPr>
          <w:rFonts w:ascii="Times New Roman" w:hAnsi="Times New Roman" w:cs="Times New Roman"/>
          <w:sz w:val="20"/>
          <w:szCs w:val="20"/>
        </w:rPr>
        <w:t>II) complexes exhibiting nanomolar cytotoxicity against cisplatin-resistant A549/DDP lung adenocarcinoma and HeLa cervical carcinoma cells, with minimal effects on noncancerous HL-7702 hepatocytes (IC₅₀ &gt; 150 μM) [71]. The lead compound, Pt-1, induced mitochondrial membrane depolarization and caspase-dependent apoptosis, and at a dose of 2.0 mg/kg (administered every 2 days), inhibited HeLa xenograft growth in nude mice by 42.7%—outperforming equimolar cisplatin without inducing significant weight loss or organ toxicity [71].</w:t>
      </w:r>
    </w:p>
    <w:p w14:paraId="1BDE5F59"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lastRenderedPageBreak/>
        <w:t xml:space="preserve">Similarly, Ruiz et al. developed a hydroxyquinoline-based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 [PtCl(8-O-quinoline)(DMSO)] (Pt-2), which demonstrated superior cytotoxicity over cisplatin in human osteosarcoma (MG-63) 3D multicellular spheroids—a model that better recapitulates tumor microarchitecture and drug penetration barriers [72].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Pt-2 reduced tumor volume to 989 ± 68 mm³ in a murine xenograft model without perturbing hepatic or renal function, and its mechanism was linked to robust ROS generation and G2/M cell cycle arrest [72].</w:t>
      </w:r>
    </w:p>
    <w:p w14:paraId="3CFC9AE5" w14:textId="77777777" w:rsidR="009B6FF4" w:rsidRP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Further innovation is exemplified by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complexes incorporating jatrorrhizine, a natural isoquinoline alkaloid with inherent bioactivity. Qin et al. synthesized luminescent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II) derivatives of jatrorrhizine, with Pt-4 displaying exceptional selectivity for HeLa cells (IC₅₀ = 1.00 ± 0.17 nM) versus normal HL-7702 cells (IC₅₀ &gt; 150 μM) [74]. Pt-4 arrested the cell cycle at G1 phase, induced mitochondrial and nuclear DNA damage, and potently inhibited telomerase activity. In nude mice bearing HeLa xenografts, Pt-4 achieved a 48.8% tumor inhibition rate—surpassing cisplatin (35.2%)—highlighting the therapeutic promise of natural product–metal hybrids [74].</w:t>
      </w:r>
    </w:p>
    <w:p w14:paraId="41CF1A8F" w14:textId="6684B7B1" w:rsidR="009B6FF4"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More recently, Zhang et al. engineered HSA-Pt-28, a human serum albumin (HSA)-conjugated </w:t>
      </w:r>
      <w:proofErr w:type="gramStart"/>
      <w:r w:rsidRPr="009B6FF4">
        <w:rPr>
          <w:rFonts w:ascii="Times New Roman" w:hAnsi="Times New Roman" w:cs="Times New Roman"/>
          <w:sz w:val="20"/>
          <w:szCs w:val="20"/>
        </w:rPr>
        <w:t>Pt(</w:t>
      </w:r>
      <w:proofErr w:type="gramEnd"/>
      <w:r w:rsidRPr="009B6FF4">
        <w:rPr>
          <w:rFonts w:ascii="Times New Roman" w:hAnsi="Times New Roman" w:cs="Times New Roman"/>
          <w:sz w:val="20"/>
          <w:szCs w:val="20"/>
        </w:rPr>
        <w:t xml:space="preserve">II) complex that leverages the enhanced permeability and retention (EPR) effect for tumor-selective delivery [96]. This construct exhibited low cytotoxicity against normal WI-38 fibroblasts (IC₅₀ = 43.17 μM) but potent activity against SK-N-MC neuroepithelioma and HCT116 colorectal carcinoma cells.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HSA-Pt-28 produced a 1.3-fold greater tumor growth inhibition than its unconjugated counterpart in SK-N-MC xenografts. Mechanistically, it activated the ROS-mediated mitochondrial apoptotic pathway and suppressed tumor angiogenesis by inhibiting the HIF-1α/VEGF axis within the tumor microenvironment—demonstrating a rare dual cytotoxic and anti-angiogenic profile [96].</w:t>
      </w:r>
      <w:r w:rsidR="00FF4DAD">
        <w:rPr>
          <w:rFonts w:ascii="Times New Roman" w:hAnsi="Times New Roman" w:cs="Times New Roman"/>
          <w:sz w:val="20"/>
          <w:szCs w:val="20"/>
        </w:rPr>
        <w:t xml:space="preserve"> Consider Table 1 below</w:t>
      </w:r>
    </w:p>
    <w:p w14:paraId="09107E1C" w14:textId="77777777" w:rsidR="00550FF4" w:rsidRDefault="00550FF4" w:rsidP="00FF4DAD">
      <w:pPr>
        <w:pStyle w:val="Caption"/>
        <w:keepNext/>
        <w:rPr>
          <w:rFonts w:ascii="Times New Roman" w:hAnsi="Times New Roman" w:cs="Times New Roman"/>
          <w:b/>
          <w:bCs/>
          <w:i w:val="0"/>
          <w:iCs w:val="0"/>
          <w:color w:val="auto"/>
          <w:sz w:val="20"/>
          <w:szCs w:val="20"/>
        </w:rPr>
        <w:sectPr w:rsidR="00550FF4" w:rsidSect="00722BD5">
          <w:type w:val="continuous"/>
          <w:pgSz w:w="12240" w:h="15840"/>
          <w:pgMar w:top="720" w:right="720" w:bottom="720" w:left="720" w:header="720" w:footer="720" w:gutter="0"/>
          <w:cols w:space="720"/>
          <w:titlePg/>
          <w:docGrid w:linePitch="360"/>
        </w:sectPr>
      </w:pPr>
    </w:p>
    <w:p w14:paraId="467C05DB" w14:textId="1808D5EC" w:rsidR="00FF4DAD" w:rsidRPr="00FF4DAD" w:rsidRDefault="00FF4DAD" w:rsidP="00FF4DAD">
      <w:pPr>
        <w:pStyle w:val="Caption"/>
        <w:keepNext/>
        <w:rPr>
          <w:rFonts w:ascii="Times New Roman" w:hAnsi="Times New Roman" w:cs="Times New Roman"/>
          <w:b/>
          <w:bCs/>
          <w:i w:val="0"/>
          <w:iCs w:val="0"/>
          <w:sz w:val="20"/>
          <w:szCs w:val="20"/>
        </w:rPr>
      </w:pPr>
      <w:r w:rsidRPr="00FF4DAD">
        <w:rPr>
          <w:rFonts w:ascii="Times New Roman" w:hAnsi="Times New Roman" w:cs="Times New Roman"/>
          <w:b/>
          <w:bCs/>
          <w:i w:val="0"/>
          <w:iCs w:val="0"/>
          <w:color w:val="auto"/>
          <w:sz w:val="20"/>
          <w:szCs w:val="20"/>
        </w:rPr>
        <w:t xml:space="preserve">Table </w:t>
      </w:r>
      <w:r w:rsidRPr="00FF4DAD">
        <w:rPr>
          <w:rFonts w:ascii="Times New Roman" w:hAnsi="Times New Roman" w:cs="Times New Roman"/>
          <w:b/>
          <w:bCs/>
          <w:i w:val="0"/>
          <w:iCs w:val="0"/>
          <w:color w:val="auto"/>
          <w:sz w:val="20"/>
          <w:szCs w:val="20"/>
        </w:rPr>
        <w:fldChar w:fldCharType="begin"/>
      </w:r>
      <w:r w:rsidRPr="00FF4DAD">
        <w:rPr>
          <w:rFonts w:ascii="Times New Roman" w:hAnsi="Times New Roman" w:cs="Times New Roman"/>
          <w:b/>
          <w:bCs/>
          <w:i w:val="0"/>
          <w:iCs w:val="0"/>
          <w:color w:val="auto"/>
          <w:sz w:val="20"/>
          <w:szCs w:val="20"/>
        </w:rPr>
        <w:instrText xml:space="preserve"> SEQ Table \* ARABIC </w:instrText>
      </w:r>
      <w:r w:rsidRPr="00FF4DAD">
        <w:rPr>
          <w:rFonts w:ascii="Times New Roman" w:hAnsi="Times New Roman" w:cs="Times New Roman"/>
          <w:b/>
          <w:bCs/>
          <w:i w:val="0"/>
          <w:iCs w:val="0"/>
          <w:color w:val="auto"/>
          <w:sz w:val="20"/>
          <w:szCs w:val="20"/>
        </w:rPr>
        <w:fldChar w:fldCharType="separate"/>
      </w:r>
      <w:r w:rsidR="00815DC3">
        <w:rPr>
          <w:rFonts w:ascii="Times New Roman" w:hAnsi="Times New Roman" w:cs="Times New Roman"/>
          <w:b/>
          <w:bCs/>
          <w:i w:val="0"/>
          <w:iCs w:val="0"/>
          <w:noProof/>
          <w:color w:val="auto"/>
          <w:sz w:val="20"/>
          <w:szCs w:val="20"/>
        </w:rPr>
        <w:t>1</w:t>
      </w:r>
      <w:r w:rsidRPr="00FF4DAD">
        <w:rPr>
          <w:rFonts w:ascii="Times New Roman" w:hAnsi="Times New Roman" w:cs="Times New Roman"/>
          <w:b/>
          <w:bCs/>
          <w:i w:val="0"/>
          <w:iCs w:val="0"/>
          <w:color w:val="auto"/>
          <w:sz w:val="20"/>
          <w:szCs w:val="20"/>
        </w:rPr>
        <w:fldChar w:fldCharType="end"/>
      </w:r>
      <w:r w:rsidRPr="00FF4DAD">
        <w:rPr>
          <w:rFonts w:ascii="Times New Roman" w:hAnsi="Times New Roman" w:cs="Times New Roman"/>
          <w:b/>
          <w:bCs/>
          <w:i w:val="0"/>
          <w:iCs w:val="0"/>
          <w:color w:val="auto"/>
          <w:sz w:val="20"/>
          <w:szCs w:val="20"/>
        </w:rPr>
        <w:t>: Examples of the Anti-Cancer Activity of Platinum (II) Compounds.</w:t>
      </w:r>
    </w:p>
    <w:tbl>
      <w:tblPr>
        <w:tblW w:w="9541" w:type="dxa"/>
        <w:tblInd w:w="95" w:type="dxa"/>
        <w:tblBorders>
          <w:top w:val="single" w:sz="4" w:space="0" w:color="auto"/>
        </w:tblBorders>
        <w:tblLook w:val="0000" w:firstRow="0" w:lastRow="0" w:firstColumn="0" w:lastColumn="0" w:noHBand="0" w:noVBand="0"/>
      </w:tblPr>
      <w:tblGrid>
        <w:gridCol w:w="3524"/>
        <w:gridCol w:w="1666"/>
        <w:gridCol w:w="1471"/>
        <w:gridCol w:w="2880"/>
      </w:tblGrid>
      <w:tr w:rsidR="00FF4DAD" w:rsidRPr="00E21ABE" w14:paraId="74AC36CC" w14:textId="77777777" w:rsidTr="00FF4DAD">
        <w:trPr>
          <w:trHeight w:val="438"/>
        </w:trPr>
        <w:tc>
          <w:tcPr>
            <w:tcW w:w="3524" w:type="dxa"/>
            <w:tcBorders>
              <w:bottom w:val="single" w:sz="4" w:space="0" w:color="auto"/>
              <w:right w:val="single" w:sz="4" w:space="0" w:color="auto"/>
            </w:tcBorders>
          </w:tcPr>
          <w:p w14:paraId="3C2BA6E1" w14:textId="627DC3C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platinum</w:t>
            </w:r>
            <w:r w:rsidR="00815DC3">
              <w:rPr>
                <w:rFonts w:ascii="Times New Roman" w:hAnsi="Times New Roman" w:cs="Times New Roman"/>
                <w:b/>
                <w:sz w:val="18"/>
                <w:szCs w:val="18"/>
              </w:rPr>
              <w:t xml:space="preserve"> </w:t>
            </w:r>
            <w:r w:rsidRPr="00E21ABE">
              <w:rPr>
                <w:rFonts w:ascii="Times New Roman" w:hAnsi="Times New Roman" w:cs="Times New Roman"/>
                <w:b/>
                <w:sz w:val="18"/>
                <w:szCs w:val="18"/>
              </w:rPr>
              <w:t>(II) compounds</w:t>
            </w:r>
          </w:p>
        </w:tc>
        <w:tc>
          <w:tcPr>
            <w:tcW w:w="1666" w:type="dxa"/>
            <w:tcBorders>
              <w:left w:val="single" w:sz="4" w:space="0" w:color="auto"/>
              <w:bottom w:val="single" w:sz="4" w:space="0" w:color="auto"/>
            </w:tcBorders>
          </w:tcPr>
          <w:p w14:paraId="71ADDEAD" w14:textId="77777777" w:rsidR="00FF4DAD" w:rsidRPr="00E21ABE" w:rsidRDefault="00FF4DAD" w:rsidP="007E1794">
            <w:pPr>
              <w:spacing w:line="360" w:lineRule="auto"/>
              <w:ind w:left="55"/>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471" w:type="dxa"/>
            <w:tcBorders>
              <w:left w:val="single" w:sz="4" w:space="0" w:color="auto"/>
              <w:bottom w:val="single" w:sz="4" w:space="0" w:color="auto"/>
            </w:tcBorders>
          </w:tcPr>
          <w:p w14:paraId="364483F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880" w:type="dxa"/>
            <w:tcBorders>
              <w:left w:val="single" w:sz="4" w:space="0" w:color="auto"/>
              <w:bottom w:val="single" w:sz="4" w:space="0" w:color="auto"/>
            </w:tcBorders>
          </w:tcPr>
          <w:p w14:paraId="7D886589"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33877DAF" w14:textId="77777777" w:rsidTr="00FF4DAD">
        <w:trPr>
          <w:trHeight w:val="1972"/>
        </w:trPr>
        <w:tc>
          <w:tcPr>
            <w:tcW w:w="3524" w:type="dxa"/>
            <w:tcBorders>
              <w:top w:val="single" w:sz="4" w:space="0" w:color="auto"/>
              <w:bottom w:val="single" w:sz="4" w:space="0" w:color="auto"/>
              <w:right w:val="single" w:sz="4" w:space="0" w:color="auto"/>
            </w:tcBorders>
          </w:tcPr>
          <w:p w14:paraId="0DBF1E08"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59264" behindDoc="0" locked="0" layoutInCell="1" allowOverlap="1" wp14:anchorId="316A9979" wp14:editId="618E80C2">
                      <wp:simplePos x="0" y="0"/>
                      <wp:positionH relativeFrom="page">
                        <wp:posOffset>201295</wp:posOffset>
                      </wp:positionH>
                      <wp:positionV relativeFrom="paragraph">
                        <wp:posOffset>317500</wp:posOffset>
                      </wp:positionV>
                      <wp:extent cx="1546225" cy="969645"/>
                      <wp:effectExtent l="0" t="0" r="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6225" cy="969645"/>
                                <a:chOff x="0" y="0"/>
                                <a:chExt cx="1546225" cy="1054735"/>
                              </a:xfrm>
                            </wpg:grpSpPr>
                            <wps:wsp>
                              <wps:cNvPr id="3" name="Graphic 20"/>
                              <wps:cNvSpPr/>
                              <wps:spPr>
                                <a:xfrm>
                                  <a:off x="-11" y="0"/>
                                  <a:ext cx="1229995" cy="862965"/>
                                </a:xfrm>
                                <a:custGeom>
                                  <a:avLst/>
                                  <a:gdLst/>
                                  <a:ahLst/>
                                  <a:cxnLst/>
                                  <a:rect l="l" t="t" r="r" b="b"/>
                                  <a:pathLst>
                                    <a:path w="1229995" h="862965">
                                      <a:moveTo>
                                        <a:pt x="49974" y="167690"/>
                                      </a:moveTo>
                                      <a:lnTo>
                                        <a:pt x="41541" y="167690"/>
                                      </a:lnTo>
                                      <a:lnTo>
                                        <a:pt x="41541" y="193916"/>
                                      </a:lnTo>
                                      <a:lnTo>
                                        <a:pt x="8432" y="193916"/>
                                      </a:lnTo>
                                      <a:lnTo>
                                        <a:pt x="8432" y="167690"/>
                                      </a:lnTo>
                                      <a:lnTo>
                                        <a:pt x="0" y="167690"/>
                                      </a:lnTo>
                                      <a:lnTo>
                                        <a:pt x="0" y="231495"/>
                                      </a:lnTo>
                                      <a:lnTo>
                                        <a:pt x="8432" y="231495"/>
                                      </a:lnTo>
                                      <a:lnTo>
                                        <a:pt x="8432" y="201434"/>
                                      </a:lnTo>
                                      <a:lnTo>
                                        <a:pt x="41541" y="201434"/>
                                      </a:lnTo>
                                      <a:lnTo>
                                        <a:pt x="41541" y="231495"/>
                                      </a:lnTo>
                                      <a:lnTo>
                                        <a:pt x="49974" y="231495"/>
                                      </a:lnTo>
                                      <a:lnTo>
                                        <a:pt x="49974" y="167690"/>
                                      </a:lnTo>
                                      <a:close/>
                                    </a:path>
                                    <a:path w="1229995" h="862965">
                                      <a:moveTo>
                                        <a:pt x="123583" y="206184"/>
                                      </a:moveTo>
                                      <a:lnTo>
                                        <a:pt x="123494" y="192925"/>
                                      </a:lnTo>
                                      <a:lnTo>
                                        <a:pt x="122351" y="187642"/>
                                      </a:lnTo>
                                      <a:lnTo>
                                        <a:pt x="117398" y="177533"/>
                                      </a:lnTo>
                                      <a:lnTo>
                                        <a:pt x="114896" y="174828"/>
                                      </a:lnTo>
                                      <a:lnTo>
                                        <a:pt x="114896" y="194475"/>
                                      </a:lnTo>
                                      <a:lnTo>
                                        <a:pt x="114896" y="207873"/>
                                      </a:lnTo>
                                      <a:lnTo>
                                        <a:pt x="99428" y="225374"/>
                                      </a:lnTo>
                                      <a:lnTo>
                                        <a:pt x="86855" y="225374"/>
                                      </a:lnTo>
                                      <a:lnTo>
                                        <a:pt x="81673" y="223164"/>
                                      </a:lnTo>
                                      <a:lnTo>
                                        <a:pt x="73418" y="214312"/>
                                      </a:lnTo>
                                      <a:lnTo>
                                        <a:pt x="71348" y="208267"/>
                                      </a:lnTo>
                                      <a:lnTo>
                                        <a:pt x="71348" y="190982"/>
                                      </a:lnTo>
                                      <a:lnTo>
                                        <a:pt x="73507" y="184099"/>
                                      </a:lnTo>
                                      <a:lnTo>
                                        <a:pt x="82105" y="175895"/>
                                      </a:lnTo>
                                      <a:lnTo>
                                        <a:pt x="87249" y="173901"/>
                                      </a:lnTo>
                                      <a:lnTo>
                                        <a:pt x="97409" y="173901"/>
                                      </a:lnTo>
                                      <a:lnTo>
                                        <a:pt x="101193" y="174904"/>
                                      </a:lnTo>
                                      <a:lnTo>
                                        <a:pt x="104571" y="177088"/>
                                      </a:lnTo>
                                      <a:lnTo>
                                        <a:pt x="107950" y="179184"/>
                                      </a:lnTo>
                                      <a:lnTo>
                                        <a:pt x="110515" y="182181"/>
                                      </a:lnTo>
                                      <a:lnTo>
                                        <a:pt x="112268" y="186093"/>
                                      </a:lnTo>
                                      <a:lnTo>
                                        <a:pt x="114020" y="189941"/>
                                      </a:lnTo>
                                      <a:lnTo>
                                        <a:pt x="114896" y="194475"/>
                                      </a:lnTo>
                                      <a:lnTo>
                                        <a:pt x="114896" y="174828"/>
                                      </a:lnTo>
                                      <a:lnTo>
                                        <a:pt x="114046" y="173901"/>
                                      </a:lnTo>
                                      <a:lnTo>
                                        <a:pt x="113792" y="173621"/>
                                      </a:lnTo>
                                      <a:lnTo>
                                        <a:pt x="104355" y="167982"/>
                                      </a:lnTo>
                                      <a:lnTo>
                                        <a:pt x="99047" y="166611"/>
                                      </a:lnTo>
                                      <a:lnTo>
                                        <a:pt x="84188" y="166611"/>
                                      </a:lnTo>
                                      <a:lnTo>
                                        <a:pt x="76847" y="169621"/>
                                      </a:lnTo>
                                      <a:lnTo>
                                        <a:pt x="71183" y="175628"/>
                                      </a:lnTo>
                                      <a:lnTo>
                                        <a:pt x="67449" y="180505"/>
                                      </a:lnTo>
                                      <a:lnTo>
                                        <a:pt x="64871" y="186093"/>
                                      </a:lnTo>
                                      <a:lnTo>
                                        <a:pt x="64782" y="186283"/>
                                      </a:lnTo>
                                      <a:lnTo>
                                        <a:pt x="63182" y="192925"/>
                                      </a:lnTo>
                                      <a:lnTo>
                                        <a:pt x="62661" y="200444"/>
                                      </a:lnTo>
                                      <a:lnTo>
                                        <a:pt x="62687" y="206184"/>
                                      </a:lnTo>
                                      <a:lnTo>
                                        <a:pt x="87134" y="232600"/>
                                      </a:lnTo>
                                      <a:lnTo>
                                        <a:pt x="98666" y="232600"/>
                                      </a:lnTo>
                                      <a:lnTo>
                                        <a:pt x="103822" y="231292"/>
                                      </a:lnTo>
                                      <a:lnTo>
                                        <a:pt x="113372" y="226034"/>
                                      </a:lnTo>
                                      <a:lnTo>
                                        <a:pt x="113995" y="225374"/>
                                      </a:lnTo>
                                      <a:lnTo>
                                        <a:pt x="117068" y="222173"/>
                                      </a:lnTo>
                                      <a:lnTo>
                                        <a:pt x="122288" y="211963"/>
                                      </a:lnTo>
                                      <a:lnTo>
                                        <a:pt x="123583" y="206184"/>
                                      </a:lnTo>
                                      <a:close/>
                                    </a:path>
                                    <a:path w="1229995" h="862965">
                                      <a:moveTo>
                                        <a:pt x="232638" y="277456"/>
                                      </a:moveTo>
                                      <a:lnTo>
                                        <a:pt x="232232" y="277456"/>
                                      </a:lnTo>
                                      <a:lnTo>
                                        <a:pt x="232232" y="276186"/>
                                      </a:lnTo>
                                      <a:lnTo>
                                        <a:pt x="227584" y="276186"/>
                                      </a:lnTo>
                                      <a:lnTo>
                                        <a:pt x="227584" y="277456"/>
                                      </a:lnTo>
                                      <a:lnTo>
                                        <a:pt x="227177" y="277456"/>
                                      </a:lnTo>
                                      <a:lnTo>
                                        <a:pt x="227177" y="278726"/>
                                      </a:lnTo>
                                      <a:lnTo>
                                        <a:pt x="227177" y="384136"/>
                                      </a:lnTo>
                                      <a:lnTo>
                                        <a:pt x="227863" y="384136"/>
                                      </a:lnTo>
                                      <a:lnTo>
                                        <a:pt x="227863" y="385406"/>
                                      </a:lnTo>
                                      <a:lnTo>
                                        <a:pt x="231952" y="385406"/>
                                      </a:lnTo>
                                      <a:lnTo>
                                        <a:pt x="231952" y="384136"/>
                                      </a:lnTo>
                                      <a:lnTo>
                                        <a:pt x="232638" y="384136"/>
                                      </a:lnTo>
                                      <a:lnTo>
                                        <a:pt x="232638" y="278726"/>
                                      </a:lnTo>
                                      <a:lnTo>
                                        <a:pt x="232638" y="277456"/>
                                      </a:lnTo>
                                      <a:close/>
                                    </a:path>
                                    <a:path w="1229995" h="862965">
                                      <a:moveTo>
                                        <a:pt x="412699" y="382511"/>
                                      </a:moveTo>
                                      <a:lnTo>
                                        <a:pt x="411200" y="379907"/>
                                      </a:lnTo>
                                      <a:lnTo>
                                        <a:pt x="409524" y="379450"/>
                                      </a:lnTo>
                                      <a:lnTo>
                                        <a:pt x="318389" y="432130"/>
                                      </a:lnTo>
                                      <a:lnTo>
                                        <a:pt x="317080" y="432892"/>
                                      </a:lnTo>
                                      <a:lnTo>
                                        <a:pt x="316636" y="434555"/>
                                      </a:lnTo>
                                      <a:lnTo>
                                        <a:pt x="318147" y="437159"/>
                                      </a:lnTo>
                                      <a:lnTo>
                                        <a:pt x="319811" y="437616"/>
                                      </a:lnTo>
                                      <a:lnTo>
                                        <a:pt x="412254" y="384175"/>
                                      </a:lnTo>
                                      <a:lnTo>
                                        <a:pt x="412699" y="382511"/>
                                      </a:lnTo>
                                      <a:close/>
                                    </a:path>
                                    <a:path w="1229995" h="862965">
                                      <a:moveTo>
                                        <a:pt x="412699" y="278790"/>
                                      </a:moveTo>
                                      <a:lnTo>
                                        <a:pt x="412254" y="277114"/>
                                      </a:lnTo>
                                      <a:lnTo>
                                        <a:pt x="319811" y="223685"/>
                                      </a:lnTo>
                                      <a:lnTo>
                                        <a:pt x="318147" y="224129"/>
                                      </a:lnTo>
                                      <a:lnTo>
                                        <a:pt x="316636" y="226745"/>
                                      </a:lnTo>
                                      <a:lnTo>
                                        <a:pt x="317080" y="228409"/>
                                      </a:lnTo>
                                      <a:lnTo>
                                        <a:pt x="408228" y="281089"/>
                                      </a:lnTo>
                                      <a:lnTo>
                                        <a:pt x="409524" y="281838"/>
                                      </a:lnTo>
                                      <a:lnTo>
                                        <a:pt x="411200" y="281393"/>
                                      </a:lnTo>
                                      <a:lnTo>
                                        <a:pt x="412699" y="278790"/>
                                      </a:lnTo>
                                      <a:close/>
                                    </a:path>
                                    <a:path w="1229995" h="862965">
                                      <a:moveTo>
                                        <a:pt x="576262" y="468134"/>
                                      </a:moveTo>
                                      <a:lnTo>
                                        <a:pt x="576173" y="454901"/>
                                      </a:lnTo>
                                      <a:lnTo>
                                        <a:pt x="575030" y="449580"/>
                                      </a:lnTo>
                                      <a:lnTo>
                                        <a:pt x="570064" y="439508"/>
                                      </a:lnTo>
                                      <a:lnTo>
                                        <a:pt x="567563" y="436791"/>
                                      </a:lnTo>
                                      <a:lnTo>
                                        <a:pt x="567563" y="456425"/>
                                      </a:lnTo>
                                      <a:lnTo>
                                        <a:pt x="567563" y="469823"/>
                                      </a:lnTo>
                                      <a:lnTo>
                                        <a:pt x="552094" y="487324"/>
                                      </a:lnTo>
                                      <a:lnTo>
                                        <a:pt x="539534" y="487324"/>
                                      </a:lnTo>
                                      <a:lnTo>
                                        <a:pt x="534352" y="485114"/>
                                      </a:lnTo>
                                      <a:lnTo>
                                        <a:pt x="526084" y="476262"/>
                                      </a:lnTo>
                                      <a:lnTo>
                                        <a:pt x="524027" y="470217"/>
                                      </a:lnTo>
                                      <a:lnTo>
                                        <a:pt x="524027" y="452932"/>
                                      </a:lnTo>
                                      <a:lnTo>
                                        <a:pt x="526186" y="446074"/>
                                      </a:lnTo>
                                      <a:lnTo>
                                        <a:pt x="534784" y="437870"/>
                                      </a:lnTo>
                                      <a:lnTo>
                                        <a:pt x="539927" y="435825"/>
                                      </a:lnTo>
                                      <a:lnTo>
                                        <a:pt x="550087" y="435825"/>
                                      </a:lnTo>
                                      <a:lnTo>
                                        <a:pt x="567563" y="456425"/>
                                      </a:lnTo>
                                      <a:lnTo>
                                        <a:pt x="567563" y="436791"/>
                                      </a:lnTo>
                                      <a:lnTo>
                                        <a:pt x="566686" y="435825"/>
                                      </a:lnTo>
                                      <a:lnTo>
                                        <a:pt x="566470" y="435584"/>
                                      </a:lnTo>
                                      <a:lnTo>
                                        <a:pt x="557022" y="429958"/>
                                      </a:lnTo>
                                      <a:lnTo>
                                        <a:pt x="551726" y="428561"/>
                                      </a:lnTo>
                                      <a:lnTo>
                                        <a:pt x="536867" y="428561"/>
                                      </a:lnTo>
                                      <a:lnTo>
                                        <a:pt x="515340" y="462394"/>
                                      </a:lnTo>
                                      <a:lnTo>
                                        <a:pt x="515366" y="468134"/>
                                      </a:lnTo>
                                      <a:lnTo>
                                        <a:pt x="539800" y="494550"/>
                                      </a:lnTo>
                                      <a:lnTo>
                                        <a:pt x="551332" y="494550"/>
                                      </a:lnTo>
                                      <a:lnTo>
                                        <a:pt x="556488" y="493242"/>
                                      </a:lnTo>
                                      <a:lnTo>
                                        <a:pt x="566051" y="487984"/>
                                      </a:lnTo>
                                      <a:lnTo>
                                        <a:pt x="566674" y="487324"/>
                                      </a:lnTo>
                                      <a:lnTo>
                                        <a:pt x="569734" y="484124"/>
                                      </a:lnTo>
                                      <a:lnTo>
                                        <a:pt x="574967" y="473913"/>
                                      </a:lnTo>
                                      <a:lnTo>
                                        <a:pt x="576262" y="468134"/>
                                      </a:lnTo>
                                      <a:close/>
                                    </a:path>
                                    <a:path w="1229995" h="862965">
                                      <a:moveTo>
                                        <a:pt x="638759" y="728116"/>
                                      </a:moveTo>
                                      <a:lnTo>
                                        <a:pt x="638352" y="728116"/>
                                      </a:lnTo>
                                      <a:lnTo>
                                        <a:pt x="638352" y="726846"/>
                                      </a:lnTo>
                                      <a:lnTo>
                                        <a:pt x="633704" y="726846"/>
                                      </a:lnTo>
                                      <a:lnTo>
                                        <a:pt x="633704" y="728116"/>
                                      </a:lnTo>
                                      <a:lnTo>
                                        <a:pt x="633298" y="728116"/>
                                      </a:lnTo>
                                      <a:lnTo>
                                        <a:pt x="633298" y="729386"/>
                                      </a:lnTo>
                                      <a:lnTo>
                                        <a:pt x="633298" y="861466"/>
                                      </a:lnTo>
                                      <a:lnTo>
                                        <a:pt x="633412" y="862736"/>
                                      </a:lnTo>
                                      <a:lnTo>
                                        <a:pt x="638644" y="862736"/>
                                      </a:lnTo>
                                      <a:lnTo>
                                        <a:pt x="638644" y="861466"/>
                                      </a:lnTo>
                                      <a:lnTo>
                                        <a:pt x="638759" y="729386"/>
                                      </a:lnTo>
                                      <a:lnTo>
                                        <a:pt x="638759" y="728116"/>
                                      </a:lnTo>
                                      <a:close/>
                                    </a:path>
                                    <a:path w="1229995" h="862965">
                                      <a:moveTo>
                                        <a:pt x="639521" y="278790"/>
                                      </a:moveTo>
                                      <a:lnTo>
                                        <a:pt x="639076" y="277114"/>
                                      </a:lnTo>
                                      <a:lnTo>
                                        <a:pt x="546620" y="223685"/>
                                      </a:lnTo>
                                      <a:lnTo>
                                        <a:pt x="544957" y="224129"/>
                                      </a:lnTo>
                                      <a:lnTo>
                                        <a:pt x="543458" y="226745"/>
                                      </a:lnTo>
                                      <a:lnTo>
                                        <a:pt x="543902" y="228409"/>
                                      </a:lnTo>
                                      <a:lnTo>
                                        <a:pt x="635038" y="281089"/>
                                      </a:lnTo>
                                      <a:lnTo>
                                        <a:pt x="636346" y="281851"/>
                                      </a:lnTo>
                                      <a:lnTo>
                                        <a:pt x="638009" y="281393"/>
                                      </a:lnTo>
                                      <a:lnTo>
                                        <a:pt x="639521" y="278790"/>
                                      </a:lnTo>
                                      <a:close/>
                                    </a:path>
                                    <a:path w="1229995" h="862965">
                                      <a:moveTo>
                                        <a:pt x="662330" y="741730"/>
                                      </a:moveTo>
                                      <a:lnTo>
                                        <a:pt x="656869" y="741730"/>
                                      </a:lnTo>
                                      <a:lnTo>
                                        <a:pt x="656869" y="743000"/>
                                      </a:lnTo>
                                      <a:lnTo>
                                        <a:pt x="656869" y="848410"/>
                                      </a:lnTo>
                                      <a:lnTo>
                                        <a:pt x="657542" y="848410"/>
                                      </a:lnTo>
                                      <a:lnTo>
                                        <a:pt x="657542" y="849680"/>
                                      </a:lnTo>
                                      <a:lnTo>
                                        <a:pt x="661657" y="849680"/>
                                      </a:lnTo>
                                      <a:lnTo>
                                        <a:pt x="661657" y="848410"/>
                                      </a:lnTo>
                                      <a:lnTo>
                                        <a:pt x="662330" y="848410"/>
                                      </a:lnTo>
                                      <a:lnTo>
                                        <a:pt x="662330" y="743000"/>
                                      </a:lnTo>
                                      <a:lnTo>
                                        <a:pt x="662330" y="741730"/>
                                      </a:lnTo>
                                      <a:close/>
                                    </a:path>
                                    <a:path w="1229995" h="862965">
                                      <a:moveTo>
                                        <a:pt x="803084" y="468134"/>
                                      </a:moveTo>
                                      <a:lnTo>
                                        <a:pt x="802995" y="454901"/>
                                      </a:lnTo>
                                      <a:lnTo>
                                        <a:pt x="801839" y="449580"/>
                                      </a:lnTo>
                                      <a:lnTo>
                                        <a:pt x="796886" y="439508"/>
                                      </a:lnTo>
                                      <a:lnTo>
                                        <a:pt x="794245" y="436651"/>
                                      </a:lnTo>
                                      <a:lnTo>
                                        <a:pt x="794245" y="470217"/>
                                      </a:lnTo>
                                      <a:lnTo>
                                        <a:pt x="793064" y="473913"/>
                                      </a:lnTo>
                                      <a:lnTo>
                                        <a:pt x="792251" y="476262"/>
                                      </a:lnTo>
                                      <a:lnTo>
                                        <a:pt x="785025" y="484124"/>
                                      </a:lnTo>
                                      <a:lnTo>
                                        <a:pt x="784072" y="485114"/>
                                      </a:lnTo>
                                      <a:lnTo>
                                        <a:pt x="778916" y="487324"/>
                                      </a:lnTo>
                                      <a:lnTo>
                                        <a:pt x="766343" y="487324"/>
                                      </a:lnTo>
                                      <a:lnTo>
                                        <a:pt x="761161" y="485114"/>
                                      </a:lnTo>
                                      <a:lnTo>
                                        <a:pt x="752906" y="476262"/>
                                      </a:lnTo>
                                      <a:lnTo>
                                        <a:pt x="750849" y="470217"/>
                                      </a:lnTo>
                                      <a:lnTo>
                                        <a:pt x="750849" y="452932"/>
                                      </a:lnTo>
                                      <a:lnTo>
                                        <a:pt x="752995" y="446074"/>
                                      </a:lnTo>
                                      <a:lnTo>
                                        <a:pt x="761606" y="437870"/>
                                      </a:lnTo>
                                      <a:lnTo>
                                        <a:pt x="766737" y="435825"/>
                                      </a:lnTo>
                                      <a:lnTo>
                                        <a:pt x="776897" y="435825"/>
                                      </a:lnTo>
                                      <a:lnTo>
                                        <a:pt x="780681" y="436880"/>
                                      </a:lnTo>
                                      <a:lnTo>
                                        <a:pt x="787425" y="441147"/>
                                      </a:lnTo>
                                      <a:lnTo>
                                        <a:pt x="790016" y="444144"/>
                                      </a:lnTo>
                                      <a:lnTo>
                                        <a:pt x="791743" y="448017"/>
                                      </a:lnTo>
                                      <a:lnTo>
                                        <a:pt x="793508" y="451891"/>
                                      </a:lnTo>
                                      <a:lnTo>
                                        <a:pt x="794080" y="454901"/>
                                      </a:lnTo>
                                      <a:lnTo>
                                        <a:pt x="794156" y="455269"/>
                                      </a:lnTo>
                                      <a:lnTo>
                                        <a:pt x="794245" y="470217"/>
                                      </a:lnTo>
                                      <a:lnTo>
                                        <a:pt x="794245" y="436651"/>
                                      </a:lnTo>
                                      <a:lnTo>
                                        <a:pt x="793496" y="435825"/>
                                      </a:lnTo>
                                      <a:lnTo>
                                        <a:pt x="793280" y="435584"/>
                                      </a:lnTo>
                                      <a:lnTo>
                                        <a:pt x="783831" y="429958"/>
                                      </a:lnTo>
                                      <a:lnTo>
                                        <a:pt x="778535" y="428561"/>
                                      </a:lnTo>
                                      <a:lnTo>
                                        <a:pt x="763676" y="428561"/>
                                      </a:lnTo>
                                      <a:lnTo>
                                        <a:pt x="756348" y="431546"/>
                                      </a:lnTo>
                                      <a:lnTo>
                                        <a:pt x="750671" y="437540"/>
                                      </a:lnTo>
                                      <a:lnTo>
                                        <a:pt x="746937" y="442468"/>
                                      </a:lnTo>
                                      <a:lnTo>
                                        <a:pt x="744385" y="448017"/>
                                      </a:lnTo>
                                      <a:lnTo>
                                        <a:pt x="744270" y="448246"/>
                                      </a:lnTo>
                                      <a:lnTo>
                                        <a:pt x="742683" y="454901"/>
                                      </a:lnTo>
                                      <a:lnTo>
                                        <a:pt x="742149" y="462394"/>
                                      </a:lnTo>
                                      <a:lnTo>
                                        <a:pt x="742175" y="468134"/>
                                      </a:lnTo>
                                      <a:lnTo>
                                        <a:pt x="766622" y="494550"/>
                                      </a:lnTo>
                                      <a:lnTo>
                                        <a:pt x="778141" y="494550"/>
                                      </a:lnTo>
                                      <a:lnTo>
                                        <a:pt x="801763" y="473913"/>
                                      </a:lnTo>
                                      <a:lnTo>
                                        <a:pt x="803084" y="468134"/>
                                      </a:lnTo>
                                      <a:close/>
                                    </a:path>
                                    <a:path w="1229995" h="862965">
                                      <a:moveTo>
                                        <a:pt x="855497" y="218478"/>
                                      </a:moveTo>
                                      <a:lnTo>
                                        <a:pt x="855052" y="216801"/>
                                      </a:lnTo>
                                      <a:lnTo>
                                        <a:pt x="797928" y="183807"/>
                                      </a:lnTo>
                                      <a:lnTo>
                                        <a:pt x="796620" y="182981"/>
                                      </a:lnTo>
                                      <a:lnTo>
                                        <a:pt x="794969" y="183438"/>
                                      </a:lnTo>
                                      <a:lnTo>
                                        <a:pt x="793445" y="186080"/>
                                      </a:lnTo>
                                      <a:lnTo>
                                        <a:pt x="793902" y="187718"/>
                                      </a:lnTo>
                                      <a:lnTo>
                                        <a:pt x="795197" y="188544"/>
                                      </a:lnTo>
                                      <a:lnTo>
                                        <a:pt x="852322" y="221538"/>
                                      </a:lnTo>
                                      <a:lnTo>
                                        <a:pt x="853986" y="221081"/>
                                      </a:lnTo>
                                      <a:lnTo>
                                        <a:pt x="855497" y="218478"/>
                                      </a:lnTo>
                                      <a:close/>
                                    </a:path>
                                    <a:path w="1229995" h="862965">
                                      <a:moveTo>
                                        <a:pt x="889558" y="30314"/>
                                      </a:moveTo>
                                      <a:lnTo>
                                        <a:pt x="888009" y="27686"/>
                                      </a:lnTo>
                                      <a:lnTo>
                                        <a:pt x="886383" y="27228"/>
                                      </a:lnTo>
                                      <a:lnTo>
                                        <a:pt x="793889" y="80670"/>
                                      </a:lnTo>
                                      <a:lnTo>
                                        <a:pt x="793445" y="82397"/>
                                      </a:lnTo>
                                      <a:lnTo>
                                        <a:pt x="794956" y="84937"/>
                                      </a:lnTo>
                                      <a:lnTo>
                                        <a:pt x="796620" y="85394"/>
                                      </a:lnTo>
                                      <a:lnTo>
                                        <a:pt x="887742" y="32778"/>
                                      </a:lnTo>
                                      <a:lnTo>
                                        <a:pt x="889088" y="31953"/>
                                      </a:lnTo>
                                      <a:lnTo>
                                        <a:pt x="889558" y="30314"/>
                                      </a:lnTo>
                                      <a:close/>
                                    </a:path>
                                    <a:path w="1229995" h="862965">
                                      <a:moveTo>
                                        <a:pt x="910653" y="232829"/>
                                      </a:moveTo>
                                      <a:lnTo>
                                        <a:pt x="902550" y="232829"/>
                                      </a:lnTo>
                                      <a:lnTo>
                                        <a:pt x="902550" y="282892"/>
                                      </a:lnTo>
                                      <a:lnTo>
                                        <a:pt x="869137" y="232829"/>
                                      </a:lnTo>
                                      <a:lnTo>
                                        <a:pt x="860475" y="232829"/>
                                      </a:lnTo>
                                      <a:lnTo>
                                        <a:pt x="860475" y="296595"/>
                                      </a:lnTo>
                                      <a:lnTo>
                                        <a:pt x="868565" y="296595"/>
                                      </a:lnTo>
                                      <a:lnTo>
                                        <a:pt x="868565" y="246481"/>
                                      </a:lnTo>
                                      <a:lnTo>
                                        <a:pt x="902017" y="296595"/>
                                      </a:lnTo>
                                      <a:lnTo>
                                        <a:pt x="910653" y="296595"/>
                                      </a:lnTo>
                                      <a:lnTo>
                                        <a:pt x="910653" y="232829"/>
                                      </a:lnTo>
                                      <a:close/>
                                    </a:path>
                                    <a:path w="1229995" h="862965">
                                      <a:moveTo>
                                        <a:pt x="978954" y="80772"/>
                                      </a:moveTo>
                                      <a:lnTo>
                                        <a:pt x="978331" y="80772"/>
                                      </a:lnTo>
                                      <a:lnTo>
                                        <a:pt x="978331" y="79502"/>
                                      </a:lnTo>
                                      <a:lnTo>
                                        <a:pt x="974153" y="79502"/>
                                      </a:lnTo>
                                      <a:lnTo>
                                        <a:pt x="974153" y="80772"/>
                                      </a:lnTo>
                                      <a:lnTo>
                                        <a:pt x="973493" y="80772"/>
                                      </a:lnTo>
                                      <a:lnTo>
                                        <a:pt x="973493" y="186182"/>
                                      </a:lnTo>
                                      <a:lnTo>
                                        <a:pt x="973493" y="187452"/>
                                      </a:lnTo>
                                      <a:lnTo>
                                        <a:pt x="973937" y="187452"/>
                                      </a:lnTo>
                                      <a:lnTo>
                                        <a:pt x="973937" y="188722"/>
                                      </a:lnTo>
                                      <a:lnTo>
                                        <a:pt x="978522" y="188722"/>
                                      </a:lnTo>
                                      <a:lnTo>
                                        <a:pt x="978522" y="187452"/>
                                      </a:lnTo>
                                      <a:lnTo>
                                        <a:pt x="978954" y="187452"/>
                                      </a:lnTo>
                                      <a:lnTo>
                                        <a:pt x="978954" y="186182"/>
                                      </a:lnTo>
                                      <a:lnTo>
                                        <a:pt x="978954" y="80772"/>
                                      </a:lnTo>
                                      <a:close/>
                                    </a:path>
                                    <a:path w="1229995" h="862965">
                                      <a:moveTo>
                                        <a:pt x="1206207" y="186093"/>
                                      </a:moveTo>
                                      <a:lnTo>
                                        <a:pt x="1204658" y="183451"/>
                                      </a:lnTo>
                                      <a:lnTo>
                                        <a:pt x="1203020" y="182994"/>
                                      </a:lnTo>
                                      <a:lnTo>
                                        <a:pt x="1111796" y="235712"/>
                                      </a:lnTo>
                                      <a:lnTo>
                                        <a:pt x="1110526" y="236474"/>
                                      </a:lnTo>
                                      <a:lnTo>
                                        <a:pt x="1110081" y="238137"/>
                                      </a:lnTo>
                                      <a:lnTo>
                                        <a:pt x="1111618" y="240741"/>
                                      </a:lnTo>
                                      <a:lnTo>
                                        <a:pt x="1113256" y="241198"/>
                                      </a:lnTo>
                                      <a:lnTo>
                                        <a:pt x="1205738" y="187731"/>
                                      </a:lnTo>
                                      <a:lnTo>
                                        <a:pt x="1206207" y="186093"/>
                                      </a:lnTo>
                                      <a:close/>
                                    </a:path>
                                    <a:path w="1229995" h="862965">
                                      <a:moveTo>
                                        <a:pt x="1206207" y="82397"/>
                                      </a:moveTo>
                                      <a:lnTo>
                                        <a:pt x="1205750" y="80670"/>
                                      </a:lnTo>
                                      <a:lnTo>
                                        <a:pt x="1113269" y="27228"/>
                                      </a:lnTo>
                                      <a:lnTo>
                                        <a:pt x="1111631" y="27686"/>
                                      </a:lnTo>
                                      <a:lnTo>
                                        <a:pt x="1110081" y="30314"/>
                                      </a:lnTo>
                                      <a:lnTo>
                                        <a:pt x="1110538" y="31953"/>
                                      </a:lnTo>
                                      <a:lnTo>
                                        <a:pt x="1201661" y="84670"/>
                                      </a:lnTo>
                                      <a:lnTo>
                                        <a:pt x="1203007" y="85394"/>
                                      </a:lnTo>
                                      <a:lnTo>
                                        <a:pt x="1204658" y="84937"/>
                                      </a:lnTo>
                                      <a:lnTo>
                                        <a:pt x="1206207" y="82397"/>
                                      </a:lnTo>
                                      <a:close/>
                                    </a:path>
                                    <a:path w="1229995" h="862965">
                                      <a:moveTo>
                                        <a:pt x="1229766" y="68745"/>
                                      </a:moveTo>
                                      <a:lnTo>
                                        <a:pt x="1229296" y="67106"/>
                                      </a:lnTo>
                                      <a:lnTo>
                                        <a:pt x="1229271" y="66433"/>
                                      </a:lnTo>
                                      <a:lnTo>
                                        <a:pt x="1228128" y="66433"/>
                                      </a:lnTo>
                                      <a:lnTo>
                                        <a:pt x="1223937" y="64020"/>
                                      </a:lnTo>
                                      <a:lnTo>
                                        <a:pt x="1223937" y="70231"/>
                                      </a:lnTo>
                                      <a:lnTo>
                                        <a:pt x="1223937" y="198170"/>
                                      </a:lnTo>
                                      <a:lnTo>
                                        <a:pt x="1113193" y="262153"/>
                                      </a:lnTo>
                                      <a:lnTo>
                                        <a:pt x="1002512" y="198208"/>
                                      </a:lnTo>
                                      <a:lnTo>
                                        <a:pt x="1002512" y="70307"/>
                                      </a:lnTo>
                                      <a:lnTo>
                                        <a:pt x="1113155" y="6261"/>
                                      </a:lnTo>
                                      <a:lnTo>
                                        <a:pt x="1223937" y="70231"/>
                                      </a:lnTo>
                                      <a:lnTo>
                                        <a:pt x="1223937" y="64020"/>
                                      </a:lnTo>
                                      <a:lnTo>
                                        <a:pt x="1115174" y="1130"/>
                                      </a:lnTo>
                                      <a:lnTo>
                                        <a:pt x="1114793" y="457"/>
                                      </a:lnTo>
                                      <a:lnTo>
                                        <a:pt x="1113307" y="38"/>
                                      </a:lnTo>
                                      <a:lnTo>
                                        <a:pt x="1113180" y="0"/>
                                      </a:lnTo>
                                      <a:lnTo>
                                        <a:pt x="1113053" y="76"/>
                                      </a:lnTo>
                                      <a:lnTo>
                                        <a:pt x="1111631" y="469"/>
                                      </a:lnTo>
                                      <a:lnTo>
                                        <a:pt x="1111250" y="1117"/>
                                      </a:lnTo>
                                      <a:lnTo>
                                        <a:pt x="999794" y="65557"/>
                                      </a:lnTo>
                                      <a:lnTo>
                                        <a:pt x="888403" y="1143"/>
                                      </a:lnTo>
                                      <a:lnTo>
                                        <a:pt x="888009" y="457"/>
                                      </a:lnTo>
                                      <a:lnTo>
                                        <a:pt x="886485" y="38"/>
                                      </a:lnTo>
                                      <a:lnTo>
                                        <a:pt x="886269" y="76"/>
                                      </a:lnTo>
                                      <a:lnTo>
                                        <a:pt x="884821" y="469"/>
                                      </a:lnTo>
                                      <a:lnTo>
                                        <a:pt x="884428" y="1130"/>
                                      </a:lnTo>
                                      <a:lnTo>
                                        <a:pt x="772007" y="66116"/>
                                      </a:lnTo>
                                      <a:lnTo>
                                        <a:pt x="770686" y="66116"/>
                                      </a:lnTo>
                                      <a:lnTo>
                                        <a:pt x="770686" y="66890"/>
                                      </a:lnTo>
                                      <a:lnTo>
                                        <a:pt x="770318" y="67094"/>
                                      </a:lnTo>
                                      <a:lnTo>
                                        <a:pt x="769874" y="68732"/>
                                      </a:lnTo>
                                      <a:lnTo>
                                        <a:pt x="770255" y="69405"/>
                                      </a:lnTo>
                                      <a:lnTo>
                                        <a:pt x="770255" y="198208"/>
                                      </a:lnTo>
                                      <a:lnTo>
                                        <a:pt x="659968" y="261950"/>
                                      </a:lnTo>
                                      <a:lnTo>
                                        <a:pt x="548551" y="197561"/>
                                      </a:lnTo>
                                      <a:lnTo>
                                        <a:pt x="548170" y="196875"/>
                                      </a:lnTo>
                                      <a:lnTo>
                                        <a:pt x="546709" y="196494"/>
                                      </a:lnTo>
                                      <a:lnTo>
                                        <a:pt x="546557" y="196456"/>
                                      </a:lnTo>
                                      <a:lnTo>
                                        <a:pt x="546404" y="196494"/>
                                      </a:lnTo>
                                      <a:lnTo>
                                        <a:pt x="544957" y="196875"/>
                                      </a:lnTo>
                                      <a:lnTo>
                                        <a:pt x="544563" y="197561"/>
                                      </a:lnTo>
                                      <a:lnTo>
                                        <a:pt x="433146" y="261950"/>
                                      </a:lnTo>
                                      <a:lnTo>
                                        <a:pt x="430441" y="260388"/>
                                      </a:lnTo>
                                      <a:lnTo>
                                        <a:pt x="430441" y="266687"/>
                                      </a:lnTo>
                                      <a:lnTo>
                                        <a:pt x="430441" y="394601"/>
                                      </a:lnTo>
                                      <a:lnTo>
                                        <a:pt x="319735" y="458597"/>
                                      </a:lnTo>
                                      <a:lnTo>
                                        <a:pt x="209067" y="394627"/>
                                      </a:lnTo>
                                      <a:lnTo>
                                        <a:pt x="209067" y="266700"/>
                                      </a:lnTo>
                                      <a:lnTo>
                                        <a:pt x="319747" y="202704"/>
                                      </a:lnTo>
                                      <a:lnTo>
                                        <a:pt x="430441" y="266687"/>
                                      </a:lnTo>
                                      <a:lnTo>
                                        <a:pt x="430441" y="260388"/>
                                      </a:lnTo>
                                      <a:lnTo>
                                        <a:pt x="321741" y="197561"/>
                                      </a:lnTo>
                                      <a:lnTo>
                                        <a:pt x="321360" y="196875"/>
                                      </a:lnTo>
                                      <a:lnTo>
                                        <a:pt x="319900" y="196494"/>
                                      </a:lnTo>
                                      <a:lnTo>
                                        <a:pt x="319747" y="196456"/>
                                      </a:lnTo>
                                      <a:lnTo>
                                        <a:pt x="319595" y="196494"/>
                                      </a:lnTo>
                                      <a:lnTo>
                                        <a:pt x="318147" y="196875"/>
                                      </a:lnTo>
                                      <a:lnTo>
                                        <a:pt x="317741" y="197561"/>
                                      </a:lnTo>
                                      <a:lnTo>
                                        <a:pt x="206336" y="261950"/>
                                      </a:lnTo>
                                      <a:lnTo>
                                        <a:pt x="135432" y="220954"/>
                                      </a:lnTo>
                                      <a:lnTo>
                                        <a:pt x="133769" y="221411"/>
                                      </a:lnTo>
                                      <a:lnTo>
                                        <a:pt x="132257" y="224015"/>
                                      </a:lnTo>
                                      <a:lnTo>
                                        <a:pt x="132702" y="225679"/>
                                      </a:lnTo>
                                      <a:lnTo>
                                        <a:pt x="203606" y="266674"/>
                                      </a:lnTo>
                                      <a:lnTo>
                                        <a:pt x="203606" y="395465"/>
                                      </a:lnTo>
                                      <a:lnTo>
                                        <a:pt x="203225" y="396125"/>
                                      </a:lnTo>
                                      <a:lnTo>
                                        <a:pt x="203669" y="397802"/>
                                      </a:lnTo>
                                      <a:lnTo>
                                        <a:pt x="203720" y="398449"/>
                                      </a:lnTo>
                                      <a:lnTo>
                                        <a:pt x="204787" y="398449"/>
                                      </a:lnTo>
                                      <a:lnTo>
                                        <a:pt x="317766" y="463753"/>
                                      </a:lnTo>
                                      <a:lnTo>
                                        <a:pt x="318147" y="464400"/>
                                      </a:lnTo>
                                      <a:lnTo>
                                        <a:pt x="319557" y="464794"/>
                                      </a:lnTo>
                                      <a:lnTo>
                                        <a:pt x="319684" y="464858"/>
                                      </a:lnTo>
                                      <a:lnTo>
                                        <a:pt x="319811" y="464858"/>
                                      </a:lnTo>
                                      <a:lnTo>
                                        <a:pt x="321348" y="464413"/>
                                      </a:lnTo>
                                      <a:lnTo>
                                        <a:pt x="321729" y="463753"/>
                                      </a:lnTo>
                                      <a:lnTo>
                                        <a:pt x="433146" y="399351"/>
                                      </a:lnTo>
                                      <a:lnTo>
                                        <a:pt x="505675" y="441261"/>
                                      </a:lnTo>
                                      <a:lnTo>
                                        <a:pt x="507352" y="440817"/>
                                      </a:lnTo>
                                      <a:lnTo>
                                        <a:pt x="508863" y="438200"/>
                                      </a:lnTo>
                                      <a:lnTo>
                                        <a:pt x="508406" y="436537"/>
                                      </a:lnTo>
                                      <a:lnTo>
                                        <a:pt x="435902" y="394627"/>
                                      </a:lnTo>
                                      <a:lnTo>
                                        <a:pt x="435902" y="266687"/>
                                      </a:lnTo>
                                      <a:lnTo>
                                        <a:pt x="546569" y="202704"/>
                                      </a:lnTo>
                                      <a:lnTo>
                                        <a:pt x="657237" y="266674"/>
                                      </a:lnTo>
                                      <a:lnTo>
                                        <a:pt x="657237" y="381876"/>
                                      </a:lnTo>
                                      <a:lnTo>
                                        <a:pt x="656869" y="382511"/>
                                      </a:lnTo>
                                      <a:lnTo>
                                        <a:pt x="657237" y="383895"/>
                                      </a:lnTo>
                                      <a:lnTo>
                                        <a:pt x="657237" y="394627"/>
                                      </a:lnTo>
                                      <a:lnTo>
                                        <a:pt x="648042" y="399948"/>
                                      </a:lnTo>
                                      <a:lnTo>
                                        <a:pt x="646582" y="400329"/>
                                      </a:lnTo>
                                      <a:lnTo>
                                        <a:pt x="646188" y="401015"/>
                                      </a:lnTo>
                                      <a:lnTo>
                                        <a:pt x="585952" y="435838"/>
                                      </a:lnTo>
                                      <a:lnTo>
                                        <a:pt x="584644" y="436587"/>
                                      </a:lnTo>
                                      <a:lnTo>
                                        <a:pt x="584200" y="438264"/>
                                      </a:lnTo>
                                      <a:lnTo>
                                        <a:pt x="585711" y="440867"/>
                                      </a:lnTo>
                                      <a:lnTo>
                                        <a:pt x="587375" y="441325"/>
                                      </a:lnTo>
                                      <a:lnTo>
                                        <a:pt x="648195" y="406158"/>
                                      </a:lnTo>
                                      <a:lnTo>
                                        <a:pt x="726135" y="451205"/>
                                      </a:lnTo>
                                      <a:lnTo>
                                        <a:pt x="727811" y="450761"/>
                                      </a:lnTo>
                                      <a:lnTo>
                                        <a:pt x="729310" y="448144"/>
                                      </a:lnTo>
                                      <a:lnTo>
                                        <a:pt x="728865" y="446468"/>
                                      </a:lnTo>
                                      <a:lnTo>
                                        <a:pt x="653656" y="403009"/>
                                      </a:lnTo>
                                      <a:lnTo>
                                        <a:pt x="661035" y="398741"/>
                                      </a:lnTo>
                                      <a:lnTo>
                                        <a:pt x="662305" y="398741"/>
                                      </a:lnTo>
                                      <a:lnTo>
                                        <a:pt x="662305" y="398018"/>
                                      </a:lnTo>
                                      <a:lnTo>
                                        <a:pt x="662647" y="397814"/>
                                      </a:lnTo>
                                      <a:lnTo>
                                        <a:pt x="663092" y="396138"/>
                                      </a:lnTo>
                                      <a:lnTo>
                                        <a:pt x="662698" y="395465"/>
                                      </a:lnTo>
                                      <a:lnTo>
                                        <a:pt x="662698" y="387299"/>
                                      </a:lnTo>
                                      <a:lnTo>
                                        <a:pt x="737920" y="430771"/>
                                      </a:lnTo>
                                      <a:lnTo>
                                        <a:pt x="739597" y="430326"/>
                                      </a:lnTo>
                                      <a:lnTo>
                                        <a:pt x="741095" y="427710"/>
                                      </a:lnTo>
                                      <a:lnTo>
                                        <a:pt x="740651" y="426046"/>
                                      </a:lnTo>
                                      <a:lnTo>
                                        <a:pt x="662698" y="381000"/>
                                      </a:lnTo>
                                      <a:lnTo>
                                        <a:pt x="662698" y="266687"/>
                                      </a:lnTo>
                                      <a:lnTo>
                                        <a:pt x="772985" y="202933"/>
                                      </a:lnTo>
                                      <a:lnTo>
                                        <a:pt x="840536" y="241960"/>
                                      </a:lnTo>
                                      <a:lnTo>
                                        <a:pt x="842200" y="241515"/>
                                      </a:lnTo>
                                      <a:lnTo>
                                        <a:pt x="843711" y="238899"/>
                                      </a:lnTo>
                                      <a:lnTo>
                                        <a:pt x="843267" y="237236"/>
                                      </a:lnTo>
                                      <a:lnTo>
                                        <a:pt x="775716" y="198208"/>
                                      </a:lnTo>
                                      <a:lnTo>
                                        <a:pt x="775716" y="70294"/>
                                      </a:lnTo>
                                      <a:lnTo>
                                        <a:pt x="886358" y="6261"/>
                                      </a:lnTo>
                                      <a:lnTo>
                                        <a:pt x="997038" y="70231"/>
                                      </a:lnTo>
                                      <a:lnTo>
                                        <a:pt x="997038" y="198247"/>
                                      </a:lnTo>
                                      <a:lnTo>
                                        <a:pt x="930109" y="236918"/>
                                      </a:lnTo>
                                      <a:lnTo>
                                        <a:pt x="928839" y="237667"/>
                                      </a:lnTo>
                                      <a:lnTo>
                                        <a:pt x="928382" y="239344"/>
                                      </a:lnTo>
                                      <a:lnTo>
                                        <a:pt x="929843" y="241947"/>
                                      </a:lnTo>
                                      <a:lnTo>
                                        <a:pt x="931570" y="242404"/>
                                      </a:lnTo>
                                      <a:lnTo>
                                        <a:pt x="999820" y="202946"/>
                                      </a:lnTo>
                                      <a:lnTo>
                                        <a:pt x="1111224" y="267347"/>
                                      </a:lnTo>
                                      <a:lnTo>
                                        <a:pt x="1111618" y="267982"/>
                                      </a:lnTo>
                                      <a:lnTo>
                                        <a:pt x="1113040" y="268389"/>
                                      </a:lnTo>
                                      <a:lnTo>
                                        <a:pt x="1113167" y="268452"/>
                                      </a:lnTo>
                                      <a:lnTo>
                                        <a:pt x="1113294" y="268427"/>
                                      </a:lnTo>
                                      <a:lnTo>
                                        <a:pt x="1114818" y="267995"/>
                                      </a:lnTo>
                                      <a:lnTo>
                                        <a:pt x="1115212" y="267309"/>
                                      </a:lnTo>
                                      <a:lnTo>
                                        <a:pt x="1227658" y="202323"/>
                                      </a:lnTo>
                                      <a:lnTo>
                                        <a:pt x="1228979" y="202323"/>
                                      </a:lnTo>
                                      <a:lnTo>
                                        <a:pt x="1228979" y="201574"/>
                                      </a:lnTo>
                                      <a:lnTo>
                                        <a:pt x="1229296" y="201383"/>
                                      </a:lnTo>
                                      <a:lnTo>
                                        <a:pt x="1229372" y="201053"/>
                                      </a:lnTo>
                                      <a:lnTo>
                                        <a:pt x="1229741" y="199707"/>
                                      </a:lnTo>
                                      <a:lnTo>
                                        <a:pt x="1229398" y="199136"/>
                                      </a:lnTo>
                                      <a:lnTo>
                                        <a:pt x="1229398" y="69380"/>
                                      </a:lnTo>
                                      <a:lnTo>
                                        <a:pt x="1229766" y="68745"/>
                                      </a:lnTo>
                                      <a:close/>
                                    </a:path>
                                  </a:pathLst>
                                </a:custGeom>
                                <a:solidFill>
                                  <a:srgbClr val="000000"/>
                                </a:solidFill>
                              </wps:spPr>
                              <wps:bodyPr wrap="square" lIns="0" tIns="0" rIns="0" bIns="0" rtlCol="0">
                                <a:prstTxWarp prst="textNoShape">
                                  <a:avLst/>
                                </a:prstTxWarp>
                                <a:noAutofit/>
                              </wps:bodyPr>
                            </wps:wsp>
                            <wps:wsp>
                              <wps:cNvPr id="4" name="Graphic 21"/>
                              <wps:cNvSpPr/>
                              <wps:spPr>
                                <a:xfrm>
                                  <a:off x="429299" y="267677"/>
                                  <a:ext cx="1116965" cy="691515"/>
                                </a:xfrm>
                                <a:custGeom>
                                  <a:avLst/>
                                  <a:gdLst/>
                                  <a:ahLst/>
                                  <a:cxnLst/>
                                  <a:rect l="l" t="t" r="r" b="b"/>
                                  <a:pathLst>
                                    <a:path w="1116965" h="691515">
                                      <a:moveTo>
                                        <a:pt x="49974" y="364121"/>
                                      </a:moveTo>
                                      <a:lnTo>
                                        <a:pt x="41541" y="364121"/>
                                      </a:lnTo>
                                      <a:lnTo>
                                        <a:pt x="41541" y="390309"/>
                                      </a:lnTo>
                                      <a:lnTo>
                                        <a:pt x="8432" y="390309"/>
                                      </a:lnTo>
                                      <a:lnTo>
                                        <a:pt x="8432" y="364121"/>
                                      </a:lnTo>
                                      <a:lnTo>
                                        <a:pt x="0" y="364121"/>
                                      </a:lnTo>
                                      <a:lnTo>
                                        <a:pt x="0" y="427888"/>
                                      </a:lnTo>
                                      <a:lnTo>
                                        <a:pt x="8432" y="427888"/>
                                      </a:lnTo>
                                      <a:lnTo>
                                        <a:pt x="8432" y="397827"/>
                                      </a:lnTo>
                                      <a:lnTo>
                                        <a:pt x="41541" y="397827"/>
                                      </a:lnTo>
                                      <a:lnTo>
                                        <a:pt x="41541" y="427888"/>
                                      </a:lnTo>
                                      <a:lnTo>
                                        <a:pt x="49974" y="427888"/>
                                      </a:lnTo>
                                      <a:lnTo>
                                        <a:pt x="49974" y="364121"/>
                                      </a:lnTo>
                                      <a:close/>
                                    </a:path>
                                    <a:path w="1116965" h="691515">
                                      <a:moveTo>
                                        <a:pt x="123583" y="402577"/>
                                      </a:moveTo>
                                      <a:lnTo>
                                        <a:pt x="123494" y="389318"/>
                                      </a:lnTo>
                                      <a:lnTo>
                                        <a:pt x="122339" y="384009"/>
                                      </a:lnTo>
                                      <a:lnTo>
                                        <a:pt x="117386" y="373938"/>
                                      </a:lnTo>
                                      <a:lnTo>
                                        <a:pt x="114757" y="371106"/>
                                      </a:lnTo>
                                      <a:lnTo>
                                        <a:pt x="114757" y="404647"/>
                                      </a:lnTo>
                                      <a:lnTo>
                                        <a:pt x="113563" y="408343"/>
                                      </a:lnTo>
                                      <a:lnTo>
                                        <a:pt x="112737" y="410692"/>
                                      </a:lnTo>
                                      <a:lnTo>
                                        <a:pt x="105524" y="418553"/>
                                      </a:lnTo>
                                      <a:lnTo>
                                        <a:pt x="104571" y="419544"/>
                                      </a:lnTo>
                                      <a:lnTo>
                                        <a:pt x="99415" y="421754"/>
                                      </a:lnTo>
                                      <a:lnTo>
                                        <a:pt x="86842" y="421754"/>
                                      </a:lnTo>
                                      <a:lnTo>
                                        <a:pt x="81661" y="419544"/>
                                      </a:lnTo>
                                      <a:lnTo>
                                        <a:pt x="73406" y="410692"/>
                                      </a:lnTo>
                                      <a:lnTo>
                                        <a:pt x="71348" y="404647"/>
                                      </a:lnTo>
                                      <a:lnTo>
                                        <a:pt x="71348" y="387350"/>
                                      </a:lnTo>
                                      <a:lnTo>
                                        <a:pt x="73494" y="380504"/>
                                      </a:lnTo>
                                      <a:lnTo>
                                        <a:pt x="82105" y="372300"/>
                                      </a:lnTo>
                                      <a:lnTo>
                                        <a:pt x="87236" y="370255"/>
                                      </a:lnTo>
                                      <a:lnTo>
                                        <a:pt x="97396" y="370255"/>
                                      </a:lnTo>
                                      <a:lnTo>
                                        <a:pt x="114579" y="389318"/>
                                      </a:lnTo>
                                      <a:lnTo>
                                        <a:pt x="114655" y="389699"/>
                                      </a:lnTo>
                                      <a:lnTo>
                                        <a:pt x="114757" y="404647"/>
                                      </a:lnTo>
                                      <a:lnTo>
                                        <a:pt x="114757" y="371106"/>
                                      </a:lnTo>
                                      <a:lnTo>
                                        <a:pt x="113982" y="370255"/>
                                      </a:lnTo>
                                      <a:lnTo>
                                        <a:pt x="113779" y="370027"/>
                                      </a:lnTo>
                                      <a:lnTo>
                                        <a:pt x="104330" y="364388"/>
                                      </a:lnTo>
                                      <a:lnTo>
                                        <a:pt x="99034" y="362991"/>
                                      </a:lnTo>
                                      <a:lnTo>
                                        <a:pt x="84175" y="362991"/>
                                      </a:lnTo>
                                      <a:lnTo>
                                        <a:pt x="62649" y="396824"/>
                                      </a:lnTo>
                                      <a:lnTo>
                                        <a:pt x="62674" y="402577"/>
                                      </a:lnTo>
                                      <a:lnTo>
                                        <a:pt x="87109" y="428980"/>
                                      </a:lnTo>
                                      <a:lnTo>
                                        <a:pt x="98640" y="428980"/>
                                      </a:lnTo>
                                      <a:lnTo>
                                        <a:pt x="103797" y="427685"/>
                                      </a:lnTo>
                                      <a:lnTo>
                                        <a:pt x="113360" y="422427"/>
                                      </a:lnTo>
                                      <a:lnTo>
                                        <a:pt x="113995" y="421754"/>
                                      </a:lnTo>
                                      <a:lnTo>
                                        <a:pt x="117055" y="418553"/>
                                      </a:lnTo>
                                      <a:lnTo>
                                        <a:pt x="122275" y="408343"/>
                                      </a:lnTo>
                                      <a:lnTo>
                                        <a:pt x="123583" y="402577"/>
                                      </a:lnTo>
                                      <a:close/>
                                    </a:path>
                                    <a:path w="1116965" h="691515">
                                      <a:moveTo>
                                        <a:pt x="233019" y="474052"/>
                                      </a:moveTo>
                                      <a:lnTo>
                                        <a:pt x="232600" y="474052"/>
                                      </a:lnTo>
                                      <a:lnTo>
                                        <a:pt x="232600" y="472782"/>
                                      </a:lnTo>
                                      <a:lnTo>
                                        <a:pt x="227965" y="472782"/>
                                      </a:lnTo>
                                      <a:lnTo>
                                        <a:pt x="227965" y="474052"/>
                                      </a:lnTo>
                                      <a:lnTo>
                                        <a:pt x="227558" y="474052"/>
                                      </a:lnTo>
                                      <a:lnTo>
                                        <a:pt x="227558" y="475322"/>
                                      </a:lnTo>
                                      <a:lnTo>
                                        <a:pt x="233019" y="475322"/>
                                      </a:lnTo>
                                      <a:lnTo>
                                        <a:pt x="233019" y="474052"/>
                                      </a:lnTo>
                                      <a:close/>
                                    </a:path>
                                    <a:path w="1116965" h="691515">
                                      <a:moveTo>
                                        <a:pt x="413080" y="579120"/>
                                      </a:moveTo>
                                      <a:lnTo>
                                        <a:pt x="411581" y="576516"/>
                                      </a:lnTo>
                                      <a:lnTo>
                                        <a:pt x="409905" y="576059"/>
                                      </a:lnTo>
                                      <a:lnTo>
                                        <a:pt x="318770" y="628738"/>
                                      </a:lnTo>
                                      <a:lnTo>
                                        <a:pt x="317461" y="629513"/>
                                      </a:lnTo>
                                      <a:lnTo>
                                        <a:pt x="317017" y="631164"/>
                                      </a:lnTo>
                                      <a:lnTo>
                                        <a:pt x="318528" y="633768"/>
                                      </a:lnTo>
                                      <a:lnTo>
                                        <a:pt x="320192" y="634225"/>
                                      </a:lnTo>
                                      <a:lnTo>
                                        <a:pt x="412648" y="580796"/>
                                      </a:lnTo>
                                      <a:lnTo>
                                        <a:pt x="413080" y="579120"/>
                                      </a:lnTo>
                                      <a:close/>
                                    </a:path>
                                    <a:path w="1116965" h="691515">
                                      <a:moveTo>
                                        <a:pt x="413080" y="475399"/>
                                      </a:moveTo>
                                      <a:lnTo>
                                        <a:pt x="412623" y="473735"/>
                                      </a:lnTo>
                                      <a:lnTo>
                                        <a:pt x="320192" y="420293"/>
                                      </a:lnTo>
                                      <a:lnTo>
                                        <a:pt x="318528" y="420751"/>
                                      </a:lnTo>
                                      <a:lnTo>
                                        <a:pt x="317017" y="423354"/>
                                      </a:lnTo>
                                      <a:lnTo>
                                        <a:pt x="317461" y="425030"/>
                                      </a:lnTo>
                                      <a:lnTo>
                                        <a:pt x="408597" y="477710"/>
                                      </a:lnTo>
                                      <a:lnTo>
                                        <a:pt x="409905" y="478459"/>
                                      </a:lnTo>
                                      <a:lnTo>
                                        <a:pt x="411568" y="478002"/>
                                      </a:lnTo>
                                      <a:lnTo>
                                        <a:pt x="413080" y="475399"/>
                                      </a:lnTo>
                                      <a:close/>
                                    </a:path>
                                    <a:path w="1116965" h="691515">
                                      <a:moveTo>
                                        <a:pt x="576656" y="664756"/>
                                      </a:moveTo>
                                      <a:lnTo>
                                        <a:pt x="576567" y="651510"/>
                                      </a:lnTo>
                                      <a:lnTo>
                                        <a:pt x="575360" y="646201"/>
                                      </a:lnTo>
                                      <a:lnTo>
                                        <a:pt x="570484" y="636130"/>
                                      </a:lnTo>
                                      <a:lnTo>
                                        <a:pt x="567791" y="633260"/>
                                      </a:lnTo>
                                      <a:lnTo>
                                        <a:pt x="567791" y="666838"/>
                                      </a:lnTo>
                                      <a:lnTo>
                                        <a:pt x="566610" y="670534"/>
                                      </a:lnTo>
                                      <a:lnTo>
                                        <a:pt x="565797" y="672884"/>
                                      </a:lnTo>
                                      <a:lnTo>
                                        <a:pt x="558609" y="680732"/>
                                      </a:lnTo>
                                      <a:lnTo>
                                        <a:pt x="557669" y="681723"/>
                                      </a:lnTo>
                                      <a:lnTo>
                                        <a:pt x="552475" y="683933"/>
                                      </a:lnTo>
                                      <a:lnTo>
                                        <a:pt x="539915" y="683933"/>
                                      </a:lnTo>
                                      <a:lnTo>
                                        <a:pt x="534733" y="681723"/>
                                      </a:lnTo>
                                      <a:lnTo>
                                        <a:pt x="530631" y="677303"/>
                                      </a:lnTo>
                                      <a:lnTo>
                                        <a:pt x="526453" y="672884"/>
                                      </a:lnTo>
                                      <a:lnTo>
                                        <a:pt x="524446" y="666838"/>
                                      </a:lnTo>
                                      <a:lnTo>
                                        <a:pt x="524446" y="649554"/>
                                      </a:lnTo>
                                      <a:lnTo>
                                        <a:pt x="526554" y="642696"/>
                                      </a:lnTo>
                                      <a:lnTo>
                                        <a:pt x="530910" y="638594"/>
                                      </a:lnTo>
                                      <a:lnTo>
                                        <a:pt x="535178" y="634479"/>
                                      </a:lnTo>
                                      <a:lnTo>
                                        <a:pt x="540270" y="632434"/>
                                      </a:lnTo>
                                      <a:lnTo>
                                        <a:pt x="550456" y="632434"/>
                                      </a:lnTo>
                                      <a:lnTo>
                                        <a:pt x="554278" y="633501"/>
                                      </a:lnTo>
                                      <a:lnTo>
                                        <a:pt x="560997" y="637768"/>
                                      </a:lnTo>
                                      <a:lnTo>
                                        <a:pt x="563549" y="640753"/>
                                      </a:lnTo>
                                      <a:lnTo>
                                        <a:pt x="565289" y="644639"/>
                                      </a:lnTo>
                                      <a:lnTo>
                                        <a:pt x="567105" y="648512"/>
                                      </a:lnTo>
                                      <a:lnTo>
                                        <a:pt x="567639" y="651510"/>
                                      </a:lnTo>
                                      <a:lnTo>
                                        <a:pt x="567702" y="651878"/>
                                      </a:lnTo>
                                      <a:lnTo>
                                        <a:pt x="567791" y="666838"/>
                                      </a:lnTo>
                                      <a:lnTo>
                                        <a:pt x="567791" y="633260"/>
                                      </a:lnTo>
                                      <a:lnTo>
                                        <a:pt x="567029" y="632434"/>
                                      </a:lnTo>
                                      <a:lnTo>
                                        <a:pt x="566826" y="632206"/>
                                      </a:lnTo>
                                      <a:lnTo>
                                        <a:pt x="557377" y="626579"/>
                                      </a:lnTo>
                                      <a:lnTo>
                                        <a:pt x="552094" y="625170"/>
                                      </a:lnTo>
                                      <a:lnTo>
                                        <a:pt x="537260" y="625170"/>
                                      </a:lnTo>
                                      <a:lnTo>
                                        <a:pt x="515721" y="659003"/>
                                      </a:lnTo>
                                      <a:lnTo>
                                        <a:pt x="515747" y="664756"/>
                                      </a:lnTo>
                                      <a:lnTo>
                                        <a:pt x="540181" y="691172"/>
                                      </a:lnTo>
                                      <a:lnTo>
                                        <a:pt x="551738" y="691172"/>
                                      </a:lnTo>
                                      <a:lnTo>
                                        <a:pt x="556831" y="689864"/>
                                      </a:lnTo>
                                      <a:lnTo>
                                        <a:pt x="566470" y="684606"/>
                                      </a:lnTo>
                                      <a:lnTo>
                                        <a:pt x="567093" y="683933"/>
                                      </a:lnTo>
                                      <a:lnTo>
                                        <a:pt x="570103" y="680732"/>
                                      </a:lnTo>
                                      <a:lnTo>
                                        <a:pt x="575360" y="670534"/>
                                      </a:lnTo>
                                      <a:lnTo>
                                        <a:pt x="576656" y="664756"/>
                                      </a:lnTo>
                                      <a:close/>
                                    </a:path>
                                    <a:path w="1116965" h="691515">
                                      <a:moveTo>
                                        <a:pt x="639927" y="475399"/>
                                      </a:moveTo>
                                      <a:lnTo>
                                        <a:pt x="639470" y="473735"/>
                                      </a:lnTo>
                                      <a:lnTo>
                                        <a:pt x="547001" y="420293"/>
                                      </a:lnTo>
                                      <a:lnTo>
                                        <a:pt x="545363" y="420751"/>
                                      </a:lnTo>
                                      <a:lnTo>
                                        <a:pt x="543801" y="423367"/>
                                      </a:lnTo>
                                      <a:lnTo>
                                        <a:pt x="544258" y="425030"/>
                                      </a:lnTo>
                                      <a:lnTo>
                                        <a:pt x="635381" y="477710"/>
                                      </a:lnTo>
                                      <a:lnTo>
                                        <a:pt x="636739" y="478472"/>
                                      </a:lnTo>
                                      <a:lnTo>
                                        <a:pt x="638378" y="478002"/>
                                      </a:lnTo>
                                      <a:lnTo>
                                        <a:pt x="639927" y="475399"/>
                                      </a:lnTo>
                                      <a:close/>
                                    </a:path>
                                    <a:path w="1116965" h="691515">
                                      <a:moveTo>
                                        <a:pt x="797636" y="232791"/>
                                      </a:moveTo>
                                      <a:lnTo>
                                        <a:pt x="789520" y="232791"/>
                                      </a:lnTo>
                                      <a:lnTo>
                                        <a:pt x="789520" y="282867"/>
                                      </a:lnTo>
                                      <a:lnTo>
                                        <a:pt x="756069" y="232791"/>
                                      </a:lnTo>
                                      <a:lnTo>
                                        <a:pt x="747433" y="232791"/>
                                      </a:lnTo>
                                      <a:lnTo>
                                        <a:pt x="747433" y="296557"/>
                                      </a:lnTo>
                                      <a:lnTo>
                                        <a:pt x="755523" y="296557"/>
                                      </a:lnTo>
                                      <a:lnTo>
                                        <a:pt x="755523" y="246456"/>
                                      </a:lnTo>
                                      <a:lnTo>
                                        <a:pt x="788974" y="296557"/>
                                      </a:lnTo>
                                      <a:lnTo>
                                        <a:pt x="797636" y="296557"/>
                                      </a:lnTo>
                                      <a:lnTo>
                                        <a:pt x="797636" y="232791"/>
                                      </a:lnTo>
                                      <a:close/>
                                    </a:path>
                                    <a:path w="1116965" h="691515">
                                      <a:moveTo>
                                        <a:pt x="803452" y="664756"/>
                                      </a:moveTo>
                                      <a:lnTo>
                                        <a:pt x="803363" y="651510"/>
                                      </a:lnTo>
                                      <a:lnTo>
                                        <a:pt x="802170" y="646201"/>
                                      </a:lnTo>
                                      <a:lnTo>
                                        <a:pt x="797267" y="636130"/>
                                      </a:lnTo>
                                      <a:lnTo>
                                        <a:pt x="794575" y="633247"/>
                                      </a:lnTo>
                                      <a:lnTo>
                                        <a:pt x="794575" y="666838"/>
                                      </a:lnTo>
                                      <a:lnTo>
                                        <a:pt x="793419" y="670534"/>
                                      </a:lnTo>
                                      <a:lnTo>
                                        <a:pt x="792619" y="672884"/>
                                      </a:lnTo>
                                      <a:lnTo>
                                        <a:pt x="785431" y="680732"/>
                                      </a:lnTo>
                                      <a:lnTo>
                                        <a:pt x="784479" y="681723"/>
                                      </a:lnTo>
                                      <a:lnTo>
                                        <a:pt x="779259" y="683933"/>
                                      </a:lnTo>
                                      <a:lnTo>
                                        <a:pt x="766711" y="683933"/>
                                      </a:lnTo>
                                      <a:lnTo>
                                        <a:pt x="761530" y="681723"/>
                                      </a:lnTo>
                                      <a:lnTo>
                                        <a:pt x="757428" y="677303"/>
                                      </a:lnTo>
                                      <a:lnTo>
                                        <a:pt x="753262" y="672884"/>
                                      </a:lnTo>
                                      <a:lnTo>
                                        <a:pt x="751255" y="666838"/>
                                      </a:lnTo>
                                      <a:lnTo>
                                        <a:pt x="751255" y="649554"/>
                                      </a:lnTo>
                                      <a:lnTo>
                                        <a:pt x="753338" y="642696"/>
                                      </a:lnTo>
                                      <a:lnTo>
                                        <a:pt x="757707" y="638594"/>
                                      </a:lnTo>
                                      <a:lnTo>
                                        <a:pt x="761974" y="634479"/>
                                      </a:lnTo>
                                      <a:lnTo>
                                        <a:pt x="767080" y="632434"/>
                                      </a:lnTo>
                                      <a:lnTo>
                                        <a:pt x="777240" y="632434"/>
                                      </a:lnTo>
                                      <a:lnTo>
                                        <a:pt x="794423" y="651510"/>
                                      </a:lnTo>
                                      <a:lnTo>
                                        <a:pt x="794499" y="651878"/>
                                      </a:lnTo>
                                      <a:lnTo>
                                        <a:pt x="794575" y="666838"/>
                                      </a:lnTo>
                                      <a:lnTo>
                                        <a:pt x="794575" y="633247"/>
                                      </a:lnTo>
                                      <a:lnTo>
                                        <a:pt x="793826" y="632434"/>
                                      </a:lnTo>
                                      <a:lnTo>
                                        <a:pt x="793610" y="632206"/>
                                      </a:lnTo>
                                      <a:lnTo>
                                        <a:pt x="784263" y="626579"/>
                                      </a:lnTo>
                                      <a:lnTo>
                                        <a:pt x="778891" y="625170"/>
                                      </a:lnTo>
                                      <a:lnTo>
                                        <a:pt x="764070" y="625170"/>
                                      </a:lnTo>
                                      <a:lnTo>
                                        <a:pt x="742518" y="659003"/>
                                      </a:lnTo>
                                      <a:lnTo>
                                        <a:pt x="742556" y="664756"/>
                                      </a:lnTo>
                                      <a:lnTo>
                                        <a:pt x="766978" y="691172"/>
                                      </a:lnTo>
                                      <a:lnTo>
                                        <a:pt x="778535" y="691172"/>
                                      </a:lnTo>
                                      <a:lnTo>
                                        <a:pt x="783717" y="689864"/>
                                      </a:lnTo>
                                      <a:lnTo>
                                        <a:pt x="788441" y="687222"/>
                                      </a:lnTo>
                                      <a:lnTo>
                                        <a:pt x="793267" y="684606"/>
                                      </a:lnTo>
                                      <a:lnTo>
                                        <a:pt x="793902" y="683933"/>
                                      </a:lnTo>
                                      <a:lnTo>
                                        <a:pt x="796899" y="680732"/>
                                      </a:lnTo>
                                      <a:lnTo>
                                        <a:pt x="802170" y="670534"/>
                                      </a:lnTo>
                                      <a:lnTo>
                                        <a:pt x="803452" y="664756"/>
                                      </a:lnTo>
                                      <a:close/>
                                    </a:path>
                                    <a:path w="1116965" h="691515">
                                      <a:moveTo>
                                        <a:pt x="889939" y="434746"/>
                                      </a:moveTo>
                                      <a:lnTo>
                                        <a:pt x="889482" y="433082"/>
                                      </a:lnTo>
                                      <a:lnTo>
                                        <a:pt x="798271" y="380415"/>
                                      </a:lnTo>
                                      <a:lnTo>
                                        <a:pt x="796988" y="379653"/>
                                      </a:lnTo>
                                      <a:lnTo>
                                        <a:pt x="795362" y="380111"/>
                                      </a:lnTo>
                                      <a:lnTo>
                                        <a:pt x="793813" y="382714"/>
                                      </a:lnTo>
                                      <a:lnTo>
                                        <a:pt x="794270" y="384390"/>
                                      </a:lnTo>
                                      <a:lnTo>
                                        <a:pt x="886752" y="437832"/>
                                      </a:lnTo>
                                      <a:lnTo>
                                        <a:pt x="888390" y="437375"/>
                                      </a:lnTo>
                                      <a:lnTo>
                                        <a:pt x="889939" y="434746"/>
                                      </a:lnTo>
                                      <a:close/>
                                    </a:path>
                                    <a:path w="1116965" h="691515">
                                      <a:moveTo>
                                        <a:pt x="889939" y="226936"/>
                                      </a:moveTo>
                                      <a:lnTo>
                                        <a:pt x="888390" y="224320"/>
                                      </a:lnTo>
                                      <a:lnTo>
                                        <a:pt x="886764" y="223875"/>
                                      </a:lnTo>
                                      <a:lnTo>
                                        <a:pt x="828814" y="257314"/>
                                      </a:lnTo>
                                      <a:lnTo>
                                        <a:pt x="828370" y="258991"/>
                                      </a:lnTo>
                                      <a:lnTo>
                                        <a:pt x="829906" y="261607"/>
                                      </a:lnTo>
                                      <a:lnTo>
                                        <a:pt x="831545" y="262051"/>
                                      </a:lnTo>
                                      <a:lnTo>
                                        <a:pt x="888123" y="229362"/>
                                      </a:lnTo>
                                      <a:lnTo>
                                        <a:pt x="889469" y="228600"/>
                                      </a:lnTo>
                                      <a:lnTo>
                                        <a:pt x="889939" y="226936"/>
                                      </a:lnTo>
                                      <a:close/>
                                    </a:path>
                                    <a:path w="1116965" h="691515">
                                      <a:moveTo>
                                        <a:pt x="979335" y="277355"/>
                                      </a:moveTo>
                                      <a:lnTo>
                                        <a:pt x="978662" y="277355"/>
                                      </a:lnTo>
                                      <a:lnTo>
                                        <a:pt x="978662" y="276085"/>
                                      </a:lnTo>
                                      <a:lnTo>
                                        <a:pt x="974585" y="276085"/>
                                      </a:lnTo>
                                      <a:lnTo>
                                        <a:pt x="974585" y="277355"/>
                                      </a:lnTo>
                                      <a:lnTo>
                                        <a:pt x="973874" y="277355"/>
                                      </a:lnTo>
                                      <a:lnTo>
                                        <a:pt x="973874" y="382765"/>
                                      </a:lnTo>
                                      <a:lnTo>
                                        <a:pt x="973874" y="384035"/>
                                      </a:lnTo>
                                      <a:lnTo>
                                        <a:pt x="974280" y="384035"/>
                                      </a:lnTo>
                                      <a:lnTo>
                                        <a:pt x="974280" y="385305"/>
                                      </a:lnTo>
                                      <a:lnTo>
                                        <a:pt x="978954" y="385305"/>
                                      </a:lnTo>
                                      <a:lnTo>
                                        <a:pt x="978954" y="384035"/>
                                      </a:lnTo>
                                      <a:lnTo>
                                        <a:pt x="979335" y="384035"/>
                                      </a:lnTo>
                                      <a:lnTo>
                                        <a:pt x="979335" y="382765"/>
                                      </a:lnTo>
                                      <a:lnTo>
                                        <a:pt x="979335" y="277355"/>
                                      </a:lnTo>
                                      <a:close/>
                                    </a:path>
                                    <a:path w="1116965" h="691515">
                                      <a:moveTo>
                                        <a:pt x="1003350" y="30302"/>
                                      </a:moveTo>
                                      <a:lnTo>
                                        <a:pt x="1001788" y="27698"/>
                                      </a:lnTo>
                                      <a:lnTo>
                                        <a:pt x="1000175" y="27241"/>
                                      </a:lnTo>
                                      <a:lnTo>
                                        <a:pt x="907669" y="80670"/>
                                      </a:lnTo>
                                      <a:lnTo>
                                        <a:pt x="907199" y="82346"/>
                                      </a:lnTo>
                                      <a:lnTo>
                                        <a:pt x="908761" y="84950"/>
                                      </a:lnTo>
                                      <a:lnTo>
                                        <a:pt x="910399" y="85407"/>
                                      </a:lnTo>
                                      <a:lnTo>
                                        <a:pt x="1001522" y="32727"/>
                                      </a:lnTo>
                                      <a:lnTo>
                                        <a:pt x="1002868" y="31965"/>
                                      </a:lnTo>
                                      <a:lnTo>
                                        <a:pt x="1003350" y="30302"/>
                                      </a:lnTo>
                                      <a:close/>
                                    </a:path>
                                    <a:path w="1116965" h="691515">
                                      <a:moveTo>
                                        <a:pt x="1092733" y="80721"/>
                                      </a:moveTo>
                                      <a:lnTo>
                                        <a:pt x="1092060" y="80721"/>
                                      </a:lnTo>
                                      <a:lnTo>
                                        <a:pt x="1092060" y="79451"/>
                                      </a:lnTo>
                                      <a:lnTo>
                                        <a:pt x="1087996" y="79451"/>
                                      </a:lnTo>
                                      <a:lnTo>
                                        <a:pt x="1087996" y="80721"/>
                                      </a:lnTo>
                                      <a:lnTo>
                                        <a:pt x="1087272" y="80721"/>
                                      </a:lnTo>
                                      <a:lnTo>
                                        <a:pt x="1087272" y="186131"/>
                                      </a:lnTo>
                                      <a:lnTo>
                                        <a:pt x="1087272" y="187401"/>
                                      </a:lnTo>
                                      <a:lnTo>
                                        <a:pt x="1087691" y="187401"/>
                                      </a:lnTo>
                                      <a:lnTo>
                                        <a:pt x="1087691" y="188671"/>
                                      </a:lnTo>
                                      <a:lnTo>
                                        <a:pt x="1092352" y="188671"/>
                                      </a:lnTo>
                                      <a:lnTo>
                                        <a:pt x="1092352" y="187401"/>
                                      </a:lnTo>
                                      <a:lnTo>
                                        <a:pt x="1092733" y="187401"/>
                                      </a:lnTo>
                                      <a:lnTo>
                                        <a:pt x="1092733" y="186131"/>
                                      </a:lnTo>
                                      <a:lnTo>
                                        <a:pt x="1092733" y="80721"/>
                                      </a:lnTo>
                                      <a:close/>
                                    </a:path>
                                    <a:path w="1116965" h="691515">
                                      <a:moveTo>
                                        <a:pt x="1116736" y="199694"/>
                                      </a:moveTo>
                                      <a:lnTo>
                                        <a:pt x="1116380" y="199097"/>
                                      </a:lnTo>
                                      <a:lnTo>
                                        <a:pt x="1116380" y="69303"/>
                                      </a:lnTo>
                                      <a:lnTo>
                                        <a:pt x="1116723" y="68719"/>
                                      </a:lnTo>
                                      <a:lnTo>
                                        <a:pt x="1116266" y="67056"/>
                                      </a:lnTo>
                                      <a:lnTo>
                                        <a:pt x="1116266" y="66395"/>
                                      </a:lnTo>
                                      <a:lnTo>
                                        <a:pt x="1115123" y="66395"/>
                                      </a:lnTo>
                                      <a:lnTo>
                                        <a:pt x="1110818" y="63919"/>
                                      </a:lnTo>
                                      <a:lnTo>
                                        <a:pt x="1110818" y="70256"/>
                                      </a:lnTo>
                                      <a:lnTo>
                                        <a:pt x="1110818" y="198221"/>
                                      </a:lnTo>
                                      <a:lnTo>
                                        <a:pt x="1000175" y="262140"/>
                                      </a:lnTo>
                                      <a:lnTo>
                                        <a:pt x="889482" y="198170"/>
                                      </a:lnTo>
                                      <a:lnTo>
                                        <a:pt x="889482" y="70269"/>
                                      </a:lnTo>
                                      <a:lnTo>
                                        <a:pt x="1000163" y="6273"/>
                                      </a:lnTo>
                                      <a:lnTo>
                                        <a:pt x="1110818" y="70256"/>
                                      </a:lnTo>
                                      <a:lnTo>
                                        <a:pt x="1110818" y="63919"/>
                                      </a:lnTo>
                                      <a:lnTo>
                                        <a:pt x="1002195" y="1143"/>
                                      </a:lnTo>
                                      <a:lnTo>
                                        <a:pt x="1001788" y="444"/>
                                      </a:lnTo>
                                      <a:lnTo>
                                        <a:pt x="1000290" y="38"/>
                                      </a:lnTo>
                                      <a:lnTo>
                                        <a:pt x="1000112" y="38"/>
                                      </a:lnTo>
                                      <a:lnTo>
                                        <a:pt x="998601" y="444"/>
                                      </a:lnTo>
                                      <a:lnTo>
                                        <a:pt x="998181" y="1155"/>
                                      </a:lnTo>
                                      <a:lnTo>
                                        <a:pt x="885748" y="66116"/>
                                      </a:lnTo>
                                      <a:lnTo>
                                        <a:pt x="884428" y="66116"/>
                                      </a:lnTo>
                                      <a:lnTo>
                                        <a:pt x="884428" y="66890"/>
                                      </a:lnTo>
                                      <a:lnTo>
                                        <a:pt x="884123" y="67056"/>
                                      </a:lnTo>
                                      <a:lnTo>
                                        <a:pt x="884021" y="67386"/>
                                      </a:lnTo>
                                      <a:lnTo>
                                        <a:pt x="883666" y="68719"/>
                                      </a:lnTo>
                                      <a:lnTo>
                                        <a:pt x="884008" y="69303"/>
                                      </a:lnTo>
                                      <a:lnTo>
                                        <a:pt x="884008" y="198234"/>
                                      </a:lnTo>
                                      <a:lnTo>
                                        <a:pt x="817092" y="236893"/>
                                      </a:lnTo>
                                      <a:lnTo>
                                        <a:pt x="816635" y="238556"/>
                                      </a:lnTo>
                                      <a:lnTo>
                                        <a:pt x="818083" y="241173"/>
                                      </a:lnTo>
                                      <a:lnTo>
                                        <a:pt x="819810" y="241617"/>
                                      </a:lnTo>
                                      <a:lnTo>
                                        <a:pt x="886764" y="202907"/>
                                      </a:lnTo>
                                      <a:lnTo>
                                        <a:pt x="997419" y="266877"/>
                                      </a:lnTo>
                                      <a:lnTo>
                                        <a:pt x="997419" y="394855"/>
                                      </a:lnTo>
                                      <a:lnTo>
                                        <a:pt x="886764" y="458787"/>
                                      </a:lnTo>
                                      <a:lnTo>
                                        <a:pt x="776084" y="394843"/>
                                      </a:lnTo>
                                      <a:lnTo>
                                        <a:pt x="776084" y="312864"/>
                                      </a:lnTo>
                                      <a:lnTo>
                                        <a:pt x="776084" y="311353"/>
                                      </a:lnTo>
                                      <a:lnTo>
                                        <a:pt x="774890" y="310134"/>
                                      </a:lnTo>
                                      <a:lnTo>
                                        <a:pt x="771906" y="310134"/>
                                      </a:lnTo>
                                      <a:lnTo>
                                        <a:pt x="770623" y="311353"/>
                                      </a:lnTo>
                                      <a:lnTo>
                                        <a:pt x="770623" y="394855"/>
                                      </a:lnTo>
                                      <a:lnTo>
                                        <a:pt x="660361" y="458584"/>
                                      </a:lnTo>
                                      <a:lnTo>
                                        <a:pt x="548932" y="394182"/>
                                      </a:lnTo>
                                      <a:lnTo>
                                        <a:pt x="548538" y="393496"/>
                                      </a:lnTo>
                                      <a:lnTo>
                                        <a:pt x="547039" y="393077"/>
                                      </a:lnTo>
                                      <a:lnTo>
                                        <a:pt x="546912" y="393039"/>
                                      </a:lnTo>
                                      <a:lnTo>
                                        <a:pt x="546785" y="393115"/>
                                      </a:lnTo>
                                      <a:lnTo>
                                        <a:pt x="545363" y="393496"/>
                                      </a:lnTo>
                                      <a:lnTo>
                                        <a:pt x="544957" y="394169"/>
                                      </a:lnTo>
                                      <a:lnTo>
                                        <a:pt x="433514" y="458584"/>
                                      </a:lnTo>
                                      <a:lnTo>
                                        <a:pt x="322135" y="394195"/>
                                      </a:lnTo>
                                      <a:lnTo>
                                        <a:pt x="321741" y="393496"/>
                                      </a:lnTo>
                                      <a:lnTo>
                                        <a:pt x="320217" y="393090"/>
                                      </a:lnTo>
                                      <a:lnTo>
                                        <a:pt x="320078" y="393039"/>
                                      </a:lnTo>
                                      <a:lnTo>
                                        <a:pt x="319938" y="393115"/>
                                      </a:lnTo>
                                      <a:lnTo>
                                        <a:pt x="318516" y="393496"/>
                                      </a:lnTo>
                                      <a:lnTo>
                                        <a:pt x="318122" y="394169"/>
                                      </a:lnTo>
                                      <a:lnTo>
                                        <a:pt x="206717" y="458584"/>
                                      </a:lnTo>
                                      <a:lnTo>
                                        <a:pt x="135420" y="417347"/>
                                      </a:lnTo>
                                      <a:lnTo>
                                        <a:pt x="133756" y="417804"/>
                                      </a:lnTo>
                                      <a:lnTo>
                                        <a:pt x="132245" y="420420"/>
                                      </a:lnTo>
                                      <a:lnTo>
                                        <a:pt x="132689" y="422084"/>
                                      </a:lnTo>
                                      <a:lnTo>
                                        <a:pt x="204749" y="463753"/>
                                      </a:lnTo>
                                      <a:lnTo>
                                        <a:pt x="205117" y="464388"/>
                                      </a:lnTo>
                                      <a:lnTo>
                                        <a:pt x="206514" y="464769"/>
                                      </a:lnTo>
                                      <a:lnTo>
                                        <a:pt x="206667" y="464845"/>
                                      </a:lnTo>
                                      <a:lnTo>
                                        <a:pt x="206794" y="464832"/>
                                      </a:lnTo>
                                      <a:lnTo>
                                        <a:pt x="208330" y="464388"/>
                                      </a:lnTo>
                                      <a:lnTo>
                                        <a:pt x="208711" y="463727"/>
                                      </a:lnTo>
                                      <a:lnTo>
                                        <a:pt x="320116" y="399326"/>
                                      </a:lnTo>
                                      <a:lnTo>
                                        <a:pt x="430809" y="463308"/>
                                      </a:lnTo>
                                      <a:lnTo>
                                        <a:pt x="430809" y="591235"/>
                                      </a:lnTo>
                                      <a:lnTo>
                                        <a:pt x="320116" y="655218"/>
                                      </a:lnTo>
                                      <a:lnTo>
                                        <a:pt x="208076" y="590448"/>
                                      </a:lnTo>
                                      <a:lnTo>
                                        <a:pt x="206781" y="589699"/>
                                      </a:lnTo>
                                      <a:lnTo>
                                        <a:pt x="205105" y="590143"/>
                                      </a:lnTo>
                                      <a:lnTo>
                                        <a:pt x="203606" y="592747"/>
                                      </a:lnTo>
                                      <a:lnTo>
                                        <a:pt x="204050" y="594423"/>
                                      </a:lnTo>
                                      <a:lnTo>
                                        <a:pt x="318160" y="660400"/>
                                      </a:lnTo>
                                      <a:lnTo>
                                        <a:pt x="318528" y="661022"/>
                                      </a:lnTo>
                                      <a:lnTo>
                                        <a:pt x="319938" y="661428"/>
                                      </a:lnTo>
                                      <a:lnTo>
                                        <a:pt x="320065" y="661492"/>
                                      </a:lnTo>
                                      <a:lnTo>
                                        <a:pt x="320192" y="661492"/>
                                      </a:lnTo>
                                      <a:lnTo>
                                        <a:pt x="321729" y="661035"/>
                                      </a:lnTo>
                                      <a:lnTo>
                                        <a:pt x="322097" y="660400"/>
                                      </a:lnTo>
                                      <a:lnTo>
                                        <a:pt x="433514" y="595960"/>
                                      </a:lnTo>
                                      <a:lnTo>
                                        <a:pt x="505612" y="637616"/>
                                      </a:lnTo>
                                      <a:lnTo>
                                        <a:pt x="507250" y="637159"/>
                                      </a:lnTo>
                                      <a:lnTo>
                                        <a:pt x="508800" y="634555"/>
                                      </a:lnTo>
                                      <a:lnTo>
                                        <a:pt x="508342" y="632879"/>
                                      </a:lnTo>
                                      <a:lnTo>
                                        <a:pt x="436283" y="591248"/>
                                      </a:lnTo>
                                      <a:lnTo>
                                        <a:pt x="436283" y="463283"/>
                                      </a:lnTo>
                                      <a:lnTo>
                                        <a:pt x="546912" y="399313"/>
                                      </a:lnTo>
                                      <a:lnTo>
                                        <a:pt x="657669" y="463308"/>
                                      </a:lnTo>
                                      <a:lnTo>
                                        <a:pt x="657669" y="578383"/>
                                      </a:lnTo>
                                      <a:lnTo>
                                        <a:pt x="657225" y="579120"/>
                                      </a:lnTo>
                                      <a:lnTo>
                                        <a:pt x="657669" y="580745"/>
                                      </a:lnTo>
                                      <a:lnTo>
                                        <a:pt x="657669" y="591223"/>
                                      </a:lnTo>
                                      <a:lnTo>
                                        <a:pt x="648436" y="596557"/>
                                      </a:lnTo>
                                      <a:lnTo>
                                        <a:pt x="646950" y="596950"/>
                                      </a:lnTo>
                                      <a:lnTo>
                                        <a:pt x="646557" y="597649"/>
                                      </a:lnTo>
                                      <a:lnTo>
                                        <a:pt x="587286" y="631888"/>
                                      </a:lnTo>
                                      <a:lnTo>
                                        <a:pt x="586003" y="632650"/>
                                      </a:lnTo>
                                      <a:lnTo>
                                        <a:pt x="585546" y="634314"/>
                                      </a:lnTo>
                                      <a:lnTo>
                                        <a:pt x="587019" y="636917"/>
                                      </a:lnTo>
                                      <a:lnTo>
                                        <a:pt x="588733" y="637387"/>
                                      </a:lnTo>
                                      <a:lnTo>
                                        <a:pt x="648601" y="602780"/>
                                      </a:lnTo>
                                      <a:lnTo>
                                        <a:pt x="726516" y="647814"/>
                                      </a:lnTo>
                                      <a:lnTo>
                                        <a:pt x="728154" y="647382"/>
                                      </a:lnTo>
                                      <a:lnTo>
                                        <a:pt x="729691" y="644766"/>
                                      </a:lnTo>
                                      <a:lnTo>
                                        <a:pt x="729246" y="643077"/>
                                      </a:lnTo>
                                      <a:lnTo>
                                        <a:pt x="654037" y="599630"/>
                                      </a:lnTo>
                                      <a:lnTo>
                                        <a:pt x="661454" y="595337"/>
                                      </a:lnTo>
                                      <a:lnTo>
                                        <a:pt x="662724" y="595337"/>
                                      </a:lnTo>
                                      <a:lnTo>
                                        <a:pt x="662724" y="594614"/>
                                      </a:lnTo>
                                      <a:lnTo>
                                        <a:pt x="663041" y="594423"/>
                                      </a:lnTo>
                                      <a:lnTo>
                                        <a:pt x="663130" y="594067"/>
                                      </a:lnTo>
                                      <a:lnTo>
                                        <a:pt x="663486" y="592747"/>
                                      </a:lnTo>
                                      <a:lnTo>
                                        <a:pt x="663130" y="592150"/>
                                      </a:lnTo>
                                      <a:lnTo>
                                        <a:pt x="663130" y="583933"/>
                                      </a:lnTo>
                                      <a:lnTo>
                                        <a:pt x="738327" y="627367"/>
                                      </a:lnTo>
                                      <a:lnTo>
                                        <a:pt x="739965" y="626922"/>
                                      </a:lnTo>
                                      <a:lnTo>
                                        <a:pt x="741527" y="624319"/>
                                      </a:lnTo>
                                      <a:lnTo>
                                        <a:pt x="741057" y="622655"/>
                                      </a:lnTo>
                                      <a:lnTo>
                                        <a:pt x="663130" y="577608"/>
                                      </a:lnTo>
                                      <a:lnTo>
                                        <a:pt x="663130" y="463257"/>
                                      </a:lnTo>
                                      <a:lnTo>
                                        <a:pt x="773391" y="399567"/>
                                      </a:lnTo>
                                      <a:lnTo>
                                        <a:pt x="884796" y="463943"/>
                                      </a:lnTo>
                                      <a:lnTo>
                                        <a:pt x="885202" y="464604"/>
                                      </a:lnTo>
                                      <a:lnTo>
                                        <a:pt x="886663" y="465023"/>
                                      </a:lnTo>
                                      <a:lnTo>
                                        <a:pt x="886790" y="465061"/>
                                      </a:lnTo>
                                      <a:lnTo>
                                        <a:pt x="886917" y="465023"/>
                                      </a:lnTo>
                                      <a:lnTo>
                                        <a:pt x="888390" y="464616"/>
                                      </a:lnTo>
                                      <a:lnTo>
                                        <a:pt x="888784" y="463943"/>
                                      </a:lnTo>
                                      <a:lnTo>
                                        <a:pt x="1001280" y="398932"/>
                                      </a:lnTo>
                                      <a:lnTo>
                                        <a:pt x="1002512" y="398932"/>
                                      </a:lnTo>
                                      <a:lnTo>
                                        <a:pt x="1002512" y="398233"/>
                                      </a:lnTo>
                                      <a:lnTo>
                                        <a:pt x="1002893" y="398005"/>
                                      </a:lnTo>
                                      <a:lnTo>
                                        <a:pt x="1003325" y="396328"/>
                                      </a:lnTo>
                                      <a:lnTo>
                                        <a:pt x="1002893" y="395592"/>
                                      </a:lnTo>
                                      <a:lnTo>
                                        <a:pt x="1002893" y="266903"/>
                                      </a:lnTo>
                                      <a:lnTo>
                                        <a:pt x="1114704" y="202285"/>
                                      </a:lnTo>
                                      <a:lnTo>
                                        <a:pt x="1115974" y="202285"/>
                                      </a:lnTo>
                                      <a:lnTo>
                                        <a:pt x="1115974" y="201561"/>
                                      </a:lnTo>
                                      <a:lnTo>
                                        <a:pt x="1116291" y="201371"/>
                                      </a:lnTo>
                                      <a:lnTo>
                                        <a:pt x="1116380" y="201015"/>
                                      </a:lnTo>
                                      <a:lnTo>
                                        <a:pt x="1116736" y="199694"/>
                                      </a:lnTo>
                                      <a:close/>
                                    </a:path>
                                  </a:pathLst>
                                </a:custGeom>
                                <a:solidFill>
                                  <a:srgbClr val="000000"/>
                                </a:solidFill>
                              </wps:spPr>
                              <wps:bodyPr wrap="square" lIns="0" tIns="0" rIns="0" bIns="0" rtlCol="0">
                                <a:prstTxWarp prst="textNoShape">
                                  <a:avLst/>
                                </a:prstTxWarp>
                                <a:noAutofit/>
                              </wps:bodyPr>
                            </wps:wsp>
                            <wps:wsp>
                              <wps:cNvPr id="5" name="Graphic 22"/>
                              <wps:cNvSpPr/>
                              <wps:spPr>
                                <a:xfrm>
                                  <a:off x="934010" y="433476"/>
                                  <a:ext cx="83185" cy="65405"/>
                                </a:xfrm>
                                <a:custGeom>
                                  <a:avLst/>
                                  <a:gdLst/>
                                  <a:ahLst/>
                                  <a:cxnLst/>
                                  <a:rect l="l" t="t" r="r" b="b"/>
                                  <a:pathLst>
                                    <a:path w="83185" h="65405">
                                      <a:moveTo>
                                        <a:pt x="48831" y="14541"/>
                                      </a:moveTo>
                                      <a:lnTo>
                                        <a:pt x="47713" y="10922"/>
                                      </a:lnTo>
                                      <a:lnTo>
                                        <a:pt x="47675" y="10782"/>
                                      </a:lnTo>
                                      <a:lnTo>
                                        <a:pt x="47548" y="10401"/>
                                      </a:lnTo>
                                      <a:lnTo>
                                        <a:pt x="42633" y="3987"/>
                                      </a:lnTo>
                                      <a:lnTo>
                                        <a:pt x="39636" y="1905"/>
                                      </a:lnTo>
                                      <a:lnTo>
                                        <a:pt x="35560" y="850"/>
                                      </a:lnTo>
                                      <a:lnTo>
                                        <a:pt x="35560" y="17462"/>
                                      </a:lnTo>
                                      <a:lnTo>
                                        <a:pt x="35560" y="21666"/>
                                      </a:lnTo>
                                      <a:lnTo>
                                        <a:pt x="35102" y="23329"/>
                                      </a:lnTo>
                                      <a:lnTo>
                                        <a:pt x="34099" y="24752"/>
                                      </a:lnTo>
                                      <a:lnTo>
                                        <a:pt x="33185" y="26162"/>
                                      </a:lnTo>
                                      <a:lnTo>
                                        <a:pt x="31826" y="27216"/>
                                      </a:lnTo>
                                      <a:lnTo>
                                        <a:pt x="28371" y="28549"/>
                                      </a:lnTo>
                                      <a:lnTo>
                                        <a:pt x="25006" y="28879"/>
                                      </a:lnTo>
                                      <a:lnTo>
                                        <a:pt x="12915" y="28879"/>
                                      </a:lnTo>
                                      <a:lnTo>
                                        <a:pt x="12915" y="10782"/>
                                      </a:lnTo>
                                      <a:lnTo>
                                        <a:pt x="23736" y="10782"/>
                                      </a:lnTo>
                                      <a:lnTo>
                                        <a:pt x="35560" y="17462"/>
                                      </a:lnTo>
                                      <a:lnTo>
                                        <a:pt x="35560" y="850"/>
                                      </a:lnTo>
                                      <a:lnTo>
                                        <a:pt x="33553" y="317"/>
                                      </a:lnTo>
                                      <a:lnTo>
                                        <a:pt x="28448" y="0"/>
                                      </a:lnTo>
                                      <a:lnTo>
                                        <a:pt x="0" y="0"/>
                                      </a:lnTo>
                                      <a:lnTo>
                                        <a:pt x="0" y="63766"/>
                                      </a:lnTo>
                                      <a:lnTo>
                                        <a:pt x="12915" y="63766"/>
                                      </a:lnTo>
                                      <a:lnTo>
                                        <a:pt x="12915" y="39712"/>
                                      </a:lnTo>
                                      <a:lnTo>
                                        <a:pt x="27101" y="39712"/>
                                      </a:lnTo>
                                      <a:lnTo>
                                        <a:pt x="48831" y="23533"/>
                                      </a:lnTo>
                                      <a:lnTo>
                                        <a:pt x="48831" y="14541"/>
                                      </a:lnTo>
                                      <a:close/>
                                    </a:path>
                                    <a:path w="83185" h="65405">
                                      <a:moveTo>
                                        <a:pt x="82575" y="62979"/>
                                      </a:moveTo>
                                      <a:lnTo>
                                        <a:pt x="81572" y="53492"/>
                                      </a:lnTo>
                                      <a:lnTo>
                                        <a:pt x="79375" y="54279"/>
                                      </a:lnTo>
                                      <a:lnTo>
                                        <a:pt x="77736" y="54673"/>
                                      </a:lnTo>
                                      <a:lnTo>
                                        <a:pt x="76644" y="54673"/>
                                      </a:lnTo>
                                      <a:lnTo>
                                        <a:pt x="74561" y="54063"/>
                                      </a:lnTo>
                                      <a:lnTo>
                                        <a:pt x="73469" y="52514"/>
                                      </a:lnTo>
                                      <a:lnTo>
                                        <a:pt x="73291" y="51892"/>
                                      </a:lnTo>
                                      <a:lnTo>
                                        <a:pt x="73202" y="49695"/>
                                      </a:lnTo>
                                      <a:lnTo>
                                        <a:pt x="73202" y="27305"/>
                                      </a:lnTo>
                                      <a:lnTo>
                                        <a:pt x="81572" y="27305"/>
                                      </a:lnTo>
                                      <a:lnTo>
                                        <a:pt x="81572" y="17564"/>
                                      </a:lnTo>
                                      <a:lnTo>
                                        <a:pt x="73202" y="17564"/>
                                      </a:lnTo>
                                      <a:lnTo>
                                        <a:pt x="73202" y="1244"/>
                                      </a:lnTo>
                                      <a:lnTo>
                                        <a:pt x="61023" y="8382"/>
                                      </a:lnTo>
                                      <a:lnTo>
                                        <a:pt x="61023" y="17564"/>
                                      </a:lnTo>
                                      <a:lnTo>
                                        <a:pt x="55384" y="17564"/>
                                      </a:lnTo>
                                      <a:lnTo>
                                        <a:pt x="55384" y="27305"/>
                                      </a:lnTo>
                                      <a:lnTo>
                                        <a:pt x="61023" y="27305"/>
                                      </a:lnTo>
                                      <a:lnTo>
                                        <a:pt x="61023" y="47447"/>
                                      </a:lnTo>
                                      <a:lnTo>
                                        <a:pt x="61112" y="54635"/>
                                      </a:lnTo>
                                      <a:lnTo>
                                        <a:pt x="70739" y="64808"/>
                                      </a:lnTo>
                                      <a:lnTo>
                                        <a:pt x="76568" y="64808"/>
                                      </a:lnTo>
                                      <a:lnTo>
                                        <a:pt x="79743" y="64198"/>
                                      </a:lnTo>
                                      <a:lnTo>
                                        <a:pt x="82575" y="62979"/>
                                      </a:lnTo>
                                      <a:close/>
                                    </a:path>
                                  </a:pathLst>
                                </a:custGeom>
                                <a:solidFill>
                                  <a:srgbClr val="0000FF"/>
                                </a:solidFill>
                              </wps:spPr>
                              <wps:bodyPr wrap="square" lIns="0" tIns="0" rIns="0" bIns="0" rtlCol="0">
                                <a:prstTxWarp prst="textNoShape">
                                  <a:avLst/>
                                </a:prstTxWarp>
                                <a:noAutofit/>
                              </wps:bodyPr>
                            </wps:wsp>
                            <wps:wsp>
                              <wps:cNvPr id="6" name="Graphic 23"/>
                              <wps:cNvSpPr/>
                              <wps:spPr>
                                <a:xfrm>
                                  <a:off x="767830" y="312648"/>
                                  <a:ext cx="393700" cy="354330"/>
                                </a:xfrm>
                                <a:custGeom>
                                  <a:avLst/>
                                  <a:gdLst/>
                                  <a:ahLst/>
                                  <a:cxnLst/>
                                  <a:rect l="l" t="t" r="r" b="b"/>
                                  <a:pathLst>
                                    <a:path w="393700" h="354330">
                                      <a:moveTo>
                                        <a:pt x="56324" y="254127"/>
                                      </a:moveTo>
                                      <a:lnTo>
                                        <a:pt x="47891" y="251980"/>
                                      </a:lnTo>
                                      <a:lnTo>
                                        <a:pt x="46736" y="257352"/>
                                      </a:lnTo>
                                      <a:lnTo>
                                        <a:pt x="44513" y="261404"/>
                                      </a:lnTo>
                                      <a:lnTo>
                                        <a:pt x="37973" y="266865"/>
                                      </a:lnTo>
                                      <a:lnTo>
                                        <a:pt x="33972" y="268224"/>
                                      </a:lnTo>
                                      <a:lnTo>
                                        <a:pt x="25374" y="268224"/>
                                      </a:lnTo>
                                      <a:lnTo>
                                        <a:pt x="8699" y="247370"/>
                                      </a:lnTo>
                                      <a:lnTo>
                                        <a:pt x="8699" y="237731"/>
                                      </a:lnTo>
                                      <a:lnTo>
                                        <a:pt x="25006" y="216712"/>
                                      </a:lnTo>
                                      <a:lnTo>
                                        <a:pt x="34175" y="216712"/>
                                      </a:lnTo>
                                      <a:lnTo>
                                        <a:pt x="37693" y="217766"/>
                                      </a:lnTo>
                                      <a:lnTo>
                                        <a:pt x="43332" y="222008"/>
                                      </a:lnTo>
                                      <a:lnTo>
                                        <a:pt x="45466" y="225386"/>
                                      </a:lnTo>
                                      <a:lnTo>
                                        <a:pt x="46951" y="230022"/>
                                      </a:lnTo>
                                      <a:lnTo>
                                        <a:pt x="55245" y="228066"/>
                                      </a:lnTo>
                                      <a:lnTo>
                                        <a:pt x="53530" y="222173"/>
                                      </a:lnTo>
                                      <a:lnTo>
                                        <a:pt x="50520" y="217614"/>
                                      </a:lnTo>
                                      <a:lnTo>
                                        <a:pt x="41808" y="211112"/>
                                      </a:lnTo>
                                      <a:lnTo>
                                        <a:pt x="36461" y="209499"/>
                                      </a:lnTo>
                                      <a:lnTo>
                                        <a:pt x="24460" y="209499"/>
                                      </a:lnTo>
                                      <a:lnTo>
                                        <a:pt x="0" y="235343"/>
                                      </a:lnTo>
                                      <a:lnTo>
                                        <a:pt x="0" y="248081"/>
                                      </a:lnTo>
                                      <a:lnTo>
                                        <a:pt x="23088" y="275450"/>
                                      </a:lnTo>
                                      <a:lnTo>
                                        <a:pt x="36576" y="275450"/>
                                      </a:lnTo>
                                      <a:lnTo>
                                        <a:pt x="42214" y="273608"/>
                                      </a:lnTo>
                                      <a:lnTo>
                                        <a:pt x="51371" y="266344"/>
                                      </a:lnTo>
                                      <a:lnTo>
                                        <a:pt x="54559" y="261061"/>
                                      </a:lnTo>
                                      <a:lnTo>
                                        <a:pt x="56324" y="254127"/>
                                      </a:lnTo>
                                      <a:close/>
                                    </a:path>
                                    <a:path w="393700" h="354330">
                                      <a:moveTo>
                                        <a:pt x="74561" y="210578"/>
                                      </a:moveTo>
                                      <a:lnTo>
                                        <a:pt x="66738" y="210578"/>
                                      </a:lnTo>
                                      <a:lnTo>
                                        <a:pt x="66738" y="274358"/>
                                      </a:lnTo>
                                      <a:lnTo>
                                        <a:pt x="74561" y="274358"/>
                                      </a:lnTo>
                                      <a:lnTo>
                                        <a:pt x="74561" y="210578"/>
                                      </a:lnTo>
                                      <a:close/>
                                    </a:path>
                                    <a:path w="393700" h="354330">
                                      <a:moveTo>
                                        <a:pt x="154457" y="190868"/>
                                      </a:moveTo>
                                      <a:lnTo>
                                        <a:pt x="152819" y="188328"/>
                                      </a:lnTo>
                                      <a:lnTo>
                                        <a:pt x="151180" y="187947"/>
                                      </a:lnTo>
                                      <a:lnTo>
                                        <a:pt x="92786" y="225437"/>
                                      </a:lnTo>
                                      <a:lnTo>
                                        <a:pt x="92417" y="227139"/>
                                      </a:lnTo>
                                      <a:lnTo>
                                        <a:pt x="94056" y="229666"/>
                                      </a:lnTo>
                                      <a:lnTo>
                                        <a:pt x="95745" y="230035"/>
                                      </a:lnTo>
                                      <a:lnTo>
                                        <a:pt x="152819" y="193370"/>
                                      </a:lnTo>
                                      <a:lnTo>
                                        <a:pt x="154089" y="192544"/>
                                      </a:lnTo>
                                      <a:lnTo>
                                        <a:pt x="154457" y="190868"/>
                                      </a:lnTo>
                                      <a:close/>
                                    </a:path>
                                    <a:path w="393700" h="354330">
                                      <a:moveTo>
                                        <a:pt x="185826" y="104368"/>
                                      </a:moveTo>
                                      <a:lnTo>
                                        <a:pt x="141897" y="660"/>
                                      </a:lnTo>
                                      <a:lnTo>
                                        <a:pt x="140258" y="0"/>
                                      </a:lnTo>
                                      <a:lnTo>
                                        <a:pt x="137452" y="1193"/>
                                      </a:lnTo>
                                      <a:lnTo>
                                        <a:pt x="136804" y="2794"/>
                                      </a:lnTo>
                                      <a:lnTo>
                                        <a:pt x="180187" y="105117"/>
                                      </a:lnTo>
                                      <a:lnTo>
                                        <a:pt x="180822" y="106502"/>
                                      </a:lnTo>
                                      <a:lnTo>
                                        <a:pt x="182372" y="107149"/>
                                      </a:lnTo>
                                      <a:lnTo>
                                        <a:pt x="185191" y="105968"/>
                                      </a:lnTo>
                                      <a:lnTo>
                                        <a:pt x="185826" y="104368"/>
                                      </a:lnTo>
                                      <a:close/>
                                    </a:path>
                                    <a:path w="393700" h="354330">
                                      <a:moveTo>
                                        <a:pt x="211213" y="352640"/>
                                      </a:moveTo>
                                      <a:lnTo>
                                        <a:pt x="207657" y="201498"/>
                                      </a:lnTo>
                                      <a:lnTo>
                                        <a:pt x="206463" y="200317"/>
                                      </a:lnTo>
                                      <a:lnTo>
                                        <a:pt x="203466" y="200380"/>
                                      </a:lnTo>
                                      <a:lnTo>
                                        <a:pt x="202209" y="201625"/>
                                      </a:lnTo>
                                      <a:lnTo>
                                        <a:pt x="205651" y="351256"/>
                                      </a:lnTo>
                                      <a:lnTo>
                                        <a:pt x="205740" y="352767"/>
                                      </a:lnTo>
                                      <a:lnTo>
                                        <a:pt x="207010" y="353974"/>
                                      </a:lnTo>
                                      <a:lnTo>
                                        <a:pt x="210019" y="353885"/>
                                      </a:lnTo>
                                      <a:lnTo>
                                        <a:pt x="211213" y="352640"/>
                                      </a:lnTo>
                                      <a:close/>
                                    </a:path>
                                    <a:path w="393700" h="354330">
                                      <a:moveTo>
                                        <a:pt x="393166" y="207213"/>
                                      </a:moveTo>
                                      <a:lnTo>
                                        <a:pt x="392341" y="205714"/>
                                      </a:lnTo>
                                      <a:lnTo>
                                        <a:pt x="267030" y="170980"/>
                                      </a:lnTo>
                                      <a:lnTo>
                                        <a:pt x="265468" y="171818"/>
                                      </a:lnTo>
                                      <a:lnTo>
                                        <a:pt x="264756" y="174739"/>
                                      </a:lnTo>
                                      <a:lnTo>
                                        <a:pt x="265569" y="176237"/>
                                      </a:lnTo>
                                      <a:lnTo>
                                        <a:pt x="389432" y="210578"/>
                                      </a:lnTo>
                                      <a:lnTo>
                                        <a:pt x="390880" y="210972"/>
                                      </a:lnTo>
                                      <a:lnTo>
                                        <a:pt x="392341" y="210134"/>
                                      </a:lnTo>
                                      <a:lnTo>
                                        <a:pt x="393166" y="20721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24"/>
                                <pic:cNvPicPr/>
                              </pic:nvPicPr>
                              <pic:blipFill>
                                <a:blip r:embed="rId15" cstate="print"/>
                                <a:stretch>
                                  <a:fillRect/>
                                </a:stretch>
                              </pic:blipFill>
                              <pic:spPr>
                                <a:xfrm>
                                  <a:off x="853008" y="989457"/>
                                  <a:ext cx="149026" cy="65078"/>
                                </a:xfrm>
                                <a:prstGeom prst="rect">
                                  <a:avLst/>
                                </a:prstGeom>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47CC77" id="Group 2" o:spid="_x0000_s1026" style="position:absolute;margin-left:15.85pt;margin-top:25pt;width:121.75pt;height:76.35pt;z-index:251659264;mso-wrap-distance-left:0;mso-wrap-distance-right:0;mso-position-horizontal-relative:page;mso-height-relative:margin" coordsize="15462,10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">
                      <v:shape id="Graphic 20" o:spid="_x0000_s1027" style="position:absolute;width:12299;height:8629;visibility:visible;mso-wrap-style:square;v-text-anchor:top" coordsize="1229995,86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" path="m49974,167690r-8433,l41541,193916r-33109,l8432,167690r-8432,l,231495r8432,l8432,201434r33109,l41541,231495r8433,l49974,167690xem123583,206184r-89,-13259l122351,187642r-4953,-10109l114896,174828r,19647l114896,207873,99428,225374r-12573,l81673,223164r-8255,-8852l71348,208267r,-17285l73507,184099r8598,-8204l87249,173901r10160,l101193,174904r3378,2184l107950,179184r2565,2997l112268,186093r1752,3848l114896,194475r,-19647l114046,173901r-254,-280l104355,167982r-5308,-1371l84188,166611r-7341,3010l71183,175628r-3734,4877l64871,186093r-89,190l63182,192925r-521,7519l62687,206184r24447,26416l98666,232600r5156,-1308l113372,226034r623,-660l117068,222173r5220,-10210l123583,206184xem232638,277456r-406,l232232,276186r-4648,l227584,277456r-407,l227177,278726r,105410l227863,384136r,1270l231952,385406r,-1270l232638,384136r,-105410l232638,277456xem412699,382511r-1499,-2604l409524,379450r-91135,52680l317080,432892r-444,1663l318147,437159r1664,457l412254,384175r445,-1664xem412699,278790r-445,-1676l319811,223685r-1664,444l316636,226745r444,1664l408228,281089r1296,749l411200,281393r1499,-2603xem576262,468134r-89,-13233l575030,449580r-4966,-10072l567563,436791r,19634l567563,469823r-15469,17501l539534,487324r-5182,-2210l526084,476262r-2057,-6045l524027,452932r2159,-6858l534784,437870r5143,-2045l550087,435825r17476,20600l567563,436791r-877,-966l566470,435584r-9448,-5626l551726,428561r-14859,l515340,462394r26,5740l539800,494550r11532,l556488,493242r9563,-5258l566674,487324r3060,-3200l574967,473913r1295,-5779xem638759,728116r-407,l638352,726846r-4648,l633704,728116r-406,l633298,729386r,132080l633412,862736r5232,l638644,861466r115,-132080l638759,728116xem639521,278790r-445,-1676l546620,223685r-1663,444l543458,226745r444,1664l635038,281089r1308,762l638009,281393r1512,-2603xem662330,741730r-5461,l656869,743000r,105410l657542,848410r,1270l661657,849680r,-1270l662330,848410r,-105410l662330,741730xem803084,468134r-89,-13233l801839,449580r-4953,-10072l794245,436651r,33566l793064,473913r-813,2349l785025,484124r-953,990l778916,487324r-12573,l761161,485114r-8255,-8852l750849,470217r,-17285l752995,446074r8611,-8204l766737,435825r10160,l780681,436880r6744,4267l790016,444144r1727,3873l793508,451891r572,3010l794156,455269r89,14948l794245,436651r-749,-826l793280,435584r-9449,-5626l778535,428561r-14859,l756348,431546r-5677,5994l746937,442468r-2552,5549l744270,448246r-1587,6655l742149,462394r26,5740l766622,494550r11519,l801763,473913r1321,-5779xem855497,218478r-445,-1677l797928,183807r-1308,-826l794969,183438r-1524,2642l793902,187718r1295,826l852322,221538r1664,-457l855497,218478xem889558,30314r-1549,-2628l886383,27228,793889,80670r-444,1727l794956,84937r1664,457l887742,32778r1346,-825l889558,30314xem910653,232829r-8103,l902550,282892,869137,232829r-8662,l860475,296595r8090,l868565,246481r33452,50114l910653,296595r,-63766xem978954,80772r-623,l978331,79502r-4178,l974153,80772r-660,l973493,186182r,1270l973937,187452r,1270l978522,188722r,-1270l978954,187452r,-1270l978954,80772xem1206207,186093r-1549,-2642l1203020,182994r-91224,52718l1110526,236474r-445,1663l1111618,240741r1638,457l1205738,187731r469,-1638xem1206207,82397r-457,-1727l1113269,27228r-1638,458l1110081,30314r457,1639l1201661,84670r1346,724l1204658,84937r1549,-2540xem1229766,68745r-470,-1639l1229271,66433r-1143,l1223937,64020r,6211l1223937,198170r-110744,63983l1002512,198208r,-127901l1113155,6261r110782,63970l1223937,64020,1115174,1130r-381,-673l1113307,38,1113180,r-127,76l1111631,469r-381,648l999794,65557,888403,1143r-394,-686l886485,38r-216,38l884821,469r-393,661l772007,66116r-1321,l770686,66890r-368,204l769874,68732r381,673l770255,198208,659968,261950,548551,197561r-381,-686l546709,196494r-152,-38l546404,196494r-1447,381l544563,197561,433146,261950r-2705,-1562l430441,266687r,127914l319735,458597,209067,394627r,-127927l319747,202704r110694,63983l430441,260388,321741,197561r-381,-686l319900,196494r-153,-38l319595,196494r-1448,381l317741,197561,206336,261950,135432,220954r-1663,457l132257,224015r445,1664l203606,266674r,128791l203225,396125r444,1677l203720,398449r1067,l317766,463753r381,647l319557,464794r127,64l319811,464858r1537,-445l321729,463753,433146,399351r72529,41910l507352,440817r1511,-2617l508406,436537,435902,394627r,-127940l546569,202704r110668,63970l657237,381876r-368,635l657237,383895r,10732l648042,399948r-1460,381l646188,401015r-60236,34823l584644,436587r-444,1677l585711,440867r1664,458l648195,406158r77940,45047l727811,450761r1499,-2617l728865,446468,653656,403009r7379,-4268l662305,398741r,-723l662647,397814r445,-1676l662698,395465r,-8166l737920,430771r1677,-445l741095,427710r-444,-1664l662698,381000r,-114313l772985,202933r67551,39027l842200,241515r1511,-2616l843267,237236,775716,198208r,-127914l886358,6261,997038,70231r,128016l930109,236918r-1270,749l928382,239344r1461,2603l931570,242404r68250,-39458l1111224,267347r394,635l1113040,268389r127,63l1113294,268427r1524,-432l1115212,267309r112446,-64986l1228979,202323r,-749l1229296,201383r76,-330l1229741,199707r-343,-571l1229398,69380r368,-635xe" fillcolor="black" stroked="f">
                        <v:path arrowok="t"/>
                      </v:shape>
                      <v:shape id="Graphic 21" o:spid="_x0000_s1028" style="position:absolute;left:4292;top:2676;width:11170;height:6915;visibility:visible;mso-wrap-style:square;v-text-anchor:top" coordsize="11169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" path="m49974,364121r-8433,l41541,390309r-33109,l8432,364121r-8432,l,427888r8432,l8432,397827r33109,l41541,427888r8433,l49974,364121xem123583,402577r-89,-13259l122339,384009r-4953,-10071l114757,371106r,33541l113563,408343r-826,2349l105524,418553r-953,991l99415,421754r-12573,l81661,419544r-8255,-8852l71348,404647r,-17297l73494,380504r8611,-8204l87236,370255r10160,l114579,389318r76,381l114757,404647r,-33541l113982,370255r-203,-228l104330,364388r-5296,-1397l84175,362991,62649,396824r25,5753l87109,428980r11531,l103797,427685r9563,-5258l113995,421754r3060,-3201l122275,408343r1308,-5766xem233019,474052r-419,l232600,472782r-4635,l227965,474052r-407,l227558,475322r5461,l233019,474052xem413080,579120r-1499,-2604l409905,576059r-91135,52679l317461,629513r-444,1651l318528,633768r1664,457l412648,580796r432,-1676xem413080,475399r-457,-1664l320192,420293r-1664,458l317017,423354r444,1676l408597,477710r1308,749l411568,478002r1512,-2603xem576656,664756r-89,-13246l575360,646201r-4876,-10071l567791,633260r,33578l566610,670534r-813,2350l558609,680732r-940,991l552475,683933r-12560,l534733,681723r-4102,-4420l526453,672884r-2007,-6046l524446,649554r2108,-6858l530910,638594r4268,-4115l540270,632434r10186,l554278,633501r6719,4267l563549,640753r1740,3886l567105,648512r534,2998l567702,651878r89,14960l567791,633260r-762,-826l566826,632206r-9449,-5627l552094,625170r-14834,l515721,659003r26,5753l540181,691172r11557,l556831,689864r9639,-5258l567093,683933r3010,-3201l575360,670534r1296,-5778xem639927,475399r-457,-1664l547001,420293r-1638,458l543801,423367r457,1663l635381,477710r1358,762l638378,478002r1549,-2603xem797636,232791r-8116,l789520,282867,756069,232791r-8636,l747433,296557r8090,l755523,246456r33451,50101l797636,296557r,-63766xem803452,664756r-89,-13246l802170,646201r-4903,-10071l794575,633247r,33591l793419,670534r-800,2350l785431,680732r-952,991l779259,683933r-12548,l761530,681723r-4102,-4420l753262,672884r-2007,-6046l751255,649554r2083,-6858l757707,638594r4267,-4115l767080,632434r10160,l794423,651510r76,368l794575,666838r,-33591l793826,632434r-216,-228l784263,626579r-5372,-1409l764070,625170r-21552,33833l742556,664756r24422,26416l778535,691172r5182,-1308l788441,687222r4826,-2616l793902,683933r2997,-3201l802170,670534r1282,-5778xem889939,434746r-457,-1664l798271,380415r-1283,-762l795362,380111r-1549,2603l794270,384390r92482,53442l888390,437375r1549,-2629xem889939,226936r-1549,-2616l886764,223875r-57950,33439l828370,258991r1536,2616l831545,262051r56578,-32689l889469,228600r470,-1664xem979335,277355r-673,l978662,276085r-4077,l974585,277355r-711,l973874,382765r,1270l974280,384035r,1270l978954,385305r,-1270l979335,384035r,-1270l979335,277355xem1003350,30302r-1562,-2604l1000175,27241,907669,80670r-470,1676l908761,84950r1638,457l1001522,32727r1346,-762l1003350,30302xem1092733,80721r-673,l1092060,79451r-4064,l1087996,80721r-724,l1087272,186131r,1270l1087691,187401r,1270l1092352,188671r,-1270l1092733,187401r,-1270l1092733,80721xem1116736,199694r-356,-597l1116380,69303r343,-584l1116266,67056r,-661l1115123,66395r-4305,-2476l1110818,70256r,127965l1000175,262140,889482,198170r,-127901l1000163,6273r110655,63983l1110818,63919,1002195,1143r-407,-699l1000290,38r-178,l998601,444r-420,711l885748,66116r-1320,l884428,66890r-305,166l884021,67386r-355,1333l884008,69303r,128931l817092,236893r-457,1663l818083,241173r1727,444l886764,202907r110655,63970l997419,394855,886764,458787,776084,394843r,-81979l776084,311353r-1194,-1219l771906,310134r-1283,1219l770623,394855,660361,458584,548932,394182r-394,-686l547039,393077r-127,-38l546785,393115r-1422,381l544957,394169,433514,458584,322135,394195r-394,-699l320217,393090r-139,-51l319938,393115r-1422,381l318122,394169,206717,458584,135420,417347r-1664,457l132245,420420r444,1664l204749,463753r368,635l206514,464769r153,76l206794,464832r1536,-444l208711,463727,320116,399326r110693,63982l430809,591235,320116,655218,208076,590448r-1295,-749l205105,590143r-1499,2604l204050,594423r114110,65977l318528,661022r1410,406l320065,661492r127,l321729,661035r368,-635l433514,595960r72098,41656l507250,637159r1550,-2604l508342,632879,436283,591248r,-127965l546912,399313r110757,63995l657669,578383r-444,737l657669,580745r,10478l648436,596557r-1486,393l646557,597649r-59271,34239l586003,632650r-457,1664l587019,636917r1714,470l648601,602780r77915,45034l728154,647382r1537,-2616l729246,643077,654037,599630r7417,-4293l662724,595337r,-723l663041,594423r89,-356l663486,592747r-356,-597l663130,583933r75197,43434l739965,626922r1562,-2603l741057,622655,663130,577608r,-114351l773391,399567r111405,64376l885202,464604r1461,419l886790,465061r127,-38l888390,464616r394,-673l1001280,398932r1232,l1002512,398233r381,-228l1003325,396328r-432,-736l1002893,266903r111811,-64618l1115974,202285r,-724l1116291,201371r89,-356l1116736,199694xe" fillcolor="black" stroked="f">
                        <v:path arrowok="t"/>
                      </v:shape>
                      <v:shape id="Graphic 22" o:spid="_x0000_s1029" style="position:absolute;left:9340;top:4334;width:831;height:654;visibility:visible;mso-wrap-style:square;v-text-anchor:top" coordsize="8318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" path="m48831,14541l47713,10922r-38,-140l47548,10401,42633,3987,39636,1905,35560,850r,16612l35560,21666r-458,1663l34099,24752r-914,1410l31826,27216r-3455,1333l25006,28879r-12091,l12915,10782r10821,l35560,17462r,-16612l33553,317,28448,,,,,63766r12915,l12915,39712r14186,l48831,23533r,-8992xem82575,62979l81572,53492r-2197,787l77736,54673r-1092,l74561,54063,73469,52514r-178,-622l73202,49695r,-22390l81572,27305r,-9741l73202,17564r,-16320l61023,8382r,9182l55384,17564r,9741l61023,27305r,20142l61112,54635r9627,10173l76568,64808r3175,-610l82575,62979xe" fillcolor="blue" stroked="f">
                        <v:path arrowok="t"/>
                      </v:shape>
                      <v:shape id="Graphic 23" o:spid="_x0000_s1030" style="position:absolute;left:7678;top:3126;width:3937;height:3543;visibility:visible;mso-wrap-style:square;v-text-anchor:top" coordsize="39370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" path="m56324,254127r-8433,-2147l46736,257352r-2223,4052l37973,266865r-4001,1359l25374,268224,8699,247370r,-9639l25006,216712r9169,l37693,217766r5639,4242l45466,225386r1485,4636l55245,228066r-1715,-5893l50520,217614r-8712,-6502l36461,209499r-12001,l,235343r,12738l23088,275450r13488,l42214,273608r9157,-7264l54559,261061r1765,-6934xem74561,210578r-7823,l66738,274358r7823,l74561,210578xem154457,190868r-1638,-2540l151180,187947,92786,225437r-369,1702l94056,229666r1689,369l152819,193370r1270,-826l154457,190868xem185826,104368l141897,660,140258,r-2806,1193l136804,2794r43383,102323l180822,106502r1550,647l185191,105968r635,-1600xem211213,352640l207657,201498r-1194,-1181l203466,200380r-1257,1245l205651,351256r89,1511l207010,353974r3009,-89l211213,352640xem393166,207213r-825,-1499l267030,170980r-1562,838l264756,174739r813,1498l389432,210578r1448,394l392341,210134r825,-292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1" type="#_x0000_t75" style="position:absolute;left:8530;top:9894;width:14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">
                        <v:imagedata r:id="rId16" o:title=""/>
                      </v:shape>
                      <w10:wrap anchorx="page"/>
                    </v:group>
                  </w:pict>
                </mc:Fallback>
              </mc:AlternateContent>
            </w: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2019[71]</w:t>
            </w:r>
          </w:p>
          <w:p w14:paraId="77EFDE5D" w14:textId="77777777" w:rsidR="00FF4DAD" w:rsidRPr="00E21ABE" w:rsidRDefault="00FF4DAD" w:rsidP="007E1794">
            <w:pPr>
              <w:spacing w:line="360" w:lineRule="auto"/>
              <w:rPr>
                <w:rFonts w:ascii="Times New Roman" w:hAnsi="Times New Roman" w:cs="Times New Roman"/>
                <w:sz w:val="18"/>
                <w:szCs w:val="18"/>
              </w:rPr>
            </w:pPr>
          </w:p>
        </w:tc>
        <w:tc>
          <w:tcPr>
            <w:tcW w:w="1666" w:type="dxa"/>
            <w:tcBorders>
              <w:top w:val="single" w:sz="4" w:space="0" w:color="auto"/>
              <w:left w:val="single" w:sz="4" w:space="0" w:color="auto"/>
              <w:bottom w:val="single" w:sz="4" w:space="0" w:color="auto"/>
            </w:tcBorders>
          </w:tcPr>
          <w:p w14:paraId="48327E3C" w14:textId="0DCC86A8"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Organoplatinum</w:t>
            </w:r>
            <w:r w:rsidR="00815DC3">
              <w:rPr>
                <w:rFonts w:ascii="Times New Roman" w:hAnsi="Times New Roman" w:cs="Times New Roman"/>
                <w:sz w:val="18"/>
                <w:szCs w:val="18"/>
              </w:rPr>
              <w:t xml:space="preserve"> </w:t>
            </w:r>
            <w:r w:rsidRPr="00E21ABE">
              <w:rPr>
                <w:rFonts w:ascii="Times New Roman" w:hAnsi="Times New Roman" w:cs="Times New Roman"/>
                <w:sz w:val="18"/>
                <w:szCs w:val="18"/>
              </w:rPr>
              <w:t>(II) compounds demonstrated apoptosis in A549/DDP and HeLa cells</w:t>
            </w:r>
          </w:p>
          <w:p w14:paraId="5421A5BA"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29DFB9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xenograft in mice at 2.0 mg/kg per 2 days.</w:t>
            </w:r>
          </w:p>
        </w:tc>
        <w:tc>
          <w:tcPr>
            <w:tcW w:w="2880" w:type="dxa"/>
            <w:tcBorders>
              <w:top w:val="single" w:sz="4" w:space="0" w:color="auto"/>
              <w:left w:val="single" w:sz="4" w:space="0" w:color="auto"/>
              <w:bottom w:val="single" w:sz="4" w:space="0" w:color="auto"/>
            </w:tcBorders>
          </w:tcPr>
          <w:p w14:paraId="06EC550D"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Apoptosis induction via mitochondrial dependent pathway.</w:t>
            </w:r>
          </w:p>
        </w:tc>
      </w:tr>
      <w:tr w:rsidR="00FF4DAD" w:rsidRPr="00E21ABE" w14:paraId="2E277150" w14:textId="77777777" w:rsidTr="00FF4DAD">
        <w:trPr>
          <w:trHeight w:val="2003"/>
        </w:trPr>
        <w:tc>
          <w:tcPr>
            <w:tcW w:w="3524" w:type="dxa"/>
            <w:tcBorders>
              <w:top w:val="single" w:sz="4" w:space="0" w:color="auto"/>
              <w:bottom w:val="single" w:sz="4" w:space="0" w:color="auto"/>
              <w:right w:val="single" w:sz="4" w:space="0" w:color="auto"/>
            </w:tcBorders>
          </w:tcPr>
          <w:p w14:paraId="6FED719F" w14:textId="77777777" w:rsidR="00FF4DAD" w:rsidRPr="00E21ABE" w:rsidRDefault="00FF4DAD" w:rsidP="007E1794">
            <w:pPr>
              <w:spacing w:line="360" w:lineRule="auto"/>
              <w:rPr>
                <w:rFonts w:ascii="Times New Roman" w:hAnsi="Times New Roman" w:cs="Times New Roman"/>
                <w:noProof/>
                <w:sz w:val="18"/>
                <w:szCs w:val="18"/>
              </w:rPr>
            </w:pPr>
          </w:p>
          <w:p w14:paraId="032CD2CE"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noProof/>
                <w:sz w:val="18"/>
                <w:szCs w:val="18"/>
              </w:rPr>
              <w:drawing>
                <wp:inline distT="0" distB="0" distL="0" distR="0" wp14:anchorId="32EE8F75" wp14:editId="05025473">
                  <wp:extent cx="891186" cy="731520"/>
                  <wp:effectExtent l="0" t="0" r="4445"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894613" cy="734333"/>
                          </a:xfrm>
                          <a:prstGeom prst="rect">
                            <a:avLst/>
                          </a:prstGeom>
                        </pic:spPr>
                      </pic:pic>
                    </a:graphicData>
                  </a:graphic>
                </wp:inline>
              </w:drawing>
            </w:r>
            <w:r w:rsidRPr="00E21ABE">
              <w:rPr>
                <w:rFonts w:ascii="Times New Roman" w:hAnsi="Times New Roman" w:cs="Times New Roman"/>
                <w:sz w:val="18"/>
                <w:szCs w:val="18"/>
              </w:rPr>
              <w:t xml:space="preserve">  Ruiz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2019[72]</w:t>
            </w:r>
          </w:p>
        </w:tc>
        <w:tc>
          <w:tcPr>
            <w:tcW w:w="1666" w:type="dxa"/>
            <w:tcBorders>
              <w:top w:val="single" w:sz="4" w:space="0" w:color="auto"/>
              <w:left w:val="single" w:sz="4" w:space="0" w:color="auto"/>
              <w:bottom w:val="single" w:sz="4" w:space="0" w:color="auto"/>
            </w:tcBorders>
          </w:tcPr>
          <w:p w14:paraId="699FEDFE"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Quinoline-platinum complexes exhibited cytotoxic death in cisplatin resistant human osteosarcoma cell MG- 63.</w:t>
            </w:r>
          </w:p>
        </w:tc>
        <w:tc>
          <w:tcPr>
            <w:tcW w:w="1471" w:type="dxa"/>
            <w:tcBorders>
              <w:top w:val="single" w:sz="4" w:space="0" w:color="auto"/>
              <w:left w:val="single" w:sz="4" w:space="0" w:color="auto"/>
              <w:bottom w:val="single" w:sz="4" w:space="0" w:color="auto"/>
            </w:tcBorders>
          </w:tcPr>
          <w:p w14:paraId="377A1C37"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human osteosarcoma xenografted tumor in mice.</w:t>
            </w:r>
          </w:p>
        </w:tc>
        <w:tc>
          <w:tcPr>
            <w:tcW w:w="2880" w:type="dxa"/>
            <w:tcBorders>
              <w:top w:val="single" w:sz="4" w:space="0" w:color="auto"/>
              <w:left w:val="single" w:sz="4" w:space="0" w:color="auto"/>
              <w:bottom w:val="single" w:sz="4" w:space="0" w:color="auto"/>
            </w:tcBorders>
          </w:tcPr>
          <w:p w14:paraId="62994CE2"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Induced production of ROS and apoptosis induction.</w:t>
            </w:r>
          </w:p>
        </w:tc>
      </w:tr>
      <w:tr w:rsidR="00FF4DAD" w:rsidRPr="00E21ABE" w14:paraId="33130CB5" w14:textId="77777777" w:rsidTr="00FF4DAD">
        <w:trPr>
          <w:trHeight w:val="3024"/>
        </w:trPr>
        <w:tc>
          <w:tcPr>
            <w:tcW w:w="3524" w:type="dxa"/>
            <w:tcBorders>
              <w:top w:val="single" w:sz="4" w:space="0" w:color="auto"/>
              <w:bottom w:val="single" w:sz="4" w:space="0" w:color="auto"/>
              <w:right w:val="single" w:sz="4" w:space="0" w:color="auto"/>
            </w:tcBorders>
          </w:tcPr>
          <w:p w14:paraId="3A32E387"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mc:AlternateContent>
                <mc:Choice Requires="wpg">
                  <w:drawing>
                    <wp:anchor distT="0" distB="0" distL="0" distR="0" simplePos="0" relativeHeight="251660288" behindDoc="0" locked="0" layoutInCell="1" allowOverlap="1" wp14:anchorId="456E6431" wp14:editId="37069048">
                      <wp:simplePos x="0" y="0"/>
                      <wp:positionH relativeFrom="page">
                        <wp:posOffset>127525</wp:posOffset>
                      </wp:positionH>
                      <wp:positionV relativeFrom="paragraph">
                        <wp:posOffset>94821</wp:posOffset>
                      </wp:positionV>
                      <wp:extent cx="1767205" cy="1294559"/>
                      <wp:effectExtent l="0" t="0" r="4445" b="12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205" cy="1294559"/>
                                <a:chOff x="326004" y="323291"/>
                                <a:chExt cx="1767352" cy="1192773"/>
                              </a:xfrm>
                            </wpg:grpSpPr>
                            <pic:pic xmlns:pic="http://schemas.openxmlformats.org/drawingml/2006/picture">
                              <pic:nvPicPr>
                                <pic:cNvPr id="30" name="Image 30"/>
                                <pic:cNvPicPr/>
                              </pic:nvPicPr>
                              <pic:blipFill>
                                <a:blip r:embed="rId18" cstate="print"/>
                                <a:stretch>
                                  <a:fillRect/>
                                </a:stretch>
                              </pic:blipFill>
                              <pic:spPr>
                                <a:xfrm>
                                  <a:off x="326004" y="572494"/>
                                  <a:ext cx="1767352" cy="943570"/>
                                </a:xfrm>
                                <a:prstGeom prst="rect">
                                  <a:avLst/>
                                </a:prstGeom>
                              </pic:spPr>
                            </pic:pic>
                            <wps:wsp>
                              <wps:cNvPr id="31" name="Graphic 31"/>
                              <wps:cNvSpPr/>
                              <wps:spPr>
                                <a:xfrm>
                                  <a:off x="1725853" y="323291"/>
                                  <a:ext cx="6350" cy="49530"/>
                                </a:xfrm>
                                <a:custGeom>
                                  <a:avLst/>
                                  <a:gdLst/>
                                  <a:ahLst/>
                                  <a:cxnLst/>
                                  <a:rect l="l" t="t" r="r" b="b"/>
                                  <a:pathLst>
                                    <a:path w="6350" h="49530">
                                      <a:moveTo>
                                        <a:pt x="6095" y="0"/>
                                      </a:moveTo>
                                      <a:lnTo>
                                        <a:pt x="0" y="0"/>
                                      </a:lnTo>
                                      <a:lnTo>
                                        <a:pt x="0" y="49453"/>
                                      </a:lnTo>
                                      <a:lnTo>
                                        <a:pt x="6095" y="49453"/>
                                      </a:lnTo>
                                      <a:lnTo>
                                        <a:pt x="6095"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90DF24E" id="Group 29" o:spid="_x0000_s1026" style="position:absolute;margin-left:10.05pt;margin-top:7.45pt;width:139.15pt;height:101.95pt;z-index:251660288;mso-wrap-distance-left:0;mso-wrap-distance-right:0;mso-position-horizontal-relative:page;mso-height-relative:margin" coordorigin="3260,3232" coordsize="17673,11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">
                      <v:shape id="Image 30" o:spid="_x0000_s1027" type="#_x0000_t75" style="position:absolute;left:3260;top:5724;width:17673;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">
                        <v:imagedata r:id="rId19" o:title=""/>
                      </v:shape>
                      <v:shape id="Graphic 31" o:spid="_x0000_s1028" style="position:absolute;left:17258;top:3232;width:64;height:496;visibility:visible;mso-wrap-style:square;v-text-anchor:top" coordsize="635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" path="m6095,l,,,49453r6095,l6095,xe" fillcolor="black" stroked="f">
                        <v:path arrowok="t"/>
                      </v:shape>
                      <w10:wrap anchorx="page"/>
                    </v:group>
                  </w:pict>
                </mc:Fallback>
              </mc:AlternateContent>
            </w:r>
          </w:p>
          <w:p w14:paraId="4D4F873C" w14:textId="77777777" w:rsidR="00FF4DAD" w:rsidRPr="00E21ABE" w:rsidRDefault="00FF4DAD" w:rsidP="007E1794">
            <w:pPr>
              <w:spacing w:line="360" w:lineRule="auto"/>
              <w:rPr>
                <w:rFonts w:ascii="Times New Roman" w:hAnsi="Times New Roman" w:cs="Times New Roman"/>
                <w:noProof/>
                <w:sz w:val="18"/>
                <w:szCs w:val="18"/>
              </w:rPr>
            </w:pPr>
          </w:p>
          <w:p w14:paraId="7F03F6CA" w14:textId="77777777" w:rsidR="00FF4DAD" w:rsidRPr="00E21ABE" w:rsidRDefault="00FF4DAD" w:rsidP="007E1794">
            <w:pPr>
              <w:spacing w:line="360" w:lineRule="auto"/>
              <w:rPr>
                <w:rFonts w:ascii="Times New Roman" w:hAnsi="Times New Roman" w:cs="Times New Roman"/>
                <w:noProof/>
                <w:sz w:val="18"/>
                <w:szCs w:val="18"/>
              </w:rPr>
            </w:pPr>
          </w:p>
          <w:p w14:paraId="561F9619" w14:textId="77777777" w:rsidR="00FF4DAD" w:rsidRPr="00E21ABE" w:rsidRDefault="00FF4DAD" w:rsidP="007E1794">
            <w:pPr>
              <w:spacing w:line="360" w:lineRule="auto"/>
              <w:rPr>
                <w:rFonts w:ascii="Times New Roman" w:hAnsi="Times New Roman" w:cs="Times New Roman"/>
                <w:noProof/>
                <w:sz w:val="18"/>
                <w:szCs w:val="18"/>
              </w:rPr>
            </w:pPr>
          </w:p>
          <w:p w14:paraId="14CE1A85" w14:textId="77777777" w:rsidR="00FF4DAD" w:rsidRPr="00E21ABE" w:rsidRDefault="00FF4DAD" w:rsidP="007E1794">
            <w:pPr>
              <w:spacing w:line="360" w:lineRule="auto"/>
              <w:rPr>
                <w:rFonts w:ascii="Times New Roman" w:hAnsi="Times New Roman" w:cs="Times New Roman"/>
                <w:noProof/>
                <w:sz w:val="18"/>
                <w:szCs w:val="18"/>
              </w:rPr>
            </w:pPr>
          </w:p>
          <w:p w14:paraId="41DC2733"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Qin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xml:space="preserve">. 2019[74] </w:t>
            </w:r>
          </w:p>
        </w:tc>
        <w:tc>
          <w:tcPr>
            <w:tcW w:w="1666" w:type="dxa"/>
            <w:tcBorders>
              <w:top w:val="single" w:sz="4" w:space="0" w:color="auto"/>
              <w:left w:val="single" w:sz="4" w:space="0" w:color="auto"/>
              <w:bottom w:val="single" w:sz="4" w:space="0" w:color="auto"/>
            </w:tcBorders>
          </w:tcPr>
          <w:p w14:paraId="35D8A2EC"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 xml:space="preserve">The jatrorrhizine </w:t>
            </w:r>
            <w:proofErr w:type="gramStart"/>
            <w:r w:rsidRPr="00E21ABE">
              <w:rPr>
                <w:rFonts w:ascii="Times New Roman" w:hAnsi="Times New Roman" w:cs="Times New Roman"/>
                <w:sz w:val="18"/>
                <w:szCs w:val="18"/>
              </w:rPr>
              <w:t>Pt(</w:t>
            </w:r>
            <w:proofErr w:type="gramEnd"/>
            <w:r w:rsidRPr="00E21ABE">
              <w:rPr>
                <w:rFonts w:ascii="Times New Roman" w:hAnsi="Times New Roman" w:cs="Times New Roman"/>
                <w:sz w:val="18"/>
                <w:szCs w:val="18"/>
              </w:rPr>
              <w:t>II) complex Pt-4 revealed better selectivity for HeLa cells.</w:t>
            </w:r>
          </w:p>
          <w:p w14:paraId="52EF17F1" w14:textId="77777777" w:rsidR="00FF4DAD" w:rsidRPr="00E21ABE" w:rsidRDefault="00FF4DAD" w:rsidP="007E1794">
            <w:pPr>
              <w:spacing w:line="360" w:lineRule="auto"/>
              <w:ind w:left="30"/>
              <w:rPr>
                <w:rFonts w:ascii="Times New Roman" w:hAnsi="Times New Roman" w:cs="Times New Roman"/>
                <w:sz w:val="18"/>
                <w:szCs w:val="18"/>
              </w:rPr>
            </w:pPr>
          </w:p>
        </w:tc>
        <w:tc>
          <w:tcPr>
            <w:tcW w:w="1471" w:type="dxa"/>
            <w:tcBorders>
              <w:top w:val="single" w:sz="4" w:space="0" w:color="auto"/>
              <w:left w:val="single" w:sz="4" w:space="0" w:color="auto"/>
              <w:bottom w:val="single" w:sz="4" w:space="0" w:color="auto"/>
            </w:tcBorders>
          </w:tcPr>
          <w:p w14:paraId="39765B15"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Inhibited the growth of HeLa tumor- xenograft in male nude mice (pathogen- free BALB/C) more efficiently than cisplatin.</w:t>
            </w:r>
          </w:p>
        </w:tc>
        <w:tc>
          <w:tcPr>
            <w:tcW w:w="2880" w:type="dxa"/>
            <w:tcBorders>
              <w:top w:val="single" w:sz="4" w:space="0" w:color="auto"/>
              <w:left w:val="single" w:sz="4" w:space="0" w:color="auto"/>
              <w:bottom w:val="single" w:sz="4" w:space="0" w:color="auto"/>
            </w:tcBorders>
          </w:tcPr>
          <w:p w14:paraId="0C910900"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Pt-4 induced apoptosis included inhibition of telomerase, mitochondrial disruption, damage of DNA and arrests cell cycle in G1phase.</w:t>
            </w:r>
          </w:p>
        </w:tc>
      </w:tr>
      <w:tr w:rsidR="00FF4DAD" w:rsidRPr="00E21ABE" w14:paraId="5D556E05" w14:textId="77777777" w:rsidTr="00FF4DAD">
        <w:trPr>
          <w:trHeight w:val="2401"/>
        </w:trPr>
        <w:tc>
          <w:tcPr>
            <w:tcW w:w="3524" w:type="dxa"/>
            <w:tcBorders>
              <w:top w:val="single" w:sz="4" w:space="0" w:color="auto"/>
              <w:bottom w:val="single" w:sz="4" w:space="0" w:color="auto"/>
              <w:right w:val="single" w:sz="4" w:space="0" w:color="auto"/>
            </w:tcBorders>
          </w:tcPr>
          <w:p w14:paraId="7CDB4F12" w14:textId="77777777" w:rsidR="00FF4DAD" w:rsidRPr="00E21ABE" w:rsidRDefault="00FF4DAD" w:rsidP="007E1794">
            <w:pPr>
              <w:spacing w:line="360" w:lineRule="auto"/>
              <w:rPr>
                <w:rFonts w:ascii="Times New Roman" w:hAnsi="Times New Roman" w:cs="Times New Roman"/>
                <w:noProof/>
                <w:sz w:val="18"/>
                <w:szCs w:val="18"/>
              </w:rPr>
            </w:pPr>
          </w:p>
          <w:p w14:paraId="0475652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drawing>
                <wp:inline distT="0" distB="0" distL="0" distR="0" wp14:anchorId="11D9E3E4" wp14:editId="6F084B1C">
                  <wp:extent cx="1675823" cy="1585912"/>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0" cstate="print"/>
                          <a:stretch>
                            <a:fillRect/>
                          </a:stretch>
                        </pic:blipFill>
                        <pic:spPr>
                          <a:xfrm>
                            <a:off x="0" y="0"/>
                            <a:ext cx="1675823" cy="1585912"/>
                          </a:xfrm>
                          <a:prstGeom prst="rect">
                            <a:avLst/>
                          </a:prstGeom>
                        </pic:spPr>
                      </pic:pic>
                    </a:graphicData>
                  </a:graphic>
                </wp:inline>
              </w:drawing>
            </w:r>
          </w:p>
          <w:p w14:paraId="26B5FCCF"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Zhang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2023[96]</w:t>
            </w:r>
          </w:p>
        </w:tc>
        <w:tc>
          <w:tcPr>
            <w:tcW w:w="1666" w:type="dxa"/>
            <w:tcBorders>
              <w:top w:val="single" w:sz="4" w:space="0" w:color="auto"/>
              <w:left w:val="single" w:sz="4" w:space="0" w:color="auto"/>
              <w:bottom w:val="single" w:sz="4" w:space="0" w:color="auto"/>
            </w:tcBorders>
          </w:tcPr>
          <w:p w14:paraId="2EB045CD"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The HSA-Pt-28 displayed the best anti- cancer activities against SK-N-MC, HCT116, and Ketr-3 with the IC50 values of 0.58, 1.38, and 1.52 μM respectively, but exhibited low cytotoxic activity against normal cells (WI-38) IC50 43.17 μM.</w:t>
            </w:r>
          </w:p>
        </w:tc>
        <w:tc>
          <w:tcPr>
            <w:tcW w:w="1471" w:type="dxa"/>
            <w:tcBorders>
              <w:top w:val="single" w:sz="4" w:space="0" w:color="auto"/>
              <w:left w:val="single" w:sz="4" w:space="0" w:color="auto"/>
              <w:bottom w:val="single" w:sz="4" w:space="0" w:color="auto"/>
            </w:tcBorders>
          </w:tcPr>
          <w:p w14:paraId="3B729095"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Administration of HSA-Pt-28 in a tumor model of SK-N-MC xenograft displayed a 1.3 times higher inhibition rate in vivo than the Pt-28.</w:t>
            </w:r>
          </w:p>
        </w:tc>
        <w:tc>
          <w:tcPr>
            <w:tcW w:w="2880" w:type="dxa"/>
            <w:tcBorders>
              <w:top w:val="single" w:sz="4" w:space="0" w:color="auto"/>
              <w:left w:val="single" w:sz="4" w:space="0" w:color="auto"/>
              <w:bottom w:val="single" w:sz="4" w:space="0" w:color="auto"/>
            </w:tcBorders>
          </w:tcPr>
          <w:p w14:paraId="35216611" w14:textId="77777777" w:rsidR="00FF4DAD" w:rsidRPr="00E21ABE" w:rsidRDefault="00FF4DAD" w:rsidP="007E1794">
            <w:pPr>
              <w:spacing w:line="360" w:lineRule="auto"/>
              <w:ind w:left="30"/>
              <w:rPr>
                <w:rFonts w:ascii="Times New Roman" w:hAnsi="Times New Roman" w:cs="Times New Roman"/>
                <w:sz w:val="18"/>
                <w:szCs w:val="18"/>
              </w:rPr>
            </w:pPr>
            <w:r w:rsidRPr="00E21ABE">
              <w:rPr>
                <w:rFonts w:ascii="Times New Roman" w:hAnsi="Times New Roman" w:cs="Times New Roman"/>
                <w:sz w:val="18"/>
                <w:szCs w:val="18"/>
              </w:rPr>
              <w:t>Apoptosis induction through the activation of the ROS-facilitated mitochondrial apoptotic path, prevented tumor angiogenesis in the TME by blocking the HIF-1α/VEGF signaling pathway.</w:t>
            </w:r>
          </w:p>
        </w:tc>
      </w:tr>
    </w:tbl>
    <w:p w14:paraId="58C2A188"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D00362F" w14:textId="77777777" w:rsidR="00FF4DAD" w:rsidRPr="009B6FF4" w:rsidRDefault="00FF4DAD" w:rsidP="00D84361">
      <w:pPr>
        <w:spacing w:after="0"/>
        <w:jc w:val="both"/>
        <w:rPr>
          <w:rFonts w:ascii="Times New Roman" w:hAnsi="Times New Roman" w:cs="Times New Roman"/>
          <w:sz w:val="20"/>
          <w:szCs w:val="20"/>
        </w:rPr>
      </w:pPr>
    </w:p>
    <w:p w14:paraId="7026DE85" w14:textId="77777777" w:rsidR="004819AC" w:rsidRPr="0076398E" w:rsidRDefault="009B6FF4" w:rsidP="00D84361">
      <w:pPr>
        <w:spacing w:after="0"/>
        <w:jc w:val="both"/>
        <w:rPr>
          <w:rFonts w:ascii="Times New Roman" w:hAnsi="Times New Roman" w:cs="Times New Roman"/>
          <w:sz w:val="20"/>
          <w:szCs w:val="20"/>
        </w:rPr>
      </w:pPr>
      <w:r w:rsidRPr="009B6FF4">
        <w:rPr>
          <w:rFonts w:ascii="Times New Roman" w:hAnsi="Times New Roman" w:cs="Times New Roman"/>
          <w:sz w:val="20"/>
          <w:szCs w:val="20"/>
        </w:rPr>
        <w:t xml:space="preserve">Collectively, these advances illustrate a strategic evolution in platinum drug design: from purely DNA-damaging agents to multifunctional therapeutics capable of targeting mitochondria, modulating redox homeostasis, inhibiting angiogenesis, and overcoming resistance. Critically, the inclusion of rigorous </w:t>
      </w:r>
      <w:r w:rsidRPr="009B6FF4">
        <w:rPr>
          <w:rFonts w:ascii="Times New Roman" w:hAnsi="Times New Roman" w:cs="Times New Roman"/>
          <w:i/>
          <w:iCs/>
          <w:sz w:val="20"/>
          <w:szCs w:val="20"/>
        </w:rPr>
        <w:t>in vivo</w:t>
      </w:r>
      <w:r w:rsidRPr="009B6FF4">
        <w:rPr>
          <w:rFonts w:ascii="Times New Roman" w:hAnsi="Times New Roman" w:cs="Times New Roman"/>
          <w:sz w:val="20"/>
          <w:szCs w:val="20"/>
        </w:rPr>
        <w:t xml:space="preserve"> validation—spanning xenograft models, toxicity profiling, and mechanistic corroboration—ensures translational relevance. As the field progresses, the integration of biomolecule conjugation, natural product pharmacophores, and tumor-microenvironment-responsive design will likely yield platinum complexes with enhanced therapeutic windows and broader clinical applicability.</w:t>
      </w:r>
    </w:p>
    <w:p w14:paraId="380FAF84" w14:textId="77777777" w:rsidR="004819AC" w:rsidRPr="0076398E" w:rsidRDefault="004819AC" w:rsidP="00D84361">
      <w:pPr>
        <w:spacing w:after="0"/>
        <w:jc w:val="both"/>
        <w:rPr>
          <w:rFonts w:ascii="Times New Roman" w:hAnsi="Times New Roman" w:cs="Times New Roman"/>
          <w:sz w:val="20"/>
          <w:szCs w:val="20"/>
        </w:rPr>
      </w:pPr>
    </w:p>
    <w:p w14:paraId="19E99669" w14:textId="57F7DA22"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Ruthenium Complexes: The Leading Non-Platinum Alternative</w:t>
      </w:r>
    </w:p>
    <w:p w14:paraId="313BFDA8"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Ruthenium-based metallodrugs have emerged as the most advanced non-platinum candidates in anticancer drug development, distinguished by their unique biochemical behavior, favorable toxicity profiles, and demonstrated efficacy in preclinical and early clinical trials [40,41,45]. Their therapeutic promise stems largely from three interrelated properties: (i) </w:t>
      </w:r>
      <w:r w:rsidRPr="004819AC">
        <w:rPr>
          <w:rFonts w:ascii="Times New Roman" w:hAnsi="Times New Roman" w:cs="Times New Roman"/>
          <w:i/>
          <w:iCs/>
          <w:sz w:val="20"/>
          <w:szCs w:val="20"/>
        </w:rPr>
        <w:t>activation-by-reduction</w:t>
      </w:r>
      <w:r w:rsidRPr="004819AC">
        <w:rPr>
          <w:rFonts w:ascii="Times New Roman" w:hAnsi="Times New Roman" w:cs="Times New Roman"/>
          <w:sz w:val="20"/>
          <w:szCs w:val="20"/>
        </w:rPr>
        <w:t xml:space="preserve"> in the hypoxic tumor microenvironment, (ii) </w:t>
      </w:r>
      <w:r w:rsidRPr="004819AC">
        <w:rPr>
          <w:rFonts w:ascii="Times New Roman" w:hAnsi="Times New Roman" w:cs="Times New Roman"/>
          <w:i/>
          <w:iCs/>
          <w:sz w:val="20"/>
          <w:szCs w:val="20"/>
        </w:rPr>
        <w:t>mimicry of iron</w:t>
      </w:r>
      <w:r w:rsidRPr="004819AC">
        <w:rPr>
          <w:rFonts w:ascii="Times New Roman" w:hAnsi="Times New Roman" w:cs="Times New Roman"/>
          <w:sz w:val="20"/>
          <w:szCs w:val="20"/>
        </w:rPr>
        <w:t xml:space="preserve"> to hijack endogenous metal transport systems, and (iii) </w:t>
      </w:r>
      <w:r w:rsidRPr="004819AC">
        <w:rPr>
          <w:rFonts w:ascii="Times New Roman" w:hAnsi="Times New Roman" w:cs="Times New Roman"/>
          <w:i/>
          <w:iCs/>
          <w:sz w:val="20"/>
          <w:szCs w:val="20"/>
        </w:rPr>
        <w:t>reduced systemic toxicity</w:t>
      </w:r>
      <w:r w:rsidRPr="004819AC">
        <w:rPr>
          <w:rFonts w:ascii="Times New Roman" w:hAnsi="Times New Roman" w:cs="Times New Roman"/>
          <w:sz w:val="20"/>
          <w:szCs w:val="20"/>
        </w:rPr>
        <w:t xml:space="preserve"> compared to platinum agents—collectively enabling selective tumor accumulation and reduced off-target damage [40,46,117].</w:t>
      </w:r>
    </w:p>
    <w:p w14:paraId="4FCE0651"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Under physiological conditions, ruthenium exists predominantly in two oxidation states: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 (d⁵, paramagnetic) and Ru(II) (d⁶, diamagnetic).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 complexes function as </w:t>
      </w:r>
      <w:r w:rsidRPr="004819AC">
        <w:rPr>
          <w:rFonts w:ascii="Times New Roman" w:hAnsi="Times New Roman" w:cs="Times New Roman"/>
          <w:i/>
          <w:iCs/>
          <w:sz w:val="20"/>
          <w:szCs w:val="20"/>
        </w:rPr>
        <w:t>prodrugs</w:t>
      </w:r>
      <w:r w:rsidRPr="004819AC">
        <w:rPr>
          <w:rFonts w:ascii="Times New Roman" w:hAnsi="Times New Roman" w:cs="Times New Roman"/>
          <w:sz w:val="20"/>
          <w:szCs w:val="20"/>
        </w:rPr>
        <w:t xml:space="preserve">, remaining relatively inert in the normoxic bloodstream but undergoing reductive activation to more reactive Ru(II) species in the hypoxic and reducing milieu of solid tumors [40,46]. This redox-selective activation confers tumor specificity and minimizes collateral damage to healthy tissues. Furthermore, due to its similar ionic radius and charge density to </w:t>
      </w:r>
      <w:proofErr w:type="gramStart"/>
      <w:r w:rsidRPr="004819AC">
        <w:rPr>
          <w:rFonts w:ascii="Times New Roman" w:hAnsi="Times New Roman" w:cs="Times New Roman"/>
          <w:sz w:val="20"/>
          <w:szCs w:val="20"/>
        </w:rPr>
        <w:t>Fe(</w:t>
      </w:r>
      <w:proofErr w:type="gramEnd"/>
      <w:r w:rsidRPr="004819AC">
        <w:rPr>
          <w:rFonts w:ascii="Times New Roman" w:hAnsi="Times New Roman" w:cs="Times New Roman"/>
          <w:sz w:val="20"/>
          <w:szCs w:val="20"/>
        </w:rPr>
        <w:t>III), Ru(III) can exploit transferrin- and ferritin-mediated uptake pathways, facilitating preferential accumulation in malignant cells that exhibit elevated iron demand [40,117]. These attributes underpin the significantly lower nephro-, neuro-, and myelotoxicity observed with ruthenium agents compared to cisplatin [41,45].</w:t>
      </w:r>
    </w:p>
    <w:p w14:paraId="64B04F78" w14:textId="020CFD22" w:rsid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Three ruthenium complexes have progressed to human trials, underscoring their translational viability</w:t>
      </w:r>
      <w:r w:rsidR="00FF4DAD">
        <w:rPr>
          <w:rFonts w:ascii="Times New Roman" w:hAnsi="Times New Roman" w:cs="Times New Roman"/>
          <w:sz w:val="20"/>
          <w:szCs w:val="20"/>
        </w:rPr>
        <w:t xml:space="preserve"> (Figure 2)</w:t>
      </w:r>
      <w:r w:rsidRPr="004819AC">
        <w:rPr>
          <w:rFonts w:ascii="Times New Roman" w:hAnsi="Times New Roman" w:cs="Times New Roman"/>
          <w:sz w:val="20"/>
          <w:szCs w:val="20"/>
        </w:rPr>
        <w:t>. NAMI-A ([ImH][</w:t>
      </w:r>
      <w:r w:rsidRPr="004819AC">
        <w:rPr>
          <w:rFonts w:ascii="Times New Roman" w:hAnsi="Times New Roman" w:cs="Times New Roman"/>
          <w:i/>
          <w:iCs/>
          <w:sz w:val="20"/>
          <w:szCs w:val="20"/>
        </w:rPr>
        <w:t>trans</w:t>
      </w:r>
      <w:r w:rsidRPr="004819AC">
        <w:rPr>
          <w:rFonts w:ascii="Times New Roman" w:hAnsi="Times New Roman" w:cs="Times New Roman"/>
          <w:sz w:val="20"/>
          <w:szCs w:val="20"/>
        </w:rPr>
        <w:t xml:space="preserve">-RuCl₄(DMSO)(Im)], Im = imidazole) demonstrated potent anti-metastatic activity with minimal cytotoxicity, distinguishing it from conventional DNA-damaging agents [43,45]. Although it showed limited efficacy against primary tumors, its ability to inhibit invasion and angiogenesis validated ruthenium’s capacity for </w:t>
      </w:r>
      <w:r w:rsidRPr="004819AC">
        <w:rPr>
          <w:rFonts w:ascii="Times New Roman" w:hAnsi="Times New Roman" w:cs="Times New Roman"/>
          <w:i/>
          <w:iCs/>
          <w:sz w:val="20"/>
          <w:szCs w:val="20"/>
        </w:rPr>
        <w:t>non-cytotoxic</w:t>
      </w:r>
      <w:r w:rsidRPr="004819AC">
        <w:rPr>
          <w:rFonts w:ascii="Times New Roman" w:hAnsi="Times New Roman" w:cs="Times New Roman"/>
          <w:sz w:val="20"/>
          <w:szCs w:val="20"/>
        </w:rPr>
        <w:t xml:space="preserve"> anticancer mechanisms [117]. In contrast, KP1019 (</w:t>
      </w:r>
      <w:r w:rsidRPr="004819AC">
        <w:rPr>
          <w:rFonts w:ascii="Times New Roman" w:hAnsi="Times New Roman" w:cs="Times New Roman"/>
          <w:i/>
          <w:iCs/>
          <w:sz w:val="20"/>
          <w:szCs w:val="20"/>
        </w:rPr>
        <w:t>trans</w:t>
      </w:r>
      <w:r w:rsidRPr="004819AC">
        <w:rPr>
          <w:rFonts w:ascii="Times New Roman" w:hAnsi="Times New Roman" w:cs="Times New Roman"/>
          <w:sz w:val="20"/>
          <w:szCs w:val="20"/>
        </w:rPr>
        <w:t xml:space="preserve">-RuCl₄(Ind)₂, Ind = indazole) and its water-soluble sodium salt KP1339 (NKP-1339) exhibited direct antiproliferative activity, particularly in cisplatin-resistant and colorectal cancer models, and completed Phase I trials with manageable toxicity [44,45,119]. Most recently, TLD1433, a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 polypyridyl photosensitizer, entered Phase Ib/IIa trials for intravesical photodynamic therapy (PDT) of non-muscle-invasive bladder cancer. Upon visible light irradiation, TLD1433 generates cytotoxic singlet oxygen, achieving tumor-selective ablation with high biocompatibility [120].</w:t>
      </w:r>
    </w:p>
    <w:p w14:paraId="39A6BD6C" w14:textId="77777777" w:rsidR="00815DC3" w:rsidRDefault="00815DC3" w:rsidP="00FF4DAD">
      <w:pPr>
        <w:keepNext/>
        <w:spacing w:after="0"/>
        <w:jc w:val="center"/>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6DF7ADBC" w14:textId="77777777" w:rsidR="00815DC3" w:rsidRDefault="00FF4DAD" w:rsidP="00815DC3">
      <w:pPr>
        <w:keepNext/>
        <w:spacing w:after="0"/>
        <w:jc w:val="center"/>
      </w:pPr>
      <w:r w:rsidRPr="00FF4DAD">
        <w:rPr>
          <w:rFonts w:ascii="Times New Roman" w:hAnsi="Times New Roman" w:cs="Times New Roman"/>
          <w:noProof/>
          <w:sz w:val="20"/>
          <w:szCs w:val="20"/>
        </w:rPr>
        <w:lastRenderedPageBreak/>
        <w:drawing>
          <wp:inline distT="0" distB="0" distL="0" distR="0" wp14:anchorId="537182F3" wp14:editId="3D52AFC1">
            <wp:extent cx="5943600" cy="356235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21" cstate="print"/>
                    <a:stretch>
                      <a:fillRect/>
                    </a:stretch>
                  </pic:blipFill>
                  <pic:spPr>
                    <a:xfrm>
                      <a:off x="0" y="0"/>
                      <a:ext cx="5949243" cy="3565732"/>
                    </a:xfrm>
                    <a:prstGeom prst="rect">
                      <a:avLst/>
                    </a:prstGeom>
                  </pic:spPr>
                </pic:pic>
              </a:graphicData>
            </a:graphic>
          </wp:inline>
        </w:drawing>
      </w:r>
    </w:p>
    <w:p w14:paraId="4CBDB718" w14:textId="13D08BFB" w:rsidR="00815DC3" w:rsidRPr="00815DC3" w:rsidRDefault="00815DC3" w:rsidP="00815DC3">
      <w:pPr>
        <w:pStyle w:val="Caption"/>
        <w:jc w:val="center"/>
        <w:rPr>
          <w:rFonts w:ascii="Times New Roman" w:hAnsi="Times New Roman" w:cs="Times New Roman"/>
          <w:b/>
          <w:bCs/>
          <w:i w:val="0"/>
          <w:iCs w:val="0"/>
          <w:color w:val="auto"/>
          <w:sz w:val="22"/>
          <w:szCs w:val="22"/>
        </w:rPr>
        <w:sectPr w:rsidR="00815DC3" w:rsidRPr="00815DC3" w:rsidSect="00722BD5">
          <w:type w:val="continuous"/>
          <w:pgSz w:w="12240" w:h="15840"/>
          <w:pgMar w:top="720" w:right="720" w:bottom="720" w:left="720" w:header="720" w:footer="720" w:gutter="0"/>
          <w:cols w:space="720"/>
          <w:titlePg/>
          <w:docGrid w:linePitch="360"/>
        </w:sectPr>
      </w:pPr>
      <w:r w:rsidRPr="00815DC3">
        <w:rPr>
          <w:rFonts w:ascii="Times New Roman" w:hAnsi="Times New Roman" w:cs="Times New Roman"/>
          <w:b/>
          <w:bCs/>
          <w:i w:val="0"/>
          <w:iCs w:val="0"/>
          <w:color w:val="auto"/>
          <w:sz w:val="20"/>
          <w:szCs w:val="20"/>
        </w:rPr>
        <w:t xml:space="preserve">Figure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Figure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Ruthenium-based anti-cancer drugs under clinical trial</w:t>
      </w:r>
    </w:p>
    <w:p w14:paraId="36B20DD4"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Beyond clinical-stage agents, numerous Ru complexes have demonstrated compelling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between 2017 and 2023. Benzimidazole-based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 xml:space="preserve">III) complexes, such as [RuCl(AMBI)(H₂O)₃]Cl₂ (Ru-1), exhibited potent activity against HCT-116 colon carcinoma (IC₅₀ = 18.08 μg/mL) and MCF-7 breast cancer cells, with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suppression of Ehrlich ascites carcinoma (EAC) in mice and minimal renal toxicity [129]. Similarly, Ru-3, a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III)-DMSO complex with a 2-aminophenylbenzimidazole ligand, induced apoptosis in EAC-bearing mice via upregulation of Bax and caspase-3, downregulation of Bcl-2, and enhancement of antioxidant enzymes like superoxide dismutase (SOD), indicating modulation of oxidative stress [130].</w:t>
      </w:r>
    </w:p>
    <w:p w14:paraId="67C949FE"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Coumarin-functionalized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 complexes have also shown promise. Ru-4, bearing a 7-fluoro-3-(2′-</w:t>
      </w:r>
      <w:proofErr w:type="gramStart"/>
      <w:r w:rsidRPr="004819AC">
        <w:rPr>
          <w:rFonts w:ascii="Times New Roman" w:hAnsi="Times New Roman" w:cs="Times New Roman"/>
          <w:sz w:val="20"/>
          <w:szCs w:val="20"/>
        </w:rPr>
        <w:t>benzimidazolyl)coumarin</w:t>
      </w:r>
      <w:proofErr w:type="gramEnd"/>
      <w:r w:rsidRPr="004819AC">
        <w:rPr>
          <w:rFonts w:ascii="Times New Roman" w:hAnsi="Times New Roman" w:cs="Times New Roman"/>
          <w:sz w:val="20"/>
          <w:szCs w:val="20"/>
        </w:rPr>
        <w:t xml:space="preserve"> ligand, displayed exceptional cytotoxicity against NCI-H460 lung cancer cells (IC₅₀ = 0.30 ± 0.02 μM) and achieved a 61% tumor inhibition rate in xenograft models—far exceeding cisplatin (25%)—through DNA damage, S-phase protein downregulation, and telomerase inhibition [42].</w:t>
      </w:r>
    </w:p>
    <w:p w14:paraId="1B49B10E" w14:textId="50B2F6BF" w:rsid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CO-releasing molecules (CO-RMs) represent a novel therapeutic strategy, leveraging carbon monoxide’s anti-inflammatory and antiproliferative effects. Ru-based CO-RMs have shown efficacy in models of lung adenocarcinoma and leukemia, while simultaneously mitigating cisplatin-induced nephrotoxicity [131]. Additionally, acylthiourea </w:t>
      </w:r>
      <w:proofErr w:type="gramStart"/>
      <w:r w:rsidRPr="004819AC">
        <w:rPr>
          <w:rFonts w:ascii="Times New Roman" w:hAnsi="Times New Roman" w:cs="Times New Roman"/>
          <w:sz w:val="20"/>
          <w:szCs w:val="20"/>
        </w:rPr>
        <w:t>Ru(</w:t>
      </w:r>
      <w:proofErr w:type="gramEnd"/>
      <w:r w:rsidRPr="004819AC">
        <w:rPr>
          <w:rFonts w:ascii="Times New Roman" w:hAnsi="Times New Roman" w:cs="Times New Roman"/>
          <w:sz w:val="20"/>
          <w:szCs w:val="20"/>
        </w:rPr>
        <w:t>II)-</w:t>
      </w:r>
      <w:r w:rsidRPr="004819AC">
        <w:rPr>
          <w:rFonts w:ascii="Times New Roman" w:hAnsi="Times New Roman" w:cs="Times New Roman"/>
          <w:i/>
          <w:iCs/>
          <w:sz w:val="20"/>
          <w:szCs w:val="20"/>
        </w:rPr>
        <w:t>p</w:t>
      </w:r>
      <w:r w:rsidRPr="004819AC">
        <w:rPr>
          <w:rFonts w:ascii="Times New Roman" w:hAnsi="Times New Roman" w:cs="Times New Roman"/>
          <w:sz w:val="20"/>
          <w:szCs w:val="20"/>
        </w:rPr>
        <w:t xml:space="preserve">-cymene derivatives enhanced cellular uptake via hydrophobic interactions and demonstrated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tumor suppression in EAC models with low systemic toxicity [137]. N-heterocyclic carbene (NHC) Ru complexes, known for their stability and tunable electronics, have also exhibited potent activity; for instance, Ru-Fc, a Ru–ferrocene bimetallic agent, suppressed intersegmental vessel formation in zebrafish embryos and induced necroptotic cell death via ROS, mitochondrial dysfunction, and ER stress [145].</w:t>
      </w:r>
    </w:p>
    <w:p w14:paraId="7D0D6C26" w14:textId="77777777" w:rsidR="00FF4DAD" w:rsidRDefault="00FF4DAD" w:rsidP="00D84361">
      <w:pPr>
        <w:spacing w:after="0"/>
        <w:jc w:val="both"/>
        <w:rPr>
          <w:rFonts w:ascii="Times New Roman" w:hAnsi="Times New Roman" w:cs="Times New Roman"/>
          <w:sz w:val="20"/>
          <w:szCs w:val="20"/>
        </w:rPr>
      </w:pPr>
    </w:p>
    <w:p w14:paraId="60CC3407" w14:textId="77777777" w:rsidR="00FF4DAD" w:rsidRDefault="00FF4DAD" w:rsidP="00D84361">
      <w:pPr>
        <w:spacing w:after="0"/>
        <w:jc w:val="both"/>
        <w:rPr>
          <w:rFonts w:ascii="Times New Roman" w:hAnsi="Times New Roman" w:cs="Times New Roman"/>
          <w:sz w:val="20"/>
          <w:szCs w:val="20"/>
        </w:rPr>
      </w:pPr>
    </w:p>
    <w:p w14:paraId="00BED411" w14:textId="77777777" w:rsidR="00815DC3" w:rsidRDefault="00815DC3" w:rsidP="007E1794">
      <w:pPr>
        <w:spacing w:line="360" w:lineRule="auto"/>
        <w:rPr>
          <w:rFonts w:ascii="Times New Roman" w:hAnsi="Times New Roman" w:cs="Times New Roman"/>
          <w:b/>
          <w:sz w:val="18"/>
          <w:szCs w:val="18"/>
        </w:rPr>
        <w:sectPr w:rsidR="00815DC3" w:rsidSect="00722BD5">
          <w:type w:val="continuous"/>
          <w:pgSz w:w="12240" w:h="15840"/>
          <w:pgMar w:top="720" w:right="720" w:bottom="720" w:left="720" w:header="720" w:footer="720" w:gutter="0"/>
          <w:cols w:space="720"/>
          <w:titlePg/>
          <w:docGrid w:linePitch="360"/>
        </w:sectPr>
      </w:pPr>
    </w:p>
    <w:p w14:paraId="2F1C3769" w14:textId="325E9A0B" w:rsidR="00815DC3" w:rsidRPr="00815DC3" w:rsidRDefault="00815DC3" w:rsidP="00815DC3">
      <w:pPr>
        <w:pStyle w:val="Caption"/>
        <w:keepNext/>
        <w:jc w:val="center"/>
        <w:rPr>
          <w:rFonts w:ascii="Times New Roman" w:hAnsi="Times New Roman" w:cs="Times New Roman"/>
          <w:b/>
          <w:bCs/>
          <w:i w:val="0"/>
          <w:iCs w:val="0"/>
          <w:color w:val="auto"/>
          <w:sz w:val="20"/>
          <w:szCs w:val="20"/>
        </w:rPr>
      </w:pPr>
      <w:r w:rsidRPr="00815DC3">
        <w:rPr>
          <w:rFonts w:ascii="Times New Roman" w:hAnsi="Times New Roman" w:cs="Times New Roman"/>
          <w:b/>
          <w:bCs/>
          <w:i w:val="0"/>
          <w:iCs w:val="0"/>
          <w:color w:val="auto"/>
          <w:sz w:val="20"/>
          <w:szCs w:val="20"/>
        </w:rPr>
        <w:t xml:space="preserve">Table </w:t>
      </w:r>
      <w:r w:rsidRPr="00815DC3">
        <w:rPr>
          <w:rFonts w:ascii="Times New Roman" w:hAnsi="Times New Roman" w:cs="Times New Roman"/>
          <w:b/>
          <w:bCs/>
          <w:i w:val="0"/>
          <w:iCs w:val="0"/>
          <w:color w:val="auto"/>
          <w:sz w:val="20"/>
          <w:szCs w:val="20"/>
        </w:rPr>
        <w:fldChar w:fldCharType="begin"/>
      </w:r>
      <w:r w:rsidRPr="00815DC3">
        <w:rPr>
          <w:rFonts w:ascii="Times New Roman" w:hAnsi="Times New Roman" w:cs="Times New Roman"/>
          <w:b/>
          <w:bCs/>
          <w:i w:val="0"/>
          <w:iCs w:val="0"/>
          <w:color w:val="auto"/>
          <w:sz w:val="20"/>
          <w:szCs w:val="20"/>
        </w:rPr>
        <w:instrText xml:space="preserve"> SEQ Table \* ARABIC </w:instrText>
      </w:r>
      <w:r w:rsidRPr="00815DC3">
        <w:rPr>
          <w:rFonts w:ascii="Times New Roman" w:hAnsi="Times New Roman" w:cs="Times New Roman"/>
          <w:b/>
          <w:bCs/>
          <w:i w:val="0"/>
          <w:iCs w:val="0"/>
          <w:color w:val="auto"/>
          <w:sz w:val="20"/>
          <w:szCs w:val="20"/>
        </w:rPr>
        <w:fldChar w:fldCharType="separate"/>
      </w:r>
      <w:r w:rsidRPr="00815DC3">
        <w:rPr>
          <w:rFonts w:ascii="Times New Roman" w:hAnsi="Times New Roman" w:cs="Times New Roman"/>
          <w:b/>
          <w:bCs/>
          <w:i w:val="0"/>
          <w:iCs w:val="0"/>
          <w:noProof/>
          <w:color w:val="auto"/>
          <w:sz w:val="20"/>
          <w:szCs w:val="20"/>
        </w:rPr>
        <w:t>2</w:t>
      </w:r>
      <w:r w:rsidRPr="00815DC3">
        <w:rPr>
          <w:rFonts w:ascii="Times New Roman" w:hAnsi="Times New Roman" w:cs="Times New Roman"/>
          <w:b/>
          <w:bCs/>
          <w:i w:val="0"/>
          <w:iCs w:val="0"/>
          <w:color w:val="auto"/>
          <w:sz w:val="20"/>
          <w:szCs w:val="20"/>
        </w:rPr>
        <w:fldChar w:fldCharType="end"/>
      </w:r>
      <w:r w:rsidRPr="00815DC3">
        <w:rPr>
          <w:rFonts w:ascii="Times New Roman" w:hAnsi="Times New Roman" w:cs="Times New Roman"/>
          <w:b/>
          <w:bCs/>
          <w:i w:val="0"/>
          <w:iCs w:val="0"/>
          <w:color w:val="auto"/>
          <w:sz w:val="20"/>
          <w:szCs w:val="20"/>
        </w:rPr>
        <w:t>: Examples of Anti-Cancer Activity of Ruthenium Compounds</w:t>
      </w:r>
    </w:p>
    <w:tbl>
      <w:tblPr>
        <w:tblW w:w="9692" w:type="dxa"/>
        <w:tblInd w:w="158" w:type="dxa"/>
        <w:tblBorders>
          <w:top w:val="single" w:sz="4" w:space="0" w:color="auto"/>
        </w:tblBorders>
        <w:tblLook w:val="0000" w:firstRow="0" w:lastRow="0" w:firstColumn="0" w:lastColumn="0" w:noHBand="0" w:noVBand="0"/>
      </w:tblPr>
      <w:tblGrid>
        <w:gridCol w:w="3531"/>
        <w:gridCol w:w="2216"/>
        <w:gridCol w:w="1816"/>
        <w:gridCol w:w="12"/>
        <w:gridCol w:w="2117"/>
      </w:tblGrid>
      <w:tr w:rsidR="00FF4DAD" w:rsidRPr="00E21ABE" w14:paraId="6D60A05C" w14:textId="77777777" w:rsidTr="007E1794">
        <w:trPr>
          <w:trHeight w:val="363"/>
        </w:trPr>
        <w:tc>
          <w:tcPr>
            <w:tcW w:w="3531" w:type="dxa"/>
            <w:tcBorders>
              <w:bottom w:val="single" w:sz="4" w:space="0" w:color="auto"/>
              <w:right w:val="single" w:sz="4" w:space="0" w:color="auto"/>
            </w:tcBorders>
          </w:tcPr>
          <w:p w14:paraId="1BC7128F"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Structure of ruthenium compounds</w:t>
            </w:r>
          </w:p>
        </w:tc>
        <w:tc>
          <w:tcPr>
            <w:tcW w:w="2216" w:type="dxa"/>
            <w:tcBorders>
              <w:left w:val="single" w:sz="4" w:space="0" w:color="auto"/>
              <w:bottom w:val="single" w:sz="4" w:space="0" w:color="auto"/>
            </w:tcBorders>
          </w:tcPr>
          <w:p w14:paraId="3F1FA6DB" w14:textId="77777777" w:rsidR="00FF4DAD" w:rsidRPr="00E21ABE" w:rsidRDefault="00FF4DAD" w:rsidP="007E1794">
            <w:pPr>
              <w:spacing w:line="360" w:lineRule="auto"/>
              <w:ind w:left="80"/>
              <w:rPr>
                <w:rFonts w:ascii="Times New Roman" w:hAnsi="Times New Roman" w:cs="Times New Roman"/>
                <w:b/>
                <w:sz w:val="18"/>
                <w:szCs w:val="18"/>
              </w:rPr>
            </w:pPr>
            <w:r w:rsidRPr="00E21ABE">
              <w:rPr>
                <w:rFonts w:ascii="Times New Roman" w:hAnsi="Times New Roman" w:cs="Times New Roman"/>
                <w:b/>
                <w:sz w:val="18"/>
                <w:szCs w:val="18"/>
              </w:rPr>
              <w:t>In vitro activity</w:t>
            </w:r>
          </w:p>
        </w:tc>
        <w:tc>
          <w:tcPr>
            <w:tcW w:w="1828" w:type="dxa"/>
            <w:gridSpan w:val="2"/>
            <w:tcBorders>
              <w:left w:val="single" w:sz="4" w:space="0" w:color="auto"/>
              <w:bottom w:val="single" w:sz="4" w:space="0" w:color="auto"/>
            </w:tcBorders>
          </w:tcPr>
          <w:p w14:paraId="3C50EE29" w14:textId="77777777" w:rsidR="00FF4DAD" w:rsidRPr="00E21ABE" w:rsidRDefault="00FF4DAD" w:rsidP="007E1794">
            <w:pPr>
              <w:spacing w:line="360" w:lineRule="auto"/>
              <w:ind w:left="35"/>
              <w:rPr>
                <w:rFonts w:ascii="Times New Roman" w:hAnsi="Times New Roman" w:cs="Times New Roman"/>
                <w:b/>
                <w:sz w:val="18"/>
                <w:szCs w:val="18"/>
              </w:rPr>
            </w:pPr>
            <w:r w:rsidRPr="00E21ABE">
              <w:rPr>
                <w:rFonts w:ascii="Times New Roman" w:hAnsi="Times New Roman" w:cs="Times New Roman"/>
                <w:b/>
                <w:sz w:val="18"/>
                <w:szCs w:val="18"/>
              </w:rPr>
              <w:t>In vivo activity</w:t>
            </w:r>
          </w:p>
        </w:tc>
        <w:tc>
          <w:tcPr>
            <w:tcW w:w="2117" w:type="dxa"/>
            <w:tcBorders>
              <w:left w:val="single" w:sz="4" w:space="0" w:color="auto"/>
              <w:bottom w:val="single" w:sz="4" w:space="0" w:color="auto"/>
            </w:tcBorders>
          </w:tcPr>
          <w:p w14:paraId="07CD6321"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sz w:val="18"/>
                <w:szCs w:val="18"/>
              </w:rPr>
              <w:t>Mechanism of action</w:t>
            </w:r>
          </w:p>
        </w:tc>
      </w:tr>
      <w:tr w:rsidR="00FF4DAD" w:rsidRPr="00E21ABE" w14:paraId="06D69DCF" w14:textId="77777777" w:rsidTr="007E1794">
        <w:trPr>
          <w:trHeight w:val="2329"/>
        </w:trPr>
        <w:tc>
          <w:tcPr>
            <w:tcW w:w="3531" w:type="dxa"/>
            <w:tcBorders>
              <w:top w:val="single" w:sz="4" w:space="0" w:color="auto"/>
              <w:bottom w:val="single" w:sz="4" w:space="0" w:color="auto"/>
              <w:right w:val="single" w:sz="4" w:space="0" w:color="auto"/>
            </w:tcBorders>
          </w:tcPr>
          <w:p w14:paraId="2EF4CC2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lastRenderedPageBreak/>
              <w:drawing>
                <wp:inline distT="0" distB="0" distL="0" distR="0" wp14:anchorId="5FDC3E21" wp14:editId="1F485F51">
                  <wp:extent cx="1152525" cy="87820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878205"/>
                          </a:xfrm>
                          <a:prstGeom prst="rect">
                            <a:avLst/>
                          </a:prstGeom>
                          <a:noFill/>
                        </pic:spPr>
                      </pic:pic>
                    </a:graphicData>
                  </a:graphic>
                </wp:inline>
              </w:drawing>
            </w:r>
          </w:p>
          <w:p w14:paraId="0049C3C7"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Sahyon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2018[124]</w:t>
            </w:r>
          </w:p>
        </w:tc>
        <w:tc>
          <w:tcPr>
            <w:tcW w:w="2216" w:type="dxa"/>
            <w:tcBorders>
              <w:top w:val="single" w:sz="4" w:space="0" w:color="auto"/>
              <w:left w:val="single" w:sz="4" w:space="0" w:color="auto"/>
              <w:bottom w:val="single" w:sz="4" w:space="0" w:color="auto"/>
            </w:tcBorders>
          </w:tcPr>
          <w:p w14:paraId="28E84C36"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The </w:t>
            </w:r>
            <w:proofErr w:type="gramStart"/>
            <w:r w:rsidRPr="00E21ABE">
              <w:rPr>
                <w:rFonts w:ascii="Times New Roman" w:hAnsi="Times New Roman" w:cs="Times New Roman"/>
                <w:sz w:val="18"/>
                <w:szCs w:val="18"/>
              </w:rPr>
              <w:t>Ru(</w:t>
            </w:r>
            <w:proofErr w:type="gramEnd"/>
            <w:r w:rsidRPr="00E21ABE">
              <w:rPr>
                <w:rFonts w:ascii="Times New Roman" w:hAnsi="Times New Roman" w:cs="Times New Roman"/>
                <w:sz w:val="18"/>
                <w:szCs w:val="18"/>
              </w:rPr>
              <w:t>III) complex Ru-1 exhibited excellent anti-cancer activity against HCT-116 cells that was almost as strong as cisplatin</w:t>
            </w:r>
          </w:p>
        </w:tc>
        <w:tc>
          <w:tcPr>
            <w:tcW w:w="1828" w:type="dxa"/>
            <w:gridSpan w:val="2"/>
            <w:tcBorders>
              <w:top w:val="single" w:sz="4" w:space="0" w:color="auto"/>
              <w:left w:val="single" w:sz="4" w:space="0" w:color="auto"/>
              <w:bottom w:val="single" w:sz="4" w:space="0" w:color="auto"/>
            </w:tcBorders>
          </w:tcPr>
          <w:p w14:paraId="72C07FD1"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Reduced the growth of EAC bearing female mice with minimal toxicity to the kidney.</w:t>
            </w:r>
          </w:p>
        </w:tc>
        <w:tc>
          <w:tcPr>
            <w:tcW w:w="2117" w:type="dxa"/>
            <w:tcBorders>
              <w:top w:val="single" w:sz="4" w:space="0" w:color="auto"/>
              <w:left w:val="single" w:sz="4" w:space="0" w:color="auto"/>
              <w:bottom w:val="single" w:sz="4" w:space="0" w:color="auto"/>
            </w:tcBorders>
          </w:tcPr>
          <w:p w14:paraId="5DF47919"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Lower DNA replication of cancer cells owing to its DNA interaction. The accumulation in G2/M indicated that Ru-1 interacts with DNA, preventing cancer cells from entering a new cell cycle.</w:t>
            </w:r>
          </w:p>
        </w:tc>
      </w:tr>
      <w:tr w:rsidR="00FF4DAD" w:rsidRPr="00E21ABE" w14:paraId="143E010A" w14:textId="77777777" w:rsidTr="007E1794">
        <w:trPr>
          <w:trHeight w:val="2779"/>
        </w:trPr>
        <w:tc>
          <w:tcPr>
            <w:tcW w:w="3531" w:type="dxa"/>
            <w:tcBorders>
              <w:top w:val="single" w:sz="4" w:space="0" w:color="auto"/>
              <w:bottom w:val="single" w:sz="4" w:space="0" w:color="auto"/>
              <w:right w:val="single" w:sz="4" w:space="0" w:color="auto"/>
            </w:tcBorders>
          </w:tcPr>
          <w:p w14:paraId="7270CC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t xml:space="preserve">                                   </w:t>
            </w:r>
          </w:p>
          <w:p w14:paraId="6C74E7FD"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367D6C69" wp14:editId="04B4C4A6">
                  <wp:extent cx="859790" cy="1024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790" cy="1024255"/>
                          </a:xfrm>
                          <a:prstGeom prst="rect">
                            <a:avLst/>
                          </a:prstGeom>
                          <a:noFill/>
                        </pic:spPr>
                      </pic:pic>
                    </a:graphicData>
                  </a:graphic>
                </wp:inline>
              </w:drawing>
            </w:r>
            <w:r w:rsidRPr="00E21ABE">
              <w:rPr>
                <w:rFonts w:ascii="Times New Roman" w:hAnsi="Times New Roman" w:cs="Times New Roman"/>
                <w:b/>
                <w:noProof/>
                <w:sz w:val="18"/>
                <w:szCs w:val="18"/>
              </w:rPr>
              <w:t xml:space="preserve">       </w:t>
            </w:r>
            <w:r w:rsidRPr="00E21ABE">
              <w:rPr>
                <w:rFonts w:ascii="Times New Roman" w:hAnsi="Times New Roman" w:cs="Times New Roman"/>
                <w:b/>
                <w:noProof/>
                <w:sz w:val="18"/>
                <w:szCs w:val="18"/>
              </w:rPr>
              <w:drawing>
                <wp:inline distT="0" distB="0" distL="0" distR="0" wp14:anchorId="25E8D93E" wp14:editId="70E2D731">
                  <wp:extent cx="780415" cy="10001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0415" cy="1000125"/>
                          </a:xfrm>
                          <a:prstGeom prst="rect">
                            <a:avLst/>
                          </a:prstGeom>
                          <a:noFill/>
                        </pic:spPr>
                      </pic:pic>
                    </a:graphicData>
                  </a:graphic>
                </wp:inline>
              </w:drawing>
            </w:r>
          </w:p>
          <w:p w14:paraId="5BF4CC45"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Elsayed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2020[130]</w:t>
            </w:r>
          </w:p>
        </w:tc>
        <w:tc>
          <w:tcPr>
            <w:tcW w:w="2216" w:type="dxa"/>
            <w:tcBorders>
              <w:top w:val="single" w:sz="4" w:space="0" w:color="auto"/>
              <w:left w:val="single" w:sz="4" w:space="0" w:color="auto"/>
              <w:bottom w:val="single" w:sz="4" w:space="0" w:color="auto"/>
            </w:tcBorders>
          </w:tcPr>
          <w:p w14:paraId="594D5A8B"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Cytotoxic against many human cancer cell lines like MCF7, Caco2.</w:t>
            </w:r>
          </w:p>
        </w:tc>
        <w:tc>
          <w:tcPr>
            <w:tcW w:w="1828" w:type="dxa"/>
            <w:gridSpan w:val="2"/>
            <w:tcBorders>
              <w:top w:val="single" w:sz="4" w:space="0" w:color="auto"/>
              <w:left w:val="single" w:sz="4" w:space="0" w:color="auto"/>
              <w:bottom w:val="single" w:sz="4" w:space="0" w:color="auto"/>
            </w:tcBorders>
          </w:tcPr>
          <w:p w14:paraId="07975A6B"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In the EAC mouse model cancer cell proliferation in the liver by induction of apoptosis. Enhancement of Bax and Caspase 3 level and reduction of Bcl2 in the liver of treated EAC mice and vice-versa.</w:t>
            </w:r>
          </w:p>
        </w:tc>
        <w:tc>
          <w:tcPr>
            <w:tcW w:w="2117" w:type="dxa"/>
            <w:tcBorders>
              <w:top w:val="single" w:sz="4" w:space="0" w:color="auto"/>
              <w:left w:val="single" w:sz="4" w:space="0" w:color="auto"/>
              <w:bottom w:val="single" w:sz="4" w:space="0" w:color="auto"/>
            </w:tcBorders>
          </w:tcPr>
          <w:p w14:paraId="54747F21"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Treatment with </w:t>
            </w:r>
            <w:proofErr w:type="gramStart"/>
            <w:r w:rsidRPr="00E21ABE">
              <w:rPr>
                <w:rFonts w:ascii="Times New Roman" w:hAnsi="Times New Roman" w:cs="Times New Roman"/>
                <w:sz w:val="18"/>
                <w:szCs w:val="18"/>
              </w:rPr>
              <w:t>Ru(</w:t>
            </w:r>
            <w:proofErr w:type="gramEnd"/>
            <w:r w:rsidRPr="00E21ABE">
              <w:rPr>
                <w:rFonts w:ascii="Times New Roman" w:hAnsi="Times New Roman" w:cs="Times New Roman"/>
                <w:sz w:val="18"/>
                <w:szCs w:val="18"/>
              </w:rPr>
              <w:t>III) compound induced apoptosis and arrest cell- cycle in the G2/M phase.</w:t>
            </w:r>
          </w:p>
        </w:tc>
      </w:tr>
      <w:tr w:rsidR="00FF4DAD" w:rsidRPr="00E21ABE" w14:paraId="40E5B0ED" w14:textId="77777777" w:rsidTr="007E1794">
        <w:trPr>
          <w:trHeight w:val="188"/>
        </w:trPr>
        <w:tc>
          <w:tcPr>
            <w:tcW w:w="3531" w:type="dxa"/>
            <w:tcBorders>
              <w:top w:val="single" w:sz="4" w:space="0" w:color="auto"/>
              <w:right w:val="single" w:sz="4" w:space="0" w:color="auto"/>
            </w:tcBorders>
          </w:tcPr>
          <w:p w14:paraId="29BA8D43" w14:textId="77777777" w:rsidR="00FF4DAD" w:rsidRPr="00E21ABE" w:rsidRDefault="00FF4DAD" w:rsidP="007E1794">
            <w:pPr>
              <w:spacing w:line="360" w:lineRule="auto"/>
              <w:rPr>
                <w:rFonts w:ascii="Times New Roman" w:hAnsi="Times New Roman" w:cs="Times New Roman"/>
                <w:b/>
                <w:noProof/>
                <w:sz w:val="18"/>
                <w:szCs w:val="18"/>
              </w:rPr>
            </w:pPr>
          </w:p>
          <w:p w14:paraId="74CA18C1" w14:textId="77777777" w:rsidR="00FF4DAD" w:rsidRPr="00E21ABE" w:rsidRDefault="00FF4DAD" w:rsidP="007E1794">
            <w:pPr>
              <w:spacing w:line="360" w:lineRule="auto"/>
              <w:rPr>
                <w:rFonts w:ascii="Times New Roman" w:hAnsi="Times New Roman" w:cs="Times New Roman"/>
                <w:b/>
                <w:noProof/>
                <w:sz w:val="18"/>
                <w:szCs w:val="18"/>
              </w:rPr>
            </w:pPr>
            <w:r w:rsidRPr="00E21ABE">
              <w:rPr>
                <w:rFonts w:ascii="Times New Roman" w:hAnsi="Times New Roman" w:cs="Times New Roman"/>
                <w:b/>
                <w:noProof/>
                <w:sz w:val="18"/>
                <w:szCs w:val="18"/>
              </w:rPr>
              <w:drawing>
                <wp:inline distT="0" distB="0" distL="0" distR="0" wp14:anchorId="4966716E" wp14:editId="7A1A61E6">
                  <wp:extent cx="1243965" cy="993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3965" cy="993775"/>
                          </a:xfrm>
                          <a:prstGeom prst="rect">
                            <a:avLst/>
                          </a:prstGeom>
                          <a:noFill/>
                        </pic:spPr>
                      </pic:pic>
                    </a:graphicData>
                  </a:graphic>
                </wp:inline>
              </w:drawing>
            </w:r>
            <w:r w:rsidRPr="00E21ABE">
              <w:rPr>
                <w:rFonts w:ascii="Times New Roman" w:hAnsi="Times New Roman" w:cs="Times New Roman"/>
                <w:b/>
                <w:noProof/>
                <w:sz w:val="18"/>
                <w:szCs w:val="18"/>
              </w:rPr>
              <w:t xml:space="preserve">                             </w:t>
            </w:r>
          </w:p>
          <w:p w14:paraId="0824A704" w14:textId="77777777" w:rsidR="00FF4DAD" w:rsidRPr="00E21ABE" w:rsidRDefault="00FF4DAD" w:rsidP="007E1794">
            <w:pPr>
              <w:spacing w:line="360" w:lineRule="auto"/>
              <w:rPr>
                <w:rFonts w:ascii="Times New Roman" w:hAnsi="Times New Roman" w:cs="Times New Roman"/>
                <w:noProof/>
                <w:sz w:val="18"/>
                <w:szCs w:val="18"/>
              </w:rPr>
            </w:pPr>
            <w:r w:rsidRPr="00E21ABE">
              <w:rPr>
                <w:rFonts w:ascii="Times New Roman" w:hAnsi="Times New Roman" w:cs="Times New Roman"/>
                <w:noProof/>
                <w:sz w:val="18"/>
                <w:szCs w:val="18"/>
              </w:rPr>
              <w:t xml:space="preserve">Manikandan </w:t>
            </w:r>
            <w:r w:rsidRPr="00E21ABE">
              <w:rPr>
                <w:rFonts w:ascii="Times New Roman" w:hAnsi="Times New Roman" w:cs="Times New Roman"/>
                <w:i/>
                <w:noProof/>
                <w:sz w:val="18"/>
                <w:szCs w:val="18"/>
              </w:rPr>
              <w:t>et al</w:t>
            </w:r>
            <w:r w:rsidRPr="00E21ABE">
              <w:rPr>
                <w:rFonts w:ascii="Times New Roman" w:hAnsi="Times New Roman" w:cs="Times New Roman"/>
                <w:noProof/>
                <w:sz w:val="18"/>
                <w:szCs w:val="18"/>
              </w:rPr>
              <w:t>. 2022[145]</w:t>
            </w:r>
          </w:p>
        </w:tc>
        <w:tc>
          <w:tcPr>
            <w:tcW w:w="2216" w:type="dxa"/>
            <w:tcBorders>
              <w:top w:val="single" w:sz="4" w:space="0" w:color="auto"/>
              <w:left w:val="single" w:sz="4" w:space="0" w:color="auto"/>
            </w:tcBorders>
          </w:tcPr>
          <w:p w14:paraId="01280485"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Exhibited excellent anti-cancer activity against A2780 cell lines.</w:t>
            </w:r>
          </w:p>
        </w:tc>
        <w:tc>
          <w:tcPr>
            <w:tcW w:w="1828" w:type="dxa"/>
            <w:gridSpan w:val="2"/>
            <w:tcBorders>
              <w:top w:val="single" w:sz="4" w:space="0" w:color="auto"/>
              <w:left w:val="single" w:sz="4" w:space="0" w:color="auto"/>
            </w:tcBorders>
          </w:tcPr>
          <w:p w14:paraId="77422167"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Ru-Fc was found to suppress the formation of SIVP in zebrafish embryos.</w:t>
            </w:r>
          </w:p>
        </w:tc>
        <w:tc>
          <w:tcPr>
            <w:tcW w:w="2117" w:type="dxa"/>
            <w:tcBorders>
              <w:top w:val="single" w:sz="4" w:space="0" w:color="auto"/>
              <w:left w:val="single" w:sz="4" w:space="0" w:color="auto"/>
            </w:tcBorders>
          </w:tcPr>
          <w:p w14:paraId="3F086A60"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The Ru-Fc attached to nucleophilic biomolecules and producing ROS, causing mitochondrial dysfunction as well as inducing ER stress, resulting in poly (ADP-ribose) polymerase facilitated necroptotic cell death.</w:t>
            </w:r>
          </w:p>
        </w:tc>
      </w:tr>
      <w:tr w:rsidR="00FF4DAD" w:rsidRPr="00E21ABE" w14:paraId="731DF8BC" w14:textId="77777777" w:rsidTr="007E1794">
        <w:trPr>
          <w:trHeight w:val="100"/>
        </w:trPr>
        <w:tc>
          <w:tcPr>
            <w:tcW w:w="3531" w:type="dxa"/>
            <w:tcBorders>
              <w:top w:val="single" w:sz="4" w:space="0" w:color="auto"/>
              <w:right w:val="single" w:sz="4" w:space="0" w:color="auto"/>
            </w:tcBorders>
          </w:tcPr>
          <w:p w14:paraId="46C15BF3" w14:textId="77777777" w:rsidR="00FF4DAD" w:rsidRPr="00E21ABE" w:rsidRDefault="00FF4DAD" w:rsidP="007E1794">
            <w:pPr>
              <w:spacing w:line="360" w:lineRule="auto"/>
              <w:rPr>
                <w:rFonts w:ascii="Times New Roman" w:hAnsi="Times New Roman" w:cs="Times New Roman"/>
                <w:b/>
                <w:noProof/>
                <w:sz w:val="18"/>
                <w:szCs w:val="18"/>
              </w:rPr>
            </w:pPr>
          </w:p>
          <w:p w14:paraId="02F149AE" w14:textId="77777777" w:rsidR="00FF4DAD" w:rsidRPr="00E21ABE" w:rsidRDefault="00FF4DAD" w:rsidP="007E1794">
            <w:pPr>
              <w:spacing w:line="360" w:lineRule="auto"/>
              <w:rPr>
                <w:rFonts w:ascii="Times New Roman" w:hAnsi="Times New Roman" w:cs="Times New Roman"/>
                <w:b/>
                <w:sz w:val="18"/>
                <w:szCs w:val="18"/>
              </w:rPr>
            </w:pPr>
            <w:r w:rsidRPr="00E21ABE">
              <w:rPr>
                <w:rFonts w:ascii="Times New Roman" w:hAnsi="Times New Roman" w:cs="Times New Roman"/>
                <w:b/>
                <w:noProof/>
                <w:sz w:val="18"/>
                <w:szCs w:val="18"/>
              </w:rPr>
              <w:drawing>
                <wp:inline distT="0" distB="0" distL="0" distR="0" wp14:anchorId="612AA5B2" wp14:editId="3C23824B">
                  <wp:extent cx="1024255" cy="129857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4255" cy="1298575"/>
                          </a:xfrm>
                          <a:prstGeom prst="rect">
                            <a:avLst/>
                          </a:prstGeom>
                          <a:noFill/>
                        </pic:spPr>
                      </pic:pic>
                    </a:graphicData>
                  </a:graphic>
                </wp:inline>
              </w:drawing>
            </w:r>
          </w:p>
          <w:p w14:paraId="7DA447DD"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 xml:space="preserve">Qin </w:t>
            </w:r>
            <w:r w:rsidRPr="00E21ABE">
              <w:rPr>
                <w:rFonts w:ascii="Times New Roman" w:hAnsi="Times New Roman" w:cs="Times New Roman"/>
                <w:i/>
                <w:sz w:val="18"/>
                <w:szCs w:val="18"/>
              </w:rPr>
              <w:t>et al</w:t>
            </w:r>
            <w:r w:rsidRPr="00E21ABE">
              <w:rPr>
                <w:rFonts w:ascii="Times New Roman" w:hAnsi="Times New Roman" w:cs="Times New Roman"/>
                <w:sz w:val="18"/>
                <w:szCs w:val="18"/>
              </w:rPr>
              <w:t>. 2019[42]</w:t>
            </w:r>
          </w:p>
        </w:tc>
        <w:tc>
          <w:tcPr>
            <w:tcW w:w="2216" w:type="dxa"/>
            <w:tcBorders>
              <w:top w:val="single" w:sz="4" w:space="0" w:color="auto"/>
              <w:left w:val="single" w:sz="4" w:space="0" w:color="auto"/>
            </w:tcBorders>
          </w:tcPr>
          <w:p w14:paraId="2265D736" w14:textId="77777777" w:rsidR="00FF4DAD" w:rsidRPr="00E21ABE" w:rsidRDefault="00FF4DAD" w:rsidP="007E1794">
            <w:pPr>
              <w:spacing w:line="360" w:lineRule="auto"/>
              <w:rPr>
                <w:rFonts w:ascii="Times New Roman" w:hAnsi="Times New Roman" w:cs="Times New Roman"/>
                <w:sz w:val="18"/>
                <w:szCs w:val="18"/>
              </w:rPr>
            </w:pPr>
          </w:p>
          <w:p w14:paraId="37FDE8A4"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Exhibited apoptosis in NCI-H460 cells.</w:t>
            </w:r>
          </w:p>
          <w:p w14:paraId="22D2B3FF" w14:textId="77777777" w:rsidR="00FF4DAD" w:rsidRPr="00E21ABE" w:rsidRDefault="00FF4DAD" w:rsidP="007E1794">
            <w:pPr>
              <w:spacing w:line="360" w:lineRule="auto"/>
              <w:rPr>
                <w:rFonts w:ascii="Times New Roman" w:hAnsi="Times New Roman" w:cs="Times New Roman"/>
                <w:sz w:val="18"/>
                <w:szCs w:val="18"/>
              </w:rPr>
            </w:pPr>
          </w:p>
        </w:tc>
        <w:tc>
          <w:tcPr>
            <w:tcW w:w="1816" w:type="dxa"/>
            <w:tcBorders>
              <w:top w:val="single" w:sz="4" w:space="0" w:color="auto"/>
              <w:left w:val="single" w:sz="4" w:space="0" w:color="auto"/>
            </w:tcBorders>
          </w:tcPr>
          <w:p w14:paraId="084FFE01" w14:textId="77777777" w:rsidR="00FF4DAD" w:rsidRPr="00E21ABE" w:rsidRDefault="00FF4DAD" w:rsidP="007E1794">
            <w:pPr>
              <w:spacing w:line="360" w:lineRule="auto"/>
              <w:rPr>
                <w:rFonts w:ascii="Times New Roman" w:hAnsi="Times New Roman" w:cs="Times New Roman"/>
                <w:sz w:val="18"/>
                <w:szCs w:val="18"/>
              </w:rPr>
            </w:pPr>
          </w:p>
          <w:p w14:paraId="7FD020F6"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Reduced the growth of NCI-H460 xenografted tumor in a mouse model.</w:t>
            </w:r>
          </w:p>
          <w:p w14:paraId="6E8D6AD6" w14:textId="77777777" w:rsidR="00FF4DAD" w:rsidRPr="00E21ABE" w:rsidRDefault="00FF4DAD" w:rsidP="007E1794">
            <w:pPr>
              <w:spacing w:line="360" w:lineRule="auto"/>
              <w:rPr>
                <w:rFonts w:ascii="Times New Roman" w:hAnsi="Times New Roman" w:cs="Times New Roman"/>
                <w:sz w:val="18"/>
                <w:szCs w:val="18"/>
              </w:rPr>
            </w:pPr>
          </w:p>
        </w:tc>
        <w:tc>
          <w:tcPr>
            <w:tcW w:w="2129" w:type="dxa"/>
            <w:gridSpan w:val="2"/>
            <w:tcBorders>
              <w:top w:val="single" w:sz="4" w:space="0" w:color="auto"/>
              <w:left w:val="single" w:sz="4" w:space="0" w:color="auto"/>
            </w:tcBorders>
          </w:tcPr>
          <w:p w14:paraId="42487C1E" w14:textId="77777777" w:rsidR="00FF4DAD" w:rsidRPr="00E21ABE" w:rsidRDefault="00FF4DAD" w:rsidP="007E1794">
            <w:pPr>
              <w:spacing w:line="360" w:lineRule="auto"/>
              <w:rPr>
                <w:rFonts w:ascii="Times New Roman" w:hAnsi="Times New Roman" w:cs="Times New Roman"/>
                <w:sz w:val="18"/>
                <w:szCs w:val="18"/>
              </w:rPr>
            </w:pPr>
          </w:p>
          <w:p w14:paraId="71CE65C9" w14:textId="77777777" w:rsidR="00FF4DAD" w:rsidRPr="00E21ABE" w:rsidRDefault="00FF4DAD" w:rsidP="007E1794">
            <w:pPr>
              <w:spacing w:line="360" w:lineRule="auto"/>
              <w:rPr>
                <w:rFonts w:ascii="Times New Roman" w:hAnsi="Times New Roman" w:cs="Times New Roman"/>
                <w:sz w:val="18"/>
                <w:szCs w:val="18"/>
              </w:rPr>
            </w:pPr>
            <w:r w:rsidRPr="00E21ABE">
              <w:rPr>
                <w:rFonts w:ascii="Times New Roman" w:hAnsi="Times New Roman" w:cs="Times New Roman"/>
                <w:sz w:val="18"/>
                <w:szCs w:val="18"/>
              </w:rPr>
              <w:t>Induction of apoptosis via inhibition of telomerase, damage of DNA, cell- cycle distribution, and down- regulation of S-phase proteins.</w:t>
            </w:r>
          </w:p>
          <w:p w14:paraId="1623B686" w14:textId="77777777" w:rsidR="00FF4DAD" w:rsidRPr="00E21ABE" w:rsidRDefault="00FF4DAD" w:rsidP="007E1794">
            <w:pPr>
              <w:spacing w:line="360" w:lineRule="auto"/>
              <w:rPr>
                <w:rFonts w:ascii="Times New Roman" w:hAnsi="Times New Roman" w:cs="Times New Roman"/>
                <w:sz w:val="18"/>
                <w:szCs w:val="18"/>
              </w:rPr>
            </w:pPr>
          </w:p>
        </w:tc>
      </w:tr>
    </w:tbl>
    <w:p w14:paraId="33DA338B" w14:textId="77777777" w:rsidR="00815DC3" w:rsidRDefault="00815DC3" w:rsidP="00D84361">
      <w:pPr>
        <w:spacing w:after="0"/>
        <w:jc w:val="both"/>
        <w:rPr>
          <w:rFonts w:ascii="Times New Roman" w:hAnsi="Times New Roman" w:cs="Times New Roman"/>
          <w:sz w:val="20"/>
          <w:szCs w:val="20"/>
        </w:rPr>
        <w:sectPr w:rsidR="00815DC3" w:rsidSect="00722BD5">
          <w:type w:val="continuous"/>
          <w:pgSz w:w="12240" w:h="15840"/>
          <w:pgMar w:top="720" w:right="720" w:bottom="720" w:left="720" w:header="720" w:footer="720" w:gutter="0"/>
          <w:cols w:space="720"/>
          <w:titlePg/>
          <w:docGrid w:linePitch="360"/>
        </w:sectPr>
      </w:pPr>
    </w:p>
    <w:p w14:paraId="3AE26EF2" w14:textId="77777777" w:rsidR="00FF4DAD" w:rsidRPr="004819AC" w:rsidRDefault="00FF4DAD" w:rsidP="00D84361">
      <w:pPr>
        <w:spacing w:after="0"/>
        <w:jc w:val="both"/>
        <w:rPr>
          <w:rFonts w:ascii="Times New Roman" w:hAnsi="Times New Roman" w:cs="Times New Roman"/>
          <w:sz w:val="20"/>
          <w:szCs w:val="20"/>
        </w:rPr>
      </w:pPr>
    </w:p>
    <w:p w14:paraId="751A155D" w14:textId="6B00DBF1"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lastRenderedPageBreak/>
        <w:t xml:space="preserve">Unlike platinum drugs, ruthenium complexes often operate through </w:t>
      </w:r>
      <w:r w:rsidRPr="004819AC">
        <w:rPr>
          <w:rFonts w:ascii="Times New Roman" w:hAnsi="Times New Roman" w:cs="Times New Roman"/>
          <w:i/>
          <w:iCs/>
          <w:sz w:val="20"/>
          <w:szCs w:val="20"/>
        </w:rPr>
        <w:t>non-genotoxic</w:t>
      </w:r>
      <w:r w:rsidRPr="004819AC">
        <w:rPr>
          <w:rFonts w:ascii="Times New Roman" w:hAnsi="Times New Roman" w:cs="Times New Roman"/>
          <w:sz w:val="20"/>
          <w:szCs w:val="20"/>
        </w:rPr>
        <w:t xml:space="preserve"> pathways</w:t>
      </w:r>
      <w:r w:rsidR="00FF4DAD">
        <w:rPr>
          <w:rFonts w:ascii="Times New Roman" w:hAnsi="Times New Roman" w:cs="Times New Roman"/>
          <w:sz w:val="20"/>
          <w:szCs w:val="20"/>
        </w:rPr>
        <w:t xml:space="preserve"> (Table 2)</w:t>
      </w:r>
      <w:r w:rsidRPr="004819AC">
        <w:rPr>
          <w:rFonts w:ascii="Times New Roman" w:hAnsi="Times New Roman" w:cs="Times New Roman"/>
          <w:sz w:val="20"/>
          <w:szCs w:val="20"/>
        </w:rPr>
        <w:t>. Many induce endoplasmic reticulum (ER) stress, triggering the unfolded protein response and caspase-12–mediated apoptosis [145]. Others inhibit metastasis by suppressing matrix metalloproteinases (MMPs) and cell adhesion molecules, as seen with NAMI-A [117]. Anti-angiogenic effects—mediated through inhibition of VEGF signaling and endothelial cell proliferation—further distinguish Ru agents as multimodal therapeutics [41,125]. These diverse mechanisms not only enhance efficacy but also circumvent classical resistance pathways, positioning ruthenium complexes as versatile platforms for next-generation metallodrugs.</w:t>
      </w:r>
    </w:p>
    <w:p w14:paraId="1B7BD11B" w14:textId="151C8391" w:rsidR="004819AC" w:rsidRPr="0076398E" w:rsidRDefault="004819A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Gold Complexes: From Arthritis to Oncology</w:t>
      </w:r>
    </w:p>
    <w:p w14:paraId="7811BC8A"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Gold-based metallodrugs, historically employed in the treatment of rheumatoid arthritis (e.g., auranofin), have experienced a renaissance in oncology due to their potent and selective cytotoxicity against a broad spectrum of cancer cells, including those resistant to platinum-based chemotherapy [149,150]. Gold exhibits two principal oxidation states relevant to medicinal chemistry: Au(I) and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While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is isoelectronic with Pt(II) and typically adopts square-planar geometry, it is prone to reduction under physiological conditions, limiting its stability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[151]. In contrast, Au(I) complexes—often linear, two-coordinate species stabilized by soft ligands such as phosphines or N-heterocyclic carbenes (NHCs)—display greater kinetic inertness and favorable pharmacokinetic profiles, making them more amenable to biological applications [22,151,159].</w:t>
      </w:r>
    </w:p>
    <w:p w14:paraId="190D798B"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The divergent behavior of Au(I) and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 xml:space="preserve">III) complexes stems from their distinct redox stability and ligand exchange kinetics.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III) complexes, although highly reactive toward biological nucleophiles, are susceptible to rapid reduction to Au(I) or even metallic Au(0) in the reducing intracellular milieu, complicating mechanistic interpretation and limiting bioavailability [151,174]. Au(I) complexes, by contrast, resist reduction and preferentially target sulfur-rich biomolecules, particularly thiol- and selenol-containing proteins, thereby disrupting redox homeostasis—a hallmark exploited in their anticancer activity [22,150,168].</w:t>
      </w:r>
    </w:p>
    <w:p w14:paraId="04D7177E" w14:textId="235B3DB2"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A primary molecular target of gold complexes is thioredoxin reductase (TrxR), a selenocysteine-dependent enzyme overexpressed in many cancers and essential for maintaining cellular redox balance, DNA synthesis, and apoptosis regulation [22,150,168]. Inhibition of TrxR by Au(I) complexes triggers accumulation of reactive oxygen species (ROS), endoplasmic reticulum (ER) stress, and intrinsic apoptosis [22,170]. Additionally, several gold complexes selectively accumulate in mitochondria due to their lipophilic cationic character, where they disrupt electron transport, depolarize the mitochondrial membrane, and induce cytochrome c release, further amplifying apoptotic signaling [170,177].</w:t>
      </w:r>
    </w:p>
    <w:p w14:paraId="4AACE443" w14:textId="77777777"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Recent years have seen the emergence of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-active gold complexes with refined architectures. Phosphine–Au(I) derivatives, such as cyclic trimers and tetramers containing P–Au–P motifs, demonstrated significant tumor growth inhibition in murine melanoma and prostate cancer models with minimal systemic toxicity [155,167]. NHC–Au(I) complexes, prized for their tunable sterics and electronics, exhibited nanomolar cytotoxicity and robust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for example, an oleanolic acid–conjugated NHC–Au(I) complex suppressed ovarian tumor xenografts by inhibiting TrxR and activating ROS-mediated ER stress [161,170].</w:t>
      </w:r>
    </w:p>
    <w:p w14:paraId="38BA409E" w14:textId="752BDAA4" w:rsidR="004819AC" w:rsidRPr="004819AC"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Hybrid gold–natural product conjugates represent another promising strategy. </w:t>
      </w:r>
      <w:proofErr w:type="gramStart"/>
      <w:r w:rsidRPr="004819AC">
        <w:rPr>
          <w:rFonts w:ascii="Times New Roman" w:hAnsi="Times New Roman" w:cs="Times New Roman"/>
          <w:sz w:val="20"/>
          <w:szCs w:val="20"/>
        </w:rPr>
        <w:t>Gold(</w:t>
      </w:r>
      <w:proofErr w:type="gramEnd"/>
      <w:r w:rsidRPr="004819AC">
        <w:rPr>
          <w:rFonts w:ascii="Times New Roman" w:hAnsi="Times New Roman" w:cs="Times New Roman"/>
          <w:sz w:val="20"/>
          <w:szCs w:val="20"/>
        </w:rPr>
        <w:t>III) complexes bearing isoquinoline alkaloid ligands showed potent activity against cisplatin-resistant A549/DDP lung cancer cells and reduced tumor burden in nude mice without weight loss, highlighting their potential in resistant malignancies [174]. Dinuclear Au(I)/</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III) systems, featuring orthometallated triphenylphosphine sulfide ligands, demonstrated enhanced cellular uptake and ROS-dependent cytotoxicity, achieving significant tumor regression in 4T1 murine breast cancer models [175,176].</w:t>
      </w:r>
    </w:p>
    <w:p w14:paraId="2FA797E9" w14:textId="1C35F11A" w:rsidR="004819AC" w:rsidRPr="0076398E" w:rsidRDefault="004819AC" w:rsidP="00D84361">
      <w:pPr>
        <w:spacing w:after="0"/>
        <w:jc w:val="both"/>
        <w:rPr>
          <w:rFonts w:ascii="Times New Roman" w:hAnsi="Times New Roman" w:cs="Times New Roman"/>
          <w:sz w:val="20"/>
          <w:szCs w:val="20"/>
        </w:rPr>
      </w:pPr>
      <w:r w:rsidRPr="004819AC">
        <w:rPr>
          <w:rFonts w:ascii="Times New Roman" w:hAnsi="Times New Roman" w:cs="Times New Roman"/>
          <w:sz w:val="20"/>
          <w:szCs w:val="20"/>
        </w:rPr>
        <w:t xml:space="preserve">Despite their promise, the clinical translation of gold complexes faces significant hurdles. Speciation—the transformation of the administered complex into multiple metabolites in biological media—complicates pharmacokinetic and mechanistic studies [151,178]. Ligand lability, particularly in </w:t>
      </w:r>
      <w:proofErr w:type="gramStart"/>
      <w:r w:rsidRPr="004819AC">
        <w:rPr>
          <w:rFonts w:ascii="Times New Roman" w:hAnsi="Times New Roman" w:cs="Times New Roman"/>
          <w:sz w:val="20"/>
          <w:szCs w:val="20"/>
        </w:rPr>
        <w:t>Au(</w:t>
      </w:r>
      <w:proofErr w:type="gramEnd"/>
      <w:r w:rsidRPr="004819AC">
        <w:rPr>
          <w:rFonts w:ascii="Times New Roman" w:hAnsi="Times New Roman" w:cs="Times New Roman"/>
          <w:sz w:val="20"/>
          <w:szCs w:val="20"/>
        </w:rPr>
        <w:t>III) systems, can lead to premature decomposition or nonspecific binding, reducing target selectivity [151]. Moreover, the potential for off-target interactions with serum proteins and glutathione necessitates careful ligand design to balance stability and reactivity [157,162].</w:t>
      </w:r>
      <w:r w:rsidRPr="0076398E">
        <w:rPr>
          <w:rFonts w:ascii="Times New Roman" w:hAnsi="Times New Roman" w:cs="Times New Roman"/>
          <w:sz w:val="20"/>
          <w:szCs w:val="20"/>
        </w:rPr>
        <w:t xml:space="preserve"> G</w:t>
      </w:r>
      <w:r w:rsidRPr="004819AC">
        <w:rPr>
          <w:rFonts w:ascii="Times New Roman" w:hAnsi="Times New Roman" w:cs="Times New Roman"/>
          <w:sz w:val="20"/>
          <w:szCs w:val="20"/>
        </w:rPr>
        <w:t xml:space="preserve">old complexes represent a versatile and mechanistically distinct class of metallodrugs with validated </w:t>
      </w:r>
      <w:r w:rsidRPr="004819AC">
        <w:rPr>
          <w:rFonts w:ascii="Times New Roman" w:hAnsi="Times New Roman" w:cs="Times New Roman"/>
          <w:i/>
          <w:iCs/>
          <w:sz w:val="20"/>
          <w:szCs w:val="20"/>
        </w:rPr>
        <w:t>in vivo</w:t>
      </w:r>
      <w:r w:rsidRPr="004819AC">
        <w:rPr>
          <w:rFonts w:ascii="Times New Roman" w:hAnsi="Times New Roman" w:cs="Times New Roman"/>
          <w:sz w:val="20"/>
          <w:szCs w:val="20"/>
        </w:rPr>
        <w:t xml:space="preserve"> efficacy. Strategic ligand engineering—particularly through NHCs, natural product hybrids, and multinuclear architectures—offers a path toward overcoming stability and selectivity challenges, positioning gold as a compelling candidate for next-generation anticancer therapy.</w:t>
      </w:r>
    </w:p>
    <w:p w14:paraId="38571A8E" w14:textId="77777777" w:rsidR="00315872" w:rsidRPr="0076398E" w:rsidRDefault="00315872" w:rsidP="00D84361">
      <w:pPr>
        <w:spacing w:after="0"/>
        <w:jc w:val="both"/>
        <w:rPr>
          <w:rFonts w:ascii="Times New Roman" w:hAnsi="Times New Roman" w:cs="Times New Roman"/>
          <w:sz w:val="20"/>
          <w:szCs w:val="20"/>
        </w:rPr>
      </w:pPr>
    </w:p>
    <w:p w14:paraId="17E03875" w14:textId="74AFDFFA"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Copper Complexes: Leveraging Endogenous Metal Biology</w:t>
      </w:r>
    </w:p>
    <w:p w14:paraId="0FE28EE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6.1. Copper in Cancer Biology: Angiogenesis and Redox Signaling</w:t>
      </w:r>
    </w:p>
    <w:p w14:paraId="01905EA7"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Copper is an essential trace element that serves as a cofactor for critical enzymes involved in mitochondrial respiration (cytochrome c oxidase), antioxidant defense (superoxide dismutase), and extracellular matrix remodeling (lysyl oxidase) [179,180]. In cancer, copper levels are frequently elevated in serum and tumor tissues, where it plays a pivotal role in angiogenesis—primarily through upregulation of vascular endothelial growth factor (VEGF)—and redox signaling that supports proliferation and metastasis [47,48]. This dysregulated copper homeostasis presents a metabolic vulnerability exploitable for therapeutic intervention.</w:t>
      </w:r>
    </w:p>
    <w:p w14:paraId="1A8BEB63"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6.2. Design Principles: Exploiting Elevated Tumor Copper Demand</w:t>
      </w:r>
    </w:p>
    <w:p w14:paraId="04D1E9B8" w14:textId="0E82912E"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Rational design of copper-based anticancer agents capitalizes on the heightened copper avidity of malignant cells. By coordinating redox-active Cu(I/II) centers with bioactive ligands—such as thiosemicarbazones (TSCs), Schiff bases, or phenanthrolines—researchers engineer complexes that undergo intracellular redox cycling, generating cytotoxic reactive oxygen species (ROS) while simultaneously disrupting copper-dependent pathways [47,18</w:t>
      </w:r>
      <w:r w:rsidR="000C2C36">
        <w:rPr>
          <w:rFonts w:ascii="Times New Roman" w:hAnsi="Times New Roman" w:cs="Times New Roman"/>
          <w:sz w:val="20"/>
          <w:szCs w:val="20"/>
        </w:rPr>
        <w:t>1</w:t>
      </w:r>
      <w:r w:rsidRPr="0095751B">
        <w:rPr>
          <w:rFonts w:ascii="Times New Roman" w:hAnsi="Times New Roman" w:cs="Times New Roman"/>
          <w:sz w:val="20"/>
          <w:szCs w:val="20"/>
        </w:rPr>
        <w:t>]. These complexes often exhibit selective uptake via copper transporters (e.g., CTR1), enhancing tumor specificity.</w:t>
      </w:r>
    </w:p>
    <w:p w14:paraId="03FFF20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6.3. Notable In Vivo–Active Cu Complexes</w:t>
      </w:r>
    </w:p>
    <w:p w14:paraId="0CF4BEE4" w14:textId="5281120A"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The Casiopeínas® family represents the most advanced copper-based metallodrugs, with Casiopeína II-gly and III having entered clinical trials for cervical, breast, and head/neck cancers [275–277]. These [</w:t>
      </w:r>
      <w:proofErr w:type="gramStart"/>
      <w:r w:rsidRPr="0095751B">
        <w:rPr>
          <w:rFonts w:ascii="Times New Roman" w:hAnsi="Times New Roman" w:cs="Times New Roman"/>
          <w:sz w:val="20"/>
          <w:szCs w:val="20"/>
        </w:rPr>
        <w:t>Cu(</w:t>
      </w:r>
      <w:proofErr w:type="gramEnd"/>
      <w:r w:rsidRPr="0095751B">
        <w:rPr>
          <w:rFonts w:ascii="Times New Roman" w:hAnsi="Times New Roman" w:cs="Times New Roman"/>
          <w:sz w:val="20"/>
          <w:szCs w:val="20"/>
        </w:rPr>
        <w:t>II)(N–N)(Gly)]⁺ complexes (N–N = diimine; Gly = glycine) induce DNA cleavage, ROS accumulation, and mitochondrial dysfunction. Beyond Casiopeínas®, thiosemicarbazone-derived Cu complexes (e.g., Cu-5) demonstrate exceptional potency—up to 3,480-fold greater than cisplatin in pancreatic (BxPC3, PSN1) and colon (HCT-15) cancer cells—and achieve 75% tumor mass reduction in HCT-15 xenografts without body weight loss [18</w:t>
      </w:r>
      <w:r w:rsidR="000C2C36">
        <w:rPr>
          <w:rFonts w:ascii="Times New Roman" w:hAnsi="Times New Roman" w:cs="Times New Roman"/>
          <w:sz w:val="20"/>
          <w:szCs w:val="20"/>
        </w:rPr>
        <w:t>1</w:t>
      </w:r>
      <w:r w:rsidRPr="0095751B">
        <w:rPr>
          <w:rFonts w:ascii="Times New Roman" w:hAnsi="Times New Roman" w:cs="Times New Roman"/>
          <w:sz w:val="20"/>
          <w:szCs w:val="20"/>
        </w:rPr>
        <w:t xml:space="preserve">]. Schiff base </w:t>
      </w:r>
      <w:proofErr w:type="gramStart"/>
      <w:r w:rsidRPr="0095751B">
        <w:rPr>
          <w:rFonts w:ascii="Times New Roman" w:hAnsi="Times New Roman" w:cs="Times New Roman"/>
          <w:sz w:val="20"/>
          <w:szCs w:val="20"/>
        </w:rPr>
        <w:t>Cu(</w:t>
      </w:r>
      <w:proofErr w:type="gramEnd"/>
      <w:r w:rsidRPr="0095751B">
        <w:rPr>
          <w:rFonts w:ascii="Times New Roman" w:hAnsi="Times New Roman" w:cs="Times New Roman"/>
          <w:sz w:val="20"/>
          <w:szCs w:val="20"/>
        </w:rPr>
        <w:t>II) complexes also exhibit strong in vivo efficacy in 3D spheroid and murine models, with mechanisms involving proteasome inhibition and lysosomal membrane permeabilization [278].</w:t>
      </w:r>
    </w:p>
    <w:p w14:paraId="244BDF79"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6.4. Theranostic Potential</w:t>
      </w:r>
    </w:p>
    <w:p w14:paraId="0DC8EE5A" w14:textId="11B918C9" w:rsidR="0095751B" w:rsidRPr="0076398E"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Copper’s favorable nuclear properties (e.g., ⁶⁴Cu for positron emission tomography) and the intrinsic luminescence of certain Cu(I) complexes enable theranostic applications. Luminescent Cu-phenanthroline derivatives allow real-time tracking of cellular uptake and subcellular localization, while ⁶⁴Cu-labeled complexes facilitate non-invasive PET imaging of tumor biodistribution—integrating diagnosis, treatment monitoring, and therapy within a single agent [18</w:t>
      </w:r>
      <w:r w:rsidR="000C2C36">
        <w:rPr>
          <w:rFonts w:ascii="Times New Roman" w:hAnsi="Times New Roman" w:cs="Times New Roman"/>
          <w:sz w:val="20"/>
          <w:szCs w:val="20"/>
        </w:rPr>
        <w:t>1</w:t>
      </w:r>
      <w:r w:rsidRPr="0095751B">
        <w:rPr>
          <w:rFonts w:ascii="Times New Roman" w:hAnsi="Times New Roman" w:cs="Times New Roman"/>
          <w:sz w:val="20"/>
          <w:szCs w:val="20"/>
        </w:rPr>
        <w:t>].</w:t>
      </w:r>
    </w:p>
    <w:p w14:paraId="51847394" w14:textId="4CBC0626"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Iridium and Osmium: Emerging Third-Row Transition Metals</w:t>
      </w:r>
    </w:p>
    <w:p w14:paraId="6152CBD5"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Iridium (Ir) and osmium (Os)—third-row transition metals in the platinum group—have garnered increasing attention in medicinal inorganic chemistry due to their distinct redox behavior, rich photophysics, and unique mechanisms of anticancer action that often circumvent platinum-associated resistance [49,234,258]. Unlike first- and second-row congeners, Ir and Os exhibit higher ligand field stabilization energies, slower ligand exchange kinetics, and access to multiple oxidation states under physiological conditions, enabling fine-tuned modulation of reactivity, stability, and subcellular targeting [49,235,260].</w:t>
      </w:r>
    </w:p>
    <w:p w14:paraId="406286C4"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7.1. Distinct Redox Behavior and Photophysical Properties</w:t>
      </w:r>
    </w:p>
    <w:p w14:paraId="1ED8E59F"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Both </w:t>
      </w:r>
      <w:proofErr w:type="gramStart"/>
      <w:r w:rsidRPr="0095751B">
        <w:rPr>
          <w:rFonts w:ascii="Times New Roman" w:hAnsi="Times New Roman" w:cs="Times New Roman"/>
          <w:sz w:val="20"/>
          <w:szCs w:val="20"/>
        </w:rPr>
        <w:t>Ir(</w:t>
      </w:r>
      <w:proofErr w:type="gramEnd"/>
      <w:r w:rsidRPr="0095751B">
        <w:rPr>
          <w:rFonts w:ascii="Times New Roman" w:hAnsi="Times New Roman" w:cs="Times New Roman"/>
          <w:sz w:val="20"/>
          <w:szCs w:val="20"/>
        </w:rPr>
        <w:t xml:space="preserve">III) and Os(II/VI) complexes display strong spin–orbit coupling, facilitating efficient intersystem crossing and long-lived triplet excited states. These properties underpin their utility in photodynamic therapy (PDT) and luminescent cellular imaging [234,238,263]. Moreover, their resistance to hydrolysis and redox-triggered activation in the tumor microenvironment enhance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stability and selectivity. Importantly, neither Ir nor Os exhibits cross-resistance with cisplatin, making them particularly valuable for treating refractory malignancies [17,264].</w:t>
      </w:r>
    </w:p>
    <w:p w14:paraId="01EDC521"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7.2. Iridium Complexes</w:t>
      </w:r>
    </w:p>
    <w:p w14:paraId="19B03797" w14:textId="77777777" w:rsidR="0095751B" w:rsidRPr="0095751B" w:rsidRDefault="0095751B" w:rsidP="00D84361">
      <w:pPr>
        <w:spacing w:after="0"/>
        <w:jc w:val="both"/>
        <w:rPr>
          <w:rFonts w:ascii="Times New Roman" w:hAnsi="Times New Roman" w:cs="Times New Roman"/>
          <w:sz w:val="20"/>
          <w:szCs w:val="20"/>
        </w:rPr>
      </w:pPr>
      <w:proofErr w:type="gramStart"/>
      <w:r w:rsidRPr="0095751B">
        <w:rPr>
          <w:rFonts w:ascii="Times New Roman" w:hAnsi="Times New Roman" w:cs="Times New Roman"/>
          <w:sz w:val="20"/>
          <w:szCs w:val="20"/>
        </w:rPr>
        <w:t>Iridium(</w:t>
      </w:r>
      <w:proofErr w:type="gramEnd"/>
      <w:r w:rsidRPr="0095751B">
        <w:rPr>
          <w:rFonts w:ascii="Times New Roman" w:hAnsi="Times New Roman" w:cs="Times New Roman"/>
          <w:sz w:val="20"/>
          <w:szCs w:val="20"/>
        </w:rPr>
        <w:t xml:space="preserve">III) complexes predominantly localize to mitochondria due to their lipophilic cationic nature and the negative mitochondrial membrane potential. Once internalized, they disrupt oxidative phosphorylation, induce mitochondrial membrane depolarization, and trigger caspase-dependent apoptosis [234,238]. Notably, certain cyclometalated </w:t>
      </w:r>
      <w:proofErr w:type="gramStart"/>
      <w:r w:rsidRPr="0095751B">
        <w:rPr>
          <w:rFonts w:ascii="Times New Roman" w:hAnsi="Times New Roman" w:cs="Times New Roman"/>
          <w:sz w:val="20"/>
          <w:szCs w:val="20"/>
        </w:rPr>
        <w:t>Ir(</w:t>
      </w:r>
      <w:proofErr w:type="gramEnd"/>
      <w:r w:rsidRPr="0095751B">
        <w:rPr>
          <w:rFonts w:ascii="Times New Roman" w:hAnsi="Times New Roman" w:cs="Times New Roman"/>
          <w:sz w:val="20"/>
          <w:szCs w:val="20"/>
        </w:rPr>
        <w:t>III) complexes also induce ferroptosis—an iron-dependent, non-apoptotic form of regulated cell death characterized by lipid peroxidation—by depleting glutathione and inactivating glutathione peroxidase 4 (GPX4) [236].</w:t>
      </w:r>
    </w:p>
    <w:p w14:paraId="185162F8"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A major advance lies in their application as photoactivated anticancer agents. For instance, the coumarin-functionalized, cyclometalated </w:t>
      </w:r>
      <w:proofErr w:type="gramStart"/>
      <w:r w:rsidRPr="0095751B">
        <w:rPr>
          <w:rFonts w:ascii="Times New Roman" w:hAnsi="Times New Roman" w:cs="Times New Roman"/>
          <w:sz w:val="20"/>
          <w:szCs w:val="20"/>
        </w:rPr>
        <w:t>Ir(</w:t>
      </w:r>
      <w:proofErr w:type="gramEnd"/>
      <w:r w:rsidRPr="0095751B">
        <w:rPr>
          <w:rFonts w:ascii="Times New Roman" w:hAnsi="Times New Roman" w:cs="Times New Roman"/>
          <w:sz w:val="20"/>
          <w:szCs w:val="20"/>
        </w:rPr>
        <w:t xml:space="preserve">III) complex Ir-10 remains inert in the dark toward normal cells but, upon visible-light irradiation, generates cytotoxic singlet oxygen and exhibits potent activity against sorafenib- and cisplatin-resistant cancer cells, with excellent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biocompatibility and tumor-selective ablation [238]. This dual functionality—combining imaging, therapy, and external spatiotemporal control—exemplifies the theranostic potential of Ir complexes.</w:t>
      </w:r>
    </w:p>
    <w:p w14:paraId="054E76AD"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7.3. Osmium Complexes</w:t>
      </w:r>
    </w:p>
    <w:p w14:paraId="2E2B6F4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Osmium complexes have been less explored but demonstrate remarkable biological profiles. The </w:t>
      </w:r>
      <w:proofErr w:type="gramStart"/>
      <w:r w:rsidRPr="0095751B">
        <w:rPr>
          <w:rFonts w:ascii="Times New Roman" w:hAnsi="Times New Roman" w:cs="Times New Roman"/>
          <w:sz w:val="20"/>
          <w:szCs w:val="20"/>
        </w:rPr>
        <w:t>Os(</w:t>
      </w:r>
      <w:proofErr w:type="gramEnd"/>
      <w:r w:rsidRPr="0095751B">
        <w:rPr>
          <w:rFonts w:ascii="Times New Roman" w:hAnsi="Times New Roman" w:cs="Times New Roman"/>
          <w:sz w:val="20"/>
          <w:szCs w:val="20"/>
        </w:rPr>
        <w:t xml:space="preserve">VI) nitrido core ([Os≡N]³⁺) is a stable, linear motif with high electrophilicity, enabling covalent DNA binding and intercalation [263,265]. Complexes such as Os-1 and Os-2—bearing phenanthroline or terpyridine ligands—show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cytotoxicity against glioblastoma. In intracranial xenograft models, Os-2 significantly extended median survival (27 days vs. 21 days for Os-1 and 18 days for control), underscoring the critical influence of ligand architecture on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despite Os-1 being more potent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 xml:space="preserve"> [263].</w:t>
      </w:r>
    </w:p>
    <w:p w14:paraId="535841D1"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Cyclometalated </w:t>
      </w:r>
      <w:proofErr w:type="gramStart"/>
      <w:r w:rsidRPr="0095751B">
        <w:rPr>
          <w:rFonts w:ascii="Times New Roman" w:hAnsi="Times New Roman" w:cs="Times New Roman"/>
          <w:sz w:val="20"/>
          <w:szCs w:val="20"/>
        </w:rPr>
        <w:t>Os(</w:t>
      </w:r>
      <w:proofErr w:type="gramEnd"/>
      <w:r w:rsidRPr="0095751B">
        <w:rPr>
          <w:rFonts w:ascii="Times New Roman" w:hAnsi="Times New Roman" w:cs="Times New Roman"/>
          <w:sz w:val="20"/>
          <w:szCs w:val="20"/>
        </w:rPr>
        <w:t>II) systems (e.g., Os-3, Os-4) feature enhanced lipophilicity and cellular uptake. These complexes activate the endoplasmic reticulum (ER) stress pathway, leading to phosphorylation of eukaryotic initiation factor 2α (eIF2α) and inhibition of protein synthesis. Crucially, their activity is unaffected by TP53 mutation status—a common resistance mechanism in cancer—and they remain effective in cisplatin-resistant models [264]. Furthermore, osmium substitution reduces susceptibility to efflux by ATP-binding cassette transporters (e.g., ABCB1), enhancing intracellular retention [264].</w:t>
      </w:r>
    </w:p>
    <w:p w14:paraId="7BE1DF04"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lastRenderedPageBreak/>
        <w:t xml:space="preserve">The </w:t>
      </w:r>
      <w:proofErr w:type="gramStart"/>
      <w:r w:rsidRPr="0095751B">
        <w:rPr>
          <w:rFonts w:ascii="Times New Roman" w:hAnsi="Times New Roman" w:cs="Times New Roman"/>
          <w:sz w:val="20"/>
          <w:szCs w:val="20"/>
        </w:rPr>
        <w:t>Os(</w:t>
      </w:r>
      <w:proofErr w:type="gramEnd"/>
      <w:r w:rsidRPr="0095751B">
        <w:rPr>
          <w:rFonts w:ascii="Times New Roman" w:hAnsi="Times New Roman" w:cs="Times New Roman"/>
          <w:sz w:val="20"/>
          <w:szCs w:val="20"/>
        </w:rPr>
        <w:t xml:space="preserve">VI) Schiff base complex Os-5 exhibits broad-spectrum activity (IC₅₀ = 2.8–8.4 µM across HeLa, A549, HepG2, and others) and retains potency against cisplatin-resistant A549/DDP cells (IC₅₀ = 13.8 µM).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Os-5 achieved a 48.9% tumor inhibition rate in HepG2 xenografts—comparable to cisplatin (56.8%)—without causing weight loss or systemic toxicity [265].</w:t>
      </w:r>
    </w:p>
    <w:p w14:paraId="23359278" w14:textId="77777777" w:rsidR="0095751B" w:rsidRPr="0095751B" w:rsidRDefault="0095751B" w:rsidP="00D84361">
      <w:pPr>
        <w:spacing w:after="0"/>
        <w:jc w:val="both"/>
        <w:rPr>
          <w:rFonts w:ascii="Times New Roman" w:hAnsi="Times New Roman" w:cs="Times New Roman"/>
          <w:b/>
          <w:bCs/>
          <w:sz w:val="20"/>
          <w:szCs w:val="20"/>
        </w:rPr>
      </w:pPr>
      <w:r w:rsidRPr="0095751B">
        <w:rPr>
          <w:rFonts w:ascii="Times New Roman" w:hAnsi="Times New Roman" w:cs="Times New Roman"/>
          <w:sz w:val="20"/>
          <w:szCs w:val="20"/>
        </w:rPr>
        <w:t>7.4. Comparative In Vivo Survival and Tumor Inhibition Data</w:t>
      </w:r>
    </w:p>
    <w:p w14:paraId="5940BC5D"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Direct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comparisons are limited but revealing. In murine 3LL lung cancer models, Os-3 and Os-4 outperformed their Ru analogs in tumor growth suppression, attributed to enhanced eIF2α phosphorylation and evasion of efflux pumps [264]. In CT26 colon carcinoma–bearing BALB/c mice, Os-9-PDT reduced tumor volume by 4.67-fold versus control, with no observable toxicity, highlighting the efficacy of osmium-based phototherapeutics [265]. While no Ir or Os complex has yet entered clinical trials, their consistent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efficacy, multimodal mechanisms (mitochondrial disruption, ER stress, ferroptosis, PDT), and activity in genetically complex or resistant tumors position them as compelling candidates for next-generation metallodrugs.</w:t>
      </w:r>
    </w:p>
    <w:p w14:paraId="377DBEC1" w14:textId="77777777" w:rsidR="0095751B" w:rsidRPr="0095751B" w:rsidRDefault="0095751B" w:rsidP="00D84361">
      <w:pPr>
        <w:spacing w:after="0"/>
        <w:jc w:val="both"/>
        <w:rPr>
          <w:rFonts w:ascii="Times New Roman" w:hAnsi="Times New Roman" w:cs="Times New Roman"/>
          <w:sz w:val="20"/>
          <w:szCs w:val="20"/>
        </w:rPr>
      </w:pPr>
    </w:p>
    <w:p w14:paraId="29C3715D" w14:textId="329FE251" w:rsidR="0095751B" w:rsidRPr="0076398E" w:rsidRDefault="0095751B"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Critical Analysis and Comparative Assessment</w:t>
      </w:r>
    </w:p>
    <w:p w14:paraId="51AD88C3" w14:textId="20FCDF8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Recent </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studies (2017–2023) reveal marked differences in therapeutic profiles across metal classes. Platinum complexes such as Pt-4 (jatrorrhizine-based) and HSA-Pt-28 achieved tumor inhibition rates of 48.8% and ~60%, respectively, in HeLa and SK-N-MC xenografts, outperforming cisplatin while sparing renal and hepatic function [74,96]. Ruthenium complexes like Ru-4 (coumarin-benzimidazole) demonstrated 61% inhibition in NCI-H460 lung tumors—more than double cisplatin’s effect—without systemic toxicity [42]. </w:t>
      </w:r>
      <w:proofErr w:type="gramStart"/>
      <w:r w:rsidRPr="0095751B">
        <w:rPr>
          <w:rFonts w:ascii="Times New Roman" w:hAnsi="Times New Roman" w:cs="Times New Roman"/>
          <w:sz w:val="20"/>
          <w:szCs w:val="20"/>
        </w:rPr>
        <w:t>Gold(</w:t>
      </w:r>
      <w:proofErr w:type="gramEnd"/>
      <w:r w:rsidRPr="0095751B">
        <w:rPr>
          <w:rFonts w:ascii="Times New Roman" w:hAnsi="Times New Roman" w:cs="Times New Roman"/>
          <w:sz w:val="20"/>
          <w:szCs w:val="20"/>
        </w:rPr>
        <w:t>III) analogs and Casiopeína III showed 48–75% tumor mass reduction in resistant models, notably with negligible weight loss [174,275–277]. Osmium nitrido complex Os-5 matched cisplatin’s efficacy (48.9% vs. 56.8%) in HepG2 xenografts but with lower toxicity [265], while Os-2 extended median survival to 27 days in orthotopic glioblastoma models versus 18 days for controls [263]. Iridium PDT agent Ir-10 and Os-9-PDT exhibited tumor volume reductions by &gt;4.5-fold in phototherapeutic settings, highlighting the advantage of spatiotemporal control [238,265].</w:t>
      </w:r>
    </w:p>
    <w:p w14:paraId="7E233375" w14:textId="77777777" w:rsidR="0095751B" w:rsidRPr="0076398E"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Efficacy correlates strongly with ligand architecture and metal redox state. Electron-donating or extended π-systems (e.g., coumarin, quinoline, benzimidazole) enhance DNA intercalation and cellular uptake. Cyclometalation in </w:t>
      </w:r>
      <w:proofErr w:type="gramStart"/>
      <w:r w:rsidRPr="0095751B">
        <w:rPr>
          <w:rFonts w:ascii="Times New Roman" w:hAnsi="Times New Roman" w:cs="Times New Roman"/>
          <w:sz w:val="20"/>
          <w:szCs w:val="20"/>
        </w:rPr>
        <w:t>Ir(</w:t>
      </w:r>
      <w:proofErr w:type="gramEnd"/>
      <w:r w:rsidRPr="0095751B">
        <w:rPr>
          <w:rFonts w:ascii="Times New Roman" w:hAnsi="Times New Roman" w:cs="Times New Roman"/>
          <w:sz w:val="20"/>
          <w:szCs w:val="20"/>
        </w:rPr>
        <w:t>III) and Os(II) improves lipophilicity and mitochondrial targeting, while N-heterocyclic carbene (NHC) ligands in Au(I) and Ru(II) complexes confer stability and TrxR inhibition. Notably, subtle changes—such as fluorination in Ru-4 or alkyl chain length in Pt-4—dramatically alter selectivity and potency, underscoring the sensitivity of SAR to minor structural perturbations [42,74].</w:t>
      </w:r>
    </w:p>
    <w:p w14:paraId="4044A246" w14:textId="405453E4"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 xml:space="preserve">Despite promising murine data, few metallodrugs advance due to poor scalability, undefined mechanisms, and inadequate ADME (absorption, distribution, metabolism, excretion) profiling. Many complexes decompose in serum or undergo uncontrolled speciation, rendering </w:t>
      </w:r>
      <w:r w:rsidRPr="0095751B">
        <w:rPr>
          <w:rFonts w:ascii="Times New Roman" w:hAnsi="Times New Roman" w:cs="Times New Roman"/>
          <w:i/>
          <w:iCs/>
          <w:sz w:val="20"/>
          <w:szCs w:val="20"/>
        </w:rPr>
        <w:t>in vitro</w:t>
      </w:r>
      <w:r w:rsidRPr="0095751B">
        <w:rPr>
          <w:rFonts w:ascii="Times New Roman" w:hAnsi="Times New Roman" w:cs="Times New Roman"/>
          <w:sz w:val="20"/>
          <w:szCs w:val="20"/>
        </w:rPr>
        <w:t>–</w:t>
      </w:r>
      <w:r w:rsidRPr="0095751B">
        <w:rPr>
          <w:rFonts w:ascii="Times New Roman" w:hAnsi="Times New Roman" w:cs="Times New Roman"/>
          <w:i/>
          <w:iCs/>
          <w:sz w:val="20"/>
          <w:szCs w:val="20"/>
        </w:rPr>
        <w:t>in vivo</w:t>
      </w:r>
      <w:r w:rsidRPr="0095751B">
        <w:rPr>
          <w:rFonts w:ascii="Times New Roman" w:hAnsi="Times New Roman" w:cs="Times New Roman"/>
          <w:sz w:val="20"/>
          <w:szCs w:val="20"/>
        </w:rPr>
        <w:t xml:space="preserve"> correlations unreliable [151,178].</w:t>
      </w:r>
    </w:p>
    <w:p w14:paraId="6AF2DEF9" w14:textId="77777777" w:rsidR="0095751B" w:rsidRPr="0095751B" w:rsidRDefault="0095751B" w:rsidP="00D84361">
      <w:pPr>
        <w:spacing w:after="0"/>
        <w:jc w:val="both"/>
        <w:rPr>
          <w:rFonts w:ascii="Times New Roman" w:hAnsi="Times New Roman" w:cs="Times New Roman"/>
          <w:sz w:val="20"/>
          <w:szCs w:val="20"/>
        </w:rPr>
      </w:pPr>
      <w:r w:rsidRPr="0095751B">
        <w:rPr>
          <w:rFonts w:ascii="Times New Roman" w:hAnsi="Times New Roman" w:cs="Times New Roman"/>
          <w:sz w:val="20"/>
          <w:szCs w:val="20"/>
        </w:rPr>
        <w:t>Critical gaps persist in understanding metal complex metabolism. Few studies report tissue distribution, clearance kinetics, or active metabolite identification. Without radiolabeling (e.g., ⁶⁴Cu-PET) or mass spectrometry–based tracking, biodistribution remains inferred, hindering rational optimization for human use.</w:t>
      </w:r>
    </w:p>
    <w:p w14:paraId="494B1F91" w14:textId="77777777" w:rsidR="0095751B" w:rsidRPr="0076398E" w:rsidRDefault="0095751B" w:rsidP="00D84361">
      <w:pPr>
        <w:spacing w:after="0"/>
        <w:jc w:val="both"/>
        <w:rPr>
          <w:rFonts w:ascii="Times New Roman" w:hAnsi="Times New Roman" w:cs="Times New Roman"/>
          <w:sz w:val="20"/>
          <w:szCs w:val="20"/>
        </w:rPr>
      </w:pPr>
    </w:p>
    <w:p w14:paraId="161156BC" w14:textId="1C7F0199" w:rsidR="00C311FC" w:rsidRPr="0076398E" w:rsidRDefault="00C311FC" w:rsidP="00315872">
      <w:pPr>
        <w:pStyle w:val="ListParagraph"/>
        <w:numPr>
          <w:ilvl w:val="1"/>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Future Perspectives and Translational Roadmap</w:t>
      </w:r>
    </w:p>
    <w:p w14:paraId="540A08AB"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translational potential of metallodrugs remains hampered by inconsistent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methodologies. Variability in animal models (e.g., immunocompromised vs. immunocompetent, orthotopic vs. subcutaneous), dosing regimens, administration routes, and endpoint definitions (tumor volume vs. survival vs. metastasis burden) impedes cross-study comparisons and reliable SAR extrapolation. Community-wide adoption of standardized preclinical protocols—aligned with FDA/EMA guidance—will enhance reproducibility and predictive validity.</w:t>
      </w:r>
    </w:p>
    <w:p w14:paraId="1FFB7D16" w14:textId="77777777" w:rsidR="00C311FC" w:rsidRPr="00C311FC" w:rsidRDefault="00C311FC" w:rsidP="00D84361">
      <w:pPr>
        <w:spacing w:after="0"/>
        <w:jc w:val="both"/>
        <w:rPr>
          <w:rFonts w:ascii="Times New Roman" w:hAnsi="Times New Roman" w:cs="Times New Roman"/>
          <w:b/>
          <w:bCs/>
          <w:sz w:val="20"/>
          <w:szCs w:val="20"/>
        </w:rPr>
      </w:pPr>
      <w:r w:rsidRPr="00C311FC">
        <w:rPr>
          <w:rFonts w:ascii="Times New Roman" w:hAnsi="Times New Roman" w:cs="Times New Roman"/>
          <w:sz w:val="20"/>
          <w:szCs w:val="20"/>
        </w:rPr>
        <w:t>9.2. Rational Design: Targeting, Stimuli-Responsiveness, and Combination Therapy</w:t>
      </w:r>
    </w:p>
    <w:p w14:paraId="0DFA7D3A"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Next-generation metallodrugs must integrate rational design principles to improve selectivity and efficacy. Tumor-targeting strategies include conjugation to ligands (e.g., folate, peptides) or biomacromolecules (e.g., albumin, antibodies) that exploit overexpressed receptors or the enhanced permeability and retention (EPR) effect. Stimuli-responsive systems—activated by tumor-specific cues such as hypoxia (</w:t>
      </w:r>
      <w:proofErr w:type="gramStart"/>
      <w:r w:rsidRPr="00C311FC">
        <w:rPr>
          <w:rFonts w:ascii="Times New Roman" w:hAnsi="Times New Roman" w:cs="Times New Roman"/>
          <w:sz w:val="20"/>
          <w:szCs w:val="20"/>
        </w:rPr>
        <w:t>Ru(</w:t>
      </w:r>
      <w:proofErr w:type="gramEnd"/>
      <w:r w:rsidRPr="00C311FC">
        <w:rPr>
          <w:rFonts w:ascii="Times New Roman" w:hAnsi="Times New Roman" w:cs="Times New Roman"/>
          <w:sz w:val="20"/>
          <w:szCs w:val="20"/>
        </w:rPr>
        <w:t>III)→Ru(II)), light (Ir/Os-PDT), or elevated ROS (Cu complexes)—offer spatiotemporal control. Furthermore, synergistic combinations with immunotherapy, PARP inhibitors, or conventional chemotherapeutics may overcome resistance and amplify immunogenic cell death.</w:t>
      </w:r>
    </w:p>
    <w:p w14:paraId="4A49BECE"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Artificial intelligence and machine learning (AI/ML) can accelerate metallodrug discovery by predicting ADMET properties, redox stability, and target engagement from structural descriptors. Coupled with high-throughput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platforms—such as zebrafish xenografts, patient-derived organoids, or murine avatar models—these tools enable rapid triage of lead candidates beyond simplistic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cytotoxicity.</w:t>
      </w:r>
    </w:p>
    <w:p w14:paraId="00D4E9E2" w14:textId="77777777"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Advancing metallodrugs into humans demands robust IND-enabling packages: comprehensive pharmacokinetics, tissue biodistribution, metabolite identification, genotoxicity, and repeat-dose toxicology in two species. Crucially, speciation studies must define the active </w:t>
      </w:r>
      <w:r w:rsidRPr="00C311FC">
        <w:rPr>
          <w:rFonts w:ascii="Times New Roman" w:hAnsi="Times New Roman" w:cs="Times New Roman"/>
          <w:sz w:val="20"/>
          <w:szCs w:val="20"/>
        </w:rPr>
        <w:lastRenderedPageBreak/>
        <w:t xml:space="preserve">form(s)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Manufacturing under Good Manufacturing Practice (GMP) and rigorous characterization of metal–ligand stability in physiological matrices are non-negotiable for regulatory approval. Only through such integrated, discipline-bridging efforts can the promise of metallodrugs be fully realized in the clinic.</w:t>
      </w:r>
    </w:p>
    <w:p w14:paraId="621444E5" w14:textId="77777777" w:rsidR="004819AC" w:rsidRPr="004819AC" w:rsidRDefault="004819AC" w:rsidP="00D84361">
      <w:pPr>
        <w:spacing w:after="0"/>
        <w:jc w:val="both"/>
        <w:rPr>
          <w:rFonts w:ascii="Times New Roman" w:hAnsi="Times New Roman" w:cs="Times New Roman"/>
          <w:sz w:val="20"/>
          <w:szCs w:val="20"/>
        </w:rPr>
      </w:pPr>
    </w:p>
    <w:p w14:paraId="18EE31CA" w14:textId="2987293D" w:rsidR="00C311FC" w:rsidRPr="0076398E" w:rsidRDefault="00F35391" w:rsidP="00315872">
      <w:pPr>
        <w:pStyle w:val="ListParagraph"/>
        <w:numPr>
          <w:ilvl w:val="0"/>
          <w:numId w:val="3"/>
        </w:numPr>
        <w:spacing w:after="0"/>
        <w:jc w:val="both"/>
        <w:rPr>
          <w:rFonts w:ascii="Times New Roman" w:hAnsi="Times New Roman" w:cs="Times New Roman"/>
          <w:b/>
          <w:bCs/>
          <w:sz w:val="20"/>
          <w:szCs w:val="20"/>
        </w:rPr>
      </w:pPr>
      <w:r w:rsidRPr="0076398E">
        <w:rPr>
          <w:rFonts w:ascii="Times New Roman" w:hAnsi="Times New Roman" w:cs="Times New Roman"/>
          <w:b/>
          <w:bCs/>
          <w:sz w:val="20"/>
          <w:szCs w:val="20"/>
        </w:rPr>
        <w:t>CONCLUSION</w:t>
      </w:r>
    </w:p>
    <w:p w14:paraId="51ADBE88" w14:textId="6D66B9AE" w:rsidR="00C311FC" w:rsidRPr="00C311FC"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The period 2017–2023 has witnessed significant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advances in metal-based anticancer agents beyond platinum. </w:t>
      </w:r>
      <w:proofErr w:type="gramStart"/>
      <w:r w:rsidRPr="00C311FC">
        <w:rPr>
          <w:rFonts w:ascii="Times New Roman" w:hAnsi="Times New Roman" w:cs="Times New Roman"/>
          <w:sz w:val="20"/>
          <w:szCs w:val="20"/>
        </w:rPr>
        <w:t>Platinum(</w:t>
      </w:r>
      <w:proofErr w:type="gramEnd"/>
      <w:r w:rsidRPr="00C311FC">
        <w:rPr>
          <w:rFonts w:ascii="Times New Roman" w:hAnsi="Times New Roman" w:cs="Times New Roman"/>
          <w:sz w:val="20"/>
          <w:szCs w:val="20"/>
        </w:rPr>
        <w:t xml:space="preserve">II/IV) complexes—functionalized with quinoline, jatrorrhizine, or human serum albumin—demonstrated enhanced tumor selectivity, mitochondrial targeting, and anti-angiogenic activity, often surpassing cisplatin in efficacy while reducing systemic toxicity. Ruthenium complexes, particularly coumarin- and benzimidazole-based derivatives, achieved tumor inhibition rates up to 61% in xenograft models and exhibited unique anti-metastatic and ER stress–inducing properties. Gold(I/III) complexes, especially NHC- and natural product–conjugated systems, effectively inhibited thioredoxin reductase and showed potent activity in resistant models with minimal off-target effects. Copper-based agents, notably Casiopeínas® and thiosemicarbazone derivatives, leveraged endogenous copper biology to induce ROS-mediated apoptosis, with one complex reducing tumor mass by 75% in colon cancer models. Iridium and osmium complexes—though preclinical—displayed compelling multimodal mechanisms, including photodynamic cytotoxicity, ferroptosis induction, and activity in </w:t>
      </w:r>
      <w:r w:rsidRPr="00C311FC">
        <w:rPr>
          <w:rFonts w:ascii="Times New Roman" w:hAnsi="Times New Roman" w:cs="Times New Roman"/>
          <w:i/>
          <w:iCs/>
          <w:sz w:val="20"/>
          <w:szCs w:val="20"/>
        </w:rPr>
        <w:t>TP53</w:t>
      </w:r>
      <w:r w:rsidRPr="00C311FC">
        <w:rPr>
          <w:rFonts w:ascii="Times New Roman" w:hAnsi="Times New Roman" w:cs="Times New Roman"/>
          <w:sz w:val="20"/>
          <w:szCs w:val="20"/>
        </w:rPr>
        <w:t>-mutant or cisplatin-resistant settings, with osmium nitrido complexes matching cisplatin’s tumor inhibition while avoiding cross-resistance.</w:t>
      </w:r>
    </w:p>
    <w:p w14:paraId="11734080" w14:textId="77777777" w:rsidR="00C311FC" w:rsidRPr="0076398E" w:rsidRDefault="00C311FC" w:rsidP="00D84361">
      <w:pPr>
        <w:spacing w:after="0"/>
        <w:jc w:val="both"/>
        <w:rPr>
          <w:rFonts w:ascii="Times New Roman" w:hAnsi="Times New Roman" w:cs="Times New Roman"/>
          <w:sz w:val="20"/>
          <w:szCs w:val="20"/>
        </w:rPr>
      </w:pPr>
      <w:r w:rsidRPr="00C311FC">
        <w:rPr>
          <w:rFonts w:ascii="Times New Roman" w:hAnsi="Times New Roman" w:cs="Times New Roman"/>
          <w:sz w:val="20"/>
          <w:szCs w:val="20"/>
        </w:rPr>
        <w:t xml:space="preserve">Collectively, these findings reaffirm the therapeutic promise of non-platinum metallodrugs as versatile, mechanism-diverse alternatives capable of addressing key limitations of conventional chemotherapy. However, the persistent gap between </w:t>
      </w:r>
      <w:r w:rsidRPr="00C311FC">
        <w:rPr>
          <w:rFonts w:ascii="Times New Roman" w:hAnsi="Times New Roman" w:cs="Times New Roman"/>
          <w:i/>
          <w:iCs/>
          <w:sz w:val="20"/>
          <w:szCs w:val="20"/>
        </w:rPr>
        <w:t>in vitro</w:t>
      </w:r>
      <w:r w:rsidRPr="00C311FC">
        <w:rPr>
          <w:rFonts w:ascii="Times New Roman" w:hAnsi="Times New Roman" w:cs="Times New Roman"/>
          <w:sz w:val="20"/>
          <w:szCs w:val="20"/>
        </w:rPr>
        <w:t xml:space="preserve"> potency and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efficacy underscores a critical need: </w:t>
      </w:r>
      <w:r w:rsidRPr="00C311FC">
        <w:rPr>
          <w:rFonts w:ascii="Times New Roman" w:hAnsi="Times New Roman" w:cs="Times New Roman"/>
          <w:i/>
          <w:iCs/>
          <w:sz w:val="20"/>
          <w:szCs w:val="20"/>
        </w:rPr>
        <w:t>in vivo</w:t>
      </w:r>
      <w:r w:rsidRPr="00C311FC">
        <w:rPr>
          <w:rFonts w:ascii="Times New Roman" w:hAnsi="Times New Roman" w:cs="Times New Roman"/>
          <w:sz w:val="20"/>
          <w:szCs w:val="20"/>
        </w:rPr>
        <w:t xml:space="preserve"> validation must be integrated early in the drug discovery pipeline. Robust animal studies—not merely as a final checkpoint but as a guiding tool for rational design—are essential to accelerate the translation of metallodrugs from bench to bedside.</w:t>
      </w:r>
    </w:p>
    <w:p w14:paraId="7361A9BE" w14:textId="77777777" w:rsidR="0076398E" w:rsidRPr="0076398E" w:rsidRDefault="0076398E" w:rsidP="0076398E">
      <w:pPr>
        <w:pStyle w:val="Default"/>
        <w:rPr>
          <w:rFonts w:ascii="Times New Roman" w:hAnsi="Times New Roman" w:cs="Times New Roman"/>
        </w:rPr>
      </w:pPr>
    </w:p>
    <w:p w14:paraId="5BD2771E" w14:textId="77777777" w:rsidR="0021766C" w:rsidRDefault="0021766C" w:rsidP="00815DC3">
      <w:pPr>
        <w:spacing w:after="0" w:line="259" w:lineRule="auto"/>
        <w:jc w:val="center"/>
        <w:rPr>
          <w:rFonts w:ascii="Times New Roman" w:hAnsi="Times New Roman" w:cs="Times New Roman"/>
          <w:b/>
          <w:bCs/>
          <w:sz w:val="20"/>
          <w:szCs w:val="20"/>
        </w:rPr>
      </w:pPr>
    </w:p>
    <w:p w14:paraId="4B6D3CC5" w14:textId="73AD563E" w:rsidR="00D84361" w:rsidRDefault="00F35391" w:rsidP="00815DC3">
      <w:pPr>
        <w:spacing w:after="0" w:line="259" w:lineRule="auto"/>
        <w:jc w:val="center"/>
        <w:rPr>
          <w:rFonts w:ascii="Times New Roman" w:hAnsi="Times New Roman" w:cs="Times New Roman"/>
          <w:b/>
          <w:bCs/>
          <w:sz w:val="20"/>
          <w:szCs w:val="20"/>
        </w:rPr>
      </w:pPr>
      <w:bookmarkStart w:id="0" w:name="_GoBack"/>
      <w:bookmarkEnd w:id="0"/>
      <w:r w:rsidRPr="00815DC3">
        <w:rPr>
          <w:rFonts w:ascii="Times New Roman" w:hAnsi="Times New Roman" w:cs="Times New Roman"/>
          <w:b/>
          <w:bCs/>
          <w:sz w:val="20"/>
          <w:szCs w:val="20"/>
        </w:rPr>
        <w:t>REFERENCES</w:t>
      </w:r>
    </w:p>
    <w:p w14:paraId="5B6CB9EF" w14:textId="77777777" w:rsidR="008B5058" w:rsidRPr="00815DC3" w:rsidRDefault="008B5058" w:rsidP="00815DC3">
      <w:pPr>
        <w:spacing w:after="0" w:line="259" w:lineRule="auto"/>
        <w:jc w:val="center"/>
        <w:rPr>
          <w:rFonts w:ascii="Times New Roman" w:hAnsi="Times New Roman" w:cs="Times New Roman"/>
          <w:b/>
          <w:bCs/>
          <w:sz w:val="20"/>
          <w:szCs w:val="20"/>
        </w:rPr>
      </w:pPr>
    </w:p>
    <w:p w14:paraId="63335874" w14:textId="04F716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w:t>
      </w:r>
      <w:r w:rsidRPr="00181D97">
        <w:rPr>
          <w:rFonts w:ascii="Times New Roman" w:hAnsi="Times New Roman" w:cs="Times New Roman"/>
          <w:sz w:val="20"/>
          <w:szCs w:val="20"/>
        </w:rPr>
        <w:tab/>
      </w:r>
      <w:r w:rsidR="008B5058" w:rsidRPr="00181D97">
        <w:rPr>
          <w:rFonts w:ascii="Times New Roman" w:hAnsi="Times New Roman" w:cs="Times New Roman"/>
          <w:sz w:val="20"/>
          <w:szCs w:val="20"/>
        </w:rPr>
        <w:t>Lind, M. J. (2008). Principles of cytotoxic chemotherapy. Medicine, 36, 19–23. https://doi.org/10.1016/j.mpmed.2007.10.003</w:t>
      </w:r>
    </w:p>
    <w:p w14:paraId="43D541B1" w14:textId="1CD1966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w:t>
      </w:r>
      <w:r w:rsidRPr="00181D97">
        <w:rPr>
          <w:rFonts w:ascii="Times New Roman" w:hAnsi="Times New Roman" w:cs="Times New Roman"/>
          <w:sz w:val="20"/>
          <w:szCs w:val="20"/>
        </w:rPr>
        <w:tab/>
      </w:r>
      <w:r w:rsidR="00F073E0" w:rsidRPr="00181D97">
        <w:rPr>
          <w:rFonts w:ascii="Times New Roman" w:hAnsi="Times New Roman" w:cs="Times New Roman"/>
          <w:sz w:val="20"/>
          <w:szCs w:val="20"/>
        </w:rPr>
        <w:t>Das, A., Deka, D., Banerjee, A., Radhakrishnan, A. K., Zhang, H., Sun, X.-F., &amp; Pathak, S. (2022). A concise review on the role of natural and synthetically derived peptides in colorectal cancer. Current Topics in Medicinal Chemistry. https://doi.org/10.2174/1568026622666220516105049</w:t>
      </w:r>
    </w:p>
    <w:p w14:paraId="6745FE30" w14:textId="3200071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w:t>
      </w:r>
      <w:r w:rsidRPr="00181D97">
        <w:rPr>
          <w:rFonts w:ascii="Times New Roman" w:hAnsi="Times New Roman" w:cs="Times New Roman"/>
          <w:sz w:val="20"/>
          <w:szCs w:val="20"/>
        </w:rPr>
        <w:tab/>
      </w:r>
      <w:r w:rsidR="002D7399" w:rsidRPr="00181D97">
        <w:rPr>
          <w:rFonts w:ascii="Times New Roman" w:hAnsi="Times New Roman" w:cs="Times New Roman"/>
          <w:sz w:val="20"/>
          <w:szCs w:val="20"/>
        </w:rPr>
        <w:t>Banerjee, A., Deka, D., Muralikumar, M., Sun-Zhang, A., Bisgin, A., Christopher, C., Zhang, H., Sun, X.-F., &amp; Pathak, S. (2023). A concise review on miRNAs as regulators of colon cancer stem cells and associated signalling pathways. Clinical and Translational Oncology, 25, 3345–3356. https://doi.org/10.1007/s12094-023-03200-x</w:t>
      </w:r>
    </w:p>
    <w:p w14:paraId="03355DF2" w14:textId="7F6D38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w:t>
      </w:r>
      <w:r w:rsidRPr="00181D97">
        <w:rPr>
          <w:rFonts w:ascii="Times New Roman" w:hAnsi="Times New Roman" w:cs="Times New Roman"/>
          <w:sz w:val="20"/>
          <w:szCs w:val="20"/>
        </w:rPr>
        <w:tab/>
      </w:r>
      <w:r w:rsidR="00C870C4" w:rsidRPr="00181D97">
        <w:rPr>
          <w:rFonts w:ascii="Times New Roman" w:hAnsi="Times New Roman" w:cs="Times New Roman"/>
          <w:sz w:val="20"/>
          <w:szCs w:val="20"/>
        </w:rPr>
        <w:t>Li, M., Park, J. Y., Sheikh, M., Kayamba, V., Rumgay, H., Jenab, M., Narh, C. T., Abedi-Ardekani, B., Morgan, E., de Martel, C., McCormack, V., &amp; Arnold, M. (2023). Population-based investigation of common and deviating patterns of gastric cancer and oesophageal cancer incidence across populations and time. Gut, 72(5), 846–854. https://doi.org/10.1136/gutjnl-2022-328233</w:t>
      </w:r>
    </w:p>
    <w:p w14:paraId="3161AC9C" w14:textId="0E2115C3" w:rsidR="00D84361" w:rsidRPr="00181D97" w:rsidRDefault="00D84361" w:rsidP="00DD4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w:t>
      </w:r>
      <w:r w:rsidRPr="00181D97">
        <w:rPr>
          <w:rFonts w:ascii="Times New Roman" w:hAnsi="Times New Roman" w:cs="Times New Roman"/>
          <w:sz w:val="20"/>
          <w:szCs w:val="20"/>
        </w:rPr>
        <w:tab/>
      </w:r>
      <w:r w:rsidR="00674165" w:rsidRPr="00181D97">
        <w:rPr>
          <w:rFonts w:ascii="Times New Roman" w:hAnsi="Times New Roman" w:cs="Times New Roman"/>
          <w:sz w:val="20"/>
          <w:szCs w:val="20"/>
        </w:rPr>
        <w:t>Das, A., Deka, D., Baildya, N., Banerjee, A., Bisgin, A., Adhikari, S., Duttaroy, A. K., &amp; Pathak, S. (2023). BMAP-27 peptide reduces proliferation and increases apoptosis in primary and metastatic colon cancer cell lines. International Journal of Peptide Research and Therapeutics, 29(6), 100. https://doi.org/10.1007/s10989-023-10572-9</w:t>
      </w:r>
    </w:p>
    <w:p w14:paraId="0B27B026" w14:textId="558AB35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w:t>
      </w:r>
      <w:r w:rsidRPr="00181D97">
        <w:rPr>
          <w:rFonts w:ascii="Times New Roman" w:hAnsi="Times New Roman" w:cs="Times New Roman"/>
          <w:sz w:val="20"/>
          <w:szCs w:val="20"/>
        </w:rPr>
        <w:tab/>
      </w:r>
      <w:r w:rsidR="00EB332E" w:rsidRPr="00181D97">
        <w:rPr>
          <w:rFonts w:ascii="Times New Roman" w:hAnsi="Times New Roman" w:cs="Times New Roman"/>
          <w:sz w:val="20"/>
          <w:szCs w:val="20"/>
        </w:rPr>
        <w:t>Zhang, H., &amp; Chen, J. (2018). Current status and future directions of cancer immunotherapy. Journal of Cancer. https://doi.org/10.7150/jca.24577</w:t>
      </w:r>
    </w:p>
    <w:p w14:paraId="0C9D5343" w14:textId="29D1524A"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w:t>
      </w:r>
      <w:r w:rsidRPr="00181D97">
        <w:rPr>
          <w:rFonts w:ascii="Times New Roman" w:hAnsi="Times New Roman" w:cs="Times New Roman"/>
          <w:sz w:val="20"/>
          <w:szCs w:val="20"/>
        </w:rPr>
        <w:tab/>
      </w:r>
      <w:r w:rsidR="00B24093" w:rsidRPr="00181D97">
        <w:rPr>
          <w:rFonts w:ascii="Times New Roman" w:hAnsi="Times New Roman" w:cs="Times New Roman"/>
          <w:sz w:val="20"/>
          <w:szCs w:val="20"/>
        </w:rPr>
        <w:t>Baudino, T. A. (2015). Targeted cancer therapy: The next generation of cancer treatment. Current Drug Discovery Technologies, 12(1), 3–20. https://doi.org/10.2174/1570163812666150602144310</w:t>
      </w:r>
    </w:p>
    <w:p w14:paraId="0A8FE053" w14:textId="775E796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w:t>
      </w:r>
      <w:r w:rsidRPr="00181D97">
        <w:rPr>
          <w:rFonts w:ascii="Times New Roman" w:hAnsi="Times New Roman" w:cs="Times New Roman"/>
          <w:sz w:val="20"/>
          <w:szCs w:val="20"/>
        </w:rPr>
        <w:tab/>
      </w:r>
      <w:r w:rsidR="002F4108" w:rsidRPr="00181D97">
        <w:rPr>
          <w:rFonts w:ascii="Times New Roman" w:hAnsi="Times New Roman" w:cs="Times New Roman"/>
          <w:sz w:val="20"/>
          <w:szCs w:val="20"/>
        </w:rPr>
        <w:t>Nath, P., Majumder, D., Debnath, R., Debnath, M., Sekhawat, S. S., &amp; Maiti, D. (2022). Immunotherapeutic potential of ethanolic olive leaves extract (EOLE) and IL-28B combination therapy in ENU induced animal model of leukemia. Cytokine, 156, 155913. https://doi.org/10.1016/j.cyto.2022.155913</w:t>
      </w:r>
    </w:p>
    <w:p w14:paraId="4C9D7F5B" w14:textId="0862A16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w:t>
      </w:r>
      <w:r w:rsidRPr="00181D97">
        <w:rPr>
          <w:rFonts w:ascii="Times New Roman" w:hAnsi="Times New Roman" w:cs="Times New Roman"/>
          <w:sz w:val="20"/>
          <w:szCs w:val="20"/>
        </w:rPr>
        <w:tab/>
      </w:r>
      <w:r w:rsidR="00221060" w:rsidRPr="00181D97">
        <w:rPr>
          <w:rFonts w:ascii="Times New Roman" w:hAnsi="Times New Roman" w:cs="Times New Roman"/>
          <w:sz w:val="20"/>
          <w:szCs w:val="20"/>
        </w:rPr>
        <w:t>Das, S. K., Menezes, M. E., Bhatia, S., Wang, X., Emdad, L., Sarkar, D., &amp; Fisher, P. B. (2015). Gene therapies for cancer: Strategies, challenges and successes. Journal of Cellular Physiology, 230(2), 259–271. https://doi.org/10.1002/jcp.24791</w:t>
      </w:r>
    </w:p>
    <w:p w14:paraId="512BB088" w14:textId="106EBC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[10]</w:t>
      </w:r>
      <w:r w:rsidRPr="00181D97">
        <w:rPr>
          <w:rFonts w:ascii="Times New Roman" w:hAnsi="Times New Roman" w:cs="Times New Roman"/>
          <w:sz w:val="20"/>
          <w:szCs w:val="20"/>
        </w:rPr>
        <w:tab/>
      </w:r>
      <w:r w:rsidR="001B46DF" w:rsidRPr="00181D97">
        <w:rPr>
          <w:rFonts w:ascii="Times New Roman" w:hAnsi="Times New Roman" w:cs="Times New Roman"/>
          <w:sz w:val="20"/>
          <w:szCs w:val="20"/>
        </w:rPr>
        <w:t>Agostinis, P., Berg, K., Cengel, K. A., Foster, T. H., Girotti, A. W., Gollnick, S. O., Hahn, S. M., Hamblin, M. R., Juzeniene, A., Kessel, D., Korbelik, M., Moan, J., Mroz, P., Nowis, D., Piette, J., Wilson, B. C., &amp; Golab, J. (2011). Photodynamic therapy of cancer: An update. CA: A Cancer Journal for Clinicians, 61(4), 250–281. https://doi.org/10.3322/caac.20114</w:t>
      </w:r>
    </w:p>
    <w:p w14:paraId="31CBBA30" w14:textId="7DC423C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w:t>
      </w:r>
      <w:r w:rsidRPr="00181D97">
        <w:rPr>
          <w:rFonts w:ascii="Times New Roman" w:hAnsi="Times New Roman" w:cs="Times New Roman"/>
          <w:sz w:val="20"/>
          <w:szCs w:val="20"/>
        </w:rPr>
        <w:tab/>
      </w:r>
      <w:r w:rsidR="00FF1E0D" w:rsidRPr="00181D97">
        <w:rPr>
          <w:rFonts w:ascii="Times New Roman" w:hAnsi="Times New Roman" w:cs="Times New Roman"/>
          <w:sz w:val="20"/>
          <w:szCs w:val="20"/>
        </w:rPr>
        <w:t>Sriramulu, S., Malayaperumal, S., Deka, D., Banerjee, A., &amp; Pathak, S. (2022). A General Overview on Causes, Risk Factors, Diagnosis, Treatment, and Role of Oxidative Stress Biomarkers in Colorectal Cancer. In Handbook of Oxidative Stress in Cancer: Therapeutic Aspects (pp. 3877–3895). Springer Nature Singapore. https://doi.org/10.1007/978-981-16-5422-0_223</w:t>
      </w:r>
    </w:p>
    <w:p w14:paraId="6FB2981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31822764" w14:textId="36AF86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lastRenderedPageBreak/>
        <w:t>[12]</w:t>
      </w:r>
      <w:r w:rsidRPr="00181D97">
        <w:rPr>
          <w:rFonts w:ascii="Times New Roman" w:hAnsi="Times New Roman" w:cs="Times New Roman"/>
          <w:sz w:val="20"/>
          <w:szCs w:val="20"/>
        </w:rPr>
        <w:tab/>
      </w:r>
      <w:r w:rsidR="00672F1D" w:rsidRPr="00181D97">
        <w:rPr>
          <w:rFonts w:ascii="Times New Roman" w:hAnsi="Times New Roman" w:cs="Times New Roman"/>
          <w:sz w:val="20"/>
          <w:szCs w:val="20"/>
        </w:rPr>
        <w:t>Das, A., Adhikari, S., Deka, D., Bisgin, A., Paul, S., Balidya, N., Boga, I., Banerjee, A., &amp; Pathak, S. (2023). An updated review on recent advances in the usage of novel therapeutic peptides for breast cancer treatment. International Journal of Peptide Research and Therapeutics, 29(2), 32. https://doi.org/10.1007/s10989-023-10503-8</w:t>
      </w:r>
    </w:p>
    <w:p w14:paraId="692DEA3D" w14:textId="3535B8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w:t>
      </w:r>
      <w:r w:rsidRPr="00181D97">
        <w:rPr>
          <w:rFonts w:ascii="Times New Roman" w:hAnsi="Times New Roman" w:cs="Times New Roman"/>
          <w:sz w:val="20"/>
          <w:szCs w:val="20"/>
        </w:rPr>
        <w:tab/>
      </w:r>
      <w:r w:rsidR="00DA3194" w:rsidRPr="00181D97">
        <w:rPr>
          <w:rFonts w:ascii="Times New Roman" w:hAnsi="Times New Roman" w:cs="Times New Roman"/>
          <w:sz w:val="20"/>
          <w:szCs w:val="20"/>
        </w:rPr>
        <w:t>Das, A., Adhikari, S., Deka, D., Baildya, N., Sahare, P., Banerjee, A., Paul, S., Bisgin, A., &amp; Pathak, S. (2023). An updated review on the role of nanoformulated phytochemicals in colorectal cancer. Medicina, 59(4), 685. https://doi.org/10.3390/medicina59040685</w:t>
      </w:r>
    </w:p>
    <w:p w14:paraId="218007DE" w14:textId="4A4029E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w:t>
      </w:r>
      <w:r w:rsidRPr="00181D97">
        <w:rPr>
          <w:rFonts w:ascii="Times New Roman" w:hAnsi="Times New Roman" w:cs="Times New Roman"/>
          <w:sz w:val="20"/>
          <w:szCs w:val="20"/>
        </w:rPr>
        <w:tab/>
      </w:r>
      <w:r w:rsidR="00B7149C" w:rsidRPr="00181D97">
        <w:rPr>
          <w:rFonts w:ascii="Times New Roman" w:hAnsi="Times New Roman" w:cs="Times New Roman"/>
          <w:sz w:val="20"/>
          <w:szCs w:val="20"/>
        </w:rPr>
        <w:t>Eastman, A. (2017). Improving anticancer drug development begins with cell culture: misinformation perpetrated by the misuse of cytotoxicity assays. Oncotarget, 8(5), 8854–8866. https://doi.org/10.18632/oncotarget.12673</w:t>
      </w:r>
    </w:p>
    <w:p w14:paraId="47BAA418" w14:textId="458046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w:t>
      </w:r>
      <w:r w:rsidRPr="00181D97">
        <w:rPr>
          <w:rFonts w:ascii="Times New Roman" w:hAnsi="Times New Roman" w:cs="Times New Roman"/>
          <w:sz w:val="20"/>
          <w:szCs w:val="20"/>
        </w:rPr>
        <w:tab/>
      </w:r>
      <w:r w:rsidR="007341F3" w:rsidRPr="00181D97">
        <w:rPr>
          <w:rFonts w:ascii="Times New Roman" w:hAnsi="Times New Roman" w:cs="Times New Roman"/>
          <w:sz w:val="20"/>
          <w:szCs w:val="20"/>
        </w:rPr>
        <w:t>Shewach, D. S., &amp; Kuchta, R. D. (2009). Introduction to cancer chemotherapeutics. Chemical Reviews, 109(7), 2859–2861. https://doi.org/10.1021/cr900208x</w:t>
      </w:r>
    </w:p>
    <w:p w14:paraId="5E35FB64" w14:textId="095D12F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w:t>
      </w:r>
      <w:r w:rsidRPr="00181D97">
        <w:rPr>
          <w:rFonts w:ascii="Times New Roman" w:hAnsi="Times New Roman" w:cs="Times New Roman"/>
          <w:sz w:val="20"/>
          <w:szCs w:val="20"/>
        </w:rPr>
        <w:tab/>
      </w:r>
      <w:r w:rsidR="00246872" w:rsidRPr="00181D97">
        <w:rPr>
          <w:rFonts w:ascii="Times New Roman" w:hAnsi="Times New Roman" w:cs="Times New Roman"/>
          <w:sz w:val="20"/>
          <w:szCs w:val="20"/>
        </w:rPr>
        <w:t xml:space="preserve">Adhikari, S., Sheikh, A. H., Baildya, N., Mahmoudi, G., Choudhury, N. A., Okpareke, O., Sen, T., Verma, A. K., Singh, R. K., Pathak, S., &amp; Kaminsky, W. (2023). Antiproliferative evaluation and supramolecular properties of a </w:t>
      </w:r>
      <w:proofErr w:type="gramStart"/>
      <w:r w:rsidR="00246872" w:rsidRPr="00181D97">
        <w:rPr>
          <w:rFonts w:ascii="Times New Roman" w:hAnsi="Times New Roman" w:cs="Times New Roman"/>
          <w:sz w:val="20"/>
          <w:szCs w:val="20"/>
        </w:rPr>
        <w:t>Pd(</w:t>
      </w:r>
      <w:proofErr w:type="gramEnd"/>
      <w:r w:rsidR="00246872" w:rsidRPr="00181D97">
        <w:rPr>
          <w:rFonts w:ascii="Times New Roman" w:hAnsi="Times New Roman" w:cs="Times New Roman"/>
          <w:sz w:val="20"/>
          <w:szCs w:val="20"/>
        </w:rPr>
        <w:t>II) complex harvested from benzil bis(pyridyl hydrazone) ligand: combined experimental and theoretical studies. Inorganic Chemistry Communications, 152, 110646. https://doi.org/10.1016/j.inoche.2023.110646</w:t>
      </w:r>
    </w:p>
    <w:p w14:paraId="57FA20E4" w14:textId="15972B2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w:t>
      </w:r>
      <w:r w:rsidRPr="00181D97">
        <w:rPr>
          <w:rFonts w:ascii="Times New Roman" w:hAnsi="Times New Roman" w:cs="Times New Roman"/>
          <w:sz w:val="20"/>
          <w:szCs w:val="20"/>
        </w:rPr>
        <w:tab/>
      </w:r>
      <w:r w:rsidR="00FC3579" w:rsidRPr="00181D97">
        <w:rPr>
          <w:rFonts w:ascii="Times New Roman" w:hAnsi="Times New Roman" w:cs="Times New Roman"/>
          <w:sz w:val="20"/>
          <w:szCs w:val="20"/>
        </w:rPr>
        <w:t>van Rijt, S. H., &amp; Sadler, P. J. (2009). Current applications and future potential for bioinorganic chemistry in the development of anticancer drugs. Drug Discovery Today, 14(23-24), 1089–1097. https://doi.org/10.1016/j.drudis.2009.09.003</w:t>
      </w:r>
    </w:p>
    <w:p w14:paraId="31CCA472" w14:textId="681042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Pr="00181D97">
        <w:rPr>
          <w:rFonts w:ascii="Times New Roman" w:hAnsi="Times New Roman" w:cs="Times New Roman"/>
          <w:sz w:val="20"/>
          <w:szCs w:val="20"/>
        </w:rPr>
        <w:tab/>
      </w:r>
      <w:r w:rsidR="006960F2" w:rsidRPr="00181D97">
        <w:rPr>
          <w:rFonts w:ascii="Times New Roman" w:hAnsi="Times New Roman" w:cs="Times New Roman"/>
          <w:sz w:val="20"/>
          <w:szCs w:val="20"/>
        </w:rPr>
        <w:t>Barry, N. P. E., &amp; Sadler, P. J. (2013). Exploration of the medical periodic table: towards new targets. Chemical Communications. https://doi.org/10.1039/c3cc41143e</w:t>
      </w:r>
    </w:p>
    <w:p w14:paraId="12CD662F" w14:textId="1E5863F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[19]</w:t>
      </w:r>
      <w:r w:rsidRPr="00181D97">
        <w:rPr>
          <w:rFonts w:ascii="Times New Roman" w:hAnsi="Times New Roman" w:cs="Times New Roman"/>
          <w:sz w:val="20"/>
          <w:szCs w:val="20"/>
        </w:rPr>
        <w:tab/>
      </w:r>
      <w:r w:rsidR="003077FD" w:rsidRPr="00181D97">
        <w:rPr>
          <w:rFonts w:ascii="Times New Roman" w:hAnsi="Times New Roman" w:cs="Times New Roman"/>
          <w:sz w:val="20"/>
          <w:szCs w:val="20"/>
        </w:rPr>
        <w:t>Storr, T., Thompson, K. H., &amp; Orvig, C. (2006). Design of targeting ligands in medicinal inorganic chemistry. Chem. Soc. Rev., 35, 534. https://doi.org/10.1039/b514859f</w:t>
      </w:r>
    </w:p>
    <w:p w14:paraId="6CD5D876" w14:textId="7C76AFF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[20]</w:t>
      </w:r>
      <w:r w:rsidRPr="00181D97">
        <w:rPr>
          <w:rFonts w:ascii="Times New Roman" w:hAnsi="Times New Roman" w:cs="Times New Roman"/>
          <w:sz w:val="20"/>
          <w:szCs w:val="20"/>
        </w:rPr>
        <w:tab/>
      </w:r>
      <w:r w:rsidR="00F472E1" w:rsidRPr="00181D97">
        <w:rPr>
          <w:rFonts w:ascii="Times New Roman" w:hAnsi="Times New Roman" w:cs="Times New Roman"/>
          <w:sz w:val="20"/>
          <w:szCs w:val="20"/>
        </w:rPr>
        <w:t>Barry, N. P. E., &amp; Sadler, P. J. (2014). 100 years of metal coordination chemistry: from Alfred Werner to anticancer metallodrugs. Pure and Applied Chemistry, 86(12), 1897–1910. https://doi.org/10.1515/pac-2014-0504</w:t>
      </w:r>
    </w:p>
    <w:p w14:paraId="62DE1A54" w14:textId="1712D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[21]</w:t>
      </w:r>
      <w:r w:rsidRPr="00181D97">
        <w:rPr>
          <w:rFonts w:ascii="Times New Roman" w:hAnsi="Times New Roman" w:cs="Times New Roman"/>
          <w:sz w:val="20"/>
          <w:szCs w:val="20"/>
        </w:rPr>
        <w:tab/>
      </w:r>
      <w:r w:rsidR="00753439" w:rsidRPr="00181D97">
        <w:rPr>
          <w:rFonts w:ascii="Times New Roman" w:hAnsi="Times New Roman" w:cs="Times New Roman"/>
          <w:sz w:val="20"/>
          <w:szCs w:val="20"/>
        </w:rPr>
        <w:t>Bruijnincx, P. C. A., &amp; Sadler, P. J. (2008). New trends for metal complexes with anticancer activity. *Current Opinion in Chemical Biology*, *12*(2), 197–206. https://doi.org/10.1016/j.cbpa.2007.11.013</w:t>
      </w:r>
    </w:p>
    <w:p w14:paraId="7DA50545" w14:textId="7BDDA93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[22]</w:t>
      </w:r>
      <w:r w:rsidRPr="00181D97">
        <w:rPr>
          <w:rFonts w:ascii="Times New Roman" w:hAnsi="Times New Roman" w:cs="Times New Roman"/>
          <w:sz w:val="20"/>
          <w:szCs w:val="20"/>
        </w:rPr>
        <w:tab/>
      </w:r>
      <w:r w:rsidR="00FC0524" w:rsidRPr="00181D97">
        <w:rPr>
          <w:rFonts w:ascii="Times New Roman" w:hAnsi="Times New Roman" w:cs="Times New Roman"/>
          <w:sz w:val="20"/>
          <w:szCs w:val="20"/>
        </w:rPr>
        <w:t xml:space="preserve">Huang, K.-B., Wang, F.-Y., Tang, X.-M., Feng, H.-W., Chen, Z.-F., Liu, Y.-C., Liu, Y.-N., &amp; Liang, H. (2018). Organometallic </w:t>
      </w:r>
      <w:proofErr w:type="gramStart"/>
      <w:r w:rsidR="00FC0524" w:rsidRPr="00181D97">
        <w:rPr>
          <w:rFonts w:ascii="Times New Roman" w:hAnsi="Times New Roman" w:cs="Times New Roman"/>
          <w:sz w:val="20"/>
          <w:szCs w:val="20"/>
        </w:rPr>
        <w:t>Gold(</w:t>
      </w:r>
      <w:proofErr w:type="gramEnd"/>
      <w:r w:rsidR="00FC0524" w:rsidRPr="00181D97">
        <w:rPr>
          <w:rFonts w:ascii="Times New Roman" w:hAnsi="Times New Roman" w:cs="Times New Roman"/>
          <w:sz w:val="20"/>
          <w:szCs w:val="20"/>
        </w:rPr>
        <w:t>III) Complexes Similar to Tetrahydroisoquinoline Induce ER-Stress-Mediated Apoptosis and Pro-Death Autophagy in A549 Cancer Cells. Journal of Medicinal Chemistry, 61(8), 3478–3490. https://doi.org/10.1021/acs.jmedchem.7b01694</w:t>
      </w:r>
    </w:p>
    <w:p w14:paraId="3EC81277" w14:textId="5E4113D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[23]</w:t>
      </w:r>
      <w:r w:rsidRPr="00181D97">
        <w:rPr>
          <w:rFonts w:ascii="Times New Roman" w:hAnsi="Times New Roman" w:cs="Times New Roman"/>
          <w:sz w:val="20"/>
          <w:szCs w:val="20"/>
        </w:rPr>
        <w:tab/>
      </w:r>
      <w:r w:rsidR="00587E57" w:rsidRPr="00181D97">
        <w:rPr>
          <w:rFonts w:ascii="Times New Roman" w:hAnsi="Times New Roman" w:cs="Times New Roman"/>
          <w:sz w:val="20"/>
          <w:szCs w:val="20"/>
        </w:rPr>
        <w:t>Gasser, G., Ott, I., &amp; Metzler-Nolte, N. (2011). Organometallic anticancer compounds. Journal of Medicinal Chemistry. https://doi.org/10.1021/jm100020w</w:t>
      </w:r>
    </w:p>
    <w:p w14:paraId="1C793660" w14:textId="1218A9F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[24]</w:t>
      </w:r>
      <w:r w:rsidRPr="00181D97">
        <w:rPr>
          <w:rFonts w:ascii="Times New Roman" w:hAnsi="Times New Roman" w:cs="Times New Roman"/>
          <w:sz w:val="20"/>
          <w:szCs w:val="20"/>
        </w:rPr>
        <w:tab/>
      </w:r>
      <w:r w:rsidR="00780C3E" w:rsidRPr="00181D97">
        <w:rPr>
          <w:rFonts w:ascii="Times New Roman" w:hAnsi="Times New Roman" w:cs="Times New Roman"/>
          <w:sz w:val="20"/>
          <w:szCs w:val="20"/>
        </w:rPr>
        <w:t>Hartinger, C. G., &amp; Dyson, P. J. (2009). Bioorganometallic chemistry—from teaching paradigms to medicinal applications. Chemical Society Reviews, 38(2), 391–401. https://doi.org/10.1039/B707077M</w:t>
      </w:r>
    </w:p>
    <w:p w14:paraId="7127BDDD" w14:textId="524F26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[25]</w:t>
      </w:r>
      <w:r w:rsidRPr="00181D97">
        <w:rPr>
          <w:rFonts w:ascii="Times New Roman" w:hAnsi="Times New Roman" w:cs="Times New Roman"/>
          <w:sz w:val="20"/>
          <w:szCs w:val="20"/>
        </w:rPr>
        <w:tab/>
      </w:r>
      <w:r w:rsidR="00997E9F" w:rsidRPr="00181D97">
        <w:rPr>
          <w:rFonts w:ascii="Times New Roman" w:hAnsi="Times New Roman" w:cs="Times New Roman"/>
          <w:sz w:val="20"/>
          <w:szCs w:val="20"/>
        </w:rPr>
        <w:t>Silverman, S. K. (2004). Deoxyribozymes: DNA catalysts for bioorganic chemistry. Organic &amp; Biomolecular Chemistry. https://doi.org/10.1039/B411910J</w:t>
      </w:r>
    </w:p>
    <w:p w14:paraId="1CABC1F2" w14:textId="52CF0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[26]</w:t>
      </w:r>
      <w:r w:rsidRPr="00181D97">
        <w:rPr>
          <w:rFonts w:ascii="Times New Roman" w:hAnsi="Times New Roman" w:cs="Times New Roman"/>
          <w:sz w:val="20"/>
          <w:szCs w:val="20"/>
        </w:rPr>
        <w:tab/>
      </w:r>
      <w:r w:rsidR="002243CA" w:rsidRPr="00181D97">
        <w:rPr>
          <w:rFonts w:ascii="Times New Roman" w:hAnsi="Times New Roman" w:cs="Times New Roman"/>
          <w:sz w:val="20"/>
          <w:szCs w:val="20"/>
        </w:rPr>
        <w:t>Mjos, K. D., &amp; Orvig, C. (2014). Metallodrugs in medicinal inorganic chemistry. Chemical Reviews, 114(8), 4540–4563. https://doi.org/10.1021/cr400460s</w:t>
      </w:r>
    </w:p>
    <w:p w14:paraId="043C21BB" w14:textId="002AF7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[27]</w:t>
      </w:r>
      <w:r w:rsidRPr="00181D97">
        <w:rPr>
          <w:rFonts w:ascii="Times New Roman" w:hAnsi="Times New Roman" w:cs="Times New Roman"/>
          <w:sz w:val="20"/>
          <w:szCs w:val="20"/>
        </w:rPr>
        <w:tab/>
      </w:r>
      <w:r w:rsidR="009D408A" w:rsidRPr="00181D97">
        <w:rPr>
          <w:rFonts w:ascii="Times New Roman" w:hAnsi="Times New Roman" w:cs="Times New Roman"/>
          <w:sz w:val="20"/>
          <w:szCs w:val="20"/>
        </w:rPr>
        <w:t>Sessler, J. L., Doctrow, S. R., McMurry, T. J., &amp; Lippard, S. J. (Eds.). (2005). Medicinal inorganic chemistry. American Chemical Society. https://doi.org/10.1021/bk-2005-0903</w:t>
      </w:r>
    </w:p>
    <w:p w14:paraId="11E6BAFC" w14:textId="68E72C0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[28]</w:t>
      </w:r>
      <w:r w:rsidRPr="00181D97">
        <w:rPr>
          <w:rFonts w:ascii="Times New Roman" w:hAnsi="Times New Roman" w:cs="Times New Roman"/>
          <w:sz w:val="20"/>
          <w:szCs w:val="20"/>
        </w:rPr>
        <w:tab/>
      </w:r>
      <w:r w:rsidR="006B73DB" w:rsidRPr="00181D97">
        <w:rPr>
          <w:rFonts w:ascii="Times New Roman" w:hAnsi="Times New Roman" w:cs="Times New Roman"/>
          <w:sz w:val="20"/>
          <w:szCs w:val="20"/>
        </w:rPr>
        <w:t>Haas, K. L., &amp; Franz, K. J. (2009). Application of metal coordination chemistry to explore and manipulate cell biology. Chemical Reviews, 109(10), 4921–4960. https://doi.org/10.1021/cr900134a</w:t>
      </w:r>
    </w:p>
    <w:p w14:paraId="5BA003ED" w14:textId="69F4D2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 xml:space="preserve"> [30]</w:t>
      </w:r>
      <w:r w:rsidRPr="00181D97">
        <w:rPr>
          <w:rFonts w:ascii="Times New Roman" w:hAnsi="Times New Roman" w:cs="Times New Roman"/>
          <w:sz w:val="20"/>
          <w:szCs w:val="20"/>
        </w:rPr>
        <w:tab/>
      </w:r>
      <w:r w:rsidR="004D7801" w:rsidRPr="00181D97">
        <w:rPr>
          <w:rFonts w:ascii="Times New Roman" w:hAnsi="Times New Roman" w:cs="Times New Roman"/>
          <w:sz w:val="20"/>
          <w:szCs w:val="20"/>
        </w:rPr>
        <w:t>Galanski, M. S., Jakupec, M. A., &amp; Keppler, B. K. (2005). Update of the preclinical situation of anticancer platinum complexes: Novel design strategies and innovative analytical approaches. Current Medicinal Chemistry, 12(18), 2075–2094. https://doi.org/10.2174/0929867054637626</w:t>
      </w:r>
    </w:p>
    <w:p w14:paraId="24C385A6" w14:textId="1080F86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[31]</w:t>
      </w:r>
      <w:r w:rsidRPr="00181D97">
        <w:rPr>
          <w:rFonts w:ascii="Times New Roman" w:hAnsi="Times New Roman" w:cs="Times New Roman"/>
          <w:sz w:val="20"/>
          <w:szCs w:val="20"/>
        </w:rPr>
        <w:tab/>
      </w:r>
      <w:r w:rsidR="00D319DA" w:rsidRPr="00181D97">
        <w:rPr>
          <w:rFonts w:ascii="Times New Roman" w:hAnsi="Times New Roman" w:cs="Times New Roman"/>
          <w:sz w:val="20"/>
          <w:szCs w:val="20"/>
        </w:rPr>
        <w:t>Ndagi, U., Mhlongo, N., &amp; Soliman, M. E. (2017). Metal complexes in cancer therapy – an update from drug design perspective. Drug Design, Development and Therapy, 11, 599–616. https://doi.org/10.2147/DDDT.S119488</w:t>
      </w:r>
    </w:p>
    <w:p w14:paraId="7BEAF004" w14:textId="37A499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[32]</w:t>
      </w:r>
      <w:r w:rsidRPr="00181D97">
        <w:rPr>
          <w:rFonts w:ascii="Times New Roman" w:hAnsi="Times New Roman" w:cs="Times New Roman"/>
          <w:sz w:val="20"/>
          <w:szCs w:val="20"/>
        </w:rPr>
        <w:tab/>
      </w:r>
      <w:r w:rsidR="008D5E8E" w:rsidRPr="00181D97">
        <w:rPr>
          <w:rFonts w:ascii="Times New Roman" w:hAnsi="Times New Roman" w:cs="Times New Roman"/>
          <w:sz w:val="20"/>
          <w:szCs w:val="20"/>
        </w:rPr>
        <w:t>Nath, P., Datta, A., &amp; Adhikari, S. (2022). Recent Advances of Metal-Based Anticancer Agents and Their In Vivo Potential Against Various Types of Malignancies. In Handbook of Animal Models and its Uses in Cancer Research (pp. 1–28). Springer Nature Singapore. https://doi.org/10.1007/978-981-19-1282-5_47-1</w:t>
      </w:r>
    </w:p>
    <w:p w14:paraId="7F06CAED" w14:textId="29D729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[33]</w:t>
      </w:r>
      <w:r w:rsidRPr="00181D97">
        <w:rPr>
          <w:rFonts w:ascii="Times New Roman" w:hAnsi="Times New Roman" w:cs="Times New Roman"/>
          <w:sz w:val="20"/>
          <w:szCs w:val="20"/>
        </w:rPr>
        <w:tab/>
      </w:r>
      <w:r w:rsidR="002C248C" w:rsidRPr="00181D97">
        <w:rPr>
          <w:rFonts w:ascii="Times New Roman" w:hAnsi="Times New Roman" w:cs="Times New Roman"/>
          <w:sz w:val="20"/>
          <w:szCs w:val="20"/>
        </w:rPr>
        <w:t xml:space="preserve">Bhattacharjee, T., Adhikari, S., Bhattacharjee, S., Debnath, S., Das, A., Daniliuc, C. G., Thirumoorthy, K., Malayaperumal, S., Banerjee, A., Pathak, S., &amp; Frontera, A. (2022). Exploring dithiolate-amine binary ligand systems for the supramolecular assemblies of </w:t>
      </w:r>
      <w:proofErr w:type="gramStart"/>
      <w:r w:rsidR="002C248C" w:rsidRPr="00181D97">
        <w:rPr>
          <w:rFonts w:ascii="Times New Roman" w:hAnsi="Times New Roman" w:cs="Times New Roman"/>
          <w:sz w:val="20"/>
          <w:szCs w:val="20"/>
        </w:rPr>
        <w:t>Ni(</w:t>
      </w:r>
      <w:proofErr w:type="gramEnd"/>
      <w:r w:rsidR="002C248C" w:rsidRPr="00181D97">
        <w:rPr>
          <w:rFonts w:ascii="Times New Roman" w:hAnsi="Times New Roman" w:cs="Times New Roman"/>
          <w:sz w:val="20"/>
          <w:szCs w:val="20"/>
        </w:rPr>
        <w:t>II) coordination compounds: Crystal structures, theoretical studies, cytotoxicity studies, and molecular docking studies. Inorganica Chimica Acta, 543, 121157. https://doi.org/10.1016/j.ica.2022.121157</w:t>
      </w:r>
    </w:p>
    <w:p w14:paraId="42A3E181" w14:textId="756747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[34]</w:t>
      </w:r>
      <w:r w:rsidRPr="00181D97">
        <w:rPr>
          <w:rFonts w:ascii="Times New Roman" w:hAnsi="Times New Roman" w:cs="Times New Roman"/>
          <w:sz w:val="20"/>
          <w:szCs w:val="20"/>
        </w:rPr>
        <w:tab/>
      </w:r>
      <w:r w:rsidR="006D69E2" w:rsidRPr="00181D97">
        <w:rPr>
          <w:rFonts w:ascii="Times New Roman" w:hAnsi="Times New Roman" w:cs="Times New Roman"/>
          <w:sz w:val="20"/>
          <w:szCs w:val="20"/>
        </w:rPr>
        <w:t>Kelland, L. (2007). The resurgence of platinum-based cancer chemotherapy. *Nature Reviews Cancer*, *7*(8), 573–584. https://doi.org/10.1038/nrc2167</w:t>
      </w:r>
    </w:p>
    <w:p w14:paraId="240EF200" w14:textId="52D4D77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[35]</w:t>
      </w:r>
      <w:r w:rsidRPr="00181D97">
        <w:rPr>
          <w:rFonts w:ascii="Times New Roman" w:hAnsi="Times New Roman" w:cs="Times New Roman"/>
          <w:sz w:val="20"/>
          <w:szCs w:val="20"/>
        </w:rPr>
        <w:tab/>
      </w:r>
      <w:r w:rsidR="002F1DE4" w:rsidRPr="00181D97">
        <w:rPr>
          <w:rFonts w:ascii="Times New Roman" w:hAnsi="Times New Roman" w:cs="Times New Roman"/>
          <w:sz w:val="20"/>
          <w:szCs w:val="20"/>
        </w:rPr>
        <w:t>Yu, M., Zhang, Y., Fang, M., Jehan, S., &amp; Zhou, W. (2022). Current advances of nanomedicines delivering arsenic trioxide for enhanced tumor therapy. Pharmaceutics, 14(4), 743. https://doi.org/10.3390/pharmaceutics14040743</w:t>
      </w:r>
    </w:p>
    <w:p w14:paraId="6C669F32" w14:textId="2443935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[36]</w:t>
      </w:r>
      <w:r w:rsidRPr="00181D97">
        <w:rPr>
          <w:rFonts w:ascii="Times New Roman" w:hAnsi="Times New Roman" w:cs="Times New Roman"/>
          <w:sz w:val="20"/>
          <w:szCs w:val="20"/>
        </w:rPr>
        <w:tab/>
      </w:r>
      <w:r w:rsidR="00A77970" w:rsidRPr="00181D97">
        <w:rPr>
          <w:rFonts w:ascii="Times New Roman" w:hAnsi="Times New Roman" w:cs="Times New Roman"/>
          <w:sz w:val="20"/>
          <w:szCs w:val="20"/>
        </w:rPr>
        <w:t>Varol, M., Koparal, A. T., Benkli, K., &amp; Bostancioglu, R. B. (2018). Anti-lung cancer and anti-angiogenic activities of new designed boronated phenylalanine metal complexes. Current Drug Delivery, 15(10), 1417–1425. https://doi.org/10.2174/1567201815666180727145724</w:t>
      </w:r>
    </w:p>
    <w:p w14:paraId="37F64005" w14:textId="6B2ED00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[37]</w:t>
      </w:r>
      <w:r w:rsidRPr="00181D97">
        <w:rPr>
          <w:rFonts w:ascii="Times New Roman" w:hAnsi="Times New Roman" w:cs="Times New Roman"/>
          <w:sz w:val="20"/>
          <w:szCs w:val="20"/>
        </w:rPr>
        <w:tab/>
      </w:r>
      <w:r w:rsidR="00B81842" w:rsidRPr="00181D97">
        <w:rPr>
          <w:rFonts w:ascii="Times New Roman" w:hAnsi="Times New Roman" w:cs="Times New Roman"/>
          <w:sz w:val="20"/>
          <w:szCs w:val="20"/>
        </w:rPr>
        <w:t xml:space="preserve">Huang, M., Shen, A., Ding, J., &amp; Geng, M. (2014). Molecularly Targeted Cancer Therapy: Some Lessons </w:t>
      </w:r>
      <w:proofErr w:type="gramStart"/>
      <w:r w:rsidR="00B81842" w:rsidRPr="00181D97">
        <w:rPr>
          <w:rFonts w:ascii="Times New Roman" w:hAnsi="Times New Roman" w:cs="Times New Roman"/>
          <w:sz w:val="20"/>
          <w:szCs w:val="20"/>
        </w:rPr>
        <w:t>From</w:t>
      </w:r>
      <w:proofErr w:type="gramEnd"/>
      <w:r w:rsidR="00B81842" w:rsidRPr="00181D97">
        <w:rPr>
          <w:rFonts w:ascii="Times New Roman" w:hAnsi="Times New Roman" w:cs="Times New Roman"/>
          <w:sz w:val="20"/>
          <w:szCs w:val="20"/>
        </w:rPr>
        <w:t xml:space="preserve"> the Past Decade. Trends in Pharmacological Sciences, 35(1), 41–50. https://doi.org/10.1016/j.tips.2013.11.004</w:t>
      </w:r>
    </w:p>
    <w:p w14:paraId="7D02C738"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6EA1B384"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4C70B8AD" w14:textId="4D0DCBD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[38]</w:t>
      </w:r>
      <w:r w:rsidRPr="00181D97">
        <w:rPr>
          <w:rFonts w:ascii="Times New Roman" w:hAnsi="Times New Roman" w:cs="Times New Roman"/>
          <w:sz w:val="20"/>
          <w:szCs w:val="20"/>
        </w:rPr>
        <w:tab/>
      </w:r>
      <w:r w:rsidR="00F8253F" w:rsidRPr="00181D97">
        <w:rPr>
          <w:rFonts w:ascii="Times New Roman" w:hAnsi="Times New Roman" w:cs="Times New Roman"/>
          <w:sz w:val="20"/>
          <w:szCs w:val="20"/>
        </w:rPr>
        <w:t>Payen, O., Top, S., Vessières, A., Brulé, E., Plamont, M.-A., McGlinchey, M. J., Müller-Bunz, H., &amp; Jaouen, G. (2008). Synthesis and structure–activity relationships of the first ferrocenyl-aryl-hydantoin derivatives of the nonsteroidal antiandrogen nilutamide. Journal of Medicinal Chemistry, 51(6), 1791–1799. https://doi.org/10.1021/jm701264d</w:t>
      </w:r>
    </w:p>
    <w:p w14:paraId="1B69AA14" w14:textId="57F8258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[39]</w:t>
      </w:r>
      <w:r w:rsidRPr="00181D97">
        <w:rPr>
          <w:rFonts w:ascii="Times New Roman" w:hAnsi="Times New Roman" w:cs="Times New Roman"/>
          <w:sz w:val="20"/>
          <w:szCs w:val="20"/>
        </w:rPr>
        <w:tab/>
      </w:r>
      <w:r w:rsidR="00485860" w:rsidRPr="00181D97">
        <w:rPr>
          <w:rFonts w:ascii="Times New Roman" w:hAnsi="Times New Roman" w:cs="Times New Roman"/>
          <w:sz w:val="20"/>
          <w:szCs w:val="20"/>
        </w:rPr>
        <w:t xml:space="preserve">Bian, M., Wang, X., Sun, Y., &amp; Liu, W. (2020). Synthesis and biological evaluation of </w:t>
      </w:r>
      <w:proofErr w:type="gramStart"/>
      <w:r w:rsidR="00485860" w:rsidRPr="00181D97">
        <w:rPr>
          <w:rFonts w:ascii="Times New Roman" w:hAnsi="Times New Roman" w:cs="Times New Roman"/>
          <w:sz w:val="20"/>
          <w:szCs w:val="20"/>
        </w:rPr>
        <w:t>gold(</w:t>
      </w:r>
      <w:proofErr w:type="gramEnd"/>
      <w:r w:rsidR="00485860" w:rsidRPr="00181D97">
        <w:rPr>
          <w:rFonts w:ascii="Times New Roman" w:hAnsi="Times New Roman" w:cs="Times New Roman"/>
          <w:sz w:val="20"/>
          <w:szCs w:val="20"/>
        </w:rPr>
        <w:t>III) Schiff base complexes for the treatment of hepatocellular carcinoma through attenuating TrxR activity. European Journal of Medicinal Chemistry. https://doi.org/10.1016/j.ejmech.2020.112234</w:t>
      </w:r>
    </w:p>
    <w:p w14:paraId="3FAE83F4" w14:textId="6EDBBAC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[40]</w:t>
      </w:r>
      <w:r w:rsidRPr="00181D97">
        <w:rPr>
          <w:rFonts w:ascii="Times New Roman" w:hAnsi="Times New Roman" w:cs="Times New Roman"/>
          <w:sz w:val="20"/>
          <w:szCs w:val="20"/>
        </w:rPr>
        <w:tab/>
      </w:r>
      <w:r w:rsidR="00EB56C4" w:rsidRPr="00181D97">
        <w:rPr>
          <w:rFonts w:ascii="Times New Roman" w:hAnsi="Times New Roman" w:cs="Times New Roman"/>
          <w:sz w:val="20"/>
          <w:szCs w:val="20"/>
        </w:rPr>
        <w:t>Sava, G., Pacor, S., Mestroni, G., &amp; Alessio, E. (1992). Na[trans-RuCl4(DMSO)Im], a metal complex of ruthenium with antimetastatic properties. Clinical &amp; Experimental Metastasis, 10(4), 273–280. https://doi.org/10.1007/BF00133563</w:t>
      </w:r>
    </w:p>
    <w:p w14:paraId="2508F472" w14:textId="61F867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[41]</w:t>
      </w:r>
      <w:r w:rsidRPr="00181D97">
        <w:rPr>
          <w:rFonts w:ascii="Times New Roman" w:hAnsi="Times New Roman" w:cs="Times New Roman"/>
          <w:sz w:val="20"/>
          <w:szCs w:val="20"/>
        </w:rPr>
        <w:tab/>
      </w:r>
      <w:r w:rsidR="00E725FB" w:rsidRPr="00181D97">
        <w:rPr>
          <w:rFonts w:ascii="Times New Roman" w:hAnsi="Times New Roman" w:cs="Times New Roman"/>
          <w:sz w:val="20"/>
          <w:szCs w:val="20"/>
        </w:rPr>
        <w:t xml:space="preserve">Fabijańska, M., Kasprzak, M. M., &amp; Ochocki, J. (2021). </w:t>
      </w:r>
      <w:proofErr w:type="gramStart"/>
      <w:r w:rsidR="00E725FB" w:rsidRPr="00181D97">
        <w:rPr>
          <w:rFonts w:ascii="Times New Roman" w:hAnsi="Times New Roman" w:cs="Times New Roman"/>
          <w:sz w:val="20"/>
          <w:szCs w:val="20"/>
        </w:rPr>
        <w:t>Ruthenium(</w:t>
      </w:r>
      <w:proofErr w:type="gramEnd"/>
      <w:r w:rsidR="00E725FB" w:rsidRPr="00181D97">
        <w:rPr>
          <w:rFonts w:ascii="Times New Roman" w:hAnsi="Times New Roman" w:cs="Times New Roman"/>
          <w:sz w:val="20"/>
          <w:szCs w:val="20"/>
        </w:rPr>
        <w:t>II) and platinum(II) complexes with biologically active aminoflavone ligands exhibit in vitro anticancer activity. International Journal of Molecular Sciences, 22(14), 7568. https://doi.org/10.3390/ijms22147568</w:t>
      </w:r>
    </w:p>
    <w:p w14:paraId="639673DB" w14:textId="68F1A6E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[42]</w:t>
      </w:r>
      <w:r w:rsidRPr="00181D97">
        <w:rPr>
          <w:rFonts w:ascii="Times New Roman" w:hAnsi="Times New Roman" w:cs="Times New Roman"/>
          <w:sz w:val="20"/>
          <w:szCs w:val="20"/>
        </w:rPr>
        <w:tab/>
      </w:r>
      <w:r w:rsidR="008232D6" w:rsidRPr="00181D97">
        <w:rPr>
          <w:rFonts w:ascii="Times New Roman" w:hAnsi="Times New Roman" w:cs="Times New Roman"/>
          <w:sz w:val="20"/>
          <w:szCs w:val="20"/>
        </w:rPr>
        <w:t xml:space="preserve">Qin, Q.-P., Wang, Z.-F., Huang, X.-L., Tan, M.-X., Shi, B.-B., &amp; Liang, H. (2019). High in vitro and in vivo tumor-selective novel </w:t>
      </w:r>
      <w:proofErr w:type="gramStart"/>
      <w:r w:rsidR="008232D6" w:rsidRPr="00181D97">
        <w:rPr>
          <w:rFonts w:ascii="Times New Roman" w:hAnsi="Times New Roman" w:cs="Times New Roman"/>
          <w:sz w:val="20"/>
          <w:szCs w:val="20"/>
        </w:rPr>
        <w:t>ruthenium(</w:t>
      </w:r>
      <w:proofErr w:type="gramEnd"/>
      <w:r w:rsidR="008232D6" w:rsidRPr="00181D97">
        <w:rPr>
          <w:rFonts w:ascii="Times New Roman" w:hAnsi="Times New Roman" w:cs="Times New Roman"/>
          <w:sz w:val="20"/>
          <w:szCs w:val="20"/>
        </w:rPr>
        <w:t>II) complexes with 3-(2′-Benzimidazolyl)-7-fluoro-coumarin. ACS Medicinal Chemistry Letters, 10(6), 936–940. https://doi.org/10.1021/acsmedchemlett.9b00098</w:t>
      </w:r>
    </w:p>
    <w:p w14:paraId="1DE78C7A" w14:textId="13EC76E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[43]</w:t>
      </w:r>
      <w:r w:rsidRPr="00181D97">
        <w:rPr>
          <w:rFonts w:ascii="Times New Roman" w:hAnsi="Times New Roman" w:cs="Times New Roman"/>
          <w:sz w:val="20"/>
          <w:szCs w:val="20"/>
        </w:rPr>
        <w:tab/>
      </w:r>
      <w:r w:rsidR="009A0918" w:rsidRPr="00181D97">
        <w:rPr>
          <w:rFonts w:ascii="Times New Roman" w:hAnsi="Times New Roman" w:cs="Times New Roman"/>
          <w:sz w:val="20"/>
          <w:szCs w:val="20"/>
        </w:rPr>
        <w:t>Keppler, B. K., Henn, M., Juhl, U. M., Berger, M. R., Niebl, R., &amp; Wagner, F. E. (1989). New Ruthenium Complexes for the Treatment of Cancer. In Ruthenium and Other Non-Platinum Metal Complexes in Cancer Chemotherapy (pp. 41–69). Springer. https://doi.org/10.1007/978-3-642-74760-1_3</w:t>
      </w:r>
    </w:p>
    <w:p w14:paraId="5704D7B8" w14:textId="62DE34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[44]</w:t>
      </w:r>
      <w:r w:rsidRPr="00181D97">
        <w:rPr>
          <w:rFonts w:ascii="Times New Roman" w:hAnsi="Times New Roman" w:cs="Times New Roman"/>
          <w:sz w:val="20"/>
          <w:szCs w:val="20"/>
        </w:rPr>
        <w:tab/>
      </w:r>
      <w:r w:rsidR="00F30007" w:rsidRPr="00181D97">
        <w:rPr>
          <w:rFonts w:ascii="Times New Roman" w:hAnsi="Times New Roman" w:cs="Times New Roman"/>
          <w:sz w:val="20"/>
          <w:szCs w:val="20"/>
        </w:rPr>
        <w:t>Heffeter, P., Atil, B., Kryeziu, K., Groza, D., Koellensperger, G., Körner, W., Jungwirth, U., Mohr, T., Keppler, B. K., &amp; Berger, W. (2013). The ruthenium compound KP1339 potentiates the anticancer activity of sorafenib in vitro and in vivo. European Journal of Cancer, 49(15), 3366–3375. https://doi.org/10.1016/j.ejca.2013.05.018</w:t>
      </w:r>
    </w:p>
    <w:p w14:paraId="6FD49EE8" w14:textId="2A2260E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[45]</w:t>
      </w:r>
      <w:r w:rsidRPr="00181D97">
        <w:rPr>
          <w:rFonts w:ascii="Times New Roman" w:hAnsi="Times New Roman" w:cs="Times New Roman"/>
          <w:sz w:val="20"/>
          <w:szCs w:val="20"/>
        </w:rPr>
        <w:tab/>
      </w:r>
      <w:r w:rsidR="00F220CC" w:rsidRPr="00181D97">
        <w:rPr>
          <w:rFonts w:ascii="Times New Roman" w:hAnsi="Times New Roman" w:cs="Times New Roman"/>
          <w:sz w:val="20"/>
          <w:szCs w:val="20"/>
        </w:rPr>
        <w:t>Lee, S. Y., Kim, C. Y., &amp; Nam, T.-G. (2020). Ruthenium complexes as anticancer agents: a brief history and perspectives. Drug Design, Development and Therapy. https://doi.org/10.2147/DDDT.S275007</w:t>
      </w:r>
    </w:p>
    <w:p w14:paraId="4AE12E28" w14:textId="37F9BD54"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[46]</w:t>
      </w:r>
      <w:r w:rsidRPr="00181D97">
        <w:rPr>
          <w:rFonts w:ascii="Times New Roman" w:hAnsi="Times New Roman" w:cs="Times New Roman"/>
          <w:sz w:val="20"/>
          <w:szCs w:val="20"/>
        </w:rPr>
        <w:tab/>
      </w:r>
      <w:r w:rsidR="005069DC" w:rsidRPr="00181D97">
        <w:rPr>
          <w:rFonts w:ascii="Times New Roman" w:hAnsi="Times New Roman" w:cs="Times New Roman"/>
          <w:sz w:val="20"/>
          <w:szCs w:val="20"/>
        </w:rPr>
        <w:t>Antonarakis, E. S., &amp; Emadi, A. (2010). Ruthenium-based chemotherapeutics: Are they ready for prime time? Cancer Chemotherapy and Pharmacology. https://doi.org/10.1007/s00280-010-1293-1</w:t>
      </w:r>
    </w:p>
    <w:p w14:paraId="3BB48262" w14:textId="3B73F542"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[47]</w:t>
      </w:r>
      <w:r w:rsidRPr="00181D97">
        <w:rPr>
          <w:rFonts w:ascii="Times New Roman" w:hAnsi="Times New Roman" w:cs="Times New Roman"/>
          <w:sz w:val="20"/>
          <w:szCs w:val="20"/>
        </w:rPr>
        <w:tab/>
      </w:r>
      <w:r w:rsidR="00506CAC" w:rsidRPr="00181D97">
        <w:rPr>
          <w:rFonts w:ascii="Times New Roman" w:hAnsi="Times New Roman" w:cs="Times New Roman"/>
          <w:sz w:val="20"/>
          <w:szCs w:val="20"/>
        </w:rPr>
        <w:t>Marzano, C., Pellei, M., Tisato, F., &amp; Santini, C. (2009). Copper complexes as anticancer agents. Anticancer Agents in Medicinal Chemistry, 9(2), 185–211. https://doi.org/10.2174/187152009787313837</w:t>
      </w:r>
    </w:p>
    <w:p w14:paraId="16FAB8E1" w14:textId="17A3066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[48]</w:t>
      </w:r>
      <w:r w:rsidRPr="00181D97">
        <w:rPr>
          <w:rFonts w:ascii="Times New Roman" w:hAnsi="Times New Roman" w:cs="Times New Roman"/>
          <w:sz w:val="20"/>
          <w:szCs w:val="20"/>
        </w:rPr>
        <w:tab/>
      </w:r>
      <w:r w:rsidR="00460B85" w:rsidRPr="00181D97">
        <w:rPr>
          <w:rFonts w:ascii="Times New Roman" w:hAnsi="Times New Roman" w:cs="Times New Roman"/>
          <w:sz w:val="20"/>
          <w:szCs w:val="20"/>
        </w:rPr>
        <w:t>Medici, S., Peana, M., Nurchi, V.M., Lachowicz, J.I., Crisponi, G., &amp; Zoroddu, M.A. (2015). Noble metals in medicine: latest advances. Coordination Chemistry Reviews, 284, 329–350. https://doi.org/10.1016/j.ccr.2014.08.002</w:t>
      </w:r>
    </w:p>
    <w:p w14:paraId="2B9349F6" w14:textId="1A31AD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[49]</w:t>
      </w:r>
      <w:r w:rsidRPr="00181D97">
        <w:rPr>
          <w:rFonts w:ascii="Times New Roman" w:hAnsi="Times New Roman" w:cs="Times New Roman"/>
          <w:sz w:val="20"/>
          <w:szCs w:val="20"/>
        </w:rPr>
        <w:tab/>
      </w:r>
      <w:r w:rsidR="003E60E6" w:rsidRPr="00181D97">
        <w:rPr>
          <w:rFonts w:ascii="Times New Roman" w:hAnsi="Times New Roman" w:cs="Times New Roman"/>
          <w:sz w:val="20"/>
          <w:szCs w:val="20"/>
        </w:rPr>
        <w:t xml:space="preserve">Konkankit, C. C., Marker, S. C., Knopf, K. M., &amp; Wilson, J. J. (2018). Anticancer activity of complexes of the </w:t>
      </w:r>
      <w:proofErr w:type="gramStart"/>
      <w:r w:rsidR="003E60E6" w:rsidRPr="00181D97">
        <w:rPr>
          <w:rFonts w:ascii="Times New Roman" w:hAnsi="Times New Roman" w:cs="Times New Roman"/>
          <w:sz w:val="20"/>
          <w:szCs w:val="20"/>
        </w:rPr>
        <w:t>third row</w:t>
      </w:r>
      <w:proofErr w:type="gramEnd"/>
      <w:r w:rsidR="003E60E6" w:rsidRPr="00181D97">
        <w:rPr>
          <w:rFonts w:ascii="Times New Roman" w:hAnsi="Times New Roman" w:cs="Times New Roman"/>
          <w:sz w:val="20"/>
          <w:szCs w:val="20"/>
        </w:rPr>
        <w:t xml:space="preserve"> transition metals, rhenium, osmium, and iridium. Dalton Transactions, 47, 9934–9974. https://doi.org/10.1039/C8DT01858H</w:t>
      </w:r>
    </w:p>
    <w:p w14:paraId="4C891B03" w14:textId="1675E2C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[50]</w:t>
      </w:r>
      <w:r w:rsidRPr="00181D97">
        <w:rPr>
          <w:rFonts w:ascii="Times New Roman" w:hAnsi="Times New Roman" w:cs="Times New Roman"/>
          <w:sz w:val="20"/>
          <w:szCs w:val="20"/>
        </w:rPr>
        <w:tab/>
      </w:r>
      <w:r w:rsidR="00D74DA7" w:rsidRPr="00181D97">
        <w:rPr>
          <w:rFonts w:ascii="Times New Roman" w:hAnsi="Times New Roman" w:cs="Times New Roman"/>
          <w:sz w:val="20"/>
          <w:szCs w:val="20"/>
        </w:rPr>
        <w:t>Rosenberg, B., Van Camp, L., &amp; Krigas, T. (1965). Inhibition of cell division in Escherichia coli by electrolysis products from a platinum electrode. *Nature*, *205*, 698–699. https://doi.org/10.1038/205698a0</w:t>
      </w:r>
    </w:p>
    <w:p w14:paraId="42DE2838" w14:textId="2EC8960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[51]</w:t>
      </w:r>
      <w:r w:rsidRPr="00181D97">
        <w:rPr>
          <w:rFonts w:ascii="Times New Roman" w:hAnsi="Times New Roman" w:cs="Times New Roman"/>
          <w:sz w:val="20"/>
          <w:szCs w:val="20"/>
        </w:rPr>
        <w:tab/>
      </w:r>
      <w:r w:rsidR="00FE2C66" w:rsidRPr="00181D97">
        <w:rPr>
          <w:rFonts w:ascii="Times New Roman" w:hAnsi="Times New Roman" w:cs="Times New Roman"/>
          <w:sz w:val="20"/>
          <w:szCs w:val="20"/>
        </w:rPr>
        <w:t>Rosenberg, B., &amp; VanCamp, L. (1970). The successful regression of large solid sarcoma 180 tumors by platinum compounds. Cancer Research. http://www.ncbi.nlm.nih.gov/pubmed/5457941</w:t>
      </w:r>
    </w:p>
    <w:p w14:paraId="5FB9B5EC" w14:textId="63EFC0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[52]</w:t>
      </w:r>
      <w:r w:rsidRPr="00181D97">
        <w:rPr>
          <w:rFonts w:ascii="Times New Roman" w:hAnsi="Times New Roman" w:cs="Times New Roman"/>
          <w:sz w:val="20"/>
          <w:szCs w:val="20"/>
        </w:rPr>
        <w:tab/>
      </w:r>
      <w:r w:rsidR="00FE2C66" w:rsidRPr="00181D97">
        <w:rPr>
          <w:rFonts w:ascii="Times New Roman" w:hAnsi="Times New Roman" w:cs="Times New Roman"/>
          <w:sz w:val="20"/>
          <w:szCs w:val="20"/>
        </w:rPr>
        <w:t>Kociba, R. J., Sleight, S. D., &amp; Rosenberg, B. (1970). Inhibition of Dunning ascitic leukemia and Walker 256 carcinosarcoma with cis-diamminedichloroplatinum (NSC- 119875). Cancer Chemotherapy Reports, 54, 325–328. http://www.ncbi.nlm.nih.gov/pubmed/5514621</w:t>
      </w:r>
    </w:p>
    <w:p w14:paraId="728506CF" w14:textId="7D543CF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[53]</w:t>
      </w:r>
      <w:r w:rsidRPr="00181D97">
        <w:rPr>
          <w:rFonts w:ascii="Times New Roman" w:hAnsi="Times New Roman" w:cs="Times New Roman"/>
          <w:sz w:val="20"/>
          <w:szCs w:val="20"/>
        </w:rPr>
        <w:tab/>
      </w:r>
      <w:r w:rsidR="00072630" w:rsidRPr="00181D97">
        <w:rPr>
          <w:rFonts w:ascii="Times New Roman" w:hAnsi="Times New Roman" w:cs="Times New Roman"/>
          <w:sz w:val="20"/>
          <w:szCs w:val="20"/>
        </w:rPr>
        <w:t>Shen, D.-W., Pouliot, L. M., Hall, M. D., &amp; Gottesman, M. M. (2012). Cisplatin resistance: a cellular self-defense mechanism resulting from multiple epigenetic and genetic changes. Pharmacological Reviews, 64(3), 706–721. https://doi.org/10.1124/pr.111.005637</w:t>
      </w:r>
    </w:p>
    <w:p w14:paraId="74631880" w14:textId="1943DE80"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[54]</w:t>
      </w:r>
      <w:r w:rsidRPr="00181D97">
        <w:rPr>
          <w:rFonts w:ascii="Times New Roman" w:hAnsi="Times New Roman" w:cs="Times New Roman"/>
          <w:sz w:val="20"/>
          <w:szCs w:val="20"/>
        </w:rPr>
        <w:tab/>
      </w:r>
      <w:r w:rsidR="007F4EA0" w:rsidRPr="00181D97">
        <w:rPr>
          <w:rFonts w:ascii="Times New Roman" w:hAnsi="Times New Roman" w:cs="Times New Roman"/>
          <w:sz w:val="20"/>
          <w:szCs w:val="20"/>
        </w:rPr>
        <w:t>Johnstone, T. C., Park, G. Y., &amp; Lippard, S. J. (2014). Understanding and improving platinum anticancer drugs–phenanthriplatin. Anticancer Research, 34(1), 471–476. https://doi.org/10.21873/anticanres.10000</w:t>
      </w:r>
    </w:p>
    <w:p w14:paraId="18AFD685" w14:textId="39C6F1B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[55]</w:t>
      </w:r>
      <w:r w:rsidRPr="00181D97">
        <w:rPr>
          <w:rFonts w:ascii="Times New Roman" w:hAnsi="Times New Roman" w:cs="Times New Roman"/>
          <w:sz w:val="20"/>
          <w:szCs w:val="20"/>
        </w:rPr>
        <w:tab/>
      </w:r>
      <w:r w:rsidR="00701CE4" w:rsidRPr="00181D97">
        <w:rPr>
          <w:rFonts w:ascii="Times New Roman" w:hAnsi="Times New Roman" w:cs="Times New Roman"/>
          <w:sz w:val="20"/>
          <w:szCs w:val="20"/>
        </w:rPr>
        <w:t>Ghosh, S. (2019). Cisplatin: The first metal based anticancer drug. Bioorganic Chemistry, 88, 102925. https://doi.org/10.1016/j.bioorg.2019.102925</w:t>
      </w:r>
    </w:p>
    <w:p w14:paraId="2CC57513" w14:textId="3F1D7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[56]</w:t>
      </w:r>
      <w:r w:rsidRPr="00181D97">
        <w:rPr>
          <w:rFonts w:ascii="Times New Roman" w:hAnsi="Times New Roman" w:cs="Times New Roman"/>
          <w:sz w:val="20"/>
          <w:szCs w:val="20"/>
        </w:rPr>
        <w:tab/>
      </w:r>
      <w:r w:rsidR="003D3D2B" w:rsidRPr="00181D97">
        <w:rPr>
          <w:rFonts w:ascii="Times New Roman" w:hAnsi="Times New Roman" w:cs="Times New Roman"/>
          <w:sz w:val="20"/>
          <w:szCs w:val="20"/>
        </w:rPr>
        <w:t>Kostova, I. (2006). Platinum complexes as anticancer agents. Recent Patents on Anti-Cancer Drug Discovery, 1(1), 1–22. https://doi.org/10.2174/157489206775246458</w:t>
      </w:r>
    </w:p>
    <w:p w14:paraId="2E291BB1" w14:textId="6185883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[57]</w:t>
      </w:r>
      <w:r w:rsidRPr="00181D97">
        <w:rPr>
          <w:rFonts w:ascii="Times New Roman" w:hAnsi="Times New Roman" w:cs="Times New Roman"/>
          <w:sz w:val="20"/>
          <w:szCs w:val="20"/>
        </w:rPr>
        <w:tab/>
      </w:r>
      <w:r w:rsidR="009D6A05" w:rsidRPr="00181D97">
        <w:rPr>
          <w:rFonts w:ascii="Times New Roman" w:hAnsi="Times New Roman" w:cs="Times New Roman"/>
          <w:sz w:val="20"/>
          <w:szCs w:val="20"/>
        </w:rPr>
        <w:t>Kauffman, G. B., Pentimalli, R., Doldi, S., &amp; Hall, M. D. (2010). Michele Peyrone (1813-1883), Discoverer of Cisplatin. Platinum Metals Review, 54(4), 250–256. https://doi.org/10.1595/147106710X534326</w:t>
      </w:r>
    </w:p>
    <w:p w14:paraId="7A181B35" w14:textId="6CBC457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[58]</w:t>
      </w:r>
      <w:r w:rsidRPr="00181D97">
        <w:rPr>
          <w:rFonts w:ascii="Times New Roman" w:hAnsi="Times New Roman" w:cs="Times New Roman"/>
          <w:sz w:val="20"/>
          <w:szCs w:val="20"/>
        </w:rPr>
        <w:tab/>
      </w:r>
      <w:r w:rsidR="006400E5" w:rsidRPr="00181D97">
        <w:rPr>
          <w:rFonts w:ascii="Times New Roman" w:hAnsi="Times New Roman" w:cs="Times New Roman"/>
          <w:sz w:val="20"/>
          <w:szCs w:val="20"/>
        </w:rPr>
        <w:t>Harrap, K. R., Jones, M., Wilkinson, C. R., Clink, H. McD., Sparrow, S., Mitchley, B. C. V., Clarke, S., &amp; Veasey, A. (1980). Antitumor, toxic and biochemical properties of cisplatin and eight other platinum complexes. In Cisplatin (pp. 193–212). Elsevier. https://doi.org/10.1016/B978-0-12-565050-2.50016-4</w:t>
      </w:r>
    </w:p>
    <w:p w14:paraId="09D8AC27" w14:textId="7777777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[59]</w:t>
      </w:r>
      <w:r w:rsidRPr="00181D97">
        <w:rPr>
          <w:rFonts w:ascii="Times New Roman" w:hAnsi="Times New Roman" w:cs="Times New Roman"/>
          <w:sz w:val="20"/>
          <w:szCs w:val="20"/>
        </w:rPr>
        <w:tab/>
        <w:t>S. Neidle, I.M. Ismail, P.J. Sadler, The structure of the antitumor complex cis- (diammino) (1,1-cyclobutanedicarboxylato)-</w:t>
      </w:r>
      <w:proofErr w:type="gramStart"/>
      <w:r w:rsidRPr="00181D97">
        <w:rPr>
          <w:rFonts w:ascii="Times New Roman" w:hAnsi="Times New Roman" w:cs="Times New Roman"/>
          <w:sz w:val="20"/>
          <w:szCs w:val="20"/>
        </w:rPr>
        <w:t>Pt(</w:t>
      </w:r>
      <w:proofErr w:type="gramEnd"/>
      <w:r w:rsidRPr="00181D97">
        <w:rPr>
          <w:rFonts w:ascii="Times New Roman" w:hAnsi="Times New Roman" w:cs="Times New Roman"/>
          <w:sz w:val="20"/>
          <w:szCs w:val="20"/>
        </w:rPr>
        <w:t xml:space="preserve">II): X ray and nmr studies, J. Inorg. Biochem. 13 (1980) 205–212, </w:t>
      </w:r>
      <w:hyperlink r:id="rId27" w:history="1">
        <w:r w:rsidRPr="00181D97">
          <w:rPr>
            <w:rStyle w:val="Hyperlink"/>
            <w:rFonts w:ascii="Times New Roman" w:hAnsi="Times New Roman" w:cs="Times New Roman"/>
            <w:sz w:val="20"/>
            <w:szCs w:val="20"/>
          </w:rPr>
          <w:t>https://doi.org/10.1016/S0162-0134(00)</w:t>
        </w:r>
      </w:hyperlink>
      <w:r w:rsidRPr="00181D97">
        <w:rPr>
          <w:rFonts w:ascii="Times New Roman" w:hAnsi="Times New Roman" w:cs="Times New Roman"/>
          <w:sz w:val="20"/>
          <w:szCs w:val="20"/>
        </w:rPr>
        <w:t xml:space="preserve"> 80069-0.</w:t>
      </w:r>
    </w:p>
    <w:p w14:paraId="58511D39" w14:textId="3E28CF6E"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[60]</w:t>
      </w:r>
      <w:r w:rsidRPr="00181D97">
        <w:rPr>
          <w:rFonts w:ascii="Times New Roman" w:hAnsi="Times New Roman" w:cs="Times New Roman"/>
          <w:sz w:val="20"/>
          <w:szCs w:val="20"/>
        </w:rPr>
        <w:tab/>
      </w:r>
      <w:r w:rsidR="00F42A23" w:rsidRPr="00181D97">
        <w:rPr>
          <w:rFonts w:ascii="Times New Roman" w:hAnsi="Times New Roman" w:cs="Times New Roman"/>
          <w:sz w:val="20"/>
          <w:szCs w:val="20"/>
        </w:rPr>
        <w:t>Jakupec, M. A., Galanski, M. S., &amp; Keppler, B. K. (2003). Tumour-inhibiting platinum complexes—state of the art and future perspectives. Reviews of Physiology, Biochemistry and Pharmacology, 146, 1–54. https://doi.org/10.1007/s10254-002-0001-x</w:t>
      </w:r>
    </w:p>
    <w:p w14:paraId="3ADAF15E"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7C6A7EEF"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1C948439" w14:textId="41F4C6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[61]</w:t>
      </w:r>
      <w:r w:rsidRPr="00181D97">
        <w:rPr>
          <w:rFonts w:ascii="Times New Roman" w:hAnsi="Times New Roman" w:cs="Times New Roman"/>
          <w:sz w:val="20"/>
          <w:szCs w:val="20"/>
        </w:rPr>
        <w:tab/>
      </w:r>
      <w:r w:rsidR="00D35A29" w:rsidRPr="00181D97">
        <w:rPr>
          <w:rFonts w:ascii="Times New Roman" w:hAnsi="Times New Roman" w:cs="Times New Roman"/>
          <w:sz w:val="20"/>
          <w:szCs w:val="20"/>
        </w:rPr>
        <w:t>Woynarowski, J. M., Faivre, S., Herzig, M. C. S., Arnett, B., Chapman, W. G., Trevino, A. V., Raymond, E., Chaney, S. G., Vaisman, A., Varchenko, M., &amp; Juniewicz, P. E. (2000). Oxaliplatin-induced damage of cellular DNA. Molecular Pharmacology, 58(5), 920–927. https://doi.org/10.1124/mol.58.5.920</w:t>
      </w:r>
    </w:p>
    <w:p w14:paraId="08A139AE" w14:textId="62D4FAF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[62]</w:t>
      </w:r>
      <w:r w:rsidRPr="00181D97">
        <w:rPr>
          <w:rFonts w:ascii="Times New Roman" w:hAnsi="Times New Roman" w:cs="Times New Roman"/>
          <w:sz w:val="20"/>
          <w:szCs w:val="20"/>
        </w:rPr>
        <w:tab/>
      </w:r>
      <w:r w:rsidR="007932DB" w:rsidRPr="00181D97">
        <w:rPr>
          <w:rFonts w:ascii="Times New Roman" w:hAnsi="Times New Roman" w:cs="Times New Roman"/>
          <w:sz w:val="20"/>
          <w:szCs w:val="20"/>
        </w:rPr>
        <w:t>Cassidy, J., &amp; Misset, J.-L. (2002). Oxaliplatin-related side effects: characteristics and management. Seminars in Oncology. https://doi.org/10.1053/sonc.2002.35524</w:t>
      </w:r>
    </w:p>
    <w:p w14:paraId="2C2E79D1" w14:textId="503BF34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[63]</w:t>
      </w:r>
      <w:r w:rsidRPr="00181D97">
        <w:rPr>
          <w:rFonts w:ascii="Times New Roman" w:hAnsi="Times New Roman" w:cs="Times New Roman"/>
          <w:sz w:val="20"/>
          <w:szCs w:val="20"/>
        </w:rPr>
        <w:tab/>
      </w:r>
      <w:r w:rsidR="007B11B8" w:rsidRPr="00181D97">
        <w:rPr>
          <w:rFonts w:ascii="Times New Roman" w:hAnsi="Times New Roman" w:cs="Times New Roman"/>
          <w:sz w:val="20"/>
          <w:szCs w:val="20"/>
        </w:rPr>
        <w:t>Shimada, M., Itamochi, H., &amp; Kigawa, J. (2013). Nedaplatin: a cisplatin derivative in cancer chemotherapy. Cancer Management and Research, 5, 67–76. https://doi.org/10.2147/CMAR.S35785</w:t>
      </w:r>
    </w:p>
    <w:p w14:paraId="0E0403D9" w14:textId="04FDEFC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[64]</w:t>
      </w:r>
      <w:r w:rsidRPr="00181D97">
        <w:rPr>
          <w:rFonts w:ascii="Times New Roman" w:hAnsi="Times New Roman" w:cs="Times New Roman"/>
          <w:sz w:val="20"/>
          <w:szCs w:val="20"/>
        </w:rPr>
        <w:tab/>
      </w:r>
      <w:r w:rsidR="007F5901" w:rsidRPr="00181D97">
        <w:rPr>
          <w:rFonts w:ascii="Times New Roman" w:hAnsi="Times New Roman" w:cs="Times New Roman"/>
          <w:sz w:val="20"/>
          <w:szCs w:val="20"/>
        </w:rPr>
        <w:t>Kawai, Y., Taniuchi, S., Okahara, S., Nakamura, M., &amp; Gemba, M. (2005). Relationship between cisplatin or nedaplatin-induced nephrotoxicity and renal accumulation. Biol. Pharm. Bull., 28(8), 1385–1388. https://doi.org/10.1248/bpb.28.1385</w:t>
      </w:r>
    </w:p>
    <w:p w14:paraId="4B1442CB" w14:textId="6FAD8C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[65]</w:t>
      </w:r>
      <w:r w:rsidRPr="00181D97">
        <w:rPr>
          <w:rFonts w:ascii="Times New Roman" w:hAnsi="Times New Roman" w:cs="Times New Roman"/>
          <w:sz w:val="20"/>
          <w:szCs w:val="20"/>
        </w:rPr>
        <w:tab/>
      </w:r>
      <w:r w:rsidR="00A43C43" w:rsidRPr="00181D97">
        <w:rPr>
          <w:rFonts w:ascii="Times New Roman" w:hAnsi="Times New Roman" w:cs="Times New Roman"/>
          <w:sz w:val="20"/>
          <w:szCs w:val="20"/>
        </w:rPr>
        <w:t>Welink, J., Boven, E., Vermorken, J. B., Gall, H. E., &amp; van der Vijgh, W. J. (1999). Pharmacokinetics and pharmacodynamics of lobaplatin (D-19466) in patients with advanced solid tumors, including patients with impaired renal or liver function. Clinical Cancer Research, 5(9), 2349–2358. https://doi.org/10.1158/1078-0432.CCR-99-0001</w:t>
      </w:r>
    </w:p>
    <w:p w14:paraId="635350F7" w14:textId="34575BA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[66]</w:t>
      </w:r>
      <w:r w:rsidRPr="00181D97">
        <w:rPr>
          <w:rFonts w:ascii="Times New Roman" w:hAnsi="Times New Roman" w:cs="Times New Roman"/>
          <w:sz w:val="20"/>
          <w:szCs w:val="20"/>
        </w:rPr>
        <w:tab/>
      </w:r>
      <w:r w:rsidR="00F22055" w:rsidRPr="00181D97">
        <w:rPr>
          <w:rFonts w:ascii="Times New Roman" w:hAnsi="Times New Roman" w:cs="Times New Roman"/>
          <w:sz w:val="20"/>
          <w:szCs w:val="20"/>
        </w:rPr>
        <w:t>Eliopoulos, A. G., Kerr, D. J., Maurer, H. R., Hilgard, P., &amp; Spandidos, D. A. (1995). Induction of the c-myc but not the cH-ras promoter by platinum compounds. Biochemical Pharmacology. https://doi.org/10.1016/0006-2952(95)00085-E</w:t>
      </w:r>
    </w:p>
    <w:p w14:paraId="0E56112A" w14:textId="2FBB6A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[67]</w:t>
      </w:r>
      <w:r w:rsidRPr="00181D97">
        <w:rPr>
          <w:rFonts w:ascii="Times New Roman" w:hAnsi="Times New Roman" w:cs="Times New Roman"/>
          <w:sz w:val="20"/>
          <w:szCs w:val="20"/>
        </w:rPr>
        <w:tab/>
      </w:r>
      <w:r w:rsidR="004E34B2" w:rsidRPr="00181D97">
        <w:rPr>
          <w:rFonts w:ascii="Times New Roman" w:hAnsi="Times New Roman" w:cs="Times New Roman"/>
          <w:sz w:val="20"/>
          <w:szCs w:val="20"/>
        </w:rPr>
        <w:t>Annunziata, F., Pinna, C., Dallavalle, S., Tamborini, L., &amp; Pinto, A. (2020). An overview of coumarin as a versatile and readily accessible scaffold with broad-ranging biological activities. International Journal of Molecular Sciences, 21(13), 4618. https://doi.org/10.3390/ijms21134618</w:t>
      </w:r>
    </w:p>
    <w:p w14:paraId="16DD2E49" w14:textId="4651E0C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[68]</w:t>
      </w:r>
      <w:r w:rsidRPr="00181D97">
        <w:rPr>
          <w:rFonts w:ascii="Times New Roman" w:hAnsi="Times New Roman" w:cs="Times New Roman"/>
          <w:sz w:val="20"/>
          <w:szCs w:val="20"/>
        </w:rPr>
        <w:tab/>
      </w:r>
      <w:r w:rsidR="009E1B0E" w:rsidRPr="00181D97">
        <w:rPr>
          <w:rFonts w:ascii="Times New Roman" w:hAnsi="Times New Roman" w:cs="Times New Roman"/>
          <w:sz w:val="20"/>
          <w:szCs w:val="20"/>
        </w:rPr>
        <w:t>Chu, X.-M., Wang, C., Liu, W., Liang, L.-L., Gong, K.-K., Zhao, C.-Y., &amp; Sun, K.-L. (2019). Quinoline and quinolone dimers and their biological activities: An overview. European Journal of Medicinal Chemistry, 161, 101–117. https://doi.org/10.1016/j.ejmech.2018.10.035</w:t>
      </w:r>
    </w:p>
    <w:p w14:paraId="3E455892" w14:textId="7C86F63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[69]</w:t>
      </w:r>
      <w:r w:rsidRPr="00181D97">
        <w:rPr>
          <w:rFonts w:ascii="Times New Roman" w:hAnsi="Times New Roman" w:cs="Times New Roman"/>
          <w:sz w:val="20"/>
          <w:szCs w:val="20"/>
        </w:rPr>
        <w:tab/>
      </w:r>
      <w:r w:rsidR="00163E6E" w:rsidRPr="00181D97">
        <w:rPr>
          <w:rFonts w:ascii="Times New Roman" w:hAnsi="Times New Roman" w:cs="Times New Roman"/>
          <w:sz w:val="20"/>
          <w:szCs w:val="20"/>
        </w:rPr>
        <w:t>Lauria, A., La Monica, G., Bono, A., &amp; Martorana, A. (2021). Quinoline anticancer agents active on DNA and DNA-interacting proteins: From classical to emerging therapeutic targets. European Journal of Medicinal Chemistry, 220, 113555. https://doi.org/10.1016/j.ejmech.2021.113555</w:t>
      </w:r>
    </w:p>
    <w:p w14:paraId="0563BFC5" w14:textId="695F4F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[70]</w:t>
      </w:r>
      <w:r w:rsidRPr="00181D97">
        <w:rPr>
          <w:rFonts w:ascii="Times New Roman" w:hAnsi="Times New Roman" w:cs="Times New Roman"/>
          <w:sz w:val="20"/>
          <w:szCs w:val="20"/>
        </w:rPr>
        <w:tab/>
      </w:r>
      <w:r w:rsidR="00B04283" w:rsidRPr="00181D97">
        <w:rPr>
          <w:rFonts w:ascii="Times New Roman" w:hAnsi="Times New Roman" w:cs="Times New Roman"/>
          <w:sz w:val="20"/>
          <w:szCs w:val="20"/>
        </w:rPr>
        <w:t xml:space="preserve">Chen, Z.-F., Qin, Q.-P., Qin, J.-L., Zhou, J., Li, Y.-L., Li, N., Liu, Y.-C., &amp; Liang, H. (2015). Water-soluble </w:t>
      </w:r>
      <w:proofErr w:type="gramStart"/>
      <w:r w:rsidR="00B04283" w:rsidRPr="00181D97">
        <w:rPr>
          <w:rFonts w:ascii="Times New Roman" w:hAnsi="Times New Roman" w:cs="Times New Roman"/>
          <w:sz w:val="20"/>
          <w:szCs w:val="20"/>
        </w:rPr>
        <w:t>ruthenium(</w:t>
      </w:r>
      <w:proofErr w:type="gramEnd"/>
      <w:r w:rsidR="00B04283" w:rsidRPr="00181D97">
        <w:rPr>
          <w:rFonts w:ascii="Times New Roman" w:hAnsi="Times New Roman" w:cs="Times New Roman"/>
          <w:sz w:val="20"/>
          <w:szCs w:val="20"/>
        </w:rPr>
        <w:t>II) complexes with chiral 4-(2,3-Dihydroxypropyl)-formamide oxoaporphine (FOA): in vitro and in vivo anticancer activity by stabilization of G- quadruplex DNA, inhibition of telomerase activity, and induction of tumor cell apoptosis. Journal of Medicinal Chemistry, 58(11), 4771–4789. https://doi.org/10.1021/acs.jmedchem.5b00444</w:t>
      </w:r>
    </w:p>
    <w:p w14:paraId="5EC09D2A" w14:textId="30339483"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[71]</w:t>
      </w:r>
      <w:r w:rsidRPr="00181D97">
        <w:rPr>
          <w:rFonts w:ascii="Times New Roman" w:hAnsi="Times New Roman" w:cs="Times New Roman"/>
          <w:sz w:val="20"/>
          <w:szCs w:val="20"/>
        </w:rPr>
        <w:tab/>
      </w:r>
      <w:r w:rsidR="008B3A62" w:rsidRPr="00181D97">
        <w:rPr>
          <w:rFonts w:ascii="Times New Roman" w:hAnsi="Times New Roman" w:cs="Times New Roman"/>
          <w:sz w:val="20"/>
          <w:szCs w:val="20"/>
        </w:rPr>
        <w:t xml:space="preserve">Qin, Q.-P., Wang, Z.-F., Huang, X.-L., Tan, M.-X., Zou, B.-Q., &amp; Liang, H. (2019). Strong in vitro and vivo cytotoxicity of novel </w:t>
      </w:r>
      <w:proofErr w:type="gramStart"/>
      <w:r w:rsidR="008B3A62" w:rsidRPr="00181D97">
        <w:rPr>
          <w:rFonts w:ascii="Times New Roman" w:hAnsi="Times New Roman" w:cs="Times New Roman"/>
          <w:sz w:val="20"/>
          <w:szCs w:val="20"/>
        </w:rPr>
        <w:t>organoplatinum(</w:t>
      </w:r>
      <w:proofErr w:type="gramEnd"/>
      <w:r w:rsidR="008B3A62" w:rsidRPr="00181D97">
        <w:rPr>
          <w:rFonts w:ascii="Times New Roman" w:hAnsi="Times New Roman" w:cs="Times New Roman"/>
          <w:sz w:val="20"/>
          <w:szCs w:val="20"/>
        </w:rPr>
        <w:t>II) complexes with quinoline-coumarin derivatives. European Journal of Medicinal Chemistry. https://doi.org/10.1016/j.ejmech.2019.111751</w:t>
      </w:r>
    </w:p>
    <w:p w14:paraId="1E5A41BB"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079864E0" w14:textId="77777777" w:rsidR="00D84361" w:rsidRPr="00181D97" w:rsidRDefault="00D84361" w:rsidP="00DD42E1">
      <w:pPr>
        <w:spacing w:after="0" w:line="240" w:lineRule="auto"/>
        <w:jc w:val="both"/>
        <w:rPr>
          <w:rFonts w:ascii="Times New Roman" w:hAnsi="Times New Roman" w:cs="Times New Roman"/>
          <w:sz w:val="20"/>
          <w:szCs w:val="20"/>
        </w:rPr>
      </w:pPr>
    </w:p>
    <w:p w14:paraId="7C6292DA" w14:textId="6801B8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[72]</w:t>
      </w:r>
      <w:r w:rsidRPr="00181D97">
        <w:rPr>
          <w:rFonts w:ascii="Times New Roman" w:hAnsi="Times New Roman" w:cs="Times New Roman"/>
          <w:sz w:val="20"/>
          <w:szCs w:val="20"/>
        </w:rPr>
        <w:tab/>
      </w:r>
      <w:r w:rsidR="00F42811" w:rsidRPr="00181D97">
        <w:rPr>
          <w:rFonts w:ascii="Times New Roman" w:hAnsi="Times New Roman" w:cs="Times New Roman"/>
          <w:sz w:val="20"/>
          <w:szCs w:val="20"/>
        </w:rPr>
        <w:t>Ruiz, M. C., Resasco, A., Di Virgilio, A. L., Ayala, M., Cavaco, I., Cabrera, S., Aleman, J., &amp; Leo´n, I. E. (2019). In vitro and in vivo anticancer effects of two quinoline-</w:t>
      </w:r>
      <w:proofErr w:type="gramStart"/>
      <w:r w:rsidR="00F42811" w:rsidRPr="00181D97">
        <w:rPr>
          <w:rFonts w:ascii="Times New Roman" w:hAnsi="Times New Roman" w:cs="Times New Roman"/>
          <w:sz w:val="20"/>
          <w:szCs w:val="20"/>
        </w:rPr>
        <w:t>platinum(</w:t>
      </w:r>
      <w:proofErr w:type="gramEnd"/>
      <w:r w:rsidR="00F42811" w:rsidRPr="00181D97">
        <w:rPr>
          <w:rFonts w:ascii="Times New Roman" w:hAnsi="Times New Roman" w:cs="Times New Roman"/>
          <w:sz w:val="20"/>
          <w:szCs w:val="20"/>
        </w:rPr>
        <w:t>II) complexes on human osteosarcoma models. Cancer Chemotherapy and Pharmacology, 83(4), 681–692. https://doi.org/10.1007/s00280-019-03773-x</w:t>
      </w:r>
    </w:p>
    <w:p w14:paraId="6CA8BF36" w14:textId="61C0424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[73]</w:t>
      </w:r>
      <w:r w:rsidRPr="00181D97">
        <w:rPr>
          <w:rFonts w:ascii="Times New Roman" w:hAnsi="Times New Roman" w:cs="Times New Roman"/>
          <w:sz w:val="20"/>
          <w:szCs w:val="20"/>
        </w:rPr>
        <w:tab/>
      </w:r>
      <w:r w:rsidR="00393F08" w:rsidRPr="00181D97">
        <w:rPr>
          <w:rFonts w:ascii="Times New Roman" w:hAnsi="Times New Roman" w:cs="Times New Roman"/>
          <w:sz w:val="20"/>
          <w:szCs w:val="20"/>
        </w:rPr>
        <w:t>Zhong, F., Chen, Y., Chen, J., Liao, H., Li, Y., &amp; Ma, Y. (2022). Jatrorrhizine: A review of sources, pharmacology, pharmacokinetics and toxicity. Frontiers in Pharmacology, 12, 783127. https://doi.org/10.3389/fphar.2021.783127</w:t>
      </w:r>
    </w:p>
    <w:p w14:paraId="20BC6AF0" w14:textId="64E7E53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[74]</w:t>
      </w:r>
      <w:r w:rsidRPr="00181D97">
        <w:rPr>
          <w:rFonts w:ascii="Times New Roman" w:hAnsi="Times New Roman" w:cs="Times New Roman"/>
          <w:sz w:val="20"/>
          <w:szCs w:val="20"/>
        </w:rPr>
        <w:tab/>
      </w:r>
      <w:r w:rsidR="00BF38DA" w:rsidRPr="00181D97">
        <w:rPr>
          <w:rFonts w:ascii="Times New Roman" w:hAnsi="Times New Roman" w:cs="Times New Roman"/>
          <w:sz w:val="20"/>
          <w:szCs w:val="20"/>
        </w:rPr>
        <w:t xml:space="preserve">Qin, Q.-P., Zou, B.-Q., Wang, Z.-F., Huang, X.-L., Zhang, Y., Tan, M.-X., Wang, S.-L., &amp; Liang, H. (2019). High in vitro and in vivo antitumor activities of luminecent </w:t>
      </w:r>
      <w:proofErr w:type="gramStart"/>
      <w:r w:rsidR="00BF38DA" w:rsidRPr="00181D97">
        <w:rPr>
          <w:rFonts w:ascii="Times New Roman" w:hAnsi="Times New Roman" w:cs="Times New Roman"/>
          <w:sz w:val="20"/>
          <w:szCs w:val="20"/>
        </w:rPr>
        <w:t>platinum(</w:t>
      </w:r>
      <w:proofErr w:type="gramEnd"/>
      <w:r w:rsidR="00BF38DA" w:rsidRPr="00181D97">
        <w:rPr>
          <w:rFonts w:ascii="Times New Roman" w:hAnsi="Times New Roman" w:cs="Times New Roman"/>
          <w:sz w:val="20"/>
          <w:szCs w:val="20"/>
        </w:rPr>
        <w:t>II) complexes with jatrorrhizine derivatives. European Journal of Medicinal Chemistry, 183, 111727. https://doi.org/10.1016/j.ejmech.2019.111727</w:t>
      </w:r>
    </w:p>
    <w:p w14:paraId="775F3773" w14:textId="4898729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[75]</w:t>
      </w:r>
      <w:r w:rsidRPr="00181D97">
        <w:rPr>
          <w:rFonts w:ascii="Times New Roman" w:hAnsi="Times New Roman" w:cs="Times New Roman"/>
          <w:sz w:val="20"/>
          <w:szCs w:val="20"/>
        </w:rPr>
        <w:tab/>
      </w:r>
      <w:r w:rsidR="007810EA" w:rsidRPr="00181D97">
        <w:rPr>
          <w:rFonts w:ascii="Times New Roman" w:hAnsi="Times New Roman" w:cs="Times New Roman"/>
          <w:sz w:val="20"/>
          <w:szCs w:val="20"/>
        </w:rPr>
        <w:t xml:space="preserve">Mo, X., Chen, K., Chen, Z., Chu, B., Liu, D., Liang, Y., Xiong, J., Yang, Y., Cai, J., &amp; Liang, F. (2021). Antitumor Activities for Two </w:t>
      </w:r>
      <w:proofErr w:type="gramStart"/>
      <w:r w:rsidR="007810EA" w:rsidRPr="00181D97">
        <w:rPr>
          <w:rFonts w:ascii="Times New Roman" w:hAnsi="Times New Roman" w:cs="Times New Roman"/>
          <w:sz w:val="20"/>
          <w:szCs w:val="20"/>
        </w:rPr>
        <w:t>Pt(</w:t>
      </w:r>
      <w:proofErr w:type="gramEnd"/>
      <w:r w:rsidR="007810EA" w:rsidRPr="00181D97">
        <w:rPr>
          <w:rFonts w:ascii="Times New Roman" w:hAnsi="Times New Roman" w:cs="Times New Roman"/>
          <w:sz w:val="20"/>
          <w:szCs w:val="20"/>
        </w:rPr>
        <w:t>II) Complexes of Tropolone and 8-Hydroxyquinoline Derivative. Inorganic Chemistry, 60(21), 16128–16139. https://doi.org/10.1021/acs.inorgchem.1c01763</w:t>
      </w:r>
    </w:p>
    <w:p w14:paraId="1ADF34CF" w14:textId="75B9C22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[76]</w:t>
      </w:r>
      <w:r w:rsidRPr="00181D97">
        <w:rPr>
          <w:rFonts w:ascii="Times New Roman" w:hAnsi="Times New Roman" w:cs="Times New Roman"/>
          <w:sz w:val="20"/>
          <w:szCs w:val="20"/>
        </w:rPr>
        <w:tab/>
      </w:r>
      <w:r w:rsidR="00F62B78" w:rsidRPr="00181D97">
        <w:rPr>
          <w:rFonts w:ascii="Times New Roman" w:hAnsi="Times New Roman" w:cs="Times New Roman"/>
          <w:sz w:val="20"/>
          <w:szCs w:val="20"/>
        </w:rPr>
        <w:t>Mahendiran, D., Kumar, R. S., Viswanathan, V., Velmurugan, D., &amp; Rahiman, A. K. (2016). Targeting of DNA molecules, BSA/c-Met tyrosine kinase receptors and anti-proliferative activity of bis(terpyridine)</w:t>
      </w:r>
      <w:proofErr w:type="gramStart"/>
      <w:r w:rsidR="00F62B78" w:rsidRPr="00181D97">
        <w:rPr>
          <w:rFonts w:ascii="Times New Roman" w:hAnsi="Times New Roman" w:cs="Times New Roman"/>
          <w:sz w:val="20"/>
          <w:szCs w:val="20"/>
        </w:rPr>
        <w:t>copper(</w:t>
      </w:r>
      <w:proofErr w:type="gramEnd"/>
      <w:r w:rsidR="00F62B78" w:rsidRPr="00181D97">
        <w:rPr>
          <w:rFonts w:ascii="Times New Roman" w:hAnsi="Times New Roman" w:cs="Times New Roman"/>
          <w:sz w:val="20"/>
          <w:szCs w:val="20"/>
        </w:rPr>
        <w:t>II) complexes. Dalton Transactions, 45, 7794–7814. https://doi.org/10.1039/C5DT03831F</w:t>
      </w:r>
    </w:p>
    <w:p w14:paraId="7FF9B0C1" w14:textId="38A6C5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[77]</w:t>
      </w:r>
      <w:r w:rsidRPr="00181D97">
        <w:rPr>
          <w:rFonts w:ascii="Times New Roman" w:hAnsi="Times New Roman" w:cs="Times New Roman"/>
          <w:sz w:val="20"/>
          <w:szCs w:val="20"/>
        </w:rPr>
        <w:tab/>
      </w:r>
      <w:r w:rsidR="00967097" w:rsidRPr="00181D97">
        <w:rPr>
          <w:rFonts w:ascii="Times New Roman" w:hAnsi="Times New Roman" w:cs="Times New Roman"/>
          <w:sz w:val="20"/>
          <w:szCs w:val="20"/>
        </w:rPr>
        <w:t>Mahendiran, D., Kumar, R. S., Viswanathan, V., Velmurugan, D., &amp; Rahiman, A. K. (2017). In vitro and in vivo anti-proliferative evaluation of bis(4′-(4-tolyl)-2,2′:6′,2″-</w:t>
      </w:r>
      <w:proofErr w:type="gramStart"/>
      <w:r w:rsidR="00967097" w:rsidRPr="00181D97">
        <w:rPr>
          <w:rFonts w:ascii="Times New Roman" w:hAnsi="Times New Roman" w:cs="Times New Roman"/>
          <w:sz w:val="20"/>
          <w:szCs w:val="20"/>
        </w:rPr>
        <w:t>terpyridine)copper</w:t>
      </w:r>
      <w:proofErr w:type="gramEnd"/>
      <w:r w:rsidR="00967097" w:rsidRPr="00181D97">
        <w:rPr>
          <w:rFonts w:ascii="Times New Roman" w:hAnsi="Times New Roman" w:cs="Times New Roman"/>
          <w:sz w:val="20"/>
          <w:szCs w:val="20"/>
        </w:rPr>
        <w:t>(II) complex against Ehrlich ascites carcinoma tumors. *JBIC Journal of Biological Inorganic Chemistry*, *22*(7), 1109–1122. https://doi.org/10.1007/s00775-017-1488-6</w:t>
      </w:r>
    </w:p>
    <w:p w14:paraId="28FEC7DD" w14:textId="0EA82F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[78]</w:t>
      </w:r>
      <w:r w:rsidRPr="00181D97">
        <w:rPr>
          <w:rFonts w:ascii="Times New Roman" w:hAnsi="Times New Roman" w:cs="Times New Roman"/>
          <w:sz w:val="20"/>
          <w:szCs w:val="20"/>
        </w:rPr>
        <w:tab/>
      </w:r>
      <w:r w:rsidR="00B7794F" w:rsidRPr="00181D97">
        <w:rPr>
          <w:rFonts w:ascii="Times New Roman" w:hAnsi="Times New Roman" w:cs="Times New Roman"/>
          <w:sz w:val="20"/>
          <w:szCs w:val="20"/>
        </w:rPr>
        <w:t xml:space="preserve">Qin, Q.-P., Wang, Z.-F., Wang, S.-L., Luo, D.-M., Zou, B.-Q., Yao, P.-F., Tan, M.-X., &amp; Liang, H. (2019). In vitro and in vivo antitumor activities of three novel binuclear </w:t>
      </w:r>
      <w:proofErr w:type="gramStart"/>
      <w:r w:rsidR="00B7794F" w:rsidRPr="00181D97">
        <w:rPr>
          <w:rFonts w:ascii="Times New Roman" w:hAnsi="Times New Roman" w:cs="Times New Roman"/>
          <w:sz w:val="20"/>
          <w:szCs w:val="20"/>
        </w:rPr>
        <w:t>platinum(</w:t>
      </w:r>
      <w:proofErr w:type="gramEnd"/>
      <w:r w:rsidR="00B7794F" w:rsidRPr="00181D97">
        <w:rPr>
          <w:rFonts w:ascii="Times New Roman" w:hAnsi="Times New Roman" w:cs="Times New Roman"/>
          <w:sz w:val="20"/>
          <w:szCs w:val="20"/>
        </w:rPr>
        <w:t>II) complexes with 4′-substituted-2,2′:6′,2″-terpyridine ligands. European Journal of Medicinal Chemistry, 170, 195–202. https://doi.org/10.1016/j.ejmech.2019.03.014</w:t>
      </w:r>
    </w:p>
    <w:p w14:paraId="5146248D" w14:textId="50E9F45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[79]</w:t>
      </w:r>
      <w:r w:rsidRPr="00181D97">
        <w:rPr>
          <w:rFonts w:ascii="Times New Roman" w:hAnsi="Times New Roman" w:cs="Times New Roman"/>
          <w:sz w:val="20"/>
          <w:szCs w:val="20"/>
        </w:rPr>
        <w:tab/>
      </w:r>
      <w:r w:rsidR="00AB5439" w:rsidRPr="00181D97">
        <w:rPr>
          <w:rFonts w:ascii="Times New Roman" w:hAnsi="Times New Roman" w:cs="Times New Roman"/>
          <w:sz w:val="20"/>
          <w:szCs w:val="20"/>
        </w:rPr>
        <w:t xml:space="preserve">Konovalov, B., Živković, M. D., Milovanović, J. Z., Djordjević, D. B., Arsenijević, A. N., Vasić, I. R., Janjić, G. V., Franich, A., Manojlović, D., Skrivanj, S., Milovanović, M. Z., Djuran, M. I., &amp; Rajković, S. (2018). Synthesis, cytotoxic activity and DNA interaction studies of new dinuclear </w:t>
      </w:r>
      <w:proofErr w:type="gramStart"/>
      <w:r w:rsidR="00AB5439" w:rsidRPr="00181D97">
        <w:rPr>
          <w:rFonts w:ascii="Times New Roman" w:hAnsi="Times New Roman" w:cs="Times New Roman"/>
          <w:sz w:val="20"/>
          <w:szCs w:val="20"/>
        </w:rPr>
        <w:t>platinum(</w:t>
      </w:r>
      <w:proofErr w:type="gramEnd"/>
      <w:r w:rsidR="00AB5439" w:rsidRPr="00181D97">
        <w:rPr>
          <w:rFonts w:ascii="Times New Roman" w:hAnsi="Times New Roman" w:cs="Times New Roman"/>
          <w:sz w:val="20"/>
          <w:szCs w:val="20"/>
        </w:rPr>
        <w:t>II) complexes with an aromatic 1,5-naphthyridine bridging ligand: DNA binding mode of polynuclear platinum(II) complexes in relation to the complex structure. Dalton Transactions, 47(42), 15091–15102. https://doi.org/10.1039/C8DT01946K</w:t>
      </w:r>
    </w:p>
    <w:p w14:paraId="0AF52911" w14:textId="640ED49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[80]</w:t>
      </w:r>
      <w:r w:rsidRPr="00181D97">
        <w:rPr>
          <w:rFonts w:ascii="Times New Roman" w:hAnsi="Times New Roman" w:cs="Times New Roman"/>
          <w:sz w:val="20"/>
          <w:szCs w:val="20"/>
        </w:rPr>
        <w:tab/>
      </w:r>
      <w:r w:rsidR="00D733CA" w:rsidRPr="00181D97">
        <w:rPr>
          <w:rFonts w:ascii="Times New Roman" w:hAnsi="Times New Roman" w:cs="Times New Roman"/>
          <w:sz w:val="20"/>
          <w:szCs w:val="20"/>
        </w:rPr>
        <w:t xml:space="preserve">Franich, A. A., Živković, M. D., Ilić-Tomić, T., Đorđević, I. S., Nikodinović-Runić, J., Pavić, A., Janjić, G. V., &amp; Rajković, S. (2020). New minor groove covering DNA binding mode of dinuclear </w:t>
      </w:r>
      <w:proofErr w:type="gramStart"/>
      <w:r w:rsidR="00D733CA" w:rsidRPr="00181D97">
        <w:rPr>
          <w:rFonts w:ascii="Times New Roman" w:hAnsi="Times New Roman" w:cs="Times New Roman"/>
          <w:sz w:val="20"/>
          <w:szCs w:val="20"/>
        </w:rPr>
        <w:t>Pt(</w:t>
      </w:r>
      <w:proofErr w:type="gramEnd"/>
      <w:r w:rsidR="00D733CA" w:rsidRPr="00181D97">
        <w:rPr>
          <w:rFonts w:ascii="Times New Roman" w:hAnsi="Times New Roman" w:cs="Times New Roman"/>
          <w:sz w:val="20"/>
          <w:szCs w:val="20"/>
        </w:rPr>
        <w:t xml:space="preserve">II) complexes with various pyridine-linked bridging ligands </w:t>
      </w:r>
      <w:r w:rsidR="00D733CA" w:rsidRPr="00181D97">
        <w:rPr>
          <w:rFonts w:ascii="Times New Roman" w:hAnsi="Times New Roman" w:cs="Times New Roman"/>
          <w:sz w:val="20"/>
          <w:szCs w:val="20"/>
        </w:rPr>
        <w:lastRenderedPageBreak/>
        <w:t>and dual anticancer-antiangiogenic activities. JBIC Journal of Biological Inorganic Chemistry, 25, 395–409. https://doi.org/10.1007/s00775-020-01770-7</w:t>
      </w:r>
    </w:p>
    <w:p w14:paraId="7A351D9B" w14:textId="58E58D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[81]</w:t>
      </w:r>
      <w:r w:rsidRPr="00181D97">
        <w:rPr>
          <w:rFonts w:ascii="Times New Roman" w:hAnsi="Times New Roman" w:cs="Times New Roman"/>
          <w:sz w:val="20"/>
          <w:szCs w:val="20"/>
        </w:rPr>
        <w:tab/>
      </w:r>
      <w:r w:rsidR="008D6655" w:rsidRPr="00181D97">
        <w:rPr>
          <w:rFonts w:ascii="Times New Roman" w:hAnsi="Times New Roman" w:cs="Times New Roman"/>
          <w:sz w:val="20"/>
          <w:szCs w:val="20"/>
        </w:rPr>
        <w:t>Bai, J., Li, Y., &amp; Zhang, G. (2017). Cell cycle regulation and anticancer drug discovery. Cancer Biology &amp; Medicine, 14(4), 348-362. https://doi.org/10.20892/j.issn.2095-3941.2017.0033</w:t>
      </w:r>
    </w:p>
    <w:p w14:paraId="62BDB87F" w14:textId="6EC6A0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[82]</w:t>
      </w:r>
      <w:r w:rsidRPr="00181D97">
        <w:rPr>
          <w:rFonts w:ascii="Times New Roman" w:hAnsi="Times New Roman" w:cs="Times New Roman"/>
          <w:sz w:val="20"/>
          <w:szCs w:val="20"/>
        </w:rPr>
        <w:tab/>
      </w:r>
      <w:r w:rsidR="008432F8" w:rsidRPr="00181D97">
        <w:rPr>
          <w:rFonts w:ascii="Times New Roman" w:hAnsi="Times New Roman" w:cs="Times New Roman"/>
          <w:sz w:val="20"/>
          <w:szCs w:val="20"/>
        </w:rPr>
        <w:t>Dey, A., Wong, E. T., Cheok, C. F., Tergaonkar, V., &amp; Lane, D. P. (2008). R-Roscovitine simultaneously targets both the p53 and NF-kappaB pathways and causes potentiation of apoptosis: implications in cancer therapy. Cell Death and Differentiation, 15(2), 263–273. https://doi.org/10.1038/sj.cdd.4402257</w:t>
      </w:r>
    </w:p>
    <w:p w14:paraId="235BBD46" w14:textId="7ADF70E1"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[83]</w:t>
      </w:r>
      <w:r w:rsidRPr="00181D97">
        <w:rPr>
          <w:rFonts w:ascii="Times New Roman" w:hAnsi="Times New Roman" w:cs="Times New Roman"/>
          <w:sz w:val="20"/>
          <w:szCs w:val="20"/>
        </w:rPr>
        <w:tab/>
      </w:r>
      <w:r w:rsidR="000604D2" w:rsidRPr="00181D97">
        <w:rPr>
          <w:rFonts w:ascii="Times New Roman" w:hAnsi="Times New Roman" w:cs="Times New Roman"/>
          <w:sz w:val="20"/>
          <w:szCs w:val="20"/>
        </w:rPr>
        <w:t xml:space="preserve">Vančo, J., Štarha, P., Hošek, J., Chalupová, M., Suchý, P., &amp; Trávníček, Z. (2020). </w:t>
      </w:r>
      <w:proofErr w:type="gramStart"/>
      <w:r w:rsidR="000604D2" w:rsidRPr="00181D97">
        <w:rPr>
          <w:rFonts w:ascii="Times New Roman" w:hAnsi="Times New Roman" w:cs="Times New Roman"/>
          <w:sz w:val="20"/>
          <w:szCs w:val="20"/>
        </w:rPr>
        <w:t>Platinum(</w:t>
      </w:r>
      <w:proofErr w:type="gramEnd"/>
      <w:r w:rsidR="000604D2" w:rsidRPr="00181D97">
        <w:rPr>
          <w:rFonts w:ascii="Times New Roman" w:hAnsi="Times New Roman" w:cs="Times New Roman"/>
          <w:sz w:val="20"/>
          <w:szCs w:val="20"/>
        </w:rPr>
        <w:t>II)-oxalato complexes of seliciclib (CYC202) derivatives show different cellular effects and lesser adverse effects in mouse lymphoma model than cisplatin. JBIC Journal of Biological Inorganic Chemistry, 25(1), 67–73. https://doi.org/10.1007/s00775-019-01735-5</w:t>
      </w:r>
    </w:p>
    <w:p w14:paraId="1178F7CE" w14:textId="581E046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[84]</w:t>
      </w:r>
      <w:r w:rsidRPr="00181D97">
        <w:rPr>
          <w:rFonts w:ascii="Times New Roman" w:hAnsi="Times New Roman" w:cs="Times New Roman"/>
          <w:sz w:val="20"/>
          <w:szCs w:val="20"/>
        </w:rPr>
        <w:tab/>
      </w:r>
      <w:r w:rsidR="006259DA" w:rsidRPr="00181D97">
        <w:rPr>
          <w:rFonts w:ascii="Times New Roman" w:hAnsi="Times New Roman" w:cs="Times New Roman"/>
          <w:sz w:val="20"/>
          <w:szCs w:val="20"/>
        </w:rPr>
        <w:t>Liang, G.-B., Yu, Y.-C., Wei, J.-H., Kuang, W.-B., Chen, Z.-F., &amp; Zhang, Y. (2020). Design, synthesis and biological evaluation of naphthalenebenzimidizole platinum (II) complexes as potential antitumor agents. European Journal of Medicinal Chemistry, 188, 112033. https://doi.org/10.1016/j.ejmech.2019.112033</w:t>
      </w:r>
    </w:p>
    <w:p w14:paraId="426EF668" w14:textId="68410F5F" w:rsidR="00D84361" w:rsidRPr="00181D97" w:rsidRDefault="00D84361" w:rsidP="008F5E52">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[85]</w:t>
      </w:r>
      <w:r w:rsidRPr="00181D97">
        <w:rPr>
          <w:rFonts w:ascii="Times New Roman" w:hAnsi="Times New Roman" w:cs="Times New Roman"/>
          <w:sz w:val="20"/>
          <w:szCs w:val="20"/>
        </w:rPr>
        <w:tab/>
      </w:r>
      <w:r w:rsidR="008F5E52" w:rsidRPr="00181D97">
        <w:rPr>
          <w:rFonts w:ascii="Times New Roman" w:hAnsi="Times New Roman" w:cs="Times New Roman"/>
          <w:sz w:val="20"/>
          <w:szCs w:val="20"/>
        </w:rPr>
        <w:t>Tudu, C. K., Bandyopadhyay, A., Kumar, M., Radha, Das, T., Nandy, S., Ghorai, M., Gopalakrishnan, A. V., Proćków, J., &amp; Dey, A. (2023). Unravelling the pharmacological properties of cryptolepine and its derivatives: a mini-review insight. Naunyn-Schmiedeberg's Archives of Pharmacology, 396(2), 229–238. https://doi.org/10.1007/s00210-022-02302-7</w:t>
      </w:r>
    </w:p>
    <w:p w14:paraId="35EFBE09" w14:textId="68B1D88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[86]</w:t>
      </w:r>
      <w:r w:rsidRPr="00181D97">
        <w:rPr>
          <w:rFonts w:ascii="Times New Roman" w:hAnsi="Times New Roman" w:cs="Times New Roman"/>
          <w:sz w:val="20"/>
          <w:szCs w:val="20"/>
        </w:rPr>
        <w:tab/>
      </w:r>
      <w:r w:rsidR="00CE51E7" w:rsidRPr="00181D97">
        <w:rPr>
          <w:rFonts w:ascii="Times New Roman" w:hAnsi="Times New Roman" w:cs="Times New Roman"/>
          <w:sz w:val="20"/>
          <w:szCs w:val="20"/>
        </w:rPr>
        <w:t>Pal, H., &amp; Katiyar, S. (2016). Cryptolepine, a plant alkaloid, inhibits the growth of non-melanoma skin cancer cells through inhibition of topoisomerase and induction of DNA damage. Molecules. https://doi.org/10.3390/molecules21121758</w:t>
      </w:r>
    </w:p>
    <w:p w14:paraId="495A3955" w14:textId="26E383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[87]</w:t>
      </w:r>
      <w:r w:rsidRPr="00181D97">
        <w:rPr>
          <w:rFonts w:ascii="Times New Roman" w:hAnsi="Times New Roman" w:cs="Times New Roman"/>
          <w:sz w:val="20"/>
          <w:szCs w:val="20"/>
        </w:rPr>
        <w:tab/>
      </w:r>
      <w:r w:rsidR="00A47456" w:rsidRPr="00181D97">
        <w:rPr>
          <w:rFonts w:ascii="Times New Roman" w:hAnsi="Times New Roman" w:cs="Times New Roman"/>
          <w:sz w:val="20"/>
          <w:szCs w:val="20"/>
        </w:rPr>
        <w:t xml:space="preserve">Qin, L.-Q., Wei, Z.-Z., Yang, L., Qin, Q.-P., Zeng, J.-J., Tan, M.-X., &amp; Liang, H. (2021). Strong in vitro and in vivo cytotoxic effects of two </w:t>
      </w:r>
      <w:proofErr w:type="gramStart"/>
      <w:r w:rsidR="00A47456" w:rsidRPr="00181D97">
        <w:rPr>
          <w:rFonts w:ascii="Times New Roman" w:hAnsi="Times New Roman" w:cs="Times New Roman"/>
          <w:sz w:val="20"/>
          <w:szCs w:val="20"/>
        </w:rPr>
        <w:t>platinum(</w:t>
      </w:r>
      <w:proofErr w:type="gramEnd"/>
      <w:r w:rsidR="00A47456" w:rsidRPr="00181D97">
        <w:rPr>
          <w:rFonts w:ascii="Times New Roman" w:hAnsi="Times New Roman" w:cs="Times New Roman"/>
          <w:sz w:val="20"/>
          <w:szCs w:val="20"/>
        </w:rPr>
        <w:t>II) complexes with cryptolepine derivatives. Med. Chem. Res., 30, 1419–1426. https://doi.org/10.1007/s00044-021-02739-0</w:t>
      </w:r>
    </w:p>
    <w:p w14:paraId="25565875" w14:textId="6A7E128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[88]</w:t>
      </w:r>
      <w:r w:rsidRPr="00181D97">
        <w:rPr>
          <w:rFonts w:ascii="Times New Roman" w:hAnsi="Times New Roman" w:cs="Times New Roman"/>
          <w:sz w:val="20"/>
          <w:szCs w:val="20"/>
        </w:rPr>
        <w:tab/>
      </w:r>
      <w:r w:rsidR="008503B8" w:rsidRPr="00181D97">
        <w:rPr>
          <w:rFonts w:ascii="Times New Roman" w:hAnsi="Times New Roman" w:cs="Times New Roman"/>
          <w:sz w:val="20"/>
          <w:szCs w:val="20"/>
        </w:rPr>
        <w:t>Wang, R., Chen, H., Yan, W., Zheng, M., Zhang, T., &amp; Zhang, Y. (2020). Ferrocene-containing hybrids as potential anticancer agents: Current developments, mechanisms of action and structure-activity relationships. European Journal of Medicinal Chemistry. https://doi.org/10.1016/j.ejmech.2020.112109</w:t>
      </w:r>
    </w:p>
    <w:p w14:paraId="7C8C4D87" w14:textId="3F2DF39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[89]</w:t>
      </w:r>
      <w:r w:rsidRPr="00181D97">
        <w:rPr>
          <w:rFonts w:ascii="Times New Roman" w:hAnsi="Times New Roman" w:cs="Times New Roman"/>
          <w:sz w:val="20"/>
          <w:szCs w:val="20"/>
        </w:rPr>
        <w:tab/>
      </w:r>
      <w:r w:rsidR="00D02AEA" w:rsidRPr="00181D97">
        <w:rPr>
          <w:rFonts w:ascii="Times New Roman" w:hAnsi="Times New Roman" w:cs="Times New Roman"/>
          <w:sz w:val="20"/>
          <w:szCs w:val="20"/>
        </w:rPr>
        <w:t>Patra, M., &amp; Gasser, G. (2017). The medicinal chemistry of ferrocene and its derivatives. Nature Reviews Chemistry, 1(9), 0066. https://doi.org/10.1038/s41570-017-0066</w:t>
      </w:r>
    </w:p>
    <w:p w14:paraId="2D8729C2" w14:textId="2D2F810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[90]</w:t>
      </w:r>
      <w:r w:rsidRPr="00181D97">
        <w:rPr>
          <w:rFonts w:ascii="Times New Roman" w:hAnsi="Times New Roman" w:cs="Times New Roman"/>
          <w:sz w:val="20"/>
          <w:szCs w:val="20"/>
        </w:rPr>
        <w:tab/>
      </w:r>
      <w:r w:rsidR="00AE55A5" w:rsidRPr="00181D97">
        <w:rPr>
          <w:rFonts w:ascii="Times New Roman" w:hAnsi="Times New Roman" w:cs="Times New Roman"/>
          <w:sz w:val="20"/>
          <w:szCs w:val="20"/>
        </w:rPr>
        <w:t>Gadre, S., Manikandan, M., Duari, P., Chhatar, S., Sharma, A., Khatri, S., Kode, J., Barkume, M., Kasinathan, N. K., Nagare, M., Patkar, M., Ingle, A., Kumar, M., Kolthur-Seetharam, U., &amp; Patra, M. (2022). A rationally designed bimetallic platinum (ii)- ferrocene antitumor agent induces non-apoptotic cell death and exerts in vivo efficacy. Chemistry – A European Journal. https://doi.org/10.1002/chem.202201259</w:t>
      </w:r>
    </w:p>
    <w:p w14:paraId="3559B8BD" w14:textId="357DCD4C"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[91]</w:t>
      </w:r>
      <w:r w:rsidRPr="00181D97">
        <w:rPr>
          <w:rFonts w:ascii="Times New Roman" w:hAnsi="Times New Roman" w:cs="Times New Roman"/>
          <w:sz w:val="20"/>
          <w:szCs w:val="20"/>
        </w:rPr>
        <w:tab/>
      </w:r>
      <w:r w:rsidR="0038022A" w:rsidRPr="00181D97">
        <w:rPr>
          <w:rFonts w:ascii="Times New Roman" w:hAnsi="Times New Roman" w:cs="Times New Roman"/>
          <w:sz w:val="20"/>
          <w:szCs w:val="20"/>
        </w:rPr>
        <w:t xml:space="preserve">Sulaiman, A. A. A., Sobeai, H. M. A., Aldawood, E., Abogosh, A., Alhazzani, K., Alotaibi, M. R., Ahmad, S., Alhoshani, A., &amp; Isab, A. A. (2022). In vitro and in vivo antitumor studies of potential anticancer agents of </w:t>
      </w:r>
      <w:proofErr w:type="gramStart"/>
      <w:r w:rsidR="0038022A" w:rsidRPr="00181D97">
        <w:rPr>
          <w:rFonts w:ascii="Times New Roman" w:hAnsi="Times New Roman" w:cs="Times New Roman"/>
          <w:sz w:val="20"/>
          <w:szCs w:val="20"/>
        </w:rPr>
        <w:t>platinum(</w:t>
      </w:r>
      <w:proofErr w:type="gramEnd"/>
      <w:r w:rsidR="0038022A" w:rsidRPr="00181D97">
        <w:rPr>
          <w:rFonts w:ascii="Times New Roman" w:hAnsi="Times New Roman" w:cs="Times New Roman"/>
          <w:sz w:val="20"/>
          <w:szCs w:val="20"/>
        </w:rPr>
        <w:t>II) complexes of dicyclopentadiene and dithiocarbamates. Metallomics, 14(8), mfac054. https://doi.org/10.1093/mtomcs/mfac054</w:t>
      </w:r>
    </w:p>
    <w:p w14:paraId="4E110C84" w14:textId="77777777" w:rsidR="00D84361" w:rsidRPr="00181D97" w:rsidRDefault="00D84361" w:rsidP="00DD42E1">
      <w:pPr>
        <w:spacing w:after="0" w:line="240" w:lineRule="auto"/>
        <w:jc w:val="both"/>
        <w:rPr>
          <w:rFonts w:ascii="Times New Roman" w:hAnsi="Times New Roman" w:cs="Times New Roman"/>
          <w:sz w:val="20"/>
          <w:szCs w:val="20"/>
        </w:rPr>
      </w:pPr>
    </w:p>
    <w:p w14:paraId="7F1A0655" w14:textId="535D7E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[92]</w:t>
      </w:r>
      <w:r w:rsidRPr="00181D97">
        <w:rPr>
          <w:rFonts w:ascii="Times New Roman" w:hAnsi="Times New Roman" w:cs="Times New Roman"/>
          <w:sz w:val="20"/>
          <w:szCs w:val="20"/>
        </w:rPr>
        <w:tab/>
      </w:r>
      <w:r w:rsidR="003D275C" w:rsidRPr="00181D97">
        <w:rPr>
          <w:rFonts w:ascii="Times New Roman" w:hAnsi="Times New Roman" w:cs="Times New Roman"/>
          <w:sz w:val="20"/>
          <w:szCs w:val="20"/>
        </w:rPr>
        <w:t xml:space="preserve">Maciel, L. L. F., Silva, M. B., Moreira, R. O., Cardoso, A. P., Fernandes, C., Horn, A., de Aquino Almeida, J. C., &amp; Kanashiro, M. M. (2022). In vitro and in vivo relevant antineoplastic activity of </w:t>
      </w:r>
      <w:proofErr w:type="gramStart"/>
      <w:r w:rsidR="003D275C" w:rsidRPr="00181D97">
        <w:rPr>
          <w:rFonts w:ascii="Times New Roman" w:hAnsi="Times New Roman" w:cs="Times New Roman"/>
          <w:sz w:val="20"/>
          <w:szCs w:val="20"/>
        </w:rPr>
        <w:t>platinum(</w:t>
      </w:r>
      <w:proofErr w:type="gramEnd"/>
      <w:r w:rsidR="003D275C" w:rsidRPr="00181D97">
        <w:rPr>
          <w:rFonts w:ascii="Times New Roman" w:hAnsi="Times New Roman" w:cs="Times New Roman"/>
          <w:sz w:val="20"/>
          <w:szCs w:val="20"/>
        </w:rPr>
        <w:t>II) complexes toward triple-negative MDA-MB-231 breast cancer cell line. Pharmaceutics, 14(10), 2013. https://doi.org/10.3390/pharmaceutics14102013</w:t>
      </w:r>
    </w:p>
    <w:p w14:paraId="2471D7AD" w14:textId="3981697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[93]</w:t>
      </w:r>
      <w:r w:rsidRPr="00181D97">
        <w:rPr>
          <w:rFonts w:ascii="Times New Roman" w:hAnsi="Times New Roman" w:cs="Times New Roman"/>
          <w:sz w:val="20"/>
          <w:szCs w:val="20"/>
        </w:rPr>
        <w:tab/>
      </w:r>
      <w:r w:rsidR="006833F0" w:rsidRPr="00181D97">
        <w:rPr>
          <w:rFonts w:ascii="Times New Roman" w:hAnsi="Times New Roman" w:cs="Times New Roman"/>
          <w:sz w:val="20"/>
          <w:szCs w:val="20"/>
        </w:rPr>
        <w:t xml:space="preserve">Dimitrijević Stojanović, M. N., Franich, A. A., Jurišević, M. M., Gajović, N. M., Arsenijević, N. N., Jovanović, I. P., Stojanović, B. S., Mitrović, S. L., Kljun, J., Rajković, S., &amp; Živković, M. D. (2022). </w:t>
      </w:r>
      <w:proofErr w:type="gramStart"/>
      <w:r w:rsidR="006833F0" w:rsidRPr="00181D97">
        <w:rPr>
          <w:rFonts w:ascii="Times New Roman" w:hAnsi="Times New Roman" w:cs="Times New Roman"/>
          <w:sz w:val="20"/>
          <w:szCs w:val="20"/>
        </w:rPr>
        <w:t>Platinum(</w:t>
      </w:r>
      <w:proofErr w:type="gramEnd"/>
      <w:r w:rsidR="006833F0" w:rsidRPr="00181D97">
        <w:rPr>
          <w:rFonts w:ascii="Times New Roman" w:hAnsi="Times New Roman" w:cs="Times New Roman"/>
          <w:sz w:val="20"/>
          <w:szCs w:val="20"/>
        </w:rPr>
        <w:t>II) complexes with malonic acids: Synthesis, characterization, in vitro and in vivo antitumor activity and interactions with biomolecules. Journal of Inorganic Biochemistry, 231, 111773. https://doi.org/10.1016/j.jinorgbio.2022.111773</w:t>
      </w:r>
    </w:p>
    <w:p w14:paraId="3E6BD7CC" w14:textId="3998ED0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[94]</w:t>
      </w:r>
      <w:r w:rsidRPr="00181D97">
        <w:rPr>
          <w:rFonts w:ascii="Times New Roman" w:hAnsi="Times New Roman" w:cs="Times New Roman"/>
          <w:sz w:val="20"/>
          <w:szCs w:val="20"/>
        </w:rPr>
        <w:tab/>
      </w:r>
      <w:r w:rsidR="00B81D63" w:rsidRPr="00181D97">
        <w:rPr>
          <w:rFonts w:ascii="Times New Roman" w:hAnsi="Times New Roman" w:cs="Times New Roman"/>
          <w:sz w:val="20"/>
          <w:szCs w:val="20"/>
        </w:rPr>
        <w:t>Bazsefidpar, P., Eftekhar, E., Jahromi, M. Z., Nikpoor, A. R., Moghadam, M. E., &amp; Zolghadri, S. (2023). In-vitro cytotoxicity and in-vivo antitumor activity of two platinum complexes with 1,3-dimethyl pentyl glycine ligand against breast cancer. Journal of Inorganic Biochemistry, 241, 112144. https://doi.org/10.1016/j.jinorgbio.2023.112144</w:t>
      </w:r>
    </w:p>
    <w:p w14:paraId="4A427FAE" w14:textId="7527218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[95]</w:t>
      </w:r>
      <w:r w:rsidRPr="00181D97">
        <w:rPr>
          <w:rFonts w:ascii="Times New Roman" w:hAnsi="Times New Roman" w:cs="Times New Roman"/>
          <w:sz w:val="20"/>
          <w:szCs w:val="20"/>
        </w:rPr>
        <w:tab/>
      </w:r>
      <w:r w:rsidR="009E69FD" w:rsidRPr="00181D97">
        <w:rPr>
          <w:rFonts w:ascii="Times New Roman" w:hAnsi="Times New Roman" w:cs="Times New Roman"/>
          <w:sz w:val="20"/>
          <w:szCs w:val="20"/>
        </w:rPr>
        <w:t>Paul, M., Itoo, A. M., Ghosh, B., &amp; Biswas, S. (2022). Current trends in the use of human serum albumin for drug delivery in cancer. Expert Opinion on Drug Delivery, 19(11), 1449–1470. https://doi.org/10.1080/17425247.2022.2134341</w:t>
      </w:r>
    </w:p>
    <w:p w14:paraId="7429167E" w14:textId="01D31B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[96]</w:t>
      </w:r>
      <w:r w:rsidRPr="00181D97">
        <w:rPr>
          <w:rFonts w:ascii="Times New Roman" w:hAnsi="Times New Roman" w:cs="Times New Roman"/>
          <w:sz w:val="20"/>
          <w:szCs w:val="20"/>
        </w:rPr>
        <w:tab/>
        <w:t>Z</w:t>
      </w:r>
      <w:r w:rsidR="00493E31" w:rsidRPr="00181D97">
        <w:rPr>
          <w:rFonts w:ascii="Times New Roman" w:hAnsi="Times New Roman" w:cs="Times New Roman"/>
          <w:sz w:val="20"/>
          <w:szCs w:val="20"/>
        </w:rPr>
        <w:t xml:space="preserve">Zhang, Z., Zhang, J., Yang, T., Li, S., Xu, G., Liang, H., &amp; Yang, F. (2023). Developing an anticancer </w:t>
      </w:r>
      <w:proofErr w:type="gramStart"/>
      <w:r w:rsidR="00493E31" w:rsidRPr="00181D97">
        <w:rPr>
          <w:rFonts w:ascii="Times New Roman" w:hAnsi="Times New Roman" w:cs="Times New Roman"/>
          <w:sz w:val="20"/>
          <w:szCs w:val="20"/>
        </w:rPr>
        <w:t>platinum(</w:t>
      </w:r>
      <w:proofErr w:type="gramEnd"/>
      <w:r w:rsidR="00493E31" w:rsidRPr="00181D97">
        <w:rPr>
          <w:rFonts w:ascii="Times New Roman" w:hAnsi="Times New Roman" w:cs="Times New Roman"/>
          <w:sz w:val="20"/>
          <w:szCs w:val="20"/>
        </w:rPr>
        <w:t>II) compound based on the uniqueness of human serum albumin. Journal of Medicinal Chemistry, 66(8), 5669–5684. https://doi.org/10.1021/acs.jmedchem.3c00001</w:t>
      </w:r>
    </w:p>
    <w:p w14:paraId="6750C945" w14:textId="21862B5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[97]</w:t>
      </w:r>
      <w:r w:rsidRPr="00181D97">
        <w:rPr>
          <w:rFonts w:ascii="Times New Roman" w:hAnsi="Times New Roman" w:cs="Times New Roman"/>
          <w:sz w:val="20"/>
          <w:szCs w:val="20"/>
        </w:rPr>
        <w:tab/>
      </w:r>
      <w:r w:rsidR="00305C7F" w:rsidRPr="00181D97">
        <w:rPr>
          <w:rFonts w:ascii="Times New Roman" w:hAnsi="Times New Roman" w:cs="Times New Roman"/>
          <w:sz w:val="20"/>
          <w:szCs w:val="20"/>
        </w:rPr>
        <w:t xml:space="preserve">Hu, D., Yang, C., Lok, C., Xing, F., Lee, P., Fung, Y. M. E., Jiang, H., &amp; Che, C. (2019). An Antitumor </w:t>
      </w:r>
      <w:proofErr w:type="gramStart"/>
      <w:r w:rsidR="00305C7F" w:rsidRPr="00181D97">
        <w:rPr>
          <w:rFonts w:ascii="Times New Roman" w:hAnsi="Times New Roman" w:cs="Times New Roman"/>
          <w:sz w:val="20"/>
          <w:szCs w:val="20"/>
        </w:rPr>
        <w:t>Bis(</w:t>
      </w:r>
      <w:proofErr w:type="gramEnd"/>
      <w:r w:rsidR="00305C7F" w:rsidRPr="00181D97">
        <w:rPr>
          <w:rFonts w:ascii="Times New Roman" w:hAnsi="Times New Roman" w:cs="Times New Roman"/>
          <w:sz w:val="20"/>
          <w:szCs w:val="20"/>
        </w:rPr>
        <w:t>N-Heterocyclic Carbene)Platinum(II) Complex That Engages Asparagine Synthetase as an Anticancer Target. Angew. Chem., 131, 11030–11034. https://doi.org/10.1002/ange.201904131</w:t>
      </w:r>
    </w:p>
    <w:p w14:paraId="214652AE" w14:textId="6B3DA5D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[98]</w:t>
      </w:r>
      <w:r w:rsidRPr="00181D97">
        <w:rPr>
          <w:rFonts w:ascii="Times New Roman" w:hAnsi="Times New Roman" w:cs="Times New Roman"/>
          <w:sz w:val="20"/>
          <w:szCs w:val="20"/>
        </w:rPr>
        <w:tab/>
      </w:r>
      <w:r w:rsidR="00B10C9D" w:rsidRPr="00181D97">
        <w:rPr>
          <w:rFonts w:ascii="Times New Roman" w:hAnsi="Times New Roman" w:cs="Times New Roman"/>
          <w:sz w:val="20"/>
          <w:szCs w:val="20"/>
        </w:rPr>
        <w:t xml:space="preserve">Kenny, R. G., Chuah, S. W., Crawford, A., &amp; Marmion, C. J. (2017). </w:t>
      </w:r>
      <w:proofErr w:type="gramStart"/>
      <w:r w:rsidR="00B10C9D" w:rsidRPr="00181D97">
        <w:rPr>
          <w:rFonts w:ascii="Times New Roman" w:hAnsi="Times New Roman" w:cs="Times New Roman"/>
          <w:sz w:val="20"/>
          <w:szCs w:val="20"/>
        </w:rPr>
        <w:t>Platinum(</w:t>
      </w:r>
      <w:proofErr w:type="gramEnd"/>
      <w:r w:rsidR="00B10C9D" w:rsidRPr="00181D97">
        <w:rPr>
          <w:rFonts w:ascii="Times New Roman" w:hAnsi="Times New Roman" w:cs="Times New Roman"/>
          <w:sz w:val="20"/>
          <w:szCs w:val="20"/>
        </w:rPr>
        <w:t>IV) prodrugs – A step closer to Ehrlich’s vision?. European Journal of Inorganic Chemistry, 2017(12), 1596–1612. https://doi.org/10.1002/ejic.201601278</w:t>
      </w:r>
    </w:p>
    <w:p w14:paraId="21DEA54B" w14:textId="7ED97D6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[99]</w:t>
      </w:r>
      <w:r w:rsidRPr="00181D97">
        <w:rPr>
          <w:rFonts w:ascii="Times New Roman" w:hAnsi="Times New Roman" w:cs="Times New Roman"/>
          <w:sz w:val="20"/>
          <w:szCs w:val="20"/>
        </w:rPr>
        <w:tab/>
      </w:r>
      <w:r w:rsidR="006F3CA9" w:rsidRPr="00181D97">
        <w:rPr>
          <w:rFonts w:ascii="Times New Roman" w:hAnsi="Times New Roman" w:cs="Times New Roman"/>
          <w:sz w:val="20"/>
          <w:szCs w:val="20"/>
        </w:rPr>
        <w:t xml:space="preserve">Yang, J., Sun, X., Mao, W., Sui, M., Tang, J., &amp; Shen, Y. (2012). Conjugate of </w:t>
      </w:r>
      <w:proofErr w:type="gramStart"/>
      <w:r w:rsidR="006F3CA9" w:rsidRPr="00181D97">
        <w:rPr>
          <w:rFonts w:ascii="Times New Roman" w:hAnsi="Times New Roman" w:cs="Times New Roman"/>
          <w:sz w:val="20"/>
          <w:szCs w:val="20"/>
        </w:rPr>
        <w:t>Pt(</w:t>
      </w:r>
      <w:proofErr w:type="gramEnd"/>
      <w:r w:rsidR="006F3CA9" w:rsidRPr="00181D97">
        <w:rPr>
          <w:rFonts w:ascii="Times New Roman" w:hAnsi="Times New Roman" w:cs="Times New Roman"/>
          <w:sz w:val="20"/>
          <w:szCs w:val="20"/>
        </w:rPr>
        <w:t>IV)-histone deacetylase inhibitor as a prodrug for cancer chemotherapy. Molecular Pharmaceutics, 9(10), 2793–2800. https://doi.org/10.1021/mp200597r</w:t>
      </w:r>
    </w:p>
    <w:p w14:paraId="7577FE0B" w14:textId="77F0DD7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[100]</w:t>
      </w:r>
      <w:r w:rsidRPr="00181D97">
        <w:rPr>
          <w:rFonts w:ascii="Times New Roman" w:hAnsi="Times New Roman" w:cs="Times New Roman"/>
          <w:sz w:val="20"/>
          <w:szCs w:val="20"/>
        </w:rPr>
        <w:tab/>
      </w:r>
      <w:r w:rsidR="002B54E9" w:rsidRPr="00181D97">
        <w:rPr>
          <w:rFonts w:ascii="Times New Roman" w:hAnsi="Times New Roman" w:cs="Times New Roman"/>
          <w:sz w:val="20"/>
          <w:szCs w:val="20"/>
        </w:rPr>
        <w:t xml:space="preserve">Alessio, M., Zanellato, I., Bonarrigo, I., Gabano, E., Ravera, M., &amp; Osella, D. (2013). Antiproliferative activity of </w:t>
      </w:r>
      <w:proofErr w:type="gramStart"/>
      <w:r w:rsidR="002B54E9" w:rsidRPr="00181D97">
        <w:rPr>
          <w:rFonts w:ascii="Times New Roman" w:hAnsi="Times New Roman" w:cs="Times New Roman"/>
          <w:sz w:val="20"/>
          <w:szCs w:val="20"/>
        </w:rPr>
        <w:t>Pt(</w:t>
      </w:r>
      <w:proofErr w:type="gramEnd"/>
      <w:r w:rsidR="002B54E9" w:rsidRPr="00181D97">
        <w:rPr>
          <w:rFonts w:ascii="Times New Roman" w:hAnsi="Times New Roman" w:cs="Times New Roman"/>
          <w:sz w:val="20"/>
          <w:szCs w:val="20"/>
        </w:rPr>
        <w:t>IV)-bis(carboxylato) conjugates on malignant pleural mesothelioma cells. Journal of Inorganic Biochemistry, 129, 52–57. https://doi.org/10.1016/j.jinorgbio.2013.09.003</w:t>
      </w:r>
    </w:p>
    <w:p w14:paraId="1759D6FF" w14:textId="53ABA6CD"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lastRenderedPageBreak/>
        <w:t>[101]</w:t>
      </w:r>
      <w:r w:rsidRPr="00181D97">
        <w:rPr>
          <w:rFonts w:ascii="Times New Roman" w:hAnsi="Times New Roman" w:cs="Times New Roman"/>
          <w:sz w:val="20"/>
          <w:szCs w:val="20"/>
        </w:rPr>
        <w:tab/>
      </w:r>
      <w:r w:rsidR="00BC4356" w:rsidRPr="00181D97">
        <w:rPr>
          <w:rFonts w:ascii="Times New Roman" w:hAnsi="Times New Roman" w:cs="Times New Roman"/>
          <w:sz w:val="20"/>
          <w:szCs w:val="20"/>
        </w:rPr>
        <w:t xml:space="preserve">Novohradsky, V., Zanellato, I., Marzano, C., Pracharova, J., Kasparkova, J., Gibson, D., Gandin, V., Osella, D., &amp; Brabec, V. (2017). Epigenetic and antitumor effects of </w:t>
      </w:r>
      <w:proofErr w:type="gramStart"/>
      <w:r w:rsidR="00BC4356" w:rsidRPr="00181D97">
        <w:rPr>
          <w:rFonts w:ascii="Times New Roman" w:hAnsi="Times New Roman" w:cs="Times New Roman"/>
          <w:sz w:val="20"/>
          <w:szCs w:val="20"/>
        </w:rPr>
        <w:t>platinum(</w:t>
      </w:r>
      <w:proofErr w:type="gramEnd"/>
      <w:r w:rsidR="00BC4356" w:rsidRPr="00181D97">
        <w:rPr>
          <w:rFonts w:ascii="Times New Roman" w:hAnsi="Times New Roman" w:cs="Times New Roman"/>
          <w:sz w:val="20"/>
          <w:szCs w:val="20"/>
        </w:rPr>
        <w:t>IV)-octanoato conjugates. *Scientific Reports*, *7*(1), 3751. https://doi.org/10.1038/s41598-017-03864-w</w:t>
      </w:r>
    </w:p>
    <w:p w14:paraId="6C99B6C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600698DC" w14:textId="7777777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p>
    <w:p w14:paraId="7823075C" w14:textId="77777777" w:rsidR="00D84361" w:rsidRPr="00181D97" w:rsidRDefault="00D84361" w:rsidP="00DD42E1">
      <w:pPr>
        <w:spacing w:after="0" w:line="240" w:lineRule="auto"/>
        <w:jc w:val="both"/>
        <w:rPr>
          <w:rFonts w:ascii="Times New Roman" w:hAnsi="Times New Roman" w:cs="Times New Roman"/>
          <w:sz w:val="20"/>
          <w:szCs w:val="20"/>
        </w:rPr>
      </w:pPr>
    </w:p>
    <w:p w14:paraId="72DE53A6" w14:textId="064F239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[102]</w:t>
      </w:r>
      <w:r w:rsidRPr="00181D97">
        <w:rPr>
          <w:rFonts w:ascii="Times New Roman" w:hAnsi="Times New Roman" w:cs="Times New Roman"/>
          <w:sz w:val="20"/>
          <w:szCs w:val="20"/>
        </w:rPr>
        <w:tab/>
      </w:r>
      <w:r w:rsidR="00BC4356" w:rsidRPr="00181D97">
        <w:rPr>
          <w:rFonts w:ascii="Times New Roman" w:hAnsi="Times New Roman" w:cs="Times New Roman"/>
          <w:sz w:val="20"/>
          <w:szCs w:val="20"/>
        </w:rPr>
        <w:t xml:space="preserve">Arsenijevic, M., Milovanovic, M., Jovanovic, S., Arsenijevic, N., Markovic, B. S., Gazdic, M., &amp; Volarevic, V. (2017). In vitro and in vivo anti-tumor effects of selected </w:t>
      </w:r>
      <w:proofErr w:type="gramStart"/>
      <w:r w:rsidR="00BC4356" w:rsidRPr="00181D97">
        <w:rPr>
          <w:rFonts w:ascii="Times New Roman" w:hAnsi="Times New Roman" w:cs="Times New Roman"/>
          <w:sz w:val="20"/>
          <w:szCs w:val="20"/>
        </w:rPr>
        <w:t>platinum(</w:t>
      </w:r>
      <w:proofErr w:type="gramEnd"/>
      <w:r w:rsidR="00BC4356" w:rsidRPr="00181D97">
        <w:rPr>
          <w:rFonts w:ascii="Times New Roman" w:hAnsi="Times New Roman" w:cs="Times New Roman"/>
          <w:sz w:val="20"/>
          <w:szCs w:val="20"/>
        </w:rPr>
        <w:t>IV) and dinuclear platinum(II) complexes against lung cancer cells. *JBIC Journal of Biological Inorganic Chemistry*, *22*(6), 807–817. https://doi.org/10.1007/s00775-017-1459-y</w:t>
      </w:r>
    </w:p>
    <w:p w14:paraId="563BF1A0" w14:textId="4317AAD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[103]</w:t>
      </w:r>
      <w:r w:rsidRPr="00181D97">
        <w:rPr>
          <w:rFonts w:ascii="Times New Roman" w:hAnsi="Times New Roman" w:cs="Times New Roman"/>
          <w:sz w:val="20"/>
          <w:szCs w:val="20"/>
        </w:rPr>
        <w:tab/>
      </w:r>
      <w:r w:rsidR="00731BA5" w:rsidRPr="00181D97">
        <w:rPr>
          <w:rFonts w:ascii="Times New Roman" w:hAnsi="Times New Roman" w:cs="Times New Roman"/>
          <w:sz w:val="20"/>
          <w:szCs w:val="20"/>
        </w:rPr>
        <w:t xml:space="preserve">Raveendran, R., Braude, J. P., Wexselblatt, E., Novohradsky, V., Stuchlikova, O., Brabec, V., Gandin, V., &amp; Gibson, D. (2016). </w:t>
      </w:r>
      <w:proofErr w:type="gramStart"/>
      <w:r w:rsidR="00731BA5" w:rsidRPr="00181D97">
        <w:rPr>
          <w:rFonts w:ascii="Times New Roman" w:hAnsi="Times New Roman" w:cs="Times New Roman"/>
          <w:sz w:val="20"/>
          <w:szCs w:val="20"/>
        </w:rPr>
        <w:t>Pt(</w:t>
      </w:r>
      <w:proofErr w:type="gramEnd"/>
      <w:r w:rsidR="00731BA5" w:rsidRPr="00181D97">
        <w:rPr>
          <w:rFonts w:ascii="Times New Roman" w:hAnsi="Times New Roman" w:cs="Times New Roman"/>
          <w:sz w:val="20"/>
          <w:szCs w:val="20"/>
        </w:rPr>
        <w:t>IV) derivatives of cisplatin and oxaliplatin with phenylbutyrate axial ligands are potent cytotoxic agents that act by several mechanisms of action. Chem. Sci. https://doi.org/10.1039/C5SC04205D</w:t>
      </w:r>
    </w:p>
    <w:p w14:paraId="54B17DBC" w14:textId="1833705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[104]</w:t>
      </w:r>
      <w:r w:rsidRPr="00181D97">
        <w:rPr>
          <w:rFonts w:ascii="Times New Roman" w:hAnsi="Times New Roman" w:cs="Times New Roman"/>
          <w:sz w:val="20"/>
          <w:szCs w:val="20"/>
        </w:rPr>
        <w:tab/>
      </w:r>
      <w:r w:rsidR="0038699A" w:rsidRPr="00181D97">
        <w:rPr>
          <w:rFonts w:ascii="Times New Roman" w:hAnsi="Times New Roman" w:cs="Times New Roman"/>
          <w:sz w:val="20"/>
          <w:szCs w:val="20"/>
        </w:rPr>
        <w:t>Go¨schl, S., Schreiber-Brynzak, E., Pichler, V., Cseh, K., Heffeter, P., Jungwirth, U., Jakupec, M. A., Berger, W., &amp; Keppler, B. K. (2017). Comparative studies of oxaliplatin-based platinum(iv) complexes in different in vitro and in vivo tumor models. Metallomics, 9(3), 309–322. https://doi.org/10.1039/C6MT00226A</w:t>
      </w:r>
    </w:p>
    <w:p w14:paraId="383183BE" w14:textId="3D25F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[105]</w:t>
      </w:r>
      <w:r w:rsidRPr="00181D97">
        <w:rPr>
          <w:rFonts w:ascii="Times New Roman" w:hAnsi="Times New Roman" w:cs="Times New Roman"/>
          <w:sz w:val="20"/>
          <w:szCs w:val="20"/>
        </w:rPr>
        <w:tab/>
      </w:r>
      <w:r w:rsidR="00DC6041" w:rsidRPr="00181D97">
        <w:rPr>
          <w:rFonts w:ascii="Times New Roman" w:hAnsi="Times New Roman" w:cs="Times New Roman"/>
          <w:sz w:val="20"/>
          <w:szCs w:val="20"/>
        </w:rPr>
        <w:t xml:space="preserve">Tham, M. J. R., Babak, M. V., &amp; Ang, W. H. (2020). PlatinER: A highly potent anticancer </w:t>
      </w:r>
      <w:proofErr w:type="gramStart"/>
      <w:r w:rsidR="00DC6041" w:rsidRPr="00181D97">
        <w:rPr>
          <w:rFonts w:ascii="Times New Roman" w:hAnsi="Times New Roman" w:cs="Times New Roman"/>
          <w:sz w:val="20"/>
          <w:szCs w:val="20"/>
        </w:rPr>
        <w:t>platinum(</w:t>
      </w:r>
      <w:proofErr w:type="gramEnd"/>
      <w:r w:rsidR="00DC6041" w:rsidRPr="00181D97">
        <w:rPr>
          <w:rFonts w:ascii="Times New Roman" w:hAnsi="Times New Roman" w:cs="Times New Roman"/>
          <w:sz w:val="20"/>
          <w:szCs w:val="20"/>
        </w:rPr>
        <w:t>II) complex that induces endoplasmic reticulum stress driven immunogenic cell death. Angewandte Chemie International Edition, 59(43), 19070–19078. https://doi.org/10.1002/anie.202008604</w:t>
      </w:r>
    </w:p>
    <w:p w14:paraId="5E97DFD2" w14:textId="14E851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[106]</w:t>
      </w:r>
      <w:r w:rsidRPr="00181D97">
        <w:rPr>
          <w:rFonts w:ascii="Times New Roman" w:hAnsi="Times New Roman" w:cs="Times New Roman"/>
          <w:sz w:val="20"/>
          <w:szCs w:val="20"/>
        </w:rPr>
        <w:tab/>
      </w:r>
      <w:r w:rsidR="006A59EF" w:rsidRPr="00181D97">
        <w:rPr>
          <w:rFonts w:ascii="Times New Roman" w:hAnsi="Times New Roman" w:cs="Times New Roman"/>
          <w:sz w:val="20"/>
          <w:szCs w:val="20"/>
        </w:rPr>
        <w:t xml:space="preserve">Harper, B. W. J., Petruzzella, E., Sirota, R., Faccioli, F. F., Aldrich-Wright, J. R., Gandin, V., &amp; Gibson, D. (2017). Synthesis, characterization and in vitro and in vivo anticancer activity of </w:t>
      </w:r>
      <w:proofErr w:type="gramStart"/>
      <w:r w:rsidR="006A59EF" w:rsidRPr="00181D97">
        <w:rPr>
          <w:rFonts w:ascii="Times New Roman" w:hAnsi="Times New Roman" w:cs="Times New Roman"/>
          <w:sz w:val="20"/>
          <w:szCs w:val="20"/>
        </w:rPr>
        <w:t>Pt(</w:t>
      </w:r>
      <w:proofErr w:type="gramEnd"/>
      <w:r w:rsidR="006A59EF" w:rsidRPr="00181D97">
        <w:rPr>
          <w:rFonts w:ascii="Times New Roman" w:hAnsi="Times New Roman" w:cs="Times New Roman"/>
          <w:sz w:val="20"/>
          <w:szCs w:val="20"/>
        </w:rPr>
        <w:t>IV) derivatives of [Pt(1S,2S-DACH)(5,6-dimethyl-1,10-phenanthroline)]. Dalton Transactions, 46, 7005–7019. https://doi.org/10.1039/C7DT01054K</w:t>
      </w:r>
    </w:p>
    <w:p w14:paraId="0372664A" w14:textId="02B2DF1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[107]</w:t>
      </w:r>
      <w:r w:rsidRPr="00181D97">
        <w:rPr>
          <w:rFonts w:ascii="Times New Roman" w:hAnsi="Times New Roman" w:cs="Times New Roman"/>
          <w:sz w:val="20"/>
          <w:szCs w:val="20"/>
        </w:rPr>
        <w:tab/>
      </w:r>
      <w:r w:rsidR="00166B8A" w:rsidRPr="00181D97">
        <w:rPr>
          <w:rFonts w:ascii="Times New Roman" w:hAnsi="Times New Roman" w:cs="Times New Roman"/>
          <w:sz w:val="20"/>
          <w:szCs w:val="20"/>
        </w:rPr>
        <w:t xml:space="preserve">Chen, Y., Wang, Q., Li, Z., Liu, Z., Zhao, Y., Zhang, J., Liu, M., Wang, Z., Li, D., &amp; Han, J. (2020). Naproxen </w:t>
      </w:r>
      <w:proofErr w:type="gramStart"/>
      <w:r w:rsidR="00166B8A" w:rsidRPr="00181D97">
        <w:rPr>
          <w:rFonts w:ascii="Times New Roman" w:hAnsi="Times New Roman" w:cs="Times New Roman"/>
          <w:sz w:val="20"/>
          <w:szCs w:val="20"/>
        </w:rPr>
        <w:t>platinum(</w:t>
      </w:r>
      <w:proofErr w:type="gramEnd"/>
      <w:r w:rsidR="00166B8A" w:rsidRPr="00181D97">
        <w:rPr>
          <w:rFonts w:ascii="Times New Roman" w:hAnsi="Times New Roman" w:cs="Times New Roman"/>
          <w:sz w:val="20"/>
          <w:szCs w:val="20"/>
        </w:rPr>
        <w:t>IV) hybrids inhibiting cycloxygenases and matrix metalloproteinases and causing DNA damage: synthesis and biological evaluation as antitumor agents in vitro and in vivo. *Dalton Transactions*, *49*, 5192–5204. https://doi.org/10.1039/D0DT00424C</w:t>
      </w:r>
    </w:p>
    <w:p w14:paraId="56CAE70B" w14:textId="2F34DDE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[108]</w:t>
      </w:r>
      <w:r w:rsidRPr="00181D97">
        <w:rPr>
          <w:rFonts w:ascii="Times New Roman" w:hAnsi="Times New Roman" w:cs="Times New Roman"/>
          <w:sz w:val="20"/>
          <w:szCs w:val="20"/>
        </w:rPr>
        <w:tab/>
      </w:r>
      <w:r w:rsidR="00F51B8D" w:rsidRPr="00181D97">
        <w:rPr>
          <w:rFonts w:ascii="Times New Roman" w:hAnsi="Times New Roman" w:cs="Times New Roman"/>
          <w:sz w:val="20"/>
          <w:szCs w:val="20"/>
        </w:rPr>
        <w:t xml:space="preserve">Jin, S., Muhammad, N., Sun, Y., Tan, Y., Yuan, H., Song, D., Guo, Z., &amp; Wang, X. (2020). Multispecific </w:t>
      </w:r>
      <w:proofErr w:type="gramStart"/>
      <w:r w:rsidR="00F51B8D" w:rsidRPr="00181D97">
        <w:rPr>
          <w:rFonts w:ascii="Times New Roman" w:hAnsi="Times New Roman" w:cs="Times New Roman"/>
          <w:sz w:val="20"/>
          <w:szCs w:val="20"/>
        </w:rPr>
        <w:t>Platinum(</w:t>
      </w:r>
      <w:proofErr w:type="gramEnd"/>
      <w:r w:rsidR="00F51B8D" w:rsidRPr="00181D97">
        <w:rPr>
          <w:rFonts w:ascii="Times New Roman" w:hAnsi="Times New Roman" w:cs="Times New Roman"/>
          <w:sz w:val="20"/>
          <w:szCs w:val="20"/>
        </w:rPr>
        <w:t>IV) Complex Deters Breast Cancer via Interposing Inflammation and Immunosuppression as an Inhibitor of COX-2 and PD-L1. Angewandte Chemie International Edition. https://doi.org/10.1002/anie.202011273</w:t>
      </w:r>
    </w:p>
    <w:p w14:paraId="410E79BF" w14:textId="047C53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[109]</w:t>
      </w:r>
      <w:r w:rsidRPr="00181D97">
        <w:rPr>
          <w:rFonts w:ascii="Times New Roman" w:hAnsi="Times New Roman" w:cs="Times New Roman"/>
          <w:sz w:val="20"/>
          <w:szCs w:val="20"/>
        </w:rPr>
        <w:tab/>
      </w:r>
      <w:r w:rsidR="001802A8" w:rsidRPr="00181D97">
        <w:rPr>
          <w:rFonts w:ascii="Times New Roman" w:hAnsi="Times New Roman" w:cs="Times New Roman"/>
          <w:sz w:val="20"/>
          <w:szCs w:val="20"/>
        </w:rPr>
        <w:t>Tandon, R., Luxami, V., Tandon, N., &amp; Paul, K. (2022). Recent developments on 1,8-Naphthalimide moiety as potential target for anticancer agents. Bioorganic Chemistry, 121, 105677. https://doi.org/10.1016/j.bioorg.2022.105677</w:t>
      </w:r>
    </w:p>
    <w:p w14:paraId="63616BAD" w14:textId="61A723B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[110]</w:t>
      </w:r>
      <w:r w:rsidRPr="00181D97">
        <w:rPr>
          <w:rFonts w:ascii="Times New Roman" w:hAnsi="Times New Roman" w:cs="Times New Roman"/>
          <w:sz w:val="20"/>
          <w:szCs w:val="20"/>
        </w:rPr>
        <w:tab/>
      </w:r>
      <w:r w:rsidR="00F26E9D" w:rsidRPr="00181D97">
        <w:rPr>
          <w:rFonts w:ascii="Times New Roman" w:hAnsi="Times New Roman" w:cs="Times New Roman"/>
          <w:sz w:val="20"/>
          <w:szCs w:val="20"/>
        </w:rPr>
        <w:t xml:space="preserve">Wang, Q., Chen, Y., Li, G., Zhao, Y., Liu, Z., Zhang, R., Liu, M., Li, D., &amp; Han, J. (2019). A potent aminonaphthalimide </w:t>
      </w:r>
      <w:proofErr w:type="gramStart"/>
      <w:r w:rsidR="00F26E9D" w:rsidRPr="00181D97">
        <w:rPr>
          <w:rFonts w:ascii="Times New Roman" w:hAnsi="Times New Roman" w:cs="Times New Roman"/>
          <w:sz w:val="20"/>
          <w:szCs w:val="20"/>
        </w:rPr>
        <w:t>platinum(</w:t>
      </w:r>
      <w:proofErr w:type="gramEnd"/>
      <w:r w:rsidR="00F26E9D" w:rsidRPr="00181D97">
        <w:rPr>
          <w:rFonts w:ascii="Times New Roman" w:hAnsi="Times New Roman" w:cs="Times New Roman"/>
          <w:sz w:val="20"/>
          <w:szCs w:val="20"/>
        </w:rPr>
        <w:t>IV) complex with effective antitumor activities in vitro and in vivo displaying dual DNA damage effects on tumor cells. Bioorganic &amp; Medicinal Chemistry Letters, 29(20), 126670. https://doi.org/10.1016/j.bmcl.2019.126670</w:t>
      </w:r>
    </w:p>
    <w:p w14:paraId="2B6CBD24" w14:textId="7CBDF9F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[111]</w:t>
      </w:r>
      <w:r w:rsidRPr="00181D97">
        <w:rPr>
          <w:rFonts w:ascii="Times New Roman" w:hAnsi="Times New Roman" w:cs="Times New Roman"/>
          <w:sz w:val="20"/>
          <w:szCs w:val="20"/>
        </w:rPr>
        <w:tab/>
      </w:r>
      <w:r w:rsidR="00967191" w:rsidRPr="00181D97">
        <w:rPr>
          <w:rFonts w:ascii="Times New Roman" w:hAnsi="Times New Roman" w:cs="Times New Roman"/>
          <w:sz w:val="20"/>
          <w:szCs w:val="20"/>
        </w:rPr>
        <w:t xml:space="preserve">Hua, S., Chen, F., Xu, G., &amp; Gou, S. (2019). Multifunctional </w:t>
      </w:r>
      <w:proofErr w:type="gramStart"/>
      <w:r w:rsidR="00967191" w:rsidRPr="00181D97">
        <w:rPr>
          <w:rFonts w:ascii="Times New Roman" w:hAnsi="Times New Roman" w:cs="Times New Roman"/>
          <w:sz w:val="20"/>
          <w:szCs w:val="20"/>
        </w:rPr>
        <w:t>platinum(</w:t>
      </w:r>
      <w:proofErr w:type="gramEnd"/>
      <w:r w:rsidR="00967191" w:rsidRPr="00181D97">
        <w:rPr>
          <w:rFonts w:ascii="Times New Roman" w:hAnsi="Times New Roman" w:cs="Times New Roman"/>
          <w:sz w:val="20"/>
          <w:szCs w:val="20"/>
        </w:rPr>
        <w:t>IV) complexes as immunostimulatory agents to promote cancer immunochemotherapy by inhibiting tryptophan-2,3-dioxygenase. European Journal of Medicinal Chemistry, 169, 29–41. https://doi.org/10.1016/j.ejmech.2019.02.063</w:t>
      </w:r>
    </w:p>
    <w:p w14:paraId="05A0DA22" w14:textId="7E3479A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[112]</w:t>
      </w:r>
      <w:r w:rsidRPr="00181D97">
        <w:rPr>
          <w:rFonts w:ascii="Times New Roman" w:hAnsi="Times New Roman" w:cs="Times New Roman"/>
          <w:sz w:val="20"/>
          <w:szCs w:val="20"/>
        </w:rPr>
        <w:tab/>
      </w:r>
      <w:r w:rsidR="00D14DB9" w:rsidRPr="00181D97">
        <w:rPr>
          <w:rFonts w:ascii="Times New Roman" w:hAnsi="Times New Roman" w:cs="Times New Roman"/>
          <w:sz w:val="20"/>
          <w:szCs w:val="20"/>
        </w:rPr>
        <w:t>Salehi, B., Quispe, C., Chamkhi, I., El Omari, N., Balahbib, A., Sharifi-Rad, J., Bouyahya, A., Akram, M., Iqbal, M., Docea, A. O., Caruntu, C., Leyva-Gómez, G., Dey, A., Martorell, M., Calina, D., López, V., &amp; Les, F. (2021). Pharmacological properties of chalcones: A review of preclinical including molecular mechanisms and clinical evidence. Frontiers in Pharmacology. https://doi.org/10.3389/fphar.2020.592654</w:t>
      </w:r>
    </w:p>
    <w:p w14:paraId="06DD0BD8" w14:textId="54FCFF1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[113]</w:t>
      </w:r>
      <w:r w:rsidRPr="00181D97">
        <w:rPr>
          <w:rFonts w:ascii="Times New Roman" w:hAnsi="Times New Roman" w:cs="Times New Roman"/>
          <w:sz w:val="20"/>
          <w:szCs w:val="20"/>
        </w:rPr>
        <w:tab/>
      </w:r>
      <w:r w:rsidR="0048293D" w:rsidRPr="00181D97">
        <w:rPr>
          <w:rFonts w:ascii="Times New Roman" w:hAnsi="Times New Roman" w:cs="Times New Roman"/>
          <w:sz w:val="20"/>
          <w:szCs w:val="20"/>
        </w:rPr>
        <w:t xml:space="preserve">Huang, X., Liu, Z., Wang, M., Yin, X., Wang, Y., Dai, L., &amp; Wang, H. (2020). </w:t>
      </w:r>
      <w:proofErr w:type="gramStart"/>
      <w:r w:rsidR="0048293D" w:rsidRPr="00181D97">
        <w:rPr>
          <w:rFonts w:ascii="Times New Roman" w:hAnsi="Times New Roman" w:cs="Times New Roman"/>
          <w:sz w:val="20"/>
          <w:szCs w:val="20"/>
        </w:rPr>
        <w:t>Platinum(</w:t>
      </w:r>
      <w:proofErr w:type="gramEnd"/>
      <w:r w:rsidR="0048293D" w:rsidRPr="00181D97">
        <w:rPr>
          <w:rFonts w:ascii="Times New Roman" w:hAnsi="Times New Roman" w:cs="Times New Roman"/>
          <w:sz w:val="20"/>
          <w:szCs w:val="20"/>
        </w:rPr>
        <w:t>IV) complexes conjugated with chalcone analogs as dual targeting anticancer agents: In vitro and in vivo studies. Bioorganic Chemistry, 105, 104430. https://doi.org/10.1016/j.bioorg.2020.104430</w:t>
      </w:r>
    </w:p>
    <w:p w14:paraId="691C0780" w14:textId="7EA0298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[114]</w:t>
      </w:r>
      <w:r w:rsidRPr="00181D97">
        <w:rPr>
          <w:rFonts w:ascii="Times New Roman" w:hAnsi="Times New Roman" w:cs="Times New Roman"/>
          <w:sz w:val="20"/>
          <w:szCs w:val="20"/>
        </w:rPr>
        <w:tab/>
      </w:r>
      <w:r w:rsidR="00BD0548" w:rsidRPr="00181D97">
        <w:rPr>
          <w:rFonts w:ascii="Times New Roman" w:hAnsi="Times New Roman" w:cs="Times New Roman"/>
          <w:sz w:val="20"/>
          <w:szCs w:val="20"/>
        </w:rPr>
        <w:t>Margiotta, N., Savino, S., Denora, N., Marzano, C., Laquintana, V., Cutrignelli, A., Hoeschele, J. D., Gandin, V., &amp; Natile, G. (2016). Encapsulation of lipophilic kiteplatin Pt(iv) prodrugs in PLGA-PEG micelles. Dalton Transactions, 45, 13070–13081. https://doi.org/10.1039/C6DT00763E</w:t>
      </w:r>
    </w:p>
    <w:p w14:paraId="7358B5E1" w14:textId="24EDF8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[115]</w:t>
      </w:r>
      <w:r w:rsidRPr="00181D97">
        <w:rPr>
          <w:rFonts w:ascii="Times New Roman" w:hAnsi="Times New Roman" w:cs="Times New Roman"/>
          <w:sz w:val="20"/>
          <w:szCs w:val="20"/>
        </w:rPr>
        <w:tab/>
      </w:r>
      <w:r w:rsidR="005625DE" w:rsidRPr="00181D97">
        <w:rPr>
          <w:rFonts w:ascii="Times New Roman" w:hAnsi="Times New Roman" w:cs="Times New Roman"/>
          <w:sz w:val="20"/>
          <w:szCs w:val="20"/>
        </w:rPr>
        <w:t xml:space="preserve">Margiotta, N., Savino, S., Marzano, C., Pacifico, C., Hoeschele, J. D., Gandin, V., &amp; Natile, G. (2016). Cytotoxicity-boosting of kiteplatin by </w:t>
      </w:r>
      <w:proofErr w:type="gramStart"/>
      <w:r w:rsidR="005625DE" w:rsidRPr="00181D97">
        <w:rPr>
          <w:rFonts w:ascii="Times New Roman" w:hAnsi="Times New Roman" w:cs="Times New Roman"/>
          <w:sz w:val="20"/>
          <w:szCs w:val="20"/>
        </w:rPr>
        <w:t>Pt(</w:t>
      </w:r>
      <w:proofErr w:type="gramEnd"/>
      <w:r w:rsidR="005625DE" w:rsidRPr="00181D97">
        <w:rPr>
          <w:rFonts w:ascii="Times New Roman" w:hAnsi="Times New Roman" w:cs="Times New Roman"/>
          <w:sz w:val="20"/>
          <w:szCs w:val="20"/>
        </w:rPr>
        <w:t>IV) prodrugs with axial benzoate ligands. Journal of Inorganic Biochemistry. https://doi.org/10.1016/j.jinorgbio.2015.11.028</w:t>
      </w:r>
    </w:p>
    <w:p w14:paraId="2D4666A9" w14:textId="029B992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[116]</w:t>
      </w:r>
      <w:r w:rsidRPr="00181D97">
        <w:rPr>
          <w:rFonts w:ascii="Times New Roman" w:hAnsi="Times New Roman" w:cs="Times New Roman"/>
          <w:sz w:val="20"/>
          <w:szCs w:val="20"/>
        </w:rPr>
        <w:tab/>
      </w:r>
      <w:r w:rsidR="007D23B0" w:rsidRPr="00181D97">
        <w:rPr>
          <w:rFonts w:ascii="Times New Roman" w:hAnsi="Times New Roman" w:cs="Times New Roman"/>
          <w:sz w:val="20"/>
          <w:szCs w:val="20"/>
        </w:rPr>
        <w:t xml:space="preserve">Barbanente, A., Gandin, V., Ceresa, C., Marzano, C., Ditaranto, N., Hoeschele, J. D., Natile, G., Arnesano, F., Pacifico, C., Intini, F. P., &amp; Margiotta, N. (2022). Improvement of Kiteplatin Efficacy by a Benzoato </w:t>
      </w:r>
      <w:proofErr w:type="gramStart"/>
      <w:r w:rsidR="007D23B0" w:rsidRPr="00181D97">
        <w:rPr>
          <w:rFonts w:ascii="Times New Roman" w:hAnsi="Times New Roman" w:cs="Times New Roman"/>
          <w:sz w:val="20"/>
          <w:szCs w:val="20"/>
        </w:rPr>
        <w:t>Pt(</w:t>
      </w:r>
      <w:proofErr w:type="gramEnd"/>
      <w:r w:rsidR="007D23B0" w:rsidRPr="00181D97">
        <w:rPr>
          <w:rFonts w:ascii="Times New Roman" w:hAnsi="Times New Roman" w:cs="Times New Roman"/>
          <w:sz w:val="20"/>
          <w:szCs w:val="20"/>
        </w:rPr>
        <w:t>IV) Prodrug Suitable for Oral Administration. International Journal of Molecular Sciences, 23(13), 7081. https://doi.org/10.3390/ijms23137081</w:t>
      </w:r>
    </w:p>
    <w:p w14:paraId="00DD26DB" w14:textId="7ADBC22B"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[117]</w:t>
      </w:r>
      <w:r w:rsidRPr="00181D97">
        <w:rPr>
          <w:rFonts w:ascii="Times New Roman" w:hAnsi="Times New Roman" w:cs="Times New Roman"/>
          <w:sz w:val="20"/>
          <w:szCs w:val="20"/>
        </w:rPr>
        <w:tab/>
      </w:r>
      <w:r w:rsidR="001C33DB" w:rsidRPr="00181D97">
        <w:rPr>
          <w:rFonts w:ascii="Times New Roman" w:hAnsi="Times New Roman" w:cs="Times New Roman"/>
          <w:sz w:val="20"/>
          <w:szCs w:val="20"/>
        </w:rPr>
        <w:t>Sanna, B., Debidda, M., Pintus, G., Tadolini, B., Posadino, A. M., Bennardini, F., Sava, G., &amp; Ventura, C. (2002). The anti-metastatic agent imidazolium trans-imidazoledimethylsulfoxide-tetrachlororuthenate induces endothelial cell apoptosis by inhibiting the mitogen-activated protein kinase/extracellular signal-regulated kinase signaling pathway. Archives of Biochemistry and Biophysics, 403(2), 209–218. https://doi.org/10.1016/s0003-9861(02)00218-7</w:t>
      </w:r>
    </w:p>
    <w:p w14:paraId="3F2861A5" w14:textId="2D81111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[118]</w:t>
      </w:r>
      <w:r w:rsidRPr="00181D97">
        <w:rPr>
          <w:rFonts w:ascii="Times New Roman" w:hAnsi="Times New Roman" w:cs="Times New Roman"/>
          <w:sz w:val="20"/>
          <w:szCs w:val="20"/>
        </w:rPr>
        <w:tab/>
      </w:r>
      <w:r w:rsidR="0038755D" w:rsidRPr="00181D97">
        <w:rPr>
          <w:rFonts w:ascii="Times New Roman" w:hAnsi="Times New Roman" w:cs="Times New Roman"/>
          <w:sz w:val="20"/>
          <w:szCs w:val="20"/>
        </w:rPr>
        <w:t xml:space="preserve">Kapitza, S., Pongratz, M., Jakupec, M. A., Heffeter, P., Berger, W., Lackinger, L., Keppler, B. K., &amp; Marian, B. (2005). Heterocyclic complexes of </w:t>
      </w:r>
      <w:proofErr w:type="gramStart"/>
      <w:r w:rsidR="0038755D" w:rsidRPr="00181D97">
        <w:rPr>
          <w:rFonts w:ascii="Times New Roman" w:hAnsi="Times New Roman" w:cs="Times New Roman"/>
          <w:sz w:val="20"/>
          <w:szCs w:val="20"/>
        </w:rPr>
        <w:t>ruthenium(</w:t>
      </w:r>
      <w:proofErr w:type="gramEnd"/>
      <w:r w:rsidR="0038755D" w:rsidRPr="00181D97">
        <w:rPr>
          <w:rFonts w:ascii="Times New Roman" w:hAnsi="Times New Roman" w:cs="Times New Roman"/>
          <w:sz w:val="20"/>
          <w:szCs w:val="20"/>
        </w:rPr>
        <w:t>III) induce apoptosis in colorectal carcinoma cells. Journal of Cancer Research and Clinical Oncology, 131(2), 101–110. https://doi.org/10.1007/s00432-004-0617-0</w:t>
      </w:r>
    </w:p>
    <w:p w14:paraId="0B36D8BA" w14:textId="04E9AC1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[119]</w:t>
      </w:r>
      <w:r w:rsidRPr="00181D97">
        <w:rPr>
          <w:rFonts w:ascii="Times New Roman" w:hAnsi="Times New Roman" w:cs="Times New Roman"/>
          <w:sz w:val="20"/>
          <w:szCs w:val="20"/>
        </w:rPr>
        <w:tab/>
      </w:r>
      <w:r w:rsidR="00064867" w:rsidRPr="00181D97">
        <w:rPr>
          <w:rFonts w:ascii="Times New Roman" w:hAnsi="Times New Roman" w:cs="Times New Roman"/>
          <w:sz w:val="20"/>
          <w:szCs w:val="20"/>
        </w:rPr>
        <w:t>Thompson, D. S., Weiss, G. J., Jones, S. F., Burris, H. A., Ramanathan, R. K., Infante, J. R., Bendell, J. C., Ogden, A., &amp; Von Hoff, D. D. (2012). NKP-1339: Maximum tolerated dose defined for first-in-human GRP78 targeted agent. Journal of Clinical Oncology, 30(15_suppl), 3033–3033. https://doi.org/10.1200/jco.2012.30.15_suppl.3033</w:t>
      </w:r>
    </w:p>
    <w:p w14:paraId="52251815" w14:textId="7144080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[120]</w:t>
      </w:r>
      <w:r w:rsidRPr="00181D97">
        <w:rPr>
          <w:rFonts w:ascii="Times New Roman" w:hAnsi="Times New Roman" w:cs="Times New Roman"/>
          <w:sz w:val="20"/>
          <w:szCs w:val="20"/>
        </w:rPr>
        <w:tab/>
      </w:r>
      <w:r w:rsidR="00BA6DC2" w:rsidRPr="00181D97">
        <w:rPr>
          <w:rFonts w:ascii="Times New Roman" w:hAnsi="Times New Roman" w:cs="Times New Roman"/>
          <w:sz w:val="20"/>
          <w:szCs w:val="20"/>
        </w:rPr>
        <w:t>Monro, S., Colo´n, K. L., Yin, H., Roque, J., Konda, P., Gujar, S., Thummel, R. P., Lilge, L., Cameron, C. G., &amp; McFarland, S. A. (2019). Transition metal complexes and photodynamic therapy from a tumor-centered approach: Challenges, opportunities, and highlights from the development of TLD1433. Chemical Reviews, 119(2), 797–828. https://doi.org/10.1021/acs.chemrev.8b00211</w:t>
      </w:r>
    </w:p>
    <w:p w14:paraId="7419C687" w14:textId="3153EB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[121]</w:t>
      </w:r>
      <w:r w:rsidRPr="00181D97">
        <w:rPr>
          <w:rFonts w:ascii="Times New Roman" w:hAnsi="Times New Roman" w:cs="Times New Roman"/>
          <w:sz w:val="20"/>
          <w:szCs w:val="20"/>
        </w:rPr>
        <w:tab/>
      </w:r>
      <w:r w:rsidR="002D465D" w:rsidRPr="00181D97">
        <w:rPr>
          <w:rFonts w:ascii="Times New Roman" w:hAnsi="Times New Roman" w:cs="Times New Roman"/>
          <w:sz w:val="20"/>
          <w:szCs w:val="20"/>
        </w:rPr>
        <w:t>Coverdale, J. P. C., Laroiya-McCarron, T., &amp; Romero-Canelón, I. (2019). Designing ruthenium anticancer drugs: What have we learnt from the key drug candidates? Inorganics, 7(3), 31. https://doi.org/10.3390/inorganics7030031</w:t>
      </w:r>
    </w:p>
    <w:p w14:paraId="1BE20E46" w14:textId="56C636B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[122]</w:t>
      </w:r>
      <w:r w:rsidRPr="00181D97">
        <w:rPr>
          <w:rFonts w:ascii="Times New Roman" w:hAnsi="Times New Roman" w:cs="Times New Roman"/>
          <w:sz w:val="20"/>
          <w:szCs w:val="20"/>
        </w:rPr>
        <w:tab/>
      </w:r>
      <w:r w:rsidR="00386BDA" w:rsidRPr="00181D97">
        <w:rPr>
          <w:rFonts w:ascii="Times New Roman" w:hAnsi="Times New Roman" w:cs="Times New Roman"/>
          <w:sz w:val="20"/>
          <w:szCs w:val="20"/>
        </w:rPr>
        <w:t>Katheria, S. (2022). Ruthenium Complexes as Potential Cancer Cell Growth Inhibitors for Targeted Chemotherapy. ChemistrySelect, 7. https://doi.org/10.1002/slct.202201645</w:t>
      </w:r>
    </w:p>
    <w:p w14:paraId="4A4A5631" w14:textId="359C0E5F"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[123]</w:t>
      </w:r>
      <w:r w:rsidRPr="00181D97">
        <w:rPr>
          <w:rFonts w:ascii="Times New Roman" w:hAnsi="Times New Roman" w:cs="Times New Roman"/>
          <w:sz w:val="20"/>
          <w:szCs w:val="20"/>
        </w:rPr>
        <w:tab/>
      </w:r>
      <w:r w:rsidR="00386BDA" w:rsidRPr="00181D97">
        <w:rPr>
          <w:rFonts w:ascii="Times New Roman" w:hAnsi="Times New Roman" w:cs="Times New Roman"/>
          <w:sz w:val="20"/>
          <w:szCs w:val="20"/>
        </w:rPr>
        <w:t>Lin, K., Zhao, Z.-Z., Bo, H.-B., Hao, X.-J., &amp; Wang, J.-Q. (2018). Applications of ruthenium complex in tumor diagnosis and therapy. Frontiers in Pharmacology, 9, 1323. https://doi.org/10.3389/fphar.2018.01323</w:t>
      </w:r>
    </w:p>
    <w:p w14:paraId="20D96993" w14:textId="45181E7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[124]</w:t>
      </w:r>
      <w:r w:rsidRPr="00181D97">
        <w:rPr>
          <w:rFonts w:ascii="Times New Roman" w:hAnsi="Times New Roman" w:cs="Times New Roman"/>
          <w:sz w:val="20"/>
          <w:szCs w:val="20"/>
        </w:rPr>
        <w:tab/>
      </w:r>
      <w:r w:rsidR="00A26951" w:rsidRPr="00181D97">
        <w:rPr>
          <w:rFonts w:ascii="Times New Roman" w:hAnsi="Times New Roman" w:cs="Times New Roman"/>
          <w:sz w:val="20"/>
          <w:szCs w:val="20"/>
        </w:rPr>
        <w:t xml:space="preserve">Sahyon, H. A., El-Bindary, A. A., Shoair, A. F., &amp; Abdellatif, A. A. (2018). Synthesis and characterization of </w:t>
      </w:r>
      <w:proofErr w:type="gramStart"/>
      <w:r w:rsidR="00A26951" w:rsidRPr="00181D97">
        <w:rPr>
          <w:rFonts w:ascii="Times New Roman" w:hAnsi="Times New Roman" w:cs="Times New Roman"/>
          <w:sz w:val="20"/>
          <w:szCs w:val="20"/>
        </w:rPr>
        <w:t>ruthenium(</w:t>
      </w:r>
      <w:proofErr w:type="gramEnd"/>
      <w:r w:rsidR="00A26951" w:rsidRPr="00181D97">
        <w:rPr>
          <w:rFonts w:ascii="Times New Roman" w:hAnsi="Times New Roman" w:cs="Times New Roman"/>
          <w:sz w:val="20"/>
          <w:szCs w:val="20"/>
        </w:rPr>
        <w:t>III) complex containing 2-aminomethyl benzimidazole, and its anticancer activity of in vitro and in vivo models. Journal of Molecular Liquids, 255, 122–134. https://doi.org/10.1016/j.molliq.2018.01.140</w:t>
      </w:r>
    </w:p>
    <w:p w14:paraId="4FB3E2BA" w14:textId="2C209F2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[125]</w:t>
      </w:r>
      <w:r w:rsidRPr="00181D97">
        <w:rPr>
          <w:rFonts w:ascii="Times New Roman" w:hAnsi="Times New Roman" w:cs="Times New Roman"/>
          <w:sz w:val="20"/>
          <w:szCs w:val="20"/>
        </w:rPr>
        <w:tab/>
      </w:r>
      <w:r w:rsidR="009C30A1" w:rsidRPr="00181D97">
        <w:rPr>
          <w:rFonts w:ascii="Times New Roman" w:hAnsi="Times New Roman" w:cs="Times New Roman"/>
          <w:sz w:val="20"/>
          <w:szCs w:val="20"/>
        </w:rPr>
        <w:t>Kanaoujiya, R., Meenakshi, Srivastava, S., Singh, R., &amp; Mustafa, G. (2023). Recent advances and application of ruthenium complexes in tumor malignancy. Materials Today Proceedings, 72, 2822–2827. https://doi.org/10.1016/j.matpr.2022.07.098</w:t>
      </w:r>
    </w:p>
    <w:p w14:paraId="430DC77F" w14:textId="6503C126"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[126]</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Adhikari, S., Kar, D., Fröhlich, R., &amp; Ghosh, K. (2019). Pyridine‐Based Macrocyclic and Open Receptors for Urea. ChemistrySelect. https://doi.org/10.1002/slct.201902451</w:t>
      </w:r>
    </w:p>
    <w:p w14:paraId="02AB2962" w14:textId="3EDD18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[127]</w:t>
      </w:r>
      <w:r w:rsidRPr="00181D97">
        <w:rPr>
          <w:rFonts w:ascii="Times New Roman" w:hAnsi="Times New Roman" w:cs="Times New Roman"/>
          <w:sz w:val="20"/>
          <w:szCs w:val="20"/>
        </w:rPr>
        <w:tab/>
      </w:r>
      <w:r w:rsidR="004D374B" w:rsidRPr="00181D97">
        <w:rPr>
          <w:rFonts w:ascii="Times New Roman" w:hAnsi="Times New Roman" w:cs="Times New Roman"/>
          <w:sz w:val="20"/>
          <w:szCs w:val="20"/>
        </w:rPr>
        <w:t xml:space="preserve">Adhikari, S., Bhattacharjee, T., Butcher, R. J., Porchia, M., De Franco, M., Marzano, C., Gandin, V., &amp; Tisato, F. (2019). Synthesis and characterization of mixed-ligand </w:t>
      </w:r>
      <w:proofErr w:type="gramStart"/>
      <w:r w:rsidR="004D374B" w:rsidRPr="00181D97">
        <w:rPr>
          <w:rFonts w:ascii="Times New Roman" w:hAnsi="Times New Roman" w:cs="Times New Roman"/>
          <w:sz w:val="20"/>
          <w:szCs w:val="20"/>
        </w:rPr>
        <w:t>Zn(</w:t>
      </w:r>
      <w:proofErr w:type="gramEnd"/>
      <w:r w:rsidR="004D374B" w:rsidRPr="00181D97">
        <w:rPr>
          <w:rFonts w:ascii="Times New Roman" w:hAnsi="Times New Roman" w:cs="Times New Roman"/>
          <w:sz w:val="20"/>
          <w:szCs w:val="20"/>
        </w:rPr>
        <w:t>II) and Cu(II) complexes including polyamines and dicyano-dithiolate(2-): In vitro cytotoxic activity of Cu(II) compounds. Inorganica Chimica Acta, 498, 119098. https://doi.org/10.1016/j.ica.2019.119098</w:t>
      </w:r>
    </w:p>
    <w:p w14:paraId="7B5F4AB2" w14:textId="6A84A09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[128]</w:t>
      </w:r>
      <w:r w:rsidRPr="00181D97">
        <w:rPr>
          <w:rFonts w:ascii="Times New Roman" w:hAnsi="Times New Roman" w:cs="Times New Roman"/>
          <w:sz w:val="20"/>
          <w:szCs w:val="20"/>
        </w:rPr>
        <w:tab/>
      </w:r>
      <w:r w:rsidR="00F07C23" w:rsidRPr="00181D97">
        <w:rPr>
          <w:rFonts w:ascii="Times New Roman" w:hAnsi="Times New Roman" w:cs="Times New Roman"/>
          <w:sz w:val="20"/>
          <w:szCs w:val="20"/>
        </w:rPr>
        <w:t>Satija, G., Sharma, B., Madan, A., Iqubal, A., Shaquiquzzaman, M., Akhter, M., Parvez, S., Khan, M. A., &amp; Alam, M. M. (2022). Benzimidazole based derivatives as anticancer agents: Structure activity relationship analysis for various targets. Journal of Heterocyclic Chemistry, 59(1), 22–66. https://doi.org/10.1002/jhet.4355</w:t>
      </w:r>
    </w:p>
    <w:p w14:paraId="11C1946B" w14:textId="536833B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[129]</w:t>
      </w:r>
      <w:r w:rsidRPr="00181D97">
        <w:rPr>
          <w:rFonts w:ascii="Times New Roman" w:hAnsi="Times New Roman" w:cs="Times New Roman"/>
          <w:sz w:val="20"/>
          <w:szCs w:val="20"/>
        </w:rPr>
        <w:tab/>
      </w:r>
      <w:r w:rsidR="005D3621" w:rsidRPr="00181D97">
        <w:rPr>
          <w:rFonts w:ascii="Times New Roman" w:hAnsi="Times New Roman" w:cs="Times New Roman"/>
          <w:sz w:val="20"/>
          <w:szCs w:val="20"/>
        </w:rPr>
        <w:t xml:space="preserve">Rogala, P., Jabłońska-Wawrzycka, A., Czerwonka, G., Kazimierczuk, K., Gałczyńska, K., Michałkiewicz, S., Kalinowska-Tłuścik, J., Karpiel, M., &amp; Klika, K. D. (2022). Synthesis, Characterization and Biological Investigations of Half-Sandwich </w:t>
      </w:r>
      <w:proofErr w:type="gramStart"/>
      <w:r w:rsidR="005D3621" w:rsidRPr="00181D97">
        <w:rPr>
          <w:rFonts w:ascii="Times New Roman" w:hAnsi="Times New Roman" w:cs="Times New Roman"/>
          <w:sz w:val="20"/>
          <w:szCs w:val="20"/>
        </w:rPr>
        <w:t>Ruthenium(</w:t>
      </w:r>
      <w:proofErr w:type="gramEnd"/>
      <w:r w:rsidR="005D3621" w:rsidRPr="00181D97">
        <w:rPr>
          <w:rFonts w:ascii="Times New Roman" w:hAnsi="Times New Roman" w:cs="Times New Roman"/>
          <w:sz w:val="20"/>
          <w:szCs w:val="20"/>
        </w:rPr>
        <w:t>II) Complexes Containing Benzimidazole Moiety. Molecules, 28(1), 40. https://doi.org/10.3390/molecules28010040</w:t>
      </w:r>
    </w:p>
    <w:p w14:paraId="4A6779C1" w14:textId="017AC935"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[130]</w:t>
      </w:r>
      <w:r w:rsidRPr="00181D97">
        <w:rPr>
          <w:rFonts w:ascii="Times New Roman" w:hAnsi="Times New Roman" w:cs="Times New Roman"/>
          <w:sz w:val="20"/>
          <w:szCs w:val="20"/>
        </w:rPr>
        <w:tab/>
      </w:r>
      <w:r w:rsidR="006D6C1F" w:rsidRPr="00181D97">
        <w:rPr>
          <w:rFonts w:ascii="Times New Roman" w:hAnsi="Times New Roman" w:cs="Times New Roman"/>
          <w:sz w:val="20"/>
          <w:szCs w:val="20"/>
        </w:rPr>
        <w:t xml:space="preserve">Elsayed, S. A., Harrypersad, S., Sahyon, H. A., El-Magd, M. A., &amp; Walsby, C. J. (2020). </w:t>
      </w:r>
      <w:proofErr w:type="gramStart"/>
      <w:r w:rsidR="006D6C1F" w:rsidRPr="00181D97">
        <w:rPr>
          <w:rFonts w:ascii="Times New Roman" w:hAnsi="Times New Roman" w:cs="Times New Roman"/>
          <w:sz w:val="20"/>
          <w:szCs w:val="20"/>
        </w:rPr>
        <w:t>Ruthenium(</w:t>
      </w:r>
      <w:proofErr w:type="gramEnd"/>
      <w:r w:rsidR="006D6C1F" w:rsidRPr="00181D97">
        <w:rPr>
          <w:rFonts w:ascii="Times New Roman" w:hAnsi="Times New Roman" w:cs="Times New Roman"/>
          <w:sz w:val="20"/>
          <w:szCs w:val="20"/>
        </w:rPr>
        <w:t>II)/(III) DMSO-Based Complexes of 2-Aminophenyl Benzimidazole with In Vitro and In Vivo Anticancer Activity. Molecules, 25(18), 4284. https://doi.org/10.3390/molecules25184284</w:t>
      </w:r>
    </w:p>
    <w:p w14:paraId="7EB6B362" w14:textId="00F1E0C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[131]</w:t>
      </w:r>
      <w:r w:rsidRPr="00181D97">
        <w:rPr>
          <w:rFonts w:ascii="Times New Roman" w:hAnsi="Times New Roman" w:cs="Times New Roman"/>
          <w:sz w:val="20"/>
          <w:szCs w:val="20"/>
        </w:rPr>
        <w:tab/>
      </w:r>
      <w:r w:rsidR="00954398" w:rsidRPr="00181D97">
        <w:rPr>
          <w:rFonts w:ascii="Times New Roman" w:hAnsi="Times New Roman" w:cs="Times New Roman"/>
          <w:sz w:val="20"/>
          <w:szCs w:val="20"/>
        </w:rPr>
        <w:t>Vo, T. T. T., Vo, Q. C., Tuan, V. P., Wee, Y., Cheng, H.-C., &amp; Lee, I.-T. (2021). The potentials of carbon monoxide-releasing molecules in cancer treatment: An outlook from ROS biology and medicine. Redox Biology, 46, 102124. https://doi.org/10.1016/j.redox.2021.102124</w:t>
      </w:r>
    </w:p>
    <w:p w14:paraId="420CA160" w14:textId="3A8E9DA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[132]</w:t>
      </w:r>
      <w:r w:rsidRPr="00181D97">
        <w:rPr>
          <w:rFonts w:ascii="Times New Roman" w:hAnsi="Times New Roman" w:cs="Times New Roman"/>
          <w:sz w:val="20"/>
          <w:szCs w:val="20"/>
        </w:rPr>
        <w:tab/>
      </w:r>
      <w:r w:rsidR="00C17DB8" w:rsidRPr="00181D97">
        <w:rPr>
          <w:rFonts w:ascii="Times New Roman" w:hAnsi="Times New Roman" w:cs="Times New Roman"/>
          <w:sz w:val="20"/>
          <w:szCs w:val="20"/>
        </w:rPr>
        <w:t>Tamasi, G., Merlino, A., Scaletti, F., Heffeter, P., Legin, A. A., Jakupec, M. A., Berger, W., Messori, L., Keppler, B. K., &amp; Cini, R. (2017). {</w:t>
      </w:r>
      <w:proofErr w:type="gramStart"/>
      <w:r w:rsidR="00C17DB8" w:rsidRPr="00181D97">
        <w:rPr>
          <w:rFonts w:ascii="Times New Roman" w:hAnsi="Times New Roman" w:cs="Times New Roman"/>
          <w:sz w:val="20"/>
          <w:szCs w:val="20"/>
        </w:rPr>
        <w:t>Ru(</w:t>
      </w:r>
      <w:proofErr w:type="gramEnd"/>
      <w:r w:rsidR="00C17DB8" w:rsidRPr="00181D97">
        <w:rPr>
          <w:rFonts w:ascii="Times New Roman" w:hAnsi="Times New Roman" w:cs="Times New Roman"/>
          <w:sz w:val="20"/>
          <w:szCs w:val="20"/>
        </w:rPr>
        <w:t>CO)x}-Core complexes with benzimidazole ligands: synthesis, X-ray structure and evaluation of anticancer activity in vivo. Dalton Transactions, 46(9), 3025–3040. https://doi.org/10.1039/C6DT04295C</w:t>
      </w:r>
    </w:p>
    <w:p w14:paraId="7997B391" w14:textId="08896B0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[133]</w:t>
      </w:r>
      <w:r w:rsidRPr="00181D97">
        <w:rPr>
          <w:rFonts w:ascii="Times New Roman" w:hAnsi="Times New Roman" w:cs="Times New Roman"/>
          <w:sz w:val="20"/>
          <w:szCs w:val="20"/>
        </w:rPr>
        <w:tab/>
      </w:r>
      <w:r w:rsidR="00FE5FC1" w:rsidRPr="00181D97">
        <w:rPr>
          <w:rFonts w:ascii="Times New Roman" w:hAnsi="Times New Roman" w:cs="Times New Roman"/>
          <w:sz w:val="20"/>
          <w:szCs w:val="20"/>
        </w:rPr>
        <w:t xml:space="preserve">Meng, T., Qin, Q.-P., Chen, Z.-L., Zou, H.-H., Wang, K., &amp; Liang, F.-P. (2019). Discovery of high in vitro and in vivo antitumor activities of organometallic </w:t>
      </w:r>
      <w:proofErr w:type="gramStart"/>
      <w:r w:rsidR="00FE5FC1" w:rsidRPr="00181D97">
        <w:rPr>
          <w:rFonts w:ascii="Times New Roman" w:hAnsi="Times New Roman" w:cs="Times New Roman"/>
          <w:sz w:val="20"/>
          <w:szCs w:val="20"/>
        </w:rPr>
        <w:t>ruthenium(</w:t>
      </w:r>
      <w:proofErr w:type="gramEnd"/>
      <w:r w:rsidR="00FE5FC1" w:rsidRPr="00181D97">
        <w:rPr>
          <w:rFonts w:ascii="Times New Roman" w:hAnsi="Times New Roman" w:cs="Times New Roman"/>
          <w:sz w:val="20"/>
          <w:szCs w:val="20"/>
        </w:rPr>
        <w:t>II)–arene complexes with 5,7-dihalogenated-2-methyl-8-quinolinol. Dalton Transactions, 48(15), 5352–5360. https://doi.org/10.1039/C9DT00866G</w:t>
      </w:r>
    </w:p>
    <w:p w14:paraId="4BD0BDC2" w14:textId="3F10799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[134]</w:t>
      </w:r>
      <w:r w:rsidRPr="00181D97">
        <w:rPr>
          <w:rFonts w:ascii="Times New Roman" w:hAnsi="Times New Roman" w:cs="Times New Roman"/>
          <w:sz w:val="20"/>
          <w:szCs w:val="20"/>
        </w:rPr>
        <w:tab/>
      </w:r>
      <w:r w:rsidR="00552CDD" w:rsidRPr="00181D97">
        <w:rPr>
          <w:rFonts w:ascii="Times New Roman" w:hAnsi="Times New Roman" w:cs="Times New Roman"/>
          <w:sz w:val="20"/>
          <w:szCs w:val="20"/>
        </w:rPr>
        <w:t xml:space="preserve">Xu, Z., Huang, J., Kong, D., Yang, Y., Guo, L., Jia, X., Zhong, G., &amp; Liu, Z. (2020). Potent half-sandwich </w:t>
      </w:r>
      <w:proofErr w:type="gramStart"/>
      <w:r w:rsidR="00552CDD" w:rsidRPr="00181D97">
        <w:rPr>
          <w:rFonts w:ascii="Times New Roman" w:hAnsi="Times New Roman" w:cs="Times New Roman"/>
          <w:sz w:val="20"/>
          <w:szCs w:val="20"/>
        </w:rPr>
        <w:t>Ru(</w:t>
      </w:r>
      <w:proofErr w:type="gramEnd"/>
      <w:r w:rsidR="00552CDD" w:rsidRPr="00181D97">
        <w:rPr>
          <w:rFonts w:ascii="Times New Roman" w:hAnsi="Times New Roman" w:cs="Times New Roman"/>
          <w:sz w:val="20"/>
          <w:szCs w:val="20"/>
        </w:rPr>
        <w:t>II) N^N (aryl-BIAN) complexes: Lysosome-mediated apoptosis, in vitro and in vivo anticancer activities. European Journal of Medicinal Chemistry. https://doi.org/10.1016/j.ejmech.2020.112763</w:t>
      </w:r>
    </w:p>
    <w:p w14:paraId="220C8D86" w14:textId="5D93FFA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[135]</w:t>
      </w:r>
      <w:r w:rsidRPr="00181D97">
        <w:rPr>
          <w:rFonts w:ascii="Times New Roman" w:hAnsi="Times New Roman" w:cs="Times New Roman"/>
          <w:sz w:val="20"/>
          <w:szCs w:val="20"/>
        </w:rPr>
        <w:tab/>
      </w:r>
      <w:r w:rsidR="00977BFC" w:rsidRPr="00181D97">
        <w:rPr>
          <w:rFonts w:ascii="Times New Roman" w:hAnsi="Times New Roman" w:cs="Times New Roman"/>
          <w:sz w:val="20"/>
          <w:szCs w:val="20"/>
        </w:rPr>
        <w:t>Swaminathan, S., Haribabu, J., Kalagatur, N. K., Nikhil, M., Balakrishnan, N., Bhuvanesh, N. S. P., Kadirvelu, K., Kolandaivel, P., &amp; Karvembu, R. (2021). Tunable anticancer activity of furoylthiourea-based ru ii –arene complexes and their mechanism of action. Chemistry – A European Journal, 27(26), 7418–7433. https://doi.org/10.1002/chem.202004954</w:t>
      </w:r>
    </w:p>
    <w:p w14:paraId="569E238C" w14:textId="10B0EB3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[136]</w:t>
      </w:r>
      <w:r w:rsidRPr="00181D97">
        <w:rPr>
          <w:rFonts w:ascii="Times New Roman" w:hAnsi="Times New Roman" w:cs="Times New Roman"/>
          <w:sz w:val="20"/>
          <w:szCs w:val="20"/>
        </w:rPr>
        <w:tab/>
      </w:r>
      <w:r w:rsidR="008351CA" w:rsidRPr="00181D97">
        <w:rPr>
          <w:rFonts w:ascii="Times New Roman" w:hAnsi="Times New Roman" w:cs="Times New Roman"/>
          <w:sz w:val="20"/>
          <w:szCs w:val="20"/>
        </w:rPr>
        <w:t>Gossens, C., Tavernelli, I., &amp; Rothlisberger, U. (2008). DNA structural distortions induced by ruthenium—arene anticancer compounds. Journal of the American Chemical Society, 130(33), 10921–10928. https://doi.org/10.1021/ja800194a</w:t>
      </w:r>
    </w:p>
    <w:p w14:paraId="0BC691D9" w14:textId="6C4BF82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[137]</w:t>
      </w:r>
      <w:r w:rsidRPr="00181D97">
        <w:rPr>
          <w:rFonts w:ascii="Times New Roman" w:hAnsi="Times New Roman" w:cs="Times New Roman"/>
          <w:sz w:val="20"/>
          <w:szCs w:val="20"/>
        </w:rPr>
        <w:tab/>
      </w:r>
      <w:r w:rsidR="00467B79" w:rsidRPr="00181D97">
        <w:rPr>
          <w:rFonts w:ascii="Times New Roman" w:hAnsi="Times New Roman" w:cs="Times New Roman"/>
          <w:sz w:val="20"/>
          <w:szCs w:val="20"/>
        </w:rPr>
        <w:t xml:space="preserve">Swaminathan, S., Haribabu, J., Mohamed Subarkhan, M. K., Gayathri, D., Balakrishnan, N., Bhuvanesh, N., Echeverria, C., &amp; Karvembu, R. (2021). Impact of aliphatic acyl and aromatic thioamide substituents on the anticancer activity of </w:t>
      </w:r>
      <w:proofErr w:type="gramStart"/>
      <w:r w:rsidR="00467B79" w:rsidRPr="00181D97">
        <w:rPr>
          <w:rFonts w:ascii="Times New Roman" w:hAnsi="Times New Roman" w:cs="Times New Roman"/>
          <w:sz w:val="20"/>
          <w:szCs w:val="20"/>
        </w:rPr>
        <w:t>Ru(</w:t>
      </w:r>
      <w:proofErr w:type="gramEnd"/>
      <w:r w:rsidR="00467B79" w:rsidRPr="00181D97">
        <w:rPr>
          <w:rFonts w:ascii="Times New Roman" w:hAnsi="Times New Roman" w:cs="Times New Roman"/>
          <w:sz w:val="20"/>
          <w:szCs w:val="20"/>
        </w:rPr>
        <w:t>II)-p-cymene complexes with acylthiourea ligands—in vitro and in vivo studies. Dalton Transactions. https://doi.org/10.1039/D1DT02611A</w:t>
      </w:r>
    </w:p>
    <w:p w14:paraId="5BD5D918" w14:textId="33D9E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[138]</w:t>
      </w:r>
      <w:r w:rsidRPr="00181D97">
        <w:rPr>
          <w:rFonts w:ascii="Times New Roman" w:hAnsi="Times New Roman" w:cs="Times New Roman"/>
          <w:sz w:val="20"/>
          <w:szCs w:val="20"/>
        </w:rPr>
        <w:tab/>
      </w:r>
      <w:r w:rsidR="0053400A" w:rsidRPr="00181D97">
        <w:rPr>
          <w:rFonts w:ascii="Times New Roman" w:hAnsi="Times New Roman" w:cs="Times New Roman"/>
          <w:sz w:val="20"/>
          <w:szCs w:val="20"/>
        </w:rPr>
        <w:t xml:space="preserve">Rilak, A., Bratsos, I., Zangrando, E., Kljun, J., Turel, I., Bugarčić, Ž. D., &amp; Alessio, E. (2014). New water-soluble </w:t>
      </w:r>
      <w:proofErr w:type="gramStart"/>
      <w:r w:rsidR="0053400A" w:rsidRPr="00181D97">
        <w:rPr>
          <w:rFonts w:ascii="Times New Roman" w:hAnsi="Times New Roman" w:cs="Times New Roman"/>
          <w:sz w:val="20"/>
          <w:szCs w:val="20"/>
        </w:rPr>
        <w:t>ruthenium(</w:t>
      </w:r>
      <w:proofErr w:type="gramEnd"/>
      <w:r w:rsidR="0053400A" w:rsidRPr="00181D97">
        <w:rPr>
          <w:rFonts w:ascii="Times New Roman" w:hAnsi="Times New Roman" w:cs="Times New Roman"/>
          <w:sz w:val="20"/>
          <w:szCs w:val="20"/>
        </w:rPr>
        <w:t>II) terpyridine complexes for anticancer activity: synthesis, characterization, activation kinetics, and interaction with guanine derivatives. Inorganic Chemistry, 53(12), 6113–6126. https://doi.org/10.1021/ic5005215</w:t>
      </w:r>
    </w:p>
    <w:p w14:paraId="35F64E74" w14:textId="261766B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[139]</w:t>
      </w:r>
      <w:r w:rsidRPr="00181D97">
        <w:rPr>
          <w:rFonts w:ascii="Times New Roman" w:hAnsi="Times New Roman" w:cs="Times New Roman"/>
          <w:sz w:val="20"/>
          <w:szCs w:val="20"/>
        </w:rPr>
        <w:tab/>
      </w:r>
      <w:r w:rsidR="000D2BA4" w:rsidRPr="00181D97">
        <w:rPr>
          <w:rFonts w:ascii="Times New Roman" w:hAnsi="Times New Roman" w:cs="Times New Roman"/>
          <w:sz w:val="20"/>
          <w:szCs w:val="20"/>
        </w:rPr>
        <w:t xml:space="preserve">Nišavić, M., Stoiljković, M., Crnolatac, I., Milošević, M., Rilak, A., &amp; Masnikosa, R. (2018). Highly water-soluble </w:t>
      </w:r>
      <w:proofErr w:type="gramStart"/>
      <w:r w:rsidR="000D2BA4" w:rsidRPr="00181D97">
        <w:rPr>
          <w:rFonts w:ascii="Times New Roman" w:hAnsi="Times New Roman" w:cs="Times New Roman"/>
          <w:sz w:val="20"/>
          <w:szCs w:val="20"/>
        </w:rPr>
        <w:t>ruthenium(</w:t>
      </w:r>
      <w:proofErr w:type="gramEnd"/>
      <w:r w:rsidR="000D2BA4" w:rsidRPr="00181D97">
        <w:rPr>
          <w:rFonts w:ascii="Times New Roman" w:hAnsi="Times New Roman" w:cs="Times New Roman"/>
          <w:sz w:val="20"/>
          <w:szCs w:val="20"/>
        </w:rPr>
        <w:t>II) terpyridine coordination compounds form stable adducts with blood-borne metal transporting proteins. *Arabian Journal of Chemistry*, *11*(3), 291–304. https://doi.org/10.1016/j.arabjc.2016.07.021</w:t>
      </w:r>
    </w:p>
    <w:p w14:paraId="452C7EB9" w14:textId="30C0388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[140]</w:t>
      </w:r>
      <w:r w:rsidRPr="00181D97">
        <w:rPr>
          <w:rFonts w:ascii="Times New Roman" w:hAnsi="Times New Roman" w:cs="Times New Roman"/>
          <w:sz w:val="20"/>
          <w:szCs w:val="20"/>
        </w:rPr>
        <w:tab/>
      </w:r>
      <w:r w:rsidR="00767565" w:rsidRPr="00181D97">
        <w:rPr>
          <w:rFonts w:ascii="Times New Roman" w:hAnsi="Times New Roman" w:cs="Times New Roman"/>
          <w:sz w:val="20"/>
          <w:szCs w:val="20"/>
        </w:rPr>
        <w:t xml:space="preserve">Lazić, D., Arsenijević, A., Puchta, R., Bugarčić, Ž. D., &amp; Rilak, A. (2016). DNA binding properties, histidine interaction and cytotoxicity studies of water soluble </w:t>
      </w:r>
      <w:proofErr w:type="gramStart"/>
      <w:r w:rsidR="00767565" w:rsidRPr="00181D97">
        <w:rPr>
          <w:rFonts w:ascii="Times New Roman" w:hAnsi="Times New Roman" w:cs="Times New Roman"/>
          <w:sz w:val="20"/>
          <w:szCs w:val="20"/>
        </w:rPr>
        <w:t>ruthenium(</w:t>
      </w:r>
      <w:proofErr w:type="gramEnd"/>
      <w:r w:rsidR="00767565" w:rsidRPr="00181D97">
        <w:rPr>
          <w:rFonts w:ascii="Times New Roman" w:hAnsi="Times New Roman" w:cs="Times New Roman"/>
          <w:sz w:val="20"/>
          <w:szCs w:val="20"/>
        </w:rPr>
        <w:t>II) terpyridine complexes. Dalton Transactions, 45, 4633–4646. https://doi.org/10.1039/C5DT04132E</w:t>
      </w:r>
    </w:p>
    <w:p w14:paraId="57065D17" w14:textId="125E5E2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lastRenderedPageBreak/>
        <w:t>[141]</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 xml:space="preserve">Savic, M., Arsenijevic, A., Milovanovic, J., Stojanovic, B., Stankovic, V., Rilak Simovic, A., Lazic, D., Arsenijevic, N., &amp; Milovanovic, M. (2020). Antitumor activity of </w:t>
      </w:r>
      <w:proofErr w:type="gramStart"/>
      <w:r w:rsidR="00A33CAE" w:rsidRPr="00181D97">
        <w:rPr>
          <w:rFonts w:ascii="Times New Roman" w:hAnsi="Times New Roman" w:cs="Times New Roman"/>
          <w:sz w:val="20"/>
          <w:szCs w:val="20"/>
        </w:rPr>
        <w:t>ruthenium(</w:t>
      </w:r>
      <w:proofErr w:type="gramEnd"/>
      <w:r w:rsidR="00A33CAE" w:rsidRPr="00181D97">
        <w:rPr>
          <w:rFonts w:ascii="Times New Roman" w:hAnsi="Times New Roman" w:cs="Times New Roman"/>
          <w:sz w:val="20"/>
          <w:szCs w:val="20"/>
        </w:rPr>
        <w:t>II) terpyridine complexes towards colon cancer cells in vitro and in vivo. Molecules. https://doi.org/10.3390/molecules25204699</w:t>
      </w:r>
    </w:p>
    <w:p w14:paraId="2A2E2C0D" w14:textId="1AE082F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[142]</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Komor, A. C., &amp; Barton, J. K. (2013). The path for metal complexes to a DNA target. Chemical Communications, 49, 3617–3630. https://doi.org/10.1039/c3cc00177f</w:t>
      </w:r>
    </w:p>
    <w:p w14:paraId="485CA964" w14:textId="2E22F0C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[143]</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Cardoso, C. R., Lima, M. V. S., Cheleski, J., Peterson, E. J., Venâncio, T., Farrell, N. P., &amp; Carlos, R. M. (2014). Luminescent ruthenium complexes for theranostic applications. Journal of Medicinal Chemistry, 57(11), 4906–4915. https://doi.org/10.1021/jm5005946</w:t>
      </w:r>
    </w:p>
    <w:p w14:paraId="25DB43C9" w14:textId="236EB5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[144]</w:t>
      </w:r>
      <w:r w:rsidRPr="00181D97">
        <w:rPr>
          <w:rFonts w:ascii="Times New Roman" w:hAnsi="Times New Roman" w:cs="Times New Roman"/>
          <w:sz w:val="20"/>
          <w:szCs w:val="20"/>
        </w:rPr>
        <w:tab/>
      </w:r>
      <w:r w:rsidR="00A33CAE" w:rsidRPr="00181D97">
        <w:rPr>
          <w:rFonts w:ascii="Times New Roman" w:hAnsi="Times New Roman" w:cs="Times New Roman"/>
          <w:sz w:val="20"/>
          <w:szCs w:val="20"/>
        </w:rPr>
        <w:t>Zhang, W., Sun, Y., Wang, J., Ding, X., Yang, E., Martin, L. L., &amp; Sun, D. (2021). Enantiomeric selectivity of ruthenium (II) chiral complexes with antitumor activity, in vitro and in vivo. Journal of Inorganic Biochemistry, 216, 111339. https://doi.org/10.1016/j.jinorgbio.2020.111339</w:t>
      </w:r>
    </w:p>
    <w:p w14:paraId="67C4436B" w14:textId="66517A8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[145]</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Manikandan, M., Gadre, S., Chhatar, S., Chakraborty, G., Ahmed, N., Patra, C., &amp; Patra, M. (2022). Potent Ruthenium–Ferrocene Bimetallic Antitumor Antiangiogenic Agent That Circumvents Platinum Resistance: From Synthesis and Mechanistic Studies to In Vivo Evaluation in Zebrafish. Journal of Medicinal Chemistry, 65(24), 16353–16371. https://doi.org/10.1021/acs.jmedchem.2c01174</w:t>
      </w:r>
    </w:p>
    <w:p w14:paraId="6F5B520F" w14:textId="34CD539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[146]</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Chen, Y., Li, W., Yang, Y., Zhong, R., Hu, H., Huang, C., Chen, J., Liang, L., &amp; Liu, Y. (2023). Significant increase of anticancer efficacy in vitro and in vivo of liposome entrapped </w:t>
      </w:r>
      <w:proofErr w:type="gramStart"/>
      <w:r w:rsidR="002E6724" w:rsidRPr="00181D97">
        <w:rPr>
          <w:rFonts w:ascii="Times New Roman" w:hAnsi="Times New Roman" w:cs="Times New Roman"/>
          <w:sz w:val="20"/>
          <w:szCs w:val="20"/>
        </w:rPr>
        <w:t>ruthenium(</w:t>
      </w:r>
      <w:proofErr w:type="gramEnd"/>
      <w:r w:rsidR="002E6724" w:rsidRPr="00181D97">
        <w:rPr>
          <w:rFonts w:ascii="Times New Roman" w:hAnsi="Times New Roman" w:cs="Times New Roman"/>
          <w:sz w:val="20"/>
          <w:szCs w:val="20"/>
        </w:rPr>
        <w:t>II) polypyridyl complexes. European Journal of Medicinal Chemistry, 257, 115541. https://doi.org/10.1016/j.ejmech.2023.115541</w:t>
      </w:r>
    </w:p>
    <w:p w14:paraId="1D6802C3" w14:textId="03E370E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[147]</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Kar, B., &amp; Paira, P. (2022). One pot three component synthesis of DNA targeting phototoxic Ru(ii)-p-cymene dipyrido[3,2-a:2′,3′-</w:t>
      </w:r>
      <w:proofErr w:type="gramStart"/>
      <w:r w:rsidR="002E6724" w:rsidRPr="00181D97">
        <w:rPr>
          <w:rFonts w:ascii="Times New Roman" w:hAnsi="Times New Roman" w:cs="Times New Roman"/>
          <w:sz w:val="20"/>
          <w:szCs w:val="20"/>
        </w:rPr>
        <w:t>c]phenazine</w:t>
      </w:r>
      <w:proofErr w:type="gramEnd"/>
      <w:r w:rsidR="002E6724" w:rsidRPr="00181D97">
        <w:rPr>
          <w:rFonts w:ascii="Times New Roman" w:hAnsi="Times New Roman" w:cs="Times New Roman"/>
          <w:sz w:val="20"/>
          <w:szCs w:val="20"/>
        </w:rPr>
        <w:t xml:space="preserve"> analogues. Dalton Transactions, 51, 15686–15695. https://doi.org/10.1039/D2DT01659A</w:t>
      </w:r>
    </w:p>
    <w:p w14:paraId="3A3EA950" w14:textId="3429F0B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[148]</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 xml:space="preserve">Nikolić, S., Arakelyan, J., Kushnarev, V., Alfadul, S. M., Stanković, D., Kraynik, Y. I., Grgurić-Šipka, S., &amp; Babak, M. V. (2023). Coordination of </w:t>
      </w:r>
      <w:proofErr w:type="gramStart"/>
      <w:r w:rsidR="002E6724" w:rsidRPr="00181D97">
        <w:rPr>
          <w:rFonts w:ascii="Times New Roman" w:hAnsi="Times New Roman" w:cs="Times New Roman"/>
          <w:sz w:val="20"/>
          <w:szCs w:val="20"/>
        </w:rPr>
        <w:t>Ru(</w:t>
      </w:r>
      <w:proofErr w:type="gramEnd"/>
      <w:r w:rsidR="002E6724" w:rsidRPr="00181D97">
        <w:rPr>
          <w:rFonts w:ascii="Times New Roman" w:hAnsi="Times New Roman" w:cs="Times New Roman"/>
          <w:sz w:val="20"/>
          <w:szCs w:val="20"/>
        </w:rPr>
        <w:t>II)-Arene Fragments to Dipyridophenazine Ligands Leads to the Modulation of Their In Vitro and In Vivo Anticancer Activity. Inorganic Chemistry, 62(20), 8188–8199. https://doi.org/10.1021/acs.inorgchem.3c00570</w:t>
      </w:r>
    </w:p>
    <w:p w14:paraId="10F23DEE" w14:textId="40272437"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[149]</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Balfourier, A., Kolosnjaj-Tabi, J., Luciani, N., Carn, F., &amp; Gazeau, F. (2020). Gold-based therapy: From past to present. Proceedings of the National Academy of Sciences, 117(37), 22639–22648. https://doi.org/10.1073/pnas.2007285117</w:t>
      </w:r>
    </w:p>
    <w:p w14:paraId="383E7B19" w14:textId="547E6F3E"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[150]</w:t>
      </w:r>
      <w:r w:rsidRPr="00181D97">
        <w:rPr>
          <w:rFonts w:ascii="Times New Roman" w:hAnsi="Times New Roman" w:cs="Times New Roman"/>
          <w:sz w:val="20"/>
          <w:szCs w:val="20"/>
        </w:rPr>
        <w:tab/>
      </w:r>
      <w:r w:rsidR="002E6724" w:rsidRPr="00181D97">
        <w:rPr>
          <w:rFonts w:ascii="Times New Roman" w:hAnsi="Times New Roman" w:cs="Times New Roman"/>
          <w:sz w:val="20"/>
          <w:szCs w:val="20"/>
        </w:rPr>
        <w:t>Mirabelli, C. K., Johnson, R. K., Sung, C. M., Faucette, L., Muirhead, K., &amp; Crooke, S. T. (1985). Evaluation of the in vivo antitumor activity and in vitro cytotoxic properties of auranofin, a coordinated gold compound, in murine tumor models. *Cancer Research*, *45*(1), 32–39. https://cancerres.aacrjournals.org/content/45/1/32</w:t>
      </w:r>
    </w:p>
    <w:p w14:paraId="50054B4B" w14:textId="0A35997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[151]</w:t>
      </w:r>
      <w:r w:rsidRPr="00181D97">
        <w:rPr>
          <w:rFonts w:ascii="Times New Roman" w:hAnsi="Times New Roman" w:cs="Times New Roman"/>
          <w:sz w:val="20"/>
          <w:szCs w:val="20"/>
        </w:rPr>
        <w:tab/>
      </w:r>
      <w:r w:rsidR="00E73D0B" w:rsidRPr="00181D97">
        <w:rPr>
          <w:rFonts w:ascii="Times New Roman" w:hAnsi="Times New Roman" w:cs="Times New Roman"/>
          <w:sz w:val="20"/>
          <w:szCs w:val="20"/>
        </w:rPr>
        <w:t xml:space="preserve">Lu, Y., Ma, X., Chang, X., Liang, Z., Lv, L., Shan, M., Lu, Q., Wen, Z., Gust, R., &amp; Liu, W. (2022). Recent development of gold(I) and </w:t>
      </w:r>
      <w:proofErr w:type="gramStart"/>
      <w:r w:rsidR="00E73D0B" w:rsidRPr="00181D97">
        <w:rPr>
          <w:rFonts w:ascii="Times New Roman" w:hAnsi="Times New Roman" w:cs="Times New Roman"/>
          <w:sz w:val="20"/>
          <w:szCs w:val="20"/>
        </w:rPr>
        <w:t>gold(</w:t>
      </w:r>
      <w:proofErr w:type="gramEnd"/>
      <w:r w:rsidR="00E73D0B" w:rsidRPr="00181D97">
        <w:rPr>
          <w:rFonts w:ascii="Times New Roman" w:hAnsi="Times New Roman" w:cs="Times New Roman"/>
          <w:sz w:val="20"/>
          <w:szCs w:val="20"/>
        </w:rPr>
        <w:t>III) complexes as therapeutic agents for cancer diseases. Chemical Society Reviews, 51(13), 5518–5556. https://doi.org/10.1039/D1CS00933H</w:t>
      </w:r>
    </w:p>
    <w:p w14:paraId="76265495" w14:textId="2AEA2A4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[152]</w:t>
      </w:r>
      <w:r w:rsidRPr="00181D97">
        <w:rPr>
          <w:rFonts w:ascii="Times New Roman" w:hAnsi="Times New Roman" w:cs="Times New Roman"/>
          <w:sz w:val="20"/>
          <w:szCs w:val="20"/>
        </w:rPr>
        <w:tab/>
      </w:r>
      <w:r w:rsidR="00EB306C" w:rsidRPr="00181D97">
        <w:rPr>
          <w:rFonts w:ascii="Times New Roman" w:hAnsi="Times New Roman" w:cs="Times New Roman"/>
          <w:sz w:val="20"/>
          <w:szCs w:val="20"/>
        </w:rPr>
        <w:t>Penninckx, S., Heuskin, A.-C., Michiels, C., &amp; Lucas, S. (2020). Gold Nanoparticles as a Potent Radiosensitizer: A Transdisciplinary Approach from Physics to Patient. Cancers, 12(8), 2021. https://doi.org/10.3390/cancers12082021</w:t>
      </w:r>
    </w:p>
    <w:p w14:paraId="3787DE40" w14:textId="2FF6ACF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[153]</w:t>
      </w:r>
      <w:r w:rsidRPr="00181D97">
        <w:rPr>
          <w:rFonts w:ascii="Times New Roman" w:hAnsi="Times New Roman" w:cs="Times New Roman"/>
          <w:sz w:val="20"/>
          <w:szCs w:val="20"/>
        </w:rPr>
        <w:tab/>
      </w:r>
      <w:r w:rsidR="00E8303E" w:rsidRPr="00181D97">
        <w:rPr>
          <w:rFonts w:ascii="Times New Roman" w:hAnsi="Times New Roman" w:cs="Times New Roman"/>
          <w:sz w:val="20"/>
          <w:szCs w:val="20"/>
        </w:rPr>
        <w:t>Du, Y., Xia, L., Jo, A., Davis, R. M., Bissel, P., Ehrich, M., &amp; Kingston, D. G. I. (2018). Synthesis and evaluation of doxorubicin-loaded gold nanoparticles for tumor-targeted drug delivery. Bioconjugate Chemistry, 29(2), 420–430. https://doi.org/10.1021/acs.bioconjchem.7b00756</w:t>
      </w:r>
    </w:p>
    <w:p w14:paraId="72661C7B" w14:textId="5EC4C0A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[154]</w:t>
      </w:r>
      <w:r w:rsidRPr="00181D97">
        <w:rPr>
          <w:rFonts w:ascii="Times New Roman" w:hAnsi="Times New Roman" w:cs="Times New Roman"/>
          <w:sz w:val="20"/>
          <w:szCs w:val="20"/>
        </w:rPr>
        <w:tab/>
      </w:r>
      <w:r w:rsidR="00427602" w:rsidRPr="00181D97">
        <w:rPr>
          <w:rFonts w:ascii="Times New Roman" w:hAnsi="Times New Roman" w:cs="Times New Roman"/>
          <w:sz w:val="20"/>
          <w:szCs w:val="20"/>
        </w:rPr>
        <w:t>Astolfi, P., Pisani, M., Giorgini, E., Rossi, B., Damin, A., Vita, F., Francescangeli, O., Luciani, L., &amp; Galassi, R. (2020). Synchrotron Characterization of Hexagonal and Cubic Lipidic Phases Loaded with Azolate/Phosphane Gold(I) Compounds: A New Approach to the Uploading of Gold(I)-Based Drugs. Nanomaterials. https://doi.org/10.3390/nano10091851</w:t>
      </w:r>
    </w:p>
    <w:p w14:paraId="525F95B7" w14:textId="6F2A762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[155]</w:t>
      </w:r>
      <w:r w:rsidRPr="00181D97">
        <w:rPr>
          <w:rFonts w:ascii="Times New Roman" w:hAnsi="Times New Roman" w:cs="Times New Roman"/>
          <w:sz w:val="20"/>
          <w:szCs w:val="20"/>
        </w:rPr>
        <w:tab/>
      </w:r>
      <w:r w:rsidR="00634A11" w:rsidRPr="00181D97">
        <w:rPr>
          <w:rFonts w:ascii="Times New Roman" w:hAnsi="Times New Roman" w:cs="Times New Roman"/>
          <w:sz w:val="20"/>
          <w:szCs w:val="20"/>
        </w:rPr>
        <w:t>Gambini, V., Tilio, M., Maina, E. W., Andreani, C., Bartolacci, C., Wang, J., Iezzi, M., Ferraro, S., Ramadori, A. T., Simon, O. C., Pucciarelli, S., Wu, G., Dou, Q. P., Marchini, C., Galassi, R., &amp; Amici, A. (2018). In vitro and in vivo studies of gold(I) azolate/phosphane complexes for the treatment of basal like breast cancer. European Journal of Medicinal Chemistry, 155, 418–427. https://doi.org/10.1016/j.ejmech.2018.06.002</w:t>
      </w:r>
    </w:p>
    <w:p w14:paraId="37FF7136" w14:textId="37EA54C8"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[156]</w:t>
      </w:r>
      <w:r w:rsidRPr="00181D97">
        <w:rPr>
          <w:rFonts w:ascii="Times New Roman" w:hAnsi="Times New Roman" w:cs="Times New Roman"/>
          <w:sz w:val="20"/>
          <w:szCs w:val="20"/>
        </w:rPr>
        <w:tab/>
      </w:r>
      <w:r w:rsidR="0060067B" w:rsidRPr="00181D97">
        <w:rPr>
          <w:rFonts w:ascii="Times New Roman" w:hAnsi="Times New Roman" w:cs="Times New Roman"/>
          <w:sz w:val="20"/>
          <w:szCs w:val="20"/>
        </w:rPr>
        <w:t>Xu, C.-C., Deng, T., Fan, M.-L., Lv, W.-B., Liu, J.-H., &amp; Yu, B.-Y. (2016). Synthesis and in vitro antitumor evaluation of dihydroartemisinin-cinnamic acid ester derivatives. European Journal of Medicinal Chemistry, 107, 192–203. https://doi.org/10.1016/j.ejmech.2015.11.003</w:t>
      </w:r>
    </w:p>
    <w:p w14:paraId="5DA6F563" w14:textId="095E735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[157]</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Scheffler, H., You, Y., &amp; Ott, I. (2010). Comparative studies on the cytotoxicity, cellular and nuclear uptake of a series of chloro gold(I) phosphine complexes. Polyhedron, 29, 66–69. https://doi.org/10.1016/j.poly.2009.06.007</w:t>
      </w:r>
    </w:p>
    <w:p w14:paraId="6920CFD2" w14:textId="26A94B8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[158]</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Reddy, V. G., Reddy, T. S., Privér, S. H., Bai, Y., Mishra, S., Wlodkowic, D., Mirzadeh, N., &amp; Bhargava, S. (2019). Synthesis of Gold(I) Complexes Containing Cinnamide: In Vitro Evaluation of Anticancer Activity in 2D and 3D Spheroidal Models of Melanoma and In Vivo Angiogenesis. Inorganic Chemistry, 58(9), 5988–5999. https://doi.org/10.1021/acs.inorgchem.9b00281</w:t>
      </w:r>
    </w:p>
    <w:p w14:paraId="2AD1AAF8" w14:textId="65DE978B"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[159]</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Ott, I. (2020). Metal N-heterocyclic carbene complexes in medicinal chemistry. In *Advances in Inorganic Chemistry* (pp. 121–148). Academic Press. https://doi.org/10.1016/bs.adioch.2019.10.008</w:t>
      </w:r>
    </w:p>
    <w:p w14:paraId="4898B35A" w14:textId="1CA843C7" w:rsidR="00D84361" w:rsidRPr="00181D97" w:rsidRDefault="00D84361" w:rsidP="00DD42E1">
      <w:pPr>
        <w:spacing w:after="0" w:line="240" w:lineRule="auto"/>
        <w:jc w:val="both"/>
        <w:rPr>
          <w:rFonts w:ascii="Times New Roman" w:hAnsi="Times New Roman" w:cs="Times New Roman"/>
          <w:color w:val="ACB9CA" w:themeColor="text2" w:themeTint="66"/>
          <w:sz w:val="20"/>
          <w:szCs w:val="20"/>
        </w:rPr>
      </w:pPr>
      <w:r w:rsidRPr="00181D97">
        <w:rPr>
          <w:rFonts w:ascii="Times New Roman" w:hAnsi="Times New Roman" w:cs="Times New Roman"/>
          <w:sz w:val="20"/>
          <w:szCs w:val="20"/>
        </w:rPr>
        <w:t>[160]</w:t>
      </w:r>
      <w:r w:rsidRPr="00181D97">
        <w:rPr>
          <w:rFonts w:ascii="Times New Roman" w:hAnsi="Times New Roman" w:cs="Times New Roman"/>
          <w:sz w:val="20"/>
          <w:szCs w:val="20"/>
        </w:rPr>
        <w:tab/>
      </w:r>
      <w:r w:rsidR="00E961E9" w:rsidRPr="00181D97">
        <w:rPr>
          <w:rFonts w:ascii="Times New Roman" w:hAnsi="Times New Roman" w:cs="Times New Roman"/>
          <w:sz w:val="20"/>
          <w:szCs w:val="20"/>
        </w:rPr>
        <w:t>Liu, W., &amp; Gust, R. (2016). Update on metal N-heterocyclic carbene complexes as potential anti-tumor metallodrugs. Coordination Chemistry Reviews, 329, 191–213. https://doi.org/10.1016/j.ccr.2016.09.004</w:t>
      </w:r>
    </w:p>
    <w:p w14:paraId="25255392" w14:textId="6950AEF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[161]</w:t>
      </w:r>
      <w:r w:rsidRPr="00181D97">
        <w:rPr>
          <w:rFonts w:ascii="Times New Roman" w:hAnsi="Times New Roman" w:cs="Times New Roman"/>
          <w:sz w:val="20"/>
          <w:szCs w:val="20"/>
        </w:rPr>
        <w:tab/>
      </w:r>
      <w:r w:rsidR="004821CC" w:rsidRPr="00181D97">
        <w:rPr>
          <w:rFonts w:ascii="Times New Roman" w:hAnsi="Times New Roman" w:cs="Times New Roman"/>
          <w:sz w:val="20"/>
          <w:szCs w:val="20"/>
        </w:rPr>
        <w:t>Bian, M., Fan, R., Jiang, G., Wang, Y., Lu, Y., &amp; Liu, W. (2020). Halo and pseudohalo gold(I)–NHC complexes derived from 4,5-diarylimidazoles with excellent in vitro and in vivo anticancer activities against HCC. Journal of Medicinal Chemistry, 63(17), 9197–9211. https://doi.org/10.1021/acs.jmedchem.0c00257</w:t>
      </w:r>
    </w:p>
    <w:p w14:paraId="2403D3A5" w14:textId="76234FC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[162]</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Walther, W., Althagafi, D., Curran, D., O’Beirne, C., Mc Carthy, C., Ott, I., Basu, U., Büttner, B., Sterner-Kock, A., Müller-Bunz, H., Sa´nchez-Sanz, G., Zhu, X., &amp; Tacke, M. (2020). In-vitro and in-vivo investigations into the carbene-gold anticancer drug </w:t>
      </w:r>
      <w:r w:rsidR="006E0282" w:rsidRPr="00181D97">
        <w:rPr>
          <w:rFonts w:ascii="Times New Roman" w:hAnsi="Times New Roman" w:cs="Times New Roman"/>
          <w:sz w:val="20"/>
          <w:szCs w:val="20"/>
        </w:rPr>
        <w:lastRenderedPageBreak/>
        <w:t>candidates NHC*-Au-SCSNMe2 and NHC*-Au-S-GLUC against advanced prostate cancer PC3. *Anticancer Drugs*, *31*(7), 672–683. https://doi.org/10.1097/CAD.0000000000000930</w:t>
      </w:r>
    </w:p>
    <w:p w14:paraId="41DB1EFB" w14:textId="77777777" w:rsidR="00D84361" w:rsidRPr="00181D97" w:rsidRDefault="00D84361" w:rsidP="00DD42E1">
      <w:pPr>
        <w:spacing w:after="0" w:line="240" w:lineRule="auto"/>
        <w:jc w:val="both"/>
        <w:rPr>
          <w:rFonts w:ascii="Times New Roman" w:hAnsi="Times New Roman" w:cs="Times New Roman"/>
          <w:sz w:val="20"/>
          <w:szCs w:val="20"/>
        </w:rPr>
      </w:pPr>
    </w:p>
    <w:p w14:paraId="0E406C50" w14:textId="3D9767D9"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[163]</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 xml:space="preserve">Guarra, F., Terenzi, A., Pirker, C., Passannante, R., Baier, D., Zangrando, E., Gómez-Vallejo, V., Biver, T., Gabbiani, C., Berger, W., Llop, J., &amp; Salassa, L. (2020). 124I Radiolabeling of </w:t>
      </w:r>
      <w:proofErr w:type="gramStart"/>
      <w:r w:rsidR="006E0282" w:rsidRPr="00181D97">
        <w:rPr>
          <w:rFonts w:ascii="Times New Roman" w:hAnsi="Times New Roman" w:cs="Times New Roman"/>
          <w:sz w:val="20"/>
          <w:szCs w:val="20"/>
        </w:rPr>
        <w:t>a</w:t>
      </w:r>
      <w:proofErr w:type="gramEnd"/>
      <w:r w:rsidR="006E0282" w:rsidRPr="00181D97">
        <w:rPr>
          <w:rFonts w:ascii="Times New Roman" w:hAnsi="Times New Roman" w:cs="Times New Roman"/>
          <w:sz w:val="20"/>
          <w:szCs w:val="20"/>
        </w:rPr>
        <w:t xml:space="preserve"> AuIII-NHC Complex for In Vivo Biodistribution Studies. Angewandte Chemie International Edition, 59(39), 17130–17136. https://doi.org/10.1002/anie.202008046</w:t>
      </w:r>
    </w:p>
    <w:p w14:paraId="5887E678" w14:textId="6DD083CF"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[164]</w:t>
      </w:r>
      <w:r w:rsidRPr="00181D97">
        <w:rPr>
          <w:rFonts w:ascii="Times New Roman" w:hAnsi="Times New Roman" w:cs="Times New Roman"/>
          <w:sz w:val="20"/>
          <w:szCs w:val="20"/>
        </w:rPr>
        <w:tab/>
      </w:r>
      <w:r w:rsidR="006E0282" w:rsidRPr="00181D97">
        <w:rPr>
          <w:rFonts w:ascii="Times New Roman" w:hAnsi="Times New Roman" w:cs="Times New Roman"/>
          <w:sz w:val="20"/>
          <w:szCs w:val="20"/>
        </w:rPr>
        <w:t>Wang, W., Zhang, X., Huang, R., Hirschbiegel, C.-M., Wang, H., Ding, Y., &amp; Rotello, V. M. (2021). In situ activation of therapeutics through bioorthogonal catalysis. Advanced Drug Delivery Reviews, 176, 113893. https://doi.org/10.1016/j.addr.2021.113893</w:t>
      </w:r>
    </w:p>
    <w:p w14:paraId="70A16647" w14:textId="6CDF911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[165]</w:t>
      </w:r>
      <w:r w:rsidRPr="00181D97">
        <w:rPr>
          <w:rFonts w:ascii="Times New Roman" w:hAnsi="Times New Roman" w:cs="Times New Roman"/>
          <w:sz w:val="20"/>
          <w:szCs w:val="20"/>
        </w:rPr>
        <w:tab/>
      </w:r>
      <w:r w:rsidR="00663D4C" w:rsidRPr="00181D97">
        <w:rPr>
          <w:rFonts w:ascii="Times New Roman" w:hAnsi="Times New Roman" w:cs="Times New Roman"/>
          <w:sz w:val="20"/>
          <w:szCs w:val="20"/>
        </w:rPr>
        <w:t>Long, Y., Cao, B., Xiong, X., Chan, A. S. C., Sun, R. W., &amp; Zou, T. (2021). Bioorthogonal activation of dual catalytic and anti‐cancer activities of organogold(I) Complexes in Living Systems. Angewandte Chemie International Edition, 60(8), 4133–4141. https://doi.org/10.1002/anie.202013366</w:t>
      </w:r>
    </w:p>
    <w:p w14:paraId="7ADDA614" w14:textId="27FB877C"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[166]</w:t>
      </w:r>
      <w:r w:rsidRPr="00181D97">
        <w:rPr>
          <w:rFonts w:ascii="Times New Roman" w:hAnsi="Times New Roman" w:cs="Times New Roman"/>
          <w:sz w:val="20"/>
          <w:szCs w:val="20"/>
        </w:rPr>
        <w:tab/>
      </w:r>
      <w:r w:rsidR="00243E44" w:rsidRPr="00181D97">
        <w:rPr>
          <w:rFonts w:ascii="Times New Roman" w:hAnsi="Times New Roman" w:cs="Times New Roman"/>
          <w:sz w:val="20"/>
          <w:szCs w:val="20"/>
        </w:rPr>
        <w:t>Landini, I., Lapucci, A., Pratesi, A., Massai, L., Napoli, C., Perrone, G., Pinzani, P., Messori, L., Mini, E., &amp; Nobili, S. (2017). Selection and characterization of a human ovarian cancer cell line resistant to auranofin. Oncotarget, 8, 96062–96078. https://doi.org/10.18632/oncotarget.21708</w:t>
      </w:r>
    </w:p>
    <w:p w14:paraId="243949E0" w14:textId="39839BB0"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[167]</w:t>
      </w:r>
      <w:r w:rsidRPr="00181D97">
        <w:rPr>
          <w:rFonts w:ascii="Times New Roman" w:hAnsi="Times New Roman" w:cs="Times New Roman"/>
          <w:sz w:val="20"/>
          <w:szCs w:val="20"/>
        </w:rPr>
        <w:tab/>
      </w:r>
      <w:r w:rsidR="001D09FB" w:rsidRPr="00181D97">
        <w:rPr>
          <w:rFonts w:ascii="Times New Roman" w:hAnsi="Times New Roman" w:cs="Times New Roman"/>
          <w:sz w:val="20"/>
          <w:szCs w:val="20"/>
        </w:rPr>
        <w:t>Reddy, T. S., Priv´er, S. H., Mirzadeh, N., &amp; Bhargava, S. K. (2017). Anti-cancer gold(I) phosphine complexes: Cyclic trimers and tetramers containing the P-Au-P moiety. Journal of Inorganic Biochemistry, 175, 1–8. https://doi.org/10.1016/j.jinorgbio.2017.06.010</w:t>
      </w:r>
    </w:p>
    <w:p w14:paraId="44D3CC8C" w14:textId="18FFF30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[168]</w:t>
      </w:r>
      <w:r w:rsidRPr="00181D97">
        <w:rPr>
          <w:rFonts w:ascii="Times New Roman" w:hAnsi="Times New Roman" w:cs="Times New Roman"/>
          <w:sz w:val="20"/>
          <w:szCs w:val="20"/>
        </w:rPr>
        <w:tab/>
      </w:r>
      <w:r w:rsidR="00D028DC" w:rsidRPr="00181D97">
        <w:rPr>
          <w:rFonts w:ascii="Times New Roman" w:hAnsi="Times New Roman" w:cs="Times New Roman"/>
          <w:sz w:val="20"/>
          <w:szCs w:val="20"/>
        </w:rPr>
        <w:t>Sze, J.H., Raninga, P.V., Nakamura, K., Casey, M., Khanna, K.K., Berners-Price, S.J., Di Trapani, G., &amp; Tonissen, K.F. (2020). Anticancer activity of a Gold(I) phosphine thioredoxin reductase inhibitor in multiple myeloma. Redox Biology. https://doi.org/10.1016/j.redox.2019.101310</w:t>
      </w:r>
    </w:p>
    <w:p w14:paraId="0C5AFD37" w14:textId="17AD13B2"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[169]</w:t>
      </w:r>
      <w:r w:rsidRPr="00181D97">
        <w:rPr>
          <w:rFonts w:ascii="Times New Roman" w:hAnsi="Times New Roman" w:cs="Times New Roman"/>
          <w:sz w:val="20"/>
          <w:szCs w:val="20"/>
        </w:rPr>
        <w:tab/>
      </w:r>
      <w:r w:rsidR="00552E43" w:rsidRPr="00181D97">
        <w:rPr>
          <w:rFonts w:ascii="Times New Roman" w:hAnsi="Times New Roman" w:cs="Times New Roman"/>
          <w:sz w:val="20"/>
          <w:szCs w:val="20"/>
        </w:rPr>
        <w:t>Ghante, M. H., &amp; Jamkhande, P. G. (2019). Role of pentacyclic triterpenoids in chemoprevention and anticancer treatment: An overview on targets and underling mechanisms. Journal of Pharmacopuncture, 22(2), 55–67. https://doi.org/10.3831/KPI.201.22.007</w:t>
      </w:r>
    </w:p>
    <w:p w14:paraId="19B0DF1B" w14:textId="79B6404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[170]</w:t>
      </w:r>
      <w:r w:rsidRPr="00181D97">
        <w:rPr>
          <w:rFonts w:ascii="Times New Roman" w:hAnsi="Times New Roman" w:cs="Times New Roman"/>
          <w:sz w:val="20"/>
          <w:szCs w:val="20"/>
        </w:rPr>
        <w:tab/>
      </w:r>
      <w:r w:rsidR="00BC4352" w:rsidRPr="00181D97">
        <w:rPr>
          <w:rFonts w:ascii="Times New Roman" w:hAnsi="Times New Roman" w:cs="Times New Roman"/>
          <w:sz w:val="20"/>
          <w:szCs w:val="20"/>
        </w:rPr>
        <w:t>Bian, M., Sun, Y., Liu, Y., Xu, Z., Fan, R., Liu, Z., &amp; Liu, W. (2020). A Gold(I) Complex Containing an Oleanolic Acid Derivative as a Potential Anti-Ovarian-Cancer Agent by Inhibiting TrxR and Activating ROS-Mediated ERS. Chem. – A Eur. J., 26(31), 7092–7108. https://doi.org/10.1002/chem.202000045</w:t>
      </w:r>
    </w:p>
    <w:p w14:paraId="316BC429" w14:textId="40104173"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[171]</w:t>
      </w:r>
      <w:r w:rsidRPr="00181D97">
        <w:rPr>
          <w:rFonts w:ascii="Times New Roman" w:hAnsi="Times New Roman" w:cs="Times New Roman"/>
          <w:sz w:val="20"/>
          <w:szCs w:val="20"/>
        </w:rPr>
        <w:tab/>
      </w:r>
      <w:r w:rsidR="00854234" w:rsidRPr="00181D97">
        <w:rPr>
          <w:rFonts w:ascii="Times New Roman" w:hAnsi="Times New Roman" w:cs="Times New Roman"/>
          <w:sz w:val="20"/>
          <w:szCs w:val="20"/>
        </w:rPr>
        <w:t xml:space="preserve">Bhattacharjee, T., Adhikari, S., Sheikh, A. H., Mahmoudi, G., Mlowe, S., Akerman, M. P., Choudhury, N. A., Chakraborty, S., Butcher, R. J., Kennedy, A. R., Demir, B. S., Örs, A., &amp; Saygideger, Y. (2022). Syntheses, crystal structures, theoretical studies, and anticancer properties of an unsymmetrical schiff base ligand N-2-(6- methylpyridyl)-2-hydroxy-1-naphthaldimine and its </w:t>
      </w:r>
      <w:proofErr w:type="gramStart"/>
      <w:r w:rsidR="00854234" w:rsidRPr="00181D97">
        <w:rPr>
          <w:rFonts w:ascii="Times New Roman" w:hAnsi="Times New Roman" w:cs="Times New Roman"/>
          <w:sz w:val="20"/>
          <w:szCs w:val="20"/>
        </w:rPr>
        <w:t>Ni(</w:t>
      </w:r>
      <w:proofErr w:type="gramEnd"/>
      <w:r w:rsidR="00854234" w:rsidRPr="00181D97">
        <w:rPr>
          <w:rFonts w:ascii="Times New Roman" w:hAnsi="Times New Roman" w:cs="Times New Roman"/>
          <w:sz w:val="20"/>
          <w:szCs w:val="20"/>
        </w:rPr>
        <w:t>II) complex. *Journal of Molecular Structure*, *1269*, 133717. https://doi.org/10.1016/j.molstruc.2022.133717</w:t>
      </w:r>
    </w:p>
    <w:p w14:paraId="0E5118F6" w14:textId="1D86C33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[172]</w:t>
      </w:r>
      <w:r w:rsidRPr="00181D97">
        <w:rPr>
          <w:rFonts w:ascii="Times New Roman" w:hAnsi="Times New Roman" w:cs="Times New Roman"/>
          <w:sz w:val="20"/>
          <w:szCs w:val="20"/>
        </w:rPr>
        <w:tab/>
      </w:r>
      <w:r w:rsidR="00A6136A" w:rsidRPr="00181D97">
        <w:rPr>
          <w:rFonts w:ascii="Times New Roman" w:hAnsi="Times New Roman" w:cs="Times New Roman"/>
          <w:sz w:val="20"/>
          <w:szCs w:val="20"/>
        </w:rPr>
        <w:t xml:space="preserve">Sankarganesh, M., Raja, J. D., Revathi, N., Solomon, R. V., &amp; Kumar, R. S. (2019). </w:t>
      </w:r>
      <w:proofErr w:type="gramStart"/>
      <w:r w:rsidR="00A6136A" w:rsidRPr="00181D97">
        <w:rPr>
          <w:rFonts w:ascii="Times New Roman" w:hAnsi="Times New Roman" w:cs="Times New Roman"/>
          <w:sz w:val="20"/>
          <w:szCs w:val="20"/>
        </w:rPr>
        <w:t>Gold(</w:t>
      </w:r>
      <w:proofErr w:type="gramEnd"/>
      <w:r w:rsidR="00A6136A" w:rsidRPr="00181D97">
        <w:rPr>
          <w:rFonts w:ascii="Times New Roman" w:hAnsi="Times New Roman" w:cs="Times New Roman"/>
          <w:sz w:val="20"/>
          <w:szCs w:val="20"/>
        </w:rPr>
        <w:t>III) complex from pyrimidine and morpholine analogue Schiff base ligand: Synthesis, characterization, DFT, TDDFT, catalytic, anticancer, molecular modeling with DNA and BSA and DNA binding studies. Journal of Molecular Liquids, 294, 111655. https://doi.org/10.1016/j.molliq.2019.111655</w:t>
      </w:r>
    </w:p>
    <w:p w14:paraId="58375475" w14:textId="59F343C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[173]</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Yun, D., Yoon, S. Y., Park, S. J., &amp; Park, Y. J. (2021). The anticancer effect of natural plant alkaloid isoquinolines. International Journal of Molecular Sciences, 22(4), 1653. https://doi.org/10.3390/ijms22041653</w:t>
      </w:r>
    </w:p>
    <w:p w14:paraId="5DAFE418" w14:textId="256551B5"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[174]</w:t>
      </w:r>
      <w:r w:rsidRPr="00181D97">
        <w:rPr>
          <w:rFonts w:ascii="Times New Roman" w:hAnsi="Times New Roman" w:cs="Times New Roman"/>
          <w:sz w:val="20"/>
          <w:szCs w:val="20"/>
        </w:rPr>
        <w:tab/>
      </w:r>
      <w:r w:rsidR="00964F63" w:rsidRPr="00181D97">
        <w:rPr>
          <w:rFonts w:ascii="Times New Roman" w:hAnsi="Times New Roman" w:cs="Times New Roman"/>
          <w:sz w:val="20"/>
          <w:szCs w:val="20"/>
        </w:rPr>
        <w:t xml:space="preserve">Khan, T.-M., Gul, N.S., Lu, X., Wei, J.-H., Liu, Y.-C., Sun, H., Liang, H., Orvig, C., &amp; Chen, Z.-F. (2019). In vitro and in vivo anti-tumor activity of two </w:t>
      </w:r>
      <w:proofErr w:type="gramStart"/>
      <w:r w:rsidR="00964F63" w:rsidRPr="00181D97">
        <w:rPr>
          <w:rFonts w:ascii="Times New Roman" w:hAnsi="Times New Roman" w:cs="Times New Roman"/>
          <w:sz w:val="20"/>
          <w:szCs w:val="20"/>
        </w:rPr>
        <w:t>gold(</w:t>
      </w:r>
      <w:proofErr w:type="gramEnd"/>
      <w:r w:rsidR="00964F63" w:rsidRPr="00181D97">
        <w:rPr>
          <w:rFonts w:ascii="Times New Roman" w:hAnsi="Times New Roman" w:cs="Times New Roman"/>
          <w:sz w:val="20"/>
          <w:szCs w:val="20"/>
        </w:rPr>
        <w:t>III) complexes with isoquinoline derivatives as ligands. Eur. J. Med. Chem., 163, 333–343. https://doi.org/10.1016/j.ejmech.2018.11.047</w:t>
      </w:r>
    </w:p>
    <w:p w14:paraId="3FCE5385" w14:textId="5381E0F4"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[175]</w:t>
      </w:r>
      <w:r w:rsidRPr="00181D97">
        <w:rPr>
          <w:rFonts w:ascii="Times New Roman" w:hAnsi="Times New Roman" w:cs="Times New Roman"/>
          <w:sz w:val="20"/>
          <w:szCs w:val="20"/>
        </w:rPr>
        <w:tab/>
      </w:r>
      <w:r w:rsidR="00CE71E5" w:rsidRPr="00181D97">
        <w:rPr>
          <w:rFonts w:ascii="Times New Roman" w:hAnsi="Times New Roman" w:cs="Times New Roman"/>
          <w:sz w:val="20"/>
          <w:szCs w:val="20"/>
        </w:rPr>
        <w:t xml:space="preserve">Reddy, T. S., Prive´r, S. H., Mirzadeh, N., Luwor, R. B., Reddy, V. G., Ramesan, S., &amp; Bhargava, S. K. (2020). Antitumor and antiangiogenic properties of </w:t>
      </w:r>
      <w:proofErr w:type="gramStart"/>
      <w:r w:rsidR="00CE71E5" w:rsidRPr="00181D97">
        <w:rPr>
          <w:rFonts w:ascii="Times New Roman" w:hAnsi="Times New Roman" w:cs="Times New Roman"/>
          <w:sz w:val="20"/>
          <w:szCs w:val="20"/>
        </w:rPr>
        <w:t>gold(</w:t>
      </w:r>
      <w:proofErr w:type="gramEnd"/>
      <w:r w:rsidR="00CE71E5" w:rsidRPr="00181D97">
        <w:rPr>
          <w:rFonts w:ascii="Times New Roman" w:hAnsi="Times New Roman" w:cs="Times New Roman"/>
          <w:sz w:val="20"/>
          <w:szCs w:val="20"/>
        </w:rPr>
        <w:t>III) complexes containing cycloaurated triphenylphosphine sulfide ligands. *Inorganic Chemistry*, *59*(8), 5662–5673. https://doi.org/10.1021/acs.inorgchem.0c00423</w:t>
      </w:r>
    </w:p>
    <w:p w14:paraId="6966F73F" w14:textId="5D928A4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[176]</w:t>
      </w:r>
      <w:r w:rsidRPr="00181D97">
        <w:rPr>
          <w:rFonts w:ascii="Times New Roman" w:hAnsi="Times New Roman" w:cs="Times New Roman"/>
          <w:sz w:val="20"/>
          <w:szCs w:val="20"/>
        </w:rPr>
        <w:tab/>
      </w:r>
      <w:r w:rsidR="006568B7" w:rsidRPr="00181D97">
        <w:rPr>
          <w:rFonts w:ascii="Times New Roman" w:hAnsi="Times New Roman" w:cs="Times New Roman"/>
          <w:sz w:val="20"/>
          <w:szCs w:val="20"/>
        </w:rPr>
        <w:t>Mirzadeh, N., Telukutla, S. R., Luwor, R., Privér, S., Velma, G. R., Jakku, R. K., Andrew N, S., Plebanski, M., Christian, H., &amp; Bhargava, S. (2021). Dinuclear orthometallated gold(I)-</w:t>
      </w:r>
      <w:proofErr w:type="gramStart"/>
      <w:r w:rsidR="006568B7" w:rsidRPr="00181D97">
        <w:rPr>
          <w:rFonts w:ascii="Times New Roman" w:hAnsi="Times New Roman" w:cs="Times New Roman"/>
          <w:sz w:val="20"/>
          <w:szCs w:val="20"/>
        </w:rPr>
        <w:t>gold(</w:t>
      </w:r>
      <w:proofErr w:type="gramEnd"/>
      <w:r w:rsidR="006568B7" w:rsidRPr="00181D97">
        <w:rPr>
          <w:rFonts w:ascii="Times New Roman" w:hAnsi="Times New Roman" w:cs="Times New Roman"/>
          <w:sz w:val="20"/>
          <w:szCs w:val="20"/>
        </w:rPr>
        <w:t>III) anticancer complexes with potent in vivo activity through an ROS-dependent mechanism. Metallomics, 13. https://doi.org/10.1093/mtomcs/mfab039</w:t>
      </w:r>
    </w:p>
    <w:p w14:paraId="2E28153D" w14:textId="7CC233B6"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[177]</w:t>
      </w:r>
      <w:r w:rsidRPr="00181D97">
        <w:rPr>
          <w:rFonts w:ascii="Times New Roman" w:hAnsi="Times New Roman" w:cs="Times New Roman"/>
          <w:sz w:val="20"/>
          <w:szCs w:val="20"/>
        </w:rPr>
        <w:tab/>
      </w:r>
      <w:r w:rsidR="008E007B" w:rsidRPr="00181D97">
        <w:rPr>
          <w:rFonts w:ascii="Times New Roman" w:hAnsi="Times New Roman" w:cs="Times New Roman"/>
          <w:sz w:val="20"/>
          <w:szCs w:val="20"/>
        </w:rPr>
        <w:t>Kim, J. H., Ofori, S., Parkin, S., Vekaria, H., Sullivan, P. G., &amp; Awuah, S. G. (2021). Anticancer gold(iii)-bisphosphine complex alters the mitochondrial electron transport chain to induce in vivo tumor inhibition. Chemical Science, 12, 7467–7479. https://doi.org/10.1039/D1SC01418H</w:t>
      </w:r>
    </w:p>
    <w:p w14:paraId="52C38779" w14:textId="79B52FFD"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[178]</w:t>
      </w:r>
      <w:r w:rsidRPr="00181D97">
        <w:rPr>
          <w:rFonts w:ascii="Times New Roman" w:hAnsi="Times New Roman" w:cs="Times New Roman"/>
          <w:sz w:val="20"/>
          <w:szCs w:val="20"/>
        </w:rPr>
        <w:tab/>
      </w:r>
      <w:r w:rsidR="009E04F3" w:rsidRPr="00181D97">
        <w:rPr>
          <w:rFonts w:ascii="Times New Roman" w:hAnsi="Times New Roman" w:cs="Times New Roman"/>
          <w:sz w:val="20"/>
          <w:szCs w:val="20"/>
        </w:rPr>
        <w:t>Arojojoye, A. S., Kim, J. H., Olelewe, C., Parkin, S., &amp; Awuah, S. G. (2022). Chiral gold(iii) complexes: speciation, in vitro, and in vivo anticancer profile. Chemical Communications, 58(73), 10237–10240. https://doi.org/10.1039/D2CC03081K</w:t>
      </w:r>
    </w:p>
    <w:p w14:paraId="3230FD48" w14:textId="72191A61"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[179]</w:t>
      </w:r>
      <w:r w:rsidRPr="00181D97">
        <w:rPr>
          <w:rFonts w:ascii="Times New Roman" w:hAnsi="Times New Roman" w:cs="Times New Roman"/>
          <w:sz w:val="20"/>
          <w:szCs w:val="20"/>
        </w:rPr>
        <w:tab/>
      </w:r>
      <w:r w:rsidR="00744467" w:rsidRPr="00181D97">
        <w:rPr>
          <w:rFonts w:ascii="Times New Roman" w:hAnsi="Times New Roman" w:cs="Times New Roman"/>
          <w:sz w:val="20"/>
          <w:szCs w:val="20"/>
        </w:rPr>
        <w:t>Umair, M., &amp; Alfadhel, M. (2019). Genetic Disorders Associated with Metal Metabolism. Cells, 8(12), 1598. https://doi.org/10.3390/cells8121598</w:t>
      </w:r>
    </w:p>
    <w:p w14:paraId="1C718235" w14:textId="4D49CFFA" w:rsidR="00D84361" w:rsidRPr="00181D97"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[180]</w:t>
      </w:r>
      <w:r w:rsidRPr="00181D97">
        <w:rPr>
          <w:rFonts w:ascii="Times New Roman" w:hAnsi="Times New Roman" w:cs="Times New Roman"/>
          <w:sz w:val="20"/>
          <w:szCs w:val="20"/>
        </w:rPr>
        <w:tab/>
      </w:r>
      <w:r w:rsidR="005E5847" w:rsidRPr="00181D97">
        <w:rPr>
          <w:rFonts w:ascii="Times New Roman" w:hAnsi="Times New Roman" w:cs="Times New Roman"/>
          <w:sz w:val="20"/>
          <w:szCs w:val="20"/>
        </w:rPr>
        <w:t>Chen, X., Yu, C., Kang, R., &amp; Tang, D. (2020). Iron metabolism in ferroptosis. Frontiers in Cell and Developmental Biology, 8. https://doi.org/10.3389/fcell.2020.590226</w:t>
      </w:r>
    </w:p>
    <w:p w14:paraId="55A9DEBF" w14:textId="5C2F206E" w:rsidR="00D84361" w:rsidRPr="0076398E" w:rsidRDefault="00D84361" w:rsidP="00DD42E1">
      <w:pPr>
        <w:spacing w:after="0" w:line="240" w:lineRule="auto"/>
        <w:jc w:val="both"/>
        <w:rPr>
          <w:rFonts w:ascii="Times New Roman" w:hAnsi="Times New Roman" w:cs="Times New Roman"/>
          <w:sz w:val="20"/>
          <w:szCs w:val="20"/>
        </w:rPr>
      </w:pPr>
      <w:r w:rsidRPr="00181D97">
        <w:rPr>
          <w:rFonts w:ascii="Times New Roman" w:hAnsi="Times New Roman" w:cs="Times New Roman"/>
          <w:sz w:val="20"/>
          <w:szCs w:val="20"/>
        </w:rPr>
        <w:t>[18</w:t>
      </w:r>
      <w:r w:rsidR="000C2C36" w:rsidRPr="00181D97">
        <w:rPr>
          <w:rFonts w:ascii="Times New Roman" w:hAnsi="Times New Roman" w:cs="Times New Roman"/>
          <w:sz w:val="20"/>
          <w:szCs w:val="20"/>
        </w:rPr>
        <w:t>1</w:t>
      </w:r>
      <w:r w:rsidRPr="00181D97">
        <w:rPr>
          <w:rFonts w:ascii="Times New Roman" w:hAnsi="Times New Roman" w:cs="Times New Roman"/>
          <w:sz w:val="20"/>
          <w:szCs w:val="20"/>
        </w:rPr>
        <w:t>]</w:t>
      </w:r>
      <w:r w:rsidRPr="00181D97">
        <w:rPr>
          <w:rFonts w:ascii="Times New Roman" w:hAnsi="Times New Roman" w:cs="Times New Roman"/>
          <w:sz w:val="20"/>
          <w:szCs w:val="20"/>
        </w:rPr>
        <w:tab/>
      </w:r>
      <w:r w:rsidR="00B044A1" w:rsidRPr="00181D97">
        <w:rPr>
          <w:rFonts w:ascii="Times New Roman" w:hAnsi="Times New Roman" w:cs="Times New Roman"/>
          <w:sz w:val="20"/>
          <w:szCs w:val="20"/>
        </w:rPr>
        <w:t>Ji, P., Wang, P., Chen, H., Xu, Y., Ge, J., Tian, Z., &amp; Yan, Z. (2023). Potential of copper and copper compounds for anticancer applications. Pharmaceuticals, 16(2), 234. https://doi.org/10.3390/ph16020234</w:t>
      </w:r>
    </w:p>
    <w:p w14:paraId="21F36F10" w14:textId="77777777" w:rsidR="00D84361" w:rsidRPr="00C311FC" w:rsidRDefault="00D84361" w:rsidP="00D84361">
      <w:pPr>
        <w:spacing w:after="0"/>
        <w:rPr>
          <w:rFonts w:ascii="Times New Roman" w:hAnsi="Times New Roman" w:cs="Times New Roman"/>
          <w:sz w:val="20"/>
          <w:szCs w:val="20"/>
        </w:rPr>
      </w:pPr>
    </w:p>
    <w:p w14:paraId="47CC70CF" w14:textId="77777777" w:rsidR="00550FF4" w:rsidRDefault="00550FF4" w:rsidP="00D84361">
      <w:pPr>
        <w:spacing w:after="0"/>
        <w:jc w:val="both"/>
        <w:rPr>
          <w:rFonts w:ascii="Times New Roman" w:hAnsi="Times New Roman" w:cs="Times New Roman"/>
          <w:sz w:val="20"/>
          <w:szCs w:val="20"/>
        </w:rPr>
        <w:sectPr w:rsidR="00550FF4" w:rsidSect="00722BD5">
          <w:type w:val="continuous"/>
          <w:pgSz w:w="12240" w:h="15840"/>
          <w:pgMar w:top="720" w:right="720" w:bottom="720" w:left="720" w:header="720" w:footer="720" w:gutter="0"/>
          <w:cols w:space="720"/>
          <w:titlePg/>
          <w:docGrid w:linePitch="360"/>
        </w:sectPr>
      </w:pPr>
    </w:p>
    <w:p w14:paraId="6F3E75E6" w14:textId="77777777" w:rsidR="004819AC" w:rsidRPr="009B6FF4" w:rsidRDefault="004819AC" w:rsidP="00D84361">
      <w:pPr>
        <w:spacing w:after="0"/>
        <w:jc w:val="both"/>
        <w:rPr>
          <w:rFonts w:ascii="Times New Roman" w:hAnsi="Times New Roman" w:cs="Times New Roman"/>
          <w:sz w:val="20"/>
          <w:szCs w:val="20"/>
        </w:rPr>
      </w:pPr>
    </w:p>
    <w:p w14:paraId="12077973" w14:textId="77777777" w:rsidR="006E62E9" w:rsidRPr="0076398E" w:rsidRDefault="006E62E9" w:rsidP="00D84361">
      <w:pPr>
        <w:spacing w:after="0"/>
        <w:jc w:val="both"/>
        <w:rPr>
          <w:rFonts w:ascii="Times New Roman" w:hAnsi="Times New Roman" w:cs="Times New Roman"/>
          <w:sz w:val="20"/>
          <w:szCs w:val="20"/>
        </w:rPr>
      </w:pPr>
    </w:p>
    <w:sectPr w:rsidR="006E62E9" w:rsidRPr="0076398E" w:rsidSect="00722BD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4234" w14:textId="77777777" w:rsidR="005E26B7" w:rsidRDefault="005E26B7" w:rsidP="00315872">
      <w:pPr>
        <w:spacing w:after="0" w:line="240" w:lineRule="auto"/>
      </w:pPr>
      <w:r>
        <w:separator/>
      </w:r>
    </w:p>
  </w:endnote>
  <w:endnote w:type="continuationSeparator" w:id="0">
    <w:p w14:paraId="422DD1D6" w14:textId="77777777" w:rsidR="005E26B7" w:rsidRDefault="005E26B7" w:rsidP="0031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1E1C" w14:textId="77777777" w:rsidR="0021766C" w:rsidRDefault="00217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BEFD" w14:textId="77777777" w:rsidR="0021766C" w:rsidRDefault="00217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38E9" w14:textId="77777777" w:rsidR="0021766C" w:rsidRDefault="0021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4585" w14:textId="77777777" w:rsidR="005E26B7" w:rsidRDefault="005E26B7" w:rsidP="00315872">
      <w:pPr>
        <w:spacing w:after="0" w:line="240" w:lineRule="auto"/>
      </w:pPr>
      <w:r>
        <w:separator/>
      </w:r>
    </w:p>
  </w:footnote>
  <w:footnote w:type="continuationSeparator" w:id="0">
    <w:p w14:paraId="151E1453" w14:textId="77777777" w:rsidR="005E26B7" w:rsidRDefault="005E26B7" w:rsidP="00315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6049B" w14:textId="6690632A" w:rsidR="0021766C" w:rsidRDefault="0021766C">
    <w:pPr>
      <w:pStyle w:val="Header"/>
    </w:pPr>
    <w:r>
      <w:rPr>
        <w:noProof/>
      </w:rPr>
      <w:pict w14:anchorId="31CED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4"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10D7" w14:textId="0B8D48A0" w:rsidR="0021766C" w:rsidRDefault="0021766C">
    <w:pPr>
      <w:pStyle w:val="Header"/>
    </w:pPr>
    <w:r>
      <w:rPr>
        <w:noProof/>
      </w:rPr>
      <w:pict w14:anchorId="14AB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5"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9A293" w14:textId="07DEE342" w:rsidR="0021766C" w:rsidRDefault="0021766C">
    <w:pPr>
      <w:pStyle w:val="Header"/>
    </w:pPr>
    <w:r>
      <w:rPr>
        <w:noProof/>
      </w:rPr>
      <w:pict w14:anchorId="0A1FF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25093"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81E8D"/>
    <w:multiLevelType w:val="hybridMultilevel"/>
    <w:tmpl w:val="238630D0"/>
    <w:lvl w:ilvl="0" w:tplc="B91E5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A03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843380"/>
    <w:multiLevelType w:val="multilevel"/>
    <w:tmpl w:val="F10024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625365"/>
    <w:multiLevelType w:val="multilevel"/>
    <w:tmpl w:val="FBCA36C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ytbAwMzIztgQS5ko6SsGpxcWZ+XkgBYa1AM4939IsAAAA"/>
  </w:docVars>
  <w:rsids>
    <w:rsidRoot w:val="007F66D2"/>
    <w:rsid w:val="0002571F"/>
    <w:rsid w:val="000604D2"/>
    <w:rsid w:val="00064867"/>
    <w:rsid w:val="00072630"/>
    <w:rsid w:val="000C2C36"/>
    <w:rsid w:val="000D2BA4"/>
    <w:rsid w:val="000F799A"/>
    <w:rsid w:val="00127096"/>
    <w:rsid w:val="00163E6E"/>
    <w:rsid w:val="00166B8A"/>
    <w:rsid w:val="001802A8"/>
    <w:rsid w:val="00181D97"/>
    <w:rsid w:val="00196DF9"/>
    <w:rsid w:val="00197814"/>
    <w:rsid w:val="001B46DF"/>
    <w:rsid w:val="001C33DB"/>
    <w:rsid w:val="001D09FB"/>
    <w:rsid w:val="001D24C7"/>
    <w:rsid w:val="0021766C"/>
    <w:rsid w:val="00221060"/>
    <w:rsid w:val="002243CA"/>
    <w:rsid w:val="00243E44"/>
    <w:rsid w:val="00246872"/>
    <w:rsid w:val="00247646"/>
    <w:rsid w:val="002B54E9"/>
    <w:rsid w:val="002C248C"/>
    <w:rsid w:val="002D465D"/>
    <w:rsid w:val="002D7399"/>
    <w:rsid w:val="002E6724"/>
    <w:rsid w:val="002F1DE4"/>
    <w:rsid w:val="002F4108"/>
    <w:rsid w:val="002F7D04"/>
    <w:rsid w:val="00305C7F"/>
    <w:rsid w:val="003077FD"/>
    <w:rsid w:val="00315872"/>
    <w:rsid w:val="00336F3F"/>
    <w:rsid w:val="00372288"/>
    <w:rsid w:val="0038022A"/>
    <w:rsid w:val="0038699A"/>
    <w:rsid w:val="00386BDA"/>
    <w:rsid w:val="0038755D"/>
    <w:rsid w:val="00393F08"/>
    <w:rsid w:val="003D275C"/>
    <w:rsid w:val="003D3D2B"/>
    <w:rsid w:val="003E60E6"/>
    <w:rsid w:val="003F3E58"/>
    <w:rsid w:val="00427602"/>
    <w:rsid w:val="004402D6"/>
    <w:rsid w:val="00460B85"/>
    <w:rsid w:val="00467B79"/>
    <w:rsid w:val="004819AC"/>
    <w:rsid w:val="004821CC"/>
    <w:rsid w:val="0048293D"/>
    <w:rsid w:val="00485860"/>
    <w:rsid w:val="00493E31"/>
    <w:rsid w:val="004D374B"/>
    <w:rsid w:val="004D7801"/>
    <w:rsid w:val="004E34B2"/>
    <w:rsid w:val="005069DC"/>
    <w:rsid w:val="00506CAC"/>
    <w:rsid w:val="0053400A"/>
    <w:rsid w:val="00550FF4"/>
    <w:rsid w:val="00552CDD"/>
    <w:rsid w:val="00552E43"/>
    <w:rsid w:val="005625DE"/>
    <w:rsid w:val="00587E57"/>
    <w:rsid w:val="005D3621"/>
    <w:rsid w:val="005E26B7"/>
    <w:rsid w:val="005E5847"/>
    <w:rsid w:val="005F7231"/>
    <w:rsid w:val="0060067B"/>
    <w:rsid w:val="006068EC"/>
    <w:rsid w:val="006259DA"/>
    <w:rsid w:val="00634A11"/>
    <w:rsid w:val="006400E5"/>
    <w:rsid w:val="00650839"/>
    <w:rsid w:val="006568B7"/>
    <w:rsid w:val="00663D4C"/>
    <w:rsid w:val="00672F1D"/>
    <w:rsid w:val="00674165"/>
    <w:rsid w:val="006833F0"/>
    <w:rsid w:val="006960F2"/>
    <w:rsid w:val="006A59EF"/>
    <w:rsid w:val="006B73DB"/>
    <w:rsid w:val="006D69E2"/>
    <w:rsid w:val="006D6C1F"/>
    <w:rsid w:val="006E0282"/>
    <w:rsid w:val="006E62E9"/>
    <w:rsid w:val="006F3CA9"/>
    <w:rsid w:val="00701CE4"/>
    <w:rsid w:val="00722BD5"/>
    <w:rsid w:val="00731BA5"/>
    <w:rsid w:val="007341F3"/>
    <w:rsid w:val="00744467"/>
    <w:rsid w:val="00753439"/>
    <w:rsid w:val="0076398E"/>
    <w:rsid w:val="00767565"/>
    <w:rsid w:val="00780C3E"/>
    <w:rsid w:val="007810EA"/>
    <w:rsid w:val="007932DB"/>
    <w:rsid w:val="007B0320"/>
    <w:rsid w:val="007B11B8"/>
    <w:rsid w:val="007D23B0"/>
    <w:rsid w:val="007F05B5"/>
    <w:rsid w:val="007F4EA0"/>
    <w:rsid w:val="007F5901"/>
    <w:rsid w:val="007F66D2"/>
    <w:rsid w:val="00815DC3"/>
    <w:rsid w:val="008232D6"/>
    <w:rsid w:val="008351CA"/>
    <w:rsid w:val="008432F8"/>
    <w:rsid w:val="008503B8"/>
    <w:rsid w:val="00854234"/>
    <w:rsid w:val="00865B77"/>
    <w:rsid w:val="008B3A62"/>
    <w:rsid w:val="008B5058"/>
    <w:rsid w:val="008D5E8E"/>
    <w:rsid w:val="008D6655"/>
    <w:rsid w:val="008E007B"/>
    <w:rsid w:val="008F5E52"/>
    <w:rsid w:val="00941BB3"/>
    <w:rsid w:val="00954398"/>
    <w:rsid w:val="0095751B"/>
    <w:rsid w:val="00964F63"/>
    <w:rsid w:val="00967097"/>
    <w:rsid w:val="00967191"/>
    <w:rsid w:val="00977BFC"/>
    <w:rsid w:val="00997E9F"/>
    <w:rsid w:val="009A0918"/>
    <w:rsid w:val="009B6FF4"/>
    <w:rsid w:val="009C30A1"/>
    <w:rsid w:val="009D408A"/>
    <w:rsid w:val="009D6A05"/>
    <w:rsid w:val="009E04F3"/>
    <w:rsid w:val="009E1B0E"/>
    <w:rsid w:val="009E69FD"/>
    <w:rsid w:val="00A1407A"/>
    <w:rsid w:val="00A26951"/>
    <w:rsid w:val="00A33CAE"/>
    <w:rsid w:val="00A43C43"/>
    <w:rsid w:val="00A47456"/>
    <w:rsid w:val="00A6136A"/>
    <w:rsid w:val="00A77970"/>
    <w:rsid w:val="00A960C7"/>
    <w:rsid w:val="00AB5439"/>
    <w:rsid w:val="00AE55A5"/>
    <w:rsid w:val="00B04283"/>
    <w:rsid w:val="00B044A1"/>
    <w:rsid w:val="00B10C9D"/>
    <w:rsid w:val="00B24093"/>
    <w:rsid w:val="00B7149C"/>
    <w:rsid w:val="00B7794F"/>
    <w:rsid w:val="00B81842"/>
    <w:rsid w:val="00B81D63"/>
    <w:rsid w:val="00BA6DC2"/>
    <w:rsid w:val="00BC4352"/>
    <w:rsid w:val="00BC4356"/>
    <w:rsid w:val="00BD0548"/>
    <w:rsid w:val="00BF38DA"/>
    <w:rsid w:val="00C02E90"/>
    <w:rsid w:val="00C17DB8"/>
    <w:rsid w:val="00C311FC"/>
    <w:rsid w:val="00C870C4"/>
    <w:rsid w:val="00CE51E7"/>
    <w:rsid w:val="00CE71E5"/>
    <w:rsid w:val="00D028DC"/>
    <w:rsid w:val="00D02AEA"/>
    <w:rsid w:val="00D14DB9"/>
    <w:rsid w:val="00D319DA"/>
    <w:rsid w:val="00D35A29"/>
    <w:rsid w:val="00D733CA"/>
    <w:rsid w:val="00D74DA7"/>
    <w:rsid w:val="00D84361"/>
    <w:rsid w:val="00DA3194"/>
    <w:rsid w:val="00DC6041"/>
    <w:rsid w:val="00DD42E1"/>
    <w:rsid w:val="00E339B5"/>
    <w:rsid w:val="00E725FB"/>
    <w:rsid w:val="00E73D0B"/>
    <w:rsid w:val="00E8303E"/>
    <w:rsid w:val="00E961E9"/>
    <w:rsid w:val="00EB306C"/>
    <w:rsid w:val="00EB332E"/>
    <w:rsid w:val="00EB56C4"/>
    <w:rsid w:val="00F073E0"/>
    <w:rsid w:val="00F07C23"/>
    <w:rsid w:val="00F22055"/>
    <w:rsid w:val="00F220CC"/>
    <w:rsid w:val="00F26E9D"/>
    <w:rsid w:val="00F30007"/>
    <w:rsid w:val="00F35391"/>
    <w:rsid w:val="00F42811"/>
    <w:rsid w:val="00F42A23"/>
    <w:rsid w:val="00F472E1"/>
    <w:rsid w:val="00F51B8D"/>
    <w:rsid w:val="00F62B78"/>
    <w:rsid w:val="00F8253F"/>
    <w:rsid w:val="00FB6565"/>
    <w:rsid w:val="00FC0524"/>
    <w:rsid w:val="00FC3579"/>
    <w:rsid w:val="00FD265F"/>
    <w:rsid w:val="00FE2C66"/>
    <w:rsid w:val="00FE5FC1"/>
    <w:rsid w:val="00FF1E0D"/>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617FC"/>
  <w15:chartTrackingRefBased/>
  <w15:docId w15:val="{27E442CB-3BE6-4D78-B789-07AC0611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6D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2E9"/>
    <w:pPr>
      <w:ind w:left="720"/>
      <w:contextualSpacing/>
    </w:pPr>
  </w:style>
  <w:style w:type="character" w:styleId="Hyperlink">
    <w:name w:val="Hyperlink"/>
    <w:basedOn w:val="DefaultParagraphFont"/>
    <w:uiPriority w:val="99"/>
    <w:unhideWhenUsed/>
    <w:rsid w:val="00D84361"/>
    <w:rPr>
      <w:color w:val="0563C1" w:themeColor="hyperlink"/>
      <w:u w:val="single"/>
    </w:rPr>
  </w:style>
  <w:style w:type="paragraph" w:customStyle="1" w:styleId="04Affiliation">
    <w:name w:val="04_Affiliation"/>
    <w:basedOn w:val="Normal"/>
    <w:qFormat/>
    <w:rsid w:val="00315872"/>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315872"/>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07AbatractContent">
    <w:name w:val="07_AbatractContent"/>
    <w:basedOn w:val="Normal"/>
    <w:qFormat/>
    <w:rsid w:val="00315872"/>
    <w:pPr>
      <w:widowControl w:val="0"/>
      <w:suppressAutoHyphens/>
      <w:adjustRightInd w:val="0"/>
      <w:snapToGrid w:val="0"/>
      <w:spacing w:after="0" w:line="264" w:lineRule="auto"/>
      <w:jc w:val="both"/>
    </w:pPr>
    <w:rPr>
      <w:rFonts w:ascii="Times New Roman" w:eastAsia="Times New Roman" w:hAnsi="Times New Roman"/>
      <w:kern w:val="2"/>
      <w:sz w:val="20"/>
      <w:szCs w:val="20"/>
      <w:lang w:eastAsia="zh-CN"/>
    </w:rPr>
  </w:style>
  <w:style w:type="paragraph" w:styleId="Header">
    <w:name w:val="header"/>
    <w:basedOn w:val="Normal"/>
    <w:link w:val="HeaderChar"/>
    <w:uiPriority w:val="99"/>
    <w:unhideWhenUsed/>
    <w:rsid w:val="00315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72"/>
    <w:rPr>
      <w:kern w:val="0"/>
      <w14:ligatures w14:val="none"/>
    </w:rPr>
  </w:style>
  <w:style w:type="paragraph" w:styleId="Footer">
    <w:name w:val="footer"/>
    <w:basedOn w:val="Normal"/>
    <w:link w:val="FooterChar"/>
    <w:uiPriority w:val="99"/>
    <w:unhideWhenUsed/>
    <w:rsid w:val="00315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72"/>
    <w:rPr>
      <w:kern w:val="0"/>
      <w14:ligatures w14:val="none"/>
    </w:rPr>
  </w:style>
  <w:style w:type="character" w:styleId="UnresolvedMention">
    <w:name w:val="Unresolved Mention"/>
    <w:basedOn w:val="DefaultParagraphFont"/>
    <w:uiPriority w:val="99"/>
    <w:semiHidden/>
    <w:unhideWhenUsed/>
    <w:rsid w:val="00315872"/>
    <w:rPr>
      <w:color w:val="605E5C"/>
      <w:shd w:val="clear" w:color="auto" w:fill="E1DFDD"/>
    </w:rPr>
  </w:style>
  <w:style w:type="paragraph" w:customStyle="1" w:styleId="Default">
    <w:name w:val="Default"/>
    <w:rsid w:val="0076398E"/>
    <w:pPr>
      <w:autoSpaceDE w:val="0"/>
      <w:autoSpaceDN w:val="0"/>
      <w:adjustRightInd w:val="0"/>
      <w:spacing w:after="0" w:line="240" w:lineRule="auto"/>
    </w:pPr>
    <w:rPr>
      <w:rFonts w:ascii="Myriad Pro" w:hAnsi="Myriad Pro" w:cs="Myriad Pro"/>
      <w:color w:val="000000"/>
      <w:kern w:val="0"/>
      <w:sz w:val="24"/>
      <w:szCs w:val="24"/>
    </w:rPr>
  </w:style>
  <w:style w:type="paragraph" w:styleId="Caption">
    <w:name w:val="caption"/>
    <w:basedOn w:val="Normal"/>
    <w:next w:val="Normal"/>
    <w:uiPriority w:val="35"/>
    <w:unhideWhenUsed/>
    <w:qFormat/>
    <w:rsid w:val="007B0320"/>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974">
      <w:bodyDiv w:val="1"/>
      <w:marLeft w:val="0"/>
      <w:marRight w:val="0"/>
      <w:marTop w:val="0"/>
      <w:marBottom w:val="0"/>
      <w:divBdr>
        <w:top w:val="none" w:sz="0" w:space="0" w:color="auto"/>
        <w:left w:val="none" w:sz="0" w:space="0" w:color="auto"/>
        <w:bottom w:val="none" w:sz="0" w:space="0" w:color="auto"/>
        <w:right w:val="none" w:sz="0" w:space="0" w:color="auto"/>
      </w:divBdr>
    </w:div>
    <w:div w:id="165094384">
      <w:bodyDiv w:val="1"/>
      <w:marLeft w:val="0"/>
      <w:marRight w:val="0"/>
      <w:marTop w:val="0"/>
      <w:marBottom w:val="0"/>
      <w:divBdr>
        <w:top w:val="none" w:sz="0" w:space="0" w:color="auto"/>
        <w:left w:val="none" w:sz="0" w:space="0" w:color="auto"/>
        <w:bottom w:val="none" w:sz="0" w:space="0" w:color="auto"/>
        <w:right w:val="none" w:sz="0" w:space="0" w:color="auto"/>
      </w:divBdr>
    </w:div>
    <w:div w:id="249045032">
      <w:bodyDiv w:val="1"/>
      <w:marLeft w:val="0"/>
      <w:marRight w:val="0"/>
      <w:marTop w:val="0"/>
      <w:marBottom w:val="0"/>
      <w:divBdr>
        <w:top w:val="none" w:sz="0" w:space="0" w:color="auto"/>
        <w:left w:val="none" w:sz="0" w:space="0" w:color="auto"/>
        <w:bottom w:val="none" w:sz="0" w:space="0" w:color="auto"/>
        <w:right w:val="none" w:sz="0" w:space="0" w:color="auto"/>
      </w:divBdr>
    </w:div>
    <w:div w:id="428353370">
      <w:bodyDiv w:val="1"/>
      <w:marLeft w:val="0"/>
      <w:marRight w:val="0"/>
      <w:marTop w:val="0"/>
      <w:marBottom w:val="0"/>
      <w:divBdr>
        <w:top w:val="none" w:sz="0" w:space="0" w:color="auto"/>
        <w:left w:val="none" w:sz="0" w:space="0" w:color="auto"/>
        <w:bottom w:val="none" w:sz="0" w:space="0" w:color="auto"/>
        <w:right w:val="none" w:sz="0" w:space="0" w:color="auto"/>
      </w:divBdr>
    </w:div>
    <w:div w:id="510492147">
      <w:bodyDiv w:val="1"/>
      <w:marLeft w:val="0"/>
      <w:marRight w:val="0"/>
      <w:marTop w:val="0"/>
      <w:marBottom w:val="0"/>
      <w:divBdr>
        <w:top w:val="none" w:sz="0" w:space="0" w:color="auto"/>
        <w:left w:val="none" w:sz="0" w:space="0" w:color="auto"/>
        <w:bottom w:val="none" w:sz="0" w:space="0" w:color="auto"/>
        <w:right w:val="none" w:sz="0" w:space="0" w:color="auto"/>
      </w:divBdr>
    </w:div>
    <w:div w:id="724721724">
      <w:bodyDiv w:val="1"/>
      <w:marLeft w:val="0"/>
      <w:marRight w:val="0"/>
      <w:marTop w:val="0"/>
      <w:marBottom w:val="0"/>
      <w:divBdr>
        <w:top w:val="none" w:sz="0" w:space="0" w:color="auto"/>
        <w:left w:val="none" w:sz="0" w:space="0" w:color="auto"/>
        <w:bottom w:val="none" w:sz="0" w:space="0" w:color="auto"/>
        <w:right w:val="none" w:sz="0" w:space="0" w:color="auto"/>
      </w:divBdr>
    </w:div>
    <w:div w:id="896236428">
      <w:bodyDiv w:val="1"/>
      <w:marLeft w:val="0"/>
      <w:marRight w:val="0"/>
      <w:marTop w:val="0"/>
      <w:marBottom w:val="0"/>
      <w:divBdr>
        <w:top w:val="none" w:sz="0" w:space="0" w:color="auto"/>
        <w:left w:val="none" w:sz="0" w:space="0" w:color="auto"/>
        <w:bottom w:val="none" w:sz="0" w:space="0" w:color="auto"/>
        <w:right w:val="none" w:sz="0" w:space="0" w:color="auto"/>
      </w:divBdr>
    </w:div>
    <w:div w:id="973484859">
      <w:bodyDiv w:val="1"/>
      <w:marLeft w:val="0"/>
      <w:marRight w:val="0"/>
      <w:marTop w:val="0"/>
      <w:marBottom w:val="0"/>
      <w:divBdr>
        <w:top w:val="none" w:sz="0" w:space="0" w:color="auto"/>
        <w:left w:val="none" w:sz="0" w:space="0" w:color="auto"/>
        <w:bottom w:val="none" w:sz="0" w:space="0" w:color="auto"/>
        <w:right w:val="none" w:sz="0" w:space="0" w:color="auto"/>
      </w:divBdr>
    </w:div>
    <w:div w:id="1268807950">
      <w:bodyDiv w:val="1"/>
      <w:marLeft w:val="0"/>
      <w:marRight w:val="0"/>
      <w:marTop w:val="0"/>
      <w:marBottom w:val="0"/>
      <w:divBdr>
        <w:top w:val="none" w:sz="0" w:space="0" w:color="auto"/>
        <w:left w:val="none" w:sz="0" w:space="0" w:color="auto"/>
        <w:bottom w:val="none" w:sz="0" w:space="0" w:color="auto"/>
        <w:right w:val="none" w:sz="0" w:space="0" w:color="auto"/>
      </w:divBdr>
    </w:div>
    <w:div w:id="1686203774">
      <w:bodyDiv w:val="1"/>
      <w:marLeft w:val="0"/>
      <w:marRight w:val="0"/>
      <w:marTop w:val="0"/>
      <w:marBottom w:val="0"/>
      <w:divBdr>
        <w:top w:val="none" w:sz="0" w:space="0" w:color="auto"/>
        <w:left w:val="none" w:sz="0" w:space="0" w:color="auto"/>
        <w:bottom w:val="none" w:sz="0" w:space="0" w:color="auto"/>
        <w:right w:val="none" w:sz="0" w:space="0" w:color="auto"/>
      </w:divBdr>
    </w:div>
    <w:div w:id="1792547819">
      <w:bodyDiv w:val="1"/>
      <w:marLeft w:val="0"/>
      <w:marRight w:val="0"/>
      <w:marTop w:val="0"/>
      <w:marBottom w:val="0"/>
      <w:divBdr>
        <w:top w:val="none" w:sz="0" w:space="0" w:color="auto"/>
        <w:left w:val="none" w:sz="0" w:space="0" w:color="auto"/>
        <w:bottom w:val="none" w:sz="0" w:space="0" w:color="auto"/>
        <w:right w:val="none" w:sz="0" w:space="0" w:color="auto"/>
      </w:divBdr>
    </w:div>
    <w:div w:id="1937860850">
      <w:bodyDiv w:val="1"/>
      <w:marLeft w:val="0"/>
      <w:marRight w:val="0"/>
      <w:marTop w:val="0"/>
      <w:marBottom w:val="0"/>
      <w:divBdr>
        <w:top w:val="none" w:sz="0" w:space="0" w:color="auto"/>
        <w:left w:val="none" w:sz="0" w:space="0" w:color="auto"/>
        <w:bottom w:val="none" w:sz="0" w:space="0" w:color="auto"/>
        <w:right w:val="none" w:sz="0" w:space="0" w:color="auto"/>
      </w:divBdr>
    </w:div>
    <w:div w:id="20627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hyperlink" Target="https://doi.org/10.1016/S0162-013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5486-2F76-4AA1-9B23-5ACA7D66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20</Pages>
  <Words>15178</Words>
  <Characters>86521</Characters>
  <Application>Microsoft Office Word</Application>
  <DocSecurity>0</DocSecurity>
  <Lines>721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Wandera</dc:creator>
  <cp:keywords/>
  <dc:description/>
  <cp:lastModifiedBy>SDI 1084</cp:lastModifiedBy>
  <cp:revision>435</cp:revision>
  <dcterms:created xsi:type="dcterms:W3CDTF">2025-12-02T06:50:00Z</dcterms:created>
  <dcterms:modified xsi:type="dcterms:W3CDTF">2025-12-05T10:06:00Z</dcterms:modified>
</cp:coreProperties>
</file>