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AF657" w14:textId="77777777" w:rsidR="00754C9A" w:rsidRDefault="00754C9A" w:rsidP="00441B6F">
      <w:pPr>
        <w:pStyle w:val="Title"/>
        <w:spacing w:after="0"/>
        <w:jc w:val="both"/>
        <w:rPr>
          <w:rFonts w:ascii="Arial" w:hAnsi="Arial" w:cs="Arial"/>
        </w:rPr>
      </w:pPr>
    </w:p>
    <w:p w14:paraId="28195540" w14:textId="77777777" w:rsidR="00763F6C" w:rsidRDefault="00763F6C" w:rsidP="00441B6F">
      <w:pPr>
        <w:pStyle w:val="Author"/>
        <w:spacing w:line="240" w:lineRule="auto"/>
        <w:rPr>
          <w:rFonts w:ascii="Arial" w:hAnsi="Arial" w:cs="Arial"/>
          <w:bCs/>
          <w:iCs/>
          <w:kern w:val="28"/>
          <w:sz w:val="36"/>
        </w:rPr>
      </w:pPr>
      <w:r w:rsidRPr="00763F6C">
        <w:rPr>
          <w:rFonts w:ascii="Arial" w:hAnsi="Arial" w:cs="Arial"/>
          <w:bCs/>
          <w:iCs/>
          <w:kern w:val="28"/>
          <w:sz w:val="36"/>
        </w:rPr>
        <w:t>Original Research Article</w:t>
      </w:r>
    </w:p>
    <w:p w14:paraId="3A2FC74E" w14:textId="77777777" w:rsidR="00763F6C" w:rsidRDefault="00763F6C" w:rsidP="00441B6F">
      <w:pPr>
        <w:pStyle w:val="Author"/>
        <w:spacing w:line="240" w:lineRule="auto"/>
        <w:rPr>
          <w:rFonts w:ascii="Arial" w:hAnsi="Arial" w:cs="Arial"/>
          <w:bCs/>
          <w:iCs/>
          <w:kern w:val="28"/>
          <w:sz w:val="36"/>
        </w:rPr>
      </w:pPr>
    </w:p>
    <w:p w14:paraId="3B291443" w14:textId="427268EB" w:rsidR="00163BC4" w:rsidRPr="00163BC4" w:rsidRDefault="0002646A" w:rsidP="00441B6F">
      <w:pPr>
        <w:pStyle w:val="Author"/>
        <w:spacing w:line="240" w:lineRule="auto"/>
        <w:rPr>
          <w:rFonts w:ascii="Arial" w:hAnsi="Arial" w:cs="Arial"/>
          <w:bCs/>
          <w:iCs/>
          <w:kern w:val="28"/>
          <w:sz w:val="36"/>
        </w:rPr>
      </w:pPr>
      <w:r w:rsidRPr="0002646A">
        <w:rPr>
          <w:rFonts w:ascii="Arial" w:hAnsi="Arial" w:cs="Arial"/>
          <w:bCs/>
          <w:iCs/>
          <w:kern w:val="28"/>
          <w:sz w:val="36"/>
        </w:rPr>
        <w:t xml:space="preserve">Forage Yield, Nutritive Value, and </w:t>
      </w:r>
      <w:r w:rsidRPr="00BC551E">
        <w:rPr>
          <w:rFonts w:ascii="Arial" w:hAnsi="Arial" w:cs="Arial"/>
          <w:bCs/>
          <w:i/>
          <w:kern w:val="28"/>
          <w:sz w:val="36"/>
        </w:rPr>
        <w:t>In Vitro</w:t>
      </w:r>
      <w:r w:rsidRPr="0002646A">
        <w:rPr>
          <w:rFonts w:ascii="Arial" w:hAnsi="Arial" w:cs="Arial"/>
          <w:bCs/>
          <w:iCs/>
          <w:kern w:val="28"/>
          <w:sz w:val="36"/>
        </w:rPr>
        <w:t xml:space="preserve"> Digestibility of Barley Green Fodder Germinated under Different Seed-Moistening Conditions in a Hydroponic System</w:t>
      </w:r>
      <w:r w:rsidR="00231920">
        <w:rPr>
          <w:rFonts w:ascii="Arial" w:hAnsi="Arial" w:cs="Arial"/>
          <w:bCs/>
          <w:iCs/>
          <w:kern w:val="28"/>
          <w:sz w:val="36"/>
        </w:rPr>
        <w:t xml:space="preserve"> </w:t>
      </w:r>
    </w:p>
    <w:p w14:paraId="31FB3212" w14:textId="77777777" w:rsidR="00A258C3" w:rsidRPr="00790ADA" w:rsidRDefault="00A258C3" w:rsidP="00441B6F">
      <w:pPr>
        <w:pStyle w:val="Author"/>
        <w:spacing w:line="240" w:lineRule="auto"/>
        <w:jc w:val="both"/>
        <w:rPr>
          <w:rFonts w:ascii="Arial" w:hAnsi="Arial" w:cs="Arial"/>
          <w:sz w:val="36"/>
        </w:rPr>
      </w:pPr>
    </w:p>
    <w:p w14:paraId="1C987498" w14:textId="34A33109" w:rsidR="00790ADA" w:rsidRDefault="007C4ADB" w:rsidP="00441B6F">
      <w:pPr>
        <w:pStyle w:val="Affiliation"/>
        <w:spacing w:after="0" w:line="240" w:lineRule="auto"/>
        <w:jc w:val="both"/>
        <w:rPr>
          <w:rFonts w:ascii="Arial" w:hAnsi="Arial" w:cs="Arial"/>
        </w:rPr>
      </w:pPr>
      <w:r>
        <w:rPr>
          <w:rFonts w:ascii="Arial" w:hAnsi="Arial" w:cs="Arial"/>
        </w:rPr>
      </w:r>
      <w:r>
        <w:rPr>
          <w:rFonts w:ascii="Arial" w:hAnsi="Arial" w:cs="Arial"/>
        </w:rPr>
        <w:pict w14:anchorId="670E8F7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FBDA13F" w14:textId="4D656930" w:rsidR="002C57D2" w:rsidRPr="00FB3A86" w:rsidRDefault="002C57D2" w:rsidP="00441B6F">
      <w:pPr>
        <w:pStyle w:val="Affiliation"/>
        <w:spacing w:after="0" w:line="240" w:lineRule="auto"/>
        <w:jc w:val="both"/>
        <w:rPr>
          <w:rFonts w:ascii="Arial" w:hAnsi="Arial" w:cs="Arial"/>
        </w:rPr>
      </w:pPr>
    </w:p>
    <w:p w14:paraId="48DF9FF0" w14:textId="27F97F51" w:rsidR="00B01FCD" w:rsidRPr="00FB3A86" w:rsidRDefault="00B01FCD" w:rsidP="00441B6F">
      <w:pPr>
        <w:pStyle w:val="Copyright"/>
        <w:spacing w:after="0" w:line="240" w:lineRule="auto"/>
        <w:jc w:val="both"/>
        <w:rPr>
          <w:rFonts w:ascii="Arial" w:hAnsi="Arial" w:cs="Arial"/>
        </w:rPr>
        <w:sectPr w:rsidR="00B01FCD" w:rsidRPr="00FB3A86" w:rsidSect="00AB74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607A0EA" w14:textId="539BF13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B50BF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0E1ADD" w14:textId="77777777" w:rsidTr="001E44FE">
        <w:tc>
          <w:tcPr>
            <w:tcW w:w="9576" w:type="dxa"/>
            <w:shd w:val="clear" w:color="auto" w:fill="F2F2F2"/>
          </w:tcPr>
          <w:p w14:paraId="3633B0B0" w14:textId="435318BD" w:rsidR="00505F06" w:rsidRPr="00BA1B01" w:rsidRDefault="007A2AF4" w:rsidP="00FC0B5D">
            <w:pPr>
              <w:pStyle w:val="Body"/>
              <w:spacing w:after="0"/>
              <w:rPr>
                <w:rFonts w:ascii="Arial" w:eastAsia="Calibri" w:hAnsi="Arial" w:cs="Arial"/>
                <w:szCs w:val="22"/>
              </w:rPr>
            </w:pPr>
            <w:r w:rsidRPr="007A2AF4">
              <w:rPr>
                <w:rFonts w:ascii="Arial" w:eastAsia="Calibri" w:hAnsi="Arial" w:cs="Arial"/>
                <w:szCs w:val="22"/>
              </w:rPr>
              <w:t xml:space="preserve">This study investigates the effects of various </w:t>
            </w:r>
            <w:r w:rsidR="00657D3C" w:rsidRPr="00657D3C">
              <w:rPr>
                <w:rFonts w:ascii="Arial" w:eastAsia="Calibri" w:hAnsi="Arial" w:cs="Arial"/>
                <w:szCs w:val="22"/>
              </w:rPr>
              <w:t>pre-moistening</w:t>
            </w:r>
            <w:r w:rsidR="00732D84">
              <w:rPr>
                <w:rFonts w:ascii="Arial" w:eastAsia="Calibri" w:hAnsi="Arial" w:cs="Arial"/>
                <w:szCs w:val="22"/>
              </w:rPr>
              <w:t xml:space="preserve"> </w:t>
            </w:r>
            <w:r w:rsidRPr="007A2AF4">
              <w:rPr>
                <w:rFonts w:ascii="Arial" w:eastAsia="Calibri" w:hAnsi="Arial" w:cs="Arial"/>
                <w:szCs w:val="22"/>
              </w:rPr>
              <w:t xml:space="preserve">methods on the forage yield, feed value, and </w:t>
            </w:r>
            <w:r w:rsidRPr="005405DE">
              <w:rPr>
                <w:rFonts w:ascii="Arial" w:eastAsia="Calibri" w:hAnsi="Arial" w:cs="Arial"/>
                <w:i/>
                <w:iCs/>
                <w:szCs w:val="22"/>
              </w:rPr>
              <w:t>in vitro</w:t>
            </w:r>
            <w:r w:rsidRPr="007A2AF4">
              <w:rPr>
                <w:rFonts w:ascii="Arial" w:eastAsia="Calibri" w:hAnsi="Arial" w:cs="Arial"/>
                <w:szCs w:val="22"/>
              </w:rPr>
              <w:t xml:space="preserve"> true digestibility (IVTD) of barley green fodder grown in a hydroponic system.</w:t>
            </w:r>
            <w:r w:rsidR="00FC0B5D">
              <w:rPr>
                <w:rFonts w:ascii="Arial" w:eastAsia="Calibri" w:hAnsi="Arial" w:cs="Arial"/>
                <w:szCs w:val="22"/>
              </w:rPr>
              <w:t xml:space="preserve"> </w:t>
            </w:r>
            <w:r w:rsidR="005405DE" w:rsidRPr="005405DE">
              <w:rPr>
                <w:rFonts w:ascii="Arial" w:eastAsia="Calibri" w:hAnsi="Arial" w:cs="Arial"/>
                <w:szCs w:val="22"/>
              </w:rPr>
              <w:t>Five treatments were compared: soaking at room temperature for one day (ROD); soaking followed by refrigeration at +4 °C for one (+4OD) or three days (+4TD); and soaking followed by freezing at -18 °C for one (-18OD) or three days (-18TD). Plant height, fresh and dry fodder yield, chemical composition, cell wall components, energy values, IVTD, and forage quality indices were assessed.</w:t>
            </w:r>
            <w:r w:rsidR="00FC0B5D">
              <w:rPr>
                <w:rFonts w:ascii="Arial" w:eastAsia="Calibri" w:hAnsi="Arial" w:cs="Arial"/>
                <w:szCs w:val="22"/>
              </w:rPr>
              <w:t xml:space="preserve"> </w:t>
            </w:r>
            <w:r>
              <w:rPr>
                <w:rFonts w:ascii="Arial" w:eastAsia="Calibri" w:hAnsi="Arial" w:cs="Arial"/>
                <w:szCs w:val="22"/>
              </w:rPr>
              <w:t>The r</w:t>
            </w:r>
            <w:r w:rsidRPr="007A2AF4">
              <w:rPr>
                <w:rFonts w:ascii="Arial" w:eastAsia="Calibri" w:hAnsi="Arial" w:cs="Arial"/>
                <w:szCs w:val="22"/>
              </w:rPr>
              <w:t xml:space="preserve">esults </w:t>
            </w:r>
            <w:r w:rsidR="005405DE" w:rsidRPr="005405DE">
              <w:rPr>
                <w:rFonts w:ascii="Arial" w:eastAsia="Calibri" w:hAnsi="Arial" w:cs="Arial"/>
                <w:szCs w:val="22"/>
              </w:rPr>
              <w:t xml:space="preserve">showed that ROD and +4OD treatments significantly </w:t>
            </w:r>
            <w:r w:rsidR="00DE1A2F">
              <w:rPr>
                <w:rFonts w:ascii="Arial" w:eastAsia="Calibri" w:hAnsi="Arial" w:cs="Arial"/>
                <w:szCs w:val="22"/>
              </w:rPr>
              <w:t>improved</w:t>
            </w:r>
            <w:r w:rsidR="005405DE" w:rsidRPr="005405DE">
              <w:rPr>
                <w:rFonts w:ascii="Arial" w:eastAsia="Calibri" w:hAnsi="Arial" w:cs="Arial"/>
                <w:szCs w:val="22"/>
              </w:rPr>
              <w:t xml:space="preserve"> early </w:t>
            </w:r>
            <w:r w:rsidR="00DE1A2F">
              <w:rPr>
                <w:rFonts w:ascii="Arial" w:eastAsia="Calibri" w:hAnsi="Arial" w:cs="Arial"/>
                <w:szCs w:val="22"/>
              </w:rPr>
              <w:t>plant height</w:t>
            </w:r>
            <w:r w:rsidR="005405DE" w:rsidRPr="005405DE">
              <w:rPr>
                <w:rFonts w:ascii="Arial" w:eastAsia="Calibri" w:hAnsi="Arial" w:cs="Arial"/>
                <w:szCs w:val="22"/>
              </w:rPr>
              <w:t>, dry matter content, IVTD, relative feed value (RFV), and relative forage quality (RFQ), while reducing structural fiber contents. Conversely, the +4TD and freezing treatments (-18OD and -18TD) increased fiber and lignin content, leading to reduced digestibility and quality. Correlation analysis revealed that plant height and fresh yield were positively associated with neutral detergent fiber (NDF), acid detergent fiber (ADF), and cellulose (CEL), and negatively correlated with RFQ.</w:t>
            </w:r>
            <w:r w:rsidRPr="007A2AF4">
              <w:rPr>
                <w:rFonts w:ascii="Arial" w:eastAsia="Calibri" w:hAnsi="Arial" w:cs="Arial"/>
                <w:szCs w:val="22"/>
              </w:rPr>
              <w:t xml:space="preserve"> </w:t>
            </w:r>
            <w:r w:rsidR="005405DE" w:rsidRPr="005405DE">
              <w:rPr>
                <w:rFonts w:ascii="Arial" w:eastAsia="Calibri" w:hAnsi="Arial" w:cs="Arial"/>
                <w:szCs w:val="22"/>
              </w:rPr>
              <w:t xml:space="preserve">These findings suggest that short duration moistening under ambient or mild cold conditions offers an effective strategy to enhance the yield and nutritional quality of barley green fodder in hydroponic systems. </w:t>
            </w:r>
            <w:r w:rsidR="00445418" w:rsidRPr="00445418">
              <w:rPr>
                <w:rFonts w:ascii="Arial" w:eastAsia="Calibri" w:hAnsi="Arial" w:cs="Arial"/>
                <w:szCs w:val="22"/>
              </w:rPr>
              <w:t xml:space="preserve">Further research is recommended to validate these findings through </w:t>
            </w:r>
            <w:r w:rsidR="00445418" w:rsidRPr="00445418">
              <w:rPr>
                <w:rFonts w:ascii="Arial" w:eastAsia="Calibri" w:hAnsi="Arial" w:cs="Arial"/>
                <w:i/>
                <w:iCs/>
                <w:szCs w:val="22"/>
              </w:rPr>
              <w:t>in vivo</w:t>
            </w:r>
            <w:r w:rsidR="00445418" w:rsidRPr="00445418">
              <w:rPr>
                <w:rFonts w:ascii="Arial" w:eastAsia="Calibri" w:hAnsi="Arial" w:cs="Arial"/>
                <w:szCs w:val="22"/>
              </w:rPr>
              <w:t xml:space="preserve"> studies and to evaluate their practical implications for animal performance</w:t>
            </w:r>
            <w:r w:rsidR="00673029">
              <w:rPr>
                <w:rFonts w:ascii="Arial" w:eastAsia="Calibri" w:hAnsi="Arial" w:cs="Arial"/>
                <w:szCs w:val="22"/>
              </w:rPr>
              <w:t>.</w:t>
            </w:r>
          </w:p>
        </w:tc>
      </w:tr>
    </w:tbl>
    <w:p w14:paraId="502982B3" w14:textId="77777777" w:rsidR="00636EB2" w:rsidRDefault="00636EB2" w:rsidP="00441B6F">
      <w:pPr>
        <w:pStyle w:val="Body"/>
        <w:spacing w:after="0"/>
        <w:rPr>
          <w:rFonts w:ascii="Arial" w:hAnsi="Arial" w:cs="Arial"/>
          <w:i/>
        </w:rPr>
      </w:pPr>
    </w:p>
    <w:p w14:paraId="6387F4F3" w14:textId="23278EFD" w:rsidR="00A24E7E" w:rsidRDefault="00A24E7E" w:rsidP="00441B6F">
      <w:pPr>
        <w:pStyle w:val="Body"/>
        <w:spacing w:after="0"/>
        <w:rPr>
          <w:rFonts w:ascii="Arial" w:hAnsi="Arial" w:cs="Arial"/>
          <w:i/>
        </w:rPr>
      </w:pPr>
      <w:r w:rsidRPr="005405DE">
        <w:rPr>
          <w:rFonts w:ascii="Arial" w:hAnsi="Arial" w:cs="Arial"/>
          <w:b/>
          <w:bCs/>
          <w:i/>
        </w:rPr>
        <w:t>Keywords</w:t>
      </w:r>
      <w:r>
        <w:rPr>
          <w:rFonts w:ascii="Arial" w:hAnsi="Arial" w:cs="Arial"/>
          <w:i/>
        </w:rPr>
        <w:t xml:space="preserve">: </w:t>
      </w:r>
      <w:r w:rsidR="005405DE" w:rsidRPr="005405DE">
        <w:rPr>
          <w:rFonts w:ascii="Arial" w:hAnsi="Arial" w:cs="Arial"/>
          <w:i/>
        </w:rPr>
        <w:t>Barley; hydroponic fodder; germination; digestibility; forage quality.</w:t>
      </w:r>
    </w:p>
    <w:p w14:paraId="31FB44D5" w14:textId="77777777" w:rsidR="0024282C" w:rsidRDefault="0024282C" w:rsidP="00441B6F">
      <w:pPr>
        <w:pStyle w:val="Body"/>
        <w:spacing w:after="0"/>
        <w:rPr>
          <w:rFonts w:ascii="Arial" w:hAnsi="Arial" w:cs="Arial"/>
          <w:i/>
          <w:sz w:val="18"/>
        </w:rPr>
      </w:pPr>
    </w:p>
    <w:p w14:paraId="0F8C612B" w14:textId="77777777" w:rsidR="00505F06" w:rsidRPr="00A24E7E" w:rsidRDefault="00505F06" w:rsidP="00441B6F">
      <w:pPr>
        <w:pStyle w:val="Body"/>
        <w:spacing w:after="0"/>
        <w:rPr>
          <w:rFonts w:ascii="Arial" w:hAnsi="Arial" w:cs="Arial"/>
          <w:i/>
        </w:rPr>
      </w:pPr>
    </w:p>
    <w:p w14:paraId="17787488" w14:textId="43CB94A3" w:rsidR="007F7B32" w:rsidRDefault="00902823" w:rsidP="00C8168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1B4AF2" w14:textId="77777777" w:rsidR="00790ADA" w:rsidRPr="00FB3A86" w:rsidRDefault="00790ADA" w:rsidP="00441B6F">
      <w:pPr>
        <w:pStyle w:val="AbstHead"/>
        <w:spacing w:after="0"/>
        <w:jc w:val="both"/>
        <w:rPr>
          <w:rFonts w:ascii="Arial" w:hAnsi="Arial" w:cs="Arial"/>
        </w:rPr>
      </w:pPr>
    </w:p>
    <w:p w14:paraId="5CC86041" w14:textId="0644EA39" w:rsidR="005405DE" w:rsidRPr="005405DE" w:rsidRDefault="005405DE" w:rsidP="005405DE">
      <w:pPr>
        <w:pStyle w:val="Body"/>
        <w:rPr>
          <w:rFonts w:ascii="Arial" w:hAnsi="Arial" w:cs="Arial"/>
        </w:rPr>
      </w:pPr>
      <w:r w:rsidRPr="005405DE">
        <w:rPr>
          <w:rFonts w:ascii="Arial" w:hAnsi="Arial" w:cs="Arial"/>
        </w:rPr>
        <w:t>Roughage is vital for satisfying the nutritional requirements of ruminants; however, maintaining a year-round supply of high-quality roughage remains a challenge due to limited forage crop cultivation areas. Addressing this issue necessitates the expansion of forage cultivation, improvement in pasture management, and the adoption of alternative solutions, such as hydroponic farming systems, as sustainable sources of roughage for ruminant nutrition. Hydroponic farming systems present significant advantages, including the capacity to produce higher yields per unit area compared to traditional farming methods</w:t>
      </w:r>
      <w:r w:rsidR="00673029">
        <w:rPr>
          <w:rFonts w:ascii="Arial" w:hAnsi="Arial" w:cs="Arial"/>
        </w:rPr>
        <w:t xml:space="preserve">. </w:t>
      </w:r>
      <w:r w:rsidRPr="005405DE">
        <w:rPr>
          <w:rFonts w:ascii="Arial" w:hAnsi="Arial" w:cs="Arial"/>
        </w:rPr>
        <w:t xml:space="preserve">Furthermore, the elimination of fertilizers and pesticides in the production of fresh green fodder reduces risks to animals, consumers of animal products, and the environment while also decreasing pollution associated with fertilizer use (Uyeda et al., 2011). A primary benefit of these systems is their ability to supply fresh roughage year-round through the germination of </w:t>
      </w:r>
      <w:r w:rsidRPr="005405DE">
        <w:rPr>
          <w:rFonts w:ascii="Arial" w:hAnsi="Arial" w:cs="Arial"/>
        </w:rPr>
        <w:lastRenderedPageBreak/>
        <w:t>grains such as barley, wheat, oats, and rye, thus providing a consistent source of green feed for animal nutrition (Rodriguez-Muela et al., 2005; Kilic, 2016).</w:t>
      </w:r>
    </w:p>
    <w:p w14:paraId="0E217954" w14:textId="543FA85F" w:rsidR="005405DE" w:rsidRPr="005405DE" w:rsidRDefault="005405DE" w:rsidP="005405DE">
      <w:pPr>
        <w:pStyle w:val="Body"/>
        <w:rPr>
          <w:rFonts w:ascii="Arial" w:hAnsi="Arial" w:cs="Arial"/>
        </w:rPr>
      </w:pPr>
      <w:r w:rsidRPr="005405DE">
        <w:rPr>
          <w:rFonts w:ascii="Arial" w:hAnsi="Arial" w:cs="Arial"/>
        </w:rPr>
        <w:t>Fresh green fodder produced in hydroponic systems, characterized by high nutritional value and low cost, can be cultivated year-round. This method is particularly advantageous when roughage shortages are prevalent in winter, as it provides a reliable and efficient solution to meet roughage requirements</w:t>
      </w:r>
      <w:r w:rsidR="006E1DC6">
        <w:rPr>
          <w:rFonts w:ascii="Arial" w:hAnsi="Arial" w:cs="Arial"/>
        </w:rPr>
        <w:t xml:space="preserve"> </w:t>
      </w:r>
      <w:r w:rsidR="006E1DC6" w:rsidRPr="00F12874">
        <w:rPr>
          <w:rFonts w:ascii="Arial" w:hAnsi="Arial" w:cs="Arial"/>
        </w:rPr>
        <w:t>for ruminant</w:t>
      </w:r>
      <w:r w:rsidRPr="00F12874">
        <w:rPr>
          <w:rFonts w:ascii="Arial" w:hAnsi="Arial" w:cs="Arial"/>
        </w:rPr>
        <w:t>.</w:t>
      </w:r>
      <w:r w:rsidRPr="005405DE">
        <w:rPr>
          <w:rFonts w:ascii="Arial" w:hAnsi="Arial" w:cs="Arial"/>
        </w:rPr>
        <w:t xml:space="preserve"> Indeed, by utilizing the hydroponic system, it becomes possible to produce fresh and nutritious green fodder throughout the year, regardless of the season. This method offers a cost-effective way to meet the nutritional needs of animals, particularly during winter months when roughage supply might be limited. The hydroponic system allows for the continuous production of high-quality feed, ensuring that the livestock's dietary requirements are adequately fulfilled, even in challenging climatic conditions. Moreover, fresh green fodder produced using hydroponic farming systems is known to fulfill nearly all vitamin and amino acid requirements of ruminant animals while also enhancing the levels of omega-3 and omega-6 fatty acids in meat and milk. Additionally, it promotes live weight gain and contributes to a bright, vibrant appearance of the animals' fur (Beigh et al., 2017). Furthermore, research indicates that hydroponic cultivation significantly increases the concentrations of </w:t>
      </w:r>
      <w:r w:rsidR="00E230F1" w:rsidRPr="00F12874">
        <w:rPr>
          <w:rFonts w:ascii="Arial" w:hAnsi="Arial" w:cs="Arial"/>
        </w:rPr>
        <w:t xml:space="preserve">vitamin B1, B2, B3, </w:t>
      </w:r>
      <w:r w:rsidR="00AF78BB" w:rsidRPr="00F12874">
        <w:rPr>
          <w:rFonts w:ascii="Arial" w:hAnsi="Arial" w:cs="Arial"/>
        </w:rPr>
        <w:t xml:space="preserve">vitamin C, </w:t>
      </w:r>
      <w:r w:rsidRPr="00F12874">
        <w:rPr>
          <w:rFonts w:ascii="Arial" w:hAnsi="Arial" w:cs="Arial"/>
        </w:rPr>
        <w:t xml:space="preserve">vitamin E, </w:t>
      </w:r>
      <w:r w:rsidR="00F212D3" w:rsidRPr="00F12874">
        <w:rPr>
          <w:rFonts w:ascii="Arial" w:hAnsi="Arial" w:cs="Arial"/>
        </w:rPr>
        <w:t>B</w:t>
      </w:r>
      <w:r w:rsidRPr="00F12874">
        <w:rPr>
          <w:rFonts w:ascii="Arial" w:hAnsi="Arial" w:cs="Arial"/>
        </w:rPr>
        <w:t>eta</w:t>
      </w:r>
      <w:r w:rsidRPr="005405DE">
        <w:rPr>
          <w:rFonts w:ascii="Arial" w:hAnsi="Arial" w:cs="Arial"/>
        </w:rPr>
        <w:t xml:space="preserve">-carotene, biotin, and free folic acid in green fodder (Sneath and McIntosh, 2003; Dung et al., 2010ab; </w:t>
      </w:r>
      <w:proofErr w:type="spellStart"/>
      <w:r w:rsidRPr="005405DE">
        <w:rPr>
          <w:rFonts w:ascii="Arial" w:hAnsi="Arial" w:cs="Arial"/>
        </w:rPr>
        <w:t>Fazaeli</w:t>
      </w:r>
      <w:proofErr w:type="spellEnd"/>
      <w:r w:rsidRPr="005405DE">
        <w:rPr>
          <w:rFonts w:ascii="Arial" w:hAnsi="Arial" w:cs="Arial"/>
        </w:rPr>
        <w:t xml:space="preserve"> et al., 2012</w:t>
      </w:r>
      <w:r w:rsidR="005B6E32">
        <w:rPr>
          <w:rFonts w:ascii="Arial" w:hAnsi="Arial" w:cs="Arial"/>
        </w:rPr>
        <w:t xml:space="preserve">, </w:t>
      </w:r>
      <w:proofErr w:type="spellStart"/>
      <w:r w:rsidR="005B6E32" w:rsidRPr="00971D01">
        <w:rPr>
          <w:rFonts w:ascii="Arial" w:hAnsi="Arial" w:cs="Arial"/>
        </w:rPr>
        <w:t>Yahyae</w:t>
      </w:r>
      <w:r w:rsidR="00772ABE" w:rsidRPr="00971D01">
        <w:rPr>
          <w:rFonts w:ascii="Arial" w:hAnsi="Arial" w:cs="Arial"/>
        </w:rPr>
        <w:t>i</w:t>
      </w:r>
      <w:proofErr w:type="spellEnd"/>
      <w:r w:rsidR="005B6E32" w:rsidRPr="00971D01">
        <w:rPr>
          <w:rFonts w:ascii="Arial" w:hAnsi="Arial" w:cs="Arial"/>
        </w:rPr>
        <w:t xml:space="preserve"> and </w:t>
      </w:r>
      <w:proofErr w:type="spellStart"/>
      <w:r w:rsidR="005B6E32" w:rsidRPr="00971D01">
        <w:rPr>
          <w:rFonts w:ascii="Arial" w:hAnsi="Arial" w:cs="Arial"/>
        </w:rPr>
        <w:t>Talebi</w:t>
      </w:r>
      <w:proofErr w:type="spellEnd"/>
      <w:r w:rsidR="00772ABE" w:rsidRPr="00971D01">
        <w:rPr>
          <w:rFonts w:ascii="Arial" w:hAnsi="Arial" w:cs="Arial"/>
        </w:rPr>
        <w:t>, 2024</w:t>
      </w:r>
      <w:r w:rsidRPr="005405DE">
        <w:rPr>
          <w:rFonts w:ascii="Arial" w:hAnsi="Arial" w:cs="Arial"/>
        </w:rPr>
        <w:t>).</w:t>
      </w:r>
    </w:p>
    <w:p w14:paraId="35384B95" w14:textId="77777777" w:rsidR="005405DE" w:rsidRPr="005405DE" w:rsidRDefault="005405DE" w:rsidP="005405DE">
      <w:pPr>
        <w:pStyle w:val="Body"/>
        <w:rPr>
          <w:rFonts w:ascii="Arial" w:hAnsi="Arial" w:cs="Arial"/>
        </w:rPr>
      </w:pPr>
      <w:r w:rsidRPr="005405DE">
        <w:rPr>
          <w:rFonts w:ascii="Arial" w:hAnsi="Arial" w:cs="Arial"/>
        </w:rPr>
        <w:t>Barley (</w:t>
      </w:r>
      <w:r w:rsidRPr="005405DE">
        <w:rPr>
          <w:rFonts w:ascii="Arial" w:hAnsi="Arial" w:cs="Arial"/>
          <w:i/>
          <w:iCs/>
        </w:rPr>
        <w:t>Hordeum vulgare</w:t>
      </w:r>
      <w:r w:rsidRPr="005405DE">
        <w:rPr>
          <w:rFonts w:ascii="Arial" w:hAnsi="Arial" w:cs="Arial"/>
        </w:rPr>
        <w:t xml:space="preserve"> L.) is the most commonly used grain for germination due to its short harvest period (7 days), high germination rate, and favorable nutritional changes, including increased total protein, improved amino acid profile, and enhanced levels of sugars, crude fiber, vitamins, and minerals. Hydroponic cultivation methods further optimize barley production, enhancing both nutritional quality and yield. Globally, barley ranks fourth in grain production after wheat, rice, and corn. It is primarily used in animal feed and the malt industry, with approximately 67% of global production allocated to feed and 21% to industrial applications (USDA, 2022).</w:t>
      </w:r>
    </w:p>
    <w:p w14:paraId="4BB85238" w14:textId="630B5051" w:rsidR="005405DE" w:rsidRPr="005405DE" w:rsidRDefault="005405DE" w:rsidP="005405DE">
      <w:pPr>
        <w:pStyle w:val="Body"/>
        <w:rPr>
          <w:rFonts w:ascii="Arial" w:hAnsi="Arial" w:cs="Arial"/>
        </w:rPr>
      </w:pPr>
      <w:r w:rsidRPr="005405DE">
        <w:rPr>
          <w:rFonts w:ascii="Arial" w:hAnsi="Arial" w:cs="Arial"/>
        </w:rPr>
        <w:t xml:space="preserve">Hydroponically germinated barley has demonstrated substantial benefits in animal feeding, providing a nutrient-dense forage option that enhances crude protein, essential fatty acids, vitamins, and fiber content. Studies indicate that the hydroponic system achieves a high green fodder yield per unit of seed, along with optimal dry matter and nutrient composition, positioning it as an effective alternative to traditional forages. Lawrence (2019) and Yurtseven et al. (2020) observed that substituting germinated barley for portions of grain mixtures in ruminant diets preserves rumen fermentation and supports lactation performance, while Yusif et al. (2023) reported notable improvements in milk yield and quality in sheep fed germinated barley. Moreover, the use of hydroponic barley extends across diverse livestock, with positive outcomes in poultry, rabbits, and geese, as demonstrated by </w:t>
      </w:r>
      <w:proofErr w:type="spellStart"/>
      <w:r w:rsidRPr="005405DE">
        <w:rPr>
          <w:rFonts w:ascii="Arial" w:hAnsi="Arial" w:cs="Arial"/>
        </w:rPr>
        <w:t>Khaziev</w:t>
      </w:r>
      <w:proofErr w:type="spellEnd"/>
      <w:r w:rsidRPr="005405DE">
        <w:rPr>
          <w:rFonts w:ascii="Arial" w:hAnsi="Arial" w:cs="Arial"/>
        </w:rPr>
        <w:t xml:space="preserve"> et al. (2021), Al-Kanaan (2022), and Abdel-Wareth et al. (2023). These studies highlighted increases in live weight gain, feed utilization efficiency, and overall economic viability. Further, substrate variations such as straw and olive pulp in hydroponic systems can enhance feed quality, as Yurtseven et al. (2020) reported, suggesting that germinated barley is a versatile forage option capable of supporting animal performance and sustainability in livestock production systems. Moreover, no studies </w:t>
      </w:r>
      <w:r w:rsidR="00C5267F">
        <w:rPr>
          <w:rFonts w:ascii="Arial" w:hAnsi="Arial" w:cs="Arial"/>
        </w:rPr>
        <w:t xml:space="preserve">have </w:t>
      </w:r>
      <w:r w:rsidRPr="005405DE">
        <w:rPr>
          <w:rFonts w:ascii="Arial" w:hAnsi="Arial" w:cs="Arial"/>
        </w:rPr>
        <w:t>focused on pre-moistening methods and their potential impact on germination rates, feed value, and digestibility in barley cultivation. However, there remains a gap in the literature regarding the specific effects of different pre-moistening techniques on barley cultivated hydroponically.</w:t>
      </w:r>
    </w:p>
    <w:p w14:paraId="3F437FE2" w14:textId="6EC518EB" w:rsidR="00B01FCD" w:rsidRDefault="005405DE" w:rsidP="005405DE">
      <w:pPr>
        <w:pStyle w:val="Body"/>
        <w:spacing w:after="0"/>
        <w:rPr>
          <w:rFonts w:ascii="Arial" w:hAnsi="Arial" w:cs="Arial"/>
        </w:rPr>
      </w:pPr>
      <w:r w:rsidRPr="005405DE">
        <w:rPr>
          <w:rFonts w:ascii="Arial" w:hAnsi="Arial" w:cs="Arial"/>
        </w:rPr>
        <w:t xml:space="preserve">This study aimed to investigate the effects of various pre-moistening treatments on the germination, feed value, and </w:t>
      </w:r>
      <w:r w:rsidRPr="002272F4">
        <w:rPr>
          <w:rFonts w:ascii="Arial" w:hAnsi="Arial" w:cs="Arial"/>
          <w:i/>
          <w:iCs/>
        </w:rPr>
        <w:t>in vitro</w:t>
      </w:r>
      <w:r w:rsidRPr="005405DE">
        <w:rPr>
          <w:rFonts w:ascii="Arial" w:hAnsi="Arial" w:cs="Arial"/>
        </w:rPr>
        <w:t xml:space="preserve"> true digestibility of barley, specifically within the context of hydroponic fresh green fodder production. Additionally, it sought to evaluate the yield, </w:t>
      </w:r>
      <w:r w:rsidRPr="005405DE">
        <w:rPr>
          <w:rFonts w:ascii="Arial" w:hAnsi="Arial" w:cs="Arial"/>
        </w:rPr>
        <w:lastRenderedPageBreak/>
        <w:t>nutritional profile, energy values, and overall forage quality of hydroponically cultivated barley to determine its suitability as a high-quality feed source. Also, this study aimed to achieve higher yields by optimizing germination conditions, specifically examining the effects of soaking and pre-germination temperatures and durations on barley seeds within a hydroponic system. This study hypothesizes that pre-</w:t>
      </w:r>
      <w:r w:rsidR="00C0070A" w:rsidRPr="00F12874">
        <w:rPr>
          <w:rFonts w:ascii="Arial" w:hAnsi="Arial" w:cs="Arial"/>
        </w:rPr>
        <w:t>moistening</w:t>
      </w:r>
      <w:r w:rsidR="00C0070A">
        <w:rPr>
          <w:rFonts w:ascii="Arial" w:hAnsi="Arial" w:cs="Arial"/>
          <w:color w:val="FF0000"/>
        </w:rPr>
        <w:t xml:space="preserve"> </w:t>
      </w:r>
      <w:r w:rsidRPr="005405DE">
        <w:rPr>
          <w:rFonts w:ascii="Arial" w:hAnsi="Arial" w:cs="Arial"/>
        </w:rPr>
        <w:t>barley seeds under cold conditions will enhance their germination rate, leading to faster growth and achieving the desired yield in a shorter time frame than seeds not exposed to cooling treatments.</w:t>
      </w:r>
    </w:p>
    <w:p w14:paraId="1B8DE56F" w14:textId="77777777" w:rsidR="00790ADA" w:rsidRPr="00FB3A86" w:rsidRDefault="00790ADA" w:rsidP="00441B6F">
      <w:pPr>
        <w:pStyle w:val="Body"/>
        <w:spacing w:after="0"/>
        <w:rPr>
          <w:rFonts w:ascii="Arial" w:hAnsi="Arial" w:cs="Arial"/>
        </w:rPr>
      </w:pPr>
    </w:p>
    <w:p w14:paraId="2DA78F1E" w14:textId="11902BB8" w:rsidR="007F7B32" w:rsidRDefault="00902823" w:rsidP="00441B6F">
      <w:pPr>
        <w:pStyle w:val="AbstHead"/>
        <w:spacing w:after="0"/>
        <w:jc w:val="both"/>
        <w:rPr>
          <w:rFonts w:ascii="Arial" w:hAnsi="Arial" w:cs="Arial"/>
        </w:rPr>
      </w:pPr>
      <w:r>
        <w:rPr>
          <w:rFonts w:ascii="Arial" w:hAnsi="Arial" w:cs="Arial"/>
        </w:rPr>
        <w:t>2. material</w:t>
      </w:r>
      <w:r w:rsidR="00CF70C8">
        <w:rPr>
          <w:rFonts w:ascii="Arial" w:hAnsi="Arial" w:cs="Arial"/>
        </w:rPr>
        <w:t>S</w:t>
      </w:r>
      <w:r>
        <w:rPr>
          <w:rFonts w:ascii="Arial" w:hAnsi="Arial" w:cs="Arial"/>
        </w:rPr>
        <w:t xml:space="preserve"> and method</w:t>
      </w:r>
      <w:r w:rsidR="00000F8F">
        <w:rPr>
          <w:rFonts w:ascii="Arial" w:hAnsi="Arial" w:cs="Arial"/>
        </w:rPr>
        <w:t xml:space="preserve">s </w:t>
      </w:r>
    </w:p>
    <w:p w14:paraId="102A49CB" w14:textId="77777777" w:rsidR="00790ADA" w:rsidRPr="00FB3A86" w:rsidRDefault="00790ADA" w:rsidP="00441B6F">
      <w:pPr>
        <w:pStyle w:val="AbstHead"/>
        <w:spacing w:after="0"/>
        <w:jc w:val="both"/>
        <w:rPr>
          <w:rFonts w:ascii="Arial" w:hAnsi="Arial" w:cs="Arial"/>
        </w:rPr>
      </w:pPr>
    </w:p>
    <w:p w14:paraId="6C0200C0" w14:textId="4EF5486A" w:rsidR="00861A7A" w:rsidRPr="00B77CC4" w:rsidRDefault="00861A7A" w:rsidP="00861A7A">
      <w:pPr>
        <w:pStyle w:val="Body"/>
        <w:rPr>
          <w:rFonts w:ascii="Arial" w:hAnsi="Arial" w:cs="Arial"/>
          <w:b/>
          <w:caps/>
          <w:sz w:val="22"/>
        </w:rPr>
      </w:pPr>
      <w:r w:rsidRPr="00B77CC4">
        <w:rPr>
          <w:rFonts w:ascii="Arial" w:hAnsi="Arial" w:cs="Arial"/>
          <w:b/>
          <w:caps/>
          <w:sz w:val="22"/>
        </w:rPr>
        <w:t xml:space="preserve">2.1. </w:t>
      </w:r>
      <w:r w:rsidR="00796CCD" w:rsidRPr="00B77CC4">
        <w:rPr>
          <w:rFonts w:ascii="Arial" w:hAnsi="Arial" w:cs="Arial"/>
          <w:b/>
          <w:sz w:val="22"/>
        </w:rPr>
        <w:t xml:space="preserve">Plant Material </w:t>
      </w:r>
      <w:r w:rsidR="00D7572E" w:rsidRPr="00B77CC4">
        <w:rPr>
          <w:rFonts w:ascii="Arial" w:hAnsi="Arial" w:cs="Arial"/>
          <w:b/>
          <w:sz w:val="22"/>
        </w:rPr>
        <w:t>and</w:t>
      </w:r>
      <w:r w:rsidR="00796CCD" w:rsidRPr="00B77CC4">
        <w:rPr>
          <w:rFonts w:ascii="Arial" w:hAnsi="Arial" w:cs="Arial"/>
          <w:b/>
          <w:sz w:val="22"/>
        </w:rPr>
        <w:t xml:space="preserve"> Germination Conditions</w:t>
      </w:r>
    </w:p>
    <w:p w14:paraId="600E555C" w14:textId="366698A3" w:rsidR="00D6239C" w:rsidRDefault="00683CD4" w:rsidP="00D7572E">
      <w:pPr>
        <w:pStyle w:val="Body"/>
        <w:rPr>
          <w:rFonts w:ascii="Arial" w:hAnsi="Arial" w:cs="Arial"/>
        </w:rPr>
      </w:pPr>
      <w:r>
        <w:rPr>
          <w:rFonts w:ascii="Arial" w:hAnsi="Arial" w:cs="Arial"/>
        </w:rPr>
        <w:t>B</w:t>
      </w:r>
      <w:r w:rsidR="00466CFC" w:rsidRPr="00466CFC">
        <w:rPr>
          <w:rFonts w:ascii="Arial" w:hAnsi="Arial" w:cs="Arial"/>
        </w:rPr>
        <w:t>arley seeds (</w:t>
      </w:r>
      <w:r w:rsidR="00466CFC" w:rsidRPr="00466CFC">
        <w:rPr>
          <w:rFonts w:ascii="Arial" w:hAnsi="Arial" w:cs="Arial"/>
          <w:i/>
          <w:iCs/>
        </w:rPr>
        <w:t>Hordeum vulgare</w:t>
      </w:r>
      <w:r w:rsidR="00466CFC" w:rsidRPr="00466CFC">
        <w:rPr>
          <w:rFonts w:ascii="Arial" w:hAnsi="Arial" w:cs="Arial"/>
        </w:rPr>
        <w:t xml:space="preserve"> L.</w:t>
      </w:r>
      <w:r>
        <w:rPr>
          <w:rFonts w:ascii="Arial" w:hAnsi="Arial" w:cs="Arial"/>
        </w:rPr>
        <w:t xml:space="preserve">; </w:t>
      </w:r>
      <w:r w:rsidRPr="00683CD4">
        <w:rPr>
          <w:rFonts w:ascii="Arial" w:hAnsi="Arial" w:cs="Arial"/>
        </w:rPr>
        <w:t>Finola variety</w:t>
      </w:r>
      <w:r w:rsidR="00466CFC" w:rsidRPr="00466CFC">
        <w:rPr>
          <w:rFonts w:ascii="Arial" w:hAnsi="Arial" w:cs="Arial"/>
        </w:rPr>
        <w:t xml:space="preserve">) were obtained from </w:t>
      </w:r>
      <w:proofErr w:type="spellStart"/>
      <w:r w:rsidR="00DF0605" w:rsidRPr="00683CD4">
        <w:rPr>
          <w:rFonts w:ascii="Arial" w:hAnsi="Arial" w:cs="Arial"/>
        </w:rPr>
        <w:t>Amasya</w:t>
      </w:r>
      <w:proofErr w:type="spellEnd"/>
      <w:r w:rsidR="00DF0605" w:rsidRPr="00683CD4">
        <w:rPr>
          <w:rFonts w:ascii="Arial" w:hAnsi="Arial" w:cs="Arial"/>
        </w:rPr>
        <w:t xml:space="preserve"> Province</w:t>
      </w:r>
      <w:r w:rsidR="00EA5D8D" w:rsidRPr="00683CD4">
        <w:rPr>
          <w:rFonts w:ascii="Arial" w:hAnsi="Arial" w:cs="Arial"/>
        </w:rPr>
        <w:t xml:space="preserve">, </w:t>
      </w:r>
      <w:proofErr w:type="spellStart"/>
      <w:r w:rsidR="00EA5D8D" w:rsidRPr="00683CD4">
        <w:rPr>
          <w:rFonts w:ascii="Arial" w:hAnsi="Arial" w:cs="Arial"/>
        </w:rPr>
        <w:t>Türkiye</w:t>
      </w:r>
      <w:proofErr w:type="spellEnd"/>
      <w:r>
        <w:rPr>
          <w:rFonts w:ascii="Arial" w:hAnsi="Arial" w:cs="Arial"/>
        </w:rPr>
        <w:t>,</w:t>
      </w:r>
      <w:r w:rsidR="00EA5D8D">
        <w:rPr>
          <w:rFonts w:ascii="Arial" w:hAnsi="Arial" w:cs="Arial"/>
        </w:rPr>
        <w:t xml:space="preserve"> </w:t>
      </w:r>
      <w:r w:rsidR="00466CFC" w:rsidRPr="00466CFC">
        <w:rPr>
          <w:rFonts w:ascii="Arial" w:hAnsi="Arial" w:cs="Arial"/>
        </w:rPr>
        <w:t xml:space="preserve">and subjected to different pre-moistening treatments, varying in soaking duration and temperature conditions. The chemical composition and energy values of the barley seeds used in the experiment </w:t>
      </w:r>
      <w:r w:rsidR="00CD2129" w:rsidRPr="00683CD4">
        <w:rPr>
          <w:rFonts w:ascii="Arial" w:hAnsi="Arial" w:cs="Arial"/>
        </w:rPr>
        <w:t xml:space="preserve">were determined </w:t>
      </w:r>
      <w:r w:rsidR="00010FF8" w:rsidRPr="00683CD4">
        <w:rPr>
          <w:rFonts w:ascii="Arial" w:hAnsi="Arial" w:cs="Arial"/>
        </w:rPr>
        <w:t>as</w:t>
      </w:r>
      <w:r w:rsidR="00466CFC" w:rsidRPr="00466CFC">
        <w:rPr>
          <w:rFonts w:ascii="Arial" w:hAnsi="Arial" w:cs="Arial"/>
        </w:rPr>
        <w:t xml:space="preserve"> presented in Table 1.</w:t>
      </w:r>
    </w:p>
    <w:p w14:paraId="0C940770" w14:textId="2CD381AA" w:rsidR="00D6239C" w:rsidRPr="002B560D" w:rsidRDefault="00D6239C" w:rsidP="002B560D">
      <w:pPr>
        <w:tabs>
          <w:tab w:val="left" w:pos="1080"/>
        </w:tabs>
        <w:spacing w:after="120"/>
        <w:jc w:val="both"/>
        <w:rPr>
          <w:rFonts w:ascii="Arial" w:hAnsi="Arial"/>
          <w:b/>
        </w:rPr>
      </w:pPr>
      <w:r w:rsidRPr="002B560D">
        <w:rPr>
          <w:rFonts w:ascii="Arial" w:hAnsi="Arial"/>
          <w:b/>
        </w:rPr>
        <w:t>Table 1. Nutrient contents, cell wall components</w:t>
      </w:r>
      <w:r w:rsidR="00335EF0" w:rsidRPr="002B560D">
        <w:rPr>
          <w:rFonts w:ascii="Arial" w:hAnsi="Arial"/>
          <w:b/>
        </w:rPr>
        <w:t>,</w:t>
      </w:r>
      <w:r w:rsidRPr="002B560D">
        <w:rPr>
          <w:rFonts w:ascii="Arial" w:hAnsi="Arial"/>
          <w:b/>
        </w:rPr>
        <w:t xml:space="preserve"> and energy values of the barley used in the experiment, DM%</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1686"/>
      </w:tblGrid>
      <w:tr w:rsidR="00D6239C" w:rsidRPr="00D6239C" w14:paraId="3A8AF25A" w14:textId="77777777" w:rsidTr="00CF3049">
        <w:trPr>
          <w:trHeight w:val="288"/>
          <w:jc w:val="center"/>
        </w:trPr>
        <w:tc>
          <w:tcPr>
            <w:tcW w:w="4729" w:type="dxa"/>
            <w:tcBorders>
              <w:top w:val="single" w:sz="4" w:space="0" w:color="000000"/>
              <w:bottom w:val="single" w:sz="4" w:space="0" w:color="000000"/>
            </w:tcBorders>
            <w:vAlign w:val="center"/>
          </w:tcPr>
          <w:p w14:paraId="25EE04C4" w14:textId="77777777" w:rsidR="00D6239C" w:rsidRPr="00D6239C" w:rsidRDefault="00D6239C" w:rsidP="00E77AEA">
            <w:pPr>
              <w:ind w:right="-514" w:firstLine="164"/>
              <w:jc w:val="both"/>
              <w:rPr>
                <w:rFonts w:asciiTheme="minorBidi" w:hAnsiTheme="minorBidi" w:cstheme="minorBidi"/>
                <w:b/>
                <w:bCs/>
                <w:sz w:val="20"/>
                <w:szCs w:val="20"/>
              </w:rPr>
            </w:pPr>
            <w:r w:rsidRPr="00D6239C">
              <w:rPr>
                <w:rFonts w:asciiTheme="minorBidi" w:hAnsiTheme="minorBidi" w:cstheme="minorBidi"/>
                <w:b/>
                <w:bCs/>
                <w:sz w:val="20"/>
                <w:szCs w:val="20"/>
              </w:rPr>
              <w:t xml:space="preserve">Item </w:t>
            </w:r>
          </w:p>
        </w:tc>
        <w:tc>
          <w:tcPr>
            <w:tcW w:w="1686" w:type="dxa"/>
            <w:tcBorders>
              <w:top w:val="single" w:sz="4" w:space="0" w:color="000000"/>
              <w:bottom w:val="single" w:sz="4" w:space="0" w:color="000000"/>
            </w:tcBorders>
            <w:vAlign w:val="center"/>
          </w:tcPr>
          <w:p w14:paraId="3739AC12" w14:textId="77777777" w:rsidR="00D6239C" w:rsidRPr="00CF3049" w:rsidRDefault="00D6239C" w:rsidP="00AD6497">
            <w:pPr>
              <w:ind w:right="16"/>
              <w:jc w:val="center"/>
              <w:rPr>
                <w:rFonts w:asciiTheme="minorBidi" w:hAnsiTheme="minorBidi" w:cstheme="minorBidi"/>
                <w:b/>
                <w:bCs/>
                <w:sz w:val="20"/>
                <w:szCs w:val="20"/>
              </w:rPr>
            </w:pPr>
            <w:r w:rsidRPr="00CF3049">
              <w:rPr>
                <w:rFonts w:asciiTheme="minorBidi" w:hAnsiTheme="minorBidi" w:cstheme="minorBidi"/>
                <w:b/>
                <w:bCs/>
                <w:sz w:val="20"/>
                <w:szCs w:val="20"/>
              </w:rPr>
              <w:t>%</w:t>
            </w:r>
          </w:p>
        </w:tc>
      </w:tr>
      <w:tr w:rsidR="00D6239C" w:rsidRPr="00D6239C" w14:paraId="43BF11F5" w14:textId="77777777" w:rsidTr="009D77AF">
        <w:trPr>
          <w:trHeight w:val="144"/>
          <w:jc w:val="center"/>
        </w:trPr>
        <w:tc>
          <w:tcPr>
            <w:tcW w:w="4729" w:type="dxa"/>
            <w:tcBorders>
              <w:top w:val="single" w:sz="4" w:space="0" w:color="000000"/>
            </w:tcBorders>
            <w:vAlign w:val="center"/>
          </w:tcPr>
          <w:p w14:paraId="7F8028EE"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Dry matter</w:t>
            </w:r>
          </w:p>
        </w:tc>
        <w:tc>
          <w:tcPr>
            <w:tcW w:w="1686" w:type="dxa"/>
            <w:tcBorders>
              <w:top w:val="single" w:sz="4" w:space="0" w:color="000000"/>
            </w:tcBorders>
            <w:vAlign w:val="center"/>
          </w:tcPr>
          <w:p w14:paraId="72AF222D"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89.71</w:t>
            </w:r>
          </w:p>
        </w:tc>
      </w:tr>
      <w:tr w:rsidR="00D6239C" w:rsidRPr="00D6239C" w14:paraId="1858B667" w14:textId="77777777" w:rsidTr="009D77AF">
        <w:trPr>
          <w:trHeight w:val="144"/>
          <w:jc w:val="center"/>
        </w:trPr>
        <w:tc>
          <w:tcPr>
            <w:tcW w:w="4729" w:type="dxa"/>
            <w:vAlign w:val="center"/>
          </w:tcPr>
          <w:p w14:paraId="1420B65A"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color w:val="000000"/>
                <w:sz w:val="20"/>
                <w:szCs w:val="20"/>
              </w:rPr>
              <w:t>Organic matter</w:t>
            </w:r>
          </w:p>
        </w:tc>
        <w:tc>
          <w:tcPr>
            <w:tcW w:w="1686" w:type="dxa"/>
            <w:vAlign w:val="center"/>
          </w:tcPr>
          <w:p w14:paraId="46006613"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86.80</w:t>
            </w:r>
          </w:p>
        </w:tc>
      </w:tr>
      <w:tr w:rsidR="00D6239C" w:rsidRPr="00D6239C" w14:paraId="23F43355" w14:textId="77777777" w:rsidTr="009D77AF">
        <w:trPr>
          <w:trHeight w:val="144"/>
          <w:jc w:val="center"/>
        </w:trPr>
        <w:tc>
          <w:tcPr>
            <w:tcW w:w="4729" w:type="dxa"/>
            <w:vAlign w:val="center"/>
          </w:tcPr>
          <w:p w14:paraId="1E5A5C8B"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color w:val="000000"/>
                <w:sz w:val="20"/>
                <w:szCs w:val="20"/>
              </w:rPr>
              <w:t>Ash</w:t>
            </w:r>
          </w:p>
        </w:tc>
        <w:tc>
          <w:tcPr>
            <w:tcW w:w="1686" w:type="dxa"/>
            <w:vAlign w:val="center"/>
          </w:tcPr>
          <w:p w14:paraId="0B9D1325"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2.91</w:t>
            </w:r>
          </w:p>
        </w:tc>
      </w:tr>
      <w:tr w:rsidR="00D6239C" w:rsidRPr="00D6239C" w14:paraId="5A9EA57C" w14:textId="77777777" w:rsidTr="009D77AF">
        <w:trPr>
          <w:trHeight w:val="144"/>
          <w:jc w:val="center"/>
        </w:trPr>
        <w:tc>
          <w:tcPr>
            <w:tcW w:w="4729" w:type="dxa"/>
            <w:vAlign w:val="center"/>
          </w:tcPr>
          <w:p w14:paraId="6A6202E4"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Crude protein</w:t>
            </w:r>
          </w:p>
        </w:tc>
        <w:tc>
          <w:tcPr>
            <w:tcW w:w="1686" w:type="dxa"/>
            <w:vAlign w:val="center"/>
          </w:tcPr>
          <w:p w14:paraId="4D15DBD0"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11.81</w:t>
            </w:r>
          </w:p>
        </w:tc>
      </w:tr>
      <w:tr w:rsidR="00D6239C" w:rsidRPr="00D6239C" w14:paraId="141307D8" w14:textId="77777777" w:rsidTr="009D77AF">
        <w:trPr>
          <w:trHeight w:val="144"/>
          <w:jc w:val="center"/>
        </w:trPr>
        <w:tc>
          <w:tcPr>
            <w:tcW w:w="4729" w:type="dxa"/>
            <w:vAlign w:val="center"/>
          </w:tcPr>
          <w:p w14:paraId="133F679B"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Ether extract</w:t>
            </w:r>
          </w:p>
        </w:tc>
        <w:tc>
          <w:tcPr>
            <w:tcW w:w="1686" w:type="dxa"/>
            <w:vAlign w:val="center"/>
          </w:tcPr>
          <w:p w14:paraId="02766BD2"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3.41</w:t>
            </w:r>
          </w:p>
        </w:tc>
      </w:tr>
      <w:tr w:rsidR="00D6239C" w:rsidRPr="00D6239C" w14:paraId="2D53D1D2" w14:textId="77777777" w:rsidTr="009D77AF">
        <w:trPr>
          <w:trHeight w:val="144"/>
          <w:jc w:val="center"/>
        </w:trPr>
        <w:tc>
          <w:tcPr>
            <w:tcW w:w="4729" w:type="dxa"/>
            <w:vAlign w:val="center"/>
          </w:tcPr>
          <w:p w14:paraId="3920B7EC"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Crude fiber</w:t>
            </w:r>
          </w:p>
        </w:tc>
        <w:tc>
          <w:tcPr>
            <w:tcW w:w="1686" w:type="dxa"/>
            <w:vAlign w:val="center"/>
          </w:tcPr>
          <w:p w14:paraId="373CAA08"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5.74</w:t>
            </w:r>
          </w:p>
        </w:tc>
      </w:tr>
      <w:tr w:rsidR="00D6239C" w:rsidRPr="00D6239C" w14:paraId="14FB55A6" w14:textId="77777777" w:rsidTr="009D77AF">
        <w:trPr>
          <w:trHeight w:val="144"/>
          <w:jc w:val="center"/>
        </w:trPr>
        <w:tc>
          <w:tcPr>
            <w:tcW w:w="4729" w:type="dxa"/>
            <w:vAlign w:val="center"/>
          </w:tcPr>
          <w:p w14:paraId="03A521C3"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Nitrogen-free extracts</w:t>
            </w:r>
          </w:p>
        </w:tc>
        <w:tc>
          <w:tcPr>
            <w:tcW w:w="1686" w:type="dxa"/>
            <w:vAlign w:val="center"/>
          </w:tcPr>
          <w:p w14:paraId="710CD95A"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65.86</w:t>
            </w:r>
          </w:p>
        </w:tc>
      </w:tr>
      <w:tr w:rsidR="00D6239C" w:rsidRPr="00D6239C" w14:paraId="72D1991E" w14:textId="77777777" w:rsidTr="009D77AF">
        <w:trPr>
          <w:trHeight w:val="144"/>
          <w:jc w:val="center"/>
        </w:trPr>
        <w:tc>
          <w:tcPr>
            <w:tcW w:w="4729" w:type="dxa"/>
            <w:vAlign w:val="center"/>
          </w:tcPr>
          <w:p w14:paraId="09116FD7"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Neutral detergent fiber</w:t>
            </w:r>
          </w:p>
        </w:tc>
        <w:tc>
          <w:tcPr>
            <w:tcW w:w="1686" w:type="dxa"/>
            <w:vAlign w:val="center"/>
          </w:tcPr>
          <w:p w14:paraId="7CFC36DC"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25.11</w:t>
            </w:r>
          </w:p>
        </w:tc>
      </w:tr>
      <w:tr w:rsidR="00D6239C" w:rsidRPr="00D6239C" w14:paraId="0023FC2D" w14:textId="77777777" w:rsidTr="009D77AF">
        <w:trPr>
          <w:trHeight w:val="144"/>
          <w:jc w:val="center"/>
        </w:trPr>
        <w:tc>
          <w:tcPr>
            <w:tcW w:w="4729" w:type="dxa"/>
            <w:vAlign w:val="center"/>
          </w:tcPr>
          <w:p w14:paraId="6DEC1632"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color w:val="000000"/>
                <w:sz w:val="20"/>
                <w:szCs w:val="20"/>
              </w:rPr>
              <w:t>Acid detergent fiber</w:t>
            </w:r>
          </w:p>
        </w:tc>
        <w:tc>
          <w:tcPr>
            <w:tcW w:w="1686" w:type="dxa"/>
            <w:vAlign w:val="center"/>
          </w:tcPr>
          <w:p w14:paraId="151C7793"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9.14</w:t>
            </w:r>
          </w:p>
        </w:tc>
      </w:tr>
      <w:tr w:rsidR="00D6239C" w:rsidRPr="00D6239C" w14:paraId="3876307D" w14:textId="77777777" w:rsidTr="009D77AF">
        <w:trPr>
          <w:trHeight w:val="144"/>
          <w:jc w:val="center"/>
        </w:trPr>
        <w:tc>
          <w:tcPr>
            <w:tcW w:w="4729" w:type="dxa"/>
            <w:vAlign w:val="center"/>
          </w:tcPr>
          <w:p w14:paraId="7F8DFF8B"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color w:val="000000"/>
                <w:sz w:val="20"/>
                <w:szCs w:val="20"/>
              </w:rPr>
              <w:t>Acid detergent lignin</w:t>
            </w:r>
          </w:p>
        </w:tc>
        <w:tc>
          <w:tcPr>
            <w:tcW w:w="1686" w:type="dxa"/>
            <w:vAlign w:val="center"/>
          </w:tcPr>
          <w:p w14:paraId="0591765B"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1.33</w:t>
            </w:r>
          </w:p>
        </w:tc>
      </w:tr>
      <w:tr w:rsidR="00D6239C" w:rsidRPr="00D6239C" w14:paraId="50595F53" w14:textId="77777777" w:rsidTr="009D77AF">
        <w:trPr>
          <w:trHeight w:val="144"/>
          <w:jc w:val="center"/>
        </w:trPr>
        <w:tc>
          <w:tcPr>
            <w:tcW w:w="4729" w:type="dxa"/>
            <w:vAlign w:val="center"/>
          </w:tcPr>
          <w:p w14:paraId="292F046D" w14:textId="17325106"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sz w:val="20"/>
                <w:szCs w:val="20"/>
              </w:rPr>
              <w:t>Hemicellulose</w:t>
            </w:r>
          </w:p>
        </w:tc>
        <w:tc>
          <w:tcPr>
            <w:tcW w:w="1686" w:type="dxa"/>
            <w:vAlign w:val="center"/>
          </w:tcPr>
          <w:p w14:paraId="0BC99B59"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15.97</w:t>
            </w:r>
          </w:p>
        </w:tc>
      </w:tr>
      <w:tr w:rsidR="00D6239C" w:rsidRPr="00D6239C" w14:paraId="3AD9F149" w14:textId="77777777" w:rsidTr="009D77AF">
        <w:trPr>
          <w:trHeight w:val="144"/>
          <w:jc w:val="center"/>
        </w:trPr>
        <w:tc>
          <w:tcPr>
            <w:tcW w:w="4729" w:type="dxa"/>
            <w:vAlign w:val="center"/>
          </w:tcPr>
          <w:p w14:paraId="0FAAE39F" w14:textId="77777777" w:rsidR="00D6239C" w:rsidRPr="00D6239C" w:rsidRDefault="00D6239C" w:rsidP="00E77AEA">
            <w:pPr>
              <w:ind w:right="-514" w:firstLine="164"/>
              <w:jc w:val="both"/>
              <w:rPr>
                <w:rFonts w:asciiTheme="minorBidi" w:hAnsiTheme="minorBidi" w:cstheme="minorBidi"/>
                <w:sz w:val="20"/>
                <w:szCs w:val="20"/>
              </w:rPr>
            </w:pPr>
            <w:r w:rsidRPr="00D6239C">
              <w:rPr>
                <w:rFonts w:asciiTheme="minorBidi" w:hAnsiTheme="minorBidi" w:cstheme="minorBidi"/>
                <w:color w:val="000000"/>
                <w:sz w:val="20"/>
                <w:szCs w:val="20"/>
              </w:rPr>
              <w:t>Cellulose</w:t>
            </w:r>
          </w:p>
        </w:tc>
        <w:tc>
          <w:tcPr>
            <w:tcW w:w="1686" w:type="dxa"/>
            <w:vAlign w:val="center"/>
          </w:tcPr>
          <w:p w14:paraId="29EB16E4"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color w:val="000000"/>
                <w:sz w:val="20"/>
                <w:szCs w:val="20"/>
              </w:rPr>
              <w:t>7.81</w:t>
            </w:r>
          </w:p>
        </w:tc>
      </w:tr>
      <w:tr w:rsidR="00D6239C" w:rsidRPr="00D6239C" w14:paraId="084D31E7" w14:textId="77777777" w:rsidTr="009D77AF">
        <w:trPr>
          <w:trHeight w:val="144"/>
          <w:jc w:val="center"/>
        </w:trPr>
        <w:tc>
          <w:tcPr>
            <w:tcW w:w="4729" w:type="dxa"/>
            <w:vAlign w:val="center"/>
          </w:tcPr>
          <w:p w14:paraId="560A49CC" w14:textId="77777777" w:rsidR="00D6239C" w:rsidRPr="00D6239C" w:rsidRDefault="00D6239C" w:rsidP="00E77AEA">
            <w:pPr>
              <w:ind w:right="-514" w:firstLine="164"/>
              <w:jc w:val="both"/>
              <w:rPr>
                <w:rFonts w:asciiTheme="minorBidi" w:hAnsiTheme="minorBidi" w:cstheme="minorBidi"/>
                <w:color w:val="000000"/>
                <w:sz w:val="20"/>
                <w:szCs w:val="20"/>
              </w:rPr>
            </w:pPr>
            <w:r w:rsidRPr="00D6239C">
              <w:rPr>
                <w:rFonts w:asciiTheme="minorBidi" w:hAnsiTheme="minorBidi" w:cstheme="minorBidi"/>
                <w:sz w:val="20"/>
                <w:szCs w:val="20"/>
              </w:rPr>
              <w:t xml:space="preserve">Metabolizable energy, </w:t>
            </w:r>
            <w:r w:rsidRPr="00D6239C">
              <w:rPr>
                <w:rFonts w:asciiTheme="minorBidi" w:hAnsiTheme="minorBidi" w:cstheme="minorBidi"/>
                <w:sz w:val="20"/>
                <w:szCs w:val="20"/>
                <w:lang w:val="sv-SE"/>
              </w:rPr>
              <w:t>MJ/kg DM</w:t>
            </w:r>
          </w:p>
        </w:tc>
        <w:tc>
          <w:tcPr>
            <w:tcW w:w="1686" w:type="dxa"/>
            <w:vAlign w:val="center"/>
          </w:tcPr>
          <w:p w14:paraId="63BDED80"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sz w:val="20"/>
                <w:szCs w:val="20"/>
              </w:rPr>
              <w:t>11.90</w:t>
            </w:r>
          </w:p>
        </w:tc>
      </w:tr>
      <w:tr w:rsidR="00D6239C" w:rsidRPr="00D6239C" w14:paraId="2951171D" w14:textId="77777777" w:rsidTr="009D77AF">
        <w:trPr>
          <w:trHeight w:val="144"/>
          <w:jc w:val="center"/>
        </w:trPr>
        <w:tc>
          <w:tcPr>
            <w:tcW w:w="4729" w:type="dxa"/>
            <w:vAlign w:val="center"/>
          </w:tcPr>
          <w:p w14:paraId="14801BB3" w14:textId="77777777" w:rsidR="00D6239C" w:rsidRPr="00D6239C" w:rsidRDefault="00D6239C" w:rsidP="00E77AEA">
            <w:pPr>
              <w:ind w:right="-514" w:firstLine="164"/>
              <w:jc w:val="both"/>
              <w:rPr>
                <w:rFonts w:asciiTheme="minorBidi" w:hAnsiTheme="minorBidi" w:cstheme="minorBidi"/>
                <w:color w:val="000000"/>
                <w:sz w:val="20"/>
                <w:szCs w:val="20"/>
                <w:lang w:val="sv-SE"/>
              </w:rPr>
            </w:pPr>
            <w:r w:rsidRPr="00D6239C">
              <w:rPr>
                <w:rFonts w:asciiTheme="minorBidi" w:hAnsiTheme="minorBidi" w:cstheme="minorBidi"/>
                <w:sz w:val="20"/>
                <w:szCs w:val="20"/>
                <w:lang w:val="sv-SE"/>
              </w:rPr>
              <w:t>Net energy, MJ/kg DM</w:t>
            </w:r>
          </w:p>
        </w:tc>
        <w:tc>
          <w:tcPr>
            <w:tcW w:w="1686" w:type="dxa"/>
            <w:vAlign w:val="center"/>
          </w:tcPr>
          <w:p w14:paraId="11B35F06"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sz w:val="20"/>
                <w:szCs w:val="20"/>
              </w:rPr>
              <w:t>8.64</w:t>
            </w:r>
          </w:p>
        </w:tc>
      </w:tr>
      <w:tr w:rsidR="00D6239C" w:rsidRPr="00D6239C" w14:paraId="0D8EDBE1" w14:textId="77777777" w:rsidTr="009D77AF">
        <w:trPr>
          <w:trHeight w:val="144"/>
          <w:jc w:val="center"/>
        </w:trPr>
        <w:tc>
          <w:tcPr>
            <w:tcW w:w="4729" w:type="dxa"/>
            <w:vAlign w:val="center"/>
          </w:tcPr>
          <w:p w14:paraId="26F07446" w14:textId="77777777" w:rsidR="00D6239C" w:rsidRPr="00D6239C" w:rsidRDefault="00D6239C" w:rsidP="00E77AEA">
            <w:pPr>
              <w:ind w:right="-514" w:firstLine="164"/>
              <w:jc w:val="both"/>
              <w:rPr>
                <w:rFonts w:asciiTheme="minorBidi" w:hAnsiTheme="minorBidi" w:cstheme="minorBidi"/>
                <w:color w:val="000000"/>
                <w:sz w:val="20"/>
                <w:szCs w:val="20"/>
              </w:rPr>
            </w:pPr>
            <w:r w:rsidRPr="00D6239C">
              <w:rPr>
                <w:rFonts w:asciiTheme="minorBidi" w:hAnsiTheme="minorBidi" w:cstheme="minorBidi"/>
                <w:sz w:val="20"/>
                <w:szCs w:val="20"/>
              </w:rPr>
              <w:t>Net energy lactation, MJ/kg DM</w:t>
            </w:r>
          </w:p>
        </w:tc>
        <w:tc>
          <w:tcPr>
            <w:tcW w:w="1686" w:type="dxa"/>
            <w:vAlign w:val="center"/>
          </w:tcPr>
          <w:p w14:paraId="71A978DE" w14:textId="77777777" w:rsidR="00D6239C" w:rsidRPr="00D6239C" w:rsidRDefault="00D6239C" w:rsidP="00335EF0">
            <w:pPr>
              <w:ind w:right="16"/>
              <w:jc w:val="center"/>
              <w:rPr>
                <w:rFonts w:asciiTheme="minorBidi" w:hAnsiTheme="minorBidi" w:cstheme="minorBidi"/>
                <w:sz w:val="20"/>
                <w:szCs w:val="20"/>
              </w:rPr>
            </w:pPr>
            <w:r w:rsidRPr="00D6239C">
              <w:rPr>
                <w:rFonts w:asciiTheme="minorBidi" w:hAnsiTheme="minorBidi" w:cstheme="minorBidi"/>
                <w:sz w:val="20"/>
                <w:szCs w:val="20"/>
              </w:rPr>
              <w:t>5.01</w:t>
            </w:r>
          </w:p>
        </w:tc>
      </w:tr>
    </w:tbl>
    <w:p w14:paraId="21200ACB" w14:textId="77777777" w:rsidR="00D6239C" w:rsidRDefault="00D6239C" w:rsidP="00A2150B">
      <w:pPr>
        <w:pStyle w:val="Body"/>
        <w:spacing w:after="0"/>
        <w:rPr>
          <w:rFonts w:ascii="Arial" w:hAnsi="Arial" w:cs="Arial"/>
        </w:rPr>
      </w:pPr>
    </w:p>
    <w:p w14:paraId="17AB046B" w14:textId="0E2EB192" w:rsidR="00466CFC" w:rsidRPr="00466CFC" w:rsidRDefault="00466CFC" w:rsidP="00466CFC">
      <w:pPr>
        <w:pStyle w:val="Body"/>
        <w:rPr>
          <w:rFonts w:ascii="Arial" w:hAnsi="Arial" w:cs="Arial"/>
        </w:rPr>
      </w:pPr>
      <w:r w:rsidRPr="00466CFC">
        <w:rPr>
          <w:rFonts w:ascii="Arial" w:hAnsi="Arial" w:cs="Arial"/>
        </w:rPr>
        <w:t>Germination was conducted under controlled laboratory conditions, with ambient temperatures ranging from 21.73 °C to 23.79 °C and relative humidity between 63.14% and 65.34%. Polyethylene trays (dimensions 40 × 43 × 6 cm) were used. Seeds were washed with distilled water, and then 190 grams of seeds were placed in the trays and soaked for germination. The trays were stacked on shelves in a complete randomized design with three replicates. The experimental treatments were as follows:</w:t>
      </w:r>
    </w:p>
    <w:p w14:paraId="16D545B5" w14:textId="3BD4DAB0" w:rsidR="00466CFC" w:rsidRPr="00466CFC" w:rsidRDefault="00466CFC" w:rsidP="00466CFC">
      <w:pPr>
        <w:pStyle w:val="Body"/>
        <w:spacing w:after="0"/>
        <w:rPr>
          <w:rFonts w:ascii="Arial" w:hAnsi="Arial" w:cs="Arial"/>
        </w:rPr>
      </w:pPr>
      <w:r w:rsidRPr="00466CFC">
        <w:rPr>
          <w:rFonts w:ascii="Arial" w:hAnsi="Arial" w:cs="Arial"/>
        </w:rPr>
        <w:t xml:space="preserve"> ROD: </w:t>
      </w:r>
      <w:r w:rsidR="007F2D28">
        <w:rPr>
          <w:rFonts w:ascii="Arial" w:hAnsi="Arial" w:cs="Arial"/>
        </w:rPr>
        <w:t>s</w:t>
      </w:r>
      <w:r w:rsidRPr="00466CFC">
        <w:rPr>
          <w:rFonts w:ascii="Arial" w:hAnsi="Arial" w:cs="Arial"/>
        </w:rPr>
        <w:t>oaking at room temperature for one day,</w:t>
      </w:r>
    </w:p>
    <w:p w14:paraId="0EDFDEA7" w14:textId="3D764768" w:rsidR="00466CFC" w:rsidRPr="00466CFC" w:rsidRDefault="00466CFC" w:rsidP="00466CFC">
      <w:pPr>
        <w:pStyle w:val="Body"/>
        <w:spacing w:after="0"/>
        <w:rPr>
          <w:rFonts w:ascii="Arial" w:hAnsi="Arial" w:cs="Arial"/>
        </w:rPr>
      </w:pPr>
      <w:r w:rsidRPr="00466CFC">
        <w:rPr>
          <w:rFonts w:ascii="Arial" w:hAnsi="Arial" w:cs="Arial"/>
        </w:rPr>
        <w:t xml:space="preserve">+4OD: </w:t>
      </w:r>
      <w:r w:rsidR="007F2D28">
        <w:rPr>
          <w:rFonts w:ascii="Arial" w:hAnsi="Arial" w:cs="Arial"/>
        </w:rPr>
        <w:t>s</w:t>
      </w:r>
      <w:r w:rsidRPr="00466CFC">
        <w:rPr>
          <w:rFonts w:ascii="Arial" w:hAnsi="Arial" w:cs="Arial"/>
        </w:rPr>
        <w:t>oaking followed by refrigeration at +4 °C for one day,</w:t>
      </w:r>
    </w:p>
    <w:p w14:paraId="3D6D56BE" w14:textId="0E585125" w:rsidR="00466CFC" w:rsidRPr="00466CFC" w:rsidRDefault="00466CFC" w:rsidP="00466CFC">
      <w:pPr>
        <w:pStyle w:val="Body"/>
        <w:spacing w:after="0"/>
        <w:rPr>
          <w:rFonts w:ascii="Arial" w:hAnsi="Arial" w:cs="Arial"/>
        </w:rPr>
      </w:pPr>
      <w:r w:rsidRPr="00466CFC">
        <w:rPr>
          <w:rFonts w:ascii="Arial" w:hAnsi="Arial" w:cs="Arial"/>
        </w:rPr>
        <w:t xml:space="preserve">+4TD: </w:t>
      </w:r>
      <w:r w:rsidR="007F2D28">
        <w:rPr>
          <w:rFonts w:ascii="Arial" w:hAnsi="Arial" w:cs="Arial"/>
        </w:rPr>
        <w:t>s</w:t>
      </w:r>
      <w:r w:rsidRPr="00466CFC">
        <w:rPr>
          <w:rFonts w:ascii="Arial" w:hAnsi="Arial" w:cs="Arial"/>
        </w:rPr>
        <w:t>oaking followed by refrigeration at +4 °C for three days,</w:t>
      </w:r>
    </w:p>
    <w:p w14:paraId="26A57D58" w14:textId="2D1EBA22" w:rsidR="00466CFC" w:rsidRPr="00466CFC" w:rsidRDefault="00466CFC" w:rsidP="00466CFC">
      <w:pPr>
        <w:pStyle w:val="Body"/>
        <w:spacing w:after="0"/>
        <w:rPr>
          <w:rFonts w:ascii="Arial" w:hAnsi="Arial" w:cs="Arial"/>
        </w:rPr>
      </w:pPr>
      <w:r w:rsidRPr="00466CFC">
        <w:rPr>
          <w:rFonts w:ascii="Arial" w:hAnsi="Arial" w:cs="Arial"/>
        </w:rPr>
        <w:t xml:space="preserve">-18OD: </w:t>
      </w:r>
      <w:r w:rsidR="007F2D28">
        <w:rPr>
          <w:rFonts w:ascii="Arial" w:hAnsi="Arial" w:cs="Arial"/>
        </w:rPr>
        <w:t>s</w:t>
      </w:r>
      <w:r w:rsidRPr="00466CFC">
        <w:rPr>
          <w:rFonts w:ascii="Arial" w:hAnsi="Arial" w:cs="Arial"/>
        </w:rPr>
        <w:t>oaking followed by freezing at -18 °C for one day,</w:t>
      </w:r>
    </w:p>
    <w:p w14:paraId="35C671AF" w14:textId="48AC2F74" w:rsidR="00466CFC" w:rsidRPr="00466CFC" w:rsidRDefault="00466CFC" w:rsidP="00466CFC">
      <w:pPr>
        <w:pStyle w:val="Body"/>
        <w:rPr>
          <w:rFonts w:ascii="Arial" w:hAnsi="Arial" w:cs="Arial"/>
        </w:rPr>
      </w:pPr>
      <w:r w:rsidRPr="00466CFC">
        <w:rPr>
          <w:rFonts w:ascii="Arial" w:hAnsi="Arial" w:cs="Arial"/>
        </w:rPr>
        <w:t xml:space="preserve">-18TD: </w:t>
      </w:r>
      <w:r w:rsidR="007F2D28">
        <w:rPr>
          <w:rFonts w:ascii="Arial" w:hAnsi="Arial" w:cs="Arial"/>
        </w:rPr>
        <w:t>s</w:t>
      </w:r>
      <w:r w:rsidRPr="00466CFC">
        <w:rPr>
          <w:rFonts w:ascii="Arial" w:hAnsi="Arial" w:cs="Arial"/>
        </w:rPr>
        <w:t>oaking followed by freezing at -18 °C for three days.</w:t>
      </w:r>
    </w:p>
    <w:p w14:paraId="375ACFEA" w14:textId="190422D0" w:rsidR="00861A7A" w:rsidRPr="00861A7A" w:rsidRDefault="00466CFC" w:rsidP="00466CFC">
      <w:pPr>
        <w:pStyle w:val="Body"/>
        <w:rPr>
          <w:rFonts w:ascii="Arial" w:hAnsi="Arial" w:cs="Arial"/>
        </w:rPr>
      </w:pPr>
      <w:r w:rsidRPr="00466CFC">
        <w:rPr>
          <w:rFonts w:ascii="Arial" w:hAnsi="Arial" w:cs="Arial"/>
        </w:rPr>
        <w:t>Trays were irrigated daily with tap water, and the experiment was terminated 11 days after sowing by harvesting the plants.</w:t>
      </w:r>
    </w:p>
    <w:p w14:paraId="31E720D8" w14:textId="2E9ABF90" w:rsidR="00861A7A" w:rsidRPr="00B77CC4" w:rsidRDefault="00861A7A" w:rsidP="00D7572E">
      <w:pPr>
        <w:pStyle w:val="Body"/>
        <w:rPr>
          <w:rFonts w:ascii="Arial" w:hAnsi="Arial" w:cs="Arial"/>
          <w:b/>
          <w:caps/>
          <w:sz w:val="22"/>
        </w:rPr>
      </w:pPr>
      <w:r w:rsidRPr="00B77CC4">
        <w:rPr>
          <w:rFonts w:ascii="Arial" w:hAnsi="Arial" w:cs="Arial"/>
          <w:b/>
          <w:caps/>
          <w:sz w:val="22"/>
        </w:rPr>
        <w:lastRenderedPageBreak/>
        <w:t xml:space="preserve">2.2. </w:t>
      </w:r>
      <w:r w:rsidR="00796CCD" w:rsidRPr="00B77CC4">
        <w:rPr>
          <w:rFonts w:ascii="Arial" w:hAnsi="Arial" w:cs="Arial"/>
          <w:b/>
          <w:sz w:val="22"/>
        </w:rPr>
        <w:t>Forage Yield</w:t>
      </w:r>
    </w:p>
    <w:p w14:paraId="0AE3DA56" w14:textId="4BA7DA40" w:rsidR="00861A7A" w:rsidRPr="00861A7A" w:rsidRDefault="00466CFC" w:rsidP="00861A7A">
      <w:pPr>
        <w:pStyle w:val="Body"/>
        <w:rPr>
          <w:rFonts w:ascii="Arial" w:hAnsi="Arial" w:cs="Arial"/>
        </w:rPr>
      </w:pPr>
      <w:r w:rsidRPr="00466CFC">
        <w:rPr>
          <w:rFonts w:ascii="Arial" w:hAnsi="Arial" w:cs="Arial"/>
        </w:rPr>
        <w:t xml:space="preserve">The forage yield data included plant height (cm), green and dry fodder weight (kg/kg seed). Plant height of the barley fodder was recorded daily from days 5 to 11. Two growth periods, 7 and 11 days, were considered; on these days of the experiment, </w:t>
      </w:r>
      <w:r w:rsidR="004D6F27">
        <w:rPr>
          <w:rFonts w:ascii="Arial" w:hAnsi="Arial" w:cs="Arial"/>
        </w:rPr>
        <w:t xml:space="preserve">plant height, </w:t>
      </w:r>
      <w:r w:rsidRPr="00466CFC">
        <w:rPr>
          <w:rFonts w:ascii="Arial" w:hAnsi="Arial" w:cs="Arial"/>
        </w:rPr>
        <w:t>fresh (green fodder)</w:t>
      </w:r>
      <w:r w:rsidR="00CF70C8">
        <w:rPr>
          <w:rFonts w:ascii="Arial" w:hAnsi="Arial" w:cs="Arial"/>
        </w:rPr>
        <w:t>,</w:t>
      </w:r>
      <w:r w:rsidRPr="00466CFC">
        <w:rPr>
          <w:rFonts w:ascii="Arial" w:hAnsi="Arial" w:cs="Arial"/>
        </w:rPr>
        <w:t xml:space="preserve"> and </w:t>
      </w:r>
      <w:r w:rsidRPr="00BF0C43">
        <w:rPr>
          <w:rFonts w:ascii="Arial" w:hAnsi="Arial" w:cs="Arial"/>
        </w:rPr>
        <w:t xml:space="preserve">dry fodder </w:t>
      </w:r>
      <w:r w:rsidRPr="00466CFC">
        <w:rPr>
          <w:rFonts w:ascii="Arial" w:hAnsi="Arial" w:cs="Arial"/>
        </w:rPr>
        <w:t>yields produced were determined.</w:t>
      </w:r>
      <w:r w:rsidR="00861A7A" w:rsidRPr="00861A7A">
        <w:rPr>
          <w:rFonts w:ascii="Arial" w:hAnsi="Arial" w:cs="Arial"/>
        </w:rPr>
        <w:t xml:space="preserve"> </w:t>
      </w:r>
    </w:p>
    <w:p w14:paraId="623BBCE1" w14:textId="541C2823" w:rsidR="00861A7A" w:rsidRPr="00B77CC4" w:rsidRDefault="00861A7A" w:rsidP="00861A7A">
      <w:pPr>
        <w:pStyle w:val="Body"/>
        <w:rPr>
          <w:rFonts w:ascii="Arial" w:hAnsi="Arial" w:cs="Arial"/>
          <w:b/>
          <w:caps/>
          <w:sz w:val="22"/>
        </w:rPr>
      </w:pPr>
      <w:r w:rsidRPr="00B77CC4">
        <w:rPr>
          <w:rFonts w:ascii="Arial" w:hAnsi="Arial" w:cs="Arial"/>
          <w:b/>
          <w:caps/>
          <w:sz w:val="22"/>
        </w:rPr>
        <w:t xml:space="preserve">2.3. </w:t>
      </w:r>
      <w:r w:rsidR="00796CCD" w:rsidRPr="00B77CC4">
        <w:rPr>
          <w:rFonts w:ascii="Arial" w:hAnsi="Arial" w:cs="Arial"/>
          <w:b/>
          <w:sz w:val="22"/>
        </w:rPr>
        <w:t>Chemical Analysis</w:t>
      </w:r>
    </w:p>
    <w:p w14:paraId="28C9E0F3" w14:textId="2AB86409" w:rsidR="00861A7A" w:rsidRPr="00861A7A" w:rsidRDefault="00466CFC" w:rsidP="00861A7A">
      <w:pPr>
        <w:pStyle w:val="Body"/>
        <w:rPr>
          <w:rFonts w:ascii="Arial" w:hAnsi="Arial" w:cs="Arial"/>
        </w:rPr>
      </w:pPr>
      <w:r w:rsidRPr="00466CFC">
        <w:rPr>
          <w:rFonts w:ascii="Arial" w:hAnsi="Arial" w:cs="Arial"/>
        </w:rPr>
        <w:t>The sprouts were oven-dried at 55 °C for 72 hours using a forced-air system. The dried material was then ground using a hammer mill equipped with a 1 mm screen to prepare it for subsequent chemical analysis. Determination of dry matter (DM), ash, and crude protein (CP) was conducted in accordance with the standard procedures outlined by AOAC (1998). Crude protein was estimated by multiplying the measured nitrogen content by a factor of 6.25, following the Kjeldahl method. Neutral detergent fiber (NDF), acid detergent fiber (ADF), acid detergent lignin (ADL), and crude fiber (CF) were quantified using the methodology of Van Soest et al. (1991) with an Ankom</w:t>
      </w:r>
      <w:r w:rsidRPr="00466CFC">
        <w:rPr>
          <w:rFonts w:ascii="Arial" w:hAnsi="Arial" w:cs="Arial"/>
          <w:vertAlign w:val="superscript"/>
        </w:rPr>
        <w:t>2000</w:t>
      </w:r>
      <w:r w:rsidRPr="00466CFC">
        <w:rPr>
          <w:rFonts w:ascii="Arial" w:hAnsi="Arial" w:cs="Arial"/>
        </w:rPr>
        <w:t xml:space="preserve"> semi-automated fiber analyzer (</w:t>
      </w:r>
      <w:proofErr w:type="spellStart"/>
      <w:r w:rsidRPr="00466CFC">
        <w:rPr>
          <w:rFonts w:ascii="Arial" w:hAnsi="Arial" w:cs="Arial"/>
        </w:rPr>
        <w:t>Ankom</w:t>
      </w:r>
      <w:proofErr w:type="spellEnd"/>
      <w:r w:rsidRPr="00466CFC">
        <w:rPr>
          <w:rFonts w:ascii="Arial" w:hAnsi="Arial" w:cs="Arial"/>
        </w:rPr>
        <w:t xml:space="preserve"> Technology, USA). Ether extract (EE) content was analyzed using the </w:t>
      </w:r>
      <w:proofErr w:type="spellStart"/>
      <w:r w:rsidRPr="00466CFC">
        <w:rPr>
          <w:rFonts w:ascii="Arial" w:hAnsi="Arial" w:cs="Arial"/>
        </w:rPr>
        <w:t>Ankom</w:t>
      </w:r>
      <w:proofErr w:type="spellEnd"/>
      <w:r w:rsidRPr="00466CFC">
        <w:rPr>
          <w:rFonts w:ascii="Arial" w:hAnsi="Arial" w:cs="Arial"/>
        </w:rPr>
        <w:t xml:space="preserve"> XT</w:t>
      </w:r>
      <w:r w:rsidRPr="00466CFC">
        <w:rPr>
          <w:rFonts w:ascii="Arial" w:hAnsi="Arial" w:cs="Arial"/>
          <w:vertAlign w:val="superscript"/>
        </w:rPr>
        <w:t>15</w:t>
      </w:r>
      <w:r w:rsidRPr="00466CFC">
        <w:rPr>
          <w:rFonts w:ascii="Arial" w:hAnsi="Arial" w:cs="Arial"/>
        </w:rPr>
        <w:t xml:space="preserve"> extraction system (</w:t>
      </w:r>
      <w:proofErr w:type="spellStart"/>
      <w:r w:rsidRPr="00466CFC">
        <w:rPr>
          <w:rFonts w:ascii="Arial" w:hAnsi="Arial" w:cs="Arial"/>
        </w:rPr>
        <w:t>Ankom</w:t>
      </w:r>
      <w:proofErr w:type="spellEnd"/>
      <w:r w:rsidRPr="00466CFC">
        <w:rPr>
          <w:rFonts w:ascii="Arial" w:hAnsi="Arial" w:cs="Arial"/>
        </w:rPr>
        <w:t>, 2003). Organic matter (OM) and nitrogen-free extract (NFE) were determined by calculation. All chemical analyses of samples were carried out in triplicate.</w:t>
      </w:r>
    </w:p>
    <w:p w14:paraId="63C7A29E" w14:textId="7497CCAF" w:rsidR="00861A7A" w:rsidRPr="00B77CC4" w:rsidRDefault="00861A7A" w:rsidP="00861A7A">
      <w:pPr>
        <w:pStyle w:val="Body"/>
        <w:rPr>
          <w:rFonts w:ascii="Arial" w:hAnsi="Arial" w:cs="Arial"/>
          <w:b/>
          <w:caps/>
          <w:sz w:val="22"/>
        </w:rPr>
      </w:pPr>
      <w:r w:rsidRPr="00B77CC4">
        <w:rPr>
          <w:rFonts w:ascii="Arial" w:hAnsi="Arial" w:cs="Arial"/>
          <w:b/>
          <w:caps/>
          <w:sz w:val="22"/>
        </w:rPr>
        <w:t xml:space="preserve">2.4. </w:t>
      </w:r>
      <w:r w:rsidR="00796CCD" w:rsidRPr="00B77CC4">
        <w:rPr>
          <w:rFonts w:ascii="Arial" w:hAnsi="Arial" w:cs="Arial"/>
          <w:b/>
          <w:sz w:val="22"/>
        </w:rPr>
        <w:t xml:space="preserve">Energy Values </w:t>
      </w:r>
    </w:p>
    <w:p w14:paraId="75A7E8B5" w14:textId="0963C239" w:rsidR="00466CFC" w:rsidRPr="00466CFC" w:rsidRDefault="00466CFC" w:rsidP="00466CFC">
      <w:pPr>
        <w:pStyle w:val="Body"/>
        <w:rPr>
          <w:rFonts w:ascii="Arial" w:hAnsi="Arial" w:cs="Arial"/>
        </w:rPr>
      </w:pPr>
      <w:r w:rsidRPr="00466CFC">
        <w:rPr>
          <w:rFonts w:ascii="Arial" w:hAnsi="Arial" w:cs="Arial"/>
        </w:rPr>
        <w:t>The energy content of the germinated barley fodder, including metabolizable energy (ME), net energy (NE), and net energy for lactation (NE</w:t>
      </w:r>
      <w:r w:rsidRPr="00466CFC">
        <w:rPr>
          <w:rFonts w:ascii="Arial" w:hAnsi="Arial" w:cs="Arial"/>
          <w:vertAlign w:val="subscript"/>
        </w:rPr>
        <w:t>L</w:t>
      </w:r>
      <w:r w:rsidRPr="00466CFC">
        <w:rPr>
          <w:rFonts w:ascii="Arial" w:hAnsi="Arial" w:cs="Arial"/>
        </w:rPr>
        <w:t>), was estimated using established predictive equations,</w:t>
      </w:r>
      <w:r w:rsidR="007D61DE">
        <w:rPr>
          <w:rFonts w:ascii="Arial" w:hAnsi="Arial" w:cs="Arial"/>
        </w:rPr>
        <w:t xml:space="preserve"> </w:t>
      </w:r>
      <w:r w:rsidR="007D61DE" w:rsidRPr="00BF0C43">
        <w:rPr>
          <w:rFonts w:ascii="Arial" w:hAnsi="Arial" w:cs="Arial"/>
        </w:rPr>
        <w:t>respectively</w:t>
      </w:r>
      <w:r w:rsidR="007D61DE">
        <w:rPr>
          <w:rFonts w:ascii="Arial" w:hAnsi="Arial" w:cs="Arial"/>
        </w:rPr>
        <w:t>,</w:t>
      </w:r>
      <w:r w:rsidRPr="00466CFC">
        <w:rPr>
          <w:rFonts w:ascii="Arial" w:hAnsi="Arial" w:cs="Arial"/>
        </w:rPr>
        <w:t xml:space="preserve"> as described by </w:t>
      </w:r>
      <w:proofErr w:type="spellStart"/>
      <w:r w:rsidRPr="00466CFC">
        <w:rPr>
          <w:rFonts w:ascii="Arial" w:hAnsi="Arial" w:cs="Arial"/>
        </w:rPr>
        <w:t>Undersander</w:t>
      </w:r>
      <w:proofErr w:type="spellEnd"/>
      <w:r w:rsidRPr="00466CFC">
        <w:rPr>
          <w:rFonts w:ascii="Arial" w:hAnsi="Arial" w:cs="Arial"/>
        </w:rPr>
        <w:t xml:space="preserve"> et al. (2002), Pflueger et al. (2020), and Wahyono et al. (2021):</w:t>
      </w:r>
    </w:p>
    <w:p w14:paraId="59F250FA" w14:textId="77777777" w:rsidR="00466CFC" w:rsidRPr="00466CFC" w:rsidRDefault="00466CFC" w:rsidP="00466CFC">
      <w:pPr>
        <w:pStyle w:val="Body"/>
        <w:spacing w:after="0"/>
        <w:rPr>
          <w:rFonts w:ascii="Arial" w:hAnsi="Arial" w:cs="Arial"/>
        </w:rPr>
      </w:pPr>
      <w:r w:rsidRPr="00466CFC">
        <w:rPr>
          <w:rFonts w:ascii="Arial" w:hAnsi="Arial" w:cs="Arial"/>
        </w:rPr>
        <w:t>ME (MJ/kg DM) = (0.17 × %DMD) – 2</w:t>
      </w:r>
    </w:p>
    <w:p w14:paraId="401971D1" w14:textId="77777777" w:rsidR="00466CFC" w:rsidRPr="00466CFC" w:rsidRDefault="00466CFC" w:rsidP="00466CFC">
      <w:pPr>
        <w:pStyle w:val="Body"/>
        <w:spacing w:after="0"/>
        <w:rPr>
          <w:rFonts w:ascii="Arial" w:hAnsi="Arial" w:cs="Arial"/>
        </w:rPr>
      </w:pPr>
      <w:r w:rsidRPr="00466CFC">
        <w:rPr>
          <w:rFonts w:ascii="Arial" w:hAnsi="Arial" w:cs="Arial"/>
        </w:rPr>
        <w:t>NE (</w:t>
      </w:r>
      <w:proofErr w:type="spellStart"/>
      <w:r w:rsidRPr="00466CFC">
        <w:rPr>
          <w:rFonts w:ascii="Arial" w:hAnsi="Arial" w:cs="Arial"/>
        </w:rPr>
        <w:t>Mcal</w:t>
      </w:r>
      <w:proofErr w:type="spellEnd"/>
      <w:r w:rsidRPr="00466CFC">
        <w:rPr>
          <w:rFonts w:ascii="Arial" w:hAnsi="Arial" w:cs="Arial"/>
        </w:rPr>
        <w:t>/kg DM) = (0.0307 × TDN) – 0.764</w:t>
      </w:r>
    </w:p>
    <w:p w14:paraId="2B304774" w14:textId="77777777" w:rsidR="00466CFC" w:rsidRPr="00466CFC" w:rsidRDefault="00466CFC" w:rsidP="00466CFC">
      <w:pPr>
        <w:pStyle w:val="Body"/>
        <w:rPr>
          <w:rFonts w:ascii="Arial" w:hAnsi="Arial" w:cs="Arial"/>
        </w:rPr>
      </w:pPr>
      <w:r w:rsidRPr="00466CFC">
        <w:rPr>
          <w:rFonts w:ascii="Arial" w:hAnsi="Arial" w:cs="Arial"/>
        </w:rPr>
        <w:t>NE</w:t>
      </w:r>
      <w:r w:rsidRPr="00466CFC">
        <w:rPr>
          <w:rFonts w:ascii="Arial" w:hAnsi="Arial" w:cs="Arial"/>
          <w:vertAlign w:val="subscript"/>
        </w:rPr>
        <w:t>L</w:t>
      </w:r>
      <w:r w:rsidRPr="00466CFC">
        <w:rPr>
          <w:rFonts w:ascii="Arial" w:hAnsi="Arial" w:cs="Arial"/>
        </w:rPr>
        <w:t xml:space="preserve"> (</w:t>
      </w:r>
      <w:proofErr w:type="spellStart"/>
      <w:r w:rsidRPr="00466CFC">
        <w:rPr>
          <w:rFonts w:ascii="Arial" w:hAnsi="Arial" w:cs="Arial"/>
        </w:rPr>
        <w:t>Mcal</w:t>
      </w:r>
      <w:proofErr w:type="spellEnd"/>
      <w:r w:rsidRPr="00466CFC">
        <w:rPr>
          <w:rFonts w:ascii="Arial" w:hAnsi="Arial" w:cs="Arial"/>
        </w:rPr>
        <w:t>/kg DM) = 1.085 + (0.0124 × ADL)</w:t>
      </w:r>
    </w:p>
    <w:p w14:paraId="1F34262F" w14:textId="7631EF86" w:rsidR="00861A7A" w:rsidRPr="00861A7A" w:rsidRDefault="00466CFC" w:rsidP="00466CFC">
      <w:pPr>
        <w:pStyle w:val="Body"/>
        <w:rPr>
          <w:rFonts w:ascii="Arial" w:hAnsi="Arial" w:cs="Arial"/>
        </w:rPr>
      </w:pPr>
      <w:r w:rsidRPr="00466CFC">
        <w:rPr>
          <w:rFonts w:ascii="Arial" w:hAnsi="Arial" w:cs="Arial"/>
        </w:rPr>
        <w:t>The NE and NE</w:t>
      </w:r>
      <w:r w:rsidRPr="00466CFC">
        <w:rPr>
          <w:rFonts w:ascii="Arial" w:hAnsi="Arial" w:cs="Arial"/>
          <w:vertAlign w:val="subscript"/>
        </w:rPr>
        <w:t xml:space="preserve">L </w:t>
      </w:r>
      <w:r w:rsidRPr="00466CFC">
        <w:rPr>
          <w:rFonts w:ascii="Arial" w:hAnsi="Arial" w:cs="Arial"/>
        </w:rPr>
        <w:t>values were subsequently converted to megajoules per kilogram of dry matter (MJ/kg DM) using the conversion factor of 1 calorie = 4.184 joules.</w:t>
      </w:r>
    </w:p>
    <w:p w14:paraId="2EA98AFA" w14:textId="16D4E6BA" w:rsidR="00861A7A" w:rsidRPr="00B77CC4" w:rsidRDefault="00861A7A" w:rsidP="00861A7A">
      <w:pPr>
        <w:pStyle w:val="Body"/>
        <w:rPr>
          <w:rFonts w:ascii="Arial" w:hAnsi="Arial" w:cs="Arial"/>
          <w:b/>
          <w:caps/>
          <w:sz w:val="22"/>
        </w:rPr>
      </w:pPr>
      <w:r w:rsidRPr="00B77CC4">
        <w:rPr>
          <w:rFonts w:ascii="Arial" w:hAnsi="Arial" w:cs="Arial"/>
          <w:b/>
          <w:caps/>
          <w:sz w:val="22"/>
        </w:rPr>
        <w:t xml:space="preserve">2.5. </w:t>
      </w:r>
      <w:r w:rsidR="00796CCD" w:rsidRPr="00B77CC4">
        <w:rPr>
          <w:rFonts w:ascii="Arial" w:hAnsi="Arial" w:cs="Arial"/>
          <w:b/>
          <w:sz w:val="22"/>
        </w:rPr>
        <w:t xml:space="preserve">Relative Feed Value </w:t>
      </w:r>
      <w:r w:rsidR="002B2985" w:rsidRPr="00B77CC4">
        <w:rPr>
          <w:rFonts w:ascii="Arial" w:hAnsi="Arial" w:cs="Arial"/>
          <w:b/>
          <w:sz w:val="22"/>
        </w:rPr>
        <w:t>and</w:t>
      </w:r>
      <w:r w:rsidR="00796CCD" w:rsidRPr="00B77CC4">
        <w:rPr>
          <w:rFonts w:ascii="Arial" w:hAnsi="Arial" w:cs="Arial"/>
          <w:b/>
          <w:sz w:val="22"/>
        </w:rPr>
        <w:t xml:space="preserve"> </w:t>
      </w:r>
      <w:r w:rsidR="000E5522" w:rsidRPr="00BF0C43">
        <w:rPr>
          <w:rFonts w:ascii="Arial" w:hAnsi="Arial" w:cs="Arial"/>
          <w:b/>
          <w:sz w:val="22"/>
        </w:rPr>
        <w:t>Relative</w:t>
      </w:r>
      <w:r w:rsidR="000E5522">
        <w:rPr>
          <w:rFonts w:ascii="Arial" w:hAnsi="Arial" w:cs="Arial"/>
          <w:b/>
          <w:sz w:val="22"/>
        </w:rPr>
        <w:t xml:space="preserve"> </w:t>
      </w:r>
      <w:r w:rsidR="00796CCD" w:rsidRPr="00B77CC4">
        <w:rPr>
          <w:rFonts w:ascii="Arial" w:hAnsi="Arial" w:cs="Arial"/>
          <w:b/>
          <w:sz w:val="22"/>
        </w:rPr>
        <w:t xml:space="preserve">Forage Quality </w:t>
      </w:r>
    </w:p>
    <w:p w14:paraId="268DEE7B" w14:textId="77777777" w:rsidR="00466CFC" w:rsidRPr="00466CFC" w:rsidRDefault="00466CFC" w:rsidP="00466CFC">
      <w:pPr>
        <w:pStyle w:val="Body"/>
        <w:rPr>
          <w:rFonts w:ascii="Arial" w:hAnsi="Arial" w:cs="Arial"/>
        </w:rPr>
      </w:pPr>
      <w:r w:rsidRPr="00466CFC">
        <w:rPr>
          <w:rFonts w:ascii="Arial" w:hAnsi="Arial" w:cs="Arial"/>
        </w:rPr>
        <w:t>Forage quality was evaluated using Relative Feed Value (RFV) and Relative Forage Quality (RFQ). The RFV was used to determine the forage quality of the barley fodders, according to Rohweder et al. (1978) and Kuehn et al. (1999):</w:t>
      </w:r>
    </w:p>
    <w:p w14:paraId="2E029E4E" w14:textId="77777777" w:rsidR="00466CFC" w:rsidRPr="00466CFC" w:rsidRDefault="00466CFC" w:rsidP="00466CFC">
      <w:pPr>
        <w:pStyle w:val="Body"/>
        <w:spacing w:after="0"/>
        <w:rPr>
          <w:rFonts w:ascii="Arial" w:hAnsi="Arial" w:cs="Arial"/>
        </w:rPr>
      </w:pPr>
      <w:r w:rsidRPr="00466CFC">
        <w:rPr>
          <w:rFonts w:ascii="Arial" w:hAnsi="Arial" w:cs="Arial"/>
        </w:rPr>
        <w:t>Dry matter digestibility (DMD, %) = 88.9 – (0.779 × ADF%)</w:t>
      </w:r>
    </w:p>
    <w:p w14:paraId="357FE3F6" w14:textId="77777777" w:rsidR="00466CFC" w:rsidRPr="00466CFC" w:rsidRDefault="00466CFC" w:rsidP="00466CFC">
      <w:pPr>
        <w:pStyle w:val="Body"/>
        <w:spacing w:after="0"/>
        <w:rPr>
          <w:rFonts w:ascii="Arial" w:hAnsi="Arial" w:cs="Arial"/>
        </w:rPr>
      </w:pPr>
      <w:r w:rsidRPr="00466CFC">
        <w:rPr>
          <w:rFonts w:ascii="Arial" w:hAnsi="Arial" w:cs="Arial"/>
        </w:rPr>
        <w:t>Dry matter intake (DMI, body weight %) = 120 / (NDF%)</w:t>
      </w:r>
    </w:p>
    <w:p w14:paraId="0659351A" w14:textId="30877EB0" w:rsidR="00466CFC" w:rsidRPr="00466CFC" w:rsidRDefault="00466CFC" w:rsidP="00466CFC">
      <w:pPr>
        <w:pStyle w:val="Body"/>
        <w:rPr>
          <w:rFonts w:ascii="Arial" w:hAnsi="Arial" w:cs="Arial"/>
        </w:rPr>
      </w:pPr>
      <w:r w:rsidRPr="00BF0C43">
        <w:rPr>
          <w:rFonts w:ascii="Arial" w:hAnsi="Arial" w:cs="Arial"/>
        </w:rPr>
        <w:t xml:space="preserve">RFV </w:t>
      </w:r>
      <w:r w:rsidR="00EF00D0" w:rsidRPr="00BF0C43">
        <w:rPr>
          <w:rFonts w:ascii="Arial" w:hAnsi="Arial" w:cs="Arial"/>
        </w:rPr>
        <w:t>(</w:t>
      </w:r>
      <w:r w:rsidRPr="00BF0C43">
        <w:rPr>
          <w:rFonts w:ascii="Arial" w:hAnsi="Arial" w:cs="Arial"/>
        </w:rPr>
        <w:t>%</w:t>
      </w:r>
      <w:r w:rsidR="00EF00D0" w:rsidRPr="00BF0C43">
        <w:rPr>
          <w:rFonts w:ascii="Arial" w:hAnsi="Arial" w:cs="Arial"/>
        </w:rPr>
        <w:t>)</w:t>
      </w:r>
      <w:r w:rsidRPr="00466CFC">
        <w:rPr>
          <w:rFonts w:ascii="Arial" w:hAnsi="Arial" w:cs="Arial"/>
        </w:rPr>
        <w:t xml:space="preserve"> = (DMD × DMI) / 1.29</w:t>
      </w:r>
    </w:p>
    <w:p w14:paraId="2756ED08" w14:textId="5B3F608D" w:rsidR="00466CFC" w:rsidRPr="00BF0C43" w:rsidRDefault="00466CFC" w:rsidP="00466CFC">
      <w:pPr>
        <w:pStyle w:val="Body"/>
        <w:rPr>
          <w:rFonts w:ascii="Arial" w:hAnsi="Arial" w:cs="Arial"/>
        </w:rPr>
      </w:pPr>
      <w:r w:rsidRPr="00BF0C43">
        <w:rPr>
          <w:rFonts w:ascii="Arial" w:hAnsi="Arial" w:cs="Arial"/>
        </w:rPr>
        <w:t>R</w:t>
      </w:r>
      <w:r w:rsidR="00EF00D0" w:rsidRPr="00BF0C43">
        <w:rPr>
          <w:rFonts w:ascii="Arial" w:hAnsi="Arial" w:cs="Arial"/>
        </w:rPr>
        <w:t>elative feed value</w:t>
      </w:r>
      <w:r w:rsidRPr="00BF0C43">
        <w:rPr>
          <w:rFonts w:ascii="Arial" w:hAnsi="Arial" w:cs="Arial"/>
        </w:rPr>
        <w:t xml:space="preserve"> classes were based on the hay marketing task force of the American Forage and Grassland Council (AFGC) standards, Prime: &gt;151; Premium: 151–125; Good: 124–103; Fair: 102–87; Poor: 86–75; Reject: &lt;75.</w:t>
      </w:r>
    </w:p>
    <w:p w14:paraId="4CD0036D" w14:textId="77777777" w:rsidR="00466CFC" w:rsidRPr="00466CFC" w:rsidRDefault="00466CFC" w:rsidP="00466CFC">
      <w:pPr>
        <w:pStyle w:val="Body"/>
        <w:rPr>
          <w:rFonts w:ascii="Arial" w:hAnsi="Arial" w:cs="Arial"/>
        </w:rPr>
      </w:pPr>
      <w:r w:rsidRPr="00466CFC">
        <w:rPr>
          <w:rFonts w:ascii="Arial" w:hAnsi="Arial" w:cs="Arial"/>
        </w:rPr>
        <w:t>The RFQ was used to determine the forage quality of the barley fodders according to Rivera and Parish (2010) and Guney et al. (2016):</w:t>
      </w:r>
    </w:p>
    <w:p w14:paraId="63205D4A" w14:textId="4B98027F" w:rsidR="00466CFC" w:rsidRPr="00466CFC" w:rsidRDefault="00CA5CE1" w:rsidP="00466CFC">
      <w:pPr>
        <w:pStyle w:val="Body"/>
        <w:spacing w:after="0"/>
        <w:rPr>
          <w:rFonts w:ascii="Arial" w:hAnsi="Arial" w:cs="Arial"/>
        </w:rPr>
      </w:pPr>
      <w:r w:rsidRPr="00CA5CE1">
        <w:rPr>
          <w:rFonts w:ascii="Arial" w:hAnsi="Arial" w:cs="Arial"/>
        </w:rPr>
        <w:lastRenderedPageBreak/>
        <w:t>Total Digestible Nutrients (</w:t>
      </w:r>
      <w:r w:rsidR="00466CFC" w:rsidRPr="00CA5CE1">
        <w:rPr>
          <w:rFonts w:ascii="Arial" w:hAnsi="Arial" w:cs="Arial"/>
        </w:rPr>
        <w:t>TDN, % DM</w:t>
      </w:r>
      <w:r w:rsidRPr="00CA5CE1">
        <w:rPr>
          <w:rFonts w:ascii="Arial" w:hAnsi="Arial" w:cs="Arial"/>
        </w:rPr>
        <w:t>)</w:t>
      </w:r>
      <w:r w:rsidR="00466CFC" w:rsidRPr="00466CFC">
        <w:rPr>
          <w:rFonts w:ascii="Arial" w:hAnsi="Arial" w:cs="Arial"/>
        </w:rPr>
        <w:t xml:space="preserve"> = (NFE × 0.98) + (CP × 0.93) + (EE × 0.97 × 2.25) + ((NDF × 0.93) × (NDF digestibility / 100)) – 7</w:t>
      </w:r>
    </w:p>
    <w:p w14:paraId="6BA7C0EA" w14:textId="77777777" w:rsidR="00466CFC" w:rsidRPr="00466CFC" w:rsidRDefault="00466CFC" w:rsidP="00466CFC">
      <w:pPr>
        <w:pStyle w:val="Body"/>
        <w:spacing w:after="0"/>
        <w:rPr>
          <w:rFonts w:ascii="Arial" w:hAnsi="Arial" w:cs="Arial"/>
        </w:rPr>
      </w:pPr>
      <w:r w:rsidRPr="00466CFC">
        <w:rPr>
          <w:rFonts w:ascii="Arial" w:hAnsi="Arial" w:cs="Arial"/>
        </w:rPr>
        <w:t>DMI, % LW = 120 / NDF + (NDF digestibility – 45) × 0.374 / 1350 ×100</w:t>
      </w:r>
    </w:p>
    <w:p w14:paraId="7BB5A1A1" w14:textId="1DA0B377" w:rsidR="00861A7A" w:rsidRPr="00861A7A" w:rsidRDefault="00466CFC" w:rsidP="00466CFC">
      <w:pPr>
        <w:pStyle w:val="Body"/>
        <w:rPr>
          <w:rFonts w:ascii="Arial" w:hAnsi="Arial" w:cs="Arial"/>
        </w:rPr>
      </w:pPr>
      <w:r w:rsidRPr="00466CFC">
        <w:rPr>
          <w:rFonts w:ascii="Arial" w:hAnsi="Arial" w:cs="Arial"/>
        </w:rPr>
        <w:t>RFQ = (DMI × TDN) / 1.23</w:t>
      </w:r>
    </w:p>
    <w:p w14:paraId="5385F97E" w14:textId="40CDF088" w:rsidR="00861A7A" w:rsidRPr="00B77CC4" w:rsidRDefault="00861A7A" w:rsidP="00861A7A">
      <w:pPr>
        <w:pStyle w:val="Body"/>
        <w:rPr>
          <w:rFonts w:ascii="Arial" w:hAnsi="Arial" w:cs="Arial"/>
          <w:b/>
          <w:caps/>
          <w:sz w:val="22"/>
        </w:rPr>
      </w:pPr>
      <w:r w:rsidRPr="00B77CC4">
        <w:rPr>
          <w:rFonts w:ascii="Arial" w:hAnsi="Arial" w:cs="Arial"/>
          <w:b/>
          <w:caps/>
          <w:sz w:val="22"/>
        </w:rPr>
        <w:t xml:space="preserve">2.6. </w:t>
      </w:r>
      <w:r w:rsidR="00796CCD" w:rsidRPr="00796CCD">
        <w:rPr>
          <w:rFonts w:ascii="Arial" w:hAnsi="Arial" w:cs="Arial"/>
          <w:b/>
          <w:i/>
          <w:iCs/>
          <w:sz w:val="22"/>
        </w:rPr>
        <w:t>In Vitro</w:t>
      </w:r>
      <w:r w:rsidR="00796CCD" w:rsidRPr="00B77CC4">
        <w:rPr>
          <w:rFonts w:ascii="Arial" w:hAnsi="Arial" w:cs="Arial"/>
          <w:b/>
          <w:sz w:val="22"/>
        </w:rPr>
        <w:t xml:space="preserve"> True Digestibility </w:t>
      </w:r>
    </w:p>
    <w:p w14:paraId="485BDA45" w14:textId="77777777" w:rsidR="001D6F34" w:rsidRPr="001D6F34" w:rsidRDefault="001D6F34" w:rsidP="001D6F34">
      <w:pPr>
        <w:pStyle w:val="Body"/>
        <w:rPr>
          <w:rFonts w:ascii="Arial" w:hAnsi="Arial" w:cs="Arial"/>
        </w:rPr>
      </w:pPr>
      <w:r w:rsidRPr="001D6F34">
        <w:rPr>
          <w:rFonts w:ascii="Arial" w:hAnsi="Arial" w:cs="Arial"/>
          <w:i/>
          <w:iCs/>
        </w:rPr>
        <w:t xml:space="preserve">In vitro </w:t>
      </w:r>
      <w:r w:rsidRPr="001D6F34">
        <w:rPr>
          <w:rFonts w:ascii="Arial" w:hAnsi="Arial" w:cs="Arial"/>
        </w:rPr>
        <w:t xml:space="preserve">true digestibility (IVTD) was assessed using the </w:t>
      </w:r>
      <w:proofErr w:type="spellStart"/>
      <w:r w:rsidRPr="001D6F34">
        <w:rPr>
          <w:rFonts w:ascii="Arial" w:hAnsi="Arial" w:cs="Arial"/>
        </w:rPr>
        <w:t>Ankom</w:t>
      </w:r>
      <w:proofErr w:type="spellEnd"/>
      <w:r w:rsidRPr="001D6F34">
        <w:rPr>
          <w:rFonts w:ascii="Arial" w:hAnsi="Arial" w:cs="Arial"/>
        </w:rPr>
        <w:t xml:space="preserve"> </w:t>
      </w:r>
      <w:proofErr w:type="spellStart"/>
      <w:r w:rsidRPr="001D6F34">
        <w:rPr>
          <w:rFonts w:ascii="Arial" w:hAnsi="Arial" w:cs="Arial"/>
        </w:rPr>
        <w:t>Daisy</w:t>
      </w:r>
      <w:r w:rsidRPr="009409E8">
        <w:rPr>
          <w:rFonts w:ascii="Arial" w:hAnsi="Arial" w:cs="Arial"/>
          <w:vertAlign w:val="superscript"/>
        </w:rPr>
        <w:t>II</w:t>
      </w:r>
      <w:proofErr w:type="spellEnd"/>
      <w:r w:rsidRPr="001D6F34">
        <w:rPr>
          <w:rFonts w:ascii="Arial" w:hAnsi="Arial" w:cs="Arial"/>
        </w:rPr>
        <w:t xml:space="preserve"> Incubator D</w:t>
      </w:r>
      <w:r w:rsidRPr="009409E8">
        <w:rPr>
          <w:rFonts w:ascii="Arial" w:hAnsi="Arial" w:cs="Arial"/>
          <w:vertAlign w:val="superscript"/>
        </w:rPr>
        <w:t>220</w:t>
      </w:r>
      <w:r w:rsidRPr="001D6F34">
        <w:rPr>
          <w:rFonts w:ascii="Arial" w:hAnsi="Arial" w:cs="Arial"/>
        </w:rPr>
        <w:t xml:space="preserve"> (</w:t>
      </w:r>
      <w:proofErr w:type="spellStart"/>
      <w:r w:rsidRPr="001D6F34">
        <w:rPr>
          <w:rFonts w:ascii="Arial" w:hAnsi="Arial" w:cs="Arial"/>
        </w:rPr>
        <w:t>Ankom</w:t>
      </w:r>
      <w:proofErr w:type="spellEnd"/>
      <w:r w:rsidRPr="001D6F34">
        <w:rPr>
          <w:rFonts w:ascii="Arial" w:hAnsi="Arial" w:cs="Arial"/>
        </w:rPr>
        <w:t>, 2002). This system comprises four separate digestion vessels that simulate rumen fermentation conditions. Feed samples were enclosed in filter bags (F57), placed into the digestion jars, and incubated for 48 hours. Each treatment was tested in five replicates. Following incubation, NDF content was analyzed in the residual material within the bags, and IVTD was calculated by applying the following formula:</w:t>
      </w:r>
    </w:p>
    <w:p w14:paraId="06D15738" w14:textId="77777777" w:rsidR="001D6F34" w:rsidRPr="001D6F34" w:rsidRDefault="001D6F34" w:rsidP="001D6F34">
      <w:pPr>
        <w:pStyle w:val="Body"/>
        <w:rPr>
          <w:rFonts w:ascii="Arial" w:hAnsi="Arial" w:cs="Arial"/>
        </w:rPr>
      </w:pPr>
      <w:r w:rsidRPr="001D6F34">
        <w:rPr>
          <w:rFonts w:ascii="Arial" w:hAnsi="Arial" w:cs="Arial"/>
        </w:rPr>
        <w:t>IVTD, % = 100 ‒ ((C − (A × D)) × 100 / B</w:t>
      </w:r>
    </w:p>
    <w:p w14:paraId="28E9FEAD" w14:textId="7CA8CB5B" w:rsidR="00861A7A" w:rsidRPr="001D6F34" w:rsidRDefault="001D6F34" w:rsidP="00AC7663">
      <w:pPr>
        <w:pStyle w:val="Body"/>
        <w:rPr>
          <w:rFonts w:ascii="Arial" w:hAnsi="Arial" w:cs="Arial"/>
        </w:rPr>
      </w:pPr>
      <w:r w:rsidRPr="001D6F34">
        <w:rPr>
          <w:rFonts w:ascii="Arial" w:hAnsi="Arial" w:cs="Arial"/>
        </w:rPr>
        <w:t>Where A: tare weight of F57 bags, B: amount of NDF in the original dry sample, C: amount of NDF remaining in the bag after incubation, and D: correction factor from blank bag.</w:t>
      </w:r>
    </w:p>
    <w:p w14:paraId="33DC0498" w14:textId="1BC817F0" w:rsidR="00861A7A" w:rsidRPr="00B77CC4" w:rsidRDefault="00861A7A" w:rsidP="003B4F82">
      <w:pPr>
        <w:pStyle w:val="Body"/>
        <w:rPr>
          <w:rFonts w:ascii="Arial" w:hAnsi="Arial" w:cs="Arial"/>
          <w:b/>
          <w:caps/>
          <w:sz w:val="22"/>
        </w:rPr>
      </w:pPr>
      <w:r w:rsidRPr="00B77CC4">
        <w:rPr>
          <w:rFonts w:ascii="Arial" w:hAnsi="Arial" w:cs="Arial"/>
          <w:b/>
          <w:caps/>
          <w:sz w:val="22"/>
        </w:rPr>
        <w:t xml:space="preserve">2.7. </w:t>
      </w:r>
      <w:r w:rsidR="00796CCD" w:rsidRPr="00B77CC4">
        <w:rPr>
          <w:rFonts w:ascii="Arial" w:hAnsi="Arial" w:cs="Arial"/>
          <w:b/>
          <w:sz w:val="22"/>
        </w:rPr>
        <w:t>Statistical Analysis</w:t>
      </w:r>
    </w:p>
    <w:p w14:paraId="25333906" w14:textId="575264BF" w:rsidR="00502516" w:rsidRDefault="001D6F34" w:rsidP="00AC7663">
      <w:pPr>
        <w:pStyle w:val="Body"/>
        <w:rPr>
          <w:rFonts w:ascii="Arial" w:hAnsi="Arial" w:cs="Arial"/>
        </w:rPr>
      </w:pPr>
      <w:r w:rsidRPr="001D6F34">
        <w:rPr>
          <w:rFonts w:ascii="Arial" w:hAnsi="Arial" w:cs="Arial"/>
        </w:rPr>
        <w:t xml:space="preserve">Data </w:t>
      </w:r>
      <w:r w:rsidR="00941433">
        <w:rPr>
          <w:rFonts w:ascii="Arial" w:hAnsi="Arial" w:cs="Arial"/>
        </w:rPr>
        <w:t xml:space="preserve">obtained </w:t>
      </w:r>
      <w:r w:rsidR="00241064">
        <w:rPr>
          <w:rFonts w:ascii="Arial" w:hAnsi="Arial" w:cs="Arial"/>
        </w:rPr>
        <w:t xml:space="preserve">from this study </w:t>
      </w:r>
      <w:r w:rsidRPr="001D6F34">
        <w:rPr>
          <w:rFonts w:ascii="Arial" w:hAnsi="Arial" w:cs="Arial"/>
        </w:rPr>
        <w:t>were subjected to one-way ANOVA using SPSS v2</w:t>
      </w:r>
      <w:r w:rsidR="004E006E">
        <w:rPr>
          <w:rFonts w:ascii="Arial" w:hAnsi="Arial" w:cs="Arial"/>
        </w:rPr>
        <w:t>1</w:t>
      </w:r>
      <w:r w:rsidRPr="001D6F34">
        <w:rPr>
          <w:rFonts w:ascii="Arial" w:hAnsi="Arial" w:cs="Arial"/>
        </w:rPr>
        <w:t xml:space="preserve">.0 (SPSS Inc., Chicago, IL, USA). Differences among treatment means were analyzed using Duncan’s multiple range test at </w:t>
      </w:r>
      <w:r w:rsidRPr="001D6F34">
        <w:rPr>
          <w:rFonts w:ascii="Arial" w:hAnsi="Arial" w:cs="Arial"/>
          <w:i/>
          <w:iCs/>
        </w:rPr>
        <w:t>P</w:t>
      </w:r>
      <w:r w:rsidRPr="001D6F34">
        <w:rPr>
          <w:rFonts w:ascii="Arial" w:hAnsi="Arial" w:cs="Arial"/>
        </w:rPr>
        <w:t xml:space="preserve"> ≤ .05. Pearson correlation analysis was conducted to assess relationships between plant height/fresh yield and key nutritive parameters.</w:t>
      </w:r>
    </w:p>
    <w:p w14:paraId="3B8A895A" w14:textId="77777777" w:rsidR="00902823" w:rsidRDefault="00000F8F" w:rsidP="003B4F8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C41CE2" w14:textId="77777777" w:rsidR="00790ADA" w:rsidRPr="00FB3A86" w:rsidRDefault="00790ADA" w:rsidP="00441B6F">
      <w:pPr>
        <w:pStyle w:val="Head1"/>
        <w:spacing w:after="0"/>
        <w:jc w:val="both"/>
        <w:rPr>
          <w:rFonts w:ascii="Arial" w:hAnsi="Arial" w:cs="Arial"/>
        </w:rPr>
      </w:pPr>
    </w:p>
    <w:p w14:paraId="5D00A939" w14:textId="60A8C029" w:rsidR="003B4F82" w:rsidRDefault="003B4F82" w:rsidP="003B4F82">
      <w:pPr>
        <w:pStyle w:val="Body"/>
        <w:spacing w:after="12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622977" w:rsidRPr="00622977">
        <w:rPr>
          <w:rFonts w:ascii="Arial" w:hAnsi="Arial" w:cs="Arial"/>
          <w:b/>
          <w:sz w:val="22"/>
        </w:rPr>
        <w:t>Plant Height</w:t>
      </w:r>
      <w:r w:rsidRPr="00C30A0F">
        <w:rPr>
          <w:rFonts w:ascii="Arial" w:hAnsi="Arial" w:cs="Arial"/>
          <w:b/>
          <w:sz w:val="22"/>
        </w:rPr>
        <w:t xml:space="preserve"> </w:t>
      </w:r>
    </w:p>
    <w:p w14:paraId="1C73281A" w14:textId="4DB31A34" w:rsidR="00622977" w:rsidRPr="00622977" w:rsidRDefault="00622977" w:rsidP="00622977">
      <w:pPr>
        <w:pStyle w:val="Body"/>
        <w:rPr>
          <w:rFonts w:ascii="Arial" w:hAnsi="Arial" w:cs="Arial"/>
        </w:rPr>
      </w:pPr>
      <w:r w:rsidRPr="00622977">
        <w:rPr>
          <w:rFonts w:ascii="Arial" w:hAnsi="Arial" w:cs="Arial"/>
        </w:rPr>
        <w:t>Seed-moistening treatments significantly influenced the plant height of barley green fodder during the early stages of germination (Figure 1). At 5 days after sowing (DAS), seedlings in the +4TD group exhibited the greatest height (</w:t>
      </w:r>
      <w:r w:rsidRPr="007012B9">
        <w:rPr>
          <w:rFonts w:ascii="Arial" w:hAnsi="Arial" w:cs="Arial"/>
          <w:i/>
          <w:iCs/>
        </w:rPr>
        <w:t>P</w:t>
      </w:r>
      <w:r w:rsidRPr="00622977">
        <w:rPr>
          <w:rFonts w:ascii="Arial" w:hAnsi="Arial" w:cs="Arial"/>
        </w:rPr>
        <w:t xml:space="preserve"> &lt; .05), followed by the +4OD group. Both treatments produced taller seedlings (</w:t>
      </w:r>
      <w:r w:rsidRPr="007012B9">
        <w:rPr>
          <w:rFonts w:ascii="Arial" w:hAnsi="Arial" w:cs="Arial"/>
          <w:i/>
          <w:iCs/>
        </w:rPr>
        <w:t>P</w:t>
      </w:r>
      <w:r w:rsidRPr="00622977">
        <w:rPr>
          <w:rFonts w:ascii="Arial" w:hAnsi="Arial" w:cs="Arial"/>
        </w:rPr>
        <w:t xml:space="preserve"> &lt; .05) compared to the -18TD, -18OD, and ROD groups. By Day 6, however, ROD-treated seeds had the tallest plants (</w:t>
      </w:r>
      <w:r w:rsidRPr="007012B9">
        <w:rPr>
          <w:rFonts w:ascii="Arial" w:hAnsi="Arial" w:cs="Arial"/>
          <w:i/>
          <w:iCs/>
        </w:rPr>
        <w:t>P</w:t>
      </w:r>
      <w:r w:rsidRPr="00622977">
        <w:rPr>
          <w:rFonts w:ascii="Arial" w:hAnsi="Arial" w:cs="Arial"/>
        </w:rPr>
        <w:t xml:space="preserve"> &lt; .05), suggesting </w:t>
      </w:r>
      <w:r w:rsidR="00782A0F" w:rsidRPr="00622977">
        <w:rPr>
          <w:rFonts w:ascii="Arial" w:hAnsi="Arial" w:cs="Arial"/>
        </w:rPr>
        <w:t>rapid</w:t>
      </w:r>
      <w:r w:rsidRPr="00622977">
        <w:rPr>
          <w:rFonts w:ascii="Arial" w:hAnsi="Arial" w:cs="Arial"/>
        </w:rPr>
        <w:t xml:space="preserve"> elongation under ambient conditions. From Days 7 to 8, plant height remained higher in ROD and +4OD treatments compared to the extended cold (+4TD) or freezing (‒18OD, ‒18TD) groups. No significant differences were observed between treatments after Day 8, indicating that early growth advantages did not persist into later stages.</w:t>
      </w:r>
    </w:p>
    <w:p w14:paraId="1A94E61E" w14:textId="716595CC" w:rsidR="00B95236" w:rsidRDefault="00622977" w:rsidP="001E508E">
      <w:pPr>
        <w:pStyle w:val="Body"/>
        <w:spacing w:after="160"/>
        <w:rPr>
          <w:rFonts w:ascii="Arial" w:hAnsi="Arial" w:cs="Arial"/>
        </w:rPr>
      </w:pPr>
      <w:r w:rsidRPr="00622977">
        <w:rPr>
          <w:rFonts w:ascii="Arial" w:hAnsi="Arial" w:cs="Arial"/>
        </w:rPr>
        <w:t>The results indicate that seed-moistening treatments significantly affect the early vegetative growth of barley green fodder in a hydroponic system. Notably, cold pre-treatment at +4 °C for three days (+4TD) enhanced early growth by Day 5, likely due to the promotion of uniform and vigorous germination. The ROD treatment also yielded consistent advantages in early plant height, suggesting that non-stressed moistening under ambient conditions can support rapid elongation during early development. In contrast, freezing treatments (-18OD and -18TD) generally resulted in reduced plant height during the initial growth period. This reduction is likely due to freezing-induced cellular damage, primarily via ice crystallization that disrupts membrane integrity, impairs metabolic processes like respiration and photosynthesis, and compromises early elongation capacity, which may impair the seed’s ability to initiate and sustain early elongation (Hassan et al., 2021</w:t>
      </w:r>
      <w:r w:rsidR="00E71508">
        <w:rPr>
          <w:rFonts w:ascii="Arial" w:hAnsi="Arial" w:cs="Arial"/>
        </w:rPr>
        <w:t>;</w:t>
      </w:r>
      <w:r w:rsidR="00AD139E">
        <w:rPr>
          <w:rFonts w:ascii="Arial" w:hAnsi="Arial" w:cs="Arial"/>
        </w:rPr>
        <w:t xml:space="preserve"> </w:t>
      </w:r>
      <w:r w:rsidR="0049041C" w:rsidRPr="008C27A3">
        <w:rPr>
          <w:rFonts w:ascii="Arial" w:hAnsi="Arial" w:cs="Arial"/>
        </w:rPr>
        <w:t>Wang et al</w:t>
      </w:r>
      <w:r w:rsidR="00E71508" w:rsidRPr="008C27A3">
        <w:rPr>
          <w:rFonts w:ascii="Arial" w:hAnsi="Arial" w:cs="Arial"/>
        </w:rPr>
        <w:t>.,</w:t>
      </w:r>
      <w:r w:rsidR="00AD139E" w:rsidRPr="008C27A3">
        <w:rPr>
          <w:rFonts w:ascii="Arial" w:hAnsi="Arial" w:cs="Arial"/>
        </w:rPr>
        <w:t xml:space="preserve"> 20</w:t>
      </w:r>
      <w:r w:rsidR="009A6D0B" w:rsidRPr="008C27A3">
        <w:rPr>
          <w:rFonts w:ascii="Arial" w:hAnsi="Arial" w:cs="Arial"/>
        </w:rPr>
        <w:t>24</w:t>
      </w:r>
      <w:r w:rsidR="00E71508" w:rsidRPr="008C27A3">
        <w:rPr>
          <w:rFonts w:ascii="Arial" w:hAnsi="Arial" w:cs="Arial"/>
        </w:rPr>
        <w:t>;</w:t>
      </w:r>
      <w:r w:rsidR="009A6D0B" w:rsidRPr="008C27A3">
        <w:rPr>
          <w:rFonts w:ascii="Arial" w:hAnsi="Arial" w:cs="Arial"/>
        </w:rPr>
        <w:t xml:space="preserve"> </w:t>
      </w:r>
      <w:r w:rsidR="008C27A3" w:rsidRPr="008C27A3">
        <w:rPr>
          <w:rFonts w:ascii="Arial" w:hAnsi="Arial" w:cs="Arial"/>
        </w:rPr>
        <w:t xml:space="preserve">Zhang et al., </w:t>
      </w:r>
      <w:r w:rsidR="00E71508" w:rsidRPr="008C27A3">
        <w:rPr>
          <w:rFonts w:ascii="Arial" w:hAnsi="Arial" w:cs="Arial"/>
        </w:rPr>
        <w:t>20</w:t>
      </w:r>
      <w:r w:rsidR="009A6D0B" w:rsidRPr="008C27A3">
        <w:rPr>
          <w:rFonts w:ascii="Arial" w:hAnsi="Arial" w:cs="Arial"/>
        </w:rPr>
        <w:t>25</w:t>
      </w:r>
      <w:r w:rsidRPr="00622977">
        <w:rPr>
          <w:rFonts w:ascii="Arial" w:hAnsi="Arial" w:cs="Arial"/>
        </w:rPr>
        <w:t xml:space="preserve">). However, the partial recovery observed in the -18TD group by Days 6 and 8 suggests some acclimation or delayed compensation effect in these seeds. The differences </w:t>
      </w:r>
      <w:r w:rsidRPr="00622977">
        <w:rPr>
          <w:rFonts w:ascii="Arial" w:hAnsi="Arial" w:cs="Arial"/>
        </w:rPr>
        <w:lastRenderedPageBreak/>
        <w:t>in plant height diminished over time, with no significant variation detected after Day 8. This convergence implies that while early growth is sensitive to pre-germination treatments, the long-term growth potential may be less affected as seedlings adapt to uniform hydroponic growing conditions.</w:t>
      </w:r>
    </w:p>
    <w:p w14:paraId="34F4B86F" w14:textId="77777777" w:rsidR="00FD70D6" w:rsidRDefault="00FD70D6" w:rsidP="001E508E">
      <w:pPr>
        <w:spacing w:after="16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214EE442" wp14:editId="5A3A5019">
            <wp:extent cx="4424363" cy="3109956"/>
            <wp:effectExtent l="0" t="0" r="0" b="0"/>
            <wp:docPr id="428363907" name="Picture 2" descr="A graph of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63907" name="Picture 2" descr="A graph of a number of object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7826" cy="3119419"/>
                    </a:xfrm>
                    <a:prstGeom prst="rect">
                      <a:avLst/>
                    </a:prstGeom>
                    <a:noFill/>
                  </pic:spPr>
                </pic:pic>
              </a:graphicData>
            </a:graphic>
          </wp:inline>
        </w:drawing>
      </w:r>
    </w:p>
    <w:p w14:paraId="2B544FAB" w14:textId="36D22E11" w:rsidR="00FD70D6" w:rsidRPr="00EE6D58" w:rsidRDefault="00FD70D6" w:rsidP="00AE4C91">
      <w:pPr>
        <w:autoSpaceDE w:val="0"/>
        <w:autoSpaceDN w:val="0"/>
        <w:adjustRightInd w:val="0"/>
        <w:spacing w:after="60"/>
        <w:jc w:val="both"/>
        <w:rPr>
          <w:rFonts w:asciiTheme="minorBidi" w:hAnsiTheme="minorBidi" w:cstheme="minorBidi"/>
          <w:b/>
          <w:bCs/>
        </w:rPr>
      </w:pPr>
      <w:r w:rsidRPr="009B011A">
        <w:rPr>
          <w:rFonts w:ascii="Arial" w:hAnsi="Arial" w:cs="Arial"/>
          <w:b/>
          <w:bCs/>
          <w:szCs w:val="22"/>
        </w:rPr>
        <w:t>Fig</w:t>
      </w:r>
      <w:r w:rsidR="00EE6D58" w:rsidRPr="009B011A">
        <w:rPr>
          <w:rFonts w:ascii="Arial" w:hAnsi="Arial" w:cs="Arial"/>
          <w:b/>
          <w:bCs/>
          <w:szCs w:val="22"/>
        </w:rPr>
        <w:t>.</w:t>
      </w:r>
      <w:r w:rsidRPr="009B011A">
        <w:rPr>
          <w:rFonts w:ascii="Arial" w:hAnsi="Arial" w:cs="Arial"/>
          <w:b/>
          <w:bCs/>
          <w:szCs w:val="22"/>
        </w:rPr>
        <w:t xml:space="preserve"> 1. Plant height of the barley green fodder germinated under different seed moistening conditions in a hydroponic system</w:t>
      </w:r>
    </w:p>
    <w:p w14:paraId="6A2B971D" w14:textId="341DEBD5" w:rsidR="00FD70D6" w:rsidRPr="00EA41E5" w:rsidRDefault="00FD70D6" w:rsidP="009B011A">
      <w:pPr>
        <w:autoSpaceDE w:val="0"/>
        <w:autoSpaceDN w:val="0"/>
        <w:adjustRightInd w:val="0"/>
        <w:jc w:val="both"/>
        <w:rPr>
          <w:rFonts w:ascii="Arial" w:hAnsi="Arial" w:cs="Arial"/>
          <w:i/>
          <w:iCs/>
        </w:rPr>
      </w:pPr>
      <w:r w:rsidRPr="009B011A">
        <w:rPr>
          <w:rFonts w:ascii="Arial" w:hAnsi="Arial" w:cs="Arial"/>
          <w:i/>
          <w:sz w:val="18"/>
        </w:rPr>
        <w:t>ROD: seeds were soaked and left at room temperature for one day, +4OD: seeds were soaked and refrigerated at +4 °C for one day, +4TD: seeds were soaked and refrigerated at +4 °C for three days, -18OD: seeds were soaked and frozen at -18 °C for one day, -18TD: seeds were soaked and frozen at -18 °C for three days.</w:t>
      </w:r>
      <w:r w:rsidR="00EA41E5" w:rsidRPr="009B011A">
        <w:rPr>
          <w:rFonts w:ascii="Arial" w:hAnsi="Arial" w:cs="Arial"/>
          <w:i/>
          <w:sz w:val="18"/>
        </w:rPr>
        <w:t xml:space="preserve"> </w:t>
      </w:r>
      <w:r w:rsidRPr="009B011A">
        <w:rPr>
          <w:rFonts w:ascii="Arial" w:hAnsi="Arial" w:cs="Arial"/>
          <w:i/>
          <w:sz w:val="18"/>
        </w:rPr>
        <w:t>Day 5: +4TD &gt; +4OD &gt; -18TD, -18OD, ROD (P ≤ .05); Day 6: ROD &gt; +4TD, +4OD, -18TD &gt; -18OD (P ≤ .05); Day 7: ROD, +4OD &gt; +4TD, -18TD &gt; -18TD (P ≤ .05); Day 8: ROD, +4TD &gt;+4OD, -18TD &gt; -18OD (P ≤</w:t>
      </w:r>
      <w:r w:rsidR="008B723A" w:rsidRPr="009B011A">
        <w:rPr>
          <w:rFonts w:ascii="Arial" w:hAnsi="Arial" w:cs="Arial"/>
          <w:i/>
          <w:sz w:val="18"/>
        </w:rPr>
        <w:t xml:space="preserve"> </w:t>
      </w:r>
      <w:r w:rsidRPr="009B011A">
        <w:rPr>
          <w:rFonts w:ascii="Arial" w:hAnsi="Arial" w:cs="Arial"/>
          <w:i/>
          <w:sz w:val="18"/>
        </w:rPr>
        <w:t>.05); Day 9, 10, 11: P</w:t>
      </w:r>
      <w:r w:rsidR="008B723A" w:rsidRPr="009B011A">
        <w:rPr>
          <w:rFonts w:ascii="Arial" w:hAnsi="Arial" w:cs="Arial"/>
          <w:i/>
          <w:sz w:val="18"/>
        </w:rPr>
        <w:t xml:space="preserve"> </w:t>
      </w:r>
      <w:r w:rsidRPr="009B011A">
        <w:rPr>
          <w:rFonts w:ascii="Arial" w:hAnsi="Arial" w:cs="Arial"/>
          <w:i/>
          <w:sz w:val="18"/>
        </w:rPr>
        <w:t>&gt;</w:t>
      </w:r>
      <w:r w:rsidR="008B723A" w:rsidRPr="009B011A">
        <w:rPr>
          <w:rFonts w:ascii="Arial" w:hAnsi="Arial" w:cs="Arial"/>
          <w:i/>
          <w:sz w:val="18"/>
        </w:rPr>
        <w:t xml:space="preserve"> </w:t>
      </w:r>
      <w:r w:rsidRPr="009B011A">
        <w:rPr>
          <w:rFonts w:ascii="Arial" w:hAnsi="Arial" w:cs="Arial"/>
          <w:i/>
          <w:sz w:val="18"/>
        </w:rPr>
        <w:t>.05</w:t>
      </w:r>
    </w:p>
    <w:p w14:paraId="73400199" w14:textId="02073B0E" w:rsidR="00FD70D6" w:rsidRDefault="00FD70D6" w:rsidP="00D1710C">
      <w:pPr>
        <w:pStyle w:val="Body"/>
        <w:spacing w:before="120" w:after="120"/>
        <w:rPr>
          <w:rFonts w:ascii="Arial" w:hAnsi="Arial" w:cs="Arial"/>
          <w:b/>
          <w:sz w:val="22"/>
        </w:rPr>
      </w:pPr>
      <w:r>
        <w:rPr>
          <w:rFonts w:ascii="Arial" w:hAnsi="Arial" w:cs="Arial"/>
          <w:b/>
          <w:caps/>
          <w:sz w:val="22"/>
        </w:rPr>
        <w:t>3</w:t>
      </w:r>
      <w:r w:rsidRPr="00C30A0F">
        <w:rPr>
          <w:rFonts w:ascii="Arial" w:hAnsi="Arial" w:cs="Arial"/>
          <w:b/>
          <w:caps/>
          <w:sz w:val="22"/>
        </w:rPr>
        <w:t>.</w:t>
      </w:r>
      <w:r w:rsidR="00EA41E5">
        <w:rPr>
          <w:rFonts w:ascii="Arial" w:hAnsi="Arial" w:cs="Arial"/>
          <w:b/>
          <w:caps/>
          <w:sz w:val="22"/>
        </w:rPr>
        <w:t>2</w:t>
      </w:r>
      <w:r w:rsidRPr="00C30A0F">
        <w:rPr>
          <w:rFonts w:ascii="Arial" w:hAnsi="Arial" w:cs="Arial"/>
          <w:b/>
          <w:caps/>
          <w:sz w:val="22"/>
        </w:rPr>
        <w:t xml:space="preserve"> </w:t>
      </w:r>
      <w:r w:rsidRPr="00FD70D6">
        <w:rPr>
          <w:rFonts w:ascii="Arial" w:hAnsi="Arial" w:cs="Arial"/>
          <w:b/>
          <w:sz w:val="22"/>
        </w:rPr>
        <w:t>Fresh and Dry Fodder Yield</w:t>
      </w:r>
      <w:r w:rsidRPr="00C30A0F">
        <w:rPr>
          <w:rFonts w:ascii="Arial" w:hAnsi="Arial" w:cs="Arial"/>
          <w:b/>
          <w:sz w:val="22"/>
        </w:rPr>
        <w:t xml:space="preserve"> </w:t>
      </w:r>
    </w:p>
    <w:p w14:paraId="322F1E6F" w14:textId="75F74E4C" w:rsidR="00BC1482" w:rsidRPr="00BC1482" w:rsidRDefault="00BD2832" w:rsidP="00BC1482">
      <w:pPr>
        <w:pStyle w:val="Body"/>
        <w:rPr>
          <w:rFonts w:ascii="Arial" w:hAnsi="Arial" w:cs="Arial"/>
        </w:rPr>
      </w:pPr>
      <w:r>
        <w:rPr>
          <w:rFonts w:ascii="Arial" w:hAnsi="Arial" w:cs="Arial"/>
        </w:rPr>
        <w:t>The p</w:t>
      </w:r>
      <w:r w:rsidRPr="00BD2832">
        <w:rPr>
          <w:rFonts w:ascii="Arial" w:hAnsi="Arial" w:cs="Arial"/>
        </w:rPr>
        <w:t>lant height, fresh and dry fodder yield of the barley green fodder germinated under different seed moistening conditions in a hydroponic system</w:t>
      </w:r>
      <w:r w:rsidR="0002740D">
        <w:rPr>
          <w:rFonts w:ascii="Arial" w:hAnsi="Arial" w:cs="Arial"/>
        </w:rPr>
        <w:t xml:space="preserve"> are presented in Table 2. </w:t>
      </w:r>
      <w:r w:rsidR="00BC1482" w:rsidRPr="00BC1482">
        <w:rPr>
          <w:rFonts w:ascii="Arial" w:hAnsi="Arial" w:cs="Arial"/>
        </w:rPr>
        <w:t>On Day 7, ROD and +4OD treatments produced significantly taller plants than -18OD (</w:t>
      </w:r>
      <w:r w:rsidR="00BC1482" w:rsidRPr="00D1710C">
        <w:rPr>
          <w:rFonts w:ascii="Arial" w:hAnsi="Arial" w:cs="Arial"/>
          <w:i/>
          <w:iCs/>
        </w:rPr>
        <w:t>P</w:t>
      </w:r>
      <w:r w:rsidR="00BC1482" w:rsidRPr="00BC1482">
        <w:rPr>
          <w:rFonts w:ascii="Arial" w:hAnsi="Arial" w:cs="Arial"/>
        </w:rPr>
        <w:t xml:space="preserve"> = .021), with the latter displaying stunted growth. However, by Day 11, height differences among treatments were no longer significant, indicating recovery in the previously stressed groups.</w:t>
      </w:r>
    </w:p>
    <w:p w14:paraId="54AF5559" w14:textId="7E85D4B4" w:rsidR="00BC1482" w:rsidRPr="00BC1482" w:rsidRDefault="00BC1482" w:rsidP="00BC1482">
      <w:pPr>
        <w:pStyle w:val="Body"/>
        <w:rPr>
          <w:rFonts w:ascii="Arial" w:hAnsi="Arial" w:cs="Arial"/>
        </w:rPr>
      </w:pPr>
      <w:r w:rsidRPr="00BC1482">
        <w:rPr>
          <w:rFonts w:ascii="Arial" w:hAnsi="Arial" w:cs="Arial"/>
        </w:rPr>
        <w:t>Fresh fodder yield was significantly influenced by the moistening conditions (</w:t>
      </w:r>
      <w:r w:rsidRPr="00D1710C">
        <w:rPr>
          <w:rFonts w:ascii="Arial" w:hAnsi="Arial" w:cs="Arial"/>
          <w:i/>
          <w:iCs/>
        </w:rPr>
        <w:t>P</w:t>
      </w:r>
      <w:r w:rsidRPr="00BC1482">
        <w:rPr>
          <w:rFonts w:ascii="Arial" w:hAnsi="Arial" w:cs="Arial"/>
        </w:rPr>
        <w:t xml:space="preserve"> &lt; .05). On Day 7, the -18TD group produced the highest fresh fodder yield (4.12 kg/kg seed), followed by -18OD, while +4OD had the lowest yield (3.31 kg/kg seed, </w:t>
      </w:r>
      <w:r w:rsidRPr="00D1710C">
        <w:rPr>
          <w:rFonts w:ascii="Arial" w:hAnsi="Arial" w:cs="Arial"/>
          <w:i/>
          <w:iCs/>
        </w:rPr>
        <w:t>P</w:t>
      </w:r>
      <w:r w:rsidRPr="00BC1482">
        <w:rPr>
          <w:rFonts w:ascii="Arial" w:hAnsi="Arial" w:cs="Arial"/>
        </w:rPr>
        <w:t xml:space="preserve"> = .019). This pattern persisted through Day 11, with -18TD and -18OD yielding significantly more fresh fodder yield (6.34 and 6.18 kg/kg seed, respectively) than ROD and +4OD (</w:t>
      </w:r>
      <w:r w:rsidRPr="00D1710C">
        <w:rPr>
          <w:rFonts w:ascii="Arial" w:hAnsi="Arial" w:cs="Arial"/>
          <w:i/>
          <w:iCs/>
        </w:rPr>
        <w:t>P</w:t>
      </w:r>
      <w:r w:rsidRPr="00BC1482">
        <w:rPr>
          <w:rFonts w:ascii="Arial" w:hAnsi="Arial" w:cs="Arial"/>
        </w:rPr>
        <w:t xml:space="preserve"> = .019). These results suggest that although freezing suppressed vertical growth initially, it may have stimulated compensatory mechanisms promoting greater water retention or tissue expansion, resulting in higher fresh fodder yield. Similar findings in barley sprouts were reported by </w:t>
      </w:r>
      <w:proofErr w:type="spellStart"/>
      <w:r w:rsidRPr="00BC1482">
        <w:rPr>
          <w:rFonts w:ascii="Arial" w:hAnsi="Arial" w:cs="Arial"/>
        </w:rPr>
        <w:t>Kuşan</w:t>
      </w:r>
      <w:proofErr w:type="spellEnd"/>
      <w:r w:rsidRPr="00BC1482">
        <w:rPr>
          <w:rFonts w:ascii="Arial" w:hAnsi="Arial" w:cs="Arial"/>
        </w:rPr>
        <w:t xml:space="preserve"> et al. (2019), although our recorded yields exceeded their results, likely due to optimized germination protocols.</w:t>
      </w:r>
    </w:p>
    <w:p w14:paraId="1532C99C" w14:textId="22B4F75A" w:rsidR="00622977" w:rsidRDefault="00BC1482" w:rsidP="00BD2832">
      <w:pPr>
        <w:pStyle w:val="Body"/>
        <w:rPr>
          <w:rFonts w:ascii="Arial" w:hAnsi="Arial" w:cs="Arial"/>
        </w:rPr>
      </w:pPr>
      <w:r w:rsidRPr="00BC1482">
        <w:rPr>
          <w:rFonts w:ascii="Arial" w:hAnsi="Arial" w:cs="Arial"/>
        </w:rPr>
        <w:lastRenderedPageBreak/>
        <w:t>Dry fodder yield did not differ significantly among treatments on either Day 7 (</w:t>
      </w:r>
      <w:r w:rsidRPr="00D1710C">
        <w:rPr>
          <w:rFonts w:ascii="Arial" w:hAnsi="Arial" w:cs="Arial"/>
          <w:i/>
          <w:iCs/>
        </w:rPr>
        <w:t>P</w:t>
      </w:r>
      <w:r w:rsidRPr="00BC1482">
        <w:rPr>
          <w:rFonts w:ascii="Arial" w:hAnsi="Arial" w:cs="Arial"/>
        </w:rPr>
        <w:t xml:space="preserve"> = .988) or Day 11 (</w:t>
      </w:r>
      <w:r w:rsidRPr="00D1710C">
        <w:rPr>
          <w:rFonts w:ascii="Arial" w:hAnsi="Arial" w:cs="Arial"/>
          <w:i/>
          <w:iCs/>
        </w:rPr>
        <w:t>P</w:t>
      </w:r>
      <w:r w:rsidRPr="00BC1482">
        <w:rPr>
          <w:rFonts w:ascii="Arial" w:hAnsi="Arial" w:cs="Arial"/>
        </w:rPr>
        <w:t xml:space="preserve"> = .934), suggesting that moisture content may have accounted for the differences observed in fresh yield, rather than actual dry matter accumulation. The lack of significant differences in dry fodder yield at both time points further supports the hypothesis that the observed variations in fresh yield were primarily due to differences in moisture content rather than actual dry matter production. This emphasizes the importance of evaluating both fresh and dry yields when assessing fodder quality, particularly in hydroponic systems where water availability and retention are inherently high.</w:t>
      </w:r>
    </w:p>
    <w:p w14:paraId="31CA9508" w14:textId="77777777" w:rsidR="000A0B29" w:rsidRDefault="000A0B29" w:rsidP="00B44A28">
      <w:pPr>
        <w:tabs>
          <w:tab w:val="left" w:pos="1080"/>
        </w:tabs>
        <w:jc w:val="both"/>
        <w:rPr>
          <w:rFonts w:ascii="Arial" w:hAnsi="Arial"/>
          <w:b/>
        </w:rPr>
      </w:pPr>
      <w:r w:rsidRPr="00B44A28">
        <w:rPr>
          <w:rFonts w:ascii="Arial" w:hAnsi="Arial"/>
          <w:b/>
        </w:rPr>
        <w:t xml:space="preserve">Table 2. </w:t>
      </w:r>
      <w:bookmarkStart w:id="0" w:name="_Hlk201775719"/>
      <w:r w:rsidRPr="00B44A28">
        <w:rPr>
          <w:rFonts w:ascii="Arial" w:hAnsi="Arial"/>
          <w:b/>
        </w:rPr>
        <w:t>Plant height (cm), fresh and dry fodder yield (kg/kg seed) of the barley green fodder germinated under different seed moistening conditions in a hydroponic system</w:t>
      </w:r>
      <w:bookmarkEnd w:id="0"/>
    </w:p>
    <w:p w14:paraId="3F977435" w14:textId="77777777" w:rsidR="00894944" w:rsidRPr="00894944" w:rsidRDefault="00894944" w:rsidP="00B44A28">
      <w:pPr>
        <w:tabs>
          <w:tab w:val="left" w:pos="1080"/>
        </w:tabs>
        <w:jc w:val="both"/>
        <w:rPr>
          <w:rFonts w:ascii="Arial" w:hAnsi="Arial"/>
          <w:bCs/>
        </w:rPr>
      </w:pPr>
    </w:p>
    <w:tbl>
      <w:tblPr>
        <w:tblStyle w:val="LightShading"/>
        <w:tblW w:w="856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98"/>
        <w:gridCol w:w="990"/>
        <w:gridCol w:w="990"/>
        <w:gridCol w:w="990"/>
        <w:gridCol w:w="990"/>
        <w:gridCol w:w="990"/>
        <w:gridCol w:w="900"/>
        <w:gridCol w:w="720"/>
      </w:tblGrid>
      <w:tr w:rsidR="00B44A28" w:rsidRPr="00356052" w14:paraId="318D3AD8" w14:textId="77777777" w:rsidTr="00837AF1">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vMerge w:val="restart"/>
            <w:vAlign w:val="center"/>
          </w:tcPr>
          <w:p w14:paraId="43C4202F" w14:textId="77777777" w:rsidR="000A0B29" w:rsidRPr="00356052" w:rsidRDefault="000A0B29" w:rsidP="00AD6497">
            <w:pPr>
              <w:tabs>
                <w:tab w:val="left" w:pos="1530"/>
              </w:tabs>
              <w:ind w:right="112"/>
              <w:jc w:val="both"/>
              <w:rPr>
                <w:rFonts w:asciiTheme="minorBidi" w:hAnsiTheme="minorBidi"/>
                <w:color w:val="000000"/>
                <w:sz w:val="20"/>
                <w:szCs w:val="20"/>
                <w:lang w:val="en-GB"/>
              </w:rPr>
            </w:pPr>
            <w:r w:rsidRPr="00356052">
              <w:rPr>
                <w:rFonts w:asciiTheme="minorBidi" w:hAnsiTheme="minorBidi"/>
                <w:color w:val="000000"/>
                <w:sz w:val="20"/>
                <w:szCs w:val="20"/>
                <w:lang w:val="en-GB"/>
              </w:rPr>
              <w:t>Parameters</w:t>
            </w:r>
          </w:p>
        </w:tc>
        <w:tc>
          <w:tcPr>
            <w:tcW w:w="4950" w:type="dxa"/>
            <w:gridSpan w:val="5"/>
            <w:vAlign w:val="center"/>
          </w:tcPr>
          <w:p w14:paraId="56138177" w14:textId="77777777" w:rsidR="000A0B29" w:rsidRPr="00356052" w:rsidRDefault="000A0B29"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color w:val="000000"/>
                <w:sz w:val="20"/>
                <w:szCs w:val="20"/>
              </w:rPr>
              <w:t>Treatments</w:t>
            </w:r>
          </w:p>
        </w:tc>
        <w:tc>
          <w:tcPr>
            <w:tcW w:w="900" w:type="dxa"/>
            <w:vMerge w:val="restart"/>
            <w:vAlign w:val="center"/>
          </w:tcPr>
          <w:p w14:paraId="455A9CA1" w14:textId="77777777" w:rsidR="000A0B29" w:rsidRPr="00356052" w:rsidRDefault="000A0B29"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color w:val="000000"/>
                <w:sz w:val="20"/>
                <w:szCs w:val="20"/>
              </w:rPr>
              <w:t>SEM</w:t>
            </w:r>
          </w:p>
        </w:tc>
        <w:tc>
          <w:tcPr>
            <w:tcW w:w="720" w:type="dxa"/>
            <w:vMerge w:val="restart"/>
            <w:vAlign w:val="center"/>
          </w:tcPr>
          <w:p w14:paraId="4037A3A1" w14:textId="3372F6C5" w:rsidR="000A0B29" w:rsidRPr="00356052" w:rsidRDefault="00837AF1"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451AEB">
              <w:rPr>
                <w:rFonts w:asciiTheme="minorBidi" w:hAnsiTheme="minorBidi"/>
                <w:i/>
                <w:iCs/>
                <w:color w:val="000000"/>
                <w:sz w:val="20"/>
                <w:szCs w:val="20"/>
              </w:rPr>
              <w:t>P</w:t>
            </w:r>
          </w:p>
        </w:tc>
      </w:tr>
      <w:tr w:rsidR="00356052" w:rsidRPr="00356052" w14:paraId="50FFBB11" w14:textId="77777777" w:rsidTr="00837A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vMerge/>
            <w:tcBorders>
              <w:bottom w:val="single" w:sz="4" w:space="0" w:color="auto"/>
            </w:tcBorders>
            <w:shd w:val="clear" w:color="auto" w:fill="auto"/>
          </w:tcPr>
          <w:p w14:paraId="121744C4" w14:textId="77777777" w:rsidR="000A0B29" w:rsidRPr="00356052" w:rsidRDefault="000A0B29" w:rsidP="00AD6497">
            <w:pPr>
              <w:tabs>
                <w:tab w:val="left" w:pos="1530"/>
              </w:tabs>
              <w:ind w:right="112"/>
              <w:jc w:val="both"/>
              <w:rPr>
                <w:rFonts w:asciiTheme="minorBidi" w:hAnsiTheme="minorBidi"/>
                <w:b w:val="0"/>
                <w:bCs w:val="0"/>
                <w:color w:val="000000"/>
                <w:sz w:val="20"/>
                <w:szCs w:val="20"/>
              </w:rPr>
            </w:pPr>
          </w:p>
        </w:tc>
        <w:tc>
          <w:tcPr>
            <w:tcW w:w="990" w:type="dxa"/>
            <w:tcBorders>
              <w:bottom w:val="single" w:sz="4" w:space="0" w:color="auto"/>
            </w:tcBorders>
            <w:shd w:val="clear" w:color="auto" w:fill="auto"/>
            <w:vAlign w:val="center"/>
          </w:tcPr>
          <w:p w14:paraId="21B5D3F1"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356052">
              <w:rPr>
                <w:rFonts w:asciiTheme="minorBidi" w:hAnsiTheme="minorBidi"/>
                <w:b/>
                <w:bCs/>
                <w:color w:val="000000"/>
                <w:sz w:val="20"/>
                <w:szCs w:val="20"/>
              </w:rPr>
              <w:t>ROD</w:t>
            </w:r>
          </w:p>
        </w:tc>
        <w:tc>
          <w:tcPr>
            <w:tcW w:w="990" w:type="dxa"/>
            <w:tcBorders>
              <w:bottom w:val="single" w:sz="4" w:space="0" w:color="auto"/>
            </w:tcBorders>
            <w:shd w:val="clear" w:color="auto" w:fill="auto"/>
            <w:vAlign w:val="center"/>
          </w:tcPr>
          <w:p w14:paraId="57909BFE"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356052">
              <w:rPr>
                <w:rFonts w:asciiTheme="minorBidi" w:hAnsiTheme="minorBidi"/>
                <w:b/>
                <w:bCs/>
                <w:color w:val="000000"/>
                <w:sz w:val="20"/>
                <w:szCs w:val="20"/>
              </w:rPr>
              <w:t>+4OD</w:t>
            </w:r>
          </w:p>
        </w:tc>
        <w:tc>
          <w:tcPr>
            <w:tcW w:w="990" w:type="dxa"/>
            <w:tcBorders>
              <w:bottom w:val="single" w:sz="4" w:space="0" w:color="auto"/>
            </w:tcBorders>
            <w:shd w:val="clear" w:color="auto" w:fill="auto"/>
            <w:vAlign w:val="center"/>
          </w:tcPr>
          <w:p w14:paraId="61BD3823"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356052">
              <w:rPr>
                <w:rFonts w:asciiTheme="minorBidi" w:hAnsiTheme="minorBidi"/>
                <w:b/>
                <w:bCs/>
                <w:color w:val="000000"/>
                <w:sz w:val="20"/>
                <w:szCs w:val="20"/>
              </w:rPr>
              <w:t>+4TD</w:t>
            </w:r>
          </w:p>
        </w:tc>
        <w:tc>
          <w:tcPr>
            <w:tcW w:w="990" w:type="dxa"/>
            <w:tcBorders>
              <w:bottom w:val="single" w:sz="4" w:space="0" w:color="auto"/>
            </w:tcBorders>
            <w:shd w:val="clear" w:color="auto" w:fill="auto"/>
            <w:vAlign w:val="center"/>
          </w:tcPr>
          <w:p w14:paraId="331F80E4"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356052">
              <w:rPr>
                <w:rFonts w:asciiTheme="minorBidi" w:hAnsiTheme="minorBidi"/>
                <w:b/>
                <w:bCs/>
                <w:sz w:val="20"/>
                <w:szCs w:val="20"/>
              </w:rPr>
              <w:t>-</w:t>
            </w:r>
            <w:r w:rsidRPr="00356052">
              <w:rPr>
                <w:rFonts w:asciiTheme="minorBidi" w:hAnsiTheme="minorBidi"/>
                <w:b/>
                <w:bCs/>
                <w:color w:val="000000"/>
                <w:sz w:val="20"/>
                <w:szCs w:val="20"/>
              </w:rPr>
              <w:t>18OD</w:t>
            </w:r>
          </w:p>
        </w:tc>
        <w:tc>
          <w:tcPr>
            <w:tcW w:w="990" w:type="dxa"/>
            <w:tcBorders>
              <w:bottom w:val="single" w:sz="4" w:space="0" w:color="auto"/>
            </w:tcBorders>
            <w:shd w:val="clear" w:color="auto" w:fill="auto"/>
            <w:vAlign w:val="center"/>
          </w:tcPr>
          <w:p w14:paraId="5AA06D10"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356052">
              <w:rPr>
                <w:rFonts w:asciiTheme="minorBidi" w:hAnsiTheme="minorBidi"/>
                <w:b/>
                <w:bCs/>
                <w:sz w:val="20"/>
                <w:szCs w:val="20"/>
              </w:rPr>
              <w:t>-</w:t>
            </w:r>
            <w:r w:rsidRPr="00356052">
              <w:rPr>
                <w:rFonts w:asciiTheme="minorBidi" w:hAnsiTheme="minorBidi"/>
                <w:b/>
                <w:bCs/>
                <w:color w:val="000000"/>
                <w:sz w:val="20"/>
                <w:szCs w:val="20"/>
              </w:rPr>
              <w:t>18TD</w:t>
            </w:r>
          </w:p>
        </w:tc>
        <w:tc>
          <w:tcPr>
            <w:tcW w:w="900" w:type="dxa"/>
            <w:vMerge/>
            <w:tcBorders>
              <w:bottom w:val="single" w:sz="4" w:space="0" w:color="auto"/>
            </w:tcBorders>
            <w:vAlign w:val="center"/>
          </w:tcPr>
          <w:p w14:paraId="5784EE88" w14:textId="77777777" w:rsidR="000A0B29" w:rsidRPr="00356052" w:rsidRDefault="000A0B29" w:rsidP="00AD6497">
            <w:pPr>
              <w:ind w:right="112"/>
              <w:jc w:val="both"/>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c>
          <w:tcPr>
            <w:tcW w:w="720" w:type="dxa"/>
            <w:vMerge/>
            <w:tcBorders>
              <w:bottom w:val="single" w:sz="4" w:space="0" w:color="auto"/>
            </w:tcBorders>
            <w:shd w:val="clear" w:color="auto" w:fill="auto"/>
            <w:vAlign w:val="center"/>
          </w:tcPr>
          <w:p w14:paraId="21BFAA94" w14:textId="77777777" w:rsidR="000A0B29" w:rsidRPr="00356052" w:rsidRDefault="000A0B29" w:rsidP="00AD6497">
            <w:pPr>
              <w:ind w:right="112"/>
              <w:jc w:val="both"/>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r>
      <w:tr w:rsidR="000A0B29" w:rsidRPr="00356052" w14:paraId="26CA07C9" w14:textId="77777777" w:rsidTr="00837AF1">
        <w:trPr>
          <w:trHeight w:val="360"/>
        </w:trPr>
        <w:tc>
          <w:tcPr>
            <w:cnfStyle w:val="001000000000" w:firstRow="0" w:lastRow="0" w:firstColumn="1" w:lastColumn="0" w:oddVBand="0" w:evenVBand="0" w:oddHBand="0" w:evenHBand="0" w:firstRowFirstColumn="0" w:firstRowLastColumn="0" w:lastRowFirstColumn="0" w:lastRowLastColumn="0"/>
            <w:tcW w:w="8568" w:type="dxa"/>
            <w:gridSpan w:val="8"/>
            <w:tcBorders>
              <w:bottom w:val="nil"/>
            </w:tcBorders>
            <w:vAlign w:val="center"/>
          </w:tcPr>
          <w:p w14:paraId="7DB86A11" w14:textId="77777777" w:rsidR="000A0B29" w:rsidRPr="00356052" w:rsidRDefault="000A0B29" w:rsidP="00AD6497">
            <w:pPr>
              <w:rPr>
                <w:rFonts w:asciiTheme="minorBidi" w:hAnsiTheme="minorBidi"/>
                <w:sz w:val="20"/>
                <w:szCs w:val="20"/>
              </w:rPr>
            </w:pPr>
            <w:r w:rsidRPr="00356052">
              <w:rPr>
                <w:rFonts w:ascii="Arial" w:eastAsia="Times New Roman" w:hAnsi="Arial" w:cs="Arial"/>
                <w:color w:val="auto"/>
                <w:sz w:val="20"/>
                <w:szCs w:val="20"/>
              </w:rPr>
              <w:t>Day 7</w:t>
            </w:r>
          </w:p>
        </w:tc>
      </w:tr>
      <w:tr w:rsidR="00356052" w:rsidRPr="00356052" w14:paraId="5C0A8E00" w14:textId="77777777" w:rsidTr="00837A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tcBorders>
            <w:shd w:val="clear" w:color="auto" w:fill="auto"/>
            <w:vAlign w:val="center"/>
          </w:tcPr>
          <w:p w14:paraId="2F997C5E" w14:textId="77777777" w:rsidR="000A0B29" w:rsidRPr="00356052" w:rsidRDefault="000A0B29" w:rsidP="00356052">
            <w:pPr>
              <w:ind w:right="112"/>
              <w:jc w:val="both"/>
              <w:rPr>
                <w:rFonts w:asciiTheme="minorBidi" w:hAnsiTheme="minorBidi"/>
                <w:b w:val="0"/>
                <w:bCs w:val="0"/>
                <w:color w:val="000000"/>
                <w:sz w:val="20"/>
                <w:szCs w:val="20"/>
              </w:rPr>
            </w:pPr>
            <w:r w:rsidRPr="00356052">
              <w:rPr>
                <w:rFonts w:asciiTheme="minorBidi" w:hAnsiTheme="minorBidi"/>
                <w:b w:val="0"/>
                <w:bCs w:val="0"/>
                <w:sz w:val="20"/>
                <w:szCs w:val="20"/>
                <w:lang w:val="sv-SE"/>
              </w:rPr>
              <w:t>Plant height</w:t>
            </w:r>
          </w:p>
        </w:tc>
        <w:tc>
          <w:tcPr>
            <w:tcW w:w="990" w:type="dxa"/>
            <w:tcBorders>
              <w:top w:val="nil"/>
              <w:bottom w:val="nil"/>
            </w:tcBorders>
            <w:shd w:val="clear" w:color="auto" w:fill="auto"/>
            <w:vAlign w:val="center"/>
          </w:tcPr>
          <w:p w14:paraId="2E44ED87"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12.00</w:t>
            </w:r>
            <w:r w:rsidRPr="00356052">
              <w:rPr>
                <w:rFonts w:asciiTheme="minorBidi" w:hAnsiTheme="minorBidi"/>
                <w:sz w:val="20"/>
                <w:szCs w:val="20"/>
                <w:vertAlign w:val="superscript"/>
                <w:lang w:val="sv-SE"/>
              </w:rPr>
              <w:t>a</w:t>
            </w:r>
          </w:p>
        </w:tc>
        <w:tc>
          <w:tcPr>
            <w:tcW w:w="990" w:type="dxa"/>
            <w:tcBorders>
              <w:top w:val="nil"/>
              <w:bottom w:val="nil"/>
            </w:tcBorders>
            <w:shd w:val="clear" w:color="auto" w:fill="auto"/>
            <w:vAlign w:val="center"/>
          </w:tcPr>
          <w:p w14:paraId="2559238B"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11.50</w:t>
            </w:r>
            <w:r w:rsidRPr="00356052">
              <w:rPr>
                <w:rFonts w:asciiTheme="minorBidi" w:hAnsiTheme="minorBidi"/>
                <w:sz w:val="20"/>
                <w:szCs w:val="20"/>
                <w:vertAlign w:val="superscript"/>
                <w:lang w:val="sv-SE"/>
              </w:rPr>
              <w:t>a</w:t>
            </w:r>
          </w:p>
        </w:tc>
        <w:tc>
          <w:tcPr>
            <w:tcW w:w="990" w:type="dxa"/>
            <w:tcBorders>
              <w:top w:val="nil"/>
              <w:bottom w:val="nil"/>
            </w:tcBorders>
            <w:shd w:val="clear" w:color="auto" w:fill="auto"/>
            <w:vAlign w:val="center"/>
          </w:tcPr>
          <w:p w14:paraId="67B55A9E"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11.33</w:t>
            </w:r>
            <w:r w:rsidRPr="00356052">
              <w:rPr>
                <w:rFonts w:asciiTheme="minorBidi" w:hAnsiTheme="minorBidi"/>
                <w:sz w:val="20"/>
                <w:szCs w:val="20"/>
                <w:vertAlign w:val="superscript"/>
                <w:lang w:val="sv-SE"/>
              </w:rPr>
              <w:t>ab</w:t>
            </w:r>
          </w:p>
        </w:tc>
        <w:tc>
          <w:tcPr>
            <w:tcW w:w="990" w:type="dxa"/>
            <w:tcBorders>
              <w:top w:val="nil"/>
              <w:bottom w:val="nil"/>
            </w:tcBorders>
            <w:shd w:val="clear" w:color="auto" w:fill="auto"/>
            <w:vAlign w:val="center"/>
          </w:tcPr>
          <w:p w14:paraId="33625869"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8.50</w:t>
            </w:r>
            <w:r w:rsidRPr="00356052">
              <w:rPr>
                <w:rFonts w:asciiTheme="minorBidi" w:hAnsiTheme="minorBidi"/>
                <w:sz w:val="20"/>
                <w:szCs w:val="20"/>
                <w:vertAlign w:val="superscript"/>
                <w:lang w:val="sv-SE"/>
              </w:rPr>
              <w:t>c</w:t>
            </w:r>
          </w:p>
        </w:tc>
        <w:tc>
          <w:tcPr>
            <w:tcW w:w="990" w:type="dxa"/>
            <w:tcBorders>
              <w:top w:val="nil"/>
              <w:bottom w:val="nil"/>
            </w:tcBorders>
            <w:shd w:val="clear" w:color="auto" w:fill="auto"/>
            <w:vAlign w:val="center"/>
          </w:tcPr>
          <w:p w14:paraId="5EE67508"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10.33</w:t>
            </w:r>
            <w:r w:rsidRPr="00356052">
              <w:rPr>
                <w:rFonts w:asciiTheme="minorBidi" w:hAnsiTheme="minorBidi"/>
                <w:sz w:val="20"/>
                <w:szCs w:val="20"/>
                <w:vertAlign w:val="superscript"/>
                <w:lang w:val="sv-SE"/>
              </w:rPr>
              <w:t>b</w:t>
            </w:r>
          </w:p>
        </w:tc>
        <w:tc>
          <w:tcPr>
            <w:tcW w:w="900" w:type="dxa"/>
            <w:tcBorders>
              <w:top w:val="nil"/>
              <w:bottom w:val="nil"/>
            </w:tcBorders>
            <w:shd w:val="clear" w:color="auto" w:fill="auto"/>
            <w:vAlign w:val="center"/>
          </w:tcPr>
          <w:p w14:paraId="4A249949"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0.470</w:t>
            </w:r>
          </w:p>
        </w:tc>
        <w:tc>
          <w:tcPr>
            <w:tcW w:w="720" w:type="dxa"/>
            <w:tcBorders>
              <w:top w:val="nil"/>
              <w:bottom w:val="nil"/>
            </w:tcBorders>
            <w:shd w:val="clear" w:color="auto" w:fill="auto"/>
            <w:vAlign w:val="center"/>
          </w:tcPr>
          <w:p w14:paraId="79195624" w14:textId="6C1074DD"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.021</w:t>
            </w:r>
          </w:p>
        </w:tc>
      </w:tr>
      <w:tr w:rsidR="00356052" w:rsidRPr="00356052" w14:paraId="0151DA0D" w14:textId="77777777" w:rsidTr="00837AF1">
        <w:trPr>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tcBorders>
            <w:vAlign w:val="center"/>
          </w:tcPr>
          <w:p w14:paraId="1BF677A2" w14:textId="77777777" w:rsidR="000A0B29" w:rsidRPr="00356052" w:rsidRDefault="000A0B29" w:rsidP="00356052">
            <w:pPr>
              <w:ind w:right="112"/>
              <w:jc w:val="both"/>
              <w:rPr>
                <w:rFonts w:asciiTheme="minorBidi" w:hAnsiTheme="minorBidi"/>
                <w:b w:val="0"/>
                <w:bCs w:val="0"/>
                <w:color w:val="000000"/>
                <w:sz w:val="20"/>
                <w:szCs w:val="20"/>
              </w:rPr>
            </w:pPr>
            <w:r w:rsidRPr="00356052">
              <w:rPr>
                <w:rFonts w:asciiTheme="minorBidi" w:hAnsiTheme="minorBidi"/>
                <w:b w:val="0"/>
                <w:bCs w:val="0"/>
                <w:sz w:val="20"/>
                <w:szCs w:val="20"/>
                <w:lang w:val="sv-SE"/>
              </w:rPr>
              <w:t>Fresh fodder yield</w:t>
            </w:r>
          </w:p>
        </w:tc>
        <w:tc>
          <w:tcPr>
            <w:tcW w:w="990" w:type="dxa"/>
            <w:tcBorders>
              <w:top w:val="nil"/>
              <w:bottom w:val="nil"/>
            </w:tcBorders>
            <w:vAlign w:val="center"/>
          </w:tcPr>
          <w:p w14:paraId="59584F54"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3.52</w:t>
            </w:r>
            <w:r w:rsidRPr="00356052">
              <w:rPr>
                <w:rFonts w:asciiTheme="minorBidi" w:hAnsiTheme="minorBidi"/>
                <w:sz w:val="20"/>
                <w:szCs w:val="20"/>
                <w:vertAlign w:val="superscript"/>
                <w:lang w:val="sv-SE"/>
              </w:rPr>
              <w:t>b</w:t>
            </w:r>
          </w:p>
        </w:tc>
        <w:tc>
          <w:tcPr>
            <w:tcW w:w="990" w:type="dxa"/>
            <w:tcBorders>
              <w:top w:val="nil"/>
              <w:bottom w:val="nil"/>
            </w:tcBorders>
            <w:vAlign w:val="center"/>
          </w:tcPr>
          <w:p w14:paraId="2BE81C50"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3.31</w:t>
            </w:r>
            <w:r w:rsidRPr="00356052">
              <w:rPr>
                <w:rFonts w:asciiTheme="minorBidi" w:hAnsiTheme="minorBidi"/>
                <w:sz w:val="20"/>
                <w:szCs w:val="20"/>
                <w:vertAlign w:val="superscript"/>
                <w:lang w:val="sv-SE"/>
              </w:rPr>
              <w:t>c</w:t>
            </w:r>
          </w:p>
        </w:tc>
        <w:tc>
          <w:tcPr>
            <w:tcW w:w="990" w:type="dxa"/>
            <w:tcBorders>
              <w:top w:val="nil"/>
              <w:bottom w:val="nil"/>
            </w:tcBorders>
            <w:vAlign w:val="center"/>
          </w:tcPr>
          <w:p w14:paraId="0292F7E4"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3.72</w:t>
            </w:r>
            <w:r w:rsidRPr="00356052">
              <w:rPr>
                <w:rFonts w:asciiTheme="minorBidi" w:hAnsiTheme="minorBidi"/>
                <w:sz w:val="20"/>
                <w:szCs w:val="20"/>
                <w:vertAlign w:val="superscript"/>
                <w:lang w:val="sv-SE"/>
              </w:rPr>
              <w:t>b</w:t>
            </w:r>
          </w:p>
        </w:tc>
        <w:tc>
          <w:tcPr>
            <w:tcW w:w="990" w:type="dxa"/>
            <w:tcBorders>
              <w:top w:val="nil"/>
              <w:bottom w:val="nil"/>
            </w:tcBorders>
            <w:vAlign w:val="center"/>
          </w:tcPr>
          <w:p w14:paraId="5B3C9C99"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3.84</w:t>
            </w:r>
            <w:r w:rsidRPr="00356052">
              <w:rPr>
                <w:rFonts w:asciiTheme="minorBidi" w:hAnsiTheme="minorBidi"/>
                <w:sz w:val="20"/>
                <w:szCs w:val="20"/>
                <w:vertAlign w:val="superscript"/>
                <w:lang w:val="sv-SE"/>
              </w:rPr>
              <w:t>b</w:t>
            </w:r>
          </w:p>
        </w:tc>
        <w:tc>
          <w:tcPr>
            <w:tcW w:w="990" w:type="dxa"/>
            <w:tcBorders>
              <w:top w:val="nil"/>
              <w:bottom w:val="nil"/>
            </w:tcBorders>
            <w:vAlign w:val="center"/>
          </w:tcPr>
          <w:p w14:paraId="3F509152"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4.12</w:t>
            </w:r>
            <w:r w:rsidRPr="00356052">
              <w:rPr>
                <w:rFonts w:asciiTheme="minorBidi" w:hAnsiTheme="minorBidi"/>
                <w:sz w:val="20"/>
                <w:szCs w:val="20"/>
                <w:vertAlign w:val="superscript"/>
                <w:lang w:val="sv-SE"/>
              </w:rPr>
              <w:t>a</w:t>
            </w:r>
          </w:p>
        </w:tc>
        <w:tc>
          <w:tcPr>
            <w:tcW w:w="900" w:type="dxa"/>
            <w:tcBorders>
              <w:top w:val="nil"/>
              <w:bottom w:val="nil"/>
            </w:tcBorders>
            <w:vAlign w:val="center"/>
          </w:tcPr>
          <w:p w14:paraId="10E3CB50"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0.125</w:t>
            </w:r>
          </w:p>
        </w:tc>
        <w:tc>
          <w:tcPr>
            <w:tcW w:w="720" w:type="dxa"/>
            <w:tcBorders>
              <w:top w:val="nil"/>
              <w:bottom w:val="nil"/>
            </w:tcBorders>
            <w:vAlign w:val="center"/>
          </w:tcPr>
          <w:p w14:paraId="0DFB6B58" w14:textId="4E60244A"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.019</w:t>
            </w:r>
          </w:p>
        </w:tc>
      </w:tr>
      <w:tr w:rsidR="00356052" w:rsidRPr="00356052" w14:paraId="26581F23" w14:textId="77777777" w:rsidTr="00837A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single" w:sz="4" w:space="0" w:color="auto"/>
            </w:tcBorders>
            <w:shd w:val="clear" w:color="auto" w:fill="auto"/>
            <w:vAlign w:val="center"/>
          </w:tcPr>
          <w:p w14:paraId="3C26D859" w14:textId="77777777" w:rsidR="000A0B29" w:rsidRPr="00356052" w:rsidRDefault="000A0B29" w:rsidP="00356052">
            <w:pPr>
              <w:ind w:right="112"/>
              <w:jc w:val="both"/>
              <w:rPr>
                <w:rFonts w:asciiTheme="minorBidi" w:hAnsiTheme="minorBidi"/>
                <w:b w:val="0"/>
                <w:bCs w:val="0"/>
                <w:color w:val="auto"/>
                <w:sz w:val="20"/>
                <w:szCs w:val="20"/>
              </w:rPr>
            </w:pPr>
            <w:r w:rsidRPr="00356052">
              <w:rPr>
                <w:rFonts w:asciiTheme="minorBidi" w:hAnsiTheme="minorBidi"/>
                <w:b w:val="0"/>
                <w:bCs w:val="0"/>
                <w:sz w:val="20"/>
                <w:szCs w:val="20"/>
                <w:lang w:val="sv-SE"/>
              </w:rPr>
              <w:t>Dry fodder yield</w:t>
            </w:r>
          </w:p>
        </w:tc>
        <w:tc>
          <w:tcPr>
            <w:tcW w:w="990" w:type="dxa"/>
            <w:tcBorders>
              <w:top w:val="nil"/>
              <w:bottom w:val="single" w:sz="4" w:space="0" w:color="auto"/>
            </w:tcBorders>
            <w:shd w:val="clear" w:color="auto" w:fill="auto"/>
            <w:vAlign w:val="center"/>
          </w:tcPr>
          <w:p w14:paraId="3946ADF1"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0.51</w:t>
            </w:r>
          </w:p>
        </w:tc>
        <w:tc>
          <w:tcPr>
            <w:tcW w:w="990" w:type="dxa"/>
            <w:tcBorders>
              <w:top w:val="nil"/>
              <w:bottom w:val="single" w:sz="4" w:space="0" w:color="auto"/>
            </w:tcBorders>
            <w:shd w:val="clear" w:color="auto" w:fill="auto"/>
            <w:vAlign w:val="center"/>
          </w:tcPr>
          <w:p w14:paraId="678BD329"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0.54</w:t>
            </w:r>
          </w:p>
        </w:tc>
        <w:tc>
          <w:tcPr>
            <w:tcW w:w="990" w:type="dxa"/>
            <w:tcBorders>
              <w:top w:val="nil"/>
              <w:bottom w:val="single" w:sz="4" w:space="0" w:color="auto"/>
            </w:tcBorders>
            <w:shd w:val="clear" w:color="auto" w:fill="auto"/>
            <w:vAlign w:val="center"/>
          </w:tcPr>
          <w:p w14:paraId="7A30B936"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0.53</w:t>
            </w:r>
          </w:p>
        </w:tc>
        <w:tc>
          <w:tcPr>
            <w:tcW w:w="990" w:type="dxa"/>
            <w:tcBorders>
              <w:top w:val="nil"/>
              <w:bottom w:val="single" w:sz="4" w:space="0" w:color="auto"/>
            </w:tcBorders>
            <w:shd w:val="clear" w:color="auto" w:fill="auto"/>
            <w:vAlign w:val="center"/>
          </w:tcPr>
          <w:p w14:paraId="3A3E4D58"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0.54</w:t>
            </w:r>
          </w:p>
        </w:tc>
        <w:tc>
          <w:tcPr>
            <w:tcW w:w="990" w:type="dxa"/>
            <w:tcBorders>
              <w:top w:val="nil"/>
              <w:bottom w:val="single" w:sz="4" w:space="0" w:color="auto"/>
            </w:tcBorders>
            <w:shd w:val="clear" w:color="auto" w:fill="auto"/>
            <w:vAlign w:val="center"/>
          </w:tcPr>
          <w:p w14:paraId="032A0536"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0.57</w:t>
            </w:r>
          </w:p>
        </w:tc>
        <w:tc>
          <w:tcPr>
            <w:tcW w:w="900" w:type="dxa"/>
            <w:tcBorders>
              <w:top w:val="nil"/>
              <w:bottom w:val="single" w:sz="4" w:space="0" w:color="auto"/>
            </w:tcBorders>
            <w:shd w:val="clear" w:color="auto" w:fill="auto"/>
            <w:vAlign w:val="center"/>
          </w:tcPr>
          <w:p w14:paraId="7E168CBB"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0.031</w:t>
            </w:r>
          </w:p>
        </w:tc>
        <w:tc>
          <w:tcPr>
            <w:tcW w:w="720" w:type="dxa"/>
            <w:tcBorders>
              <w:top w:val="nil"/>
              <w:bottom w:val="single" w:sz="4" w:space="0" w:color="auto"/>
            </w:tcBorders>
            <w:shd w:val="clear" w:color="auto" w:fill="auto"/>
            <w:vAlign w:val="center"/>
          </w:tcPr>
          <w:p w14:paraId="4221D0E8" w14:textId="595D1B33"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.988</w:t>
            </w:r>
          </w:p>
        </w:tc>
      </w:tr>
      <w:tr w:rsidR="000A0B29" w:rsidRPr="00356052" w14:paraId="683BEC14" w14:textId="77777777" w:rsidTr="00837AF1">
        <w:trPr>
          <w:trHeight w:val="360"/>
        </w:trPr>
        <w:tc>
          <w:tcPr>
            <w:cnfStyle w:val="001000000000" w:firstRow="0" w:lastRow="0" w:firstColumn="1" w:lastColumn="0" w:oddVBand="0" w:evenVBand="0" w:oddHBand="0" w:evenHBand="0" w:firstRowFirstColumn="0" w:firstRowLastColumn="0" w:lastRowFirstColumn="0" w:lastRowLastColumn="0"/>
            <w:tcW w:w="8568" w:type="dxa"/>
            <w:gridSpan w:val="8"/>
            <w:tcBorders>
              <w:bottom w:val="nil"/>
            </w:tcBorders>
            <w:vAlign w:val="center"/>
          </w:tcPr>
          <w:p w14:paraId="1DAF46CD" w14:textId="77777777" w:rsidR="000A0B29" w:rsidRPr="00356052" w:rsidRDefault="000A0B29" w:rsidP="00AD6497">
            <w:pPr>
              <w:rPr>
                <w:rFonts w:asciiTheme="minorBidi" w:hAnsiTheme="minorBidi"/>
                <w:sz w:val="20"/>
                <w:szCs w:val="20"/>
              </w:rPr>
            </w:pPr>
            <w:r w:rsidRPr="00356052">
              <w:rPr>
                <w:rFonts w:asciiTheme="minorBidi" w:hAnsiTheme="minorBidi"/>
                <w:color w:val="auto"/>
                <w:sz w:val="20"/>
                <w:szCs w:val="20"/>
              </w:rPr>
              <w:t>Day 11</w:t>
            </w:r>
          </w:p>
        </w:tc>
      </w:tr>
      <w:tr w:rsidR="00356052" w:rsidRPr="00356052" w14:paraId="0204D932" w14:textId="77777777" w:rsidTr="00837A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tcBorders>
            <w:shd w:val="clear" w:color="auto" w:fill="auto"/>
            <w:vAlign w:val="center"/>
          </w:tcPr>
          <w:p w14:paraId="5DDCB1A7" w14:textId="77777777" w:rsidR="000A0B29" w:rsidRPr="00356052" w:rsidRDefault="000A0B29" w:rsidP="00356052">
            <w:pPr>
              <w:ind w:right="112"/>
              <w:jc w:val="both"/>
              <w:rPr>
                <w:rFonts w:asciiTheme="minorBidi" w:hAnsiTheme="minorBidi"/>
                <w:b w:val="0"/>
                <w:bCs w:val="0"/>
                <w:color w:val="auto"/>
                <w:sz w:val="20"/>
                <w:szCs w:val="20"/>
              </w:rPr>
            </w:pPr>
            <w:r w:rsidRPr="00356052">
              <w:rPr>
                <w:rFonts w:asciiTheme="minorBidi" w:hAnsiTheme="minorBidi"/>
                <w:b w:val="0"/>
                <w:bCs w:val="0"/>
                <w:sz w:val="20"/>
                <w:szCs w:val="20"/>
                <w:lang w:val="sv-SE"/>
              </w:rPr>
              <w:t>Plant height</w:t>
            </w:r>
          </w:p>
        </w:tc>
        <w:tc>
          <w:tcPr>
            <w:tcW w:w="990" w:type="dxa"/>
            <w:tcBorders>
              <w:top w:val="nil"/>
              <w:bottom w:val="nil"/>
            </w:tcBorders>
            <w:shd w:val="clear" w:color="auto" w:fill="auto"/>
            <w:vAlign w:val="center"/>
          </w:tcPr>
          <w:p w14:paraId="76982D34"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20.17</w:t>
            </w:r>
          </w:p>
        </w:tc>
        <w:tc>
          <w:tcPr>
            <w:tcW w:w="990" w:type="dxa"/>
            <w:tcBorders>
              <w:top w:val="nil"/>
              <w:bottom w:val="nil"/>
            </w:tcBorders>
            <w:shd w:val="clear" w:color="auto" w:fill="auto"/>
            <w:vAlign w:val="center"/>
          </w:tcPr>
          <w:p w14:paraId="470B266A"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19.83</w:t>
            </w:r>
          </w:p>
        </w:tc>
        <w:tc>
          <w:tcPr>
            <w:tcW w:w="990" w:type="dxa"/>
            <w:tcBorders>
              <w:top w:val="nil"/>
              <w:bottom w:val="nil"/>
            </w:tcBorders>
            <w:shd w:val="clear" w:color="auto" w:fill="auto"/>
            <w:vAlign w:val="center"/>
          </w:tcPr>
          <w:p w14:paraId="11CD9A89"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20.00</w:t>
            </w:r>
          </w:p>
        </w:tc>
        <w:tc>
          <w:tcPr>
            <w:tcW w:w="990" w:type="dxa"/>
            <w:tcBorders>
              <w:top w:val="nil"/>
              <w:bottom w:val="nil"/>
            </w:tcBorders>
            <w:shd w:val="clear" w:color="auto" w:fill="auto"/>
            <w:vAlign w:val="center"/>
          </w:tcPr>
          <w:p w14:paraId="17AE2E13"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19.83</w:t>
            </w:r>
          </w:p>
        </w:tc>
        <w:tc>
          <w:tcPr>
            <w:tcW w:w="990" w:type="dxa"/>
            <w:tcBorders>
              <w:top w:val="nil"/>
              <w:bottom w:val="nil"/>
            </w:tcBorders>
            <w:shd w:val="clear" w:color="auto" w:fill="auto"/>
            <w:vAlign w:val="center"/>
          </w:tcPr>
          <w:p w14:paraId="102A3A24"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20.00</w:t>
            </w:r>
          </w:p>
        </w:tc>
        <w:tc>
          <w:tcPr>
            <w:tcW w:w="900" w:type="dxa"/>
            <w:tcBorders>
              <w:top w:val="nil"/>
              <w:bottom w:val="nil"/>
            </w:tcBorders>
            <w:shd w:val="clear" w:color="auto" w:fill="auto"/>
            <w:vAlign w:val="center"/>
          </w:tcPr>
          <w:p w14:paraId="3F052323"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0.124</w:t>
            </w:r>
          </w:p>
        </w:tc>
        <w:tc>
          <w:tcPr>
            <w:tcW w:w="720" w:type="dxa"/>
            <w:tcBorders>
              <w:top w:val="nil"/>
              <w:bottom w:val="nil"/>
            </w:tcBorders>
            <w:shd w:val="clear" w:color="auto" w:fill="auto"/>
            <w:vAlign w:val="center"/>
          </w:tcPr>
          <w:p w14:paraId="4321C810" w14:textId="63E95814"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356052">
              <w:rPr>
                <w:rFonts w:asciiTheme="minorBidi" w:hAnsiTheme="minorBidi"/>
                <w:sz w:val="20"/>
                <w:szCs w:val="20"/>
                <w:lang w:val="sv-SE"/>
              </w:rPr>
              <w:t>.936</w:t>
            </w:r>
          </w:p>
        </w:tc>
      </w:tr>
      <w:tr w:rsidR="00356052" w:rsidRPr="00356052" w14:paraId="04EE1EF9" w14:textId="77777777" w:rsidTr="00837AF1">
        <w:trPr>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tcBorders>
            <w:vAlign w:val="center"/>
          </w:tcPr>
          <w:p w14:paraId="0F0CFC4E" w14:textId="77777777" w:rsidR="000A0B29" w:rsidRPr="00356052" w:rsidRDefault="000A0B29" w:rsidP="00356052">
            <w:pPr>
              <w:ind w:right="112"/>
              <w:jc w:val="both"/>
              <w:rPr>
                <w:rFonts w:asciiTheme="minorBidi" w:hAnsiTheme="minorBidi"/>
                <w:b w:val="0"/>
                <w:bCs w:val="0"/>
                <w:color w:val="auto"/>
                <w:sz w:val="20"/>
                <w:szCs w:val="20"/>
                <w:lang w:val="en-GB"/>
              </w:rPr>
            </w:pPr>
            <w:r w:rsidRPr="00356052">
              <w:rPr>
                <w:rFonts w:asciiTheme="minorBidi" w:hAnsiTheme="minorBidi"/>
                <w:b w:val="0"/>
                <w:bCs w:val="0"/>
                <w:sz w:val="20"/>
                <w:szCs w:val="20"/>
                <w:lang w:val="sv-SE"/>
              </w:rPr>
              <w:t>Fresh fodder yield</w:t>
            </w:r>
          </w:p>
        </w:tc>
        <w:tc>
          <w:tcPr>
            <w:tcW w:w="990" w:type="dxa"/>
            <w:tcBorders>
              <w:top w:val="nil"/>
              <w:bottom w:val="nil"/>
            </w:tcBorders>
            <w:vAlign w:val="center"/>
          </w:tcPr>
          <w:p w14:paraId="0037E51A"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356052">
              <w:rPr>
                <w:rFonts w:asciiTheme="minorBidi" w:hAnsiTheme="minorBidi"/>
                <w:sz w:val="20"/>
                <w:szCs w:val="20"/>
                <w:lang w:val="sv-SE"/>
              </w:rPr>
              <w:t>5.16</w:t>
            </w:r>
            <w:r w:rsidRPr="00356052">
              <w:rPr>
                <w:rFonts w:asciiTheme="minorBidi" w:hAnsiTheme="minorBidi"/>
                <w:sz w:val="20"/>
                <w:szCs w:val="20"/>
                <w:vertAlign w:val="superscript"/>
                <w:lang w:val="sv-SE"/>
              </w:rPr>
              <w:t>b</w:t>
            </w:r>
          </w:p>
        </w:tc>
        <w:tc>
          <w:tcPr>
            <w:tcW w:w="990" w:type="dxa"/>
            <w:tcBorders>
              <w:top w:val="nil"/>
              <w:bottom w:val="nil"/>
            </w:tcBorders>
            <w:vAlign w:val="center"/>
          </w:tcPr>
          <w:p w14:paraId="7B5CD9BA"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356052">
              <w:rPr>
                <w:rFonts w:asciiTheme="minorBidi" w:hAnsiTheme="minorBidi"/>
                <w:sz w:val="20"/>
                <w:szCs w:val="20"/>
                <w:lang w:val="sv-SE"/>
              </w:rPr>
              <w:t>5.18</w:t>
            </w:r>
            <w:r w:rsidRPr="00356052">
              <w:rPr>
                <w:rFonts w:asciiTheme="minorBidi" w:hAnsiTheme="minorBidi"/>
                <w:sz w:val="20"/>
                <w:szCs w:val="20"/>
                <w:vertAlign w:val="superscript"/>
                <w:lang w:val="sv-SE"/>
              </w:rPr>
              <w:t>b</w:t>
            </w:r>
          </w:p>
        </w:tc>
        <w:tc>
          <w:tcPr>
            <w:tcW w:w="990" w:type="dxa"/>
            <w:tcBorders>
              <w:top w:val="nil"/>
              <w:bottom w:val="nil"/>
            </w:tcBorders>
            <w:vAlign w:val="center"/>
          </w:tcPr>
          <w:p w14:paraId="3419B91F"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356052">
              <w:rPr>
                <w:rFonts w:asciiTheme="minorBidi" w:hAnsiTheme="minorBidi"/>
                <w:sz w:val="20"/>
                <w:szCs w:val="20"/>
                <w:lang w:val="sv-SE"/>
              </w:rPr>
              <w:t>5.71</w:t>
            </w:r>
            <w:r w:rsidRPr="00356052">
              <w:rPr>
                <w:rFonts w:asciiTheme="minorBidi" w:hAnsiTheme="minorBidi"/>
                <w:sz w:val="20"/>
                <w:szCs w:val="20"/>
                <w:vertAlign w:val="superscript"/>
                <w:lang w:val="sv-SE"/>
              </w:rPr>
              <w:t>ab</w:t>
            </w:r>
          </w:p>
        </w:tc>
        <w:tc>
          <w:tcPr>
            <w:tcW w:w="990" w:type="dxa"/>
            <w:tcBorders>
              <w:top w:val="nil"/>
              <w:bottom w:val="nil"/>
            </w:tcBorders>
            <w:vAlign w:val="center"/>
          </w:tcPr>
          <w:p w14:paraId="59DFA88F"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356052">
              <w:rPr>
                <w:rFonts w:asciiTheme="minorBidi" w:hAnsiTheme="minorBidi"/>
                <w:sz w:val="20"/>
                <w:szCs w:val="20"/>
                <w:lang w:val="sv-SE"/>
              </w:rPr>
              <w:t>6.18</w:t>
            </w:r>
            <w:r w:rsidRPr="00356052">
              <w:rPr>
                <w:rFonts w:asciiTheme="minorBidi" w:hAnsiTheme="minorBidi"/>
                <w:sz w:val="20"/>
                <w:szCs w:val="20"/>
                <w:vertAlign w:val="superscript"/>
                <w:lang w:val="sv-SE"/>
              </w:rPr>
              <w:t>a</w:t>
            </w:r>
          </w:p>
        </w:tc>
        <w:tc>
          <w:tcPr>
            <w:tcW w:w="990" w:type="dxa"/>
            <w:tcBorders>
              <w:top w:val="nil"/>
              <w:bottom w:val="nil"/>
            </w:tcBorders>
            <w:vAlign w:val="center"/>
          </w:tcPr>
          <w:p w14:paraId="74526F08"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356052">
              <w:rPr>
                <w:rFonts w:asciiTheme="minorBidi" w:hAnsiTheme="minorBidi"/>
                <w:sz w:val="20"/>
                <w:szCs w:val="20"/>
                <w:lang w:val="sv-SE"/>
              </w:rPr>
              <w:t>6.34</w:t>
            </w:r>
            <w:r w:rsidRPr="00356052">
              <w:rPr>
                <w:rFonts w:asciiTheme="minorBidi" w:hAnsiTheme="minorBidi"/>
                <w:sz w:val="20"/>
                <w:szCs w:val="20"/>
                <w:vertAlign w:val="superscript"/>
                <w:lang w:val="sv-SE"/>
              </w:rPr>
              <w:t>a</w:t>
            </w:r>
          </w:p>
        </w:tc>
        <w:tc>
          <w:tcPr>
            <w:tcW w:w="900" w:type="dxa"/>
            <w:tcBorders>
              <w:top w:val="nil"/>
              <w:bottom w:val="nil"/>
            </w:tcBorders>
            <w:vAlign w:val="center"/>
          </w:tcPr>
          <w:p w14:paraId="197A7421" w14:textId="77777777"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356052">
              <w:rPr>
                <w:rFonts w:asciiTheme="minorBidi" w:hAnsiTheme="minorBidi"/>
                <w:sz w:val="20"/>
                <w:szCs w:val="20"/>
                <w:lang w:val="sv-SE"/>
              </w:rPr>
              <w:t>0.181</w:t>
            </w:r>
          </w:p>
        </w:tc>
        <w:tc>
          <w:tcPr>
            <w:tcW w:w="720" w:type="dxa"/>
            <w:tcBorders>
              <w:top w:val="nil"/>
              <w:bottom w:val="nil"/>
            </w:tcBorders>
            <w:vAlign w:val="center"/>
          </w:tcPr>
          <w:p w14:paraId="09C5D0F6" w14:textId="09E4EE55" w:rsidR="000A0B29" w:rsidRPr="00356052"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356052">
              <w:rPr>
                <w:rFonts w:asciiTheme="minorBidi" w:hAnsiTheme="minorBidi"/>
                <w:sz w:val="20"/>
                <w:szCs w:val="20"/>
                <w:lang w:val="sv-SE"/>
              </w:rPr>
              <w:t>.019</w:t>
            </w:r>
          </w:p>
        </w:tc>
      </w:tr>
      <w:tr w:rsidR="00356052" w:rsidRPr="00356052" w14:paraId="651BE93D" w14:textId="77777777" w:rsidTr="00837A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tcBorders>
            <w:shd w:val="clear" w:color="auto" w:fill="auto"/>
            <w:vAlign w:val="center"/>
          </w:tcPr>
          <w:p w14:paraId="3E26F360" w14:textId="77777777" w:rsidR="000A0B29" w:rsidRPr="00356052" w:rsidRDefault="000A0B29" w:rsidP="00356052">
            <w:pPr>
              <w:ind w:right="112"/>
              <w:jc w:val="both"/>
              <w:rPr>
                <w:rFonts w:asciiTheme="minorBidi" w:hAnsiTheme="minorBidi"/>
                <w:b w:val="0"/>
                <w:bCs w:val="0"/>
                <w:sz w:val="20"/>
                <w:szCs w:val="20"/>
              </w:rPr>
            </w:pPr>
            <w:r w:rsidRPr="00356052">
              <w:rPr>
                <w:rFonts w:asciiTheme="minorBidi" w:hAnsiTheme="minorBidi"/>
                <w:b w:val="0"/>
                <w:bCs w:val="0"/>
                <w:sz w:val="20"/>
                <w:szCs w:val="20"/>
                <w:lang w:val="sv-SE"/>
              </w:rPr>
              <w:t>Dry fodder yield</w:t>
            </w:r>
          </w:p>
        </w:tc>
        <w:tc>
          <w:tcPr>
            <w:tcW w:w="990" w:type="dxa"/>
            <w:tcBorders>
              <w:top w:val="nil"/>
            </w:tcBorders>
            <w:shd w:val="clear" w:color="auto" w:fill="auto"/>
            <w:vAlign w:val="center"/>
          </w:tcPr>
          <w:p w14:paraId="77537733"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0.76</w:t>
            </w:r>
          </w:p>
        </w:tc>
        <w:tc>
          <w:tcPr>
            <w:tcW w:w="990" w:type="dxa"/>
            <w:tcBorders>
              <w:top w:val="nil"/>
            </w:tcBorders>
            <w:shd w:val="clear" w:color="auto" w:fill="auto"/>
            <w:vAlign w:val="center"/>
          </w:tcPr>
          <w:p w14:paraId="5810CAC0"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0.85</w:t>
            </w:r>
          </w:p>
        </w:tc>
        <w:tc>
          <w:tcPr>
            <w:tcW w:w="990" w:type="dxa"/>
            <w:tcBorders>
              <w:top w:val="nil"/>
            </w:tcBorders>
            <w:shd w:val="clear" w:color="auto" w:fill="auto"/>
            <w:vAlign w:val="center"/>
          </w:tcPr>
          <w:p w14:paraId="173EFEE5"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0.81</w:t>
            </w:r>
          </w:p>
        </w:tc>
        <w:tc>
          <w:tcPr>
            <w:tcW w:w="990" w:type="dxa"/>
            <w:tcBorders>
              <w:top w:val="nil"/>
            </w:tcBorders>
            <w:shd w:val="clear" w:color="auto" w:fill="auto"/>
            <w:vAlign w:val="center"/>
          </w:tcPr>
          <w:p w14:paraId="66C5542E"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0.86</w:t>
            </w:r>
          </w:p>
        </w:tc>
        <w:tc>
          <w:tcPr>
            <w:tcW w:w="990" w:type="dxa"/>
            <w:tcBorders>
              <w:top w:val="nil"/>
            </w:tcBorders>
            <w:shd w:val="clear" w:color="auto" w:fill="auto"/>
            <w:vAlign w:val="center"/>
          </w:tcPr>
          <w:p w14:paraId="3B3B635F"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0.87</w:t>
            </w:r>
          </w:p>
        </w:tc>
        <w:tc>
          <w:tcPr>
            <w:tcW w:w="900" w:type="dxa"/>
            <w:tcBorders>
              <w:top w:val="nil"/>
            </w:tcBorders>
            <w:shd w:val="clear" w:color="auto" w:fill="auto"/>
            <w:vAlign w:val="center"/>
          </w:tcPr>
          <w:p w14:paraId="705FF43F" w14:textId="77777777"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0.043</w:t>
            </w:r>
          </w:p>
        </w:tc>
        <w:tc>
          <w:tcPr>
            <w:tcW w:w="720" w:type="dxa"/>
            <w:tcBorders>
              <w:top w:val="nil"/>
            </w:tcBorders>
            <w:shd w:val="clear" w:color="auto" w:fill="auto"/>
            <w:vAlign w:val="center"/>
          </w:tcPr>
          <w:p w14:paraId="2C2A12B1" w14:textId="2E97D80B" w:rsidR="000A0B29" w:rsidRPr="00356052"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356052">
              <w:rPr>
                <w:rFonts w:asciiTheme="minorBidi" w:hAnsiTheme="minorBidi"/>
                <w:sz w:val="20"/>
                <w:szCs w:val="20"/>
                <w:lang w:val="sv-SE"/>
              </w:rPr>
              <w:t>.934</w:t>
            </w:r>
          </w:p>
        </w:tc>
      </w:tr>
    </w:tbl>
    <w:p w14:paraId="6DEC5463" w14:textId="06639791" w:rsidR="00BD2832" w:rsidRDefault="000A0B29" w:rsidP="00262F9E">
      <w:pPr>
        <w:pStyle w:val="BodyText3"/>
        <w:tabs>
          <w:tab w:val="left" w:pos="0"/>
        </w:tabs>
        <w:spacing w:after="0"/>
        <w:jc w:val="both"/>
        <w:rPr>
          <w:rFonts w:ascii="Arial" w:hAnsi="Arial" w:cs="Arial"/>
        </w:rPr>
      </w:pPr>
      <w:r w:rsidRPr="00262F9E">
        <w:rPr>
          <w:rFonts w:ascii="Arial" w:hAnsi="Arial"/>
          <w:bCs/>
          <w:i/>
          <w:sz w:val="18"/>
        </w:rPr>
        <w:t xml:space="preserve">ROD: seeds were soaked and left at room temperature for one day, +4OD: seeds were soaked and refrigerated at +4 °C for one day, +4TD: seeds were soaked and refrigerated at +4 °C for three days, </w:t>
      </w:r>
      <w:r w:rsidR="00A63B9F">
        <w:rPr>
          <w:rFonts w:ascii="Arial" w:hAnsi="Arial"/>
          <w:bCs/>
          <w:i/>
          <w:sz w:val="18"/>
        </w:rPr>
        <w:t xml:space="preserve">   </w:t>
      </w:r>
      <w:r w:rsidRPr="00262F9E">
        <w:rPr>
          <w:rFonts w:ascii="Arial" w:hAnsi="Arial"/>
          <w:bCs/>
          <w:i/>
          <w:sz w:val="18"/>
        </w:rPr>
        <w:t xml:space="preserve">-18OD: seeds were soaked and frozen at -18 °C for one day, -18TD: seeds were soaked and frozen at -18 °C for three days, SEM: standard error of the mean, </w:t>
      </w:r>
      <w:proofErr w:type="spellStart"/>
      <w:r w:rsidRPr="00262F9E">
        <w:rPr>
          <w:rFonts w:ascii="Arial" w:hAnsi="Arial"/>
          <w:bCs/>
          <w:i/>
          <w:sz w:val="18"/>
        </w:rPr>
        <w:t>abc</w:t>
      </w:r>
      <w:proofErr w:type="spellEnd"/>
      <w:r w:rsidRPr="00262F9E">
        <w:rPr>
          <w:rFonts w:ascii="Arial" w:hAnsi="Arial"/>
          <w:bCs/>
          <w:i/>
          <w:sz w:val="18"/>
        </w:rPr>
        <w:t>: means with different superscripts in the same row were significantly different (P</w:t>
      </w:r>
      <w:r w:rsidR="00AB7A59">
        <w:rPr>
          <w:rFonts w:ascii="Arial" w:hAnsi="Arial"/>
          <w:bCs/>
          <w:i/>
          <w:sz w:val="18"/>
        </w:rPr>
        <w:t xml:space="preserve"> </w:t>
      </w:r>
      <w:r w:rsidRPr="00262F9E">
        <w:rPr>
          <w:rFonts w:ascii="Arial" w:hAnsi="Arial"/>
          <w:bCs/>
          <w:i/>
          <w:sz w:val="18"/>
        </w:rPr>
        <w:t>≤</w:t>
      </w:r>
      <w:r w:rsidR="00AB7A59">
        <w:rPr>
          <w:rFonts w:ascii="Arial" w:hAnsi="Arial"/>
          <w:bCs/>
          <w:i/>
          <w:sz w:val="18"/>
        </w:rPr>
        <w:t xml:space="preserve"> </w:t>
      </w:r>
      <w:r w:rsidRPr="00262F9E">
        <w:rPr>
          <w:rFonts w:ascii="Arial" w:hAnsi="Arial"/>
          <w:bCs/>
          <w:i/>
          <w:sz w:val="18"/>
        </w:rPr>
        <w:t>.05)</w:t>
      </w:r>
      <w:r w:rsidR="00E37198">
        <w:rPr>
          <w:rFonts w:ascii="Arial" w:hAnsi="Arial"/>
          <w:bCs/>
          <w:i/>
          <w:sz w:val="18"/>
        </w:rPr>
        <w:t>.</w:t>
      </w:r>
    </w:p>
    <w:p w14:paraId="0795F778" w14:textId="7C23285D" w:rsidR="00BD2832" w:rsidRDefault="00BD2832" w:rsidP="00896E1F">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D36D04" w:rsidRPr="00D36D04">
        <w:rPr>
          <w:rFonts w:ascii="Arial" w:hAnsi="Arial" w:cs="Arial"/>
          <w:b/>
          <w:sz w:val="22"/>
        </w:rPr>
        <w:t>Chemical Composition and Cell Wall Components</w:t>
      </w:r>
      <w:r w:rsidRPr="00C30A0F">
        <w:rPr>
          <w:rFonts w:ascii="Arial" w:hAnsi="Arial" w:cs="Arial"/>
          <w:b/>
          <w:sz w:val="22"/>
        </w:rPr>
        <w:t xml:space="preserve"> </w:t>
      </w:r>
    </w:p>
    <w:p w14:paraId="12C1D9C4" w14:textId="3658B840" w:rsidR="00D36D04" w:rsidRPr="00D36D04" w:rsidRDefault="00D36D04" w:rsidP="00D36D04">
      <w:pPr>
        <w:pStyle w:val="Body"/>
        <w:rPr>
          <w:rFonts w:ascii="Arial" w:hAnsi="Arial" w:cs="Arial"/>
        </w:rPr>
      </w:pPr>
      <w:r w:rsidRPr="00D36D04">
        <w:rPr>
          <w:rFonts w:ascii="Arial" w:hAnsi="Arial" w:cs="Arial"/>
        </w:rPr>
        <w:t xml:space="preserve">Seed-moistening conditions significantly affected the chemical composition and cell wall components of barley green fodder (Table 3). The highest DM content was recorded in the +4OD group (16.47%), while the -18TD treatment had the lowest (13.52%, </w:t>
      </w:r>
      <w:r w:rsidRPr="004C6E94">
        <w:rPr>
          <w:rFonts w:ascii="Arial" w:hAnsi="Arial" w:cs="Arial"/>
          <w:i/>
          <w:iCs/>
        </w:rPr>
        <w:t>P</w:t>
      </w:r>
      <w:r w:rsidRPr="00D36D04">
        <w:rPr>
          <w:rFonts w:ascii="Arial" w:hAnsi="Arial" w:cs="Arial"/>
        </w:rPr>
        <w:t xml:space="preserve"> = .018). Similarly, OM content was highest in +4OD (89.02%) and lowest in -18TD (87.76%, </w:t>
      </w:r>
      <w:r w:rsidRPr="004C6E94">
        <w:rPr>
          <w:rFonts w:ascii="Arial" w:hAnsi="Arial" w:cs="Arial"/>
          <w:i/>
          <w:iCs/>
        </w:rPr>
        <w:t>P</w:t>
      </w:r>
      <w:r w:rsidRPr="00D36D04">
        <w:rPr>
          <w:rFonts w:ascii="Arial" w:hAnsi="Arial" w:cs="Arial"/>
        </w:rPr>
        <w:t xml:space="preserve"> &lt; .001). In contrast, ash content peaked in +4TD (4.18%, </w:t>
      </w:r>
      <w:r w:rsidRPr="004C6E94">
        <w:rPr>
          <w:rFonts w:ascii="Arial" w:hAnsi="Arial" w:cs="Arial"/>
          <w:i/>
          <w:iCs/>
        </w:rPr>
        <w:t>P</w:t>
      </w:r>
      <w:r w:rsidRPr="00D36D04">
        <w:rPr>
          <w:rFonts w:ascii="Arial" w:hAnsi="Arial" w:cs="Arial"/>
        </w:rPr>
        <w:t xml:space="preserve"> &lt; .001), which may reflect a concentration effect due to increased mineral uptake during the longer cold soaking period. The higher DM and OM contents observed in the +4OD group suggest that a short cold treatment (+4 °C for one day) may enhance overall nutrient density, likely through improved enzymatic activity during early germination without inducing chilling stress. The dry matter contents observed in this study (13.52%–16.47%) agree with the 18.28% DM reported by </w:t>
      </w:r>
      <w:proofErr w:type="spellStart"/>
      <w:r w:rsidRPr="00D36D04">
        <w:rPr>
          <w:rFonts w:ascii="Arial" w:hAnsi="Arial" w:cs="Arial"/>
        </w:rPr>
        <w:t>Kuşan</w:t>
      </w:r>
      <w:proofErr w:type="spellEnd"/>
      <w:r w:rsidRPr="00D36D04">
        <w:rPr>
          <w:rFonts w:ascii="Arial" w:hAnsi="Arial" w:cs="Arial"/>
        </w:rPr>
        <w:t xml:space="preserve"> et al. (2019).</w:t>
      </w:r>
    </w:p>
    <w:p w14:paraId="31CBEC07" w14:textId="68995845" w:rsidR="00D36D04" w:rsidRPr="00D36D04" w:rsidRDefault="00D36D04" w:rsidP="00D36D04">
      <w:pPr>
        <w:pStyle w:val="Body"/>
        <w:rPr>
          <w:rFonts w:ascii="Arial" w:hAnsi="Arial" w:cs="Arial"/>
        </w:rPr>
      </w:pPr>
      <w:r w:rsidRPr="00D36D04">
        <w:rPr>
          <w:rFonts w:ascii="Arial" w:hAnsi="Arial" w:cs="Arial"/>
        </w:rPr>
        <w:t>No significant differences were observed in CP, EE, CF, or NFE (</w:t>
      </w:r>
      <w:r w:rsidRPr="004C6E94">
        <w:rPr>
          <w:rFonts w:ascii="Arial" w:hAnsi="Arial" w:cs="Arial"/>
          <w:i/>
          <w:iCs/>
        </w:rPr>
        <w:t>P</w:t>
      </w:r>
      <w:r w:rsidRPr="00D36D04">
        <w:rPr>
          <w:rFonts w:ascii="Arial" w:hAnsi="Arial" w:cs="Arial"/>
        </w:rPr>
        <w:t xml:space="preserve"> &gt; .05), indicating that the macronutrient profile remains relatively stable across treatments, despite variations in water and mineral content. Crude protein values (16.23%–16.85%) aligned with earlier reports by Lawrence (2019), affirming the suitability of hydroponic barley for ruminant diets. </w:t>
      </w:r>
    </w:p>
    <w:p w14:paraId="64C13652" w14:textId="6B53BE7B" w:rsidR="00BD2832" w:rsidRDefault="00D36D04" w:rsidP="00D36D04">
      <w:pPr>
        <w:pStyle w:val="Body"/>
        <w:spacing w:after="0"/>
        <w:rPr>
          <w:rFonts w:ascii="Arial" w:hAnsi="Arial" w:cs="Arial"/>
        </w:rPr>
      </w:pPr>
      <w:r w:rsidRPr="00D36D04">
        <w:rPr>
          <w:rFonts w:ascii="Arial" w:hAnsi="Arial" w:cs="Arial"/>
        </w:rPr>
        <w:lastRenderedPageBreak/>
        <w:t>The +4TD group had the highest NDF, ADF, and ADL (</w:t>
      </w:r>
      <w:r w:rsidRPr="00921115">
        <w:rPr>
          <w:rFonts w:ascii="Arial" w:hAnsi="Arial" w:cs="Arial"/>
          <w:i/>
          <w:iCs/>
        </w:rPr>
        <w:t>P</w:t>
      </w:r>
      <w:r w:rsidRPr="00D36D04">
        <w:rPr>
          <w:rFonts w:ascii="Arial" w:hAnsi="Arial" w:cs="Arial"/>
        </w:rPr>
        <w:t xml:space="preserve"> &lt; .05), indicating a more fibrous composition. Similarly, HCEL and CEL contents were elevated in the +4TD and -18TD treatments. Fiber fraction data reveal that prolonged cold soaking (+4TD) or freezing (-18TD) increased cell wall components, as evidenced by higher NDF, ADF, ADL, and CEL values. This suggests that such treatments promote more fibrous tissue development, possibly due to delayed but more structured seedling growth. While this may benefit rumen function in ruminants by increasing effective fiber, it could also reduce overall digestibility if not properly balanced. Cell wall components such as NDF (47.67%–53.19%) and ADF (23.23%–25.92%) are within the ranges reported by Yurtseven et al. (2020) and Alharthi et al. (2023), indicating comparable cell wall composition across different hydroponic conditions and systems.</w:t>
      </w:r>
    </w:p>
    <w:p w14:paraId="0C7ED41D" w14:textId="77777777" w:rsidR="00D36D04" w:rsidRDefault="00D36D04" w:rsidP="00D36D04">
      <w:pPr>
        <w:pStyle w:val="Body"/>
        <w:spacing w:after="0"/>
        <w:rPr>
          <w:rFonts w:ascii="Arial" w:hAnsi="Arial" w:cs="Arial"/>
        </w:rPr>
      </w:pPr>
    </w:p>
    <w:p w14:paraId="110997B5" w14:textId="77777777" w:rsidR="00921115" w:rsidRDefault="00921115" w:rsidP="00921115">
      <w:pPr>
        <w:tabs>
          <w:tab w:val="left" w:pos="1080"/>
        </w:tabs>
        <w:jc w:val="both"/>
        <w:rPr>
          <w:rFonts w:ascii="Arial" w:hAnsi="Arial"/>
          <w:b/>
        </w:rPr>
      </w:pPr>
      <w:r w:rsidRPr="00921115">
        <w:rPr>
          <w:rFonts w:ascii="Arial" w:hAnsi="Arial"/>
          <w:b/>
        </w:rPr>
        <w:t>Table 3. Chemical composition and cell wall component of the barley green fodder germinated under different seed moistening conditions in a hydroponic system, DM%</w:t>
      </w:r>
    </w:p>
    <w:p w14:paraId="51996151" w14:textId="77777777" w:rsidR="00921115" w:rsidRPr="00921115" w:rsidRDefault="00921115" w:rsidP="00921115">
      <w:pPr>
        <w:tabs>
          <w:tab w:val="left" w:pos="1080"/>
        </w:tabs>
        <w:jc w:val="both"/>
        <w:rPr>
          <w:rFonts w:ascii="Arial" w:hAnsi="Arial"/>
          <w:bCs/>
        </w:rPr>
      </w:pPr>
    </w:p>
    <w:tbl>
      <w:tblPr>
        <w:tblStyle w:val="LightShading"/>
        <w:tblW w:w="82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58"/>
        <w:gridCol w:w="990"/>
        <w:gridCol w:w="905"/>
        <w:gridCol w:w="1006"/>
        <w:gridCol w:w="1006"/>
        <w:gridCol w:w="1008"/>
        <w:gridCol w:w="941"/>
        <w:gridCol w:w="984"/>
      </w:tblGrid>
      <w:tr w:rsidR="00921115" w:rsidRPr="00921115" w14:paraId="1EA69EEE" w14:textId="77777777" w:rsidTr="00EF27E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val="restart"/>
            <w:tcBorders>
              <w:top w:val="none" w:sz="0" w:space="0" w:color="auto"/>
              <w:left w:val="none" w:sz="0" w:space="0" w:color="auto"/>
              <w:bottom w:val="none" w:sz="0" w:space="0" w:color="auto"/>
              <w:right w:val="none" w:sz="0" w:space="0" w:color="auto"/>
            </w:tcBorders>
            <w:vAlign w:val="center"/>
          </w:tcPr>
          <w:p w14:paraId="380DC35C" w14:textId="77777777" w:rsidR="00921115" w:rsidRPr="00D00761" w:rsidRDefault="00921115" w:rsidP="00AD6497">
            <w:pPr>
              <w:tabs>
                <w:tab w:val="left" w:pos="1530"/>
              </w:tabs>
              <w:ind w:right="112"/>
              <w:jc w:val="both"/>
              <w:rPr>
                <w:rFonts w:asciiTheme="minorBidi" w:hAnsiTheme="minorBidi"/>
                <w:color w:val="000000"/>
                <w:sz w:val="20"/>
                <w:szCs w:val="20"/>
                <w:lang w:val="en-GB"/>
              </w:rPr>
            </w:pPr>
            <w:r w:rsidRPr="00D00761">
              <w:rPr>
                <w:rFonts w:asciiTheme="minorBidi" w:hAnsiTheme="minorBidi"/>
                <w:color w:val="000000"/>
                <w:sz w:val="20"/>
                <w:szCs w:val="20"/>
                <w:lang w:val="en-GB"/>
              </w:rPr>
              <w:t>Parameters</w:t>
            </w:r>
          </w:p>
        </w:tc>
        <w:tc>
          <w:tcPr>
            <w:tcW w:w="4915" w:type="dxa"/>
            <w:gridSpan w:val="5"/>
            <w:tcBorders>
              <w:top w:val="none" w:sz="0" w:space="0" w:color="auto"/>
              <w:left w:val="none" w:sz="0" w:space="0" w:color="auto"/>
              <w:bottom w:val="none" w:sz="0" w:space="0" w:color="auto"/>
              <w:right w:val="none" w:sz="0" w:space="0" w:color="auto"/>
            </w:tcBorders>
            <w:vAlign w:val="center"/>
          </w:tcPr>
          <w:p w14:paraId="030C7AA4" w14:textId="77777777" w:rsidR="00921115" w:rsidRPr="00D00761" w:rsidRDefault="00921115"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D00761">
              <w:rPr>
                <w:rFonts w:asciiTheme="minorBidi" w:hAnsiTheme="minorBidi"/>
                <w:color w:val="000000"/>
                <w:sz w:val="20"/>
                <w:szCs w:val="20"/>
              </w:rPr>
              <w:t>Treatments</w:t>
            </w:r>
          </w:p>
        </w:tc>
        <w:tc>
          <w:tcPr>
            <w:tcW w:w="941" w:type="dxa"/>
            <w:vMerge w:val="restart"/>
            <w:tcBorders>
              <w:top w:val="none" w:sz="0" w:space="0" w:color="auto"/>
              <w:left w:val="none" w:sz="0" w:space="0" w:color="auto"/>
              <w:bottom w:val="none" w:sz="0" w:space="0" w:color="auto"/>
              <w:right w:val="none" w:sz="0" w:space="0" w:color="auto"/>
            </w:tcBorders>
            <w:vAlign w:val="center"/>
          </w:tcPr>
          <w:p w14:paraId="10C98D5E" w14:textId="77777777" w:rsidR="00921115" w:rsidRPr="00D00761" w:rsidRDefault="00921115"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D00761">
              <w:rPr>
                <w:rFonts w:asciiTheme="minorBidi" w:hAnsiTheme="minorBidi"/>
                <w:color w:val="000000"/>
                <w:sz w:val="20"/>
                <w:szCs w:val="20"/>
              </w:rPr>
              <w:t>SEM</w:t>
            </w:r>
          </w:p>
        </w:tc>
        <w:tc>
          <w:tcPr>
            <w:tcW w:w="984" w:type="dxa"/>
            <w:vMerge w:val="restart"/>
            <w:tcBorders>
              <w:top w:val="none" w:sz="0" w:space="0" w:color="auto"/>
              <w:left w:val="none" w:sz="0" w:space="0" w:color="auto"/>
              <w:bottom w:val="none" w:sz="0" w:space="0" w:color="auto"/>
              <w:right w:val="none" w:sz="0" w:space="0" w:color="auto"/>
            </w:tcBorders>
            <w:vAlign w:val="center"/>
          </w:tcPr>
          <w:p w14:paraId="1F4113F0" w14:textId="51C9C4E7" w:rsidR="00921115" w:rsidRPr="00D00761" w:rsidRDefault="00921115"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D00761">
              <w:rPr>
                <w:rFonts w:asciiTheme="minorBidi" w:hAnsiTheme="minorBidi"/>
                <w:i/>
                <w:iCs/>
                <w:color w:val="000000"/>
                <w:sz w:val="20"/>
                <w:szCs w:val="20"/>
              </w:rPr>
              <w:t>P</w:t>
            </w:r>
          </w:p>
        </w:tc>
      </w:tr>
      <w:tr w:rsidR="00D00761" w:rsidRPr="00921115" w14:paraId="28E04524"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tcBorders>
              <w:bottom w:val="single" w:sz="4" w:space="0" w:color="auto"/>
            </w:tcBorders>
            <w:shd w:val="clear" w:color="auto" w:fill="auto"/>
          </w:tcPr>
          <w:p w14:paraId="792BC189" w14:textId="77777777" w:rsidR="00921115" w:rsidRPr="00D00761" w:rsidRDefault="00921115" w:rsidP="00AD6497">
            <w:pPr>
              <w:tabs>
                <w:tab w:val="left" w:pos="1530"/>
              </w:tabs>
              <w:ind w:right="112"/>
              <w:jc w:val="both"/>
              <w:rPr>
                <w:rFonts w:asciiTheme="minorBidi" w:hAnsiTheme="minorBidi"/>
                <w:color w:val="000000"/>
                <w:sz w:val="20"/>
                <w:szCs w:val="20"/>
              </w:rPr>
            </w:pPr>
          </w:p>
        </w:tc>
        <w:tc>
          <w:tcPr>
            <w:tcW w:w="990" w:type="dxa"/>
            <w:tcBorders>
              <w:bottom w:val="single" w:sz="4" w:space="0" w:color="auto"/>
            </w:tcBorders>
            <w:shd w:val="clear" w:color="auto" w:fill="auto"/>
            <w:vAlign w:val="center"/>
          </w:tcPr>
          <w:p w14:paraId="1EACA400" w14:textId="77777777" w:rsidR="00921115" w:rsidRPr="00D00761"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D00761">
              <w:rPr>
                <w:rFonts w:asciiTheme="minorBidi" w:hAnsiTheme="minorBidi"/>
                <w:b/>
                <w:bCs/>
                <w:color w:val="000000"/>
                <w:sz w:val="20"/>
                <w:szCs w:val="20"/>
              </w:rPr>
              <w:t>ROD</w:t>
            </w:r>
          </w:p>
        </w:tc>
        <w:tc>
          <w:tcPr>
            <w:tcW w:w="905" w:type="dxa"/>
            <w:tcBorders>
              <w:bottom w:val="single" w:sz="4" w:space="0" w:color="auto"/>
            </w:tcBorders>
            <w:shd w:val="clear" w:color="auto" w:fill="auto"/>
            <w:vAlign w:val="center"/>
          </w:tcPr>
          <w:p w14:paraId="601C57F5" w14:textId="77777777" w:rsidR="00921115" w:rsidRPr="00D00761"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D00761">
              <w:rPr>
                <w:rFonts w:asciiTheme="minorBidi" w:hAnsiTheme="minorBidi"/>
                <w:b/>
                <w:bCs/>
                <w:color w:val="000000"/>
                <w:sz w:val="20"/>
                <w:szCs w:val="20"/>
              </w:rPr>
              <w:t>+4OD</w:t>
            </w:r>
          </w:p>
        </w:tc>
        <w:tc>
          <w:tcPr>
            <w:tcW w:w="1006" w:type="dxa"/>
            <w:tcBorders>
              <w:bottom w:val="single" w:sz="4" w:space="0" w:color="auto"/>
            </w:tcBorders>
            <w:shd w:val="clear" w:color="auto" w:fill="auto"/>
            <w:vAlign w:val="center"/>
          </w:tcPr>
          <w:p w14:paraId="3A67488B" w14:textId="77777777" w:rsidR="00921115" w:rsidRPr="00D00761"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D00761">
              <w:rPr>
                <w:rFonts w:asciiTheme="minorBidi" w:hAnsiTheme="minorBidi"/>
                <w:b/>
                <w:bCs/>
                <w:color w:val="000000"/>
                <w:sz w:val="20"/>
                <w:szCs w:val="20"/>
              </w:rPr>
              <w:t>+4TD</w:t>
            </w:r>
          </w:p>
        </w:tc>
        <w:tc>
          <w:tcPr>
            <w:tcW w:w="1006" w:type="dxa"/>
            <w:tcBorders>
              <w:bottom w:val="single" w:sz="4" w:space="0" w:color="auto"/>
            </w:tcBorders>
            <w:shd w:val="clear" w:color="auto" w:fill="auto"/>
            <w:vAlign w:val="center"/>
          </w:tcPr>
          <w:p w14:paraId="2756BD9C" w14:textId="77777777" w:rsidR="00921115" w:rsidRPr="00D00761"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D00761">
              <w:rPr>
                <w:rFonts w:asciiTheme="minorBidi" w:hAnsiTheme="minorBidi"/>
                <w:b/>
                <w:bCs/>
                <w:sz w:val="20"/>
                <w:szCs w:val="20"/>
              </w:rPr>
              <w:t>-</w:t>
            </w:r>
            <w:r w:rsidRPr="00D00761">
              <w:rPr>
                <w:rFonts w:asciiTheme="minorBidi" w:hAnsiTheme="minorBidi"/>
                <w:b/>
                <w:bCs/>
                <w:color w:val="000000"/>
                <w:sz w:val="20"/>
                <w:szCs w:val="20"/>
              </w:rPr>
              <w:t>18OD</w:t>
            </w:r>
          </w:p>
        </w:tc>
        <w:tc>
          <w:tcPr>
            <w:tcW w:w="1008" w:type="dxa"/>
            <w:tcBorders>
              <w:bottom w:val="single" w:sz="4" w:space="0" w:color="auto"/>
            </w:tcBorders>
            <w:shd w:val="clear" w:color="auto" w:fill="auto"/>
            <w:vAlign w:val="center"/>
          </w:tcPr>
          <w:p w14:paraId="45B4DD97" w14:textId="77777777" w:rsidR="00921115" w:rsidRPr="00D00761"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D00761">
              <w:rPr>
                <w:rFonts w:asciiTheme="minorBidi" w:hAnsiTheme="minorBidi"/>
                <w:b/>
                <w:bCs/>
                <w:sz w:val="20"/>
                <w:szCs w:val="20"/>
              </w:rPr>
              <w:t>-</w:t>
            </w:r>
            <w:r w:rsidRPr="00D00761">
              <w:rPr>
                <w:rFonts w:asciiTheme="minorBidi" w:hAnsiTheme="minorBidi"/>
                <w:b/>
                <w:bCs/>
                <w:color w:val="000000"/>
                <w:sz w:val="20"/>
                <w:szCs w:val="20"/>
              </w:rPr>
              <w:t>18TD</w:t>
            </w:r>
          </w:p>
        </w:tc>
        <w:tc>
          <w:tcPr>
            <w:tcW w:w="941" w:type="dxa"/>
            <w:vMerge/>
            <w:tcBorders>
              <w:bottom w:val="single" w:sz="4" w:space="0" w:color="auto"/>
            </w:tcBorders>
            <w:vAlign w:val="center"/>
          </w:tcPr>
          <w:p w14:paraId="46A5D47A"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c>
          <w:tcPr>
            <w:tcW w:w="984" w:type="dxa"/>
            <w:vMerge/>
            <w:tcBorders>
              <w:bottom w:val="single" w:sz="4" w:space="0" w:color="auto"/>
            </w:tcBorders>
            <w:shd w:val="clear" w:color="auto" w:fill="auto"/>
            <w:vAlign w:val="center"/>
          </w:tcPr>
          <w:p w14:paraId="62D5385D"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r>
      <w:tr w:rsidR="00D00761" w:rsidRPr="00921115" w14:paraId="665E5925"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bottom w:val="nil"/>
            </w:tcBorders>
            <w:vAlign w:val="center"/>
          </w:tcPr>
          <w:p w14:paraId="3EC94B7F" w14:textId="77777777" w:rsidR="00921115" w:rsidRPr="00860222" w:rsidRDefault="00921115" w:rsidP="00E77AEA">
            <w:pPr>
              <w:tabs>
                <w:tab w:val="left" w:pos="1530"/>
              </w:tabs>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DM</w:t>
            </w:r>
          </w:p>
        </w:tc>
        <w:tc>
          <w:tcPr>
            <w:tcW w:w="990" w:type="dxa"/>
            <w:tcBorders>
              <w:bottom w:val="nil"/>
            </w:tcBorders>
            <w:vAlign w:val="center"/>
          </w:tcPr>
          <w:p w14:paraId="4B6223AC"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14.65</w:t>
            </w:r>
            <w:r w:rsidRPr="00921115">
              <w:rPr>
                <w:rFonts w:asciiTheme="minorBidi" w:hAnsiTheme="minorBidi"/>
                <w:color w:val="auto"/>
                <w:sz w:val="20"/>
                <w:szCs w:val="20"/>
                <w:vertAlign w:val="superscript"/>
              </w:rPr>
              <w:t>b</w:t>
            </w:r>
          </w:p>
        </w:tc>
        <w:tc>
          <w:tcPr>
            <w:tcW w:w="905" w:type="dxa"/>
            <w:tcBorders>
              <w:bottom w:val="nil"/>
            </w:tcBorders>
            <w:vAlign w:val="center"/>
          </w:tcPr>
          <w:p w14:paraId="0EFF63D7"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16.47</w:t>
            </w:r>
            <w:r w:rsidRPr="00921115">
              <w:rPr>
                <w:rFonts w:asciiTheme="minorBidi" w:hAnsiTheme="minorBidi"/>
                <w:color w:val="auto"/>
                <w:sz w:val="20"/>
                <w:szCs w:val="20"/>
                <w:vertAlign w:val="superscript"/>
              </w:rPr>
              <w:t>a</w:t>
            </w:r>
          </w:p>
        </w:tc>
        <w:tc>
          <w:tcPr>
            <w:tcW w:w="1006" w:type="dxa"/>
            <w:tcBorders>
              <w:bottom w:val="nil"/>
            </w:tcBorders>
            <w:vAlign w:val="center"/>
          </w:tcPr>
          <w:p w14:paraId="76A5E739"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14.32</w:t>
            </w:r>
            <w:r w:rsidRPr="00921115">
              <w:rPr>
                <w:rFonts w:asciiTheme="minorBidi" w:hAnsiTheme="minorBidi"/>
                <w:color w:val="auto"/>
                <w:sz w:val="20"/>
                <w:szCs w:val="20"/>
                <w:vertAlign w:val="superscript"/>
              </w:rPr>
              <w:t>b</w:t>
            </w:r>
          </w:p>
        </w:tc>
        <w:tc>
          <w:tcPr>
            <w:tcW w:w="1006" w:type="dxa"/>
            <w:tcBorders>
              <w:bottom w:val="nil"/>
            </w:tcBorders>
            <w:vAlign w:val="center"/>
          </w:tcPr>
          <w:p w14:paraId="55A477C8"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13.94</w:t>
            </w:r>
            <w:r w:rsidRPr="00921115">
              <w:rPr>
                <w:rFonts w:asciiTheme="minorBidi" w:hAnsiTheme="minorBidi"/>
                <w:color w:val="auto"/>
                <w:sz w:val="20"/>
                <w:szCs w:val="20"/>
                <w:vertAlign w:val="superscript"/>
              </w:rPr>
              <w:t>c</w:t>
            </w:r>
          </w:p>
        </w:tc>
        <w:tc>
          <w:tcPr>
            <w:tcW w:w="1008" w:type="dxa"/>
            <w:tcBorders>
              <w:bottom w:val="nil"/>
            </w:tcBorders>
            <w:vAlign w:val="center"/>
          </w:tcPr>
          <w:p w14:paraId="21941A16"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13.52</w:t>
            </w:r>
            <w:r w:rsidRPr="00921115">
              <w:rPr>
                <w:rFonts w:asciiTheme="minorBidi" w:hAnsiTheme="minorBidi"/>
                <w:color w:val="auto"/>
                <w:sz w:val="20"/>
                <w:szCs w:val="20"/>
                <w:vertAlign w:val="superscript"/>
              </w:rPr>
              <w:t>c</w:t>
            </w:r>
          </w:p>
        </w:tc>
        <w:tc>
          <w:tcPr>
            <w:tcW w:w="941" w:type="dxa"/>
            <w:tcBorders>
              <w:bottom w:val="nil"/>
            </w:tcBorders>
            <w:vAlign w:val="center"/>
          </w:tcPr>
          <w:p w14:paraId="49B97D15"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0.604</w:t>
            </w:r>
          </w:p>
        </w:tc>
        <w:tc>
          <w:tcPr>
            <w:tcW w:w="984" w:type="dxa"/>
            <w:tcBorders>
              <w:bottom w:val="nil"/>
            </w:tcBorders>
            <w:vAlign w:val="center"/>
          </w:tcPr>
          <w:p w14:paraId="6C006638" w14:textId="536070DA"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.018</w:t>
            </w:r>
          </w:p>
        </w:tc>
      </w:tr>
      <w:tr w:rsidR="00D00761" w:rsidRPr="00921115" w14:paraId="43367DBE"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4C8EC25F" w14:textId="77777777" w:rsidR="00921115" w:rsidRPr="00860222" w:rsidRDefault="00921115" w:rsidP="00E77AEA">
            <w:pPr>
              <w:ind w:right="112" w:firstLine="180"/>
              <w:rPr>
                <w:rFonts w:asciiTheme="minorBidi" w:hAnsiTheme="minorBidi"/>
                <w:b w:val="0"/>
                <w:bCs w:val="0"/>
                <w:color w:val="000000"/>
                <w:sz w:val="20"/>
                <w:szCs w:val="20"/>
              </w:rPr>
            </w:pPr>
            <w:r w:rsidRPr="00860222">
              <w:rPr>
                <w:rFonts w:asciiTheme="minorBidi" w:hAnsiTheme="minorBidi"/>
                <w:b w:val="0"/>
                <w:bCs w:val="0"/>
                <w:color w:val="000000"/>
                <w:sz w:val="20"/>
                <w:szCs w:val="20"/>
              </w:rPr>
              <w:t>OM</w:t>
            </w:r>
          </w:p>
        </w:tc>
        <w:tc>
          <w:tcPr>
            <w:tcW w:w="990" w:type="dxa"/>
            <w:tcBorders>
              <w:top w:val="nil"/>
              <w:bottom w:val="nil"/>
            </w:tcBorders>
            <w:shd w:val="clear" w:color="auto" w:fill="auto"/>
            <w:vAlign w:val="center"/>
          </w:tcPr>
          <w:p w14:paraId="1BC39FDD"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87.96</w:t>
            </w:r>
            <w:r w:rsidRPr="00921115">
              <w:rPr>
                <w:rFonts w:asciiTheme="minorBidi" w:hAnsiTheme="minorBidi"/>
                <w:color w:val="000000"/>
                <w:sz w:val="20"/>
                <w:szCs w:val="20"/>
                <w:vertAlign w:val="superscript"/>
              </w:rPr>
              <w:t>d</w:t>
            </w:r>
          </w:p>
        </w:tc>
        <w:tc>
          <w:tcPr>
            <w:tcW w:w="905" w:type="dxa"/>
            <w:tcBorders>
              <w:top w:val="nil"/>
              <w:bottom w:val="nil"/>
            </w:tcBorders>
            <w:shd w:val="clear" w:color="auto" w:fill="auto"/>
            <w:vAlign w:val="center"/>
          </w:tcPr>
          <w:p w14:paraId="3AD8A399"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89.02</w:t>
            </w:r>
            <w:r w:rsidRPr="00921115">
              <w:rPr>
                <w:rFonts w:asciiTheme="minorBidi" w:hAnsiTheme="minorBidi"/>
                <w:color w:val="000000"/>
                <w:sz w:val="20"/>
                <w:szCs w:val="20"/>
                <w:vertAlign w:val="superscript"/>
              </w:rPr>
              <w:t>a</w:t>
            </w:r>
          </w:p>
        </w:tc>
        <w:tc>
          <w:tcPr>
            <w:tcW w:w="1006" w:type="dxa"/>
            <w:tcBorders>
              <w:top w:val="nil"/>
              <w:bottom w:val="nil"/>
            </w:tcBorders>
            <w:shd w:val="clear" w:color="auto" w:fill="auto"/>
            <w:vAlign w:val="center"/>
          </w:tcPr>
          <w:p w14:paraId="2408F4E8"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88.72</w:t>
            </w:r>
            <w:r w:rsidRPr="00921115">
              <w:rPr>
                <w:rFonts w:asciiTheme="minorBidi" w:hAnsiTheme="minorBidi"/>
                <w:color w:val="000000"/>
                <w:sz w:val="20"/>
                <w:szCs w:val="20"/>
                <w:vertAlign w:val="superscript"/>
              </w:rPr>
              <w:t>b</w:t>
            </w:r>
          </w:p>
        </w:tc>
        <w:tc>
          <w:tcPr>
            <w:tcW w:w="1006" w:type="dxa"/>
            <w:tcBorders>
              <w:top w:val="nil"/>
              <w:bottom w:val="nil"/>
            </w:tcBorders>
            <w:shd w:val="clear" w:color="auto" w:fill="auto"/>
            <w:vAlign w:val="center"/>
          </w:tcPr>
          <w:p w14:paraId="06A83756"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88.20</w:t>
            </w:r>
            <w:r w:rsidRPr="00921115">
              <w:rPr>
                <w:rFonts w:asciiTheme="minorBidi" w:hAnsiTheme="minorBidi"/>
                <w:color w:val="000000"/>
                <w:sz w:val="20"/>
                <w:szCs w:val="20"/>
                <w:vertAlign w:val="superscript"/>
              </w:rPr>
              <w:t>c</w:t>
            </w:r>
          </w:p>
        </w:tc>
        <w:tc>
          <w:tcPr>
            <w:tcW w:w="1008" w:type="dxa"/>
            <w:tcBorders>
              <w:top w:val="nil"/>
              <w:bottom w:val="nil"/>
            </w:tcBorders>
            <w:shd w:val="clear" w:color="auto" w:fill="auto"/>
            <w:vAlign w:val="center"/>
          </w:tcPr>
          <w:p w14:paraId="7E5F838E"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87.76</w:t>
            </w:r>
            <w:r w:rsidRPr="00921115">
              <w:rPr>
                <w:rFonts w:asciiTheme="minorBidi" w:hAnsiTheme="minorBidi"/>
                <w:color w:val="000000"/>
                <w:sz w:val="20"/>
                <w:szCs w:val="20"/>
                <w:vertAlign w:val="superscript"/>
              </w:rPr>
              <w:t>e</w:t>
            </w:r>
          </w:p>
        </w:tc>
        <w:tc>
          <w:tcPr>
            <w:tcW w:w="941" w:type="dxa"/>
            <w:tcBorders>
              <w:top w:val="nil"/>
              <w:bottom w:val="nil"/>
            </w:tcBorders>
            <w:shd w:val="clear" w:color="auto" w:fill="auto"/>
            <w:vAlign w:val="center"/>
          </w:tcPr>
          <w:p w14:paraId="3146C9F6"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0.126</w:t>
            </w:r>
          </w:p>
        </w:tc>
        <w:tc>
          <w:tcPr>
            <w:tcW w:w="984" w:type="dxa"/>
            <w:tcBorders>
              <w:top w:val="nil"/>
              <w:bottom w:val="nil"/>
            </w:tcBorders>
            <w:shd w:val="clear" w:color="auto" w:fill="auto"/>
            <w:vAlign w:val="center"/>
          </w:tcPr>
          <w:p w14:paraId="03BEA116" w14:textId="36F823E8"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.001</w:t>
            </w:r>
          </w:p>
        </w:tc>
      </w:tr>
      <w:tr w:rsidR="00D00761" w:rsidRPr="00921115" w14:paraId="02F0A302"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1C82B712" w14:textId="77777777" w:rsidR="00921115" w:rsidRPr="00860222" w:rsidRDefault="00921115" w:rsidP="00E77AEA">
            <w:pPr>
              <w:ind w:right="112" w:firstLine="180"/>
              <w:rPr>
                <w:rFonts w:asciiTheme="minorBidi" w:hAnsiTheme="minorBidi"/>
                <w:b w:val="0"/>
                <w:bCs w:val="0"/>
                <w:color w:val="000000"/>
                <w:sz w:val="20"/>
                <w:szCs w:val="20"/>
              </w:rPr>
            </w:pPr>
            <w:r w:rsidRPr="00860222">
              <w:rPr>
                <w:rFonts w:asciiTheme="minorBidi" w:hAnsiTheme="minorBidi"/>
                <w:b w:val="0"/>
                <w:bCs w:val="0"/>
                <w:color w:val="000000"/>
                <w:sz w:val="20"/>
                <w:szCs w:val="20"/>
              </w:rPr>
              <w:t>Ash</w:t>
            </w:r>
          </w:p>
        </w:tc>
        <w:tc>
          <w:tcPr>
            <w:tcW w:w="990" w:type="dxa"/>
            <w:tcBorders>
              <w:top w:val="nil"/>
              <w:bottom w:val="nil"/>
            </w:tcBorders>
            <w:vAlign w:val="center"/>
          </w:tcPr>
          <w:p w14:paraId="5DB5E73B"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3.67</w:t>
            </w:r>
            <w:r w:rsidRPr="00921115">
              <w:rPr>
                <w:rFonts w:asciiTheme="minorBidi" w:hAnsiTheme="minorBidi"/>
                <w:color w:val="000000"/>
                <w:sz w:val="20"/>
                <w:szCs w:val="20"/>
                <w:vertAlign w:val="superscript"/>
              </w:rPr>
              <w:t>c</w:t>
            </w:r>
          </w:p>
        </w:tc>
        <w:tc>
          <w:tcPr>
            <w:tcW w:w="905" w:type="dxa"/>
            <w:tcBorders>
              <w:top w:val="nil"/>
              <w:bottom w:val="nil"/>
            </w:tcBorders>
            <w:vAlign w:val="center"/>
          </w:tcPr>
          <w:p w14:paraId="2674BD65"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3.50</w:t>
            </w:r>
            <w:r w:rsidRPr="00921115">
              <w:rPr>
                <w:rFonts w:asciiTheme="minorBidi" w:hAnsiTheme="minorBidi"/>
                <w:color w:val="000000"/>
                <w:sz w:val="20"/>
                <w:szCs w:val="20"/>
                <w:vertAlign w:val="superscript"/>
              </w:rPr>
              <w:t>e</w:t>
            </w:r>
          </w:p>
        </w:tc>
        <w:tc>
          <w:tcPr>
            <w:tcW w:w="1006" w:type="dxa"/>
            <w:tcBorders>
              <w:top w:val="nil"/>
              <w:bottom w:val="nil"/>
            </w:tcBorders>
            <w:vAlign w:val="center"/>
          </w:tcPr>
          <w:p w14:paraId="679281F0"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4.18</w:t>
            </w:r>
            <w:r w:rsidRPr="00921115">
              <w:rPr>
                <w:rFonts w:asciiTheme="minorBidi" w:hAnsiTheme="minorBidi"/>
                <w:color w:val="000000"/>
                <w:sz w:val="20"/>
                <w:szCs w:val="20"/>
                <w:vertAlign w:val="superscript"/>
              </w:rPr>
              <w:t>a</w:t>
            </w:r>
          </w:p>
        </w:tc>
        <w:tc>
          <w:tcPr>
            <w:tcW w:w="1006" w:type="dxa"/>
            <w:tcBorders>
              <w:top w:val="nil"/>
              <w:bottom w:val="nil"/>
            </w:tcBorders>
            <w:vAlign w:val="center"/>
          </w:tcPr>
          <w:p w14:paraId="7A8FC181"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3.60</w:t>
            </w:r>
            <w:r w:rsidRPr="00921115">
              <w:rPr>
                <w:rFonts w:asciiTheme="minorBidi" w:hAnsiTheme="minorBidi"/>
                <w:color w:val="000000"/>
                <w:sz w:val="20"/>
                <w:szCs w:val="20"/>
                <w:vertAlign w:val="superscript"/>
              </w:rPr>
              <w:t>d</w:t>
            </w:r>
          </w:p>
        </w:tc>
        <w:tc>
          <w:tcPr>
            <w:tcW w:w="1008" w:type="dxa"/>
            <w:tcBorders>
              <w:top w:val="nil"/>
              <w:bottom w:val="nil"/>
            </w:tcBorders>
            <w:vAlign w:val="center"/>
          </w:tcPr>
          <w:p w14:paraId="77FF7296"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3.85</w:t>
            </w:r>
            <w:r w:rsidRPr="00921115">
              <w:rPr>
                <w:rFonts w:asciiTheme="minorBidi" w:hAnsiTheme="minorBidi"/>
                <w:color w:val="000000"/>
                <w:sz w:val="20"/>
                <w:szCs w:val="20"/>
                <w:vertAlign w:val="superscript"/>
              </w:rPr>
              <w:t>b</w:t>
            </w:r>
          </w:p>
        </w:tc>
        <w:tc>
          <w:tcPr>
            <w:tcW w:w="941" w:type="dxa"/>
            <w:tcBorders>
              <w:top w:val="nil"/>
              <w:bottom w:val="nil"/>
            </w:tcBorders>
            <w:vAlign w:val="center"/>
          </w:tcPr>
          <w:p w14:paraId="1DDBE718"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0.063</w:t>
            </w:r>
          </w:p>
        </w:tc>
        <w:tc>
          <w:tcPr>
            <w:tcW w:w="984" w:type="dxa"/>
            <w:tcBorders>
              <w:top w:val="nil"/>
              <w:bottom w:val="nil"/>
            </w:tcBorders>
            <w:vAlign w:val="center"/>
          </w:tcPr>
          <w:p w14:paraId="183D4E46" w14:textId="01155F20"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.001</w:t>
            </w:r>
          </w:p>
        </w:tc>
      </w:tr>
      <w:tr w:rsidR="00D00761" w:rsidRPr="00921115" w14:paraId="41496F78"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64AA3374" w14:textId="77777777"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CP</w:t>
            </w:r>
          </w:p>
        </w:tc>
        <w:tc>
          <w:tcPr>
            <w:tcW w:w="990" w:type="dxa"/>
            <w:tcBorders>
              <w:top w:val="nil"/>
              <w:bottom w:val="nil"/>
            </w:tcBorders>
            <w:shd w:val="clear" w:color="auto" w:fill="auto"/>
            <w:vAlign w:val="center"/>
          </w:tcPr>
          <w:p w14:paraId="7084DE07"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16.85</w:t>
            </w:r>
          </w:p>
        </w:tc>
        <w:tc>
          <w:tcPr>
            <w:tcW w:w="905" w:type="dxa"/>
            <w:tcBorders>
              <w:top w:val="nil"/>
              <w:bottom w:val="nil"/>
            </w:tcBorders>
            <w:shd w:val="clear" w:color="auto" w:fill="auto"/>
            <w:vAlign w:val="center"/>
          </w:tcPr>
          <w:p w14:paraId="3446B12C"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16.82</w:t>
            </w:r>
          </w:p>
        </w:tc>
        <w:tc>
          <w:tcPr>
            <w:tcW w:w="1006" w:type="dxa"/>
            <w:tcBorders>
              <w:top w:val="nil"/>
              <w:bottom w:val="nil"/>
            </w:tcBorders>
            <w:shd w:val="clear" w:color="auto" w:fill="auto"/>
            <w:vAlign w:val="center"/>
          </w:tcPr>
          <w:p w14:paraId="1707BDED"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16.64</w:t>
            </w:r>
          </w:p>
        </w:tc>
        <w:tc>
          <w:tcPr>
            <w:tcW w:w="1006" w:type="dxa"/>
            <w:tcBorders>
              <w:top w:val="nil"/>
              <w:bottom w:val="nil"/>
            </w:tcBorders>
            <w:shd w:val="clear" w:color="auto" w:fill="auto"/>
            <w:vAlign w:val="center"/>
          </w:tcPr>
          <w:p w14:paraId="1F0DF7E1"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16.81</w:t>
            </w:r>
          </w:p>
        </w:tc>
        <w:tc>
          <w:tcPr>
            <w:tcW w:w="1008" w:type="dxa"/>
            <w:tcBorders>
              <w:top w:val="nil"/>
              <w:bottom w:val="nil"/>
            </w:tcBorders>
            <w:shd w:val="clear" w:color="auto" w:fill="auto"/>
            <w:vAlign w:val="center"/>
          </w:tcPr>
          <w:p w14:paraId="75EB30DA"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16.23</w:t>
            </w:r>
          </w:p>
        </w:tc>
        <w:tc>
          <w:tcPr>
            <w:tcW w:w="941" w:type="dxa"/>
            <w:tcBorders>
              <w:top w:val="nil"/>
              <w:bottom w:val="nil"/>
            </w:tcBorders>
            <w:shd w:val="clear" w:color="auto" w:fill="auto"/>
            <w:vAlign w:val="center"/>
          </w:tcPr>
          <w:p w14:paraId="5ABE0B49"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0.065</w:t>
            </w:r>
          </w:p>
        </w:tc>
        <w:tc>
          <w:tcPr>
            <w:tcW w:w="984" w:type="dxa"/>
            <w:tcBorders>
              <w:top w:val="nil"/>
              <w:bottom w:val="nil"/>
            </w:tcBorders>
            <w:shd w:val="clear" w:color="auto" w:fill="auto"/>
            <w:vAlign w:val="center"/>
          </w:tcPr>
          <w:p w14:paraId="47C3E588" w14:textId="35D63735"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.103</w:t>
            </w:r>
          </w:p>
        </w:tc>
      </w:tr>
      <w:tr w:rsidR="00D00761" w:rsidRPr="00921115" w14:paraId="0A1DEFE2"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39461900" w14:textId="77777777"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EE</w:t>
            </w:r>
          </w:p>
        </w:tc>
        <w:tc>
          <w:tcPr>
            <w:tcW w:w="990" w:type="dxa"/>
            <w:tcBorders>
              <w:top w:val="nil"/>
              <w:bottom w:val="nil"/>
            </w:tcBorders>
            <w:vAlign w:val="center"/>
          </w:tcPr>
          <w:p w14:paraId="5139D6A3"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3.53</w:t>
            </w:r>
          </w:p>
        </w:tc>
        <w:tc>
          <w:tcPr>
            <w:tcW w:w="905" w:type="dxa"/>
            <w:tcBorders>
              <w:top w:val="nil"/>
              <w:bottom w:val="nil"/>
            </w:tcBorders>
            <w:vAlign w:val="center"/>
          </w:tcPr>
          <w:p w14:paraId="32EC098D"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3.12</w:t>
            </w:r>
          </w:p>
        </w:tc>
        <w:tc>
          <w:tcPr>
            <w:tcW w:w="1006" w:type="dxa"/>
            <w:tcBorders>
              <w:top w:val="nil"/>
              <w:bottom w:val="nil"/>
            </w:tcBorders>
            <w:vAlign w:val="center"/>
          </w:tcPr>
          <w:p w14:paraId="24373400"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3.13</w:t>
            </w:r>
          </w:p>
        </w:tc>
        <w:tc>
          <w:tcPr>
            <w:tcW w:w="1006" w:type="dxa"/>
            <w:tcBorders>
              <w:top w:val="nil"/>
              <w:bottom w:val="nil"/>
            </w:tcBorders>
            <w:vAlign w:val="center"/>
          </w:tcPr>
          <w:p w14:paraId="74D2AC4E"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3.39</w:t>
            </w:r>
          </w:p>
        </w:tc>
        <w:tc>
          <w:tcPr>
            <w:tcW w:w="1008" w:type="dxa"/>
            <w:tcBorders>
              <w:top w:val="nil"/>
              <w:bottom w:val="nil"/>
            </w:tcBorders>
            <w:vAlign w:val="center"/>
          </w:tcPr>
          <w:p w14:paraId="5129110A"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3.46</w:t>
            </w:r>
          </w:p>
        </w:tc>
        <w:tc>
          <w:tcPr>
            <w:tcW w:w="941" w:type="dxa"/>
            <w:tcBorders>
              <w:top w:val="nil"/>
              <w:bottom w:val="nil"/>
            </w:tcBorders>
            <w:vAlign w:val="center"/>
          </w:tcPr>
          <w:p w14:paraId="2F7F8B45"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0.126</w:t>
            </w:r>
          </w:p>
        </w:tc>
        <w:tc>
          <w:tcPr>
            <w:tcW w:w="984" w:type="dxa"/>
            <w:tcBorders>
              <w:top w:val="nil"/>
              <w:bottom w:val="nil"/>
            </w:tcBorders>
            <w:vAlign w:val="center"/>
          </w:tcPr>
          <w:p w14:paraId="4B0E995A" w14:textId="7610C830"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.207</w:t>
            </w:r>
          </w:p>
        </w:tc>
      </w:tr>
      <w:tr w:rsidR="00D00761" w:rsidRPr="00921115" w14:paraId="37496C09"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398870F1" w14:textId="77777777"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CF</w:t>
            </w:r>
          </w:p>
        </w:tc>
        <w:tc>
          <w:tcPr>
            <w:tcW w:w="990" w:type="dxa"/>
            <w:tcBorders>
              <w:top w:val="nil"/>
              <w:bottom w:val="nil"/>
            </w:tcBorders>
            <w:shd w:val="clear" w:color="auto" w:fill="auto"/>
            <w:vAlign w:val="center"/>
          </w:tcPr>
          <w:p w14:paraId="42619E19"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21.29</w:t>
            </w:r>
          </w:p>
        </w:tc>
        <w:tc>
          <w:tcPr>
            <w:tcW w:w="905" w:type="dxa"/>
            <w:tcBorders>
              <w:top w:val="nil"/>
              <w:bottom w:val="nil"/>
            </w:tcBorders>
            <w:shd w:val="clear" w:color="auto" w:fill="auto"/>
            <w:vAlign w:val="center"/>
          </w:tcPr>
          <w:p w14:paraId="35FB090A"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21.97</w:t>
            </w:r>
          </w:p>
        </w:tc>
        <w:tc>
          <w:tcPr>
            <w:tcW w:w="1006" w:type="dxa"/>
            <w:tcBorders>
              <w:top w:val="nil"/>
              <w:bottom w:val="nil"/>
            </w:tcBorders>
            <w:shd w:val="clear" w:color="auto" w:fill="auto"/>
            <w:vAlign w:val="center"/>
          </w:tcPr>
          <w:p w14:paraId="7A9683F2"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21.58</w:t>
            </w:r>
          </w:p>
        </w:tc>
        <w:tc>
          <w:tcPr>
            <w:tcW w:w="1006" w:type="dxa"/>
            <w:tcBorders>
              <w:top w:val="nil"/>
              <w:bottom w:val="nil"/>
            </w:tcBorders>
            <w:shd w:val="clear" w:color="auto" w:fill="auto"/>
            <w:vAlign w:val="center"/>
          </w:tcPr>
          <w:p w14:paraId="7B50C768"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21.27</w:t>
            </w:r>
          </w:p>
        </w:tc>
        <w:tc>
          <w:tcPr>
            <w:tcW w:w="1008" w:type="dxa"/>
            <w:tcBorders>
              <w:top w:val="nil"/>
              <w:bottom w:val="nil"/>
            </w:tcBorders>
            <w:shd w:val="clear" w:color="auto" w:fill="auto"/>
            <w:vAlign w:val="center"/>
          </w:tcPr>
          <w:p w14:paraId="64FEE195"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21.75</w:t>
            </w:r>
          </w:p>
        </w:tc>
        <w:tc>
          <w:tcPr>
            <w:tcW w:w="941" w:type="dxa"/>
            <w:tcBorders>
              <w:top w:val="nil"/>
              <w:bottom w:val="nil"/>
            </w:tcBorders>
            <w:shd w:val="clear" w:color="auto" w:fill="auto"/>
            <w:vAlign w:val="center"/>
          </w:tcPr>
          <w:p w14:paraId="2120F443"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0.289</w:t>
            </w:r>
          </w:p>
        </w:tc>
        <w:tc>
          <w:tcPr>
            <w:tcW w:w="984" w:type="dxa"/>
            <w:tcBorders>
              <w:top w:val="nil"/>
              <w:bottom w:val="nil"/>
            </w:tcBorders>
            <w:shd w:val="clear" w:color="auto" w:fill="auto"/>
            <w:vAlign w:val="center"/>
          </w:tcPr>
          <w:p w14:paraId="08476DBC" w14:textId="7CDCD4C4"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.953</w:t>
            </w:r>
          </w:p>
        </w:tc>
      </w:tr>
      <w:tr w:rsidR="00D00761" w:rsidRPr="00921115" w14:paraId="61AD3C1B"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16C26B97" w14:textId="77777777"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NFE</w:t>
            </w:r>
          </w:p>
        </w:tc>
        <w:tc>
          <w:tcPr>
            <w:tcW w:w="990" w:type="dxa"/>
            <w:tcBorders>
              <w:top w:val="nil"/>
              <w:bottom w:val="nil"/>
            </w:tcBorders>
            <w:vAlign w:val="center"/>
          </w:tcPr>
          <w:p w14:paraId="3BA63CEC"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46.29</w:t>
            </w:r>
          </w:p>
        </w:tc>
        <w:tc>
          <w:tcPr>
            <w:tcW w:w="905" w:type="dxa"/>
            <w:tcBorders>
              <w:top w:val="nil"/>
              <w:bottom w:val="nil"/>
            </w:tcBorders>
            <w:vAlign w:val="center"/>
          </w:tcPr>
          <w:p w14:paraId="737C04FF"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47.11</w:t>
            </w:r>
          </w:p>
        </w:tc>
        <w:tc>
          <w:tcPr>
            <w:tcW w:w="1006" w:type="dxa"/>
            <w:tcBorders>
              <w:top w:val="nil"/>
              <w:bottom w:val="nil"/>
            </w:tcBorders>
            <w:vAlign w:val="center"/>
          </w:tcPr>
          <w:p w14:paraId="77D88D9D"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47.37</w:t>
            </w:r>
          </w:p>
        </w:tc>
        <w:tc>
          <w:tcPr>
            <w:tcW w:w="1006" w:type="dxa"/>
            <w:tcBorders>
              <w:top w:val="nil"/>
              <w:bottom w:val="nil"/>
            </w:tcBorders>
            <w:vAlign w:val="center"/>
          </w:tcPr>
          <w:p w14:paraId="49BDBE4A"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45.72</w:t>
            </w:r>
          </w:p>
        </w:tc>
        <w:tc>
          <w:tcPr>
            <w:tcW w:w="1008" w:type="dxa"/>
            <w:tcBorders>
              <w:top w:val="nil"/>
              <w:bottom w:val="nil"/>
            </w:tcBorders>
            <w:vAlign w:val="center"/>
          </w:tcPr>
          <w:p w14:paraId="0F39F946"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46.32</w:t>
            </w:r>
          </w:p>
        </w:tc>
        <w:tc>
          <w:tcPr>
            <w:tcW w:w="941" w:type="dxa"/>
            <w:tcBorders>
              <w:top w:val="nil"/>
              <w:bottom w:val="nil"/>
            </w:tcBorders>
            <w:vAlign w:val="center"/>
          </w:tcPr>
          <w:p w14:paraId="3E1CA47B"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0.338</w:t>
            </w:r>
          </w:p>
        </w:tc>
        <w:tc>
          <w:tcPr>
            <w:tcW w:w="984" w:type="dxa"/>
            <w:tcBorders>
              <w:top w:val="nil"/>
              <w:bottom w:val="nil"/>
            </w:tcBorders>
            <w:vAlign w:val="center"/>
          </w:tcPr>
          <w:p w14:paraId="6BDEE968" w14:textId="3EDB62CE"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.315</w:t>
            </w:r>
          </w:p>
        </w:tc>
      </w:tr>
      <w:tr w:rsidR="00D00761" w:rsidRPr="00921115" w14:paraId="6A74D8A6"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4DE7C56E" w14:textId="77777777"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NDF</w:t>
            </w:r>
          </w:p>
        </w:tc>
        <w:tc>
          <w:tcPr>
            <w:tcW w:w="990" w:type="dxa"/>
            <w:tcBorders>
              <w:top w:val="nil"/>
              <w:bottom w:val="nil"/>
            </w:tcBorders>
            <w:shd w:val="clear" w:color="auto" w:fill="auto"/>
            <w:vAlign w:val="center"/>
          </w:tcPr>
          <w:p w14:paraId="4F8DDCD5"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48.50</w:t>
            </w:r>
            <w:r w:rsidRPr="00921115">
              <w:rPr>
                <w:rFonts w:asciiTheme="minorBidi" w:hAnsiTheme="minorBidi"/>
                <w:color w:val="auto"/>
                <w:sz w:val="20"/>
                <w:szCs w:val="20"/>
                <w:vertAlign w:val="superscript"/>
              </w:rPr>
              <w:t>bc</w:t>
            </w:r>
          </w:p>
        </w:tc>
        <w:tc>
          <w:tcPr>
            <w:tcW w:w="905" w:type="dxa"/>
            <w:tcBorders>
              <w:top w:val="nil"/>
              <w:bottom w:val="nil"/>
            </w:tcBorders>
            <w:shd w:val="clear" w:color="auto" w:fill="auto"/>
            <w:vAlign w:val="center"/>
          </w:tcPr>
          <w:p w14:paraId="105DC959"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47.67</w:t>
            </w:r>
            <w:r w:rsidRPr="00921115">
              <w:rPr>
                <w:rFonts w:asciiTheme="minorBidi" w:hAnsiTheme="minorBidi"/>
                <w:color w:val="auto"/>
                <w:sz w:val="20"/>
                <w:szCs w:val="20"/>
                <w:vertAlign w:val="superscript"/>
              </w:rPr>
              <w:t>c</w:t>
            </w:r>
          </w:p>
        </w:tc>
        <w:tc>
          <w:tcPr>
            <w:tcW w:w="1006" w:type="dxa"/>
            <w:tcBorders>
              <w:top w:val="nil"/>
              <w:bottom w:val="nil"/>
            </w:tcBorders>
            <w:shd w:val="clear" w:color="auto" w:fill="auto"/>
            <w:vAlign w:val="center"/>
          </w:tcPr>
          <w:p w14:paraId="7902195F"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53.19</w:t>
            </w:r>
            <w:r w:rsidRPr="00921115">
              <w:rPr>
                <w:rFonts w:asciiTheme="minorBidi" w:hAnsiTheme="minorBidi"/>
                <w:color w:val="auto"/>
                <w:sz w:val="20"/>
                <w:szCs w:val="20"/>
                <w:vertAlign w:val="superscript"/>
              </w:rPr>
              <w:t>a</w:t>
            </w:r>
          </w:p>
        </w:tc>
        <w:tc>
          <w:tcPr>
            <w:tcW w:w="1006" w:type="dxa"/>
            <w:tcBorders>
              <w:top w:val="nil"/>
              <w:bottom w:val="nil"/>
            </w:tcBorders>
            <w:shd w:val="clear" w:color="auto" w:fill="auto"/>
            <w:vAlign w:val="center"/>
          </w:tcPr>
          <w:p w14:paraId="60943AA2"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50.55</w:t>
            </w:r>
            <w:r w:rsidRPr="00921115">
              <w:rPr>
                <w:rFonts w:asciiTheme="minorBidi" w:hAnsiTheme="minorBidi"/>
                <w:color w:val="auto"/>
                <w:sz w:val="20"/>
                <w:szCs w:val="20"/>
                <w:vertAlign w:val="superscript"/>
              </w:rPr>
              <w:t>b</w:t>
            </w:r>
          </w:p>
        </w:tc>
        <w:tc>
          <w:tcPr>
            <w:tcW w:w="1008" w:type="dxa"/>
            <w:tcBorders>
              <w:top w:val="nil"/>
              <w:bottom w:val="nil"/>
            </w:tcBorders>
            <w:shd w:val="clear" w:color="auto" w:fill="auto"/>
            <w:vAlign w:val="center"/>
          </w:tcPr>
          <w:p w14:paraId="319A5310"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50.77</w:t>
            </w:r>
            <w:r w:rsidRPr="00921115">
              <w:rPr>
                <w:rFonts w:asciiTheme="minorBidi" w:hAnsiTheme="minorBidi"/>
                <w:color w:val="auto"/>
                <w:sz w:val="20"/>
                <w:szCs w:val="20"/>
                <w:vertAlign w:val="superscript"/>
              </w:rPr>
              <w:t>b</w:t>
            </w:r>
          </w:p>
        </w:tc>
        <w:tc>
          <w:tcPr>
            <w:tcW w:w="941" w:type="dxa"/>
            <w:tcBorders>
              <w:top w:val="nil"/>
              <w:bottom w:val="nil"/>
            </w:tcBorders>
            <w:shd w:val="clear" w:color="auto" w:fill="auto"/>
            <w:vAlign w:val="center"/>
          </w:tcPr>
          <w:p w14:paraId="08714A1C"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0.581</w:t>
            </w:r>
          </w:p>
        </w:tc>
        <w:tc>
          <w:tcPr>
            <w:tcW w:w="984" w:type="dxa"/>
            <w:tcBorders>
              <w:top w:val="nil"/>
              <w:bottom w:val="nil"/>
            </w:tcBorders>
            <w:shd w:val="clear" w:color="auto" w:fill="auto"/>
            <w:vAlign w:val="center"/>
          </w:tcPr>
          <w:p w14:paraId="7D34B79C" w14:textId="016A5F91"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.002</w:t>
            </w:r>
          </w:p>
        </w:tc>
      </w:tr>
      <w:tr w:rsidR="00D00761" w:rsidRPr="00921115" w14:paraId="406F589C"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1FA8579C" w14:textId="77777777" w:rsidR="00921115" w:rsidRPr="00860222" w:rsidRDefault="00921115" w:rsidP="00E77AEA">
            <w:pPr>
              <w:ind w:right="112" w:firstLine="180"/>
              <w:rPr>
                <w:rFonts w:asciiTheme="minorBidi" w:hAnsiTheme="minorBidi"/>
                <w:b w:val="0"/>
                <w:bCs w:val="0"/>
                <w:sz w:val="20"/>
                <w:szCs w:val="20"/>
              </w:rPr>
            </w:pPr>
            <w:r w:rsidRPr="00860222">
              <w:rPr>
                <w:rFonts w:asciiTheme="minorBidi" w:hAnsiTheme="minorBidi"/>
                <w:b w:val="0"/>
                <w:bCs w:val="0"/>
                <w:color w:val="000000"/>
                <w:sz w:val="20"/>
                <w:szCs w:val="20"/>
              </w:rPr>
              <w:t>ADF</w:t>
            </w:r>
          </w:p>
        </w:tc>
        <w:tc>
          <w:tcPr>
            <w:tcW w:w="990" w:type="dxa"/>
            <w:tcBorders>
              <w:top w:val="nil"/>
              <w:bottom w:val="nil"/>
            </w:tcBorders>
            <w:vAlign w:val="center"/>
          </w:tcPr>
          <w:p w14:paraId="1835C674"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23.54</w:t>
            </w:r>
            <w:r w:rsidRPr="00921115">
              <w:rPr>
                <w:rFonts w:asciiTheme="minorBidi" w:hAnsiTheme="minorBidi"/>
                <w:color w:val="000000"/>
                <w:sz w:val="20"/>
                <w:szCs w:val="20"/>
                <w:vertAlign w:val="superscript"/>
              </w:rPr>
              <w:t>c</w:t>
            </w:r>
          </w:p>
        </w:tc>
        <w:tc>
          <w:tcPr>
            <w:tcW w:w="905" w:type="dxa"/>
            <w:tcBorders>
              <w:top w:val="nil"/>
              <w:bottom w:val="nil"/>
            </w:tcBorders>
            <w:vAlign w:val="center"/>
          </w:tcPr>
          <w:p w14:paraId="620B0E41"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23.23</w:t>
            </w:r>
            <w:r w:rsidRPr="00921115">
              <w:rPr>
                <w:rFonts w:asciiTheme="minorBidi" w:hAnsiTheme="minorBidi"/>
                <w:color w:val="000000"/>
                <w:sz w:val="20"/>
                <w:szCs w:val="20"/>
                <w:vertAlign w:val="superscript"/>
              </w:rPr>
              <w:t>c</w:t>
            </w:r>
          </w:p>
        </w:tc>
        <w:tc>
          <w:tcPr>
            <w:tcW w:w="1006" w:type="dxa"/>
            <w:tcBorders>
              <w:top w:val="nil"/>
              <w:bottom w:val="nil"/>
            </w:tcBorders>
            <w:vAlign w:val="center"/>
          </w:tcPr>
          <w:p w14:paraId="5D2EC3B4"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25.92</w:t>
            </w:r>
            <w:r w:rsidRPr="00921115">
              <w:rPr>
                <w:rFonts w:asciiTheme="minorBidi" w:hAnsiTheme="minorBidi"/>
                <w:color w:val="000000"/>
                <w:sz w:val="20"/>
                <w:szCs w:val="20"/>
                <w:vertAlign w:val="superscript"/>
              </w:rPr>
              <w:t>a</w:t>
            </w:r>
          </w:p>
        </w:tc>
        <w:tc>
          <w:tcPr>
            <w:tcW w:w="1006" w:type="dxa"/>
            <w:tcBorders>
              <w:top w:val="nil"/>
              <w:bottom w:val="nil"/>
            </w:tcBorders>
            <w:vAlign w:val="center"/>
          </w:tcPr>
          <w:p w14:paraId="6616C667"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25.01</w:t>
            </w:r>
            <w:r w:rsidRPr="00921115">
              <w:rPr>
                <w:rFonts w:asciiTheme="minorBidi" w:hAnsiTheme="minorBidi"/>
                <w:color w:val="000000"/>
                <w:sz w:val="20"/>
                <w:szCs w:val="20"/>
                <w:vertAlign w:val="superscript"/>
              </w:rPr>
              <w:t>ab</w:t>
            </w:r>
          </w:p>
        </w:tc>
        <w:tc>
          <w:tcPr>
            <w:tcW w:w="1008" w:type="dxa"/>
            <w:tcBorders>
              <w:top w:val="nil"/>
              <w:bottom w:val="nil"/>
            </w:tcBorders>
            <w:vAlign w:val="center"/>
          </w:tcPr>
          <w:p w14:paraId="12C63A7B"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24.63</w:t>
            </w:r>
            <w:r w:rsidRPr="00921115">
              <w:rPr>
                <w:rFonts w:asciiTheme="minorBidi" w:hAnsiTheme="minorBidi"/>
                <w:color w:val="000000"/>
                <w:sz w:val="20"/>
                <w:szCs w:val="20"/>
                <w:vertAlign w:val="superscript"/>
              </w:rPr>
              <w:t>b</w:t>
            </w:r>
          </w:p>
        </w:tc>
        <w:tc>
          <w:tcPr>
            <w:tcW w:w="941" w:type="dxa"/>
            <w:tcBorders>
              <w:top w:val="nil"/>
              <w:bottom w:val="nil"/>
            </w:tcBorders>
            <w:vAlign w:val="center"/>
          </w:tcPr>
          <w:p w14:paraId="59BE4B16"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0.269</w:t>
            </w:r>
          </w:p>
        </w:tc>
        <w:tc>
          <w:tcPr>
            <w:tcW w:w="984" w:type="dxa"/>
            <w:tcBorders>
              <w:top w:val="nil"/>
              <w:bottom w:val="nil"/>
            </w:tcBorders>
            <w:vAlign w:val="center"/>
          </w:tcPr>
          <w:p w14:paraId="745372FD" w14:textId="08872FC6"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.001</w:t>
            </w:r>
          </w:p>
        </w:tc>
      </w:tr>
      <w:tr w:rsidR="00D00761" w:rsidRPr="00921115" w14:paraId="664B7128"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0AA72687" w14:textId="77777777" w:rsidR="00921115" w:rsidRPr="00860222" w:rsidRDefault="00921115" w:rsidP="00E77AEA">
            <w:pPr>
              <w:ind w:right="112" w:firstLine="180"/>
              <w:rPr>
                <w:rFonts w:asciiTheme="minorBidi" w:hAnsiTheme="minorBidi"/>
                <w:b w:val="0"/>
                <w:bCs w:val="0"/>
                <w:sz w:val="20"/>
                <w:szCs w:val="20"/>
              </w:rPr>
            </w:pPr>
            <w:r w:rsidRPr="00860222">
              <w:rPr>
                <w:rFonts w:asciiTheme="minorBidi" w:hAnsiTheme="minorBidi"/>
                <w:b w:val="0"/>
                <w:bCs w:val="0"/>
                <w:color w:val="000000"/>
                <w:sz w:val="20"/>
                <w:szCs w:val="20"/>
              </w:rPr>
              <w:t>ADL</w:t>
            </w:r>
          </w:p>
        </w:tc>
        <w:tc>
          <w:tcPr>
            <w:tcW w:w="990" w:type="dxa"/>
            <w:tcBorders>
              <w:top w:val="nil"/>
              <w:bottom w:val="nil"/>
            </w:tcBorders>
            <w:shd w:val="clear" w:color="auto" w:fill="auto"/>
            <w:vAlign w:val="center"/>
          </w:tcPr>
          <w:p w14:paraId="497DB1F4"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2.59</w:t>
            </w:r>
            <w:r w:rsidRPr="00921115">
              <w:rPr>
                <w:rFonts w:asciiTheme="minorBidi" w:hAnsiTheme="minorBidi"/>
                <w:color w:val="000000"/>
                <w:sz w:val="20"/>
                <w:szCs w:val="20"/>
                <w:vertAlign w:val="superscript"/>
              </w:rPr>
              <w:t>c</w:t>
            </w:r>
          </w:p>
        </w:tc>
        <w:tc>
          <w:tcPr>
            <w:tcW w:w="905" w:type="dxa"/>
            <w:tcBorders>
              <w:top w:val="nil"/>
              <w:bottom w:val="nil"/>
            </w:tcBorders>
            <w:shd w:val="clear" w:color="auto" w:fill="auto"/>
            <w:vAlign w:val="center"/>
          </w:tcPr>
          <w:p w14:paraId="7620BE38"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2.56</w:t>
            </w:r>
            <w:r w:rsidRPr="00921115">
              <w:rPr>
                <w:rFonts w:asciiTheme="minorBidi" w:hAnsiTheme="minorBidi"/>
                <w:color w:val="000000"/>
                <w:sz w:val="20"/>
                <w:szCs w:val="20"/>
                <w:vertAlign w:val="superscript"/>
              </w:rPr>
              <w:t>c</w:t>
            </w:r>
          </w:p>
        </w:tc>
        <w:tc>
          <w:tcPr>
            <w:tcW w:w="1006" w:type="dxa"/>
            <w:tcBorders>
              <w:top w:val="nil"/>
              <w:bottom w:val="nil"/>
            </w:tcBorders>
            <w:shd w:val="clear" w:color="auto" w:fill="auto"/>
            <w:vAlign w:val="center"/>
          </w:tcPr>
          <w:p w14:paraId="612E6FB7"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3.38</w:t>
            </w:r>
            <w:r w:rsidRPr="00921115">
              <w:rPr>
                <w:rFonts w:asciiTheme="minorBidi" w:hAnsiTheme="minorBidi"/>
                <w:color w:val="000000"/>
                <w:sz w:val="20"/>
                <w:szCs w:val="20"/>
                <w:vertAlign w:val="superscript"/>
              </w:rPr>
              <w:t>a</w:t>
            </w:r>
          </w:p>
        </w:tc>
        <w:tc>
          <w:tcPr>
            <w:tcW w:w="1006" w:type="dxa"/>
            <w:tcBorders>
              <w:top w:val="nil"/>
              <w:bottom w:val="nil"/>
            </w:tcBorders>
            <w:shd w:val="clear" w:color="auto" w:fill="auto"/>
            <w:vAlign w:val="center"/>
          </w:tcPr>
          <w:p w14:paraId="4D80A59B"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2.83</w:t>
            </w:r>
            <w:r w:rsidRPr="00921115">
              <w:rPr>
                <w:rFonts w:asciiTheme="minorBidi" w:hAnsiTheme="minorBidi"/>
                <w:color w:val="000000"/>
                <w:sz w:val="20"/>
                <w:szCs w:val="20"/>
                <w:vertAlign w:val="superscript"/>
              </w:rPr>
              <w:t>bc</w:t>
            </w:r>
          </w:p>
        </w:tc>
        <w:tc>
          <w:tcPr>
            <w:tcW w:w="1008" w:type="dxa"/>
            <w:tcBorders>
              <w:top w:val="nil"/>
              <w:bottom w:val="nil"/>
            </w:tcBorders>
            <w:shd w:val="clear" w:color="auto" w:fill="auto"/>
            <w:vAlign w:val="center"/>
          </w:tcPr>
          <w:p w14:paraId="5B5E1B40"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3.08</w:t>
            </w:r>
            <w:r w:rsidRPr="00921115">
              <w:rPr>
                <w:rFonts w:asciiTheme="minorBidi" w:hAnsiTheme="minorBidi"/>
                <w:color w:val="000000"/>
                <w:sz w:val="20"/>
                <w:szCs w:val="20"/>
                <w:vertAlign w:val="superscript"/>
              </w:rPr>
              <w:t>b</w:t>
            </w:r>
          </w:p>
        </w:tc>
        <w:tc>
          <w:tcPr>
            <w:tcW w:w="941" w:type="dxa"/>
            <w:tcBorders>
              <w:top w:val="nil"/>
              <w:bottom w:val="nil"/>
            </w:tcBorders>
            <w:shd w:val="clear" w:color="auto" w:fill="auto"/>
            <w:vAlign w:val="center"/>
          </w:tcPr>
          <w:p w14:paraId="44484E53"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0.084</w:t>
            </w:r>
          </w:p>
        </w:tc>
        <w:tc>
          <w:tcPr>
            <w:tcW w:w="984" w:type="dxa"/>
            <w:tcBorders>
              <w:top w:val="nil"/>
              <w:bottom w:val="nil"/>
            </w:tcBorders>
            <w:shd w:val="clear" w:color="auto" w:fill="auto"/>
            <w:vAlign w:val="center"/>
          </w:tcPr>
          <w:p w14:paraId="24F1AB75" w14:textId="52FD9233"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.001</w:t>
            </w:r>
          </w:p>
        </w:tc>
      </w:tr>
      <w:tr w:rsidR="00D00761" w:rsidRPr="00921115" w14:paraId="5833D5FB"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7740FA92" w14:textId="77777777" w:rsidR="00921115" w:rsidRPr="00860222" w:rsidRDefault="00921115" w:rsidP="00E77AEA">
            <w:pPr>
              <w:ind w:right="112" w:firstLine="180"/>
              <w:rPr>
                <w:rFonts w:asciiTheme="minorBidi" w:hAnsiTheme="minorBidi"/>
                <w:b w:val="0"/>
                <w:bCs w:val="0"/>
                <w:color w:val="auto"/>
                <w:sz w:val="20"/>
                <w:szCs w:val="20"/>
              </w:rPr>
            </w:pPr>
            <w:r w:rsidRPr="00860222">
              <w:rPr>
                <w:rFonts w:asciiTheme="minorBidi" w:hAnsiTheme="minorBidi"/>
                <w:b w:val="0"/>
                <w:bCs w:val="0"/>
                <w:color w:val="auto"/>
                <w:sz w:val="20"/>
                <w:szCs w:val="20"/>
              </w:rPr>
              <w:t>HCEL</w:t>
            </w:r>
          </w:p>
        </w:tc>
        <w:tc>
          <w:tcPr>
            <w:tcW w:w="990" w:type="dxa"/>
            <w:tcBorders>
              <w:top w:val="nil"/>
              <w:bottom w:val="nil"/>
            </w:tcBorders>
            <w:vAlign w:val="center"/>
          </w:tcPr>
          <w:p w14:paraId="12D9BA96"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24.95</w:t>
            </w:r>
            <w:r w:rsidRPr="00921115">
              <w:rPr>
                <w:rFonts w:asciiTheme="minorBidi" w:hAnsiTheme="minorBidi"/>
                <w:color w:val="auto"/>
                <w:sz w:val="20"/>
                <w:szCs w:val="20"/>
                <w:vertAlign w:val="superscript"/>
              </w:rPr>
              <w:t>b</w:t>
            </w:r>
          </w:p>
        </w:tc>
        <w:tc>
          <w:tcPr>
            <w:tcW w:w="905" w:type="dxa"/>
            <w:tcBorders>
              <w:top w:val="nil"/>
              <w:bottom w:val="nil"/>
            </w:tcBorders>
            <w:vAlign w:val="center"/>
          </w:tcPr>
          <w:p w14:paraId="45D7D699"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24.44</w:t>
            </w:r>
            <w:r w:rsidRPr="00921115">
              <w:rPr>
                <w:rFonts w:asciiTheme="minorBidi" w:hAnsiTheme="minorBidi"/>
                <w:color w:val="auto"/>
                <w:sz w:val="20"/>
                <w:szCs w:val="20"/>
                <w:vertAlign w:val="superscript"/>
              </w:rPr>
              <w:t>b</w:t>
            </w:r>
          </w:p>
        </w:tc>
        <w:tc>
          <w:tcPr>
            <w:tcW w:w="1006" w:type="dxa"/>
            <w:tcBorders>
              <w:top w:val="nil"/>
              <w:bottom w:val="nil"/>
            </w:tcBorders>
            <w:vAlign w:val="center"/>
          </w:tcPr>
          <w:p w14:paraId="045077B7"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27.28</w:t>
            </w:r>
            <w:r w:rsidRPr="00921115">
              <w:rPr>
                <w:rFonts w:asciiTheme="minorBidi" w:hAnsiTheme="minorBidi"/>
                <w:color w:val="auto"/>
                <w:sz w:val="20"/>
                <w:szCs w:val="20"/>
                <w:vertAlign w:val="superscript"/>
              </w:rPr>
              <w:t>a</w:t>
            </w:r>
          </w:p>
        </w:tc>
        <w:tc>
          <w:tcPr>
            <w:tcW w:w="1006" w:type="dxa"/>
            <w:tcBorders>
              <w:top w:val="nil"/>
              <w:bottom w:val="nil"/>
            </w:tcBorders>
            <w:vAlign w:val="center"/>
          </w:tcPr>
          <w:p w14:paraId="1E0D4993"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25.54</w:t>
            </w:r>
            <w:r w:rsidRPr="00921115">
              <w:rPr>
                <w:rFonts w:asciiTheme="minorBidi" w:hAnsiTheme="minorBidi"/>
                <w:color w:val="auto"/>
                <w:sz w:val="20"/>
                <w:szCs w:val="20"/>
                <w:vertAlign w:val="superscript"/>
              </w:rPr>
              <w:t>ab</w:t>
            </w:r>
          </w:p>
        </w:tc>
        <w:tc>
          <w:tcPr>
            <w:tcW w:w="1008" w:type="dxa"/>
            <w:tcBorders>
              <w:top w:val="nil"/>
              <w:bottom w:val="nil"/>
            </w:tcBorders>
            <w:vAlign w:val="center"/>
          </w:tcPr>
          <w:p w14:paraId="7ECC58AD"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vertAlign w:val="superscript"/>
              </w:rPr>
            </w:pPr>
            <w:r w:rsidRPr="00921115">
              <w:rPr>
                <w:rFonts w:asciiTheme="minorBidi" w:hAnsiTheme="minorBidi"/>
                <w:color w:val="auto"/>
                <w:sz w:val="20"/>
                <w:szCs w:val="20"/>
              </w:rPr>
              <w:t>26.14</w:t>
            </w:r>
            <w:r w:rsidRPr="00921115">
              <w:rPr>
                <w:rFonts w:asciiTheme="minorBidi" w:hAnsiTheme="minorBidi"/>
                <w:color w:val="auto"/>
                <w:sz w:val="20"/>
                <w:szCs w:val="20"/>
                <w:vertAlign w:val="superscript"/>
              </w:rPr>
              <w:t>ab</w:t>
            </w:r>
          </w:p>
        </w:tc>
        <w:tc>
          <w:tcPr>
            <w:tcW w:w="941" w:type="dxa"/>
            <w:tcBorders>
              <w:top w:val="nil"/>
              <w:bottom w:val="nil"/>
            </w:tcBorders>
            <w:vAlign w:val="center"/>
          </w:tcPr>
          <w:p w14:paraId="0072E19C" w14:textId="77777777"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0.341</w:t>
            </w:r>
          </w:p>
        </w:tc>
        <w:tc>
          <w:tcPr>
            <w:tcW w:w="984" w:type="dxa"/>
            <w:tcBorders>
              <w:top w:val="nil"/>
              <w:bottom w:val="nil"/>
            </w:tcBorders>
            <w:vAlign w:val="center"/>
          </w:tcPr>
          <w:p w14:paraId="5245BB6B" w14:textId="68E0F246" w:rsidR="00921115" w:rsidRPr="00921115"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921115">
              <w:rPr>
                <w:rFonts w:asciiTheme="minorBidi" w:hAnsiTheme="minorBidi"/>
                <w:color w:val="auto"/>
                <w:sz w:val="20"/>
                <w:szCs w:val="20"/>
              </w:rPr>
              <w:t>.044</w:t>
            </w:r>
          </w:p>
        </w:tc>
      </w:tr>
      <w:tr w:rsidR="00D00761" w:rsidRPr="00921115" w14:paraId="71842E85"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tcBorders>
            <w:shd w:val="clear" w:color="auto" w:fill="auto"/>
            <w:vAlign w:val="center"/>
          </w:tcPr>
          <w:p w14:paraId="57A4E8E1" w14:textId="77777777" w:rsidR="00921115" w:rsidRPr="00860222" w:rsidRDefault="00921115" w:rsidP="00E77AEA">
            <w:pPr>
              <w:ind w:right="112" w:firstLine="180"/>
              <w:rPr>
                <w:rFonts w:asciiTheme="minorBidi" w:hAnsiTheme="minorBidi"/>
                <w:b w:val="0"/>
                <w:bCs w:val="0"/>
                <w:sz w:val="20"/>
                <w:szCs w:val="20"/>
              </w:rPr>
            </w:pPr>
            <w:r w:rsidRPr="00860222">
              <w:rPr>
                <w:rFonts w:asciiTheme="minorBidi" w:hAnsiTheme="minorBidi"/>
                <w:b w:val="0"/>
                <w:bCs w:val="0"/>
                <w:color w:val="000000"/>
                <w:sz w:val="20"/>
                <w:szCs w:val="20"/>
              </w:rPr>
              <w:t>CEL</w:t>
            </w:r>
          </w:p>
        </w:tc>
        <w:tc>
          <w:tcPr>
            <w:tcW w:w="990" w:type="dxa"/>
            <w:tcBorders>
              <w:top w:val="nil"/>
            </w:tcBorders>
            <w:shd w:val="clear" w:color="auto" w:fill="auto"/>
            <w:vAlign w:val="center"/>
          </w:tcPr>
          <w:p w14:paraId="6C86F2C0"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20.96</w:t>
            </w:r>
            <w:r w:rsidRPr="00921115">
              <w:rPr>
                <w:rFonts w:asciiTheme="minorBidi" w:hAnsiTheme="minorBidi"/>
                <w:color w:val="000000"/>
                <w:sz w:val="20"/>
                <w:szCs w:val="20"/>
                <w:vertAlign w:val="superscript"/>
              </w:rPr>
              <w:t>c</w:t>
            </w:r>
          </w:p>
        </w:tc>
        <w:tc>
          <w:tcPr>
            <w:tcW w:w="905" w:type="dxa"/>
            <w:tcBorders>
              <w:top w:val="nil"/>
            </w:tcBorders>
            <w:shd w:val="clear" w:color="auto" w:fill="auto"/>
            <w:vAlign w:val="center"/>
          </w:tcPr>
          <w:p w14:paraId="101BA8FD"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20.66</w:t>
            </w:r>
            <w:r w:rsidRPr="00921115">
              <w:rPr>
                <w:rFonts w:asciiTheme="minorBidi" w:hAnsiTheme="minorBidi"/>
                <w:color w:val="000000"/>
                <w:sz w:val="20"/>
                <w:szCs w:val="20"/>
                <w:vertAlign w:val="superscript"/>
              </w:rPr>
              <w:t>c</w:t>
            </w:r>
          </w:p>
        </w:tc>
        <w:tc>
          <w:tcPr>
            <w:tcW w:w="1006" w:type="dxa"/>
            <w:tcBorders>
              <w:top w:val="nil"/>
            </w:tcBorders>
            <w:shd w:val="clear" w:color="auto" w:fill="auto"/>
            <w:vAlign w:val="center"/>
          </w:tcPr>
          <w:p w14:paraId="102EA17E"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22.54</w:t>
            </w:r>
            <w:r w:rsidRPr="00921115">
              <w:rPr>
                <w:rFonts w:asciiTheme="minorBidi" w:hAnsiTheme="minorBidi"/>
                <w:color w:val="000000"/>
                <w:sz w:val="20"/>
                <w:szCs w:val="20"/>
                <w:vertAlign w:val="superscript"/>
              </w:rPr>
              <w:t>a</w:t>
            </w:r>
          </w:p>
        </w:tc>
        <w:tc>
          <w:tcPr>
            <w:tcW w:w="1006" w:type="dxa"/>
            <w:tcBorders>
              <w:top w:val="nil"/>
            </w:tcBorders>
            <w:shd w:val="clear" w:color="auto" w:fill="auto"/>
            <w:vAlign w:val="center"/>
          </w:tcPr>
          <w:p w14:paraId="67F61F5C"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22.18</w:t>
            </w:r>
            <w:r w:rsidRPr="00921115">
              <w:rPr>
                <w:rFonts w:asciiTheme="minorBidi" w:hAnsiTheme="minorBidi"/>
                <w:color w:val="000000"/>
                <w:sz w:val="20"/>
                <w:szCs w:val="20"/>
                <w:vertAlign w:val="superscript"/>
              </w:rPr>
              <w:t>a</w:t>
            </w:r>
          </w:p>
        </w:tc>
        <w:tc>
          <w:tcPr>
            <w:tcW w:w="1008" w:type="dxa"/>
            <w:tcBorders>
              <w:top w:val="nil"/>
            </w:tcBorders>
            <w:shd w:val="clear" w:color="auto" w:fill="auto"/>
            <w:vAlign w:val="center"/>
          </w:tcPr>
          <w:p w14:paraId="681DFC4A"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21.55</w:t>
            </w:r>
            <w:r w:rsidRPr="00921115">
              <w:rPr>
                <w:rFonts w:asciiTheme="minorBidi" w:hAnsiTheme="minorBidi"/>
                <w:color w:val="000000"/>
                <w:sz w:val="20"/>
                <w:szCs w:val="20"/>
                <w:vertAlign w:val="superscript"/>
              </w:rPr>
              <w:t>b</w:t>
            </w:r>
          </w:p>
        </w:tc>
        <w:tc>
          <w:tcPr>
            <w:tcW w:w="941" w:type="dxa"/>
            <w:tcBorders>
              <w:top w:val="nil"/>
            </w:tcBorders>
            <w:shd w:val="clear" w:color="auto" w:fill="auto"/>
            <w:vAlign w:val="center"/>
          </w:tcPr>
          <w:p w14:paraId="616483FD" w14:textId="77777777"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0.196</w:t>
            </w:r>
          </w:p>
        </w:tc>
        <w:tc>
          <w:tcPr>
            <w:tcW w:w="984" w:type="dxa"/>
            <w:tcBorders>
              <w:top w:val="nil"/>
            </w:tcBorders>
            <w:shd w:val="clear" w:color="auto" w:fill="auto"/>
            <w:vAlign w:val="center"/>
          </w:tcPr>
          <w:p w14:paraId="68286A55" w14:textId="4A6F954F" w:rsidR="00921115" w:rsidRPr="00921115"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921115">
              <w:rPr>
                <w:rFonts w:asciiTheme="minorBidi" w:hAnsiTheme="minorBidi"/>
                <w:color w:val="000000"/>
                <w:sz w:val="20"/>
                <w:szCs w:val="20"/>
              </w:rPr>
              <w:t>.001</w:t>
            </w:r>
          </w:p>
        </w:tc>
      </w:tr>
    </w:tbl>
    <w:p w14:paraId="6212B253" w14:textId="45BD88BD" w:rsidR="00D36D04" w:rsidRDefault="00921115" w:rsidP="00CA5AC0">
      <w:pPr>
        <w:pStyle w:val="BodyText3"/>
        <w:tabs>
          <w:tab w:val="left" w:pos="0"/>
        </w:tabs>
        <w:spacing w:after="0"/>
        <w:jc w:val="both"/>
        <w:rPr>
          <w:rFonts w:ascii="Arial" w:hAnsi="Arial" w:cs="Arial"/>
        </w:rPr>
      </w:pPr>
      <w:r w:rsidRPr="00CA5AC0">
        <w:rPr>
          <w:rFonts w:ascii="Arial" w:hAnsi="Arial"/>
          <w:bCs/>
          <w:i/>
          <w:sz w:val="18"/>
        </w:rPr>
        <w:t>ROD: seeds were soaked and left at room temperature for one day, +4OD: seeds were soaked and refrigerated at +4 °C for one day, +4TD: seeds were soaked and refrigerated at +4 °C for three days,</w:t>
      </w:r>
      <w:r w:rsidR="002C09B9">
        <w:rPr>
          <w:rFonts w:ascii="Arial" w:hAnsi="Arial"/>
          <w:bCs/>
          <w:i/>
          <w:sz w:val="18"/>
        </w:rPr>
        <w:t xml:space="preserve">  </w:t>
      </w:r>
      <w:r w:rsidRPr="00CA5AC0">
        <w:rPr>
          <w:rFonts w:ascii="Arial" w:hAnsi="Arial"/>
          <w:bCs/>
          <w:i/>
          <w:sz w:val="18"/>
        </w:rPr>
        <w:t xml:space="preserve"> -18OD: seeds were soaked and frozen at -18 °C for one day, -18TD: seeds were soaked and frozen at -18 °C for three days, DM: dry matter (fresh form), OM: organic matter, CP: crude protein, EE: ether extract, CF: crude fiber, NFE: nitrogen-free extracts, NDF: neutral detergent fiber, ADF: acid detergent fiber, ADL: acid detergent lignin, HCEL: hemi cellulose, CEL: cellulose, SEM: standard error of the mean, </w:t>
      </w:r>
      <w:proofErr w:type="spellStart"/>
      <w:r w:rsidRPr="00CA5AC0">
        <w:rPr>
          <w:rFonts w:ascii="Arial" w:hAnsi="Arial"/>
          <w:bCs/>
          <w:i/>
          <w:sz w:val="18"/>
        </w:rPr>
        <w:t>abc</w:t>
      </w:r>
      <w:proofErr w:type="spellEnd"/>
      <w:r w:rsidRPr="00CA5AC0">
        <w:rPr>
          <w:rFonts w:ascii="Arial" w:hAnsi="Arial"/>
          <w:bCs/>
          <w:i/>
          <w:sz w:val="18"/>
        </w:rPr>
        <w:t>: means with different superscripts in the same row were significantly different (P</w:t>
      </w:r>
      <w:r w:rsidR="00CA5AC0">
        <w:rPr>
          <w:rFonts w:ascii="Arial" w:hAnsi="Arial"/>
          <w:bCs/>
          <w:i/>
          <w:sz w:val="18"/>
        </w:rPr>
        <w:t xml:space="preserve"> </w:t>
      </w:r>
      <w:r w:rsidRPr="00CA5AC0">
        <w:rPr>
          <w:rFonts w:ascii="Arial" w:hAnsi="Arial"/>
          <w:bCs/>
          <w:i/>
          <w:sz w:val="18"/>
        </w:rPr>
        <w:t>≤</w:t>
      </w:r>
      <w:r w:rsidR="00CA5AC0">
        <w:rPr>
          <w:rFonts w:ascii="Arial" w:hAnsi="Arial"/>
          <w:bCs/>
          <w:i/>
          <w:sz w:val="18"/>
        </w:rPr>
        <w:t xml:space="preserve"> </w:t>
      </w:r>
      <w:r w:rsidRPr="00CA5AC0">
        <w:rPr>
          <w:rFonts w:ascii="Arial" w:hAnsi="Arial"/>
          <w:bCs/>
          <w:i/>
          <w:sz w:val="18"/>
        </w:rPr>
        <w:t>.05).</w:t>
      </w:r>
    </w:p>
    <w:p w14:paraId="55DABDA1" w14:textId="06555D8C" w:rsidR="00BD2832" w:rsidRPr="00896E1F" w:rsidRDefault="00896E1F" w:rsidP="00896E1F">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896E1F">
        <w:rPr>
          <w:rFonts w:ascii="Arial" w:hAnsi="Arial" w:cs="Arial"/>
          <w:b/>
          <w:sz w:val="22"/>
        </w:rPr>
        <w:t xml:space="preserve">Energy Values and </w:t>
      </w:r>
      <w:r w:rsidRPr="00A22889">
        <w:rPr>
          <w:rFonts w:ascii="Arial" w:hAnsi="Arial" w:cs="Arial"/>
          <w:b/>
          <w:i/>
          <w:iCs/>
          <w:sz w:val="22"/>
        </w:rPr>
        <w:t>In Vitro</w:t>
      </w:r>
      <w:r w:rsidRPr="00896E1F">
        <w:rPr>
          <w:rFonts w:ascii="Arial" w:hAnsi="Arial" w:cs="Arial"/>
          <w:b/>
          <w:sz w:val="22"/>
        </w:rPr>
        <w:t xml:space="preserve"> True Digestibility</w:t>
      </w:r>
      <w:r w:rsidRPr="00C30A0F">
        <w:rPr>
          <w:rFonts w:ascii="Arial" w:hAnsi="Arial" w:cs="Arial"/>
          <w:b/>
          <w:sz w:val="22"/>
        </w:rPr>
        <w:t xml:space="preserve"> </w:t>
      </w:r>
    </w:p>
    <w:p w14:paraId="3D60715D" w14:textId="1E4BDB5B" w:rsidR="00896E1F" w:rsidRPr="00896E1F" w:rsidRDefault="00896E1F" w:rsidP="00896E1F">
      <w:pPr>
        <w:pStyle w:val="Body"/>
        <w:rPr>
          <w:rFonts w:ascii="Arial" w:hAnsi="Arial" w:cs="Arial"/>
        </w:rPr>
      </w:pPr>
      <w:r w:rsidRPr="00896E1F">
        <w:rPr>
          <w:rFonts w:ascii="Arial" w:hAnsi="Arial" w:cs="Arial"/>
        </w:rPr>
        <w:t>Metabolizable energy (ME), net energy (NE), and net energy lactation (NE</w:t>
      </w:r>
      <w:r w:rsidRPr="00896E1F">
        <w:rPr>
          <w:rFonts w:ascii="Arial" w:hAnsi="Arial" w:cs="Arial"/>
          <w:vertAlign w:val="subscript"/>
        </w:rPr>
        <w:t>L</w:t>
      </w:r>
      <w:r w:rsidRPr="00896E1F">
        <w:rPr>
          <w:rFonts w:ascii="Arial" w:hAnsi="Arial" w:cs="Arial"/>
        </w:rPr>
        <w:t>) values did not differ significantly among treatments (</w:t>
      </w:r>
      <w:r w:rsidRPr="00A22889">
        <w:rPr>
          <w:rFonts w:ascii="Arial" w:hAnsi="Arial" w:cs="Arial"/>
          <w:i/>
          <w:iCs/>
        </w:rPr>
        <w:t>P</w:t>
      </w:r>
      <w:r w:rsidRPr="00896E1F">
        <w:rPr>
          <w:rFonts w:ascii="Arial" w:hAnsi="Arial" w:cs="Arial"/>
        </w:rPr>
        <w:t xml:space="preserve"> &gt; .05), though numerically higher values were observed in the +4OD and ROD groups (Table 4). ME ranged from 9.54 to 9.89 MJ/kg DM, NE from 6.18 to 6.57 MJ/kg DM, and NE</w:t>
      </w:r>
      <w:r w:rsidRPr="00A22889">
        <w:rPr>
          <w:rFonts w:ascii="Arial" w:hAnsi="Arial" w:cs="Arial"/>
          <w:vertAlign w:val="subscript"/>
        </w:rPr>
        <w:t>L</w:t>
      </w:r>
      <w:r w:rsidRPr="00896E1F">
        <w:rPr>
          <w:rFonts w:ascii="Arial" w:hAnsi="Arial" w:cs="Arial"/>
        </w:rPr>
        <w:t xml:space="preserve"> from 4.67 to 4.71 MJ/kg DM. The numerical differences suggest subtle impacts on energy availability, with the +4OD and ROD treatments consistently yielding the highest values. These outcomes align with earlier findings indicating higher DM and OM concentrations under these treatments, which likely support greater energy density per unit of DM.</w:t>
      </w:r>
    </w:p>
    <w:p w14:paraId="37E9CC36" w14:textId="4AF62CEA" w:rsidR="00896E1F" w:rsidRPr="00896E1F" w:rsidRDefault="00896E1F" w:rsidP="00896E1F">
      <w:pPr>
        <w:pStyle w:val="Body"/>
        <w:rPr>
          <w:rFonts w:ascii="Arial" w:hAnsi="Arial" w:cs="Arial"/>
        </w:rPr>
      </w:pPr>
      <w:r w:rsidRPr="00A22889">
        <w:rPr>
          <w:rFonts w:ascii="Arial" w:hAnsi="Arial" w:cs="Arial"/>
          <w:i/>
          <w:iCs/>
        </w:rPr>
        <w:lastRenderedPageBreak/>
        <w:t>In vitro</w:t>
      </w:r>
      <w:r w:rsidRPr="00896E1F">
        <w:rPr>
          <w:rFonts w:ascii="Arial" w:hAnsi="Arial" w:cs="Arial"/>
        </w:rPr>
        <w:t xml:space="preserve"> true digestibility (IVTD) was significantly affected by seed-moistening treatments (</w:t>
      </w:r>
      <w:r w:rsidRPr="00A22889">
        <w:rPr>
          <w:rFonts w:ascii="Arial" w:hAnsi="Arial" w:cs="Arial"/>
          <w:i/>
          <w:iCs/>
        </w:rPr>
        <w:t>P</w:t>
      </w:r>
      <w:r w:rsidRPr="00896E1F">
        <w:rPr>
          <w:rFonts w:ascii="Arial" w:hAnsi="Arial" w:cs="Arial"/>
        </w:rPr>
        <w:t xml:space="preserve"> &lt; .001). The highest IVTD was recorded in the ROD treatment (66.08%), followed by +4OD (65.53%). The lowest digestibility was observed in the +4TD group (62.76%), while -18OD and -18TD exhibited intermediate values (63.74% and 64.11%, respectively). The highest IVTD in the ROD and +4OD treatments is indicative of less lignified and more digestible tissue formation, likely a result of more favorable germination and early growth conditions. In contrast, the significantly lower digestibility observed in the +4TD group suggests that extended cold exposure may enhance structural carbohydrate deposition (e.g., cellulose, lignin), as previously noted in Table 3, which in turn reduces the degradability of the biomass.</w:t>
      </w:r>
    </w:p>
    <w:p w14:paraId="28203298" w14:textId="0D0C0D7A" w:rsidR="00FD70D6" w:rsidRDefault="00896E1F" w:rsidP="00896E1F">
      <w:pPr>
        <w:pStyle w:val="Body"/>
        <w:spacing w:after="0"/>
        <w:rPr>
          <w:rFonts w:ascii="Arial" w:hAnsi="Arial" w:cs="Arial"/>
        </w:rPr>
      </w:pPr>
      <w:r w:rsidRPr="00896E1F">
        <w:rPr>
          <w:rFonts w:ascii="Arial" w:hAnsi="Arial" w:cs="Arial"/>
        </w:rPr>
        <w:t xml:space="preserve">These findings suggest that short-duration, mild treatments (e.g., +4OD or ROD) optimize both digestibility and energy potential, reinforcing their suitability for producing high-quality green fodder in hydroponic systems. </w:t>
      </w:r>
      <w:r w:rsidRPr="00A22889">
        <w:rPr>
          <w:rFonts w:ascii="Arial" w:hAnsi="Arial" w:cs="Arial"/>
          <w:i/>
          <w:iCs/>
        </w:rPr>
        <w:t>In vitro</w:t>
      </w:r>
      <w:r w:rsidRPr="00896E1F">
        <w:rPr>
          <w:rFonts w:ascii="Arial" w:hAnsi="Arial" w:cs="Arial"/>
        </w:rPr>
        <w:t xml:space="preserve"> true digestibility </w:t>
      </w:r>
      <w:r w:rsidR="00EC6F6A">
        <w:rPr>
          <w:rFonts w:ascii="Arial" w:hAnsi="Arial" w:cs="Arial"/>
        </w:rPr>
        <w:t xml:space="preserve">values </w:t>
      </w:r>
      <w:r w:rsidRPr="00896E1F">
        <w:rPr>
          <w:rFonts w:ascii="Arial" w:hAnsi="Arial" w:cs="Arial"/>
        </w:rPr>
        <w:t>observed in this study (62.76%–66.08%) are consistent with those reported by Abdel-Wareth et al. (2023) and Yusif et al. (2023), who found improvements in nutrient digestibility and performance in rabbits and sheep, respectively.</w:t>
      </w:r>
    </w:p>
    <w:p w14:paraId="2501DA4F" w14:textId="77777777" w:rsidR="00896E1F" w:rsidRDefault="00896E1F" w:rsidP="00896E1F">
      <w:pPr>
        <w:pStyle w:val="Body"/>
        <w:spacing w:after="0"/>
        <w:rPr>
          <w:rFonts w:ascii="Arial" w:hAnsi="Arial" w:cs="Arial"/>
        </w:rPr>
      </w:pPr>
    </w:p>
    <w:p w14:paraId="3BB56733" w14:textId="0C22692B" w:rsidR="00A22889" w:rsidRDefault="00A22889" w:rsidP="006D65B8">
      <w:pPr>
        <w:tabs>
          <w:tab w:val="left" w:pos="1080"/>
        </w:tabs>
        <w:jc w:val="both"/>
        <w:rPr>
          <w:rFonts w:ascii="Arial" w:hAnsi="Arial"/>
          <w:b/>
        </w:rPr>
      </w:pPr>
      <w:r w:rsidRPr="006D65B8">
        <w:rPr>
          <w:rFonts w:ascii="Arial" w:hAnsi="Arial"/>
          <w:b/>
        </w:rPr>
        <w:t xml:space="preserve">Table 4. Energy values </w:t>
      </w:r>
      <w:r w:rsidR="006D65B8">
        <w:rPr>
          <w:rFonts w:ascii="Arial" w:hAnsi="Arial"/>
          <w:b/>
        </w:rPr>
        <w:t>(</w:t>
      </w:r>
      <w:r w:rsidR="006D65B8" w:rsidRPr="006D65B8">
        <w:rPr>
          <w:rFonts w:ascii="Arial" w:hAnsi="Arial"/>
          <w:b/>
        </w:rPr>
        <w:t>MJ/kg DM</w:t>
      </w:r>
      <w:r w:rsidR="006D65B8">
        <w:rPr>
          <w:rFonts w:ascii="Arial" w:hAnsi="Arial"/>
          <w:b/>
        </w:rPr>
        <w:t xml:space="preserve">) </w:t>
      </w:r>
      <w:r w:rsidRPr="006D65B8">
        <w:rPr>
          <w:rFonts w:ascii="Arial" w:hAnsi="Arial"/>
          <w:b/>
        </w:rPr>
        <w:t xml:space="preserve">and </w:t>
      </w:r>
      <w:r w:rsidRPr="006D65B8">
        <w:rPr>
          <w:rFonts w:ascii="Arial" w:hAnsi="Arial"/>
          <w:b/>
          <w:i/>
          <w:iCs/>
        </w:rPr>
        <w:t>in vitro</w:t>
      </w:r>
      <w:r w:rsidRPr="006D65B8">
        <w:rPr>
          <w:rFonts w:ascii="Arial" w:hAnsi="Arial"/>
          <w:b/>
        </w:rPr>
        <w:t xml:space="preserve"> true digestibility </w:t>
      </w:r>
      <w:r w:rsidR="006D65B8">
        <w:rPr>
          <w:rFonts w:ascii="Arial" w:hAnsi="Arial"/>
          <w:b/>
        </w:rPr>
        <w:t>(</w:t>
      </w:r>
      <w:r w:rsidR="006D65B8" w:rsidRPr="006D65B8">
        <w:rPr>
          <w:rFonts w:ascii="Arial" w:hAnsi="Arial"/>
          <w:b/>
        </w:rPr>
        <w:t>%</w:t>
      </w:r>
      <w:r w:rsidR="006D65B8">
        <w:rPr>
          <w:rFonts w:ascii="Arial" w:hAnsi="Arial"/>
          <w:b/>
        </w:rPr>
        <w:t xml:space="preserve">) </w:t>
      </w:r>
      <w:r w:rsidRPr="006D65B8">
        <w:rPr>
          <w:rFonts w:ascii="Arial" w:hAnsi="Arial"/>
          <w:b/>
        </w:rPr>
        <w:t>of the barley green fodder germinated under different seed moistening conditions in a hydroponic system</w:t>
      </w:r>
    </w:p>
    <w:p w14:paraId="4C1A0D51" w14:textId="77777777" w:rsidR="006D65B8" w:rsidRPr="006D65B8" w:rsidRDefault="006D65B8" w:rsidP="006D65B8">
      <w:pPr>
        <w:tabs>
          <w:tab w:val="left" w:pos="1080"/>
        </w:tabs>
        <w:jc w:val="both"/>
        <w:rPr>
          <w:rFonts w:ascii="Arial" w:hAnsi="Arial"/>
          <w:bCs/>
        </w:rPr>
      </w:pPr>
    </w:p>
    <w:tbl>
      <w:tblPr>
        <w:tblStyle w:val="LightShading"/>
        <w:tblW w:w="82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58"/>
        <w:gridCol w:w="990"/>
        <w:gridCol w:w="990"/>
        <w:gridCol w:w="990"/>
        <w:gridCol w:w="990"/>
        <w:gridCol w:w="900"/>
        <w:gridCol w:w="900"/>
        <w:gridCol w:w="1080"/>
      </w:tblGrid>
      <w:tr w:rsidR="00A22889" w:rsidRPr="00A22889" w14:paraId="463BA671" w14:textId="77777777" w:rsidTr="00EF27E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val="restart"/>
            <w:tcBorders>
              <w:top w:val="none" w:sz="0" w:space="0" w:color="auto"/>
              <w:left w:val="none" w:sz="0" w:space="0" w:color="auto"/>
              <w:bottom w:val="none" w:sz="0" w:space="0" w:color="auto"/>
              <w:right w:val="none" w:sz="0" w:space="0" w:color="auto"/>
            </w:tcBorders>
            <w:vAlign w:val="center"/>
          </w:tcPr>
          <w:p w14:paraId="3944E95E" w14:textId="77777777" w:rsidR="00A22889" w:rsidRPr="00A22889" w:rsidRDefault="00A22889" w:rsidP="00AD6497">
            <w:pPr>
              <w:tabs>
                <w:tab w:val="left" w:pos="1530"/>
              </w:tabs>
              <w:ind w:right="112"/>
              <w:jc w:val="both"/>
              <w:rPr>
                <w:rFonts w:asciiTheme="minorBidi" w:hAnsiTheme="minorBidi"/>
                <w:color w:val="000000"/>
                <w:sz w:val="20"/>
                <w:szCs w:val="20"/>
                <w:lang w:val="en-GB"/>
              </w:rPr>
            </w:pPr>
            <w:r w:rsidRPr="00A22889">
              <w:rPr>
                <w:rFonts w:asciiTheme="minorBidi" w:hAnsiTheme="minorBidi"/>
                <w:color w:val="000000"/>
                <w:sz w:val="20"/>
                <w:szCs w:val="20"/>
                <w:lang w:val="en-GB"/>
              </w:rPr>
              <w:t>Parameters</w:t>
            </w:r>
          </w:p>
        </w:tc>
        <w:tc>
          <w:tcPr>
            <w:tcW w:w="4860" w:type="dxa"/>
            <w:gridSpan w:val="5"/>
            <w:tcBorders>
              <w:top w:val="none" w:sz="0" w:space="0" w:color="auto"/>
              <w:left w:val="none" w:sz="0" w:space="0" w:color="auto"/>
              <w:bottom w:val="none" w:sz="0" w:space="0" w:color="auto"/>
              <w:right w:val="none" w:sz="0" w:space="0" w:color="auto"/>
            </w:tcBorders>
            <w:vAlign w:val="center"/>
          </w:tcPr>
          <w:p w14:paraId="23B98CD3" w14:textId="77777777" w:rsidR="00A22889" w:rsidRPr="00A22889" w:rsidRDefault="00A22889"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Treatments</w:t>
            </w:r>
          </w:p>
        </w:tc>
        <w:tc>
          <w:tcPr>
            <w:tcW w:w="900" w:type="dxa"/>
            <w:vMerge w:val="restart"/>
            <w:tcBorders>
              <w:top w:val="none" w:sz="0" w:space="0" w:color="auto"/>
              <w:left w:val="none" w:sz="0" w:space="0" w:color="auto"/>
              <w:bottom w:val="none" w:sz="0" w:space="0" w:color="auto"/>
              <w:right w:val="none" w:sz="0" w:space="0" w:color="auto"/>
            </w:tcBorders>
            <w:vAlign w:val="center"/>
          </w:tcPr>
          <w:p w14:paraId="205C2DAE" w14:textId="77777777" w:rsidR="00A22889" w:rsidRPr="00A22889" w:rsidRDefault="00A22889"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SEM</w:t>
            </w:r>
          </w:p>
        </w:tc>
        <w:tc>
          <w:tcPr>
            <w:tcW w:w="1080" w:type="dxa"/>
            <w:vMerge w:val="restart"/>
            <w:tcBorders>
              <w:top w:val="none" w:sz="0" w:space="0" w:color="auto"/>
              <w:left w:val="none" w:sz="0" w:space="0" w:color="auto"/>
              <w:bottom w:val="none" w:sz="0" w:space="0" w:color="auto"/>
              <w:right w:val="none" w:sz="0" w:space="0" w:color="auto"/>
            </w:tcBorders>
            <w:vAlign w:val="center"/>
          </w:tcPr>
          <w:p w14:paraId="0B513A71" w14:textId="5AEA6E0E" w:rsidR="00A22889" w:rsidRPr="00A22889" w:rsidRDefault="00A22889"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i/>
                <w:iCs/>
                <w:color w:val="000000"/>
                <w:sz w:val="20"/>
                <w:szCs w:val="20"/>
              </w:rPr>
              <w:t>P</w:t>
            </w:r>
            <w:r w:rsidRPr="00A22889">
              <w:rPr>
                <w:rFonts w:asciiTheme="minorBidi" w:hAnsiTheme="minorBidi"/>
                <w:color w:val="000000"/>
                <w:sz w:val="20"/>
                <w:szCs w:val="20"/>
              </w:rPr>
              <w:t xml:space="preserve"> </w:t>
            </w:r>
          </w:p>
        </w:tc>
      </w:tr>
      <w:tr w:rsidR="00A22889" w:rsidRPr="00A22889" w14:paraId="24BA0D28"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tcBorders>
              <w:bottom w:val="single" w:sz="4" w:space="0" w:color="auto"/>
            </w:tcBorders>
            <w:shd w:val="clear" w:color="auto" w:fill="auto"/>
          </w:tcPr>
          <w:p w14:paraId="796D0906" w14:textId="77777777" w:rsidR="00A22889" w:rsidRPr="00A22889" w:rsidRDefault="00A22889" w:rsidP="00AD6497">
            <w:pPr>
              <w:tabs>
                <w:tab w:val="left" w:pos="1530"/>
              </w:tabs>
              <w:ind w:right="112"/>
              <w:jc w:val="both"/>
              <w:rPr>
                <w:rFonts w:asciiTheme="minorBidi" w:hAnsiTheme="minorBidi"/>
                <w:b w:val="0"/>
                <w:bCs w:val="0"/>
                <w:color w:val="000000"/>
                <w:sz w:val="20"/>
                <w:szCs w:val="20"/>
              </w:rPr>
            </w:pPr>
          </w:p>
        </w:tc>
        <w:tc>
          <w:tcPr>
            <w:tcW w:w="990" w:type="dxa"/>
            <w:tcBorders>
              <w:bottom w:val="single" w:sz="4" w:space="0" w:color="auto"/>
            </w:tcBorders>
            <w:shd w:val="clear" w:color="auto" w:fill="auto"/>
            <w:vAlign w:val="center"/>
          </w:tcPr>
          <w:p w14:paraId="6700326C"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A22889">
              <w:rPr>
                <w:rFonts w:asciiTheme="minorBidi" w:hAnsiTheme="minorBidi"/>
                <w:b/>
                <w:bCs/>
                <w:color w:val="000000"/>
                <w:sz w:val="20"/>
                <w:szCs w:val="20"/>
              </w:rPr>
              <w:t>ROD</w:t>
            </w:r>
          </w:p>
        </w:tc>
        <w:tc>
          <w:tcPr>
            <w:tcW w:w="990" w:type="dxa"/>
            <w:tcBorders>
              <w:bottom w:val="single" w:sz="4" w:space="0" w:color="auto"/>
            </w:tcBorders>
            <w:shd w:val="clear" w:color="auto" w:fill="auto"/>
            <w:vAlign w:val="center"/>
          </w:tcPr>
          <w:p w14:paraId="0D9B5432"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A22889">
              <w:rPr>
                <w:rFonts w:asciiTheme="minorBidi" w:hAnsiTheme="minorBidi"/>
                <w:b/>
                <w:bCs/>
                <w:color w:val="000000"/>
                <w:sz w:val="20"/>
                <w:szCs w:val="20"/>
              </w:rPr>
              <w:t>+4OD</w:t>
            </w:r>
          </w:p>
        </w:tc>
        <w:tc>
          <w:tcPr>
            <w:tcW w:w="990" w:type="dxa"/>
            <w:tcBorders>
              <w:bottom w:val="single" w:sz="4" w:space="0" w:color="auto"/>
            </w:tcBorders>
            <w:shd w:val="clear" w:color="auto" w:fill="auto"/>
            <w:vAlign w:val="center"/>
          </w:tcPr>
          <w:p w14:paraId="1AF9B86A"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A22889">
              <w:rPr>
                <w:rFonts w:asciiTheme="minorBidi" w:hAnsiTheme="minorBidi"/>
                <w:b/>
                <w:bCs/>
                <w:color w:val="000000"/>
                <w:sz w:val="20"/>
                <w:szCs w:val="20"/>
              </w:rPr>
              <w:t>+4TD</w:t>
            </w:r>
          </w:p>
        </w:tc>
        <w:tc>
          <w:tcPr>
            <w:tcW w:w="990" w:type="dxa"/>
            <w:tcBorders>
              <w:bottom w:val="single" w:sz="4" w:space="0" w:color="auto"/>
            </w:tcBorders>
            <w:shd w:val="clear" w:color="auto" w:fill="auto"/>
            <w:vAlign w:val="center"/>
          </w:tcPr>
          <w:p w14:paraId="79248176"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A22889">
              <w:rPr>
                <w:rFonts w:asciiTheme="minorBidi" w:hAnsiTheme="minorBidi"/>
                <w:b/>
                <w:bCs/>
                <w:sz w:val="20"/>
                <w:szCs w:val="20"/>
              </w:rPr>
              <w:t>-</w:t>
            </w:r>
            <w:r w:rsidRPr="00A22889">
              <w:rPr>
                <w:rFonts w:asciiTheme="minorBidi" w:hAnsiTheme="minorBidi"/>
                <w:b/>
                <w:bCs/>
                <w:color w:val="000000"/>
                <w:sz w:val="20"/>
                <w:szCs w:val="20"/>
              </w:rPr>
              <w:t>18OD</w:t>
            </w:r>
          </w:p>
        </w:tc>
        <w:tc>
          <w:tcPr>
            <w:tcW w:w="900" w:type="dxa"/>
            <w:tcBorders>
              <w:bottom w:val="single" w:sz="4" w:space="0" w:color="auto"/>
            </w:tcBorders>
            <w:shd w:val="clear" w:color="auto" w:fill="auto"/>
            <w:vAlign w:val="center"/>
          </w:tcPr>
          <w:p w14:paraId="08878C99"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A22889">
              <w:rPr>
                <w:rFonts w:asciiTheme="minorBidi" w:hAnsiTheme="minorBidi"/>
                <w:b/>
                <w:bCs/>
                <w:sz w:val="20"/>
                <w:szCs w:val="20"/>
              </w:rPr>
              <w:t>-</w:t>
            </w:r>
            <w:r w:rsidRPr="00A22889">
              <w:rPr>
                <w:rFonts w:asciiTheme="minorBidi" w:hAnsiTheme="minorBidi"/>
                <w:b/>
                <w:bCs/>
                <w:color w:val="000000"/>
                <w:sz w:val="20"/>
                <w:szCs w:val="20"/>
              </w:rPr>
              <w:t>18TD</w:t>
            </w:r>
          </w:p>
        </w:tc>
        <w:tc>
          <w:tcPr>
            <w:tcW w:w="900" w:type="dxa"/>
            <w:vMerge/>
            <w:tcBorders>
              <w:bottom w:val="single" w:sz="4" w:space="0" w:color="auto"/>
            </w:tcBorders>
            <w:vAlign w:val="center"/>
          </w:tcPr>
          <w:p w14:paraId="53297F74"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c>
          <w:tcPr>
            <w:tcW w:w="1080" w:type="dxa"/>
            <w:vMerge/>
            <w:tcBorders>
              <w:bottom w:val="single" w:sz="4" w:space="0" w:color="auto"/>
            </w:tcBorders>
            <w:shd w:val="clear" w:color="auto" w:fill="auto"/>
            <w:vAlign w:val="center"/>
          </w:tcPr>
          <w:p w14:paraId="7A0B75FB"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r>
      <w:tr w:rsidR="00A22889" w:rsidRPr="00A22889" w14:paraId="236E2379"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bottom w:val="nil"/>
            </w:tcBorders>
            <w:vAlign w:val="center"/>
          </w:tcPr>
          <w:p w14:paraId="10976B76" w14:textId="69A94E5F" w:rsidR="00A22889" w:rsidRPr="00A22889" w:rsidRDefault="00A22889" w:rsidP="00E77AEA">
            <w:pPr>
              <w:ind w:right="112" w:firstLine="180"/>
              <w:rPr>
                <w:rFonts w:asciiTheme="minorBidi" w:hAnsiTheme="minorBidi"/>
                <w:b w:val="0"/>
                <w:bCs w:val="0"/>
                <w:color w:val="000000"/>
                <w:sz w:val="20"/>
                <w:szCs w:val="20"/>
              </w:rPr>
            </w:pPr>
            <w:r w:rsidRPr="00A22889">
              <w:rPr>
                <w:rFonts w:asciiTheme="minorBidi" w:hAnsiTheme="minorBidi"/>
                <w:b w:val="0"/>
                <w:bCs w:val="0"/>
                <w:sz w:val="20"/>
                <w:szCs w:val="20"/>
              </w:rPr>
              <w:t>ME</w:t>
            </w:r>
          </w:p>
        </w:tc>
        <w:tc>
          <w:tcPr>
            <w:tcW w:w="990" w:type="dxa"/>
            <w:tcBorders>
              <w:bottom w:val="nil"/>
            </w:tcBorders>
            <w:vAlign w:val="center"/>
          </w:tcPr>
          <w:p w14:paraId="1C023CA0"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9.86</w:t>
            </w:r>
          </w:p>
        </w:tc>
        <w:tc>
          <w:tcPr>
            <w:tcW w:w="990" w:type="dxa"/>
            <w:tcBorders>
              <w:bottom w:val="nil"/>
            </w:tcBorders>
            <w:vAlign w:val="center"/>
          </w:tcPr>
          <w:p w14:paraId="1CDC86CA"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9.89</w:t>
            </w:r>
          </w:p>
        </w:tc>
        <w:tc>
          <w:tcPr>
            <w:tcW w:w="990" w:type="dxa"/>
            <w:tcBorders>
              <w:bottom w:val="nil"/>
            </w:tcBorders>
            <w:vAlign w:val="center"/>
          </w:tcPr>
          <w:p w14:paraId="532BC3DB"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9.54</w:t>
            </w:r>
          </w:p>
        </w:tc>
        <w:tc>
          <w:tcPr>
            <w:tcW w:w="990" w:type="dxa"/>
            <w:tcBorders>
              <w:bottom w:val="nil"/>
            </w:tcBorders>
            <w:vAlign w:val="center"/>
          </w:tcPr>
          <w:p w14:paraId="5105858B"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9.66</w:t>
            </w:r>
          </w:p>
        </w:tc>
        <w:tc>
          <w:tcPr>
            <w:tcW w:w="900" w:type="dxa"/>
            <w:tcBorders>
              <w:bottom w:val="nil"/>
            </w:tcBorders>
            <w:vAlign w:val="center"/>
          </w:tcPr>
          <w:p w14:paraId="5BE10F4B"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9.71</w:t>
            </w:r>
          </w:p>
        </w:tc>
        <w:tc>
          <w:tcPr>
            <w:tcW w:w="900" w:type="dxa"/>
            <w:tcBorders>
              <w:bottom w:val="nil"/>
            </w:tcBorders>
            <w:vAlign w:val="center"/>
          </w:tcPr>
          <w:p w14:paraId="64149C5E"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0.035</w:t>
            </w:r>
          </w:p>
        </w:tc>
        <w:tc>
          <w:tcPr>
            <w:tcW w:w="1080" w:type="dxa"/>
            <w:tcBorders>
              <w:bottom w:val="nil"/>
            </w:tcBorders>
            <w:vAlign w:val="center"/>
          </w:tcPr>
          <w:p w14:paraId="05BFA01D" w14:textId="128D43C0"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.285</w:t>
            </w:r>
          </w:p>
        </w:tc>
      </w:tr>
      <w:tr w:rsidR="00A22889" w:rsidRPr="00A22889" w14:paraId="01FE043F"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53538F81" w14:textId="6D078DC8" w:rsidR="00A22889" w:rsidRPr="00A22889" w:rsidRDefault="00A22889" w:rsidP="00E77AEA">
            <w:pPr>
              <w:ind w:right="112" w:firstLine="180"/>
              <w:rPr>
                <w:rFonts w:asciiTheme="minorBidi" w:hAnsiTheme="minorBidi"/>
                <w:b w:val="0"/>
                <w:bCs w:val="0"/>
                <w:color w:val="000000"/>
                <w:sz w:val="20"/>
                <w:szCs w:val="20"/>
              </w:rPr>
            </w:pPr>
            <w:r w:rsidRPr="00A22889">
              <w:rPr>
                <w:rFonts w:asciiTheme="minorBidi" w:hAnsiTheme="minorBidi"/>
                <w:b w:val="0"/>
                <w:bCs w:val="0"/>
                <w:sz w:val="20"/>
                <w:szCs w:val="20"/>
              </w:rPr>
              <w:t>NE</w:t>
            </w:r>
          </w:p>
        </w:tc>
        <w:tc>
          <w:tcPr>
            <w:tcW w:w="990" w:type="dxa"/>
            <w:tcBorders>
              <w:top w:val="nil"/>
              <w:bottom w:val="nil"/>
            </w:tcBorders>
            <w:shd w:val="clear" w:color="auto" w:fill="auto"/>
            <w:vAlign w:val="center"/>
          </w:tcPr>
          <w:p w14:paraId="47B52AB2"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6.53</w:t>
            </w:r>
          </w:p>
        </w:tc>
        <w:tc>
          <w:tcPr>
            <w:tcW w:w="990" w:type="dxa"/>
            <w:tcBorders>
              <w:top w:val="nil"/>
              <w:bottom w:val="nil"/>
            </w:tcBorders>
            <w:shd w:val="clear" w:color="auto" w:fill="auto"/>
            <w:vAlign w:val="center"/>
          </w:tcPr>
          <w:p w14:paraId="0C33B88C"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6.57</w:t>
            </w:r>
          </w:p>
        </w:tc>
        <w:tc>
          <w:tcPr>
            <w:tcW w:w="990" w:type="dxa"/>
            <w:tcBorders>
              <w:top w:val="nil"/>
              <w:bottom w:val="nil"/>
            </w:tcBorders>
            <w:shd w:val="clear" w:color="auto" w:fill="auto"/>
            <w:vAlign w:val="center"/>
          </w:tcPr>
          <w:p w14:paraId="373B8A15"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6.18</w:t>
            </w:r>
          </w:p>
        </w:tc>
        <w:tc>
          <w:tcPr>
            <w:tcW w:w="990" w:type="dxa"/>
            <w:tcBorders>
              <w:top w:val="nil"/>
              <w:bottom w:val="nil"/>
            </w:tcBorders>
            <w:shd w:val="clear" w:color="auto" w:fill="auto"/>
            <w:vAlign w:val="center"/>
          </w:tcPr>
          <w:p w14:paraId="022D1C74"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6.31</w:t>
            </w:r>
          </w:p>
        </w:tc>
        <w:tc>
          <w:tcPr>
            <w:tcW w:w="900" w:type="dxa"/>
            <w:tcBorders>
              <w:top w:val="nil"/>
              <w:bottom w:val="nil"/>
            </w:tcBorders>
            <w:shd w:val="clear" w:color="auto" w:fill="auto"/>
            <w:vAlign w:val="center"/>
          </w:tcPr>
          <w:p w14:paraId="17A932EF"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6.37</w:t>
            </w:r>
          </w:p>
        </w:tc>
        <w:tc>
          <w:tcPr>
            <w:tcW w:w="900" w:type="dxa"/>
            <w:tcBorders>
              <w:top w:val="nil"/>
              <w:bottom w:val="nil"/>
            </w:tcBorders>
            <w:shd w:val="clear" w:color="auto" w:fill="auto"/>
            <w:vAlign w:val="center"/>
          </w:tcPr>
          <w:p w14:paraId="5113B56B"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0.039</w:t>
            </w:r>
          </w:p>
        </w:tc>
        <w:tc>
          <w:tcPr>
            <w:tcW w:w="1080" w:type="dxa"/>
            <w:tcBorders>
              <w:top w:val="nil"/>
              <w:bottom w:val="nil"/>
            </w:tcBorders>
            <w:shd w:val="clear" w:color="auto" w:fill="auto"/>
            <w:vAlign w:val="center"/>
          </w:tcPr>
          <w:p w14:paraId="7C23BC5C" w14:textId="787E8631"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.125</w:t>
            </w:r>
          </w:p>
        </w:tc>
      </w:tr>
      <w:tr w:rsidR="00A22889" w:rsidRPr="00A22889" w14:paraId="326AF9B0"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08F58AE1" w14:textId="38022F80" w:rsidR="00A22889" w:rsidRPr="00A22889" w:rsidRDefault="00A22889" w:rsidP="00E77AEA">
            <w:pPr>
              <w:ind w:right="112" w:firstLine="180"/>
              <w:rPr>
                <w:rFonts w:asciiTheme="minorBidi" w:hAnsiTheme="minorBidi"/>
                <w:b w:val="0"/>
                <w:bCs w:val="0"/>
                <w:color w:val="000000"/>
                <w:sz w:val="20"/>
                <w:szCs w:val="20"/>
              </w:rPr>
            </w:pPr>
            <w:r w:rsidRPr="00A22889">
              <w:rPr>
                <w:rFonts w:asciiTheme="minorBidi" w:hAnsiTheme="minorBidi"/>
                <w:b w:val="0"/>
                <w:bCs w:val="0"/>
                <w:sz w:val="20"/>
                <w:szCs w:val="20"/>
              </w:rPr>
              <w:t>NE</w:t>
            </w:r>
            <w:r w:rsidRPr="00A22889">
              <w:rPr>
                <w:rFonts w:asciiTheme="minorBidi" w:hAnsiTheme="minorBidi"/>
                <w:b w:val="0"/>
                <w:bCs w:val="0"/>
                <w:sz w:val="20"/>
                <w:szCs w:val="20"/>
                <w:vertAlign w:val="subscript"/>
              </w:rPr>
              <w:t>L</w:t>
            </w:r>
          </w:p>
        </w:tc>
        <w:tc>
          <w:tcPr>
            <w:tcW w:w="990" w:type="dxa"/>
            <w:tcBorders>
              <w:top w:val="nil"/>
              <w:bottom w:val="nil"/>
            </w:tcBorders>
            <w:vAlign w:val="center"/>
          </w:tcPr>
          <w:p w14:paraId="4EDD90BD"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4.67</w:t>
            </w:r>
          </w:p>
        </w:tc>
        <w:tc>
          <w:tcPr>
            <w:tcW w:w="990" w:type="dxa"/>
            <w:tcBorders>
              <w:top w:val="nil"/>
              <w:bottom w:val="nil"/>
            </w:tcBorders>
            <w:vAlign w:val="center"/>
          </w:tcPr>
          <w:p w14:paraId="25067992"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4.67</w:t>
            </w:r>
          </w:p>
        </w:tc>
        <w:tc>
          <w:tcPr>
            <w:tcW w:w="990" w:type="dxa"/>
            <w:tcBorders>
              <w:top w:val="nil"/>
              <w:bottom w:val="nil"/>
            </w:tcBorders>
            <w:vAlign w:val="center"/>
          </w:tcPr>
          <w:p w14:paraId="04729535"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4.71</w:t>
            </w:r>
          </w:p>
        </w:tc>
        <w:tc>
          <w:tcPr>
            <w:tcW w:w="990" w:type="dxa"/>
            <w:tcBorders>
              <w:top w:val="nil"/>
              <w:bottom w:val="nil"/>
            </w:tcBorders>
            <w:vAlign w:val="center"/>
          </w:tcPr>
          <w:p w14:paraId="3AD2CA73"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4.69</w:t>
            </w:r>
          </w:p>
        </w:tc>
        <w:tc>
          <w:tcPr>
            <w:tcW w:w="900" w:type="dxa"/>
            <w:tcBorders>
              <w:top w:val="nil"/>
              <w:bottom w:val="nil"/>
            </w:tcBorders>
            <w:vAlign w:val="center"/>
          </w:tcPr>
          <w:p w14:paraId="43AD8075"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4.70</w:t>
            </w:r>
          </w:p>
        </w:tc>
        <w:tc>
          <w:tcPr>
            <w:tcW w:w="900" w:type="dxa"/>
            <w:tcBorders>
              <w:top w:val="nil"/>
              <w:bottom w:val="nil"/>
            </w:tcBorders>
            <w:vAlign w:val="center"/>
          </w:tcPr>
          <w:p w14:paraId="7225EACF" w14:textId="77777777"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0.004</w:t>
            </w:r>
          </w:p>
        </w:tc>
        <w:tc>
          <w:tcPr>
            <w:tcW w:w="1080" w:type="dxa"/>
            <w:tcBorders>
              <w:top w:val="nil"/>
              <w:bottom w:val="nil"/>
            </w:tcBorders>
            <w:vAlign w:val="center"/>
          </w:tcPr>
          <w:p w14:paraId="33ADED07" w14:textId="68BD71AA" w:rsidR="00A22889" w:rsidRPr="00A22889"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000000"/>
                <w:sz w:val="20"/>
                <w:szCs w:val="20"/>
              </w:rPr>
              <w:t>.103</w:t>
            </w:r>
          </w:p>
        </w:tc>
      </w:tr>
      <w:tr w:rsidR="00A22889" w:rsidRPr="00A22889" w14:paraId="03748366"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tcBorders>
            <w:shd w:val="clear" w:color="auto" w:fill="auto"/>
            <w:vAlign w:val="center"/>
          </w:tcPr>
          <w:p w14:paraId="4CF9AE1A" w14:textId="64F1166C" w:rsidR="00A22889" w:rsidRPr="00A22889" w:rsidRDefault="00A22889" w:rsidP="00E77AEA">
            <w:pPr>
              <w:ind w:right="112" w:firstLine="180"/>
              <w:rPr>
                <w:rFonts w:asciiTheme="minorBidi" w:hAnsiTheme="minorBidi"/>
                <w:sz w:val="20"/>
                <w:szCs w:val="20"/>
              </w:rPr>
            </w:pPr>
            <w:r w:rsidRPr="00A22889">
              <w:rPr>
                <w:rFonts w:asciiTheme="minorBidi" w:hAnsiTheme="minorBidi"/>
                <w:b w:val="0"/>
                <w:bCs w:val="0"/>
                <w:color w:val="auto"/>
                <w:sz w:val="20"/>
                <w:szCs w:val="20"/>
              </w:rPr>
              <w:t>IVTD</w:t>
            </w:r>
          </w:p>
        </w:tc>
        <w:tc>
          <w:tcPr>
            <w:tcW w:w="990" w:type="dxa"/>
            <w:tcBorders>
              <w:top w:val="nil"/>
            </w:tcBorders>
            <w:shd w:val="clear" w:color="auto" w:fill="auto"/>
            <w:vAlign w:val="center"/>
          </w:tcPr>
          <w:p w14:paraId="2198FB22"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auto"/>
                <w:sz w:val="20"/>
                <w:szCs w:val="20"/>
              </w:rPr>
              <w:t>66.08</w:t>
            </w:r>
            <w:r w:rsidRPr="00A22889">
              <w:rPr>
                <w:rFonts w:asciiTheme="minorBidi" w:hAnsiTheme="minorBidi"/>
                <w:color w:val="auto"/>
                <w:sz w:val="20"/>
                <w:szCs w:val="20"/>
                <w:vertAlign w:val="superscript"/>
              </w:rPr>
              <w:t>a</w:t>
            </w:r>
          </w:p>
        </w:tc>
        <w:tc>
          <w:tcPr>
            <w:tcW w:w="990" w:type="dxa"/>
            <w:tcBorders>
              <w:top w:val="nil"/>
            </w:tcBorders>
            <w:shd w:val="clear" w:color="auto" w:fill="auto"/>
            <w:vAlign w:val="center"/>
          </w:tcPr>
          <w:p w14:paraId="04E6F91C"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auto"/>
                <w:sz w:val="20"/>
                <w:szCs w:val="20"/>
              </w:rPr>
              <w:t>65.53</w:t>
            </w:r>
            <w:r w:rsidRPr="00A22889">
              <w:rPr>
                <w:rFonts w:asciiTheme="minorBidi" w:hAnsiTheme="minorBidi"/>
                <w:color w:val="auto"/>
                <w:sz w:val="20"/>
                <w:szCs w:val="20"/>
                <w:vertAlign w:val="superscript"/>
              </w:rPr>
              <w:t>b</w:t>
            </w:r>
          </w:p>
        </w:tc>
        <w:tc>
          <w:tcPr>
            <w:tcW w:w="990" w:type="dxa"/>
            <w:tcBorders>
              <w:top w:val="nil"/>
            </w:tcBorders>
            <w:shd w:val="clear" w:color="auto" w:fill="auto"/>
            <w:vAlign w:val="center"/>
          </w:tcPr>
          <w:p w14:paraId="2BEF4BAA"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auto"/>
                <w:sz w:val="20"/>
                <w:szCs w:val="20"/>
              </w:rPr>
              <w:t>62.76</w:t>
            </w:r>
            <w:r w:rsidRPr="00A22889">
              <w:rPr>
                <w:rFonts w:asciiTheme="minorBidi" w:hAnsiTheme="minorBidi"/>
                <w:color w:val="auto"/>
                <w:sz w:val="20"/>
                <w:szCs w:val="20"/>
                <w:vertAlign w:val="superscript"/>
              </w:rPr>
              <w:t>d</w:t>
            </w:r>
          </w:p>
        </w:tc>
        <w:tc>
          <w:tcPr>
            <w:tcW w:w="990" w:type="dxa"/>
            <w:tcBorders>
              <w:top w:val="nil"/>
            </w:tcBorders>
            <w:shd w:val="clear" w:color="auto" w:fill="auto"/>
            <w:vAlign w:val="center"/>
          </w:tcPr>
          <w:p w14:paraId="16367DD8"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auto"/>
                <w:sz w:val="20"/>
                <w:szCs w:val="20"/>
              </w:rPr>
              <w:t>63.74</w:t>
            </w:r>
            <w:r w:rsidRPr="00A22889">
              <w:rPr>
                <w:rFonts w:asciiTheme="minorBidi" w:hAnsiTheme="minorBidi"/>
                <w:color w:val="auto"/>
                <w:sz w:val="20"/>
                <w:szCs w:val="20"/>
                <w:vertAlign w:val="superscript"/>
              </w:rPr>
              <w:t>c</w:t>
            </w:r>
          </w:p>
        </w:tc>
        <w:tc>
          <w:tcPr>
            <w:tcW w:w="900" w:type="dxa"/>
            <w:tcBorders>
              <w:top w:val="nil"/>
            </w:tcBorders>
            <w:shd w:val="clear" w:color="auto" w:fill="auto"/>
            <w:vAlign w:val="center"/>
          </w:tcPr>
          <w:p w14:paraId="43868D14"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auto"/>
                <w:sz w:val="20"/>
                <w:szCs w:val="20"/>
              </w:rPr>
              <w:t>64.11</w:t>
            </w:r>
            <w:r w:rsidRPr="00A22889">
              <w:rPr>
                <w:rFonts w:asciiTheme="minorBidi" w:hAnsiTheme="minorBidi"/>
                <w:color w:val="auto"/>
                <w:sz w:val="20"/>
                <w:szCs w:val="20"/>
                <w:vertAlign w:val="superscript"/>
              </w:rPr>
              <w:t>c</w:t>
            </w:r>
          </w:p>
        </w:tc>
        <w:tc>
          <w:tcPr>
            <w:tcW w:w="900" w:type="dxa"/>
            <w:tcBorders>
              <w:top w:val="nil"/>
            </w:tcBorders>
            <w:shd w:val="clear" w:color="auto" w:fill="auto"/>
            <w:vAlign w:val="center"/>
          </w:tcPr>
          <w:p w14:paraId="1BDF084B" w14:textId="77777777"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auto"/>
                <w:sz w:val="20"/>
                <w:szCs w:val="20"/>
              </w:rPr>
              <w:t>0.325</w:t>
            </w:r>
          </w:p>
        </w:tc>
        <w:tc>
          <w:tcPr>
            <w:tcW w:w="1080" w:type="dxa"/>
            <w:tcBorders>
              <w:top w:val="nil"/>
            </w:tcBorders>
            <w:shd w:val="clear" w:color="auto" w:fill="auto"/>
            <w:vAlign w:val="center"/>
          </w:tcPr>
          <w:p w14:paraId="564DD86C" w14:textId="6771C51D" w:rsidR="00A22889" w:rsidRPr="00A22889"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A22889">
              <w:rPr>
                <w:rFonts w:asciiTheme="minorBidi" w:hAnsiTheme="minorBidi"/>
                <w:color w:val="auto"/>
                <w:sz w:val="20"/>
                <w:szCs w:val="20"/>
              </w:rPr>
              <w:t>.001</w:t>
            </w:r>
          </w:p>
        </w:tc>
      </w:tr>
    </w:tbl>
    <w:p w14:paraId="3FF100A4" w14:textId="4A6750CA" w:rsidR="00896E1F" w:rsidRPr="00A44BEA" w:rsidRDefault="00A22889" w:rsidP="00A44BEA">
      <w:pPr>
        <w:pStyle w:val="BodyText3"/>
        <w:tabs>
          <w:tab w:val="left" w:pos="0"/>
        </w:tabs>
        <w:spacing w:after="0"/>
        <w:jc w:val="both"/>
        <w:rPr>
          <w:rFonts w:ascii="Arial" w:hAnsi="Arial"/>
          <w:bCs/>
          <w:i/>
          <w:sz w:val="18"/>
        </w:rPr>
      </w:pPr>
      <w:r w:rsidRPr="00A44BEA">
        <w:rPr>
          <w:rFonts w:ascii="Arial" w:hAnsi="Arial"/>
          <w:bCs/>
          <w:i/>
          <w:sz w:val="18"/>
        </w:rPr>
        <w:t>ROD: seeds were soaked and left at room temperature for one day, +4OD: seeds were soaked and refrigerated at +4 °C for one day, +4TD: seeds were soaked and refrigerated at +4 °C for three days,</w:t>
      </w:r>
      <w:r w:rsidR="002C09B9">
        <w:rPr>
          <w:rFonts w:ascii="Arial" w:hAnsi="Arial"/>
          <w:bCs/>
          <w:i/>
          <w:sz w:val="18"/>
        </w:rPr>
        <w:t xml:space="preserve">  </w:t>
      </w:r>
      <w:r w:rsidRPr="00A44BEA">
        <w:rPr>
          <w:rFonts w:ascii="Arial" w:hAnsi="Arial"/>
          <w:bCs/>
          <w:i/>
          <w:sz w:val="18"/>
        </w:rPr>
        <w:t xml:space="preserve"> -18OD: seeds were soaked and frozen at -18 °C for one day, -18TD: seeds were soaked and frozen at -18 °C for three days, ME: metabolizable energy, NE: net energy, NEL: net energy lactation, IVTD: in vitro true digestibility, SEM: standard error of the mean. </w:t>
      </w:r>
      <w:proofErr w:type="spellStart"/>
      <w:r w:rsidRPr="00A44BEA">
        <w:rPr>
          <w:rFonts w:ascii="Arial" w:hAnsi="Arial"/>
          <w:bCs/>
          <w:i/>
          <w:sz w:val="18"/>
        </w:rPr>
        <w:t>abc</w:t>
      </w:r>
      <w:proofErr w:type="spellEnd"/>
      <w:r w:rsidRPr="00A44BEA">
        <w:rPr>
          <w:rFonts w:ascii="Arial" w:hAnsi="Arial"/>
          <w:bCs/>
          <w:i/>
          <w:sz w:val="18"/>
        </w:rPr>
        <w:t>: means with different superscripts in the same row were significantly different (P</w:t>
      </w:r>
      <w:r w:rsidR="00A44BEA">
        <w:rPr>
          <w:rFonts w:ascii="Arial" w:hAnsi="Arial"/>
          <w:bCs/>
          <w:i/>
          <w:sz w:val="18"/>
        </w:rPr>
        <w:t xml:space="preserve"> </w:t>
      </w:r>
      <w:r w:rsidRPr="00A44BEA">
        <w:rPr>
          <w:rFonts w:ascii="Arial" w:hAnsi="Arial"/>
          <w:bCs/>
          <w:i/>
          <w:sz w:val="18"/>
        </w:rPr>
        <w:t>≤</w:t>
      </w:r>
      <w:r w:rsidR="00A44BEA">
        <w:rPr>
          <w:rFonts w:ascii="Arial" w:hAnsi="Arial"/>
          <w:bCs/>
          <w:i/>
          <w:sz w:val="18"/>
        </w:rPr>
        <w:t xml:space="preserve"> </w:t>
      </w:r>
      <w:r w:rsidRPr="00A44BEA">
        <w:rPr>
          <w:rFonts w:ascii="Arial" w:hAnsi="Arial"/>
          <w:bCs/>
          <w:i/>
          <w:sz w:val="18"/>
        </w:rPr>
        <w:t>.05).</w:t>
      </w:r>
    </w:p>
    <w:p w14:paraId="19D4191B" w14:textId="5318F260" w:rsidR="004C53D8" w:rsidRPr="00896E1F" w:rsidRDefault="004C53D8" w:rsidP="004C53D8">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4C53D8">
        <w:rPr>
          <w:rFonts w:ascii="Arial" w:hAnsi="Arial" w:cs="Arial"/>
          <w:b/>
          <w:sz w:val="22"/>
        </w:rPr>
        <w:t>Relative Feed Value and Relative Forage Quality</w:t>
      </w:r>
      <w:r w:rsidRPr="00C30A0F">
        <w:rPr>
          <w:rFonts w:ascii="Arial" w:hAnsi="Arial" w:cs="Arial"/>
          <w:b/>
          <w:sz w:val="22"/>
        </w:rPr>
        <w:t xml:space="preserve"> </w:t>
      </w:r>
    </w:p>
    <w:p w14:paraId="4FC88839" w14:textId="1564D15E" w:rsidR="008B5C4B" w:rsidRPr="008B5C4B" w:rsidRDefault="008B5C4B" w:rsidP="008B5C4B">
      <w:pPr>
        <w:pStyle w:val="Body"/>
        <w:spacing w:after="120"/>
        <w:rPr>
          <w:rFonts w:ascii="Arial" w:hAnsi="Arial" w:cs="Arial"/>
        </w:rPr>
      </w:pPr>
      <w:r w:rsidRPr="008B5C4B">
        <w:rPr>
          <w:rFonts w:ascii="Arial" w:hAnsi="Arial" w:cs="Arial"/>
        </w:rPr>
        <w:t>The seed-moistening treatments significantly influenced DMD, RFV, and RFQ (</w:t>
      </w:r>
      <w:r w:rsidRPr="008B5C4B">
        <w:rPr>
          <w:rFonts w:ascii="Arial" w:hAnsi="Arial" w:cs="Arial"/>
          <w:i/>
          <w:iCs/>
        </w:rPr>
        <w:t>P</w:t>
      </w:r>
      <w:r w:rsidRPr="008B5C4B">
        <w:rPr>
          <w:rFonts w:ascii="Arial" w:hAnsi="Arial" w:cs="Arial"/>
        </w:rPr>
        <w:t xml:space="preserve"> &lt; .05), while DMI and TDN values did not differ significantly (</w:t>
      </w:r>
      <w:r w:rsidRPr="008B5C4B">
        <w:rPr>
          <w:rFonts w:ascii="Arial" w:hAnsi="Arial" w:cs="Arial"/>
          <w:i/>
          <w:iCs/>
        </w:rPr>
        <w:t>P</w:t>
      </w:r>
      <w:r w:rsidRPr="008B5C4B">
        <w:rPr>
          <w:rFonts w:ascii="Arial" w:hAnsi="Arial" w:cs="Arial"/>
        </w:rPr>
        <w:t xml:space="preserve"> &gt; .05, Table 5). The highest DMD, RFV, and RFQ values were observed in +4OD and ROD, while +4TD had the lowest values. These results are consistent with findings on IVTD and fiber composition. Short duration moistening at room temperature or mild cold preserved forage digestibility and quality. </w:t>
      </w:r>
    </w:p>
    <w:p w14:paraId="51037F2E" w14:textId="669A7203" w:rsidR="00896E1F" w:rsidRPr="00281AA8" w:rsidRDefault="008B5C4B" w:rsidP="008B5C4B">
      <w:pPr>
        <w:pStyle w:val="Body"/>
        <w:spacing w:after="120"/>
        <w:rPr>
          <w:rFonts w:ascii="Arial" w:hAnsi="Arial" w:cs="Arial"/>
        </w:rPr>
      </w:pPr>
      <w:r w:rsidRPr="00281AA8">
        <w:rPr>
          <w:rFonts w:ascii="Arial" w:hAnsi="Arial" w:cs="Arial"/>
        </w:rPr>
        <w:t xml:space="preserve">The significantly lower DMD and forage quality indices in the +4TD treatment reflect the negative impact of prolonged cold exposure, which appears to increase lignification and structural fiber content (as seen in Table 3), thereby reducing digestibility and nutritional availability. Although freezing treatments (-18OD and -18TD) did not result in statistically inferior RFV or RFQ compared to +4TD, they still performed sub-optimally relative to ROD and +4OD. These results underscore that short duration moistening treatments at ambient temperature (ROD) or mild cold conditions (+4OD) are optimal strategies for producing high-quality barley green fodder in hydroponic systems, combining favorable forage yield, nutritive </w:t>
      </w:r>
      <w:r w:rsidRPr="00281AA8">
        <w:rPr>
          <w:rFonts w:ascii="Arial" w:hAnsi="Arial" w:cs="Arial"/>
        </w:rPr>
        <w:lastRenderedPageBreak/>
        <w:t xml:space="preserve">value, and digestibility. Relative feed value (RFV: 118.80–136.78) and relative forage quality (RFQ: 158.36–171.85) were within optimal ranges for livestock feeding and comparable to values associated with enhanced productivity in poultry and waterfowl, as reported by </w:t>
      </w:r>
      <w:proofErr w:type="spellStart"/>
      <w:r w:rsidR="00A26BD2" w:rsidRPr="00281AA8">
        <w:rPr>
          <w:rFonts w:ascii="Arial" w:hAnsi="Arial" w:cs="Arial"/>
        </w:rPr>
        <w:t>Khaziev</w:t>
      </w:r>
      <w:proofErr w:type="spellEnd"/>
      <w:r w:rsidR="00A26BD2" w:rsidRPr="00281AA8">
        <w:rPr>
          <w:rFonts w:ascii="Arial" w:hAnsi="Arial" w:cs="Arial"/>
        </w:rPr>
        <w:t xml:space="preserve"> et al. (2021) and </w:t>
      </w:r>
      <w:r w:rsidRPr="00281AA8">
        <w:rPr>
          <w:rFonts w:ascii="Arial" w:hAnsi="Arial" w:cs="Arial"/>
        </w:rPr>
        <w:t>Al-Kanaan (2022).</w:t>
      </w:r>
    </w:p>
    <w:p w14:paraId="071BDBB4" w14:textId="77777777" w:rsidR="00622977" w:rsidRDefault="00622977" w:rsidP="00622977">
      <w:pPr>
        <w:pStyle w:val="Body"/>
        <w:spacing w:after="0"/>
        <w:rPr>
          <w:rFonts w:ascii="Arial" w:hAnsi="Arial" w:cs="Arial"/>
        </w:rPr>
      </w:pPr>
    </w:p>
    <w:p w14:paraId="36439E01" w14:textId="77777777" w:rsidR="008B5C4B" w:rsidRDefault="008B5C4B" w:rsidP="008B5C4B">
      <w:pPr>
        <w:tabs>
          <w:tab w:val="left" w:pos="1080"/>
        </w:tabs>
        <w:jc w:val="both"/>
        <w:rPr>
          <w:rFonts w:ascii="Arial" w:hAnsi="Arial"/>
          <w:b/>
        </w:rPr>
      </w:pPr>
      <w:bookmarkStart w:id="1" w:name="_Hlk160819968"/>
      <w:r w:rsidRPr="008B5C4B">
        <w:rPr>
          <w:rFonts w:ascii="Arial" w:hAnsi="Arial"/>
          <w:b/>
        </w:rPr>
        <w:t xml:space="preserve">Table 5. Relative feed value and </w:t>
      </w:r>
      <w:bookmarkStart w:id="2" w:name="_Hlk181449621"/>
      <w:r w:rsidRPr="008B5C4B">
        <w:rPr>
          <w:rFonts w:ascii="Arial" w:hAnsi="Arial"/>
          <w:b/>
        </w:rPr>
        <w:t>relative forage quality</w:t>
      </w:r>
      <w:bookmarkEnd w:id="2"/>
      <w:r w:rsidRPr="008B5C4B">
        <w:rPr>
          <w:rFonts w:ascii="Arial" w:hAnsi="Arial"/>
          <w:b/>
        </w:rPr>
        <w:t xml:space="preserve"> of the barley green fodder germinated under different seed moistening conditions in a hydroponic system</w:t>
      </w:r>
    </w:p>
    <w:p w14:paraId="709AA7BA" w14:textId="77777777" w:rsidR="008B5C4B" w:rsidRPr="008B5C4B" w:rsidRDefault="008B5C4B" w:rsidP="008B5C4B">
      <w:pPr>
        <w:tabs>
          <w:tab w:val="left" w:pos="1080"/>
        </w:tabs>
        <w:jc w:val="both"/>
        <w:rPr>
          <w:rFonts w:ascii="Arial" w:hAnsi="Arial"/>
          <w:bCs/>
        </w:rPr>
      </w:pPr>
    </w:p>
    <w:tbl>
      <w:tblPr>
        <w:tblStyle w:val="LightShading"/>
        <w:tblW w:w="865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58"/>
        <w:gridCol w:w="1080"/>
        <w:gridCol w:w="1080"/>
        <w:gridCol w:w="1080"/>
        <w:gridCol w:w="1170"/>
        <w:gridCol w:w="1170"/>
        <w:gridCol w:w="900"/>
        <w:gridCol w:w="720"/>
      </w:tblGrid>
      <w:tr w:rsidR="0015653E" w:rsidRPr="008B5C4B" w14:paraId="35260C5F" w14:textId="77777777" w:rsidTr="0015653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val="restart"/>
            <w:vAlign w:val="center"/>
          </w:tcPr>
          <w:bookmarkEnd w:id="1"/>
          <w:p w14:paraId="5B11605B" w14:textId="77777777" w:rsidR="008B5C4B" w:rsidRPr="008B5C4B" w:rsidRDefault="008B5C4B" w:rsidP="00AD6497">
            <w:pPr>
              <w:tabs>
                <w:tab w:val="left" w:pos="1530"/>
              </w:tabs>
              <w:ind w:right="112"/>
              <w:jc w:val="both"/>
              <w:rPr>
                <w:rFonts w:asciiTheme="minorBidi" w:hAnsiTheme="minorBidi"/>
                <w:color w:val="000000"/>
                <w:sz w:val="20"/>
                <w:szCs w:val="20"/>
                <w:lang w:val="en-GB"/>
              </w:rPr>
            </w:pPr>
            <w:r w:rsidRPr="008B5C4B">
              <w:rPr>
                <w:rFonts w:asciiTheme="minorBidi" w:hAnsiTheme="minorBidi"/>
                <w:color w:val="000000"/>
                <w:sz w:val="20"/>
                <w:szCs w:val="20"/>
                <w:lang w:val="en-GB"/>
              </w:rPr>
              <w:t>Parameters</w:t>
            </w:r>
          </w:p>
        </w:tc>
        <w:tc>
          <w:tcPr>
            <w:tcW w:w="5580" w:type="dxa"/>
            <w:gridSpan w:val="5"/>
            <w:vAlign w:val="center"/>
          </w:tcPr>
          <w:p w14:paraId="44AA74A6" w14:textId="77777777" w:rsidR="008B5C4B" w:rsidRPr="008B5C4B" w:rsidRDefault="008B5C4B"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Treatments</w:t>
            </w:r>
          </w:p>
        </w:tc>
        <w:tc>
          <w:tcPr>
            <w:tcW w:w="900" w:type="dxa"/>
            <w:vMerge w:val="restart"/>
            <w:vAlign w:val="center"/>
          </w:tcPr>
          <w:p w14:paraId="5A49EC3B" w14:textId="77777777" w:rsidR="008B5C4B" w:rsidRPr="008B5C4B" w:rsidRDefault="008B5C4B"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SEM</w:t>
            </w:r>
          </w:p>
        </w:tc>
        <w:tc>
          <w:tcPr>
            <w:tcW w:w="720" w:type="dxa"/>
            <w:vMerge w:val="restart"/>
            <w:vAlign w:val="center"/>
          </w:tcPr>
          <w:p w14:paraId="60F86ACC" w14:textId="40B8D769" w:rsidR="008B5C4B" w:rsidRPr="008B5C4B" w:rsidRDefault="008B5C4B"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i/>
                <w:iCs/>
                <w:color w:val="000000"/>
                <w:sz w:val="20"/>
                <w:szCs w:val="20"/>
              </w:rPr>
              <w:t>P</w:t>
            </w:r>
            <w:r w:rsidRPr="008B5C4B">
              <w:rPr>
                <w:rFonts w:asciiTheme="minorBidi" w:hAnsiTheme="minorBidi"/>
                <w:color w:val="000000"/>
                <w:sz w:val="20"/>
                <w:szCs w:val="20"/>
              </w:rPr>
              <w:t xml:space="preserve"> </w:t>
            </w:r>
          </w:p>
        </w:tc>
      </w:tr>
      <w:tr w:rsidR="008B5C4B" w:rsidRPr="008B5C4B" w14:paraId="50331558" w14:textId="77777777" w:rsidTr="0015653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tcBorders>
              <w:bottom w:val="single" w:sz="4" w:space="0" w:color="auto"/>
            </w:tcBorders>
            <w:shd w:val="clear" w:color="auto" w:fill="auto"/>
          </w:tcPr>
          <w:p w14:paraId="0FB56072" w14:textId="77777777" w:rsidR="008B5C4B" w:rsidRPr="008B5C4B" w:rsidRDefault="008B5C4B" w:rsidP="00AD6497">
            <w:pPr>
              <w:tabs>
                <w:tab w:val="left" w:pos="1530"/>
              </w:tabs>
              <w:ind w:right="112"/>
              <w:jc w:val="both"/>
              <w:rPr>
                <w:rFonts w:asciiTheme="minorBidi" w:hAnsiTheme="minorBidi"/>
                <w:color w:val="000000"/>
                <w:sz w:val="20"/>
                <w:szCs w:val="20"/>
              </w:rPr>
            </w:pPr>
          </w:p>
        </w:tc>
        <w:tc>
          <w:tcPr>
            <w:tcW w:w="1080" w:type="dxa"/>
            <w:tcBorders>
              <w:bottom w:val="single" w:sz="4" w:space="0" w:color="auto"/>
            </w:tcBorders>
            <w:shd w:val="clear" w:color="auto" w:fill="auto"/>
            <w:vAlign w:val="center"/>
          </w:tcPr>
          <w:p w14:paraId="3C41B747"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8B5C4B">
              <w:rPr>
                <w:rFonts w:asciiTheme="minorBidi" w:hAnsiTheme="minorBidi"/>
                <w:b/>
                <w:bCs/>
                <w:color w:val="000000"/>
                <w:sz w:val="20"/>
                <w:szCs w:val="20"/>
              </w:rPr>
              <w:t>ROD</w:t>
            </w:r>
          </w:p>
        </w:tc>
        <w:tc>
          <w:tcPr>
            <w:tcW w:w="1080" w:type="dxa"/>
            <w:tcBorders>
              <w:bottom w:val="single" w:sz="4" w:space="0" w:color="auto"/>
            </w:tcBorders>
            <w:shd w:val="clear" w:color="auto" w:fill="auto"/>
            <w:vAlign w:val="center"/>
          </w:tcPr>
          <w:p w14:paraId="4020EBAB"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8B5C4B">
              <w:rPr>
                <w:rFonts w:asciiTheme="minorBidi" w:hAnsiTheme="minorBidi"/>
                <w:b/>
                <w:bCs/>
                <w:color w:val="000000"/>
                <w:sz w:val="20"/>
                <w:szCs w:val="20"/>
              </w:rPr>
              <w:t>+4OD</w:t>
            </w:r>
          </w:p>
        </w:tc>
        <w:tc>
          <w:tcPr>
            <w:tcW w:w="1080" w:type="dxa"/>
            <w:tcBorders>
              <w:bottom w:val="single" w:sz="4" w:space="0" w:color="auto"/>
            </w:tcBorders>
            <w:shd w:val="clear" w:color="auto" w:fill="auto"/>
            <w:vAlign w:val="center"/>
          </w:tcPr>
          <w:p w14:paraId="49FDE6E6"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8B5C4B">
              <w:rPr>
                <w:rFonts w:asciiTheme="minorBidi" w:hAnsiTheme="minorBidi"/>
                <w:b/>
                <w:bCs/>
                <w:color w:val="000000"/>
                <w:sz w:val="20"/>
                <w:szCs w:val="20"/>
              </w:rPr>
              <w:t>+4TD</w:t>
            </w:r>
          </w:p>
        </w:tc>
        <w:tc>
          <w:tcPr>
            <w:tcW w:w="1170" w:type="dxa"/>
            <w:tcBorders>
              <w:bottom w:val="single" w:sz="4" w:space="0" w:color="auto"/>
            </w:tcBorders>
            <w:shd w:val="clear" w:color="auto" w:fill="auto"/>
            <w:vAlign w:val="center"/>
          </w:tcPr>
          <w:p w14:paraId="2C8FCEFC"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8B5C4B">
              <w:rPr>
                <w:rFonts w:asciiTheme="minorBidi" w:hAnsiTheme="minorBidi"/>
                <w:b/>
                <w:bCs/>
                <w:sz w:val="20"/>
                <w:szCs w:val="20"/>
              </w:rPr>
              <w:t>-</w:t>
            </w:r>
            <w:r w:rsidRPr="008B5C4B">
              <w:rPr>
                <w:rFonts w:asciiTheme="minorBidi" w:hAnsiTheme="minorBidi"/>
                <w:b/>
                <w:bCs/>
                <w:color w:val="000000"/>
                <w:sz w:val="20"/>
                <w:szCs w:val="20"/>
              </w:rPr>
              <w:t>18OD</w:t>
            </w:r>
          </w:p>
        </w:tc>
        <w:tc>
          <w:tcPr>
            <w:tcW w:w="1170" w:type="dxa"/>
            <w:tcBorders>
              <w:bottom w:val="single" w:sz="4" w:space="0" w:color="auto"/>
            </w:tcBorders>
            <w:shd w:val="clear" w:color="auto" w:fill="auto"/>
            <w:vAlign w:val="center"/>
          </w:tcPr>
          <w:p w14:paraId="240473B0"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sz w:val="20"/>
                <w:szCs w:val="20"/>
              </w:rPr>
            </w:pPr>
            <w:r w:rsidRPr="008B5C4B">
              <w:rPr>
                <w:rFonts w:asciiTheme="minorBidi" w:hAnsiTheme="minorBidi"/>
                <w:b/>
                <w:bCs/>
                <w:sz w:val="20"/>
                <w:szCs w:val="20"/>
              </w:rPr>
              <w:t>-</w:t>
            </w:r>
            <w:r w:rsidRPr="008B5C4B">
              <w:rPr>
                <w:rFonts w:asciiTheme="minorBidi" w:hAnsiTheme="minorBidi"/>
                <w:b/>
                <w:bCs/>
                <w:color w:val="000000"/>
                <w:sz w:val="20"/>
                <w:szCs w:val="20"/>
              </w:rPr>
              <w:t>18TD</w:t>
            </w:r>
          </w:p>
        </w:tc>
        <w:tc>
          <w:tcPr>
            <w:tcW w:w="900" w:type="dxa"/>
            <w:vMerge/>
            <w:tcBorders>
              <w:bottom w:val="single" w:sz="4" w:space="0" w:color="auto"/>
            </w:tcBorders>
            <w:vAlign w:val="center"/>
          </w:tcPr>
          <w:p w14:paraId="59D6EE1E"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c>
          <w:tcPr>
            <w:tcW w:w="720" w:type="dxa"/>
            <w:vMerge/>
            <w:tcBorders>
              <w:bottom w:val="single" w:sz="4" w:space="0" w:color="auto"/>
            </w:tcBorders>
            <w:shd w:val="clear" w:color="auto" w:fill="auto"/>
            <w:vAlign w:val="center"/>
          </w:tcPr>
          <w:p w14:paraId="2579E42B"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p>
        </w:tc>
      </w:tr>
      <w:tr w:rsidR="008B5C4B" w:rsidRPr="008B5C4B" w14:paraId="016C041F" w14:textId="77777777" w:rsidTr="0015653E">
        <w:trPr>
          <w:trHeight w:val="360"/>
        </w:trPr>
        <w:tc>
          <w:tcPr>
            <w:cnfStyle w:val="001000000000" w:firstRow="0" w:lastRow="0" w:firstColumn="1" w:lastColumn="0" w:oddVBand="0" w:evenVBand="0" w:oddHBand="0" w:evenHBand="0" w:firstRowFirstColumn="0" w:firstRowLastColumn="0" w:lastRowFirstColumn="0" w:lastRowLastColumn="0"/>
            <w:tcW w:w="1458" w:type="dxa"/>
            <w:tcBorders>
              <w:bottom w:val="nil"/>
            </w:tcBorders>
            <w:vAlign w:val="center"/>
          </w:tcPr>
          <w:p w14:paraId="52C6B4FF" w14:textId="77777777" w:rsidR="008B5C4B" w:rsidRPr="008B5C4B" w:rsidRDefault="008B5C4B" w:rsidP="00AD6497">
            <w:pPr>
              <w:ind w:right="112"/>
              <w:jc w:val="both"/>
              <w:rPr>
                <w:rFonts w:asciiTheme="minorBidi" w:hAnsiTheme="minorBidi"/>
                <w:b w:val="0"/>
                <w:bCs w:val="0"/>
                <w:color w:val="000000"/>
                <w:sz w:val="20"/>
                <w:szCs w:val="20"/>
                <w:vertAlign w:val="superscript"/>
              </w:rPr>
            </w:pPr>
            <w:r w:rsidRPr="008B5C4B">
              <w:rPr>
                <w:rFonts w:asciiTheme="minorBidi" w:hAnsiTheme="minorBidi"/>
                <w:b w:val="0"/>
                <w:bCs w:val="0"/>
                <w:sz w:val="20"/>
                <w:szCs w:val="20"/>
              </w:rPr>
              <w:t>DMI</w:t>
            </w:r>
            <w:r w:rsidRPr="008B5C4B">
              <w:rPr>
                <w:rFonts w:asciiTheme="minorBidi" w:hAnsiTheme="minorBidi"/>
                <w:b w:val="0"/>
                <w:bCs w:val="0"/>
                <w:sz w:val="20"/>
                <w:szCs w:val="20"/>
                <w:vertAlign w:val="subscript"/>
              </w:rPr>
              <w:t>1</w:t>
            </w:r>
            <w:r w:rsidRPr="008B5C4B">
              <w:rPr>
                <w:rFonts w:asciiTheme="minorBidi" w:hAnsiTheme="minorBidi"/>
                <w:b w:val="0"/>
                <w:bCs w:val="0"/>
                <w:sz w:val="20"/>
                <w:szCs w:val="20"/>
              </w:rPr>
              <w:t>, BW%</w:t>
            </w:r>
          </w:p>
        </w:tc>
        <w:tc>
          <w:tcPr>
            <w:tcW w:w="1080" w:type="dxa"/>
            <w:tcBorders>
              <w:bottom w:val="nil"/>
            </w:tcBorders>
            <w:vAlign w:val="center"/>
          </w:tcPr>
          <w:p w14:paraId="2C1A8749"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sz w:val="20"/>
                <w:szCs w:val="20"/>
              </w:rPr>
              <w:t>2.47</w:t>
            </w:r>
          </w:p>
        </w:tc>
        <w:tc>
          <w:tcPr>
            <w:tcW w:w="1080" w:type="dxa"/>
            <w:tcBorders>
              <w:bottom w:val="nil"/>
            </w:tcBorders>
            <w:vAlign w:val="center"/>
          </w:tcPr>
          <w:p w14:paraId="10C4BD89"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sz w:val="20"/>
                <w:szCs w:val="20"/>
              </w:rPr>
              <w:t>2.52</w:t>
            </w:r>
          </w:p>
        </w:tc>
        <w:tc>
          <w:tcPr>
            <w:tcW w:w="1080" w:type="dxa"/>
            <w:tcBorders>
              <w:bottom w:val="nil"/>
            </w:tcBorders>
            <w:vAlign w:val="center"/>
          </w:tcPr>
          <w:p w14:paraId="66A7E538"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sz w:val="20"/>
                <w:szCs w:val="20"/>
              </w:rPr>
              <w:t>2.26</w:t>
            </w:r>
          </w:p>
        </w:tc>
        <w:tc>
          <w:tcPr>
            <w:tcW w:w="1170" w:type="dxa"/>
            <w:tcBorders>
              <w:bottom w:val="nil"/>
            </w:tcBorders>
            <w:vAlign w:val="center"/>
          </w:tcPr>
          <w:p w14:paraId="521174E0"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sz w:val="20"/>
                <w:szCs w:val="20"/>
              </w:rPr>
              <w:t>2.37</w:t>
            </w:r>
          </w:p>
        </w:tc>
        <w:tc>
          <w:tcPr>
            <w:tcW w:w="1170" w:type="dxa"/>
            <w:tcBorders>
              <w:bottom w:val="nil"/>
            </w:tcBorders>
            <w:vAlign w:val="center"/>
          </w:tcPr>
          <w:p w14:paraId="02BDA5EC"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sz w:val="20"/>
                <w:szCs w:val="20"/>
              </w:rPr>
              <w:t>2.36</w:t>
            </w:r>
          </w:p>
        </w:tc>
        <w:tc>
          <w:tcPr>
            <w:tcW w:w="900" w:type="dxa"/>
            <w:tcBorders>
              <w:bottom w:val="nil"/>
            </w:tcBorders>
            <w:vAlign w:val="center"/>
          </w:tcPr>
          <w:p w14:paraId="4092FB78"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sz w:val="20"/>
                <w:szCs w:val="20"/>
              </w:rPr>
              <w:t>0.027</w:t>
            </w:r>
          </w:p>
        </w:tc>
        <w:tc>
          <w:tcPr>
            <w:tcW w:w="720" w:type="dxa"/>
            <w:tcBorders>
              <w:bottom w:val="nil"/>
            </w:tcBorders>
            <w:vAlign w:val="center"/>
          </w:tcPr>
          <w:p w14:paraId="61C5EEEE" w14:textId="61D2DF0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sz w:val="20"/>
                <w:szCs w:val="20"/>
              </w:rPr>
              <w:t>.127</w:t>
            </w:r>
          </w:p>
        </w:tc>
      </w:tr>
      <w:tr w:rsidR="008B5C4B" w:rsidRPr="008B5C4B" w14:paraId="67223FB6" w14:textId="77777777" w:rsidTr="0015653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27E6BCB4" w14:textId="77777777" w:rsidR="008B5C4B" w:rsidRPr="008B5C4B" w:rsidRDefault="008B5C4B" w:rsidP="00AD6497">
            <w:pPr>
              <w:ind w:right="112"/>
              <w:jc w:val="both"/>
              <w:rPr>
                <w:rFonts w:asciiTheme="minorBidi" w:hAnsiTheme="minorBidi"/>
                <w:b w:val="0"/>
                <w:bCs w:val="0"/>
                <w:color w:val="000000"/>
                <w:sz w:val="20"/>
                <w:szCs w:val="20"/>
              </w:rPr>
            </w:pPr>
            <w:r w:rsidRPr="008B5C4B">
              <w:rPr>
                <w:rFonts w:asciiTheme="minorBidi" w:hAnsiTheme="minorBidi"/>
                <w:b w:val="0"/>
                <w:bCs w:val="0"/>
                <w:sz w:val="20"/>
                <w:szCs w:val="20"/>
              </w:rPr>
              <w:t>DMD, %</w:t>
            </w:r>
          </w:p>
        </w:tc>
        <w:tc>
          <w:tcPr>
            <w:tcW w:w="1080" w:type="dxa"/>
            <w:tcBorders>
              <w:top w:val="nil"/>
              <w:bottom w:val="nil"/>
            </w:tcBorders>
            <w:shd w:val="clear" w:color="auto" w:fill="auto"/>
            <w:vAlign w:val="center"/>
          </w:tcPr>
          <w:p w14:paraId="59E21C02"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69.75</w:t>
            </w:r>
            <w:r w:rsidRPr="008B5C4B">
              <w:rPr>
                <w:rFonts w:asciiTheme="minorBidi" w:hAnsiTheme="minorBidi"/>
                <w:color w:val="000000"/>
                <w:sz w:val="20"/>
                <w:szCs w:val="20"/>
                <w:vertAlign w:val="superscript"/>
              </w:rPr>
              <w:t>a</w:t>
            </w:r>
          </w:p>
        </w:tc>
        <w:tc>
          <w:tcPr>
            <w:tcW w:w="1080" w:type="dxa"/>
            <w:tcBorders>
              <w:top w:val="nil"/>
              <w:bottom w:val="nil"/>
            </w:tcBorders>
            <w:shd w:val="clear" w:color="auto" w:fill="auto"/>
            <w:vAlign w:val="center"/>
          </w:tcPr>
          <w:p w14:paraId="52595D2B"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69.99</w:t>
            </w:r>
            <w:r w:rsidRPr="008B5C4B">
              <w:rPr>
                <w:rFonts w:asciiTheme="minorBidi" w:hAnsiTheme="minorBidi"/>
                <w:color w:val="000000"/>
                <w:sz w:val="20"/>
                <w:szCs w:val="20"/>
                <w:vertAlign w:val="superscript"/>
              </w:rPr>
              <w:t>a</w:t>
            </w:r>
          </w:p>
        </w:tc>
        <w:tc>
          <w:tcPr>
            <w:tcW w:w="1080" w:type="dxa"/>
            <w:tcBorders>
              <w:top w:val="nil"/>
              <w:bottom w:val="nil"/>
            </w:tcBorders>
            <w:shd w:val="clear" w:color="auto" w:fill="auto"/>
            <w:vAlign w:val="center"/>
          </w:tcPr>
          <w:p w14:paraId="49581416"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67.89</w:t>
            </w:r>
            <w:r w:rsidRPr="008B5C4B">
              <w:rPr>
                <w:rFonts w:asciiTheme="minorBidi" w:hAnsiTheme="minorBidi"/>
                <w:color w:val="000000"/>
                <w:sz w:val="20"/>
                <w:szCs w:val="20"/>
                <w:vertAlign w:val="superscript"/>
              </w:rPr>
              <w:t>c</w:t>
            </w:r>
          </w:p>
        </w:tc>
        <w:tc>
          <w:tcPr>
            <w:tcW w:w="1170" w:type="dxa"/>
            <w:tcBorders>
              <w:top w:val="nil"/>
              <w:bottom w:val="nil"/>
            </w:tcBorders>
            <w:shd w:val="clear" w:color="auto" w:fill="auto"/>
            <w:vAlign w:val="center"/>
          </w:tcPr>
          <w:p w14:paraId="5307652F"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68.61</w:t>
            </w:r>
            <w:r w:rsidRPr="008B5C4B">
              <w:rPr>
                <w:rFonts w:asciiTheme="minorBidi" w:hAnsiTheme="minorBidi"/>
                <w:color w:val="000000"/>
                <w:sz w:val="20"/>
                <w:szCs w:val="20"/>
                <w:vertAlign w:val="superscript"/>
              </w:rPr>
              <w:t>bc</w:t>
            </w:r>
          </w:p>
        </w:tc>
        <w:tc>
          <w:tcPr>
            <w:tcW w:w="1170" w:type="dxa"/>
            <w:tcBorders>
              <w:top w:val="nil"/>
              <w:bottom w:val="nil"/>
            </w:tcBorders>
            <w:shd w:val="clear" w:color="auto" w:fill="auto"/>
            <w:vAlign w:val="center"/>
          </w:tcPr>
          <w:p w14:paraId="5DC1AA11"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68.90</w:t>
            </w:r>
            <w:r w:rsidRPr="008B5C4B">
              <w:rPr>
                <w:rFonts w:asciiTheme="minorBidi" w:hAnsiTheme="minorBidi"/>
                <w:color w:val="000000"/>
                <w:sz w:val="20"/>
                <w:szCs w:val="20"/>
                <w:vertAlign w:val="superscript"/>
              </w:rPr>
              <w:t>b</w:t>
            </w:r>
          </w:p>
        </w:tc>
        <w:tc>
          <w:tcPr>
            <w:tcW w:w="900" w:type="dxa"/>
            <w:tcBorders>
              <w:top w:val="nil"/>
              <w:bottom w:val="nil"/>
            </w:tcBorders>
            <w:shd w:val="clear" w:color="auto" w:fill="auto"/>
            <w:vAlign w:val="center"/>
          </w:tcPr>
          <w:p w14:paraId="69A640E4"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0.209</w:t>
            </w:r>
          </w:p>
        </w:tc>
        <w:tc>
          <w:tcPr>
            <w:tcW w:w="720" w:type="dxa"/>
            <w:tcBorders>
              <w:top w:val="nil"/>
              <w:bottom w:val="nil"/>
            </w:tcBorders>
            <w:shd w:val="clear" w:color="auto" w:fill="auto"/>
            <w:vAlign w:val="center"/>
          </w:tcPr>
          <w:p w14:paraId="2A144831" w14:textId="0BAE6ACE"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.001</w:t>
            </w:r>
          </w:p>
        </w:tc>
      </w:tr>
      <w:tr w:rsidR="008B5C4B" w:rsidRPr="008B5C4B" w14:paraId="11171D44" w14:textId="77777777" w:rsidTr="0015653E">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27F32700" w14:textId="77777777" w:rsidR="008B5C4B" w:rsidRPr="008B5C4B" w:rsidRDefault="008B5C4B" w:rsidP="00AD6497">
            <w:pPr>
              <w:ind w:right="112"/>
              <w:jc w:val="both"/>
              <w:rPr>
                <w:rFonts w:asciiTheme="minorBidi" w:hAnsiTheme="minorBidi"/>
                <w:b w:val="0"/>
                <w:bCs w:val="0"/>
                <w:color w:val="auto"/>
                <w:sz w:val="20"/>
                <w:szCs w:val="20"/>
              </w:rPr>
            </w:pPr>
            <w:r w:rsidRPr="008B5C4B">
              <w:rPr>
                <w:rFonts w:asciiTheme="minorBidi" w:hAnsiTheme="minorBidi"/>
                <w:b w:val="0"/>
                <w:bCs w:val="0"/>
                <w:sz w:val="20"/>
                <w:szCs w:val="20"/>
              </w:rPr>
              <w:t>RFV</w:t>
            </w:r>
          </w:p>
        </w:tc>
        <w:tc>
          <w:tcPr>
            <w:tcW w:w="1080" w:type="dxa"/>
            <w:tcBorders>
              <w:top w:val="nil"/>
              <w:bottom w:val="nil"/>
            </w:tcBorders>
            <w:vAlign w:val="center"/>
          </w:tcPr>
          <w:p w14:paraId="362BE479"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8B5C4B">
              <w:rPr>
                <w:rFonts w:asciiTheme="minorBidi" w:hAnsiTheme="minorBidi"/>
                <w:sz w:val="20"/>
                <w:szCs w:val="20"/>
              </w:rPr>
              <w:t>133.83</w:t>
            </w:r>
            <w:r w:rsidRPr="008B5C4B">
              <w:rPr>
                <w:rFonts w:asciiTheme="minorBidi" w:hAnsiTheme="minorBidi"/>
                <w:sz w:val="20"/>
                <w:szCs w:val="20"/>
                <w:vertAlign w:val="superscript"/>
              </w:rPr>
              <w:t>a</w:t>
            </w:r>
          </w:p>
        </w:tc>
        <w:tc>
          <w:tcPr>
            <w:tcW w:w="1080" w:type="dxa"/>
            <w:tcBorders>
              <w:top w:val="nil"/>
              <w:bottom w:val="nil"/>
            </w:tcBorders>
            <w:vAlign w:val="center"/>
          </w:tcPr>
          <w:p w14:paraId="4CE8B5A5"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8B5C4B">
              <w:rPr>
                <w:rFonts w:asciiTheme="minorBidi" w:hAnsiTheme="minorBidi"/>
                <w:sz w:val="20"/>
                <w:szCs w:val="20"/>
              </w:rPr>
              <w:t>136.78</w:t>
            </w:r>
            <w:r w:rsidRPr="008B5C4B">
              <w:rPr>
                <w:rFonts w:asciiTheme="minorBidi" w:hAnsiTheme="minorBidi"/>
                <w:sz w:val="20"/>
                <w:szCs w:val="20"/>
                <w:vertAlign w:val="superscript"/>
              </w:rPr>
              <w:t>a</w:t>
            </w:r>
          </w:p>
        </w:tc>
        <w:tc>
          <w:tcPr>
            <w:tcW w:w="1080" w:type="dxa"/>
            <w:tcBorders>
              <w:top w:val="nil"/>
              <w:bottom w:val="nil"/>
            </w:tcBorders>
            <w:vAlign w:val="center"/>
          </w:tcPr>
          <w:p w14:paraId="168D63EB"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8B5C4B">
              <w:rPr>
                <w:rFonts w:asciiTheme="minorBidi" w:hAnsiTheme="minorBidi"/>
                <w:sz w:val="20"/>
                <w:szCs w:val="20"/>
              </w:rPr>
              <w:t>118.80</w:t>
            </w:r>
            <w:r w:rsidRPr="008B5C4B">
              <w:rPr>
                <w:rFonts w:asciiTheme="minorBidi" w:hAnsiTheme="minorBidi"/>
                <w:sz w:val="20"/>
                <w:szCs w:val="20"/>
                <w:vertAlign w:val="superscript"/>
              </w:rPr>
              <w:t>b</w:t>
            </w:r>
          </w:p>
        </w:tc>
        <w:tc>
          <w:tcPr>
            <w:tcW w:w="1170" w:type="dxa"/>
            <w:tcBorders>
              <w:top w:val="nil"/>
              <w:bottom w:val="nil"/>
            </w:tcBorders>
            <w:vAlign w:val="center"/>
          </w:tcPr>
          <w:p w14:paraId="493EF434"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8B5C4B">
              <w:rPr>
                <w:rFonts w:asciiTheme="minorBidi" w:hAnsiTheme="minorBidi"/>
                <w:sz w:val="20"/>
                <w:szCs w:val="20"/>
              </w:rPr>
              <w:t>126.32</w:t>
            </w:r>
            <w:r w:rsidRPr="008B5C4B">
              <w:rPr>
                <w:rFonts w:asciiTheme="minorBidi" w:hAnsiTheme="minorBidi"/>
                <w:sz w:val="20"/>
                <w:szCs w:val="20"/>
                <w:vertAlign w:val="superscript"/>
              </w:rPr>
              <w:t>ab</w:t>
            </w:r>
          </w:p>
        </w:tc>
        <w:tc>
          <w:tcPr>
            <w:tcW w:w="1170" w:type="dxa"/>
            <w:tcBorders>
              <w:top w:val="nil"/>
              <w:bottom w:val="nil"/>
            </w:tcBorders>
            <w:vAlign w:val="center"/>
          </w:tcPr>
          <w:p w14:paraId="0F2B53D3"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8B5C4B">
              <w:rPr>
                <w:rFonts w:asciiTheme="minorBidi" w:hAnsiTheme="minorBidi"/>
                <w:sz w:val="20"/>
                <w:szCs w:val="20"/>
              </w:rPr>
              <w:t>126.29</w:t>
            </w:r>
            <w:r w:rsidRPr="008B5C4B">
              <w:rPr>
                <w:rFonts w:asciiTheme="minorBidi" w:hAnsiTheme="minorBidi"/>
                <w:sz w:val="20"/>
                <w:szCs w:val="20"/>
                <w:vertAlign w:val="superscript"/>
              </w:rPr>
              <w:t>ab</w:t>
            </w:r>
          </w:p>
        </w:tc>
        <w:tc>
          <w:tcPr>
            <w:tcW w:w="900" w:type="dxa"/>
            <w:tcBorders>
              <w:top w:val="nil"/>
              <w:bottom w:val="nil"/>
            </w:tcBorders>
            <w:vAlign w:val="center"/>
          </w:tcPr>
          <w:p w14:paraId="0C3B6C78"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8B5C4B">
              <w:rPr>
                <w:rFonts w:asciiTheme="minorBidi" w:hAnsiTheme="minorBidi"/>
                <w:sz w:val="20"/>
                <w:szCs w:val="20"/>
              </w:rPr>
              <w:t>1.860</w:t>
            </w:r>
          </w:p>
        </w:tc>
        <w:tc>
          <w:tcPr>
            <w:tcW w:w="720" w:type="dxa"/>
            <w:tcBorders>
              <w:top w:val="nil"/>
              <w:bottom w:val="nil"/>
            </w:tcBorders>
            <w:vAlign w:val="center"/>
          </w:tcPr>
          <w:p w14:paraId="5EBCEE84" w14:textId="605485AF"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8B5C4B">
              <w:rPr>
                <w:rFonts w:asciiTheme="minorBidi" w:hAnsiTheme="minorBidi"/>
                <w:sz w:val="20"/>
                <w:szCs w:val="20"/>
              </w:rPr>
              <w:t>.001</w:t>
            </w:r>
          </w:p>
        </w:tc>
      </w:tr>
      <w:tr w:rsidR="008B5C4B" w:rsidRPr="008B5C4B" w14:paraId="5149D89F" w14:textId="77777777" w:rsidTr="0015653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3ECA6EFA" w14:textId="77777777" w:rsidR="008B5C4B" w:rsidRPr="008B5C4B" w:rsidRDefault="008B5C4B" w:rsidP="00AD6497">
            <w:pPr>
              <w:ind w:right="112"/>
              <w:jc w:val="both"/>
              <w:rPr>
                <w:rFonts w:asciiTheme="minorBidi" w:hAnsiTheme="minorBidi"/>
                <w:b w:val="0"/>
                <w:bCs w:val="0"/>
                <w:color w:val="auto"/>
                <w:sz w:val="20"/>
                <w:szCs w:val="20"/>
              </w:rPr>
            </w:pPr>
            <w:r w:rsidRPr="008B5C4B">
              <w:rPr>
                <w:rFonts w:asciiTheme="minorBidi" w:hAnsiTheme="minorBidi"/>
                <w:b w:val="0"/>
                <w:bCs w:val="0"/>
                <w:sz w:val="20"/>
                <w:szCs w:val="20"/>
              </w:rPr>
              <w:t>DMI</w:t>
            </w:r>
            <w:r w:rsidRPr="008B5C4B">
              <w:rPr>
                <w:rFonts w:asciiTheme="minorBidi" w:hAnsiTheme="minorBidi"/>
                <w:b w:val="0"/>
                <w:bCs w:val="0"/>
                <w:sz w:val="20"/>
                <w:szCs w:val="20"/>
                <w:vertAlign w:val="subscript"/>
              </w:rPr>
              <w:t>2</w:t>
            </w:r>
            <w:r w:rsidRPr="008B5C4B">
              <w:rPr>
                <w:rFonts w:asciiTheme="minorBidi" w:hAnsiTheme="minorBidi"/>
                <w:b w:val="0"/>
                <w:bCs w:val="0"/>
                <w:sz w:val="20"/>
                <w:szCs w:val="20"/>
              </w:rPr>
              <w:t>, BW%</w:t>
            </w:r>
          </w:p>
        </w:tc>
        <w:tc>
          <w:tcPr>
            <w:tcW w:w="1080" w:type="dxa"/>
            <w:tcBorders>
              <w:top w:val="nil"/>
              <w:bottom w:val="nil"/>
            </w:tcBorders>
            <w:shd w:val="clear" w:color="auto" w:fill="auto"/>
            <w:vAlign w:val="center"/>
          </w:tcPr>
          <w:p w14:paraId="77104C47"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8B5C4B">
              <w:rPr>
                <w:rFonts w:asciiTheme="minorBidi" w:hAnsiTheme="minorBidi"/>
                <w:color w:val="auto"/>
                <w:sz w:val="20"/>
                <w:szCs w:val="20"/>
              </w:rPr>
              <w:t>2.49</w:t>
            </w:r>
          </w:p>
        </w:tc>
        <w:tc>
          <w:tcPr>
            <w:tcW w:w="1080" w:type="dxa"/>
            <w:tcBorders>
              <w:top w:val="nil"/>
              <w:bottom w:val="nil"/>
            </w:tcBorders>
            <w:shd w:val="clear" w:color="auto" w:fill="auto"/>
            <w:vAlign w:val="center"/>
          </w:tcPr>
          <w:p w14:paraId="474B295E"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8B5C4B">
              <w:rPr>
                <w:rFonts w:asciiTheme="minorBidi" w:hAnsiTheme="minorBidi"/>
                <w:color w:val="auto"/>
                <w:sz w:val="20"/>
                <w:szCs w:val="20"/>
              </w:rPr>
              <w:t>2.51</w:t>
            </w:r>
          </w:p>
        </w:tc>
        <w:tc>
          <w:tcPr>
            <w:tcW w:w="1080" w:type="dxa"/>
            <w:tcBorders>
              <w:top w:val="nil"/>
              <w:bottom w:val="nil"/>
            </w:tcBorders>
            <w:shd w:val="clear" w:color="auto" w:fill="auto"/>
            <w:vAlign w:val="center"/>
          </w:tcPr>
          <w:p w14:paraId="297ED271"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8B5C4B">
              <w:rPr>
                <w:rFonts w:asciiTheme="minorBidi" w:hAnsiTheme="minorBidi"/>
                <w:color w:val="auto"/>
                <w:sz w:val="20"/>
                <w:szCs w:val="20"/>
              </w:rPr>
              <w:t>2.31</w:t>
            </w:r>
          </w:p>
        </w:tc>
        <w:tc>
          <w:tcPr>
            <w:tcW w:w="1170" w:type="dxa"/>
            <w:tcBorders>
              <w:top w:val="nil"/>
              <w:bottom w:val="nil"/>
            </w:tcBorders>
            <w:shd w:val="clear" w:color="auto" w:fill="auto"/>
            <w:vAlign w:val="center"/>
          </w:tcPr>
          <w:p w14:paraId="015C03FC"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8B5C4B">
              <w:rPr>
                <w:rFonts w:asciiTheme="minorBidi" w:hAnsiTheme="minorBidi"/>
                <w:color w:val="auto"/>
                <w:sz w:val="20"/>
                <w:szCs w:val="20"/>
              </w:rPr>
              <w:t>2.35</w:t>
            </w:r>
          </w:p>
        </w:tc>
        <w:tc>
          <w:tcPr>
            <w:tcW w:w="1170" w:type="dxa"/>
            <w:tcBorders>
              <w:top w:val="nil"/>
              <w:bottom w:val="nil"/>
            </w:tcBorders>
            <w:shd w:val="clear" w:color="auto" w:fill="auto"/>
            <w:vAlign w:val="center"/>
          </w:tcPr>
          <w:p w14:paraId="4211803C"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8B5C4B">
              <w:rPr>
                <w:rFonts w:asciiTheme="minorBidi" w:hAnsiTheme="minorBidi"/>
                <w:color w:val="auto"/>
                <w:sz w:val="20"/>
                <w:szCs w:val="20"/>
              </w:rPr>
              <w:t>2.34</w:t>
            </w:r>
          </w:p>
        </w:tc>
        <w:tc>
          <w:tcPr>
            <w:tcW w:w="900" w:type="dxa"/>
            <w:tcBorders>
              <w:top w:val="nil"/>
              <w:bottom w:val="nil"/>
            </w:tcBorders>
            <w:shd w:val="clear" w:color="auto" w:fill="auto"/>
            <w:vAlign w:val="center"/>
          </w:tcPr>
          <w:p w14:paraId="347165A6"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8B5C4B">
              <w:rPr>
                <w:rFonts w:asciiTheme="minorBidi" w:hAnsiTheme="minorBidi"/>
                <w:color w:val="auto"/>
                <w:sz w:val="20"/>
                <w:szCs w:val="20"/>
              </w:rPr>
              <w:t>0.022</w:t>
            </w:r>
          </w:p>
        </w:tc>
        <w:tc>
          <w:tcPr>
            <w:tcW w:w="720" w:type="dxa"/>
            <w:tcBorders>
              <w:top w:val="nil"/>
              <w:bottom w:val="nil"/>
            </w:tcBorders>
            <w:shd w:val="clear" w:color="auto" w:fill="auto"/>
            <w:vAlign w:val="center"/>
          </w:tcPr>
          <w:p w14:paraId="7D556D2A" w14:textId="2599616B"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8B5C4B">
              <w:rPr>
                <w:rFonts w:asciiTheme="minorBidi" w:hAnsiTheme="minorBidi"/>
                <w:color w:val="auto"/>
                <w:sz w:val="20"/>
                <w:szCs w:val="20"/>
              </w:rPr>
              <w:t>.303</w:t>
            </w:r>
          </w:p>
        </w:tc>
      </w:tr>
      <w:tr w:rsidR="008B5C4B" w:rsidRPr="008B5C4B" w14:paraId="16B25F12" w14:textId="77777777" w:rsidTr="0015653E">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1908290D" w14:textId="77777777" w:rsidR="008B5C4B" w:rsidRPr="008B5C4B" w:rsidRDefault="008B5C4B" w:rsidP="00AD6497">
            <w:pPr>
              <w:ind w:right="112"/>
              <w:jc w:val="both"/>
              <w:rPr>
                <w:rFonts w:asciiTheme="minorBidi" w:hAnsiTheme="minorBidi"/>
                <w:b w:val="0"/>
                <w:bCs w:val="0"/>
                <w:color w:val="auto"/>
                <w:sz w:val="20"/>
                <w:szCs w:val="20"/>
                <w:lang w:val="en-GB"/>
              </w:rPr>
            </w:pPr>
            <w:r w:rsidRPr="008B5C4B">
              <w:rPr>
                <w:rFonts w:asciiTheme="minorBidi" w:hAnsiTheme="minorBidi"/>
                <w:b w:val="0"/>
                <w:bCs w:val="0"/>
                <w:color w:val="auto"/>
                <w:sz w:val="20"/>
                <w:szCs w:val="20"/>
                <w:lang w:val="en-GB"/>
              </w:rPr>
              <w:t>TDN</w:t>
            </w:r>
            <w:r w:rsidRPr="008B5C4B">
              <w:rPr>
                <w:rFonts w:asciiTheme="minorBidi" w:hAnsiTheme="minorBidi"/>
                <w:b w:val="0"/>
                <w:bCs w:val="0"/>
                <w:sz w:val="20"/>
                <w:szCs w:val="20"/>
              </w:rPr>
              <w:t>, %</w:t>
            </w:r>
            <w:r w:rsidRPr="008B5C4B">
              <w:rPr>
                <w:rFonts w:asciiTheme="minorBidi" w:hAnsiTheme="minorBidi"/>
                <w:b w:val="0"/>
                <w:bCs w:val="0"/>
                <w:color w:val="auto"/>
                <w:sz w:val="20"/>
                <w:szCs w:val="20"/>
                <w:lang w:val="en-GB"/>
              </w:rPr>
              <w:t xml:space="preserve"> </w:t>
            </w:r>
          </w:p>
        </w:tc>
        <w:tc>
          <w:tcPr>
            <w:tcW w:w="1080" w:type="dxa"/>
            <w:tcBorders>
              <w:top w:val="nil"/>
              <w:bottom w:val="nil"/>
            </w:tcBorders>
            <w:vAlign w:val="center"/>
          </w:tcPr>
          <w:p w14:paraId="691B90AA"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8B5C4B">
              <w:rPr>
                <w:rFonts w:asciiTheme="minorBidi" w:hAnsiTheme="minorBidi"/>
                <w:color w:val="auto"/>
                <w:sz w:val="20"/>
                <w:szCs w:val="20"/>
                <w:lang w:val="en-GB"/>
              </w:rPr>
              <w:t>84.53</w:t>
            </w:r>
          </w:p>
        </w:tc>
        <w:tc>
          <w:tcPr>
            <w:tcW w:w="1080" w:type="dxa"/>
            <w:tcBorders>
              <w:top w:val="nil"/>
              <w:bottom w:val="nil"/>
            </w:tcBorders>
            <w:vAlign w:val="center"/>
          </w:tcPr>
          <w:p w14:paraId="6189CBC2"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8B5C4B">
              <w:rPr>
                <w:rFonts w:asciiTheme="minorBidi" w:hAnsiTheme="minorBidi"/>
                <w:color w:val="auto"/>
                <w:sz w:val="20"/>
                <w:szCs w:val="20"/>
                <w:lang w:val="en-GB"/>
              </w:rPr>
              <w:t>84.44</w:t>
            </w:r>
          </w:p>
        </w:tc>
        <w:tc>
          <w:tcPr>
            <w:tcW w:w="1080" w:type="dxa"/>
            <w:tcBorders>
              <w:top w:val="nil"/>
              <w:bottom w:val="nil"/>
            </w:tcBorders>
            <w:vAlign w:val="center"/>
          </w:tcPr>
          <w:p w14:paraId="7E5AB0EF"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8B5C4B">
              <w:rPr>
                <w:rFonts w:asciiTheme="minorBidi" w:hAnsiTheme="minorBidi"/>
                <w:color w:val="auto"/>
                <w:sz w:val="20"/>
                <w:szCs w:val="20"/>
                <w:lang w:val="en-GB"/>
              </w:rPr>
              <w:t>82.36</w:t>
            </w:r>
          </w:p>
        </w:tc>
        <w:tc>
          <w:tcPr>
            <w:tcW w:w="1170" w:type="dxa"/>
            <w:tcBorders>
              <w:top w:val="nil"/>
              <w:bottom w:val="nil"/>
            </w:tcBorders>
            <w:vAlign w:val="center"/>
          </w:tcPr>
          <w:p w14:paraId="7842AA65"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8B5C4B">
              <w:rPr>
                <w:rFonts w:asciiTheme="minorBidi" w:hAnsiTheme="minorBidi"/>
                <w:color w:val="auto"/>
                <w:sz w:val="20"/>
                <w:szCs w:val="20"/>
                <w:lang w:val="en-GB"/>
              </w:rPr>
              <w:t>83.07</w:t>
            </w:r>
          </w:p>
        </w:tc>
        <w:tc>
          <w:tcPr>
            <w:tcW w:w="1170" w:type="dxa"/>
            <w:tcBorders>
              <w:top w:val="nil"/>
              <w:bottom w:val="nil"/>
            </w:tcBorders>
            <w:vAlign w:val="center"/>
          </w:tcPr>
          <w:p w14:paraId="308FE259"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8B5C4B">
              <w:rPr>
                <w:rFonts w:asciiTheme="minorBidi" w:hAnsiTheme="minorBidi"/>
                <w:color w:val="auto"/>
                <w:sz w:val="20"/>
                <w:szCs w:val="20"/>
                <w:lang w:val="en-GB"/>
              </w:rPr>
              <w:t>83.91</w:t>
            </w:r>
          </w:p>
        </w:tc>
        <w:tc>
          <w:tcPr>
            <w:tcW w:w="900" w:type="dxa"/>
            <w:tcBorders>
              <w:top w:val="nil"/>
              <w:bottom w:val="nil"/>
            </w:tcBorders>
            <w:vAlign w:val="center"/>
          </w:tcPr>
          <w:p w14:paraId="1AEB3B56" w14:textId="77777777"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8B5C4B">
              <w:rPr>
                <w:rFonts w:asciiTheme="minorBidi" w:hAnsiTheme="minorBidi"/>
                <w:color w:val="auto"/>
                <w:sz w:val="20"/>
                <w:szCs w:val="20"/>
                <w:lang w:val="en-GB"/>
              </w:rPr>
              <w:t>0.643</w:t>
            </w:r>
          </w:p>
        </w:tc>
        <w:tc>
          <w:tcPr>
            <w:tcW w:w="720" w:type="dxa"/>
            <w:tcBorders>
              <w:top w:val="nil"/>
              <w:bottom w:val="nil"/>
            </w:tcBorders>
            <w:vAlign w:val="center"/>
          </w:tcPr>
          <w:p w14:paraId="4D502543" w14:textId="083B0D5B" w:rsidR="008B5C4B" w:rsidRPr="008B5C4B"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lang w:val="en-GB"/>
              </w:rPr>
            </w:pPr>
            <w:r w:rsidRPr="008B5C4B">
              <w:rPr>
                <w:rFonts w:asciiTheme="minorBidi" w:hAnsiTheme="minorBidi"/>
                <w:color w:val="auto"/>
                <w:sz w:val="20"/>
                <w:szCs w:val="20"/>
                <w:lang w:val="en-GB"/>
              </w:rPr>
              <w:t>.775</w:t>
            </w:r>
          </w:p>
        </w:tc>
      </w:tr>
      <w:tr w:rsidR="008B5C4B" w:rsidRPr="008B5C4B" w14:paraId="6C94AAE3" w14:textId="77777777" w:rsidTr="0015653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tcBorders>
            <w:shd w:val="clear" w:color="auto" w:fill="auto"/>
            <w:vAlign w:val="center"/>
          </w:tcPr>
          <w:p w14:paraId="53F60650" w14:textId="77777777" w:rsidR="008B5C4B" w:rsidRPr="008B5C4B" w:rsidRDefault="008B5C4B" w:rsidP="00AD6497">
            <w:pPr>
              <w:ind w:right="112"/>
              <w:jc w:val="both"/>
              <w:rPr>
                <w:rFonts w:asciiTheme="minorBidi" w:hAnsiTheme="minorBidi"/>
                <w:b w:val="0"/>
                <w:bCs w:val="0"/>
                <w:sz w:val="20"/>
                <w:szCs w:val="20"/>
              </w:rPr>
            </w:pPr>
            <w:r w:rsidRPr="008B5C4B">
              <w:rPr>
                <w:rFonts w:asciiTheme="minorBidi" w:hAnsiTheme="minorBidi"/>
                <w:b w:val="0"/>
                <w:bCs w:val="0"/>
                <w:sz w:val="20"/>
                <w:szCs w:val="20"/>
              </w:rPr>
              <w:t>RFQ</w:t>
            </w:r>
          </w:p>
        </w:tc>
        <w:tc>
          <w:tcPr>
            <w:tcW w:w="1080" w:type="dxa"/>
            <w:tcBorders>
              <w:top w:val="nil"/>
            </w:tcBorders>
            <w:shd w:val="clear" w:color="auto" w:fill="auto"/>
            <w:vAlign w:val="center"/>
          </w:tcPr>
          <w:p w14:paraId="205CFD90"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171.16</w:t>
            </w:r>
            <w:r w:rsidRPr="008B5C4B">
              <w:rPr>
                <w:rFonts w:asciiTheme="minorBidi" w:hAnsiTheme="minorBidi"/>
                <w:color w:val="000000"/>
                <w:sz w:val="20"/>
                <w:szCs w:val="20"/>
                <w:vertAlign w:val="superscript"/>
              </w:rPr>
              <w:t>a</w:t>
            </w:r>
          </w:p>
        </w:tc>
        <w:tc>
          <w:tcPr>
            <w:tcW w:w="1080" w:type="dxa"/>
            <w:tcBorders>
              <w:top w:val="nil"/>
            </w:tcBorders>
            <w:shd w:val="clear" w:color="auto" w:fill="auto"/>
            <w:vAlign w:val="center"/>
          </w:tcPr>
          <w:p w14:paraId="2A783044"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171.85</w:t>
            </w:r>
            <w:r w:rsidRPr="008B5C4B">
              <w:rPr>
                <w:rFonts w:asciiTheme="minorBidi" w:hAnsiTheme="minorBidi"/>
                <w:color w:val="000000"/>
                <w:sz w:val="20"/>
                <w:szCs w:val="20"/>
                <w:vertAlign w:val="superscript"/>
              </w:rPr>
              <w:t>a</w:t>
            </w:r>
          </w:p>
        </w:tc>
        <w:tc>
          <w:tcPr>
            <w:tcW w:w="1080" w:type="dxa"/>
            <w:tcBorders>
              <w:top w:val="nil"/>
            </w:tcBorders>
            <w:shd w:val="clear" w:color="auto" w:fill="auto"/>
            <w:vAlign w:val="center"/>
          </w:tcPr>
          <w:p w14:paraId="5FE067F5"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158.36</w:t>
            </w:r>
            <w:r w:rsidRPr="008B5C4B">
              <w:rPr>
                <w:rFonts w:asciiTheme="minorBidi" w:hAnsiTheme="minorBidi"/>
                <w:color w:val="000000"/>
                <w:sz w:val="20"/>
                <w:szCs w:val="20"/>
                <w:vertAlign w:val="superscript"/>
              </w:rPr>
              <w:t>b</w:t>
            </w:r>
          </w:p>
        </w:tc>
        <w:tc>
          <w:tcPr>
            <w:tcW w:w="1170" w:type="dxa"/>
            <w:tcBorders>
              <w:top w:val="nil"/>
            </w:tcBorders>
            <w:shd w:val="clear" w:color="auto" w:fill="auto"/>
            <w:vAlign w:val="center"/>
          </w:tcPr>
          <w:p w14:paraId="3F01183E"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160.12</w:t>
            </w:r>
            <w:r w:rsidRPr="008B5C4B">
              <w:rPr>
                <w:rFonts w:asciiTheme="minorBidi" w:hAnsiTheme="minorBidi"/>
                <w:color w:val="000000"/>
                <w:sz w:val="20"/>
                <w:szCs w:val="20"/>
                <w:vertAlign w:val="superscript"/>
              </w:rPr>
              <w:t xml:space="preserve"> b</w:t>
            </w:r>
          </w:p>
        </w:tc>
        <w:tc>
          <w:tcPr>
            <w:tcW w:w="1170" w:type="dxa"/>
            <w:tcBorders>
              <w:top w:val="nil"/>
            </w:tcBorders>
            <w:shd w:val="clear" w:color="auto" w:fill="auto"/>
            <w:vAlign w:val="center"/>
          </w:tcPr>
          <w:p w14:paraId="280BCE21"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160.24</w:t>
            </w:r>
            <w:r w:rsidRPr="008B5C4B">
              <w:rPr>
                <w:rFonts w:asciiTheme="minorBidi" w:hAnsiTheme="minorBidi"/>
                <w:color w:val="000000"/>
                <w:sz w:val="20"/>
                <w:szCs w:val="20"/>
                <w:vertAlign w:val="superscript"/>
              </w:rPr>
              <w:t xml:space="preserve"> b</w:t>
            </w:r>
          </w:p>
        </w:tc>
        <w:tc>
          <w:tcPr>
            <w:tcW w:w="900" w:type="dxa"/>
            <w:tcBorders>
              <w:top w:val="nil"/>
            </w:tcBorders>
            <w:shd w:val="clear" w:color="auto" w:fill="auto"/>
            <w:vAlign w:val="center"/>
          </w:tcPr>
          <w:p w14:paraId="67EF8607" w14:textId="77777777"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1.883</w:t>
            </w:r>
          </w:p>
        </w:tc>
        <w:tc>
          <w:tcPr>
            <w:tcW w:w="720" w:type="dxa"/>
            <w:tcBorders>
              <w:top w:val="nil"/>
            </w:tcBorders>
            <w:shd w:val="clear" w:color="auto" w:fill="auto"/>
            <w:vAlign w:val="center"/>
          </w:tcPr>
          <w:p w14:paraId="6AF5A3AA" w14:textId="5C7C1A79" w:rsidR="008B5C4B" w:rsidRPr="008B5C4B"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8B5C4B">
              <w:rPr>
                <w:rFonts w:asciiTheme="minorBidi" w:hAnsiTheme="minorBidi"/>
                <w:color w:val="000000"/>
                <w:sz w:val="20"/>
                <w:szCs w:val="20"/>
              </w:rPr>
              <w:t>.002</w:t>
            </w:r>
          </w:p>
        </w:tc>
      </w:tr>
    </w:tbl>
    <w:p w14:paraId="4329D27B" w14:textId="60E17E91" w:rsidR="008B5C4B" w:rsidRPr="008B5C4B" w:rsidRDefault="008B5C4B" w:rsidP="008B5C4B">
      <w:pPr>
        <w:pStyle w:val="BodyText3"/>
        <w:tabs>
          <w:tab w:val="left" w:pos="0"/>
        </w:tabs>
        <w:spacing w:after="0"/>
        <w:jc w:val="both"/>
        <w:rPr>
          <w:rFonts w:ascii="Arial" w:hAnsi="Arial"/>
          <w:bCs/>
          <w:i/>
          <w:sz w:val="18"/>
        </w:rPr>
      </w:pPr>
      <w:r w:rsidRPr="008B5C4B">
        <w:rPr>
          <w:rFonts w:ascii="Arial" w:hAnsi="Arial"/>
          <w:bCs/>
          <w:i/>
          <w:sz w:val="18"/>
        </w:rPr>
        <w:t>ROD: seeds were soaked and left at room temperature for one day, +4OD: seeds were soaked and refrigerated at +4 °C for one day, +4TD: seeds were soaked and refrigerated at +4 °C for three days,</w:t>
      </w:r>
      <w:r w:rsidR="00567273">
        <w:rPr>
          <w:rFonts w:ascii="Arial" w:hAnsi="Arial"/>
          <w:bCs/>
          <w:i/>
          <w:sz w:val="18"/>
        </w:rPr>
        <w:t xml:space="preserve">  </w:t>
      </w:r>
      <w:r w:rsidRPr="008B5C4B">
        <w:rPr>
          <w:rFonts w:ascii="Arial" w:hAnsi="Arial"/>
          <w:bCs/>
          <w:i/>
          <w:sz w:val="18"/>
        </w:rPr>
        <w:t xml:space="preserve"> -18OD: seeds were soaked and frozen at -18 °C for one day, -18TD: seeds were soaked and frozen at -18 °C for three days, DMI1: dry matter intake calculated for relative feed value, DMD: dry matter digestibility, RFV: relative feed value, DMI2: dry matter intake calculated for relative forage quality, TDN: total digestible nutrient, RFQ: relative forage quality, SEM: standard error of the mean. </w:t>
      </w:r>
      <w:proofErr w:type="spellStart"/>
      <w:r w:rsidRPr="008B5C4B">
        <w:rPr>
          <w:rFonts w:ascii="Arial" w:hAnsi="Arial"/>
          <w:bCs/>
          <w:i/>
          <w:sz w:val="18"/>
        </w:rPr>
        <w:t>abc</w:t>
      </w:r>
      <w:proofErr w:type="spellEnd"/>
      <w:r w:rsidRPr="008B5C4B">
        <w:rPr>
          <w:rFonts w:ascii="Arial" w:hAnsi="Arial"/>
          <w:bCs/>
          <w:i/>
          <w:sz w:val="18"/>
        </w:rPr>
        <w:t>: means with different superscripts in the same row were significantly different (P</w:t>
      </w:r>
      <w:r>
        <w:rPr>
          <w:rFonts w:ascii="Arial" w:hAnsi="Arial"/>
          <w:bCs/>
          <w:i/>
          <w:sz w:val="18"/>
        </w:rPr>
        <w:t xml:space="preserve"> </w:t>
      </w:r>
      <w:r w:rsidRPr="008B5C4B">
        <w:rPr>
          <w:rFonts w:ascii="Arial" w:hAnsi="Arial"/>
          <w:bCs/>
          <w:i/>
          <w:sz w:val="18"/>
        </w:rPr>
        <w:t>≤</w:t>
      </w:r>
      <w:r>
        <w:rPr>
          <w:rFonts w:ascii="Arial" w:hAnsi="Arial"/>
          <w:bCs/>
          <w:i/>
          <w:sz w:val="18"/>
        </w:rPr>
        <w:t xml:space="preserve"> </w:t>
      </w:r>
      <w:r w:rsidRPr="008B5C4B">
        <w:rPr>
          <w:rFonts w:ascii="Arial" w:hAnsi="Arial"/>
          <w:bCs/>
          <w:i/>
          <w:sz w:val="18"/>
        </w:rPr>
        <w:t>.05).</w:t>
      </w:r>
    </w:p>
    <w:p w14:paraId="23FED5CC" w14:textId="73808180" w:rsidR="00C745EE" w:rsidRPr="00C745EE" w:rsidRDefault="00C745EE" w:rsidP="00EF27ED">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6</w:t>
      </w:r>
      <w:r w:rsidRPr="00C30A0F">
        <w:rPr>
          <w:rFonts w:ascii="Arial" w:hAnsi="Arial" w:cs="Arial"/>
          <w:b/>
          <w:caps/>
          <w:sz w:val="22"/>
        </w:rPr>
        <w:t xml:space="preserve"> </w:t>
      </w:r>
      <w:r w:rsidRPr="00C745EE">
        <w:rPr>
          <w:rFonts w:ascii="Arial" w:hAnsi="Arial" w:cs="Arial"/>
          <w:b/>
          <w:sz w:val="22"/>
        </w:rPr>
        <w:t>Correlation Between Growth Traits and Chemical Composition</w:t>
      </w:r>
      <w:r w:rsidRPr="00C30A0F">
        <w:rPr>
          <w:rFonts w:ascii="Arial" w:hAnsi="Arial" w:cs="Arial"/>
          <w:b/>
          <w:sz w:val="22"/>
        </w:rPr>
        <w:t xml:space="preserve"> </w:t>
      </w:r>
    </w:p>
    <w:p w14:paraId="35F21A2B" w14:textId="61971920" w:rsidR="00C745EE" w:rsidRPr="00C745EE" w:rsidRDefault="00C745EE" w:rsidP="00C745EE">
      <w:pPr>
        <w:pStyle w:val="Body"/>
        <w:rPr>
          <w:rFonts w:ascii="Arial" w:hAnsi="Arial" w:cs="Arial"/>
        </w:rPr>
      </w:pPr>
      <w:r w:rsidRPr="00C745EE">
        <w:rPr>
          <w:rFonts w:ascii="Arial" w:hAnsi="Arial" w:cs="Arial"/>
        </w:rPr>
        <w:t>The correlations of the plant height and fresh fodder yield with chemical composition and forage quality are presented in Figure 2. Plant height was positively correlated with structural fiber fractions such as NDF, ADF, and CEL (</w:t>
      </w:r>
      <w:r w:rsidRPr="00C43278">
        <w:rPr>
          <w:rFonts w:ascii="Arial" w:hAnsi="Arial" w:cs="Arial"/>
          <w:i/>
          <w:iCs/>
        </w:rPr>
        <w:t>P</w:t>
      </w:r>
      <w:r w:rsidRPr="00C745EE">
        <w:rPr>
          <w:rFonts w:ascii="Arial" w:hAnsi="Arial" w:cs="Arial"/>
        </w:rPr>
        <w:t xml:space="preserve"> &lt; .05), indicating that increased plant elongation may be accompanied by increased fiber fraction contents. In addition, negative correlations were observed between plant height and RFQ, OM, and DM (</w:t>
      </w:r>
      <w:r w:rsidRPr="00C43278">
        <w:rPr>
          <w:rFonts w:ascii="Arial" w:hAnsi="Arial" w:cs="Arial"/>
          <w:i/>
          <w:iCs/>
        </w:rPr>
        <w:t>P</w:t>
      </w:r>
      <w:r w:rsidRPr="00C745EE">
        <w:rPr>
          <w:rFonts w:ascii="Arial" w:hAnsi="Arial" w:cs="Arial"/>
        </w:rPr>
        <w:t xml:space="preserve"> &gt; .05). The observed positive correlation between plant height and structural fiber fractions indicates that as plants grow taller, their structural complexity and lignification increase. This is a common phenomenon in forage crops, especially grasses and some legumes, where plant maturation and elongation lead to increased deposition of cell wall components, particularly cellulose and hemicellulose.</w:t>
      </w:r>
    </w:p>
    <w:p w14:paraId="5D4CC279" w14:textId="23118060" w:rsidR="00790ADA" w:rsidRDefault="00C745EE" w:rsidP="00C43278">
      <w:pPr>
        <w:pStyle w:val="Body"/>
        <w:rPr>
          <w:rFonts w:ascii="Arial" w:hAnsi="Arial" w:cs="Arial"/>
        </w:rPr>
      </w:pPr>
      <w:r w:rsidRPr="00C745EE">
        <w:rPr>
          <w:rFonts w:ascii="Arial" w:hAnsi="Arial" w:cs="Arial"/>
        </w:rPr>
        <w:t>Fresh fodder yield also showed significant positive correlations with OM, CEL (</w:t>
      </w:r>
      <w:r w:rsidRPr="00C43278">
        <w:rPr>
          <w:rFonts w:ascii="Arial" w:hAnsi="Arial" w:cs="Arial"/>
          <w:i/>
          <w:iCs/>
        </w:rPr>
        <w:t>P</w:t>
      </w:r>
      <w:r w:rsidRPr="00C745EE">
        <w:rPr>
          <w:rFonts w:ascii="Arial" w:hAnsi="Arial" w:cs="Arial"/>
        </w:rPr>
        <w:t xml:space="preserve"> &lt; .01), NDF, ADF, and ADL (</w:t>
      </w:r>
      <w:r w:rsidRPr="00C43278">
        <w:rPr>
          <w:rFonts w:ascii="Arial" w:hAnsi="Arial" w:cs="Arial"/>
          <w:i/>
          <w:iCs/>
        </w:rPr>
        <w:t>P</w:t>
      </w:r>
      <w:r w:rsidRPr="00C745EE">
        <w:rPr>
          <w:rFonts w:ascii="Arial" w:hAnsi="Arial" w:cs="Arial"/>
        </w:rPr>
        <w:t xml:space="preserve"> &lt; .05), while showing a strong negative correlation with RFQ (</w:t>
      </w:r>
      <w:r w:rsidRPr="00C43278">
        <w:rPr>
          <w:rFonts w:ascii="Arial" w:hAnsi="Arial" w:cs="Arial"/>
          <w:i/>
          <w:iCs/>
        </w:rPr>
        <w:t>P</w:t>
      </w:r>
      <w:r w:rsidRPr="00C745EE">
        <w:rPr>
          <w:rFonts w:ascii="Arial" w:hAnsi="Arial" w:cs="Arial"/>
        </w:rPr>
        <w:t xml:space="preserve"> &lt; .01). These findings further affirm that increased biomass may come at the expense of forage quality unless seed germination is optimally controlled.</w:t>
      </w:r>
    </w:p>
    <w:p w14:paraId="6C599527" w14:textId="77777777" w:rsidR="006F76AA" w:rsidRDefault="006F76AA" w:rsidP="006F76AA">
      <w:pPr>
        <w:ind w:right="26"/>
        <w:jc w:val="center"/>
        <w:rPr>
          <w:rFonts w:asciiTheme="majorBidi" w:hAnsiTheme="majorBidi" w:cstheme="majorBidi"/>
          <w:sz w:val="24"/>
          <w:szCs w:val="24"/>
        </w:rPr>
      </w:pPr>
      <w:r w:rsidRPr="00755047">
        <w:rPr>
          <w:noProof/>
        </w:rPr>
        <w:lastRenderedPageBreak/>
        <w:drawing>
          <wp:inline distT="0" distB="0" distL="0" distR="0" wp14:anchorId="46DBC037" wp14:editId="0C8D7FB3">
            <wp:extent cx="5057775" cy="6569433"/>
            <wp:effectExtent l="0" t="0" r="0" b="0"/>
            <wp:docPr id="1620182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545" t="11558" r="5185"/>
                    <a:stretch/>
                  </pic:blipFill>
                  <pic:spPr bwMode="auto">
                    <a:xfrm>
                      <a:off x="0" y="0"/>
                      <a:ext cx="5074819" cy="6591571"/>
                    </a:xfrm>
                    <a:prstGeom prst="rect">
                      <a:avLst/>
                    </a:prstGeom>
                    <a:noFill/>
                    <a:ln>
                      <a:noFill/>
                    </a:ln>
                    <a:extLst>
                      <a:ext uri="{53640926-AAD7-44D8-BBD7-CCE9431645EC}">
                        <a14:shadowObscured xmlns:a14="http://schemas.microsoft.com/office/drawing/2010/main"/>
                      </a:ext>
                    </a:extLst>
                  </pic:spPr>
                </pic:pic>
              </a:graphicData>
            </a:graphic>
          </wp:inline>
        </w:drawing>
      </w:r>
    </w:p>
    <w:p w14:paraId="43BBDC13" w14:textId="19DE8BA4" w:rsidR="006F76AA" w:rsidRDefault="006F76AA" w:rsidP="006F76AA">
      <w:pPr>
        <w:spacing w:after="60"/>
        <w:ind w:right="29"/>
        <w:jc w:val="both"/>
        <w:rPr>
          <w:rFonts w:asciiTheme="majorBidi" w:hAnsiTheme="majorBidi" w:cstheme="majorBidi"/>
          <w:sz w:val="24"/>
          <w:szCs w:val="24"/>
        </w:rPr>
      </w:pPr>
      <w:r w:rsidRPr="00880980">
        <w:rPr>
          <w:rFonts w:ascii="Arial" w:hAnsi="Arial" w:cs="Arial"/>
          <w:b/>
          <w:bCs/>
          <w:szCs w:val="22"/>
        </w:rPr>
        <w:t>Figure 2. Direction, magnitude, correlation coefficients, and significance level of the correlations between (a) plant height and (b) fresh fodder yield with nutritive values regardless of treatments.</w:t>
      </w:r>
    </w:p>
    <w:p w14:paraId="2BB3CB91" w14:textId="655F9DDD" w:rsidR="00C43278" w:rsidRPr="00880980" w:rsidRDefault="006F76AA" w:rsidP="00880980">
      <w:pPr>
        <w:autoSpaceDE w:val="0"/>
        <w:autoSpaceDN w:val="0"/>
        <w:adjustRightInd w:val="0"/>
        <w:jc w:val="both"/>
        <w:rPr>
          <w:rFonts w:ascii="Arial" w:hAnsi="Arial" w:cs="Arial"/>
          <w:i/>
          <w:sz w:val="18"/>
        </w:rPr>
      </w:pPr>
      <w:r w:rsidRPr="00880980">
        <w:rPr>
          <w:rFonts w:ascii="Arial" w:hAnsi="Arial" w:cs="Arial"/>
          <w:i/>
          <w:sz w:val="18"/>
        </w:rPr>
        <w:t>RFQ: relative forage quality, RFV: relative feed value, IVTD: in vitro true digestibility, CEL: cellulose, ADL: acid detergent lignin, ADF: acid detergent fiber, NDF: neutral detergent fiber, OM: organic matter, DM: dry matter.</w:t>
      </w:r>
      <w:r w:rsidR="00880980" w:rsidRPr="00880980">
        <w:rPr>
          <w:rFonts w:ascii="Arial" w:hAnsi="Arial" w:cs="Arial"/>
          <w:i/>
          <w:sz w:val="18"/>
        </w:rPr>
        <w:t xml:space="preserve"> * P&lt;0.05, ** P&lt;0.01. </w:t>
      </w:r>
    </w:p>
    <w:p w14:paraId="380072EC" w14:textId="77777777" w:rsidR="00880980" w:rsidRDefault="00880980" w:rsidP="00441B6F">
      <w:pPr>
        <w:pStyle w:val="Body"/>
        <w:spacing w:after="0"/>
        <w:rPr>
          <w:rFonts w:ascii="Arial" w:hAnsi="Arial" w:cs="Arial"/>
        </w:rPr>
      </w:pPr>
    </w:p>
    <w:p w14:paraId="4499CD8D"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B6F7A34" w14:textId="77777777" w:rsidR="00790ADA" w:rsidRPr="00FB3A86" w:rsidRDefault="00790ADA" w:rsidP="00441B6F">
      <w:pPr>
        <w:pStyle w:val="ConcHead"/>
        <w:spacing w:after="0"/>
        <w:jc w:val="both"/>
        <w:rPr>
          <w:rFonts w:ascii="Arial" w:hAnsi="Arial" w:cs="Arial"/>
        </w:rPr>
      </w:pPr>
    </w:p>
    <w:p w14:paraId="288D1B6F" w14:textId="77777777" w:rsidR="002A75D4" w:rsidRPr="002A75D4" w:rsidRDefault="002A75D4" w:rsidP="002A75D4">
      <w:pPr>
        <w:pStyle w:val="Body"/>
        <w:rPr>
          <w:rFonts w:ascii="Arial" w:hAnsi="Arial" w:cs="Arial"/>
        </w:rPr>
      </w:pPr>
      <w:r w:rsidRPr="002A75D4">
        <w:rPr>
          <w:rFonts w:ascii="Arial" w:hAnsi="Arial" w:cs="Arial"/>
        </w:rPr>
        <w:t xml:space="preserve">This study demonstrates that short-duration seed moistening at room temperature or mild cold conditions (+4 °C for one day) is an effective approach to enhance forage yield, DM content, and nutritional quality of barley green fodder cultivated in hydroponic systems. In contrast, prolonged cold exposure (+4TD) and freezing treatments (-18OD and -18TD) were associated with increased lignification and reduced digestibility, despite producing relatively higher fresh biomass. Greater plant height and fresh yield were associated with higher fiber fractions but lower digestibility and forage quality metrics. </w:t>
      </w:r>
    </w:p>
    <w:p w14:paraId="5EB010E1" w14:textId="48623F2D" w:rsidR="00B01FCD" w:rsidRDefault="002A75D4" w:rsidP="002A75D4">
      <w:pPr>
        <w:pStyle w:val="Body"/>
        <w:spacing w:after="0"/>
        <w:rPr>
          <w:rFonts w:ascii="Arial" w:hAnsi="Arial" w:cs="Arial"/>
        </w:rPr>
      </w:pPr>
      <w:r w:rsidRPr="002A75D4">
        <w:rPr>
          <w:rFonts w:ascii="Arial" w:hAnsi="Arial" w:cs="Arial"/>
        </w:rPr>
        <w:t xml:space="preserve">To optimize hydroponic fodder systems for ruminant nutrition, it is recommended that seed moistening protocols emphasize brief durations (24 hours) at ambient or mildly cold conditions (+4 °C). These approaches balance efficient germination, nutrient preservation, and structural quality. Further studies could explore the physiological mechanisms underlying these responses and evaluate their effects on animal performance </w:t>
      </w:r>
      <w:r w:rsidRPr="00FC5822">
        <w:rPr>
          <w:rFonts w:ascii="Arial" w:hAnsi="Arial" w:cs="Arial"/>
          <w:i/>
          <w:iCs/>
        </w:rPr>
        <w:t>in vivo</w:t>
      </w:r>
      <w:r w:rsidRPr="002A75D4">
        <w:rPr>
          <w:rFonts w:ascii="Arial" w:hAnsi="Arial" w:cs="Arial"/>
        </w:rPr>
        <w:t>, particularly in dairy and meat production systems.</w:t>
      </w:r>
    </w:p>
    <w:p w14:paraId="23846879" w14:textId="77777777" w:rsidR="00790ADA" w:rsidRPr="00FB3A86" w:rsidRDefault="00790ADA" w:rsidP="00441B6F">
      <w:pPr>
        <w:pStyle w:val="Body"/>
        <w:spacing w:after="0"/>
        <w:rPr>
          <w:rFonts w:ascii="Arial" w:hAnsi="Arial" w:cs="Arial"/>
        </w:rPr>
      </w:pPr>
    </w:p>
    <w:p w14:paraId="12BA9525" w14:textId="2B43D649" w:rsidR="00371FB6" w:rsidRPr="00CB63E1" w:rsidRDefault="00371FB6" w:rsidP="00441B6F">
      <w:pPr>
        <w:pStyle w:val="ReferHead"/>
        <w:spacing w:after="0"/>
        <w:jc w:val="both"/>
        <w:rPr>
          <w:rFonts w:ascii="Arial" w:hAnsi="Arial" w:cs="Arial"/>
          <w:b w:val="0"/>
          <w:caps w:val="0"/>
          <w:sz w:val="20"/>
        </w:rPr>
      </w:pPr>
      <w:bookmarkStart w:id="3" w:name="_GoBack"/>
      <w:bookmarkEnd w:id="3"/>
    </w:p>
    <w:p w14:paraId="1AF86CF5" w14:textId="77777777" w:rsidR="002B685A" w:rsidRDefault="002B685A" w:rsidP="00441B6F">
      <w:pPr>
        <w:pStyle w:val="ReferHead"/>
        <w:spacing w:after="0"/>
        <w:jc w:val="both"/>
        <w:rPr>
          <w:rFonts w:ascii="Arial" w:hAnsi="Arial" w:cs="Arial"/>
          <w:b w:val="0"/>
          <w:caps w:val="0"/>
          <w:sz w:val="20"/>
        </w:rPr>
      </w:pPr>
    </w:p>
    <w:p w14:paraId="05A5AF3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3EADB6" w14:textId="77777777" w:rsidR="00790ADA" w:rsidRPr="00FB3A86" w:rsidRDefault="00790ADA" w:rsidP="00441B6F">
      <w:pPr>
        <w:pStyle w:val="ReferHead"/>
        <w:spacing w:after="0"/>
        <w:jc w:val="both"/>
        <w:rPr>
          <w:rFonts w:ascii="Arial" w:hAnsi="Arial" w:cs="Arial"/>
        </w:rPr>
      </w:pPr>
    </w:p>
    <w:p w14:paraId="19663DF3" w14:textId="77777777" w:rsidR="00AD6497" w:rsidRDefault="00AD6497" w:rsidP="003F5579">
      <w:pPr>
        <w:pStyle w:val="Body"/>
        <w:spacing w:after="60"/>
        <w:rPr>
          <w:rFonts w:ascii="Arial" w:hAnsi="Arial" w:cs="Arial"/>
        </w:rPr>
      </w:pPr>
      <w:r w:rsidRPr="00AD6497">
        <w:rPr>
          <w:rFonts w:ascii="Arial" w:hAnsi="Arial" w:cs="Arial"/>
        </w:rPr>
        <w:t>Abdel-</w:t>
      </w:r>
      <w:proofErr w:type="spellStart"/>
      <w:r w:rsidRPr="00AD6497">
        <w:rPr>
          <w:rFonts w:ascii="Arial" w:hAnsi="Arial" w:cs="Arial"/>
        </w:rPr>
        <w:t>Wareth</w:t>
      </w:r>
      <w:proofErr w:type="spellEnd"/>
      <w:r w:rsidRPr="00AD6497">
        <w:rPr>
          <w:rFonts w:ascii="Arial" w:hAnsi="Arial" w:cs="Arial"/>
        </w:rPr>
        <w:t xml:space="preserve">, A. A., Mohamed, E. M., Hassan, H. A., </w:t>
      </w:r>
      <w:proofErr w:type="spellStart"/>
      <w:r w:rsidRPr="00AD6497">
        <w:rPr>
          <w:rFonts w:ascii="Arial" w:hAnsi="Arial" w:cs="Arial"/>
        </w:rPr>
        <w:t>Eldeek</w:t>
      </w:r>
      <w:proofErr w:type="spellEnd"/>
      <w:r w:rsidRPr="00AD6497">
        <w:rPr>
          <w:rFonts w:ascii="Arial" w:hAnsi="Arial" w:cs="Arial"/>
        </w:rPr>
        <w:t xml:space="preserve">, A. A., &amp; </w:t>
      </w:r>
      <w:proofErr w:type="spellStart"/>
      <w:r w:rsidRPr="00AD6497">
        <w:rPr>
          <w:rFonts w:ascii="Arial" w:hAnsi="Arial" w:cs="Arial"/>
        </w:rPr>
        <w:t>Lohakare</w:t>
      </w:r>
      <w:proofErr w:type="spellEnd"/>
      <w:r w:rsidRPr="00AD6497">
        <w:rPr>
          <w:rFonts w:ascii="Arial" w:hAnsi="Arial" w:cs="Arial"/>
        </w:rPr>
        <w:t xml:space="preserve">, J. (2023). Effect of substituting hydroponic barley forage with or without enzymes on performance of growing rabbits. Scientific Reports </w:t>
      </w:r>
      <w:hyperlink r:id="rId16" w:history="1">
        <w:r w:rsidRPr="00411BE8">
          <w:rPr>
            <w:rStyle w:val="Hyperlink"/>
            <w:rFonts w:ascii="Arial" w:hAnsi="Arial" w:cs="Arial"/>
          </w:rPr>
          <w:t>https://doi.org/10.1038/s41598-023-27911-x</w:t>
        </w:r>
      </w:hyperlink>
      <w:r>
        <w:rPr>
          <w:rFonts w:ascii="Arial" w:hAnsi="Arial" w:cs="Arial"/>
        </w:rPr>
        <w:t xml:space="preserve"> </w:t>
      </w:r>
    </w:p>
    <w:p w14:paraId="074990E3" w14:textId="77777777" w:rsidR="00AD6497" w:rsidRDefault="00AD6497" w:rsidP="003F5579">
      <w:pPr>
        <w:pStyle w:val="Body"/>
        <w:spacing w:after="60"/>
        <w:rPr>
          <w:rFonts w:ascii="Arial" w:hAnsi="Arial" w:cs="Arial"/>
        </w:rPr>
      </w:pPr>
      <w:proofErr w:type="spellStart"/>
      <w:r w:rsidRPr="00AD6497">
        <w:rPr>
          <w:rFonts w:ascii="Arial" w:hAnsi="Arial" w:cs="Arial"/>
        </w:rPr>
        <w:t>Abouelezz</w:t>
      </w:r>
      <w:proofErr w:type="spellEnd"/>
      <w:r w:rsidRPr="00AD6497">
        <w:rPr>
          <w:rFonts w:ascii="Arial" w:hAnsi="Arial" w:cs="Arial"/>
        </w:rPr>
        <w:t xml:space="preserve">, K. F. M., Sayed, M. A. M., &amp; </w:t>
      </w:r>
      <w:proofErr w:type="spellStart"/>
      <w:r w:rsidRPr="00AD6497">
        <w:rPr>
          <w:rFonts w:ascii="Arial" w:hAnsi="Arial" w:cs="Arial"/>
        </w:rPr>
        <w:t>Abdelnabi</w:t>
      </w:r>
      <w:proofErr w:type="spellEnd"/>
      <w:r w:rsidRPr="00AD6497">
        <w:rPr>
          <w:rFonts w:ascii="Arial" w:hAnsi="Arial" w:cs="Arial"/>
        </w:rPr>
        <w:t xml:space="preserve">, M. A. (2019). Evaluation of hydroponic barley sprouts as a feed supplement for laying Japanese quail: Effects on egg production, egg quality, fertility, blood constituents, and internal organs. Animal Feed Science and Technology, 252, 126-135. </w:t>
      </w:r>
      <w:hyperlink r:id="rId17" w:history="1">
        <w:r w:rsidRPr="00411BE8">
          <w:rPr>
            <w:rStyle w:val="Hyperlink"/>
            <w:rFonts w:ascii="Arial" w:hAnsi="Arial" w:cs="Arial"/>
          </w:rPr>
          <w:t>https://doi.org/10.1016/j.anifeedsci.2019.04.011</w:t>
        </w:r>
      </w:hyperlink>
      <w:r>
        <w:rPr>
          <w:rFonts w:ascii="Arial" w:hAnsi="Arial" w:cs="Arial"/>
        </w:rPr>
        <w:t xml:space="preserve"> </w:t>
      </w:r>
    </w:p>
    <w:p w14:paraId="28763FDA" w14:textId="77777777" w:rsidR="00AD6497" w:rsidRDefault="00AD6497" w:rsidP="003F5579">
      <w:pPr>
        <w:pStyle w:val="Body"/>
        <w:spacing w:after="60"/>
        <w:rPr>
          <w:rFonts w:ascii="Arial" w:hAnsi="Arial" w:cs="Arial"/>
        </w:rPr>
      </w:pPr>
      <w:proofErr w:type="spellStart"/>
      <w:r w:rsidRPr="00AD6497">
        <w:rPr>
          <w:rFonts w:ascii="Arial" w:hAnsi="Arial" w:cs="Arial"/>
        </w:rPr>
        <w:t>Alharthi</w:t>
      </w:r>
      <w:proofErr w:type="spellEnd"/>
      <w:r w:rsidRPr="00AD6497">
        <w:rPr>
          <w:rFonts w:ascii="Arial" w:hAnsi="Arial" w:cs="Arial"/>
        </w:rPr>
        <w:t>, A. S., Al-</w:t>
      </w:r>
      <w:proofErr w:type="spellStart"/>
      <w:r w:rsidRPr="00AD6497">
        <w:rPr>
          <w:rFonts w:ascii="Arial" w:hAnsi="Arial" w:cs="Arial"/>
        </w:rPr>
        <w:t>Baadani</w:t>
      </w:r>
      <w:proofErr w:type="spellEnd"/>
      <w:r w:rsidRPr="00AD6497">
        <w:rPr>
          <w:rFonts w:ascii="Arial" w:hAnsi="Arial" w:cs="Arial"/>
        </w:rPr>
        <w:t xml:space="preserve">, H. H., Abdelrahman, M. M., &amp; </w:t>
      </w:r>
      <w:proofErr w:type="spellStart"/>
      <w:r w:rsidRPr="00AD6497">
        <w:rPr>
          <w:rFonts w:ascii="Arial" w:hAnsi="Arial" w:cs="Arial"/>
        </w:rPr>
        <w:t>Alhidary</w:t>
      </w:r>
      <w:proofErr w:type="spellEnd"/>
      <w:r w:rsidRPr="00AD6497">
        <w:rPr>
          <w:rFonts w:ascii="Arial" w:hAnsi="Arial" w:cs="Arial"/>
        </w:rPr>
        <w:t xml:space="preserve">, I. A. (2023). Effects of feeding different levels of sprouted barley on fermentation characteristics, bacterial quantification, and rumen morphology of growing lambs. Veterinary Sciences, 10(1), Article 15. </w:t>
      </w:r>
      <w:hyperlink r:id="rId18" w:history="1">
        <w:r w:rsidRPr="00411BE8">
          <w:rPr>
            <w:rStyle w:val="Hyperlink"/>
            <w:rFonts w:ascii="Arial" w:hAnsi="Arial" w:cs="Arial"/>
          </w:rPr>
          <w:t>https://doi.org/10.3390/vetsci10010015</w:t>
        </w:r>
      </w:hyperlink>
      <w:r>
        <w:rPr>
          <w:rFonts w:ascii="Arial" w:hAnsi="Arial" w:cs="Arial"/>
        </w:rPr>
        <w:t xml:space="preserve"> </w:t>
      </w:r>
    </w:p>
    <w:p w14:paraId="2048A568" w14:textId="77777777" w:rsidR="00AD6497" w:rsidRDefault="00AD6497" w:rsidP="003F5579">
      <w:pPr>
        <w:pStyle w:val="Body"/>
        <w:spacing w:after="60"/>
        <w:rPr>
          <w:rFonts w:ascii="Arial" w:hAnsi="Arial" w:cs="Arial"/>
        </w:rPr>
      </w:pPr>
      <w:r w:rsidRPr="00AD6497">
        <w:rPr>
          <w:rFonts w:ascii="Arial" w:hAnsi="Arial" w:cs="Arial"/>
        </w:rPr>
        <w:t xml:space="preserve">Al-Kanaan, A. J. J. (2022). Effects of adding different levels of hydroponic barley fodder on the productive performance and economic value of broiler chickens. Archives of </w:t>
      </w:r>
      <w:proofErr w:type="spellStart"/>
      <w:r w:rsidRPr="00AD6497">
        <w:rPr>
          <w:rFonts w:ascii="Arial" w:hAnsi="Arial" w:cs="Arial"/>
        </w:rPr>
        <w:t>Razi</w:t>
      </w:r>
      <w:proofErr w:type="spellEnd"/>
      <w:r w:rsidRPr="00AD6497">
        <w:rPr>
          <w:rFonts w:ascii="Arial" w:hAnsi="Arial" w:cs="Arial"/>
        </w:rPr>
        <w:t xml:space="preserve"> Institute, 77(5), 1853-1864. </w:t>
      </w:r>
      <w:hyperlink r:id="rId19" w:history="1">
        <w:r w:rsidRPr="00411BE8">
          <w:rPr>
            <w:rStyle w:val="Hyperlink"/>
            <w:rFonts w:ascii="Arial" w:hAnsi="Arial" w:cs="Arial"/>
          </w:rPr>
          <w:t>https://doi.org/10.22092/ARI.2022.358131.2157</w:t>
        </w:r>
      </w:hyperlink>
      <w:r>
        <w:rPr>
          <w:rFonts w:ascii="Arial" w:hAnsi="Arial" w:cs="Arial"/>
        </w:rPr>
        <w:t xml:space="preserve"> </w:t>
      </w:r>
    </w:p>
    <w:p w14:paraId="6B7A7F56" w14:textId="7EF1E0C3" w:rsidR="003F5579" w:rsidRPr="003F5579" w:rsidRDefault="003F5579" w:rsidP="003F5579">
      <w:pPr>
        <w:pStyle w:val="Body"/>
        <w:spacing w:after="60"/>
        <w:rPr>
          <w:rFonts w:ascii="Arial" w:hAnsi="Arial" w:cs="Arial"/>
        </w:rPr>
      </w:pPr>
      <w:proofErr w:type="spellStart"/>
      <w:r w:rsidRPr="003F5579">
        <w:rPr>
          <w:rFonts w:ascii="Arial" w:hAnsi="Arial" w:cs="Arial"/>
        </w:rPr>
        <w:t>Ankom</w:t>
      </w:r>
      <w:proofErr w:type="spellEnd"/>
      <w:r w:rsidRPr="003F5579">
        <w:rPr>
          <w:rFonts w:ascii="Arial" w:hAnsi="Arial" w:cs="Arial"/>
        </w:rPr>
        <w:t>. (2002). Operator’s Manual ANKOM200/220 Daisy Incubator. ANKOM Technology</w:t>
      </w:r>
      <w:r w:rsidR="00613D02">
        <w:rPr>
          <w:rFonts w:ascii="Arial" w:hAnsi="Arial" w:cs="Arial"/>
        </w:rPr>
        <w:t xml:space="preserve"> </w:t>
      </w:r>
      <w:r w:rsidRPr="003F5579">
        <w:rPr>
          <w:rFonts w:ascii="Arial" w:hAnsi="Arial" w:cs="Arial"/>
        </w:rPr>
        <w:t>Corp., Fairport, NY.</w:t>
      </w:r>
    </w:p>
    <w:p w14:paraId="2B85F851" w14:textId="77777777" w:rsidR="00970A62" w:rsidRDefault="00970A62" w:rsidP="003F5579">
      <w:pPr>
        <w:pStyle w:val="Body"/>
        <w:spacing w:after="60"/>
        <w:rPr>
          <w:rFonts w:ascii="Arial" w:hAnsi="Arial" w:cs="Arial"/>
        </w:rPr>
      </w:pPr>
      <w:proofErr w:type="spellStart"/>
      <w:r w:rsidRPr="00970A62">
        <w:rPr>
          <w:rFonts w:ascii="Arial" w:hAnsi="Arial" w:cs="Arial"/>
        </w:rPr>
        <w:t>Ankom</w:t>
      </w:r>
      <w:proofErr w:type="spellEnd"/>
      <w:r w:rsidRPr="00970A62">
        <w:rPr>
          <w:rFonts w:ascii="Arial" w:hAnsi="Arial" w:cs="Arial"/>
        </w:rPr>
        <w:t xml:space="preserve">. (2003). Operator's Manual ANKOM XT15 Analyzer, method for determining ether extract, </w:t>
      </w:r>
      <w:proofErr w:type="spellStart"/>
      <w:r w:rsidRPr="00970A62">
        <w:rPr>
          <w:rFonts w:ascii="Arial" w:hAnsi="Arial" w:cs="Arial"/>
        </w:rPr>
        <w:t>Ankom</w:t>
      </w:r>
      <w:proofErr w:type="spellEnd"/>
      <w:r w:rsidRPr="00970A62">
        <w:rPr>
          <w:rFonts w:ascii="Arial" w:hAnsi="Arial" w:cs="Arial"/>
        </w:rPr>
        <w:t xml:space="preserve"> Technology, Macedon, NY.</w:t>
      </w:r>
      <w:r>
        <w:rPr>
          <w:rFonts w:ascii="Arial" w:hAnsi="Arial" w:cs="Arial"/>
        </w:rPr>
        <w:t xml:space="preserve"> </w:t>
      </w:r>
    </w:p>
    <w:p w14:paraId="5A820AB3" w14:textId="40DE4EE8" w:rsidR="003F5579" w:rsidRPr="003F5579" w:rsidRDefault="003F5579" w:rsidP="003F5579">
      <w:pPr>
        <w:pStyle w:val="Body"/>
        <w:spacing w:after="60"/>
        <w:rPr>
          <w:rFonts w:ascii="Arial" w:hAnsi="Arial" w:cs="Arial"/>
        </w:rPr>
      </w:pPr>
      <w:r w:rsidRPr="003F5579">
        <w:rPr>
          <w:rFonts w:ascii="Arial" w:hAnsi="Arial" w:cs="Arial"/>
        </w:rPr>
        <w:t>AOAC (1998). Official methods of analysis, 16th Edition, AOAC International, Gaithersburg,</w:t>
      </w:r>
      <w:r w:rsidR="00613D02">
        <w:rPr>
          <w:rFonts w:ascii="Arial" w:hAnsi="Arial" w:cs="Arial"/>
        </w:rPr>
        <w:t xml:space="preserve"> </w:t>
      </w:r>
      <w:r w:rsidRPr="003F5579">
        <w:rPr>
          <w:rFonts w:ascii="Arial" w:hAnsi="Arial" w:cs="Arial"/>
        </w:rPr>
        <w:t>MD.</w:t>
      </w:r>
    </w:p>
    <w:p w14:paraId="720D771A" w14:textId="77777777" w:rsidR="00970A62" w:rsidRDefault="00970A62" w:rsidP="003F5579">
      <w:pPr>
        <w:pStyle w:val="Body"/>
        <w:spacing w:after="60"/>
        <w:rPr>
          <w:rFonts w:ascii="Arial" w:hAnsi="Arial" w:cs="Arial"/>
        </w:rPr>
      </w:pPr>
      <w:proofErr w:type="spellStart"/>
      <w:r w:rsidRPr="00970A62">
        <w:rPr>
          <w:rFonts w:ascii="Arial" w:hAnsi="Arial" w:cs="Arial"/>
        </w:rPr>
        <w:t>Beigh</w:t>
      </w:r>
      <w:proofErr w:type="spellEnd"/>
      <w:r w:rsidRPr="00970A62">
        <w:rPr>
          <w:rFonts w:ascii="Arial" w:hAnsi="Arial" w:cs="Arial"/>
        </w:rPr>
        <w:t xml:space="preserve">, Y. A., </w:t>
      </w:r>
      <w:proofErr w:type="spellStart"/>
      <w:r w:rsidRPr="00970A62">
        <w:rPr>
          <w:rFonts w:ascii="Arial" w:hAnsi="Arial" w:cs="Arial"/>
        </w:rPr>
        <w:t>Ganai</w:t>
      </w:r>
      <w:proofErr w:type="spellEnd"/>
      <w:r w:rsidRPr="00970A62">
        <w:rPr>
          <w:rFonts w:ascii="Arial" w:hAnsi="Arial" w:cs="Arial"/>
        </w:rPr>
        <w:t xml:space="preserve">, A. M., &amp; Ahmad, H. A. (2017). Prospects of complete feed system in ruminant feeding: A review. Veterinary World, 10(4), 424-437. </w:t>
      </w:r>
      <w:hyperlink r:id="rId20" w:history="1">
        <w:r w:rsidRPr="00411BE8">
          <w:rPr>
            <w:rStyle w:val="Hyperlink"/>
            <w:rFonts w:ascii="Arial" w:hAnsi="Arial" w:cs="Arial"/>
          </w:rPr>
          <w:t>https://doi.org/10.14202/vetworld.2017.424-437</w:t>
        </w:r>
      </w:hyperlink>
      <w:r>
        <w:rPr>
          <w:rFonts w:ascii="Arial" w:hAnsi="Arial" w:cs="Arial"/>
        </w:rPr>
        <w:t xml:space="preserve"> </w:t>
      </w:r>
    </w:p>
    <w:p w14:paraId="769653FB" w14:textId="77777777" w:rsidR="00970A62" w:rsidRDefault="00970A62" w:rsidP="003F5579">
      <w:pPr>
        <w:pStyle w:val="Body"/>
        <w:spacing w:after="60"/>
        <w:rPr>
          <w:rFonts w:ascii="Arial" w:hAnsi="Arial" w:cs="Arial"/>
        </w:rPr>
      </w:pPr>
      <w:r w:rsidRPr="00970A62">
        <w:rPr>
          <w:rFonts w:ascii="Arial" w:hAnsi="Arial" w:cs="Arial"/>
        </w:rPr>
        <w:t xml:space="preserve">Dung, D. D., Godwin, I. R., &amp; Nolan, J. V. (2010). Nutrient content and in </w:t>
      </w:r>
      <w:proofErr w:type="spellStart"/>
      <w:r w:rsidRPr="00970A62">
        <w:rPr>
          <w:rFonts w:ascii="Arial" w:hAnsi="Arial" w:cs="Arial"/>
        </w:rPr>
        <w:t>sacco</w:t>
      </w:r>
      <w:proofErr w:type="spellEnd"/>
      <w:r w:rsidRPr="00970A62">
        <w:rPr>
          <w:rFonts w:ascii="Arial" w:hAnsi="Arial" w:cs="Arial"/>
        </w:rPr>
        <w:t xml:space="preserve"> degradation of hydroponic barley sprouts grown using nutrient solution or tap water. Journal of Animal and Veterinary Advances, 9(18), 2432-2436. </w:t>
      </w:r>
      <w:hyperlink r:id="rId21" w:history="1">
        <w:r w:rsidRPr="00411BE8">
          <w:rPr>
            <w:rStyle w:val="Hyperlink"/>
            <w:rFonts w:ascii="Arial" w:hAnsi="Arial" w:cs="Arial"/>
          </w:rPr>
          <w:t>https://doi.org/10.3923/javaa.2010.2432.2436</w:t>
        </w:r>
      </w:hyperlink>
      <w:r>
        <w:rPr>
          <w:rFonts w:ascii="Arial" w:hAnsi="Arial" w:cs="Arial"/>
        </w:rPr>
        <w:t xml:space="preserve"> </w:t>
      </w:r>
    </w:p>
    <w:p w14:paraId="36B3DAF8" w14:textId="77777777" w:rsidR="00970A62" w:rsidRDefault="00970A62" w:rsidP="003F5579">
      <w:pPr>
        <w:pStyle w:val="Body"/>
        <w:spacing w:after="60"/>
        <w:rPr>
          <w:rFonts w:ascii="Arial" w:hAnsi="Arial" w:cs="Arial"/>
          <w:lang w:val="en-GB"/>
        </w:rPr>
      </w:pPr>
      <w:r w:rsidRPr="00970A62">
        <w:rPr>
          <w:rFonts w:ascii="Arial" w:hAnsi="Arial" w:cs="Arial"/>
          <w:lang w:val="en-GB"/>
        </w:rPr>
        <w:t xml:space="preserve">Dung, D.D., Godwin, I.R., &amp; Nolan, J.V. (2010). Nutrient content and in </w:t>
      </w:r>
      <w:proofErr w:type="spellStart"/>
      <w:r w:rsidRPr="00970A62">
        <w:rPr>
          <w:rFonts w:ascii="Arial" w:hAnsi="Arial" w:cs="Arial"/>
          <w:lang w:val="en-GB"/>
        </w:rPr>
        <w:t>sacco</w:t>
      </w:r>
      <w:proofErr w:type="spellEnd"/>
      <w:r w:rsidRPr="00970A62">
        <w:rPr>
          <w:rFonts w:ascii="Arial" w:hAnsi="Arial" w:cs="Arial"/>
          <w:lang w:val="en-GB"/>
        </w:rPr>
        <w:t xml:space="preserve"> digestibility of barley grain and sprouted barley. Journal of Animal and Veterinary Advances, 9, 2485-2492. </w:t>
      </w:r>
      <w:hyperlink r:id="rId22" w:history="1">
        <w:r w:rsidRPr="00411BE8">
          <w:rPr>
            <w:rStyle w:val="Hyperlink"/>
            <w:rFonts w:ascii="Arial" w:hAnsi="Arial" w:cs="Arial"/>
            <w:lang w:val="en-GB"/>
          </w:rPr>
          <w:t>https://doi.org/10.3923/javaa.2010.2485.2492</w:t>
        </w:r>
      </w:hyperlink>
      <w:r>
        <w:rPr>
          <w:rFonts w:ascii="Arial" w:hAnsi="Arial" w:cs="Arial"/>
          <w:lang w:val="en-GB"/>
        </w:rPr>
        <w:t xml:space="preserve"> </w:t>
      </w:r>
    </w:p>
    <w:p w14:paraId="733E48A5" w14:textId="37B1AFD9" w:rsidR="003F5579" w:rsidRPr="003F5579" w:rsidRDefault="003F5579" w:rsidP="003F5579">
      <w:pPr>
        <w:pStyle w:val="Body"/>
        <w:spacing w:after="60"/>
        <w:rPr>
          <w:rFonts w:ascii="Arial" w:hAnsi="Arial" w:cs="Arial"/>
        </w:rPr>
      </w:pPr>
      <w:proofErr w:type="spellStart"/>
      <w:r w:rsidRPr="003F5579">
        <w:rPr>
          <w:rFonts w:ascii="Arial" w:hAnsi="Arial" w:cs="Arial"/>
        </w:rPr>
        <w:lastRenderedPageBreak/>
        <w:t>Fazaeli</w:t>
      </w:r>
      <w:proofErr w:type="spellEnd"/>
      <w:r w:rsidRPr="003F5579">
        <w:rPr>
          <w:rFonts w:ascii="Arial" w:hAnsi="Arial" w:cs="Arial"/>
        </w:rPr>
        <w:t xml:space="preserve">, H., </w:t>
      </w:r>
      <w:proofErr w:type="spellStart"/>
      <w:r w:rsidRPr="003F5579">
        <w:rPr>
          <w:rFonts w:ascii="Arial" w:hAnsi="Arial" w:cs="Arial"/>
        </w:rPr>
        <w:t>Golmohammadı</w:t>
      </w:r>
      <w:proofErr w:type="spellEnd"/>
      <w:r w:rsidRPr="003F5579">
        <w:rPr>
          <w:rFonts w:ascii="Arial" w:hAnsi="Arial" w:cs="Arial"/>
        </w:rPr>
        <w:t xml:space="preserve">, H.A., </w:t>
      </w:r>
      <w:proofErr w:type="spellStart"/>
      <w:r w:rsidRPr="003F5579">
        <w:rPr>
          <w:rFonts w:ascii="Arial" w:hAnsi="Arial" w:cs="Arial"/>
        </w:rPr>
        <w:t>Tabatabayee</w:t>
      </w:r>
      <w:proofErr w:type="spellEnd"/>
      <w:r w:rsidRPr="003F5579">
        <w:rPr>
          <w:rFonts w:ascii="Arial" w:hAnsi="Arial" w:cs="Arial"/>
        </w:rPr>
        <w:t xml:space="preserve">, S.N., &amp; </w:t>
      </w:r>
      <w:proofErr w:type="spellStart"/>
      <w:r w:rsidRPr="003F5579">
        <w:rPr>
          <w:rFonts w:ascii="Arial" w:hAnsi="Arial" w:cs="Arial"/>
        </w:rPr>
        <w:t>Asgarı-Tabrızı</w:t>
      </w:r>
      <w:proofErr w:type="spellEnd"/>
      <w:r w:rsidRPr="003F5579">
        <w:rPr>
          <w:rFonts w:ascii="Arial" w:hAnsi="Arial" w:cs="Arial"/>
        </w:rPr>
        <w:t>, M.</w:t>
      </w:r>
      <w:r w:rsidR="00C956A7">
        <w:rPr>
          <w:rFonts w:ascii="Arial" w:hAnsi="Arial" w:cs="Arial"/>
        </w:rPr>
        <w:t xml:space="preserve"> </w:t>
      </w:r>
      <w:r w:rsidRPr="003F5579">
        <w:rPr>
          <w:rFonts w:ascii="Arial" w:hAnsi="Arial" w:cs="Arial"/>
        </w:rPr>
        <w:t xml:space="preserve">(2012). </w:t>
      </w:r>
      <w:proofErr w:type="spellStart"/>
      <w:r w:rsidRPr="003F5579">
        <w:rPr>
          <w:rFonts w:ascii="Arial" w:hAnsi="Arial" w:cs="Arial"/>
        </w:rPr>
        <w:t>Productivitiy</w:t>
      </w:r>
      <w:proofErr w:type="spellEnd"/>
      <w:r w:rsidRPr="003F5579">
        <w:rPr>
          <w:rFonts w:ascii="Arial" w:hAnsi="Arial" w:cs="Arial"/>
        </w:rPr>
        <w:t xml:space="preserve"> and nutritive value of barley green fodder yield in hydroponic system. World Appl. Sci. J. 16(4), 531-539. </w:t>
      </w:r>
    </w:p>
    <w:p w14:paraId="466448EA" w14:textId="77777777" w:rsidR="00970A62" w:rsidRDefault="00970A62" w:rsidP="003F5579">
      <w:pPr>
        <w:pStyle w:val="Body"/>
        <w:spacing w:after="60"/>
        <w:rPr>
          <w:rFonts w:ascii="Arial" w:hAnsi="Arial" w:cs="Arial"/>
        </w:rPr>
      </w:pPr>
      <w:proofErr w:type="spellStart"/>
      <w:r w:rsidRPr="00970A62">
        <w:rPr>
          <w:rFonts w:ascii="Arial" w:hAnsi="Arial" w:cs="Arial"/>
        </w:rPr>
        <w:t>Guney</w:t>
      </w:r>
      <w:proofErr w:type="spellEnd"/>
      <w:r w:rsidRPr="00970A62">
        <w:rPr>
          <w:rFonts w:ascii="Arial" w:hAnsi="Arial" w:cs="Arial"/>
        </w:rPr>
        <w:t xml:space="preserve">, M., </w:t>
      </w:r>
      <w:proofErr w:type="spellStart"/>
      <w:r w:rsidRPr="00970A62">
        <w:rPr>
          <w:rFonts w:ascii="Arial" w:hAnsi="Arial" w:cs="Arial"/>
        </w:rPr>
        <w:t>Bingol</w:t>
      </w:r>
      <w:proofErr w:type="spellEnd"/>
      <w:r w:rsidRPr="00970A62">
        <w:rPr>
          <w:rFonts w:ascii="Arial" w:hAnsi="Arial" w:cs="Arial"/>
        </w:rPr>
        <w:t xml:space="preserve">, N. T., &amp; Aksu, T. (2016). Relative feed value (RFV) and relative forage quality (RFQ) used in the classification of forage quality. Ataturk University Journal of Veterinary Sciences. </w:t>
      </w:r>
      <w:hyperlink r:id="rId23" w:history="1">
        <w:r w:rsidRPr="00411BE8">
          <w:rPr>
            <w:rStyle w:val="Hyperlink"/>
            <w:rFonts w:ascii="Arial" w:hAnsi="Arial" w:cs="Arial"/>
          </w:rPr>
          <w:t>https://doi.org/10.17094/avbd.50526</w:t>
        </w:r>
      </w:hyperlink>
      <w:r>
        <w:rPr>
          <w:rFonts w:ascii="Arial" w:hAnsi="Arial" w:cs="Arial"/>
        </w:rPr>
        <w:t xml:space="preserve"> </w:t>
      </w:r>
    </w:p>
    <w:p w14:paraId="5FB42F96" w14:textId="77777777" w:rsidR="00970A62" w:rsidRDefault="00970A62" w:rsidP="003F5579">
      <w:pPr>
        <w:pStyle w:val="Body"/>
        <w:spacing w:after="60"/>
        <w:rPr>
          <w:rFonts w:ascii="Arial" w:hAnsi="Arial" w:cs="Arial"/>
        </w:rPr>
      </w:pPr>
      <w:r w:rsidRPr="00970A62">
        <w:rPr>
          <w:rFonts w:ascii="Arial" w:hAnsi="Arial" w:cs="Arial"/>
        </w:rPr>
        <w:t xml:space="preserve">Hassan, M. A., Xiang, C., Farooq, M., Muhammad, N., Yan, Z., Hui, X., Yuanyuan, K., Bruno, A. K., </w:t>
      </w:r>
      <w:proofErr w:type="spellStart"/>
      <w:r w:rsidRPr="00970A62">
        <w:rPr>
          <w:rFonts w:ascii="Arial" w:hAnsi="Arial" w:cs="Arial"/>
        </w:rPr>
        <w:t>Lele</w:t>
      </w:r>
      <w:proofErr w:type="spellEnd"/>
      <w:r w:rsidRPr="00970A62">
        <w:rPr>
          <w:rFonts w:ascii="Arial" w:hAnsi="Arial" w:cs="Arial"/>
        </w:rPr>
        <w:t xml:space="preserve">, Z., &amp; Li, J. (2021). Cold stress in wheat: Plant acclimation responses and management strategies. Frontiers in Plant Science, 12, 676884. </w:t>
      </w:r>
      <w:hyperlink r:id="rId24" w:history="1">
        <w:r w:rsidRPr="00411BE8">
          <w:rPr>
            <w:rStyle w:val="Hyperlink"/>
            <w:rFonts w:ascii="Arial" w:hAnsi="Arial" w:cs="Arial"/>
          </w:rPr>
          <w:t>https://doi.org/10.3389/fpls.2021.676884</w:t>
        </w:r>
      </w:hyperlink>
      <w:r>
        <w:rPr>
          <w:rFonts w:ascii="Arial" w:hAnsi="Arial" w:cs="Arial"/>
        </w:rPr>
        <w:t xml:space="preserve"> </w:t>
      </w:r>
    </w:p>
    <w:p w14:paraId="4336653B" w14:textId="77777777" w:rsidR="00970A62" w:rsidRDefault="00970A62" w:rsidP="003F5579">
      <w:pPr>
        <w:pStyle w:val="Body"/>
        <w:spacing w:after="60"/>
        <w:rPr>
          <w:rFonts w:ascii="Arial" w:hAnsi="Arial" w:cs="Arial"/>
        </w:rPr>
      </w:pPr>
      <w:proofErr w:type="spellStart"/>
      <w:r w:rsidRPr="00970A62">
        <w:rPr>
          <w:rFonts w:ascii="Arial" w:hAnsi="Arial" w:cs="Arial"/>
        </w:rPr>
        <w:t>Khaziev</w:t>
      </w:r>
      <w:proofErr w:type="spellEnd"/>
      <w:r w:rsidRPr="00970A62">
        <w:rPr>
          <w:rFonts w:ascii="Arial" w:hAnsi="Arial" w:cs="Arial"/>
        </w:rPr>
        <w:t xml:space="preserve">, D., </w:t>
      </w:r>
      <w:proofErr w:type="spellStart"/>
      <w:r w:rsidRPr="00970A62">
        <w:rPr>
          <w:rFonts w:ascii="Arial" w:hAnsi="Arial" w:cs="Arial"/>
        </w:rPr>
        <w:t>Gadiev</w:t>
      </w:r>
      <w:proofErr w:type="spellEnd"/>
      <w:r w:rsidRPr="00970A62">
        <w:rPr>
          <w:rFonts w:ascii="Arial" w:hAnsi="Arial" w:cs="Arial"/>
        </w:rPr>
        <w:t xml:space="preserve">, R., </w:t>
      </w:r>
      <w:proofErr w:type="spellStart"/>
      <w:r w:rsidRPr="00970A62">
        <w:rPr>
          <w:rFonts w:ascii="Arial" w:hAnsi="Arial" w:cs="Arial"/>
        </w:rPr>
        <w:t>Yusupova</w:t>
      </w:r>
      <w:proofErr w:type="spellEnd"/>
      <w:r w:rsidRPr="00970A62">
        <w:rPr>
          <w:rFonts w:ascii="Arial" w:hAnsi="Arial" w:cs="Arial"/>
        </w:rPr>
        <w:t xml:space="preserve">, C., </w:t>
      </w:r>
      <w:proofErr w:type="spellStart"/>
      <w:r w:rsidRPr="00970A62">
        <w:rPr>
          <w:rFonts w:ascii="Arial" w:hAnsi="Arial" w:cs="Arial"/>
        </w:rPr>
        <w:t>Kazanina</w:t>
      </w:r>
      <w:proofErr w:type="spellEnd"/>
      <w:r w:rsidRPr="00970A62">
        <w:rPr>
          <w:rFonts w:ascii="Arial" w:hAnsi="Arial" w:cs="Arial"/>
        </w:rPr>
        <w:t xml:space="preserve">, M., &amp; </w:t>
      </w:r>
      <w:proofErr w:type="spellStart"/>
      <w:r w:rsidRPr="00970A62">
        <w:rPr>
          <w:rFonts w:ascii="Arial" w:hAnsi="Arial" w:cs="Arial"/>
        </w:rPr>
        <w:t>Kopylova</w:t>
      </w:r>
      <w:proofErr w:type="spellEnd"/>
      <w:r w:rsidRPr="00970A62">
        <w:rPr>
          <w:rFonts w:ascii="Arial" w:hAnsi="Arial" w:cs="Arial"/>
        </w:rPr>
        <w:t xml:space="preserve">, S. (2021). Effect of hydroponic green herbage on the productive qualities of parent flock geese. Veterinary World, 14(4), 841–846. </w:t>
      </w:r>
      <w:hyperlink r:id="rId25" w:history="1">
        <w:r w:rsidRPr="00411BE8">
          <w:rPr>
            <w:rStyle w:val="Hyperlink"/>
            <w:rFonts w:ascii="Arial" w:hAnsi="Arial" w:cs="Arial"/>
          </w:rPr>
          <w:t>https://doi.org/10.14202/vetworld.2021.841-846</w:t>
        </w:r>
      </w:hyperlink>
      <w:r>
        <w:rPr>
          <w:rFonts w:ascii="Arial" w:hAnsi="Arial" w:cs="Arial"/>
        </w:rPr>
        <w:t xml:space="preserve"> </w:t>
      </w:r>
    </w:p>
    <w:p w14:paraId="5A46322F" w14:textId="77777777" w:rsidR="00970A62" w:rsidRDefault="00970A62" w:rsidP="003F5579">
      <w:pPr>
        <w:pStyle w:val="Body"/>
        <w:spacing w:after="60"/>
        <w:rPr>
          <w:rFonts w:ascii="Arial" w:hAnsi="Arial" w:cs="Arial"/>
        </w:rPr>
      </w:pPr>
      <w:proofErr w:type="spellStart"/>
      <w:r w:rsidRPr="00970A62">
        <w:rPr>
          <w:rFonts w:ascii="Arial" w:hAnsi="Arial" w:cs="Arial"/>
        </w:rPr>
        <w:t>Kılıç</w:t>
      </w:r>
      <w:proofErr w:type="spellEnd"/>
      <w:r w:rsidRPr="00970A62">
        <w:rPr>
          <w:rFonts w:ascii="Arial" w:hAnsi="Arial" w:cs="Arial"/>
        </w:rPr>
        <w:t xml:space="preserve">, Ü. (2016). Hydroponic systems in forage production. Turkish Journal of Agriculture - Food Science and Technology, 4(9), 793–799. </w:t>
      </w:r>
      <w:hyperlink r:id="rId26" w:history="1">
        <w:r w:rsidRPr="00411BE8">
          <w:rPr>
            <w:rStyle w:val="Hyperlink"/>
            <w:rFonts w:ascii="Arial" w:hAnsi="Arial" w:cs="Arial"/>
          </w:rPr>
          <w:t>https://doi.org/10.24925/turjaf.v4i9.793-799.859</w:t>
        </w:r>
      </w:hyperlink>
      <w:r>
        <w:rPr>
          <w:rFonts w:ascii="Arial" w:hAnsi="Arial" w:cs="Arial"/>
        </w:rPr>
        <w:t xml:space="preserve"> </w:t>
      </w:r>
    </w:p>
    <w:p w14:paraId="68399E09" w14:textId="77777777" w:rsidR="00970A62" w:rsidRDefault="00970A62" w:rsidP="003F5579">
      <w:pPr>
        <w:pStyle w:val="Body"/>
        <w:spacing w:after="60"/>
        <w:rPr>
          <w:rFonts w:ascii="Arial" w:hAnsi="Arial" w:cs="Arial"/>
          <w:lang w:val="sv-SE"/>
        </w:rPr>
      </w:pPr>
      <w:r w:rsidRPr="00970A62">
        <w:rPr>
          <w:rFonts w:ascii="Arial" w:hAnsi="Arial" w:cs="Arial"/>
          <w:lang w:val="sv-SE"/>
        </w:rPr>
        <w:t xml:space="preserve">Kuehn, C. S., Jung, H. G., Linn, J. G., &amp; Martin, N. P. (1999). Characteristics of alfalfa hay quality grades based on the relative feed value index. Journal of Production Agriculture, 12(4), 681-684. </w:t>
      </w:r>
      <w:r>
        <w:rPr>
          <w:rFonts w:ascii="Arial" w:hAnsi="Arial" w:cs="Arial"/>
          <w:lang w:val="sv-SE"/>
        </w:rPr>
        <w:fldChar w:fldCharType="begin"/>
      </w:r>
      <w:r>
        <w:rPr>
          <w:rFonts w:ascii="Arial" w:hAnsi="Arial" w:cs="Arial"/>
          <w:lang w:val="sv-SE"/>
        </w:rPr>
        <w:instrText xml:space="preserve"> HYPERLINK "</w:instrText>
      </w:r>
      <w:r w:rsidRPr="00970A62">
        <w:rPr>
          <w:rFonts w:ascii="Arial" w:hAnsi="Arial" w:cs="Arial"/>
          <w:lang w:val="sv-SE"/>
        </w:rPr>
        <w:instrText>https://doi.org/10.2134/jpa1999.0681</w:instrText>
      </w:r>
      <w:r>
        <w:rPr>
          <w:rFonts w:ascii="Arial" w:hAnsi="Arial" w:cs="Arial"/>
          <w:lang w:val="sv-SE"/>
        </w:rPr>
        <w:instrText xml:space="preserve">" </w:instrText>
      </w:r>
      <w:r>
        <w:rPr>
          <w:rFonts w:ascii="Arial" w:hAnsi="Arial" w:cs="Arial"/>
          <w:lang w:val="sv-SE"/>
        </w:rPr>
        <w:fldChar w:fldCharType="separate"/>
      </w:r>
      <w:r w:rsidRPr="00411BE8">
        <w:rPr>
          <w:rStyle w:val="Hyperlink"/>
          <w:rFonts w:ascii="Arial" w:hAnsi="Arial" w:cs="Arial"/>
          <w:lang w:val="sv-SE"/>
        </w:rPr>
        <w:t>https://doi.org/10.2134/jpa1999.0681</w:t>
      </w:r>
      <w:r>
        <w:rPr>
          <w:rFonts w:ascii="Arial" w:hAnsi="Arial" w:cs="Arial"/>
          <w:lang w:val="sv-SE"/>
        </w:rPr>
        <w:fldChar w:fldCharType="end"/>
      </w:r>
      <w:r>
        <w:rPr>
          <w:rFonts w:ascii="Arial" w:hAnsi="Arial" w:cs="Arial"/>
          <w:lang w:val="sv-SE"/>
        </w:rPr>
        <w:t xml:space="preserve"> </w:t>
      </w:r>
    </w:p>
    <w:p w14:paraId="3587054F" w14:textId="77777777" w:rsidR="00970A62" w:rsidRDefault="00970A62" w:rsidP="003F5579">
      <w:pPr>
        <w:pStyle w:val="Body"/>
        <w:spacing w:after="60"/>
        <w:rPr>
          <w:rFonts w:ascii="Arial" w:hAnsi="Arial" w:cs="Arial"/>
          <w:lang w:val="en-GB"/>
        </w:rPr>
      </w:pPr>
      <w:r w:rsidRPr="00970A62">
        <w:rPr>
          <w:rFonts w:ascii="Arial" w:hAnsi="Arial" w:cs="Arial"/>
          <w:lang w:val="en-GB"/>
        </w:rPr>
        <w:t xml:space="preserve">Kumar, R., Mathur, M., </w:t>
      </w:r>
      <w:proofErr w:type="spellStart"/>
      <w:r w:rsidRPr="00970A62">
        <w:rPr>
          <w:rFonts w:ascii="Arial" w:hAnsi="Arial" w:cs="Arial"/>
          <w:lang w:val="en-GB"/>
        </w:rPr>
        <w:t>Karnani</w:t>
      </w:r>
      <w:proofErr w:type="spellEnd"/>
      <w:r w:rsidRPr="00970A62">
        <w:rPr>
          <w:rFonts w:ascii="Arial" w:hAnsi="Arial" w:cs="Arial"/>
          <w:lang w:val="en-GB"/>
        </w:rPr>
        <w:t xml:space="preserve">, M., Choudhary, S. D., &amp; Jain, D. (2018). Hydroponics: An alternative to cultivated green fodder: A review. Journal of Entomology and Zoology Studies, 6(6), 791-795. </w:t>
      </w:r>
      <w:hyperlink r:id="rId27" w:history="1">
        <w:r w:rsidRPr="00411BE8">
          <w:rPr>
            <w:rStyle w:val="Hyperlink"/>
            <w:rFonts w:ascii="Arial" w:hAnsi="Arial" w:cs="Arial"/>
            <w:lang w:val="en-GB"/>
          </w:rPr>
          <w:t>http://www.entomoljournal.com/archives/2018/vol6/issue6</w:t>
        </w:r>
      </w:hyperlink>
      <w:r>
        <w:rPr>
          <w:rFonts w:ascii="Arial" w:hAnsi="Arial" w:cs="Arial"/>
          <w:lang w:val="en-GB"/>
        </w:rPr>
        <w:t xml:space="preserve"> </w:t>
      </w:r>
    </w:p>
    <w:p w14:paraId="72293935" w14:textId="246799E1" w:rsidR="003F5579" w:rsidRPr="003F5579" w:rsidRDefault="003F5579" w:rsidP="003F5579">
      <w:pPr>
        <w:pStyle w:val="Body"/>
        <w:spacing w:after="60"/>
        <w:rPr>
          <w:rFonts w:ascii="Arial" w:hAnsi="Arial" w:cs="Arial"/>
        </w:rPr>
      </w:pPr>
      <w:proofErr w:type="spellStart"/>
      <w:r w:rsidRPr="003F5579">
        <w:rPr>
          <w:rFonts w:ascii="Arial" w:hAnsi="Arial" w:cs="Arial"/>
        </w:rPr>
        <w:t>Kuşan</w:t>
      </w:r>
      <w:proofErr w:type="spellEnd"/>
      <w:r w:rsidRPr="003F5579">
        <w:rPr>
          <w:rFonts w:ascii="Arial" w:hAnsi="Arial" w:cs="Arial"/>
        </w:rPr>
        <w:t xml:space="preserve">, O., </w:t>
      </w:r>
      <w:proofErr w:type="spellStart"/>
      <w:r w:rsidRPr="003F5579">
        <w:rPr>
          <w:rFonts w:ascii="Arial" w:hAnsi="Arial" w:cs="Arial"/>
        </w:rPr>
        <w:t>Çayan</w:t>
      </w:r>
      <w:proofErr w:type="spellEnd"/>
      <w:r w:rsidRPr="003F5579">
        <w:rPr>
          <w:rFonts w:ascii="Arial" w:hAnsi="Arial" w:cs="Arial"/>
        </w:rPr>
        <w:t>, H., &amp; Şahin. A. (2019). Dry matter content of different feed grains</w:t>
      </w:r>
      <w:r w:rsidR="00C43B12">
        <w:rPr>
          <w:rFonts w:ascii="Arial" w:hAnsi="Arial" w:cs="Arial"/>
        </w:rPr>
        <w:t xml:space="preserve"> </w:t>
      </w:r>
      <w:r w:rsidRPr="003F5579">
        <w:rPr>
          <w:rFonts w:ascii="Arial" w:hAnsi="Arial" w:cs="Arial"/>
        </w:rPr>
        <w:t>germinated by hydroponics method. XI. International Animal Science Conference.</w:t>
      </w:r>
      <w:r w:rsidR="00C43B12">
        <w:rPr>
          <w:rFonts w:ascii="Arial" w:hAnsi="Arial" w:cs="Arial"/>
        </w:rPr>
        <w:t xml:space="preserve"> </w:t>
      </w:r>
      <w:r w:rsidRPr="003F5579">
        <w:rPr>
          <w:rFonts w:ascii="Arial" w:hAnsi="Arial" w:cs="Arial"/>
        </w:rPr>
        <w:t xml:space="preserve">October 20-22, </w:t>
      </w:r>
      <w:proofErr w:type="spellStart"/>
      <w:r w:rsidRPr="003F5579">
        <w:rPr>
          <w:rFonts w:ascii="Arial" w:hAnsi="Arial" w:cs="Arial"/>
        </w:rPr>
        <w:t>Nevşehir</w:t>
      </w:r>
      <w:proofErr w:type="spellEnd"/>
      <w:r w:rsidRPr="003F5579">
        <w:rPr>
          <w:rFonts w:ascii="Arial" w:hAnsi="Arial" w:cs="Arial"/>
        </w:rPr>
        <w:t>, Turkey.</w:t>
      </w:r>
    </w:p>
    <w:p w14:paraId="03EF0D0E" w14:textId="77777777" w:rsidR="00A26AD4" w:rsidRDefault="00A26AD4" w:rsidP="003F5579">
      <w:pPr>
        <w:pStyle w:val="Body"/>
        <w:spacing w:after="60"/>
        <w:rPr>
          <w:rFonts w:ascii="Arial" w:hAnsi="Arial" w:cs="Arial"/>
        </w:rPr>
      </w:pPr>
      <w:r w:rsidRPr="00A26AD4">
        <w:rPr>
          <w:rFonts w:ascii="Arial" w:hAnsi="Arial" w:cs="Arial"/>
        </w:rPr>
        <w:t xml:space="preserve">Lawrence, R. D. (2019). Evaluation of feeding alternative feedstuffs including hydroponic barley sprouts and </w:t>
      </w:r>
      <w:proofErr w:type="spellStart"/>
      <w:r w:rsidRPr="00A26AD4">
        <w:rPr>
          <w:rFonts w:ascii="Arial" w:hAnsi="Arial" w:cs="Arial"/>
        </w:rPr>
        <w:t>carinata</w:t>
      </w:r>
      <w:proofErr w:type="spellEnd"/>
      <w:r w:rsidRPr="00A26AD4">
        <w:rPr>
          <w:rFonts w:ascii="Arial" w:hAnsi="Arial" w:cs="Arial"/>
        </w:rPr>
        <w:t xml:space="preserve"> meal to dairy cattle. (Doctoral dissertation, South Dakota State University) </w:t>
      </w:r>
      <w:hyperlink r:id="rId28" w:history="1">
        <w:r w:rsidRPr="00411BE8">
          <w:rPr>
            <w:rStyle w:val="Hyperlink"/>
            <w:rFonts w:ascii="Arial" w:hAnsi="Arial" w:cs="Arial"/>
          </w:rPr>
          <w:t>https://openprairie.sdstate.edu/etd/3400/</w:t>
        </w:r>
      </w:hyperlink>
      <w:r>
        <w:rPr>
          <w:rFonts w:ascii="Arial" w:hAnsi="Arial" w:cs="Arial"/>
        </w:rPr>
        <w:t xml:space="preserve"> </w:t>
      </w:r>
    </w:p>
    <w:p w14:paraId="1A7EFF6D" w14:textId="77777777" w:rsidR="00A26AD4" w:rsidRDefault="00A26AD4" w:rsidP="003F5579">
      <w:pPr>
        <w:pStyle w:val="Body"/>
        <w:spacing w:after="60"/>
        <w:rPr>
          <w:rFonts w:ascii="Arial" w:hAnsi="Arial" w:cs="Arial"/>
        </w:rPr>
      </w:pPr>
      <w:r w:rsidRPr="00A26AD4">
        <w:rPr>
          <w:rFonts w:ascii="Arial" w:hAnsi="Arial" w:cs="Arial"/>
        </w:rPr>
        <w:t xml:space="preserve">Pflueger, N. P., Redfearn, D. D., </w:t>
      </w:r>
      <w:proofErr w:type="spellStart"/>
      <w:r w:rsidRPr="00A26AD4">
        <w:rPr>
          <w:rFonts w:ascii="Arial" w:hAnsi="Arial" w:cs="Arial"/>
        </w:rPr>
        <w:t>Volesky</w:t>
      </w:r>
      <w:proofErr w:type="spellEnd"/>
      <w:r w:rsidRPr="00A26AD4">
        <w:rPr>
          <w:rFonts w:ascii="Arial" w:hAnsi="Arial" w:cs="Arial"/>
        </w:rPr>
        <w:t xml:space="preserve">, J. D., </w:t>
      </w:r>
      <w:proofErr w:type="spellStart"/>
      <w:r w:rsidRPr="00A26AD4">
        <w:rPr>
          <w:rFonts w:ascii="Arial" w:hAnsi="Arial" w:cs="Arial"/>
        </w:rPr>
        <w:t>Bolze</w:t>
      </w:r>
      <w:proofErr w:type="spellEnd"/>
      <w:r w:rsidRPr="00A26AD4">
        <w:rPr>
          <w:rFonts w:ascii="Arial" w:hAnsi="Arial" w:cs="Arial"/>
        </w:rPr>
        <w:t xml:space="preserve">, R., &amp; Stephenson, M. B. (2020). Influence of oat and spring pea mixtures on forage characteristics in different environments. Agronomy Journal, 112(3), 1911-1920. </w:t>
      </w:r>
      <w:hyperlink r:id="rId29" w:history="1">
        <w:r w:rsidRPr="00411BE8">
          <w:rPr>
            <w:rStyle w:val="Hyperlink"/>
            <w:rFonts w:ascii="Arial" w:hAnsi="Arial" w:cs="Arial"/>
          </w:rPr>
          <w:t>https://doi.org/10.1002/agj2.20144</w:t>
        </w:r>
      </w:hyperlink>
      <w:r>
        <w:rPr>
          <w:rFonts w:ascii="Arial" w:hAnsi="Arial" w:cs="Arial"/>
        </w:rPr>
        <w:t xml:space="preserve"> </w:t>
      </w:r>
    </w:p>
    <w:p w14:paraId="015390AF" w14:textId="7C59C246" w:rsidR="003F5579" w:rsidRPr="003F5579" w:rsidRDefault="003F5579" w:rsidP="003F5579">
      <w:pPr>
        <w:pStyle w:val="Body"/>
        <w:spacing w:after="60"/>
        <w:rPr>
          <w:rFonts w:ascii="Arial" w:hAnsi="Arial" w:cs="Arial"/>
        </w:rPr>
      </w:pPr>
      <w:r w:rsidRPr="003F5579">
        <w:rPr>
          <w:rFonts w:ascii="Arial" w:hAnsi="Arial" w:cs="Arial"/>
        </w:rPr>
        <w:t>Rivera D., &amp; Parish J. (2010). Interpreting Forage and Feed Analysis Report. 2620,</w:t>
      </w:r>
      <w:r w:rsidR="00C43B12">
        <w:rPr>
          <w:rFonts w:ascii="Arial" w:hAnsi="Arial" w:cs="Arial"/>
        </w:rPr>
        <w:t xml:space="preserve"> </w:t>
      </w:r>
      <w:r w:rsidRPr="003F5579">
        <w:rPr>
          <w:rFonts w:ascii="Arial" w:hAnsi="Arial" w:cs="Arial"/>
        </w:rPr>
        <w:t>Mississippi State University.</w:t>
      </w:r>
    </w:p>
    <w:p w14:paraId="6A312B34" w14:textId="77777777" w:rsidR="00A26AD4" w:rsidRDefault="00A26AD4" w:rsidP="003F5579">
      <w:pPr>
        <w:pStyle w:val="Body"/>
        <w:spacing w:after="60"/>
        <w:rPr>
          <w:rFonts w:ascii="Arial" w:hAnsi="Arial" w:cs="Arial"/>
        </w:rPr>
      </w:pPr>
      <w:r w:rsidRPr="00A26AD4">
        <w:rPr>
          <w:rFonts w:ascii="Arial" w:hAnsi="Arial" w:cs="Arial"/>
        </w:rPr>
        <w:t>Rodriguez-</w:t>
      </w:r>
      <w:proofErr w:type="spellStart"/>
      <w:r w:rsidRPr="00A26AD4">
        <w:rPr>
          <w:rFonts w:ascii="Arial" w:hAnsi="Arial" w:cs="Arial"/>
        </w:rPr>
        <w:t>Muela</w:t>
      </w:r>
      <w:proofErr w:type="spellEnd"/>
      <w:r w:rsidRPr="00A26AD4">
        <w:rPr>
          <w:rFonts w:ascii="Arial" w:hAnsi="Arial" w:cs="Arial"/>
        </w:rPr>
        <w:t xml:space="preserve">, C., Rodriguez, H.E., Ruiz, O., Flores, A., Grado, J.A., &amp; </w:t>
      </w:r>
      <w:proofErr w:type="spellStart"/>
      <w:r w:rsidRPr="00A26AD4">
        <w:rPr>
          <w:rFonts w:ascii="Arial" w:hAnsi="Arial" w:cs="Arial"/>
        </w:rPr>
        <w:t>Arzola</w:t>
      </w:r>
      <w:proofErr w:type="spellEnd"/>
      <w:r w:rsidRPr="00A26AD4">
        <w:rPr>
          <w:rFonts w:ascii="Arial" w:hAnsi="Arial" w:cs="Arial"/>
        </w:rPr>
        <w:t xml:space="preserve">, C. (2004). Use of green fodder produced in hydroponic system as supplement for lactating cows during the dry season. In the Proceeding of the American Society of Animal Science, 271-274. </w:t>
      </w:r>
      <w:hyperlink r:id="rId30" w:history="1">
        <w:r w:rsidRPr="00411BE8">
          <w:rPr>
            <w:rStyle w:val="Hyperlink"/>
            <w:rFonts w:ascii="Arial" w:hAnsi="Arial" w:cs="Arial"/>
          </w:rPr>
          <w:t>https://www.asas.org/meetings/past-meetings/programs-proccedings-abstracts</w:t>
        </w:r>
      </w:hyperlink>
      <w:r>
        <w:rPr>
          <w:rFonts w:ascii="Arial" w:hAnsi="Arial" w:cs="Arial"/>
        </w:rPr>
        <w:t xml:space="preserve"> </w:t>
      </w:r>
    </w:p>
    <w:p w14:paraId="0FC80CF9" w14:textId="403C5E5C" w:rsidR="00A26AD4" w:rsidRDefault="00A26AD4" w:rsidP="003F5579">
      <w:pPr>
        <w:pStyle w:val="Body"/>
        <w:spacing w:after="60"/>
      </w:pPr>
      <w:r w:rsidRPr="00A26AD4">
        <w:rPr>
          <w:rFonts w:ascii="Arial" w:hAnsi="Arial" w:cs="Arial"/>
          <w:lang w:val="sv-SE"/>
        </w:rPr>
        <w:t xml:space="preserve">Rohweder, D. A., Barnes, R. F., &amp; Jorgensen, N. (1978). Proposed hay grading standards based on laboratory analyses for evaluating quality. Journal of Animal Science. </w:t>
      </w:r>
      <w:r>
        <w:rPr>
          <w:rFonts w:ascii="Arial" w:hAnsi="Arial" w:cs="Arial"/>
          <w:lang w:val="sv-SE"/>
        </w:rPr>
        <w:fldChar w:fldCharType="begin"/>
      </w:r>
      <w:r>
        <w:rPr>
          <w:rFonts w:ascii="Arial" w:hAnsi="Arial" w:cs="Arial"/>
          <w:lang w:val="sv-SE"/>
        </w:rPr>
        <w:instrText xml:space="preserve"> HYPERLINK "</w:instrText>
      </w:r>
      <w:r w:rsidRPr="00A26AD4">
        <w:rPr>
          <w:rFonts w:ascii="Arial" w:hAnsi="Arial" w:cs="Arial"/>
          <w:lang w:val="sv-SE"/>
        </w:rPr>
        <w:instrText>https://doi.org/10.2527/jas1978.</w:instrText>
      </w:r>
      <w:r w:rsidRPr="00A26AD4">
        <w:rPr>
          <w:lang w:val="sv-SE"/>
        </w:rPr>
        <w:instrText>473747x</w:instrText>
      </w:r>
      <w:r>
        <w:rPr>
          <w:rFonts w:ascii="Arial" w:hAnsi="Arial" w:cs="Arial"/>
          <w:lang w:val="sv-SE"/>
        </w:rPr>
        <w:instrText xml:space="preserve">" </w:instrText>
      </w:r>
      <w:r>
        <w:rPr>
          <w:rFonts w:ascii="Arial" w:hAnsi="Arial" w:cs="Arial"/>
          <w:lang w:val="sv-SE"/>
        </w:rPr>
        <w:fldChar w:fldCharType="separate"/>
      </w:r>
      <w:r w:rsidRPr="00411BE8">
        <w:rPr>
          <w:rStyle w:val="Hyperlink"/>
          <w:rFonts w:ascii="Arial" w:hAnsi="Arial" w:cs="Arial"/>
          <w:lang w:val="sv-SE"/>
        </w:rPr>
        <w:t>https://doi.org/10.2527/jas1978.</w:t>
      </w:r>
      <w:r w:rsidRPr="00411BE8">
        <w:rPr>
          <w:rStyle w:val="Hyperlink"/>
          <w:lang w:val="sv-SE"/>
        </w:rPr>
        <w:t>473747x</w:t>
      </w:r>
      <w:r>
        <w:rPr>
          <w:rFonts w:ascii="Arial" w:hAnsi="Arial" w:cs="Arial"/>
          <w:lang w:val="sv-SE"/>
        </w:rPr>
        <w:fldChar w:fldCharType="end"/>
      </w:r>
    </w:p>
    <w:p w14:paraId="39CF25A1" w14:textId="77777777" w:rsidR="00A26AD4" w:rsidRDefault="00A26AD4" w:rsidP="003F5579">
      <w:pPr>
        <w:pStyle w:val="Body"/>
        <w:spacing w:after="60"/>
      </w:pPr>
      <w:proofErr w:type="spellStart"/>
      <w:r w:rsidRPr="00A26AD4">
        <w:t>Sneath</w:t>
      </w:r>
      <w:proofErr w:type="spellEnd"/>
      <w:r w:rsidRPr="00A26AD4">
        <w:t xml:space="preserve">, R., &amp; McIntosh, F. (2003). Review of hydroponic fodder production for beef cattle. Department of Primary Industries: Queensland Australia, Report 84. </w:t>
      </w:r>
      <w:hyperlink r:id="rId31" w:history="1">
        <w:r w:rsidRPr="00411BE8">
          <w:rPr>
            <w:rStyle w:val="Hyperlink"/>
          </w:rPr>
          <w:t>https://www.mla.com.au/research-and-development/search-rd-reports/nbp.332/</w:t>
        </w:r>
      </w:hyperlink>
      <w:r>
        <w:t xml:space="preserve"> </w:t>
      </w:r>
    </w:p>
    <w:p w14:paraId="2327555A" w14:textId="44488D60" w:rsidR="00A26AD4" w:rsidRDefault="00A26AD4" w:rsidP="003F5579">
      <w:pPr>
        <w:pStyle w:val="Body"/>
        <w:spacing w:after="60"/>
      </w:pPr>
      <w:proofErr w:type="spellStart"/>
      <w:r w:rsidRPr="00A26AD4">
        <w:rPr>
          <w:rFonts w:ascii="Arial" w:hAnsi="Arial" w:cs="Arial"/>
        </w:rPr>
        <w:t>Undersander</w:t>
      </w:r>
      <w:proofErr w:type="spellEnd"/>
      <w:r w:rsidRPr="00A26AD4">
        <w:rPr>
          <w:rFonts w:ascii="Arial" w:hAnsi="Arial" w:cs="Arial"/>
        </w:rPr>
        <w:t xml:space="preserve">, D., Moore, J. E., &amp; Schneider, N. (2002). Relative forage quality. Focus on Forage, 4(5), 1-2. </w:t>
      </w:r>
      <w:hyperlink r:id="rId32" w:history="1">
        <w:r w:rsidRPr="00411BE8">
          <w:rPr>
            <w:rStyle w:val="Hyperlink"/>
            <w:rFonts w:ascii="Arial" w:hAnsi="Arial" w:cs="Arial"/>
          </w:rPr>
          <w:t>https://cropsandsoils.extension.wisc.edu/articles/forage-production-and-management/relative-forage-quality/</w:t>
        </w:r>
      </w:hyperlink>
    </w:p>
    <w:p w14:paraId="0D3B955A" w14:textId="77777777" w:rsidR="00A26AD4" w:rsidRDefault="00A26AD4" w:rsidP="003F5579">
      <w:pPr>
        <w:pStyle w:val="Body"/>
        <w:spacing w:after="60"/>
        <w:rPr>
          <w:rFonts w:ascii="Arial" w:hAnsi="Arial" w:cs="Arial"/>
        </w:rPr>
      </w:pPr>
      <w:r w:rsidRPr="00A26AD4">
        <w:rPr>
          <w:rFonts w:ascii="Arial" w:hAnsi="Arial" w:cs="Arial"/>
        </w:rPr>
        <w:t xml:space="preserve">United States Department of Agriculture, Foreign Agricultural Service. (2022). Production, Supply and Distribution (PSD) Online. </w:t>
      </w:r>
      <w:hyperlink r:id="rId33" w:anchor="/app/advQuery" w:history="1">
        <w:r w:rsidRPr="00411BE8">
          <w:rPr>
            <w:rStyle w:val="Hyperlink"/>
            <w:rFonts w:ascii="Arial" w:hAnsi="Arial" w:cs="Arial"/>
          </w:rPr>
          <w:t>https://apps.fas.usda.gov/psdonline/app/index.html#/app/advQuery</w:t>
        </w:r>
      </w:hyperlink>
      <w:r>
        <w:rPr>
          <w:rFonts w:ascii="Arial" w:hAnsi="Arial" w:cs="Arial"/>
        </w:rPr>
        <w:t xml:space="preserve"> </w:t>
      </w:r>
    </w:p>
    <w:p w14:paraId="703FEDF2" w14:textId="6E3B8824" w:rsidR="00A26AD4" w:rsidRDefault="00A26AD4" w:rsidP="003F5579">
      <w:pPr>
        <w:pStyle w:val="Body"/>
        <w:spacing w:after="60"/>
      </w:pPr>
      <w:r w:rsidRPr="00A26AD4">
        <w:rPr>
          <w:rFonts w:ascii="Arial" w:hAnsi="Arial" w:cs="Arial"/>
        </w:rPr>
        <w:lastRenderedPageBreak/>
        <w:t xml:space="preserve">Uyeda, J., Cox, L. J., &amp; </w:t>
      </w:r>
      <w:proofErr w:type="spellStart"/>
      <w:r w:rsidRPr="00A26AD4">
        <w:rPr>
          <w:rFonts w:ascii="Arial" w:hAnsi="Arial" w:cs="Arial"/>
        </w:rPr>
        <w:t>Radovich</w:t>
      </w:r>
      <w:proofErr w:type="spellEnd"/>
      <w:r w:rsidRPr="00A26AD4">
        <w:rPr>
          <w:rFonts w:ascii="Arial" w:hAnsi="Arial" w:cs="Arial"/>
        </w:rPr>
        <w:t xml:space="preserve">, T. J. (2011). An economic comparison of commercially available organic and inorganic fertilizers for hydroponic lettuce production. Sustainable Agriculture, 5, 1-4. </w:t>
      </w:r>
      <w:hyperlink r:id="rId34" w:history="1">
        <w:r w:rsidRPr="00411BE8">
          <w:rPr>
            <w:rStyle w:val="Hyperlink"/>
            <w:rFonts w:ascii="Arial" w:hAnsi="Arial" w:cs="Arial"/>
          </w:rPr>
          <w:t>https://www.ctahr.hawaii.edu/oc/freepubs/pdf/SA-5.</w:t>
        </w:r>
        <w:r w:rsidRPr="00411BE8">
          <w:rPr>
            <w:rStyle w:val="Hyperlink"/>
          </w:rPr>
          <w:t>pdf</w:t>
        </w:r>
      </w:hyperlink>
    </w:p>
    <w:p w14:paraId="18031B11" w14:textId="77777777" w:rsidR="00A26AD4" w:rsidRDefault="00A26AD4" w:rsidP="003F5579">
      <w:pPr>
        <w:pStyle w:val="Body"/>
        <w:spacing w:after="60"/>
      </w:pPr>
      <w:r w:rsidRPr="00A26AD4">
        <w:t xml:space="preserve">Van </w:t>
      </w:r>
      <w:proofErr w:type="spellStart"/>
      <w:r w:rsidRPr="00A26AD4">
        <w:t>Soest</w:t>
      </w:r>
      <w:proofErr w:type="spellEnd"/>
      <w:r w:rsidRPr="00A26AD4">
        <w:t xml:space="preserve">, P.V., Robertson, J.B., &amp; Lewis, B.A. (1991). Methods for dietary fiber, neutral detergent fiber, and </w:t>
      </w:r>
      <w:proofErr w:type="spellStart"/>
      <w:r w:rsidRPr="00A26AD4">
        <w:t>nonstarch</w:t>
      </w:r>
      <w:proofErr w:type="spellEnd"/>
      <w:r w:rsidRPr="00A26AD4">
        <w:t xml:space="preserve"> polysaccharides in relation to animal nutrition. Journal of Dairy Science. </w:t>
      </w:r>
      <w:hyperlink r:id="rId35" w:history="1">
        <w:r w:rsidRPr="00411BE8">
          <w:rPr>
            <w:rStyle w:val="Hyperlink"/>
          </w:rPr>
          <w:t>https://doi.org/10.3168/jds.S0022-0302(91)78551-2</w:t>
        </w:r>
      </w:hyperlink>
      <w:r>
        <w:t xml:space="preserve"> </w:t>
      </w:r>
    </w:p>
    <w:p w14:paraId="79D07DFF" w14:textId="5FB58DF5" w:rsidR="00A26AD4" w:rsidRDefault="00A26AD4" w:rsidP="00E71508">
      <w:pPr>
        <w:pStyle w:val="Body"/>
        <w:spacing w:after="60"/>
      </w:pPr>
      <w:proofErr w:type="spellStart"/>
      <w:r w:rsidRPr="00A26AD4">
        <w:rPr>
          <w:rFonts w:ascii="Arial" w:hAnsi="Arial" w:cs="Arial"/>
        </w:rPr>
        <w:t>Wahyono</w:t>
      </w:r>
      <w:proofErr w:type="spellEnd"/>
      <w:r w:rsidRPr="00A26AD4">
        <w:rPr>
          <w:rFonts w:ascii="Arial" w:hAnsi="Arial" w:cs="Arial"/>
        </w:rPr>
        <w:t xml:space="preserve">, T., </w:t>
      </w:r>
      <w:proofErr w:type="spellStart"/>
      <w:r w:rsidRPr="00A26AD4">
        <w:rPr>
          <w:rFonts w:ascii="Arial" w:hAnsi="Arial" w:cs="Arial"/>
        </w:rPr>
        <w:t>Indiramata</w:t>
      </w:r>
      <w:proofErr w:type="spellEnd"/>
      <w:r w:rsidRPr="00A26AD4">
        <w:rPr>
          <w:rFonts w:ascii="Arial" w:hAnsi="Arial" w:cs="Arial"/>
        </w:rPr>
        <w:t xml:space="preserve">, W. M., </w:t>
      </w:r>
      <w:proofErr w:type="spellStart"/>
      <w:r w:rsidRPr="00A26AD4">
        <w:rPr>
          <w:rFonts w:ascii="Arial" w:hAnsi="Arial" w:cs="Arial"/>
        </w:rPr>
        <w:t>Sihono</w:t>
      </w:r>
      <w:proofErr w:type="spellEnd"/>
      <w:r w:rsidRPr="00A26AD4">
        <w:rPr>
          <w:rFonts w:ascii="Arial" w:hAnsi="Arial" w:cs="Arial"/>
        </w:rPr>
        <w:t xml:space="preserve">, &amp; Human, S. (2021). White Midrib (WMR) vs Brown Midrib (BMR) sorghum: perspective of nutrient value for ruminant forage. IOP Conference Series: Earth and Environmental Science, 788, 012164. </w:t>
      </w:r>
      <w:hyperlink r:id="rId36" w:history="1">
        <w:r w:rsidRPr="00411BE8">
          <w:rPr>
            <w:rStyle w:val="Hyperlink"/>
            <w:rFonts w:ascii="Arial" w:hAnsi="Arial" w:cs="Arial"/>
          </w:rPr>
          <w:t>https://doi.org/10.1088/1755-1315/788/1/</w:t>
        </w:r>
        <w:r w:rsidRPr="00411BE8">
          <w:rPr>
            <w:rStyle w:val="Hyperlink"/>
          </w:rPr>
          <w:t>012164</w:t>
        </w:r>
      </w:hyperlink>
    </w:p>
    <w:p w14:paraId="666FEDCE" w14:textId="77777777" w:rsidR="00A26AD4" w:rsidRDefault="00A26AD4" w:rsidP="00971D01">
      <w:pPr>
        <w:pStyle w:val="Body"/>
        <w:spacing w:after="60"/>
      </w:pPr>
      <w:r w:rsidRPr="00A26AD4">
        <w:t xml:space="preserve">Wang, Y., Wang, J., Sarwar, R., Zhang, W., </w:t>
      </w:r>
      <w:proofErr w:type="spellStart"/>
      <w:r w:rsidRPr="00A26AD4">
        <w:t>Geng</w:t>
      </w:r>
      <w:proofErr w:type="spellEnd"/>
      <w:r w:rsidRPr="00A26AD4">
        <w:t xml:space="preserve">, R., Zhu, K. M., &amp; Tan, X. L. (2024). Research progress on the physiological response and molecular mechanism of cold response in plants. Frontiers in Plant Science, 15, 1334913. </w:t>
      </w:r>
      <w:hyperlink r:id="rId37" w:history="1">
        <w:r w:rsidRPr="00411BE8">
          <w:rPr>
            <w:rStyle w:val="Hyperlink"/>
          </w:rPr>
          <w:t>https://doi.org/10.3389/fpls.2024.1334913</w:t>
        </w:r>
      </w:hyperlink>
      <w:r>
        <w:t xml:space="preserve"> </w:t>
      </w:r>
    </w:p>
    <w:p w14:paraId="7DA6E36D" w14:textId="77777777" w:rsidR="00A26AD4" w:rsidRDefault="00A26AD4" w:rsidP="003F5579">
      <w:pPr>
        <w:pStyle w:val="Body"/>
        <w:spacing w:after="60"/>
        <w:rPr>
          <w:rFonts w:ascii="Arial" w:hAnsi="Arial" w:cs="Arial"/>
        </w:rPr>
      </w:pPr>
      <w:proofErr w:type="spellStart"/>
      <w:r w:rsidRPr="00A26AD4">
        <w:rPr>
          <w:rFonts w:ascii="Arial" w:hAnsi="Arial" w:cs="Arial"/>
        </w:rPr>
        <w:t>Yahyaei</w:t>
      </w:r>
      <w:proofErr w:type="spellEnd"/>
      <w:r w:rsidRPr="00A26AD4">
        <w:rPr>
          <w:rFonts w:ascii="Arial" w:hAnsi="Arial" w:cs="Arial"/>
        </w:rPr>
        <w:t xml:space="preserve">, M., &amp; </w:t>
      </w:r>
      <w:proofErr w:type="spellStart"/>
      <w:r w:rsidRPr="00A26AD4">
        <w:rPr>
          <w:rFonts w:ascii="Arial" w:hAnsi="Arial" w:cs="Arial"/>
        </w:rPr>
        <w:t>Talebi</w:t>
      </w:r>
      <w:proofErr w:type="spellEnd"/>
      <w:r w:rsidRPr="00A26AD4">
        <w:rPr>
          <w:rFonts w:ascii="Arial" w:hAnsi="Arial" w:cs="Arial"/>
        </w:rPr>
        <w:t xml:space="preserve">, B. (2024). Hydroponic fodder for livestock production and productivity: </w:t>
      </w:r>
      <w:proofErr w:type="gramStart"/>
      <w:r w:rsidRPr="00A26AD4">
        <w:rPr>
          <w:rFonts w:ascii="Arial" w:hAnsi="Arial" w:cs="Arial"/>
        </w:rPr>
        <w:t>a</w:t>
      </w:r>
      <w:proofErr w:type="gramEnd"/>
      <w:r w:rsidRPr="00A26AD4">
        <w:rPr>
          <w:rFonts w:ascii="Arial" w:hAnsi="Arial" w:cs="Arial"/>
        </w:rPr>
        <w:t xml:space="preserve"> Review. Greenhouse Plant Production Journal, 1(3), 1-12. </w:t>
      </w:r>
      <w:hyperlink r:id="rId38" w:history="1">
        <w:r w:rsidRPr="00411BE8">
          <w:rPr>
            <w:rStyle w:val="Hyperlink"/>
            <w:rFonts w:ascii="Arial" w:hAnsi="Arial" w:cs="Arial"/>
          </w:rPr>
          <w:t>https://doi.org/10.61186/gppj.1.3.1</w:t>
        </w:r>
      </w:hyperlink>
      <w:r>
        <w:rPr>
          <w:rFonts w:ascii="Arial" w:hAnsi="Arial" w:cs="Arial"/>
        </w:rPr>
        <w:t xml:space="preserve"> </w:t>
      </w:r>
    </w:p>
    <w:p w14:paraId="38C3D3AE" w14:textId="77777777" w:rsidR="00A26AD4" w:rsidRDefault="00A26AD4" w:rsidP="003F5579">
      <w:pPr>
        <w:pStyle w:val="Body"/>
        <w:spacing w:after="60"/>
        <w:rPr>
          <w:rFonts w:ascii="Arial" w:hAnsi="Arial" w:cs="Arial"/>
          <w:lang w:val="sv-SE"/>
        </w:rPr>
      </w:pPr>
      <w:r w:rsidRPr="00A26AD4">
        <w:rPr>
          <w:rFonts w:ascii="Arial" w:hAnsi="Arial" w:cs="Arial"/>
          <w:lang w:val="sv-SE"/>
        </w:rPr>
        <w:t xml:space="preserve">Yurtseven, S., Güler, A., &amp; Sakar, E. (2020). Effects of hydroponic media on forage and silage quality of barley (Hordeum vulgare L.). Applied Ecology and Environmental Research, 18(1), 1601-1610. </w:t>
      </w:r>
      <w:r>
        <w:rPr>
          <w:rFonts w:ascii="Arial" w:hAnsi="Arial" w:cs="Arial"/>
          <w:lang w:val="sv-SE"/>
        </w:rPr>
        <w:fldChar w:fldCharType="begin"/>
      </w:r>
      <w:r>
        <w:rPr>
          <w:rFonts w:ascii="Arial" w:hAnsi="Arial" w:cs="Arial"/>
          <w:lang w:val="sv-SE"/>
        </w:rPr>
        <w:instrText xml:space="preserve"> HYPERLINK "</w:instrText>
      </w:r>
      <w:r w:rsidRPr="00A26AD4">
        <w:rPr>
          <w:rFonts w:ascii="Arial" w:hAnsi="Arial" w:cs="Arial"/>
          <w:lang w:val="sv-SE"/>
        </w:rPr>
        <w:instrText>https://doi.org/10.15666/aeer/1801_16011610</w:instrText>
      </w:r>
      <w:r>
        <w:rPr>
          <w:rFonts w:ascii="Arial" w:hAnsi="Arial" w:cs="Arial"/>
          <w:lang w:val="sv-SE"/>
        </w:rPr>
        <w:instrText xml:space="preserve">" </w:instrText>
      </w:r>
      <w:r>
        <w:rPr>
          <w:rFonts w:ascii="Arial" w:hAnsi="Arial" w:cs="Arial"/>
          <w:lang w:val="sv-SE"/>
        </w:rPr>
        <w:fldChar w:fldCharType="separate"/>
      </w:r>
      <w:r w:rsidRPr="00411BE8">
        <w:rPr>
          <w:rStyle w:val="Hyperlink"/>
          <w:rFonts w:ascii="Arial" w:hAnsi="Arial" w:cs="Arial"/>
          <w:lang w:val="sv-SE"/>
        </w:rPr>
        <w:t>https://doi.org/10.15666/aeer/1801_16011610</w:t>
      </w:r>
      <w:r>
        <w:rPr>
          <w:rFonts w:ascii="Arial" w:hAnsi="Arial" w:cs="Arial"/>
          <w:lang w:val="sv-SE"/>
        </w:rPr>
        <w:fldChar w:fldCharType="end"/>
      </w:r>
      <w:r>
        <w:rPr>
          <w:rFonts w:ascii="Arial" w:hAnsi="Arial" w:cs="Arial"/>
          <w:lang w:val="sv-SE"/>
        </w:rPr>
        <w:t xml:space="preserve"> </w:t>
      </w:r>
    </w:p>
    <w:p w14:paraId="7276072E" w14:textId="77777777" w:rsidR="00A26AD4" w:rsidRDefault="00A26AD4" w:rsidP="003F5579">
      <w:pPr>
        <w:pStyle w:val="Body"/>
        <w:spacing w:after="60"/>
        <w:rPr>
          <w:rFonts w:ascii="Arial" w:hAnsi="Arial" w:cs="Arial"/>
        </w:rPr>
      </w:pPr>
      <w:proofErr w:type="spellStart"/>
      <w:r w:rsidRPr="00A26AD4">
        <w:rPr>
          <w:rFonts w:ascii="Arial" w:hAnsi="Arial" w:cs="Arial"/>
        </w:rPr>
        <w:t>Yusif</w:t>
      </w:r>
      <w:proofErr w:type="spellEnd"/>
      <w:r w:rsidRPr="00A26AD4">
        <w:rPr>
          <w:rFonts w:ascii="Arial" w:hAnsi="Arial" w:cs="Arial"/>
        </w:rPr>
        <w:t xml:space="preserve">, A. A., Mustafa, K. N., &amp; Salih, G. M. (2023). Effect of Feeding Hydroponic Barley and Concentrate Diet on Milk Yield and Composition in Hamdani Ewes. Journal of Jilin University (Engineering and Technology Edition), 42(1), 137-144. </w:t>
      </w:r>
      <w:hyperlink r:id="rId39" w:history="1">
        <w:r w:rsidRPr="00411BE8">
          <w:rPr>
            <w:rStyle w:val="Hyperlink"/>
            <w:rFonts w:ascii="Arial" w:hAnsi="Arial" w:cs="Arial"/>
          </w:rPr>
          <w:t>https://doi.org/10.17605/OSF.IO/89BH5</w:t>
        </w:r>
      </w:hyperlink>
      <w:r>
        <w:rPr>
          <w:rFonts w:ascii="Arial" w:hAnsi="Arial" w:cs="Arial"/>
        </w:rPr>
        <w:t xml:space="preserve"> </w:t>
      </w:r>
    </w:p>
    <w:p w14:paraId="4D4D0586" w14:textId="6BC4B176" w:rsidR="00A82C57" w:rsidRDefault="00A26AD4" w:rsidP="003F5579">
      <w:pPr>
        <w:pStyle w:val="Body"/>
        <w:spacing w:after="60"/>
        <w:rPr>
          <w:rFonts w:ascii="Arial" w:hAnsi="Arial" w:cs="Arial"/>
        </w:rPr>
      </w:pPr>
      <w:r w:rsidRPr="00A26AD4">
        <w:rPr>
          <w:rFonts w:ascii="Arial" w:hAnsi="Arial" w:cs="Arial"/>
        </w:rPr>
        <w:t xml:space="preserve">Zhang, X., Yu, J., Wang, S., </w:t>
      </w:r>
      <w:proofErr w:type="spellStart"/>
      <w:r w:rsidRPr="00A26AD4">
        <w:rPr>
          <w:rFonts w:ascii="Arial" w:hAnsi="Arial" w:cs="Arial"/>
        </w:rPr>
        <w:t>Qiao</w:t>
      </w:r>
      <w:proofErr w:type="spellEnd"/>
      <w:r w:rsidRPr="00A26AD4">
        <w:rPr>
          <w:rFonts w:ascii="Arial" w:hAnsi="Arial" w:cs="Arial"/>
        </w:rPr>
        <w:t xml:space="preserve">, R., Shen, J., Li, W., Zhou, F., &amp; Li, X. (2025). Molecular Mechanisms of Cold Stress Response in Strawberry and Breeding Strategies. Current Issues in Molecular Biology, 47(11), 966. </w:t>
      </w:r>
      <w:hyperlink r:id="rId40" w:history="1">
        <w:r w:rsidRPr="00411BE8">
          <w:rPr>
            <w:rStyle w:val="Hyperlink"/>
            <w:rFonts w:ascii="Arial" w:hAnsi="Arial" w:cs="Arial"/>
          </w:rPr>
          <w:t>https://doi.org/10.3390/cimb47110966</w:t>
        </w:r>
      </w:hyperlink>
      <w:r>
        <w:rPr>
          <w:rFonts w:ascii="Arial" w:hAnsi="Arial" w:cs="Arial"/>
        </w:rPr>
        <w:t xml:space="preserve"> </w:t>
      </w:r>
    </w:p>
    <w:p w14:paraId="2B29372E" w14:textId="261D4BF4" w:rsidR="004D4277" w:rsidRPr="00FB3A86" w:rsidRDefault="004D4277" w:rsidP="00441B6F">
      <w:pPr>
        <w:pStyle w:val="Appendix"/>
        <w:spacing w:after="0"/>
        <w:jc w:val="both"/>
        <w:rPr>
          <w:rFonts w:ascii="Arial" w:hAnsi="Arial" w:cs="Arial"/>
          <w:b w:val="0"/>
        </w:rPr>
        <w:sectPr w:rsidR="004D4277" w:rsidRPr="00FB3A86" w:rsidSect="00AB747E">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p>
    <w:p w14:paraId="6736ACF6" w14:textId="77777777" w:rsidR="00B01FCD" w:rsidRPr="00FB3A86" w:rsidRDefault="00B01FCD" w:rsidP="00441B6F">
      <w:pPr>
        <w:pStyle w:val="Appendix"/>
        <w:spacing w:after="0"/>
        <w:jc w:val="both"/>
        <w:rPr>
          <w:rFonts w:ascii="Arial" w:hAnsi="Arial" w:cs="Arial"/>
          <w:b w:val="0"/>
        </w:rPr>
      </w:pPr>
    </w:p>
    <w:sectPr w:rsidR="00B01FCD" w:rsidRPr="00FB3A86" w:rsidSect="00AB747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02E1D" w14:textId="77777777" w:rsidR="007C4ADB" w:rsidRDefault="007C4ADB" w:rsidP="00C37E61">
      <w:r>
        <w:separator/>
      </w:r>
    </w:p>
  </w:endnote>
  <w:endnote w:type="continuationSeparator" w:id="0">
    <w:p w14:paraId="16322DC0" w14:textId="77777777" w:rsidR="007C4ADB" w:rsidRDefault="007C4AD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62AC8" w14:textId="77777777" w:rsidR="00AB747E" w:rsidRDefault="00AB7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9A31" w14:textId="77777777" w:rsidR="00AB747E" w:rsidRDefault="00AB7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2363" w14:textId="6452488B" w:rsidR="00AD6497" w:rsidRPr="00760DBB" w:rsidRDefault="00AD6497" w:rsidP="00760D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202041"/>
      <w:docPartObj>
        <w:docPartGallery w:val="Page Numbers (Bottom of Page)"/>
        <w:docPartUnique/>
      </w:docPartObj>
    </w:sdtPr>
    <w:sdtEndPr>
      <w:rPr>
        <w:noProof/>
      </w:rPr>
    </w:sdtEndPr>
    <w:sdtContent>
      <w:p w14:paraId="6D3B9A8C" w14:textId="3187930D" w:rsidR="00AD6497" w:rsidRDefault="00AD64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01EC8" w14:textId="77777777" w:rsidR="00AD6497" w:rsidRPr="00C37E61" w:rsidRDefault="00AD649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4B299" w14:textId="77777777" w:rsidR="007C4ADB" w:rsidRDefault="007C4ADB" w:rsidP="00C37E61">
      <w:r>
        <w:separator/>
      </w:r>
    </w:p>
  </w:footnote>
  <w:footnote w:type="continuationSeparator" w:id="0">
    <w:p w14:paraId="17D399FF" w14:textId="77777777" w:rsidR="007C4ADB" w:rsidRDefault="007C4AD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8A64B" w14:textId="0CEFF4C8" w:rsidR="00AB747E" w:rsidRDefault="00AB747E">
    <w:pPr>
      <w:pStyle w:val="Header"/>
    </w:pPr>
    <w:r>
      <w:rPr>
        <w:noProof/>
      </w:rPr>
      <w:pict w14:anchorId="6C121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A22D" w14:textId="6CB76BC5" w:rsidR="00AB747E" w:rsidRDefault="00AB747E">
    <w:pPr>
      <w:pStyle w:val="Header"/>
    </w:pPr>
    <w:r>
      <w:rPr>
        <w:noProof/>
      </w:rPr>
      <w:pict w14:anchorId="0C13B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8325" w14:textId="14B71C01" w:rsidR="00AD6497" w:rsidRPr="00296529" w:rsidRDefault="00AB747E" w:rsidP="00296529">
    <w:pPr>
      <w:ind w:left="2160"/>
      <w:jc w:val="center"/>
      <w:rPr>
        <w:rFonts w:ascii="Times New Roman" w:eastAsia="Calibri" w:hAnsi="Times New Roman"/>
        <w:i/>
        <w:sz w:val="18"/>
        <w:szCs w:val="22"/>
      </w:rPr>
    </w:pPr>
    <w:r>
      <w:rPr>
        <w:noProof/>
      </w:rPr>
      <w:pict w14:anchorId="79A6F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06D7DD" w14:textId="77777777" w:rsidR="00AD6497" w:rsidRPr="00296529" w:rsidRDefault="00AD649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C9426AF" w14:textId="77777777" w:rsidR="00AD6497" w:rsidRPr="00296529" w:rsidRDefault="00AD649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9CC28B" w14:textId="77777777" w:rsidR="00AD6497" w:rsidRPr="00296529" w:rsidRDefault="00AD649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E02676" w14:textId="77777777" w:rsidR="00AD6497" w:rsidRDefault="00AD649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306025" w14:textId="77777777" w:rsidR="00AD6497" w:rsidRDefault="00AD649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EE55F22" w14:textId="77777777" w:rsidR="00AD6497" w:rsidRDefault="00AD649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2C506" w14:textId="5C343F0C" w:rsidR="00AB747E" w:rsidRDefault="00AB747E">
    <w:pPr>
      <w:pStyle w:val="Header"/>
    </w:pPr>
    <w:r>
      <w:rPr>
        <w:noProof/>
      </w:rPr>
      <w:pict w14:anchorId="2AF38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C6198" w14:textId="499FC0B6" w:rsidR="00AB747E" w:rsidRDefault="00AB747E">
    <w:pPr>
      <w:pStyle w:val="Header"/>
    </w:pPr>
    <w:r>
      <w:rPr>
        <w:noProof/>
      </w:rPr>
      <w:pict w14:anchorId="1AFBD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357BA" w14:textId="4E7A7B2F" w:rsidR="00AB747E" w:rsidRDefault="00AB747E">
    <w:pPr>
      <w:pStyle w:val="Header"/>
    </w:pPr>
    <w:r>
      <w:rPr>
        <w:noProof/>
      </w:rPr>
      <w:pict w14:anchorId="1D4DD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FF8"/>
    <w:rsid w:val="00013FDF"/>
    <w:rsid w:val="00017CA2"/>
    <w:rsid w:val="0002646A"/>
    <w:rsid w:val="0002740D"/>
    <w:rsid w:val="00030174"/>
    <w:rsid w:val="00043563"/>
    <w:rsid w:val="0004579C"/>
    <w:rsid w:val="00052AAF"/>
    <w:rsid w:val="00054C9C"/>
    <w:rsid w:val="000671A9"/>
    <w:rsid w:val="000742B2"/>
    <w:rsid w:val="000752BF"/>
    <w:rsid w:val="00081871"/>
    <w:rsid w:val="00081DBA"/>
    <w:rsid w:val="0009043D"/>
    <w:rsid w:val="00090909"/>
    <w:rsid w:val="000A0B29"/>
    <w:rsid w:val="000A24F5"/>
    <w:rsid w:val="000A30BD"/>
    <w:rsid w:val="000A47FA"/>
    <w:rsid w:val="000A65D3"/>
    <w:rsid w:val="000B132B"/>
    <w:rsid w:val="000B1E33"/>
    <w:rsid w:val="000C06BA"/>
    <w:rsid w:val="000C7AD0"/>
    <w:rsid w:val="000D689F"/>
    <w:rsid w:val="000E5522"/>
    <w:rsid w:val="000E7B7B"/>
    <w:rsid w:val="000E7D62"/>
    <w:rsid w:val="000F6A20"/>
    <w:rsid w:val="00103357"/>
    <w:rsid w:val="00106157"/>
    <w:rsid w:val="0011342A"/>
    <w:rsid w:val="001232D4"/>
    <w:rsid w:val="00123C9F"/>
    <w:rsid w:val="00126190"/>
    <w:rsid w:val="00130F17"/>
    <w:rsid w:val="001320BF"/>
    <w:rsid w:val="00152088"/>
    <w:rsid w:val="00155D72"/>
    <w:rsid w:val="0015653E"/>
    <w:rsid w:val="0015708B"/>
    <w:rsid w:val="00163BC4"/>
    <w:rsid w:val="001678D4"/>
    <w:rsid w:val="00174F48"/>
    <w:rsid w:val="00182845"/>
    <w:rsid w:val="00191062"/>
    <w:rsid w:val="00192B72"/>
    <w:rsid w:val="00196282"/>
    <w:rsid w:val="001A29D8"/>
    <w:rsid w:val="001A5556"/>
    <w:rsid w:val="001A5CAA"/>
    <w:rsid w:val="001A72C7"/>
    <w:rsid w:val="001B0427"/>
    <w:rsid w:val="001C0438"/>
    <w:rsid w:val="001C31B6"/>
    <w:rsid w:val="001D3A51"/>
    <w:rsid w:val="001D47AC"/>
    <w:rsid w:val="001D48DE"/>
    <w:rsid w:val="001D6F34"/>
    <w:rsid w:val="001E10D2"/>
    <w:rsid w:val="001E25B4"/>
    <w:rsid w:val="001E3C76"/>
    <w:rsid w:val="001E44FE"/>
    <w:rsid w:val="001E4B76"/>
    <w:rsid w:val="001E508E"/>
    <w:rsid w:val="001F5945"/>
    <w:rsid w:val="00200595"/>
    <w:rsid w:val="002013D5"/>
    <w:rsid w:val="00204152"/>
    <w:rsid w:val="00204835"/>
    <w:rsid w:val="00213082"/>
    <w:rsid w:val="00216563"/>
    <w:rsid w:val="002165AB"/>
    <w:rsid w:val="00220F3B"/>
    <w:rsid w:val="002217B7"/>
    <w:rsid w:val="00222569"/>
    <w:rsid w:val="002272F4"/>
    <w:rsid w:val="002272F9"/>
    <w:rsid w:val="00231920"/>
    <w:rsid w:val="0023195C"/>
    <w:rsid w:val="00241064"/>
    <w:rsid w:val="00241EDD"/>
    <w:rsid w:val="0024282C"/>
    <w:rsid w:val="002460DC"/>
    <w:rsid w:val="0024768B"/>
    <w:rsid w:val="00250985"/>
    <w:rsid w:val="002556F6"/>
    <w:rsid w:val="00262F9E"/>
    <w:rsid w:val="00262FBB"/>
    <w:rsid w:val="00271647"/>
    <w:rsid w:val="00276D52"/>
    <w:rsid w:val="00281AA8"/>
    <w:rsid w:val="002825D8"/>
    <w:rsid w:val="00283105"/>
    <w:rsid w:val="00284C4C"/>
    <w:rsid w:val="0028756D"/>
    <w:rsid w:val="002877AD"/>
    <w:rsid w:val="00287E68"/>
    <w:rsid w:val="002936CA"/>
    <w:rsid w:val="002957B2"/>
    <w:rsid w:val="00296529"/>
    <w:rsid w:val="002A75D4"/>
    <w:rsid w:val="002B27FB"/>
    <w:rsid w:val="002B2985"/>
    <w:rsid w:val="002B560D"/>
    <w:rsid w:val="002B685A"/>
    <w:rsid w:val="002C09B9"/>
    <w:rsid w:val="002C4C99"/>
    <w:rsid w:val="002C57D2"/>
    <w:rsid w:val="002D0565"/>
    <w:rsid w:val="002E0D56"/>
    <w:rsid w:val="00314A6B"/>
    <w:rsid w:val="00315186"/>
    <w:rsid w:val="0033343E"/>
    <w:rsid w:val="00335EF0"/>
    <w:rsid w:val="003465AA"/>
    <w:rsid w:val="00346AA1"/>
    <w:rsid w:val="003512C2"/>
    <w:rsid w:val="003544FB"/>
    <w:rsid w:val="00356052"/>
    <w:rsid w:val="00362B26"/>
    <w:rsid w:val="00370E4E"/>
    <w:rsid w:val="00371FB6"/>
    <w:rsid w:val="00372E1D"/>
    <w:rsid w:val="003763C1"/>
    <w:rsid w:val="00376BBE"/>
    <w:rsid w:val="00384105"/>
    <w:rsid w:val="00390C73"/>
    <w:rsid w:val="0039224F"/>
    <w:rsid w:val="00395CAF"/>
    <w:rsid w:val="003A43A4"/>
    <w:rsid w:val="003A7E18"/>
    <w:rsid w:val="003B015D"/>
    <w:rsid w:val="003B1E5E"/>
    <w:rsid w:val="003B4F82"/>
    <w:rsid w:val="003B5ADE"/>
    <w:rsid w:val="003C4C86"/>
    <w:rsid w:val="003C6258"/>
    <w:rsid w:val="003E1B4E"/>
    <w:rsid w:val="003E2904"/>
    <w:rsid w:val="003E4AA9"/>
    <w:rsid w:val="003F3DD2"/>
    <w:rsid w:val="003F5579"/>
    <w:rsid w:val="00401927"/>
    <w:rsid w:val="0041027F"/>
    <w:rsid w:val="00411C0F"/>
    <w:rsid w:val="00412475"/>
    <w:rsid w:val="00423789"/>
    <w:rsid w:val="004337D1"/>
    <w:rsid w:val="00440F43"/>
    <w:rsid w:val="00441B6F"/>
    <w:rsid w:val="00445418"/>
    <w:rsid w:val="00446221"/>
    <w:rsid w:val="00446C97"/>
    <w:rsid w:val="00450E62"/>
    <w:rsid w:val="00451AEB"/>
    <w:rsid w:val="004539DB"/>
    <w:rsid w:val="00454E84"/>
    <w:rsid w:val="00466CFC"/>
    <w:rsid w:val="00471A80"/>
    <w:rsid w:val="0049041C"/>
    <w:rsid w:val="004A0320"/>
    <w:rsid w:val="004C19FB"/>
    <w:rsid w:val="004C53D8"/>
    <w:rsid w:val="004C6E94"/>
    <w:rsid w:val="004D305E"/>
    <w:rsid w:val="004D3402"/>
    <w:rsid w:val="004D372E"/>
    <w:rsid w:val="004D4277"/>
    <w:rsid w:val="004D6F27"/>
    <w:rsid w:val="004E006E"/>
    <w:rsid w:val="004E0625"/>
    <w:rsid w:val="004E50F6"/>
    <w:rsid w:val="004F610E"/>
    <w:rsid w:val="00502516"/>
    <w:rsid w:val="0050548F"/>
    <w:rsid w:val="00505F06"/>
    <w:rsid w:val="00506828"/>
    <w:rsid w:val="00526C1B"/>
    <w:rsid w:val="0053056E"/>
    <w:rsid w:val="00536E18"/>
    <w:rsid w:val="005405DE"/>
    <w:rsid w:val="00541DE1"/>
    <w:rsid w:val="00542159"/>
    <w:rsid w:val="00551C28"/>
    <w:rsid w:val="00554FDA"/>
    <w:rsid w:val="00567273"/>
    <w:rsid w:val="0057344A"/>
    <w:rsid w:val="00585161"/>
    <w:rsid w:val="005928A6"/>
    <w:rsid w:val="005A2BCF"/>
    <w:rsid w:val="005A6A64"/>
    <w:rsid w:val="005B284E"/>
    <w:rsid w:val="005B3A5D"/>
    <w:rsid w:val="005B6E32"/>
    <w:rsid w:val="005C4A45"/>
    <w:rsid w:val="005C784C"/>
    <w:rsid w:val="005D17F6"/>
    <w:rsid w:val="005E1166"/>
    <w:rsid w:val="005E5539"/>
    <w:rsid w:val="005E556A"/>
    <w:rsid w:val="005E7DB2"/>
    <w:rsid w:val="005F4B77"/>
    <w:rsid w:val="005F6611"/>
    <w:rsid w:val="00601F69"/>
    <w:rsid w:val="006027DD"/>
    <w:rsid w:val="00602BF5"/>
    <w:rsid w:val="00604BBC"/>
    <w:rsid w:val="0061351A"/>
    <w:rsid w:val="00613D02"/>
    <w:rsid w:val="00617FDD"/>
    <w:rsid w:val="006220C2"/>
    <w:rsid w:val="00622977"/>
    <w:rsid w:val="00623935"/>
    <w:rsid w:val="00626530"/>
    <w:rsid w:val="00633614"/>
    <w:rsid w:val="0063387A"/>
    <w:rsid w:val="00633F68"/>
    <w:rsid w:val="00636EB2"/>
    <w:rsid w:val="006375B8"/>
    <w:rsid w:val="00653C87"/>
    <w:rsid w:val="00657D3C"/>
    <w:rsid w:val="00663F33"/>
    <w:rsid w:val="0066510A"/>
    <w:rsid w:val="00673029"/>
    <w:rsid w:val="00673F9F"/>
    <w:rsid w:val="006755D0"/>
    <w:rsid w:val="00676A78"/>
    <w:rsid w:val="00683CD4"/>
    <w:rsid w:val="00686953"/>
    <w:rsid w:val="00687DEA"/>
    <w:rsid w:val="00687E67"/>
    <w:rsid w:val="006908EB"/>
    <w:rsid w:val="00695782"/>
    <w:rsid w:val="006967F7"/>
    <w:rsid w:val="006A250C"/>
    <w:rsid w:val="006B21D3"/>
    <w:rsid w:val="006B57D0"/>
    <w:rsid w:val="006C200B"/>
    <w:rsid w:val="006C40DF"/>
    <w:rsid w:val="006C6EDA"/>
    <w:rsid w:val="006D30FF"/>
    <w:rsid w:val="006D5F20"/>
    <w:rsid w:val="006D65B8"/>
    <w:rsid w:val="006D6940"/>
    <w:rsid w:val="006E1DC6"/>
    <w:rsid w:val="006E2545"/>
    <w:rsid w:val="006E4167"/>
    <w:rsid w:val="006F11EC"/>
    <w:rsid w:val="006F76AA"/>
    <w:rsid w:val="0070082C"/>
    <w:rsid w:val="007012B9"/>
    <w:rsid w:val="00720163"/>
    <w:rsid w:val="00732D84"/>
    <w:rsid w:val="007369E6"/>
    <w:rsid w:val="00746E59"/>
    <w:rsid w:val="00754C9A"/>
    <w:rsid w:val="0075599A"/>
    <w:rsid w:val="00760DBB"/>
    <w:rsid w:val="00761D52"/>
    <w:rsid w:val="00763F6C"/>
    <w:rsid w:val="00765376"/>
    <w:rsid w:val="007712CA"/>
    <w:rsid w:val="00772ABE"/>
    <w:rsid w:val="0077695A"/>
    <w:rsid w:val="0077749E"/>
    <w:rsid w:val="00782A0F"/>
    <w:rsid w:val="00787473"/>
    <w:rsid w:val="00790ADA"/>
    <w:rsid w:val="0079279B"/>
    <w:rsid w:val="00796CCD"/>
    <w:rsid w:val="007A2AF4"/>
    <w:rsid w:val="007B250E"/>
    <w:rsid w:val="007B51E7"/>
    <w:rsid w:val="007B541C"/>
    <w:rsid w:val="007C4ADB"/>
    <w:rsid w:val="007C5716"/>
    <w:rsid w:val="007D2288"/>
    <w:rsid w:val="007D3B41"/>
    <w:rsid w:val="007D61DE"/>
    <w:rsid w:val="007E088F"/>
    <w:rsid w:val="007E1F3B"/>
    <w:rsid w:val="007F2D28"/>
    <w:rsid w:val="007F7B32"/>
    <w:rsid w:val="00804BC2"/>
    <w:rsid w:val="0081431A"/>
    <w:rsid w:val="00816456"/>
    <w:rsid w:val="0083216F"/>
    <w:rsid w:val="00837AF1"/>
    <w:rsid w:val="008447A5"/>
    <w:rsid w:val="0085081B"/>
    <w:rsid w:val="00860000"/>
    <w:rsid w:val="00860222"/>
    <w:rsid w:val="00861A7A"/>
    <w:rsid w:val="00863BD3"/>
    <w:rsid w:val="008641ED"/>
    <w:rsid w:val="00866D66"/>
    <w:rsid w:val="00866DF8"/>
    <w:rsid w:val="008671C6"/>
    <w:rsid w:val="00871E82"/>
    <w:rsid w:val="00875803"/>
    <w:rsid w:val="00880980"/>
    <w:rsid w:val="00891305"/>
    <w:rsid w:val="00894944"/>
    <w:rsid w:val="00896E1F"/>
    <w:rsid w:val="008A0601"/>
    <w:rsid w:val="008B459E"/>
    <w:rsid w:val="008B5C4B"/>
    <w:rsid w:val="008B723A"/>
    <w:rsid w:val="008C27A3"/>
    <w:rsid w:val="008D3C8B"/>
    <w:rsid w:val="008E13AE"/>
    <w:rsid w:val="008E1506"/>
    <w:rsid w:val="008E3FBC"/>
    <w:rsid w:val="008E710C"/>
    <w:rsid w:val="008F16D8"/>
    <w:rsid w:val="008F69D6"/>
    <w:rsid w:val="00902823"/>
    <w:rsid w:val="00905F36"/>
    <w:rsid w:val="00906372"/>
    <w:rsid w:val="00915CA6"/>
    <w:rsid w:val="00921115"/>
    <w:rsid w:val="00926903"/>
    <w:rsid w:val="00927834"/>
    <w:rsid w:val="00937D6A"/>
    <w:rsid w:val="009409E8"/>
    <w:rsid w:val="00941433"/>
    <w:rsid w:val="009500A6"/>
    <w:rsid w:val="00957C18"/>
    <w:rsid w:val="009659BA"/>
    <w:rsid w:val="00970A62"/>
    <w:rsid w:val="00971D01"/>
    <w:rsid w:val="00982063"/>
    <w:rsid w:val="00983040"/>
    <w:rsid w:val="009A3BA6"/>
    <w:rsid w:val="009A6D0B"/>
    <w:rsid w:val="009B011A"/>
    <w:rsid w:val="009B2834"/>
    <w:rsid w:val="009B3FB9"/>
    <w:rsid w:val="009B599F"/>
    <w:rsid w:val="009B7928"/>
    <w:rsid w:val="009C2465"/>
    <w:rsid w:val="009D274F"/>
    <w:rsid w:val="009D35A0"/>
    <w:rsid w:val="009D6CBF"/>
    <w:rsid w:val="009D77AF"/>
    <w:rsid w:val="009D7EB7"/>
    <w:rsid w:val="009E048A"/>
    <w:rsid w:val="009E08E9"/>
    <w:rsid w:val="009E3DB9"/>
    <w:rsid w:val="009E6D8B"/>
    <w:rsid w:val="009E6E35"/>
    <w:rsid w:val="009F05E6"/>
    <w:rsid w:val="009F0EDA"/>
    <w:rsid w:val="009F6E04"/>
    <w:rsid w:val="00A0041E"/>
    <w:rsid w:val="00A03B96"/>
    <w:rsid w:val="00A05B19"/>
    <w:rsid w:val="00A1134E"/>
    <w:rsid w:val="00A15B06"/>
    <w:rsid w:val="00A2150B"/>
    <w:rsid w:val="00A22889"/>
    <w:rsid w:val="00A238C1"/>
    <w:rsid w:val="00A24E7E"/>
    <w:rsid w:val="00A258C3"/>
    <w:rsid w:val="00A26AD4"/>
    <w:rsid w:val="00A26BD2"/>
    <w:rsid w:val="00A347C0"/>
    <w:rsid w:val="00A35959"/>
    <w:rsid w:val="00A40638"/>
    <w:rsid w:val="00A44BEA"/>
    <w:rsid w:val="00A51431"/>
    <w:rsid w:val="00A533F0"/>
    <w:rsid w:val="00A539AD"/>
    <w:rsid w:val="00A602F8"/>
    <w:rsid w:val="00A63B9F"/>
    <w:rsid w:val="00A7590E"/>
    <w:rsid w:val="00A82325"/>
    <w:rsid w:val="00A82C57"/>
    <w:rsid w:val="00A845C9"/>
    <w:rsid w:val="00A85AB9"/>
    <w:rsid w:val="00A94063"/>
    <w:rsid w:val="00AA6219"/>
    <w:rsid w:val="00AA74E0"/>
    <w:rsid w:val="00AB0235"/>
    <w:rsid w:val="00AB245E"/>
    <w:rsid w:val="00AB703F"/>
    <w:rsid w:val="00AB747E"/>
    <w:rsid w:val="00AB7A59"/>
    <w:rsid w:val="00AC6BB8"/>
    <w:rsid w:val="00AC7663"/>
    <w:rsid w:val="00AD139E"/>
    <w:rsid w:val="00AD6497"/>
    <w:rsid w:val="00AE008F"/>
    <w:rsid w:val="00AE4C91"/>
    <w:rsid w:val="00AF5947"/>
    <w:rsid w:val="00AF78BB"/>
    <w:rsid w:val="00B01FCD"/>
    <w:rsid w:val="00B1776C"/>
    <w:rsid w:val="00B20BD8"/>
    <w:rsid w:val="00B44A28"/>
    <w:rsid w:val="00B52583"/>
    <w:rsid w:val="00B52896"/>
    <w:rsid w:val="00B76C8D"/>
    <w:rsid w:val="00B77CC4"/>
    <w:rsid w:val="00B95236"/>
    <w:rsid w:val="00B96BD9"/>
    <w:rsid w:val="00BA1B01"/>
    <w:rsid w:val="00BA2641"/>
    <w:rsid w:val="00BA2B35"/>
    <w:rsid w:val="00BA47D4"/>
    <w:rsid w:val="00BB37AA"/>
    <w:rsid w:val="00BB46FA"/>
    <w:rsid w:val="00BC1482"/>
    <w:rsid w:val="00BC53A0"/>
    <w:rsid w:val="00BC551E"/>
    <w:rsid w:val="00BD2832"/>
    <w:rsid w:val="00BD33A1"/>
    <w:rsid w:val="00BE056A"/>
    <w:rsid w:val="00BE62AD"/>
    <w:rsid w:val="00BE70C8"/>
    <w:rsid w:val="00BF0C43"/>
    <w:rsid w:val="00BF121F"/>
    <w:rsid w:val="00BF1F80"/>
    <w:rsid w:val="00C0070A"/>
    <w:rsid w:val="00C166EF"/>
    <w:rsid w:val="00C17EB0"/>
    <w:rsid w:val="00C22E21"/>
    <w:rsid w:val="00C23025"/>
    <w:rsid w:val="00C27F5F"/>
    <w:rsid w:val="00C30A0F"/>
    <w:rsid w:val="00C379C6"/>
    <w:rsid w:val="00C37E61"/>
    <w:rsid w:val="00C43278"/>
    <w:rsid w:val="00C43872"/>
    <w:rsid w:val="00C43B12"/>
    <w:rsid w:val="00C5267F"/>
    <w:rsid w:val="00C62065"/>
    <w:rsid w:val="00C62085"/>
    <w:rsid w:val="00C70F1B"/>
    <w:rsid w:val="00C71A47"/>
    <w:rsid w:val="00C745EE"/>
    <w:rsid w:val="00C7464C"/>
    <w:rsid w:val="00C80716"/>
    <w:rsid w:val="00C81684"/>
    <w:rsid w:val="00C85588"/>
    <w:rsid w:val="00C87792"/>
    <w:rsid w:val="00C956A7"/>
    <w:rsid w:val="00CA10B9"/>
    <w:rsid w:val="00CA1851"/>
    <w:rsid w:val="00CA5AC0"/>
    <w:rsid w:val="00CA5CE1"/>
    <w:rsid w:val="00CB5A78"/>
    <w:rsid w:val="00CB63E1"/>
    <w:rsid w:val="00CC4666"/>
    <w:rsid w:val="00CD1247"/>
    <w:rsid w:val="00CD2129"/>
    <w:rsid w:val="00CD6755"/>
    <w:rsid w:val="00CD6856"/>
    <w:rsid w:val="00CD695C"/>
    <w:rsid w:val="00CE0089"/>
    <w:rsid w:val="00CE793C"/>
    <w:rsid w:val="00CF193C"/>
    <w:rsid w:val="00CF3049"/>
    <w:rsid w:val="00CF70C8"/>
    <w:rsid w:val="00D00761"/>
    <w:rsid w:val="00D01927"/>
    <w:rsid w:val="00D03DC5"/>
    <w:rsid w:val="00D165A5"/>
    <w:rsid w:val="00D1710C"/>
    <w:rsid w:val="00D173F1"/>
    <w:rsid w:val="00D21374"/>
    <w:rsid w:val="00D332CF"/>
    <w:rsid w:val="00D36D04"/>
    <w:rsid w:val="00D62079"/>
    <w:rsid w:val="00D6239C"/>
    <w:rsid w:val="00D70918"/>
    <w:rsid w:val="00D71532"/>
    <w:rsid w:val="00D73648"/>
    <w:rsid w:val="00D74CB0"/>
    <w:rsid w:val="00D7572E"/>
    <w:rsid w:val="00D7623D"/>
    <w:rsid w:val="00D8295D"/>
    <w:rsid w:val="00D85EE8"/>
    <w:rsid w:val="00DA4F35"/>
    <w:rsid w:val="00DB68B4"/>
    <w:rsid w:val="00DC2A65"/>
    <w:rsid w:val="00DC5107"/>
    <w:rsid w:val="00DD265B"/>
    <w:rsid w:val="00DE15F0"/>
    <w:rsid w:val="00DE1A2F"/>
    <w:rsid w:val="00DE497A"/>
    <w:rsid w:val="00DE5663"/>
    <w:rsid w:val="00DE78AA"/>
    <w:rsid w:val="00DF0605"/>
    <w:rsid w:val="00E053D0"/>
    <w:rsid w:val="00E06B2E"/>
    <w:rsid w:val="00E15994"/>
    <w:rsid w:val="00E230F1"/>
    <w:rsid w:val="00E3114E"/>
    <w:rsid w:val="00E31A70"/>
    <w:rsid w:val="00E32013"/>
    <w:rsid w:val="00E35B02"/>
    <w:rsid w:val="00E37198"/>
    <w:rsid w:val="00E4143C"/>
    <w:rsid w:val="00E45C02"/>
    <w:rsid w:val="00E50E77"/>
    <w:rsid w:val="00E532EB"/>
    <w:rsid w:val="00E66496"/>
    <w:rsid w:val="00E66B35"/>
    <w:rsid w:val="00E66E10"/>
    <w:rsid w:val="00E67DF5"/>
    <w:rsid w:val="00E71508"/>
    <w:rsid w:val="00E769F6"/>
    <w:rsid w:val="00E77AEA"/>
    <w:rsid w:val="00E824F1"/>
    <w:rsid w:val="00E8298B"/>
    <w:rsid w:val="00E8407C"/>
    <w:rsid w:val="00E84F3C"/>
    <w:rsid w:val="00E96BD9"/>
    <w:rsid w:val="00E97BBF"/>
    <w:rsid w:val="00EA012C"/>
    <w:rsid w:val="00EA41E5"/>
    <w:rsid w:val="00EA5D8D"/>
    <w:rsid w:val="00EA6EAC"/>
    <w:rsid w:val="00EB6938"/>
    <w:rsid w:val="00EC6A55"/>
    <w:rsid w:val="00EC6F6A"/>
    <w:rsid w:val="00ED0288"/>
    <w:rsid w:val="00ED377F"/>
    <w:rsid w:val="00ED6E5F"/>
    <w:rsid w:val="00ED7FA2"/>
    <w:rsid w:val="00EE52CB"/>
    <w:rsid w:val="00EE6D58"/>
    <w:rsid w:val="00EF00D0"/>
    <w:rsid w:val="00EF27ED"/>
    <w:rsid w:val="00EF581D"/>
    <w:rsid w:val="00EF7FD8"/>
    <w:rsid w:val="00F05465"/>
    <w:rsid w:val="00F06F59"/>
    <w:rsid w:val="00F12874"/>
    <w:rsid w:val="00F17988"/>
    <w:rsid w:val="00F20EAB"/>
    <w:rsid w:val="00F21188"/>
    <w:rsid w:val="00F212D3"/>
    <w:rsid w:val="00F31274"/>
    <w:rsid w:val="00F469F0"/>
    <w:rsid w:val="00F51C73"/>
    <w:rsid w:val="00F53273"/>
    <w:rsid w:val="00F754BF"/>
    <w:rsid w:val="00F755E4"/>
    <w:rsid w:val="00F77D02"/>
    <w:rsid w:val="00F80387"/>
    <w:rsid w:val="00FB2687"/>
    <w:rsid w:val="00FB3A86"/>
    <w:rsid w:val="00FC0B5D"/>
    <w:rsid w:val="00FC4482"/>
    <w:rsid w:val="00FC5822"/>
    <w:rsid w:val="00FD36C8"/>
    <w:rsid w:val="00FD4381"/>
    <w:rsid w:val="00FD70D6"/>
    <w:rsid w:val="00FD7A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9169C3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2B2985"/>
    <w:rPr>
      <w:rFonts w:ascii="Helvetica" w:hAnsi="Helvetica"/>
    </w:rPr>
  </w:style>
  <w:style w:type="character" w:customStyle="1" w:styleId="HeaderChar">
    <w:name w:val="Header Char"/>
    <w:basedOn w:val="DefaultParagraphFont"/>
    <w:link w:val="Header"/>
    <w:uiPriority w:val="99"/>
    <w:rsid w:val="00FD70D6"/>
    <w:rPr>
      <w:rFonts w:ascii="Helvetica" w:hAnsi="Helvetica"/>
    </w:rPr>
  </w:style>
  <w:style w:type="table" w:styleId="LightShading">
    <w:name w:val="Light Shading"/>
    <w:basedOn w:val="TableNormal"/>
    <w:uiPriority w:val="60"/>
    <w:rsid w:val="000A0B2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semiHidden/>
    <w:unhideWhenUsed/>
    <w:rsid w:val="00871E82"/>
    <w:rPr>
      <w:rFonts w:ascii="Helvetica" w:hAnsi="Helvetica"/>
      <w:b/>
      <w:bCs/>
      <w:lang w:val="en-US" w:eastAsia="en-US"/>
    </w:rPr>
  </w:style>
  <w:style w:type="character" w:customStyle="1" w:styleId="CommentSubjectChar">
    <w:name w:val="Comment Subject Char"/>
    <w:basedOn w:val="CommentTextChar"/>
    <w:link w:val="CommentSubject"/>
    <w:semiHidden/>
    <w:rsid w:val="00871E8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vetsci10010015" TargetMode="External"/><Relationship Id="rId26" Type="http://schemas.openxmlformats.org/officeDocument/2006/relationships/hyperlink" Target="https://doi.org/10.24925/turjaf.v4i9.793-799.859" TargetMode="External"/><Relationship Id="rId39" Type="http://schemas.openxmlformats.org/officeDocument/2006/relationships/hyperlink" Target="https://doi.org/10.17605/OSF.IO/89BH5" TargetMode="External"/><Relationship Id="rId21" Type="http://schemas.openxmlformats.org/officeDocument/2006/relationships/hyperlink" Target="https://doi.org/10.3923/javaa.2010.2432.2436" TargetMode="External"/><Relationship Id="rId34" Type="http://schemas.openxmlformats.org/officeDocument/2006/relationships/hyperlink" Target="https://www.ctahr.hawaii.edu/oc/freepubs/pdf/SA-5.pdf"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s41598-023-27911-x" TargetMode="External"/><Relationship Id="rId29" Type="http://schemas.openxmlformats.org/officeDocument/2006/relationships/hyperlink" Target="https://doi.org/10.1002/agj2.201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pls.2021.676884" TargetMode="External"/><Relationship Id="rId32" Type="http://schemas.openxmlformats.org/officeDocument/2006/relationships/hyperlink" Target="https://cropsandsoils.extension.wisc.edu/articles/forage-production-and-management/relative-forage-quality/" TargetMode="External"/><Relationship Id="rId37" Type="http://schemas.openxmlformats.org/officeDocument/2006/relationships/hyperlink" Target="https://doi.org/10.3389/fpls.2024.1334913" TargetMode="External"/><Relationship Id="rId40" Type="http://schemas.openxmlformats.org/officeDocument/2006/relationships/hyperlink" Target="https://doi.org/10.3390/cimb47110966"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doi.org/10.17094/avbd.50526" TargetMode="External"/><Relationship Id="rId28" Type="http://schemas.openxmlformats.org/officeDocument/2006/relationships/hyperlink" Target="https://openprairie.sdstate.edu/etd/3400/" TargetMode="External"/><Relationship Id="rId36" Type="http://schemas.openxmlformats.org/officeDocument/2006/relationships/hyperlink" Target="https://doi.org/10.1088/1755-1315/788/1/012164" TargetMode="External"/><Relationship Id="rId10" Type="http://schemas.openxmlformats.org/officeDocument/2006/relationships/footer" Target="footer1.xml"/><Relationship Id="rId19" Type="http://schemas.openxmlformats.org/officeDocument/2006/relationships/hyperlink" Target="https://doi.org/10.22092/ARI.2022.358131.2157" TargetMode="External"/><Relationship Id="rId31" Type="http://schemas.openxmlformats.org/officeDocument/2006/relationships/hyperlink" Target="https://www.mla.com.au/research-and-development/search-rd-reports/nbp.332/"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923/javaa.2010.2485.2492" TargetMode="External"/><Relationship Id="rId27" Type="http://schemas.openxmlformats.org/officeDocument/2006/relationships/hyperlink" Target="http://www.entomoljournal.com/archives/2018/vol6/issue6" TargetMode="External"/><Relationship Id="rId30" Type="http://schemas.openxmlformats.org/officeDocument/2006/relationships/hyperlink" Target="https://www.asas.org/meetings/past-meetings/programs-proccedings-abstracts" TargetMode="External"/><Relationship Id="rId35" Type="http://schemas.openxmlformats.org/officeDocument/2006/relationships/hyperlink" Target="https://doi.org/10.3168/jds.S0022-0302(91)78551-2"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anifeedsci.2019.04.011" TargetMode="External"/><Relationship Id="rId25" Type="http://schemas.openxmlformats.org/officeDocument/2006/relationships/hyperlink" Target="https://doi.org/10.14202/vetworld.2021.841-846" TargetMode="External"/><Relationship Id="rId33" Type="http://schemas.openxmlformats.org/officeDocument/2006/relationships/hyperlink" Target="https://apps.fas.usda.gov/psdonline/app/index.html" TargetMode="External"/><Relationship Id="rId38" Type="http://schemas.openxmlformats.org/officeDocument/2006/relationships/hyperlink" Target="https://doi.org/10.61186/gppj.1.3.1" TargetMode="External"/><Relationship Id="rId46" Type="http://schemas.openxmlformats.org/officeDocument/2006/relationships/theme" Target="theme/theme1.xml"/><Relationship Id="rId20" Type="http://schemas.openxmlformats.org/officeDocument/2006/relationships/hyperlink" Target="https://doi.org/10.14202/vetworld.2017.424-437"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68104-975E-44D1-B4F3-EF697FA1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2262</TotalTime>
  <Pages>14</Pages>
  <Words>6207</Words>
  <Characters>35383</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41507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278</cp:revision>
  <cp:lastPrinted>1999-07-06T11:00:00Z</cp:lastPrinted>
  <dcterms:created xsi:type="dcterms:W3CDTF">2014-10-25T14:34:00Z</dcterms:created>
  <dcterms:modified xsi:type="dcterms:W3CDTF">2025-12-15T12:20:00Z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cecaf8d9-55d9-496d-b507-a98d730de297</vt:lpwstr>
  </property>
</Properties>
</file>