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D4BC3D" w14:textId="77777777" w:rsidR="00754C9A" w:rsidRDefault="00754C9A" w:rsidP="00441B6F">
      <w:pPr>
        <w:pStyle w:val="Title"/>
        <w:spacing w:after="0"/>
        <w:jc w:val="both"/>
        <w:rPr>
          <w:rFonts w:ascii="Arial" w:hAnsi="Arial" w:cs="Arial"/>
        </w:rPr>
      </w:pPr>
    </w:p>
    <w:p w14:paraId="5F5FCB8B" w14:textId="0B174221" w:rsidR="00DE3536" w:rsidRPr="009C1F11" w:rsidRDefault="00DE3536" w:rsidP="00DE3536">
      <w:pPr>
        <w:jc w:val="both"/>
        <w:rPr>
          <w:rFonts w:ascii="Arial" w:hAnsi="Arial" w:cs="Arial"/>
          <w:b/>
          <w:bCs/>
          <w:sz w:val="36"/>
          <w:szCs w:val="36"/>
        </w:rPr>
      </w:pPr>
      <w:r w:rsidRPr="009C1F11">
        <w:rPr>
          <w:rFonts w:ascii="Arial" w:hAnsi="Arial" w:cs="Arial"/>
          <w:b/>
          <w:bCs/>
          <w:sz w:val="36"/>
          <w:szCs w:val="36"/>
        </w:rPr>
        <w:t xml:space="preserve">Acute </w:t>
      </w:r>
      <w:proofErr w:type="spellStart"/>
      <w:r w:rsidRPr="009C1F11">
        <w:rPr>
          <w:rFonts w:ascii="Arial" w:hAnsi="Arial" w:cs="Arial"/>
          <w:b/>
          <w:bCs/>
          <w:sz w:val="36"/>
          <w:szCs w:val="36"/>
        </w:rPr>
        <w:t>Lymphoblasic</w:t>
      </w:r>
      <w:proofErr w:type="spellEnd"/>
      <w:r w:rsidRPr="009C1F11">
        <w:rPr>
          <w:rFonts w:ascii="Arial" w:hAnsi="Arial" w:cs="Arial"/>
          <w:b/>
          <w:bCs/>
          <w:sz w:val="36"/>
          <w:szCs w:val="36"/>
        </w:rPr>
        <w:t xml:space="preserve"> </w:t>
      </w:r>
      <w:r>
        <w:rPr>
          <w:rFonts w:ascii="Arial" w:hAnsi="Arial" w:cs="Arial"/>
          <w:b/>
          <w:bCs/>
          <w:sz w:val="36"/>
          <w:szCs w:val="36"/>
        </w:rPr>
        <w:t>L</w:t>
      </w:r>
      <w:r w:rsidRPr="009C1F11">
        <w:rPr>
          <w:rFonts w:ascii="Arial" w:hAnsi="Arial" w:cs="Arial"/>
          <w:b/>
          <w:bCs/>
          <w:sz w:val="36"/>
          <w:szCs w:val="36"/>
        </w:rPr>
        <w:t>eukemia presented with Paraparesis: an unusual presentation and a rare case in a child</w:t>
      </w:r>
    </w:p>
    <w:p w14:paraId="0946585B" w14:textId="65DABBD4" w:rsidR="002C57D2" w:rsidRDefault="002C57D2" w:rsidP="00441B6F">
      <w:pPr>
        <w:pStyle w:val="Affiliation"/>
        <w:spacing w:after="0" w:line="240" w:lineRule="auto"/>
        <w:jc w:val="both"/>
        <w:rPr>
          <w:rFonts w:ascii="Arial" w:hAnsi="Arial" w:cs="Arial"/>
        </w:rPr>
      </w:pPr>
    </w:p>
    <w:p w14:paraId="1364A037" w14:textId="77777777" w:rsidR="003664F3" w:rsidRPr="00FB3A86" w:rsidRDefault="003664F3" w:rsidP="00441B6F">
      <w:pPr>
        <w:pStyle w:val="Affiliation"/>
        <w:spacing w:after="0" w:line="240" w:lineRule="auto"/>
        <w:jc w:val="both"/>
        <w:rPr>
          <w:rFonts w:ascii="Arial" w:hAnsi="Arial" w:cs="Arial"/>
        </w:rPr>
      </w:pPr>
    </w:p>
    <w:p w14:paraId="6AB856A0" w14:textId="77777777" w:rsidR="00B01FCD" w:rsidRPr="00FB3A86" w:rsidRDefault="00C36CA0" w:rsidP="00441B6F">
      <w:pPr>
        <w:pStyle w:val="Copyright"/>
        <w:spacing w:after="0" w:line="240" w:lineRule="auto"/>
        <w:jc w:val="both"/>
        <w:rPr>
          <w:rFonts w:ascii="Arial" w:hAnsi="Arial" w:cs="Arial"/>
        </w:rPr>
        <w:sectPr w:rsidR="00B01FCD" w:rsidRPr="00FB3A86" w:rsidSect="003664F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3CCC7E5">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3CE0217A" w14:textId="1950246B"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D7107A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7C639B3" w14:textId="77777777" w:rsidTr="001E44FE">
        <w:tc>
          <w:tcPr>
            <w:tcW w:w="9576" w:type="dxa"/>
            <w:shd w:val="clear" w:color="auto" w:fill="F2F2F2"/>
          </w:tcPr>
          <w:p w14:paraId="6FD8B5E0" w14:textId="0B85FDB0" w:rsidR="00505F06" w:rsidRPr="00BA1B01" w:rsidRDefault="00DE3536" w:rsidP="00441B6F">
            <w:pPr>
              <w:pStyle w:val="Body"/>
              <w:spacing w:after="0"/>
              <w:rPr>
                <w:rFonts w:ascii="Arial" w:eastAsia="Calibri" w:hAnsi="Arial" w:cs="Arial"/>
                <w:szCs w:val="22"/>
              </w:rPr>
            </w:pPr>
            <w:r w:rsidRPr="009C1F11">
              <w:rPr>
                <w:rFonts w:ascii="Arial" w:hAnsi="Arial" w:cs="Arial"/>
                <w:sz w:val="22"/>
                <w:szCs w:val="22"/>
              </w:rPr>
              <w:t xml:space="preserve">Acute Lymphoblastic leukemia (ALL) remains the most commonly encountered </w:t>
            </w:r>
            <w:proofErr w:type="spellStart"/>
            <w:r w:rsidRPr="009C1F11">
              <w:rPr>
                <w:rFonts w:ascii="Arial" w:hAnsi="Arial" w:cs="Arial"/>
                <w:sz w:val="22"/>
                <w:szCs w:val="22"/>
              </w:rPr>
              <w:t>paediatric</w:t>
            </w:r>
            <w:proofErr w:type="spellEnd"/>
            <w:r w:rsidRPr="009C1F11">
              <w:rPr>
                <w:rFonts w:ascii="Arial" w:hAnsi="Arial" w:cs="Arial"/>
                <w:sz w:val="22"/>
                <w:szCs w:val="22"/>
              </w:rPr>
              <w:t xml:space="preserve"> malignancy and having a good prognosis. It’s imperative for clinicians to be aware of its unusual presentations. In this article, we present a three-year-old girl who presented with paraparesis, subsequently diagnosed to be a case of B cell ALL, successfully treated with chemotherapy. By excluding all other causes, the neurological diagnosis of non-compressive myelopathy due to paraneoplastic syndrome was considered</w:t>
            </w:r>
            <w:r w:rsidR="0092508B">
              <w:rPr>
                <w:rFonts w:ascii="Arial" w:hAnsi="Arial" w:cs="Arial"/>
                <w:sz w:val="22"/>
                <w:szCs w:val="22"/>
              </w:rPr>
              <w:t>.</w:t>
            </w:r>
          </w:p>
        </w:tc>
      </w:tr>
    </w:tbl>
    <w:p w14:paraId="3AA07473" w14:textId="77777777" w:rsidR="00636EB2" w:rsidRDefault="00636EB2" w:rsidP="00441B6F">
      <w:pPr>
        <w:pStyle w:val="Body"/>
        <w:spacing w:after="0"/>
        <w:rPr>
          <w:rFonts w:ascii="Arial" w:hAnsi="Arial" w:cs="Arial"/>
          <w:i/>
        </w:rPr>
      </w:pPr>
    </w:p>
    <w:p w14:paraId="38A03340" w14:textId="42731225" w:rsidR="00A24E7E" w:rsidRDefault="00A24E7E" w:rsidP="00441B6F">
      <w:pPr>
        <w:pStyle w:val="Body"/>
        <w:spacing w:after="0"/>
        <w:rPr>
          <w:rFonts w:ascii="Arial" w:hAnsi="Arial" w:cs="Arial"/>
          <w:i/>
        </w:rPr>
      </w:pPr>
      <w:r>
        <w:rPr>
          <w:rFonts w:ascii="Arial" w:hAnsi="Arial" w:cs="Arial"/>
          <w:i/>
        </w:rPr>
        <w:t xml:space="preserve">Keywords: </w:t>
      </w:r>
      <w:r w:rsidR="00DE3536" w:rsidRPr="009C1F11">
        <w:rPr>
          <w:rFonts w:ascii="Arial" w:hAnsi="Arial" w:cs="Arial"/>
        </w:rPr>
        <w:t>Acute Lymphoblastic leukemia, paraparesis, non-compressive myelopathy, paraneoplastic syndrome</w:t>
      </w:r>
    </w:p>
    <w:p w14:paraId="71AA6853" w14:textId="3B6FCC6D" w:rsidR="00B52896" w:rsidRDefault="00B52896" w:rsidP="00DE3536">
      <w:pPr>
        <w:pStyle w:val="Body"/>
        <w:spacing w:after="0"/>
        <w:rPr>
          <w:rFonts w:ascii="Arial" w:hAnsi="Arial" w:cs="Arial"/>
          <w:i/>
          <w:sz w:val="18"/>
        </w:rPr>
      </w:pPr>
    </w:p>
    <w:p w14:paraId="31711D62" w14:textId="77777777" w:rsidR="0024282C" w:rsidRDefault="0024282C" w:rsidP="00441B6F">
      <w:pPr>
        <w:pStyle w:val="Body"/>
        <w:spacing w:after="0"/>
        <w:rPr>
          <w:rFonts w:ascii="Arial" w:hAnsi="Arial" w:cs="Arial"/>
          <w:i/>
          <w:sz w:val="18"/>
        </w:rPr>
      </w:pPr>
    </w:p>
    <w:p w14:paraId="5B80FB5C" w14:textId="77777777" w:rsidR="00505F06" w:rsidRPr="00A24E7E" w:rsidRDefault="00505F06" w:rsidP="00441B6F">
      <w:pPr>
        <w:pStyle w:val="Body"/>
        <w:spacing w:after="0"/>
        <w:rPr>
          <w:rFonts w:ascii="Arial" w:hAnsi="Arial" w:cs="Arial"/>
          <w:i/>
        </w:rPr>
      </w:pPr>
    </w:p>
    <w:p w14:paraId="7E37F28D" w14:textId="0D39DCB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3610E46" w14:textId="77777777" w:rsidR="00790ADA" w:rsidRPr="00FB3A86" w:rsidRDefault="00790ADA" w:rsidP="00441B6F">
      <w:pPr>
        <w:pStyle w:val="AbstHead"/>
        <w:spacing w:after="0"/>
        <w:jc w:val="both"/>
        <w:rPr>
          <w:rFonts w:ascii="Arial" w:hAnsi="Arial" w:cs="Arial"/>
        </w:rPr>
      </w:pPr>
    </w:p>
    <w:p w14:paraId="03D4A1E8" w14:textId="77777777" w:rsidR="00DE3536" w:rsidRPr="009C1F11" w:rsidRDefault="00DE3536" w:rsidP="00DE3536">
      <w:pPr>
        <w:jc w:val="both"/>
        <w:rPr>
          <w:rFonts w:ascii="Arial" w:hAnsi="Arial" w:cs="Arial"/>
        </w:rPr>
      </w:pPr>
      <w:r w:rsidRPr="009C1F11">
        <w:rPr>
          <w:rFonts w:ascii="Arial" w:hAnsi="Arial" w:cs="Arial"/>
        </w:rPr>
        <w:t xml:space="preserve">Acute Lymphoblastic leukemia (ALL) is the most common childhood malignancy below 15 years of age with a peak incidence being one to four years </w:t>
      </w:r>
      <w:r w:rsidRPr="009C1F11">
        <w:rPr>
          <w:rFonts w:ascii="Arial" w:hAnsi="Arial" w:cs="Arial"/>
          <w:vertAlign w:val="superscript"/>
        </w:rPr>
        <w:t>[1]</w:t>
      </w:r>
      <w:r w:rsidRPr="009C1F11">
        <w:rPr>
          <w:rFonts w:ascii="Arial" w:hAnsi="Arial" w:cs="Arial"/>
        </w:rPr>
        <w:t xml:space="preserve">. Clinically children with ALL typically presents with nonspecific manifestations like fever, lethargy, arthralgia, bleeding diathesis and pallor requiring recurrent blood transfusions. However, it can present with various atypical presentations, paraparesis being one of them </w:t>
      </w:r>
      <w:r w:rsidRPr="009C1F11">
        <w:rPr>
          <w:rFonts w:ascii="Arial" w:hAnsi="Arial" w:cs="Arial"/>
          <w:vertAlign w:val="superscript"/>
        </w:rPr>
        <w:t>[6]</w:t>
      </w:r>
      <w:r w:rsidRPr="009C1F11">
        <w:rPr>
          <w:rFonts w:ascii="Arial" w:hAnsi="Arial" w:cs="Arial"/>
        </w:rPr>
        <w:t>. in this article, we describe a case of B-ALL presenting clinically as non-compressive myelopathy resulting in paraparesis, provisionally diagnosed as a paraneoplastic syndrome (PNS).</w:t>
      </w:r>
    </w:p>
    <w:p w14:paraId="0973C5EA" w14:textId="77777777" w:rsidR="00790ADA" w:rsidRPr="00FB3A86" w:rsidRDefault="00790ADA" w:rsidP="00441B6F">
      <w:pPr>
        <w:pStyle w:val="Body"/>
        <w:spacing w:after="0"/>
        <w:rPr>
          <w:rFonts w:ascii="Arial" w:hAnsi="Arial" w:cs="Arial"/>
        </w:rPr>
      </w:pPr>
    </w:p>
    <w:p w14:paraId="397C5ABB" w14:textId="76C9409A" w:rsidR="007F7B32" w:rsidRDefault="00902823" w:rsidP="00441B6F">
      <w:pPr>
        <w:pStyle w:val="AbstHead"/>
        <w:spacing w:after="0"/>
        <w:jc w:val="both"/>
        <w:rPr>
          <w:rFonts w:ascii="Arial" w:hAnsi="Arial" w:cs="Arial"/>
        </w:rPr>
      </w:pPr>
      <w:r>
        <w:rPr>
          <w:rFonts w:ascii="Arial" w:hAnsi="Arial" w:cs="Arial"/>
        </w:rPr>
        <w:t xml:space="preserve">2. </w:t>
      </w:r>
      <w:r w:rsidR="00DE3536">
        <w:rPr>
          <w:rFonts w:ascii="Arial" w:hAnsi="Arial" w:cs="Arial"/>
        </w:rPr>
        <w:t xml:space="preserve">CASE </w:t>
      </w:r>
      <w:proofErr w:type="gramStart"/>
      <w:r w:rsidR="00DE3536">
        <w:rPr>
          <w:rFonts w:ascii="Arial" w:hAnsi="Arial" w:cs="Arial"/>
        </w:rPr>
        <w:t>REPORT :</w:t>
      </w:r>
      <w:proofErr w:type="gramEnd"/>
    </w:p>
    <w:p w14:paraId="72B17EAA" w14:textId="77777777" w:rsidR="00790ADA" w:rsidRPr="00FB3A86" w:rsidRDefault="00790ADA" w:rsidP="00441B6F">
      <w:pPr>
        <w:pStyle w:val="AbstHead"/>
        <w:spacing w:after="0"/>
        <w:jc w:val="both"/>
        <w:rPr>
          <w:rFonts w:ascii="Arial" w:hAnsi="Arial" w:cs="Arial"/>
        </w:rPr>
      </w:pPr>
    </w:p>
    <w:p w14:paraId="1D2D7167" w14:textId="77777777" w:rsidR="00DE3536" w:rsidRPr="009C1F11" w:rsidRDefault="00DE3536" w:rsidP="00DE3536">
      <w:pPr>
        <w:jc w:val="both"/>
        <w:rPr>
          <w:rFonts w:ascii="Arial" w:hAnsi="Arial" w:cs="Arial"/>
        </w:rPr>
      </w:pPr>
      <w:r w:rsidRPr="009C1F11">
        <w:rPr>
          <w:rFonts w:ascii="Arial" w:hAnsi="Arial" w:cs="Arial"/>
        </w:rPr>
        <w:t xml:space="preserve">A three-year-old girl born out of non-consanguineous marriage with normal developmental history presented with two-month history of intermittent fever, accompanied by insidious onset weakness in bilateral (B/L) lower limbs without any weakness of the upper limb or bowel bladder involvement. Her weakness progressively deteriorated over next two months such that she became bedridden one week prior to admission. There was no history of preceding trauma, </w:t>
      </w:r>
      <w:proofErr w:type="spellStart"/>
      <w:r w:rsidRPr="009C1F11">
        <w:rPr>
          <w:rFonts w:ascii="Arial" w:hAnsi="Arial" w:cs="Arial"/>
        </w:rPr>
        <w:t>diarrhoea</w:t>
      </w:r>
      <w:proofErr w:type="spellEnd"/>
      <w:r w:rsidRPr="009C1F11">
        <w:rPr>
          <w:rFonts w:ascii="Arial" w:hAnsi="Arial" w:cs="Arial"/>
        </w:rPr>
        <w:t>, seizure, drug intake or any band like sensation. She received two units of red blood in past two weeks.</w:t>
      </w:r>
    </w:p>
    <w:p w14:paraId="7364488B" w14:textId="77777777" w:rsidR="00DE3536" w:rsidRPr="009C1F11" w:rsidRDefault="00DE3536" w:rsidP="00DE3536">
      <w:pPr>
        <w:jc w:val="both"/>
        <w:rPr>
          <w:rFonts w:ascii="Arial" w:hAnsi="Arial" w:cs="Arial"/>
        </w:rPr>
      </w:pPr>
      <w:r w:rsidRPr="009C1F11">
        <w:rPr>
          <w:rFonts w:ascii="Arial" w:hAnsi="Arial" w:cs="Arial"/>
        </w:rPr>
        <w:t>General Examination was notable for moderate pallor and B/L cervical lymphadenopathy. Neurological Examination revealed normal higher mental function, no cranial nerve involvement and no signs of meningeal irritation. Lower limb neurological examination revealed paraparesis (power 1/5 in B/L lower limbs), hypotonia, preserved deep tendon reflexes and an extensor plantar reflex with normal sensory function. Upper limb Examination was within normal limit. There was no spinal deformity or tenderness. Gait and coordination couldn’t be tested. Clinically a diagnosis of subacute non-compressive myelopathy was made.</w:t>
      </w:r>
    </w:p>
    <w:p w14:paraId="693FEB50" w14:textId="77777777" w:rsidR="00DE3536" w:rsidRPr="009C1F11" w:rsidRDefault="00DE3536" w:rsidP="00DE3536">
      <w:pPr>
        <w:jc w:val="both"/>
        <w:rPr>
          <w:rFonts w:ascii="Arial" w:hAnsi="Arial" w:cs="Arial"/>
        </w:rPr>
      </w:pPr>
      <w:r w:rsidRPr="009C1F11">
        <w:rPr>
          <w:rFonts w:ascii="Arial" w:hAnsi="Arial" w:cs="Arial"/>
        </w:rPr>
        <w:t>Her peripheral blood smear examination shows, normocytic normochromic anemia, thrombocytopenia and leukocytosis with 70% atypical cells. Further Bone marrow aspiration (BMA) revealed acute leukemia and immunophenotyping confirmed to be a case of B-ALL (Figure 1). Metabolic (like Vit B12 deficiency), vascular (e.g. spinal dural arterio-venous malformation), Neoplastic (like astrocytoma, intra vascular lymphoma), infectious (like HIV), inflammatory /autoimmune (e.g. connective tissue disorders) and paraneoplastic etiology were considered for myelopathy and relevant investigations were done (enlisted in Table 1).</w:t>
      </w:r>
    </w:p>
    <w:p w14:paraId="54334EC7" w14:textId="77777777" w:rsidR="00DE3536" w:rsidRPr="009C1F11" w:rsidRDefault="00DE3536" w:rsidP="00DE3536">
      <w:pPr>
        <w:jc w:val="both"/>
        <w:rPr>
          <w:rFonts w:ascii="Arial" w:hAnsi="Arial" w:cs="Arial"/>
        </w:rPr>
      </w:pPr>
      <w:r w:rsidRPr="009C1F11">
        <w:rPr>
          <w:rFonts w:ascii="Arial" w:hAnsi="Arial" w:cs="Arial"/>
        </w:rPr>
        <w:lastRenderedPageBreak/>
        <w:t xml:space="preserve">The patient was treated with Chemotherapy as per Berlin-Frankfurt-Munster study group (BFM 2002) childhood ALL protocol standard risk arm (consisting high dose oral steroids, intravenous daunorubicin, vincristine, l-asparaginase and intrathecal methotrexate) along with limb physiotherapy and other supportive care. Her paraparesis and other symptoms gradually improved. Her post induction BMA was in morphological remission and minimal residual disease by flowcytometry was </w:t>
      </w:r>
      <w:proofErr w:type="gramStart"/>
      <w:r w:rsidRPr="009C1F11">
        <w:rPr>
          <w:rFonts w:ascii="Arial" w:hAnsi="Arial" w:cs="Arial"/>
        </w:rPr>
        <w:t>negative .</w:t>
      </w:r>
      <w:proofErr w:type="gramEnd"/>
      <w:r w:rsidRPr="009C1F11">
        <w:rPr>
          <w:rFonts w:ascii="Arial" w:hAnsi="Arial" w:cs="Arial"/>
        </w:rPr>
        <w:t xml:space="preserve"> Simultaneously, her lower limb power improved to 4+/5. Subsequently she was given consolidation with High dose Methotrexate. Currently she is on maintenance therapy and having no residual weakness in lower limbs. </w:t>
      </w:r>
    </w:p>
    <w:p w14:paraId="0616771E" w14:textId="77777777" w:rsidR="00790ADA" w:rsidRPr="00FB3A86" w:rsidRDefault="00790ADA" w:rsidP="00441B6F">
      <w:pPr>
        <w:pStyle w:val="Body"/>
        <w:spacing w:after="0"/>
        <w:rPr>
          <w:rFonts w:ascii="Arial" w:hAnsi="Arial" w:cs="Arial"/>
        </w:rPr>
      </w:pPr>
    </w:p>
    <w:p w14:paraId="26E45E17" w14:textId="328061F6"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21FA67EE" w14:textId="77777777" w:rsidR="00790ADA" w:rsidRPr="00FB3A86" w:rsidRDefault="00790ADA" w:rsidP="00441B6F">
      <w:pPr>
        <w:pStyle w:val="Head1"/>
        <w:spacing w:after="0"/>
        <w:jc w:val="both"/>
        <w:rPr>
          <w:rFonts w:ascii="Arial" w:hAnsi="Arial" w:cs="Arial"/>
        </w:rPr>
      </w:pPr>
    </w:p>
    <w:p w14:paraId="73761573" w14:textId="77777777" w:rsidR="00DE3536" w:rsidRPr="009C1F11" w:rsidRDefault="00DE3536" w:rsidP="00DE3536">
      <w:pPr>
        <w:jc w:val="both"/>
        <w:rPr>
          <w:rFonts w:ascii="Arial" w:hAnsi="Arial" w:cs="Arial"/>
        </w:rPr>
      </w:pPr>
      <w:r w:rsidRPr="009C1F11">
        <w:rPr>
          <w:rFonts w:ascii="Arial" w:hAnsi="Arial" w:cs="Arial"/>
        </w:rPr>
        <w:t xml:space="preserve">With an estimated 6000 new cases per year </w:t>
      </w:r>
      <w:proofErr w:type="spellStart"/>
      <w:r w:rsidRPr="009C1F11">
        <w:rPr>
          <w:rFonts w:ascii="Arial" w:hAnsi="Arial" w:cs="Arial"/>
        </w:rPr>
        <w:t>ocurring</w:t>
      </w:r>
      <w:proofErr w:type="spellEnd"/>
      <w:r w:rsidRPr="009C1F11">
        <w:rPr>
          <w:rFonts w:ascii="Arial" w:hAnsi="Arial" w:cs="Arial"/>
        </w:rPr>
        <w:t xml:space="preserve"> in U.S. alone and having an age adjusted incidence of 1.38 per 100,000 individuals annually, ALL is one of the most commonly encountered hematological malignancy </w:t>
      </w:r>
      <w:r w:rsidRPr="009C1F11">
        <w:rPr>
          <w:rFonts w:ascii="Arial" w:hAnsi="Arial" w:cs="Arial"/>
          <w:vertAlign w:val="superscript"/>
        </w:rPr>
        <w:t>[2]</w:t>
      </w:r>
      <w:r w:rsidRPr="009C1F11">
        <w:rPr>
          <w:rFonts w:ascii="Arial" w:hAnsi="Arial" w:cs="Arial"/>
        </w:rPr>
        <w:t xml:space="preserve">. 75-80% of ALL are of B cell origin, BCP ALL being the most common </w:t>
      </w:r>
      <w:r w:rsidRPr="009C1F11">
        <w:rPr>
          <w:rFonts w:ascii="Arial" w:hAnsi="Arial" w:cs="Arial"/>
          <w:vertAlign w:val="superscript"/>
        </w:rPr>
        <w:t>c</w:t>
      </w:r>
      <w:r w:rsidRPr="009C1F11">
        <w:rPr>
          <w:rFonts w:ascii="Arial" w:hAnsi="Arial" w:cs="Arial"/>
        </w:rPr>
        <w:t xml:space="preserve">. Moreover, there has been steady increase in pediatric ALL incidence since 1975, despite significant improvement in overall survival over decades, exceeding 90% in some clinical trials </w:t>
      </w:r>
      <w:r w:rsidRPr="009C1F11">
        <w:rPr>
          <w:rFonts w:ascii="Arial" w:hAnsi="Arial" w:cs="Arial"/>
          <w:vertAlign w:val="superscript"/>
        </w:rPr>
        <w:t>[4]</w:t>
      </w:r>
      <w:r w:rsidRPr="009C1F11">
        <w:rPr>
          <w:rFonts w:ascii="Arial" w:hAnsi="Arial" w:cs="Arial"/>
        </w:rPr>
        <w:t xml:space="preserve">. However, treatment outcomes in low- and middle-income countries like India are still suboptimal </w:t>
      </w:r>
      <w:r w:rsidRPr="009C1F11">
        <w:rPr>
          <w:rFonts w:ascii="Arial" w:hAnsi="Arial" w:cs="Arial"/>
          <w:vertAlign w:val="superscript"/>
        </w:rPr>
        <w:t>[5]</w:t>
      </w:r>
      <w:r w:rsidRPr="009C1F11">
        <w:rPr>
          <w:rFonts w:ascii="Arial" w:hAnsi="Arial" w:cs="Arial"/>
        </w:rPr>
        <w:t xml:space="preserve">. In a systemic review of 41 studies over 30 years about unusual presentations of childhood ALL, </w:t>
      </w:r>
      <w:proofErr w:type="spellStart"/>
      <w:r w:rsidRPr="009C1F11">
        <w:rPr>
          <w:rFonts w:ascii="Arial" w:hAnsi="Arial" w:cs="Arial"/>
        </w:rPr>
        <w:t>musculo</w:t>
      </w:r>
      <w:proofErr w:type="spellEnd"/>
      <w:r w:rsidRPr="009C1F11">
        <w:rPr>
          <w:rFonts w:ascii="Arial" w:hAnsi="Arial" w:cs="Arial"/>
        </w:rPr>
        <w:t xml:space="preserve">-skeletal symptoms were found to be the most common atypical initial presentation (34.2%) followed by neurological impairment (14.6%) </w:t>
      </w:r>
      <w:r w:rsidRPr="009C1F11">
        <w:rPr>
          <w:rFonts w:ascii="Arial" w:hAnsi="Arial" w:cs="Arial"/>
          <w:vertAlign w:val="superscript"/>
        </w:rPr>
        <w:t>[7]</w:t>
      </w:r>
      <w:r w:rsidRPr="009C1F11">
        <w:rPr>
          <w:rFonts w:ascii="Arial" w:hAnsi="Arial" w:cs="Arial"/>
        </w:rPr>
        <w:t xml:space="preserve">. Most cases of paraparesis in ALL are due to spinal cord compression, either extradural or intradural </w:t>
      </w:r>
      <w:r w:rsidRPr="009C1F11">
        <w:rPr>
          <w:rFonts w:ascii="Arial" w:hAnsi="Arial" w:cs="Arial"/>
          <w:vertAlign w:val="superscript"/>
        </w:rPr>
        <w:t>[8]</w:t>
      </w:r>
      <w:r w:rsidRPr="009C1F11">
        <w:rPr>
          <w:rFonts w:ascii="Arial" w:hAnsi="Arial" w:cs="Arial"/>
        </w:rPr>
        <w:t xml:space="preserve">. There are only few </w:t>
      </w:r>
      <w:proofErr w:type="gramStart"/>
      <w:r w:rsidRPr="009C1F11">
        <w:rPr>
          <w:rFonts w:ascii="Arial" w:hAnsi="Arial" w:cs="Arial"/>
        </w:rPr>
        <w:t>case</w:t>
      </w:r>
      <w:proofErr w:type="gramEnd"/>
      <w:r w:rsidRPr="009C1F11">
        <w:rPr>
          <w:rFonts w:ascii="Arial" w:hAnsi="Arial" w:cs="Arial"/>
        </w:rPr>
        <w:t xml:space="preserve"> reports non compressive myelopathy in ALL </w:t>
      </w:r>
      <w:r w:rsidRPr="009C1F11">
        <w:rPr>
          <w:rFonts w:ascii="Arial" w:hAnsi="Arial" w:cs="Arial"/>
          <w:vertAlign w:val="superscript"/>
        </w:rPr>
        <w:t>[9,10]</w:t>
      </w:r>
      <w:r w:rsidRPr="009C1F11">
        <w:rPr>
          <w:rFonts w:ascii="Arial" w:hAnsi="Arial" w:cs="Arial"/>
        </w:rPr>
        <w:t>.</w:t>
      </w:r>
    </w:p>
    <w:p w14:paraId="1421C0E2" w14:textId="77777777" w:rsidR="00DE3536" w:rsidRPr="009C1F11" w:rsidRDefault="00DE3536" w:rsidP="00DE3536">
      <w:pPr>
        <w:jc w:val="both"/>
        <w:rPr>
          <w:rFonts w:ascii="Arial" w:hAnsi="Arial" w:cs="Arial"/>
        </w:rPr>
      </w:pPr>
      <w:r w:rsidRPr="009C1F11">
        <w:rPr>
          <w:rFonts w:ascii="Arial" w:hAnsi="Arial" w:cs="Arial"/>
        </w:rPr>
        <w:t xml:space="preserve">Paraneoplastic syndromes, though uncommon, encompasses a vast group of disorders of various systems, often precedes the symptoms of underlying cancer and neurological disorders are one of the most commonly encountered entity </w:t>
      </w:r>
      <w:r w:rsidRPr="009C1F11">
        <w:rPr>
          <w:rFonts w:ascii="Arial" w:hAnsi="Arial" w:cs="Arial"/>
          <w:vertAlign w:val="superscript"/>
        </w:rPr>
        <w:t>[11]</w:t>
      </w:r>
      <w:r w:rsidRPr="009C1F11">
        <w:rPr>
          <w:rFonts w:ascii="Arial" w:hAnsi="Arial" w:cs="Arial"/>
        </w:rPr>
        <w:t xml:space="preserve">.The neurological sequelae is presumed to be triggered by immune response to underlying leukemia </w:t>
      </w:r>
      <w:r w:rsidRPr="009C1F11">
        <w:rPr>
          <w:rFonts w:ascii="Arial" w:hAnsi="Arial" w:cs="Arial"/>
          <w:vertAlign w:val="superscript"/>
        </w:rPr>
        <w:t>[1]</w:t>
      </w:r>
      <w:r w:rsidRPr="009C1F11">
        <w:rPr>
          <w:rFonts w:ascii="Arial" w:hAnsi="Arial" w:cs="Arial"/>
        </w:rPr>
        <w:t xml:space="preserve">.Though the adult PNS has recommended diagnostic criteria which include presence of onconeural antibodies, </w:t>
      </w:r>
      <w:proofErr w:type="spellStart"/>
      <w:r w:rsidRPr="009C1F11">
        <w:rPr>
          <w:rFonts w:ascii="Arial" w:hAnsi="Arial" w:cs="Arial"/>
        </w:rPr>
        <w:t>paediatric</w:t>
      </w:r>
      <w:proofErr w:type="spellEnd"/>
      <w:r w:rsidRPr="009C1F11">
        <w:rPr>
          <w:rFonts w:ascii="Arial" w:hAnsi="Arial" w:cs="Arial"/>
        </w:rPr>
        <w:t xml:space="preserve"> PNS symptoms are often atypical and may not meet classical syndromic criteria </w:t>
      </w:r>
      <w:r w:rsidRPr="009C1F11">
        <w:rPr>
          <w:rFonts w:ascii="Arial" w:hAnsi="Arial" w:cs="Arial"/>
          <w:vertAlign w:val="superscript"/>
        </w:rPr>
        <w:t>[l,13]</w:t>
      </w:r>
      <w:r w:rsidRPr="009C1F11">
        <w:rPr>
          <w:rFonts w:ascii="Arial" w:hAnsi="Arial" w:cs="Arial"/>
        </w:rPr>
        <w:t xml:space="preserve">.For example onconeural antibodies are present in less half of the cases in adult PNS, even lower positivity rates are reported in children </w:t>
      </w:r>
      <w:r w:rsidRPr="009C1F11">
        <w:rPr>
          <w:rFonts w:ascii="Arial" w:hAnsi="Arial" w:cs="Arial"/>
          <w:vertAlign w:val="superscript"/>
        </w:rPr>
        <w:t>[14]</w:t>
      </w:r>
      <w:r w:rsidRPr="009C1F11">
        <w:rPr>
          <w:rFonts w:ascii="Arial" w:hAnsi="Arial" w:cs="Arial"/>
        </w:rPr>
        <w:t>.In our case we couldn’t rule out presence of onconeural antibodies due to financial constraints. However, other potential diagnoses being unlikely based on the clinical course and diagnostic work ups, and the fact that successful leukemia treatment (that includes immunosuppressive therapy with high dose steroids) has alleviated the neurological symptoms without any recurrence, we consider the neurological of diagnoses of PNS. </w:t>
      </w:r>
    </w:p>
    <w:p w14:paraId="187EA795"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DEFBD2B" w14:textId="77777777" w:rsidR="00790ADA" w:rsidRPr="00FB3A86" w:rsidRDefault="00790ADA" w:rsidP="00441B6F">
      <w:pPr>
        <w:pStyle w:val="ConcHead"/>
        <w:spacing w:after="0"/>
        <w:jc w:val="both"/>
        <w:rPr>
          <w:rFonts w:ascii="Arial" w:hAnsi="Arial" w:cs="Arial"/>
        </w:rPr>
      </w:pPr>
    </w:p>
    <w:p w14:paraId="394EBC15" w14:textId="77777777" w:rsidR="00DE3536" w:rsidRPr="009C1F11" w:rsidRDefault="00DE3536" w:rsidP="00DE3536">
      <w:pPr>
        <w:jc w:val="both"/>
        <w:rPr>
          <w:rFonts w:ascii="Arial" w:hAnsi="Arial" w:cs="Arial"/>
        </w:rPr>
      </w:pPr>
      <w:r w:rsidRPr="009C1F11">
        <w:rPr>
          <w:rFonts w:ascii="Arial" w:hAnsi="Arial" w:cs="Arial"/>
        </w:rPr>
        <w:t xml:space="preserve">Though ALL is a common childhood malignancy, its presentation is often variable and atypical. Moreover, PNS is an overlooked entity due to its rarity and diagnostic challenge. Physicians should be highly vigilant in picking up PNS cases, as it often presents before the onset of cancer symptoms and thereby hastens early diagnosis and treatment. Timely initiation of proper chemotherapy not only holds a </w:t>
      </w:r>
      <w:proofErr w:type="spellStart"/>
      <w:r w:rsidRPr="009C1F11">
        <w:rPr>
          <w:rFonts w:ascii="Arial" w:hAnsi="Arial" w:cs="Arial"/>
        </w:rPr>
        <w:t>favourable</w:t>
      </w:r>
      <w:proofErr w:type="spellEnd"/>
      <w:r w:rsidRPr="009C1F11">
        <w:rPr>
          <w:rFonts w:ascii="Arial" w:hAnsi="Arial" w:cs="Arial"/>
        </w:rPr>
        <w:t xml:space="preserve"> ALL prognosis, but also influences rapid PNS recovery.</w:t>
      </w:r>
    </w:p>
    <w:p w14:paraId="03518A29" w14:textId="77777777" w:rsidR="00790ADA" w:rsidRPr="00FB3A86" w:rsidRDefault="00790ADA" w:rsidP="00441B6F">
      <w:pPr>
        <w:pStyle w:val="Body"/>
        <w:spacing w:after="0"/>
        <w:rPr>
          <w:rFonts w:ascii="Arial" w:hAnsi="Arial" w:cs="Arial"/>
        </w:rPr>
      </w:pPr>
    </w:p>
    <w:p w14:paraId="0B238338" w14:textId="77777777" w:rsidR="00315186" w:rsidRPr="00315186" w:rsidRDefault="00315186" w:rsidP="00441B6F">
      <w:bookmarkStart w:id="0" w:name="_GoBack"/>
      <w:bookmarkEnd w:id="0"/>
    </w:p>
    <w:p w14:paraId="53ABD725"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0269987D" w14:textId="77777777" w:rsidR="002B685A" w:rsidRPr="002B685A" w:rsidRDefault="002B685A" w:rsidP="00441B6F">
      <w:pPr>
        <w:pStyle w:val="ReferHead"/>
        <w:spacing w:after="0"/>
        <w:jc w:val="both"/>
        <w:rPr>
          <w:rFonts w:ascii="Arial" w:hAnsi="Arial" w:cs="Arial"/>
          <w:bCs/>
        </w:rPr>
      </w:pPr>
    </w:p>
    <w:p w14:paraId="3CE0DA3A" w14:textId="77777777" w:rsidR="006526F0" w:rsidRPr="000A086F" w:rsidRDefault="006526F0" w:rsidP="006526F0">
      <w:pPr>
        <w:pStyle w:val="ReferHead"/>
        <w:spacing w:after="0"/>
        <w:jc w:val="both"/>
        <w:rPr>
          <w:rFonts w:ascii="Arial" w:hAnsi="Arial" w:cs="Arial"/>
          <w:b w:val="0"/>
          <w:caps w:val="0"/>
          <w:sz w:val="20"/>
        </w:rPr>
      </w:pPr>
      <w:r w:rsidRPr="000A086F">
        <w:rPr>
          <w:rFonts w:ascii="Arial" w:hAnsi="Arial" w:cs="Arial"/>
          <w:b w:val="0"/>
          <w:caps w:val="0"/>
          <w:sz w:val="2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191A24E3" w14:textId="77777777" w:rsidR="001A29D8" w:rsidRDefault="001A29D8" w:rsidP="00441B6F">
      <w:pPr>
        <w:pStyle w:val="ReferHead"/>
        <w:spacing w:after="0"/>
        <w:jc w:val="both"/>
        <w:rPr>
          <w:rFonts w:ascii="Arial" w:hAnsi="Arial" w:cs="Arial"/>
          <w:b w:val="0"/>
          <w:caps w:val="0"/>
          <w:sz w:val="20"/>
        </w:rPr>
      </w:pPr>
    </w:p>
    <w:p w14:paraId="1B05CC9E" w14:textId="77777777" w:rsidR="005C784C" w:rsidRDefault="005C784C" w:rsidP="00441B6F">
      <w:pPr>
        <w:pStyle w:val="ReferHead"/>
        <w:spacing w:after="0"/>
        <w:jc w:val="both"/>
        <w:rPr>
          <w:rFonts w:ascii="Arial" w:hAnsi="Arial" w:cs="Arial"/>
          <w:b w:val="0"/>
          <w:caps w:val="0"/>
          <w:sz w:val="20"/>
        </w:rPr>
      </w:pPr>
    </w:p>
    <w:p w14:paraId="48878D0F"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133B531E" w14:textId="77777777" w:rsidR="005C784C" w:rsidRPr="002B685A" w:rsidRDefault="005C784C" w:rsidP="00441B6F">
      <w:pPr>
        <w:pStyle w:val="ReferHead"/>
        <w:spacing w:after="0"/>
        <w:jc w:val="both"/>
        <w:rPr>
          <w:rFonts w:ascii="Arial" w:hAnsi="Arial" w:cs="Arial"/>
          <w:bCs/>
        </w:rPr>
      </w:pPr>
    </w:p>
    <w:p w14:paraId="599B629B" w14:textId="77777777" w:rsidR="006526F0" w:rsidRDefault="006526F0" w:rsidP="006526F0">
      <w:pPr>
        <w:pStyle w:val="ReferHead"/>
        <w:spacing w:after="0"/>
        <w:jc w:val="both"/>
        <w:rPr>
          <w:rFonts w:ascii="Arial" w:hAnsi="Arial" w:cs="Arial"/>
        </w:rPr>
      </w:pPr>
      <w:r w:rsidRPr="000A086F">
        <w:rPr>
          <w:rFonts w:ascii="Arial" w:hAnsi="Arial" w:cs="Arial"/>
          <w:b w:val="0"/>
          <w:caps w:val="0"/>
          <w:sz w:val="20"/>
        </w:rPr>
        <w:t>Informed consent for chemotherapy and publication as per format have been taken from patient.</w:t>
      </w:r>
    </w:p>
    <w:p w14:paraId="202754D9"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FEEC72D" w14:textId="77777777" w:rsidR="00790ADA" w:rsidRPr="00FB3A86" w:rsidRDefault="00790ADA" w:rsidP="00441B6F">
      <w:pPr>
        <w:pStyle w:val="ReferHead"/>
        <w:spacing w:after="0"/>
        <w:jc w:val="both"/>
        <w:rPr>
          <w:rFonts w:ascii="Arial" w:hAnsi="Arial" w:cs="Arial"/>
        </w:rPr>
      </w:pPr>
    </w:p>
    <w:p w14:paraId="7E0BB64F" w14:textId="7E87C67B" w:rsidR="006526F0" w:rsidRPr="00E65E80" w:rsidRDefault="00E65E80" w:rsidP="00E65E80">
      <w:pPr>
        <w:pStyle w:val="ListParagraph"/>
        <w:numPr>
          <w:ilvl w:val="0"/>
          <w:numId w:val="31"/>
        </w:numPr>
        <w:jc w:val="both"/>
        <w:rPr>
          <w:rFonts w:ascii="Times New Roman" w:hAnsi="Times New Roman"/>
          <w:sz w:val="24"/>
          <w:szCs w:val="24"/>
        </w:rPr>
      </w:pPr>
      <w:r w:rsidRPr="00E65E80">
        <w:rPr>
          <w:rFonts w:ascii="Times New Roman" w:hAnsi="Times New Roman"/>
          <w:sz w:val="24"/>
          <w:szCs w:val="24"/>
        </w:rPr>
        <w:t xml:space="preserve">Brown, P., Inaba, H., Annesley, C., Beck, J., Colace, S., Dallas, M., </w:t>
      </w:r>
      <w:proofErr w:type="spellStart"/>
      <w:r w:rsidRPr="00E65E80">
        <w:rPr>
          <w:rFonts w:ascii="Times New Roman" w:hAnsi="Times New Roman"/>
          <w:sz w:val="24"/>
          <w:szCs w:val="24"/>
        </w:rPr>
        <w:t>DeSantes</w:t>
      </w:r>
      <w:proofErr w:type="spellEnd"/>
      <w:r w:rsidRPr="00E65E80">
        <w:rPr>
          <w:rFonts w:ascii="Times New Roman" w:hAnsi="Times New Roman"/>
          <w:sz w:val="24"/>
          <w:szCs w:val="24"/>
        </w:rPr>
        <w:t xml:space="preserve">, K., Kelly, K., </w:t>
      </w:r>
      <w:proofErr w:type="spellStart"/>
      <w:r w:rsidRPr="00E65E80">
        <w:rPr>
          <w:rFonts w:ascii="Times New Roman" w:hAnsi="Times New Roman"/>
          <w:sz w:val="24"/>
          <w:szCs w:val="24"/>
        </w:rPr>
        <w:t>Kitko</w:t>
      </w:r>
      <w:proofErr w:type="spellEnd"/>
      <w:r w:rsidRPr="00E65E80">
        <w:rPr>
          <w:rFonts w:ascii="Times New Roman" w:hAnsi="Times New Roman"/>
          <w:sz w:val="24"/>
          <w:szCs w:val="24"/>
        </w:rPr>
        <w:t xml:space="preserve">, C., </w:t>
      </w:r>
      <w:proofErr w:type="spellStart"/>
      <w:r w:rsidRPr="00E65E80">
        <w:rPr>
          <w:rFonts w:ascii="Times New Roman" w:hAnsi="Times New Roman"/>
          <w:sz w:val="24"/>
          <w:szCs w:val="24"/>
        </w:rPr>
        <w:t>Lacayo</w:t>
      </w:r>
      <w:proofErr w:type="spellEnd"/>
      <w:r w:rsidRPr="00E65E80">
        <w:rPr>
          <w:rFonts w:ascii="Times New Roman" w:hAnsi="Times New Roman"/>
          <w:sz w:val="24"/>
          <w:szCs w:val="24"/>
        </w:rPr>
        <w:t xml:space="preserve">, N., Larrier, N., </w:t>
      </w:r>
      <w:proofErr w:type="spellStart"/>
      <w:r w:rsidRPr="00E65E80">
        <w:rPr>
          <w:rFonts w:ascii="Times New Roman" w:hAnsi="Times New Roman"/>
          <w:sz w:val="24"/>
          <w:szCs w:val="24"/>
        </w:rPr>
        <w:t>Maese</w:t>
      </w:r>
      <w:proofErr w:type="spellEnd"/>
      <w:r w:rsidRPr="00E65E80">
        <w:rPr>
          <w:rFonts w:ascii="Times New Roman" w:hAnsi="Times New Roman"/>
          <w:sz w:val="24"/>
          <w:szCs w:val="24"/>
        </w:rPr>
        <w:t xml:space="preserve">, L., Mahadeo, K., et al. (2020). Pediatric Acute Lymphoblastic Leukemia, Version 2.2020, NCCN Clinical Practice Guidelines in Oncology. J Natl </w:t>
      </w:r>
      <w:proofErr w:type="spellStart"/>
      <w:r w:rsidRPr="00E65E80">
        <w:rPr>
          <w:rFonts w:ascii="Times New Roman" w:hAnsi="Times New Roman"/>
          <w:sz w:val="24"/>
          <w:szCs w:val="24"/>
        </w:rPr>
        <w:t>Compr</w:t>
      </w:r>
      <w:proofErr w:type="spellEnd"/>
      <w:r w:rsidRPr="00E65E80">
        <w:rPr>
          <w:rFonts w:ascii="Times New Roman" w:hAnsi="Times New Roman"/>
          <w:sz w:val="24"/>
          <w:szCs w:val="24"/>
        </w:rPr>
        <w:t xml:space="preserve"> </w:t>
      </w:r>
      <w:proofErr w:type="spellStart"/>
      <w:r w:rsidRPr="00E65E80">
        <w:rPr>
          <w:rFonts w:ascii="Times New Roman" w:hAnsi="Times New Roman"/>
          <w:sz w:val="24"/>
          <w:szCs w:val="24"/>
        </w:rPr>
        <w:t>Canc</w:t>
      </w:r>
      <w:proofErr w:type="spellEnd"/>
      <w:r w:rsidRPr="00E65E80">
        <w:rPr>
          <w:rFonts w:ascii="Times New Roman" w:hAnsi="Times New Roman"/>
          <w:sz w:val="24"/>
          <w:szCs w:val="24"/>
        </w:rPr>
        <w:t xml:space="preserve"> </w:t>
      </w:r>
      <w:proofErr w:type="spellStart"/>
      <w:r w:rsidRPr="00E65E80">
        <w:rPr>
          <w:rFonts w:ascii="Times New Roman" w:hAnsi="Times New Roman"/>
          <w:sz w:val="24"/>
          <w:szCs w:val="24"/>
        </w:rPr>
        <w:t>Netw</w:t>
      </w:r>
      <w:proofErr w:type="spellEnd"/>
      <w:r w:rsidRPr="00E65E80">
        <w:rPr>
          <w:rFonts w:ascii="Times New Roman" w:hAnsi="Times New Roman"/>
          <w:sz w:val="24"/>
          <w:szCs w:val="24"/>
        </w:rPr>
        <w:t xml:space="preserve">, 18(1), 81-112. </w:t>
      </w:r>
      <w:hyperlink r:id="rId14" w:history="1">
        <w:r w:rsidRPr="005C335F">
          <w:rPr>
            <w:rStyle w:val="Hyperlink"/>
            <w:rFonts w:ascii="Times New Roman" w:hAnsi="Times New Roman"/>
            <w:sz w:val="24"/>
            <w:szCs w:val="24"/>
          </w:rPr>
          <w:t>https://doi.org/10.6004/jnccn.2020.0001</w:t>
        </w:r>
      </w:hyperlink>
    </w:p>
    <w:p w14:paraId="4557A4EA" w14:textId="77777777" w:rsidR="00E65E80" w:rsidRPr="00E65E80" w:rsidRDefault="00E65E80" w:rsidP="00E65E80">
      <w:pPr>
        <w:ind w:left="360"/>
        <w:jc w:val="both"/>
        <w:rPr>
          <w:rFonts w:ascii="Times New Roman" w:hAnsi="Times New Roman"/>
          <w:sz w:val="24"/>
          <w:szCs w:val="24"/>
        </w:rPr>
      </w:pPr>
    </w:p>
    <w:p w14:paraId="225DE6BE" w14:textId="77777777" w:rsidR="006526F0" w:rsidRPr="00964902" w:rsidRDefault="006526F0" w:rsidP="006526F0">
      <w:pPr>
        <w:jc w:val="both"/>
        <w:rPr>
          <w:rFonts w:ascii="Times New Roman" w:hAnsi="Times New Roman"/>
          <w:sz w:val="24"/>
          <w:szCs w:val="24"/>
        </w:rPr>
      </w:pPr>
    </w:p>
    <w:p w14:paraId="0769CC30" w14:textId="698605F4" w:rsidR="006526F0" w:rsidRPr="00964902" w:rsidRDefault="006526F0" w:rsidP="006526F0">
      <w:pPr>
        <w:jc w:val="both"/>
        <w:rPr>
          <w:rFonts w:ascii="Times New Roman" w:hAnsi="Times New Roman"/>
          <w:sz w:val="24"/>
          <w:szCs w:val="24"/>
        </w:rPr>
      </w:pPr>
      <w:r w:rsidRPr="00964902">
        <w:rPr>
          <w:rFonts w:ascii="Times New Roman" w:hAnsi="Times New Roman"/>
          <w:sz w:val="24"/>
          <w:szCs w:val="24"/>
        </w:rPr>
        <w:t xml:space="preserve">2. </w:t>
      </w:r>
      <w:r w:rsidR="00E65E80" w:rsidRPr="00E65E80">
        <w:rPr>
          <w:rFonts w:ascii="Times New Roman" w:hAnsi="Times New Roman"/>
          <w:sz w:val="24"/>
          <w:szCs w:val="24"/>
        </w:rPr>
        <w:t xml:space="preserve">National Cancer Institute. (2025). Childhood Acute Lymphoblastic Leukemia Treatment (PDQ®)-Health Professional Version. </w:t>
      </w:r>
      <w:hyperlink r:id="rId15" w:history="1">
        <w:r w:rsidR="00E65E80" w:rsidRPr="005C335F">
          <w:rPr>
            <w:rStyle w:val="Hyperlink"/>
            <w:rFonts w:ascii="Times New Roman" w:hAnsi="Times New Roman"/>
            <w:sz w:val="24"/>
            <w:szCs w:val="24"/>
          </w:rPr>
          <w:t>https://www.cancer.gov/types/leukemia/hp/child-all-treatment-pdq</w:t>
        </w:r>
      </w:hyperlink>
      <w:r w:rsidR="00E65E80">
        <w:rPr>
          <w:rFonts w:ascii="Times New Roman" w:hAnsi="Times New Roman"/>
          <w:sz w:val="24"/>
          <w:szCs w:val="24"/>
        </w:rPr>
        <w:t xml:space="preserve"> </w:t>
      </w:r>
    </w:p>
    <w:p w14:paraId="00CAF3A8" w14:textId="77777777" w:rsidR="006526F0" w:rsidRPr="00964902" w:rsidRDefault="006526F0" w:rsidP="006526F0">
      <w:pPr>
        <w:jc w:val="both"/>
        <w:rPr>
          <w:rFonts w:ascii="Times New Roman" w:hAnsi="Times New Roman"/>
          <w:sz w:val="24"/>
          <w:szCs w:val="24"/>
        </w:rPr>
      </w:pPr>
    </w:p>
    <w:p w14:paraId="04F21993" w14:textId="4B733DEB" w:rsidR="006526F0" w:rsidRPr="00964902" w:rsidRDefault="006526F0" w:rsidP="006526F0">
      <w:pPr>
        <w:jc w:val="both"/>
        <w:rPr>
          <w:rFonts w:ascii="Times New Roman" w:hAnsi="Times New Roman"/>
          <w:sz w:val="24"/>
          <w:szCs w:val="24"/>
        </w:rPr>
      </w:pPr>
      <w:r w:rsidRPr="00964902">
        <w:rPr>
          <w:rFonts w:ascii="Times New Roman" w:hAnsi="Times New Roman"/>
          <w:sz w:val="24"/>
          <w:szCs w:val="24"/>
        </w:rPr>
        <w:t xml:space="preserve">3. </w:t>
      </w:r>
      <w:proofErr w:type="spellStart"/>
      <w:r w:rsidR="00E65E80" w:rsidRPr="00E65E80">
        <w:rPr>
          <w:rFonts w:ascii="Times New Roman" w:hAnsi="Times New Roman"/>
          <w:sz w:val="24"/>
          <w:szCs w:val="24"/>
        </w:rPr>
        <w:t>Gökbuget</w:t>
      </w:r>
      <w:proofErr w:type="spellEnd"/>
      <w:r w:rsidR="00E65E80" w:rsidRPr="00E65E80">
        <w:rPr>
          <w:rFonts w:ascii="Times New Roman" w:hAnsi="Times New Roman"/>
          <w:sz w:val="24"/>
          <w:szCs w:val="24"/>
        </w:rPr>
        <w:t xml:space="preserve">, N., </w:t>
      </w:r>
      <w:proofErr w:type="spellStart"/>
      <w:r w:rsidR="00E65E80" w:rsidRPr="00E65E80">
        <w:rPr>
          <w:rFonts w:ascii="Times New Roman" w:hAnsi="Times New Roman"/>
          <w:sz w:val="24"/>
          <w:szCs w:val="24"/>
        </w:rPr>
        <w:t>Boissel</w:t>
      </w:r>
      <w:proofErr w:type="spellEnd"/>
      <w:r w:rsidR="00E65E80" w:rsidRPr="00E65E80">
        <w:rPr>
          <w:rFonts w:ascii="Times New Roman" w:hAnsi="Times New Roman"/>
          <w:sz w:val="24"/>
          <w:szCs w:val="24"/>
        </w:rPr>
        <w:t xml:space="preserve">, N., </w:t>
      </w:r>
      <w:proofErr w:type="spellStart"/>
      <w:r w:rsidR="00E65E80" w:rsidRPr="00E65E80">
        <w:rPr>
          <w:rFonts w:ascii="Times New Roman" w:hAnsi="Times New Roman"/>
          <w:sz w:val="24"/>
          <w:szCs w:val="24"/>
        </w:rPr>
        <w:t>Chiaretti</w:t>
      </w:r>
      <w:proofErr w:type="spellEnd"/>
      <w:r w:rsidR="00E65E80" w:rsidRPr="00E65E80">
        <w:rPr>
          <w:rFonts w:ascii="Times New Roman" w:hAnsi="Times New Roman"/>
          <w:sz w:val="24"/>
          <w:szCs w:val="24"/>
        </w:rPr>
        <w:t xml:space="preserve">, S., </w:t>
      </w:r>
      <w:proofErr w:type="spellStart"/>
      <w:r w:rsidR="00E65E80" w:rsidRPr="00E65E80">
        <w:rPr>
          <w:rFonts w:ascii="Times New Roman" w:hAnsi="Times New Roman"/>
          <w:sz w:val="24"/>
          <w:szCs w:val="24"/>
        </w:rPr>
        <w:t>Dombret</w:t>
      </w:r>
      <w:proofErr w:type="spellEnd"/>
      <w:r w:rsidR="00E65E80" w:rsidRPr="00E65E80">
        <w:rPr>
          <w:rFonts w:ascii="Times New Roman" w:hAnsi="Times New Roman"/>
          <w:sz w:val="24"/>
          <w:szCs w:val="24"/>
        </w:rPr>
        <w:t xml:space="preserve">, H., </w:t>
      </w:r>
      <w:proofErr w:type="spellStart"/>
      <w:r w:rsidR="00E65E80" w:rsidRPr="00E65E80">
        <w:rPr>
          <w:rFonts w:ascii="Times New Roman" w:hAnsi="Times New Roman"/>
          <w:sz w:val="24"/>
          <w:szCs w:val="24"/>
        </w:rPr>
        <w:t>Doubek</w:t>
      </w:r>
      <w:proofErr w:type="spellEnd"/>
      <w:r w:rsidR="00E65E80" w:rsidRPr="00E65E80">
        <w:rPr>
          <w:rFonts w:ascii="Times New Roman" w:hAnsi="Times New Roman"/>
          <w:sz w:val="24"/>
          <w:szCs w:val="24"/>
        </w:rPr>
        <w:t xml:space="preserve">, M., Fielding, A., </w:t>
      </w:r>
      <w:proofErr w:type="spellStart"/>
      <w:r w:rsidR="00E65E80" w:rsidRPr="00E65E80">
        <w:rPr>
          <w:rFonts w:ascii="Times New Roman" w:hAnsi="Times New Roman"/>
          <w:sz w:val="24"/>
          <w:szCs w:val="24"/>
        </w:rPr>
        <w:t>Foà</w:t>
      </w:r>
      <w:proofErr w:type="spellEnd"/>
      <w:r w:rsidR="00E65E80" w:rsidRPr="00E65E80">
        <w:rPr>
          <w:rFonts w:ascii="Times New Roman" w:hAnsi="Times New Roman"/>
          <w:sz w:val="24"/>
          <w:szCs w:val="24"/>
        </w:rPr>
        <w:t xml:space="preserve">, R., et al. (2024). Management of ALL in adults: 2024 ELN recommendations from a European expert panel. Blood, 143(19), 1903–1930. </w:t>
      </w:r>
      <w:hyperlink r:id="rId16" w:history="1">
        <w:r w:rsidR="00E65E80" w:rsidRPr="005C335F">
          <w:rPr>
            <w:rStyle w:val="Hyperlink"/>
            <w:rFonts w:ascii="Times New Roman" w:hAnsi="Times New Roman"/>
            <w:sz w:val="24"/>
            <w:szCs w:val="24"/>
          </w:rPr>
          <w:t>https://doi.org/10.1182/blood.2023023568</w:t>
        </w:r>
      </w:hyperlink>
      <w:r w:rsidR="00E65E80">
        <w:rPr>
          <w:rFonts w:ascii="Times New Roman" w:hAnsi="Times New Roman"/>
          <w:sz w:val="24"/>
          <w:szCs w:val="24"/>
        </w:rPr>
        <w:t xml:space="preserve"> </w:t>
      </w:r>
    </w:p>
    <w:p w14:paraId="56CBCFF4" w14:textId="77777777" w:rsidR="006526F0" w:rsidRPr="00964902" w:rsidRDefault="006526F0" w:rsidP="006526F0">
      <w:pPr>
        <w:jc w:val="both"/>
        <w:rPr>
          <w:rFonts w:ascii="Times New Roman" w:hAnsi="Times New Roman"/>
          <w:sz w:val="24"/>
          <w:szCs w:val="24"/>
        </w:rPr>
      </w:pPr>
    </w:p>
    <w:p w14:paraId="63F5A7C7" w14:textId="57358D30" w:rsidR="006526F0" w:rsidRPr="00964902" w:rsidRDefault="006526F0" w:rsidP="006526F0">
      <w:pPr>
        <w:jc w:val="both"/>
        <w:rPr>
          <w:rFonts w:ascii="Times New Roman" w:hAnsi="Times New Roman"/>
          <w:sz w:val="24"/>
          <w:szCs w:val="24"/>
        </w:rPr>
      </w:pPr>
      <w:r w:rsidRPr="00964902">
        <w:rPr>
          <w:rFonts w:ascii="Times New Roman" w:hAnsi="Times New Roman"/>
          <w:sz w:val="24"/>
          <w:szCs w:val="24"/>
        </w:rPr>
        <w:t xml:space="preserve">4. </w:t>
      </w:r>
      <w:proofErr w:type="spellStart"/>
      <w:r w:rsidR="00E65E80" w:rsidRPr="00E65E80">
        <w:rPr>
          <w:rFonts w:ascii="Times New Roman" w:hAnsi="Times New Roman"/>
          <w:sz w:val="24"/>
          <w:szCs w:val="24"/>
        </w:rPr>
        <w:t>Pui</w:t>
      </w:r>
      <w:proofErr w:type="spellEnd"/>
      <w:r w:rsidR="00E65E80" w:rsidRPr="00E65E80">
        <w:rPr>
          <w:rFonts w:ascii="Times New Roman" w:hAnsi="Times New Roman"/>
          <w:sz w:val="24"/>
          <w:szCs w:val="24"/>
        </w:rPr>
        <w:t xml:space="preserve">, C. H. (2020). Precision medicine in acute lymphoblastic leukemia. Frontiers in Medicine, 14(6), 689-700. </w:t>
      </w:r>
      <w:hyperlink r:id="rId17" w:history="1">
        <w:r w:rsidR="00E65E80" w:rsidRPr="005C335F">
          <w:rPr>
            <w:rStyle w:val="Hyperlink"/>
            <w:rFonts w:ascii="Times New Roman" w:hAnsi="Times New Roman"/>
            <w:sz w:val="24"/>
            <w:szCs w:val="24"/>
          </w:rPr>
          <w:t>https://doi.org/10.1007/s11684-020-0759-8</w:t>
        </w:r>
      </w:hyperlink>
      <w:r w:rsidR="00E65E80">
        <w:rPr>
          <w:rFonts w:ascii="Times New Roman" w:hAnsi="Times New Roman"/>
          <w:sz w:val="24"/>
          <w:szCs w:val="24"/>
        </w:rPr>
        <w:t xml:space="preserve"> </w:t>
      </w:r>
      <w:r w:rsidRPr="00964902">
        <w:rPr>
          <w:rFonts w:ascii="Times New Roman" w:hAnsi="Times New Roman"/>
          <w:sz w:val="24"/>
          <w:szCs w:val="24"/>
        </w:rPr>
        <w:t>, </w:t>
      </w:r>
    </w:p>
    <w:p w14:paraId="6232599A" w14:textId="77777777" w:rsidR="006526F0" w:rsidRPr="00964902" w:rsidRDefault="006526F0" w:rsidP="006526F0">
      <w:pPr>
        <w:jc w:val="both"/>
        <w:rPr>
          <w:rFonts w:ascii="Times New Roman" w:hAnsi="Times New Roman"/>
          <w:sz w:val="24"/>
          <w:szCs w:val="24"/>
        </w:rPr>
      </w:pPr>
    </w:p>
    <w:p w14:paraId="40A460C2" w14:textId="5F79408E" w:rsidR="006526F0" w:rsidRPr="00964902" w:rsidRDefault="006526F0" w:rsidP="006526F0">
      <w:pPr>
        <w:jc w:val="both"/>
        <w:rPr>
          <w:rFonts w:ascii="Times New Roman" w:hAnsi="Times New Roman"/>
          <w:sz w:val="24"/>
          <w:szCs w:val="24"/>
        </w:rPr>
      </w:pPr>
      <w:r w:rsidRPr="00964902">
        <w:rPr>
          <w:rFonts w:ascii="Times New Roman" w:hAnsi="Times New Roman"/>
          <w:sz w:val="24"/>
          <w:szCs w:val="24"/>
        </w:rPr>
        <w:t xml:space="preserve">5. </w:t>
      </w:r>
      <w:proofErr w:type="spellStart"/>
      <w:r w:rsidR="00E65E80" w:rsidRPr="00E65E80">
        <w:rPr>
          <w:rFonts w:ascii="Times New Roman" w:hAnsi="Times New Roman"/>
          <w:sz w:val="24"/>
          <w:szCs w:val="24"/>
        </w:rPr>
        <w:t>Abdelmabood</w:t>
      </w:r>
      <w:proofErr w:type="spellEnd"/>
      <w:r w:rsidR="00E65E80" w:rsidRPr="00E65E80">
        <w:rPr>
          <w:rFonts w:ascii="Times New Roman" w:hAnsi="Times New Roman"/>
          <w:sz w:val="24"/>
          <w:szCs w:val="24"/>
        </w:rPr>
        <w:t xml:space="preserve">, S., </w:t>
      </w:r>
      <w:proofErr w:type="spellStart"/>
      <w:r w:rsidR="00E65E80" w:rsidRPr="00E65E80">
        <w:rPr>
          <w:rFonts w:ascii="Times New Roman" w:hAnsi="Times New Roman"/>
          <w:sz w:val="24"/>
          <w:szCs w:val="24"/>
        </w:rPr>
        <w:t>Fouda</w:t>
      </w:r>
      <w:proofErr w:type="spellEnd"/>
      <w:r w:rsidR="00E65E80" w:rsidRPr="00E65E80">
        <w:rPr>
          <w:rFonts w:ascii="Times New Roman" w:hAnsi="Times New Roman"/>
          <w:sz w:val="24"/>
          <w:szCs w:val="24"/>
        </w:rPr>
        <w:t xml:space="preserve">, A. E., </w:t>
      </w:r>
      <w:proofErr w:type="spellStart"/>
      <w:r w:rsidR="00E65E80" w:rsidRPr="00E65E80">
        <w:rPr>
          <w:rFonts w:ascii="Times New Roman" w:hAnsi="Times New Roman"/>
          <w:sz w:val="24"/>
          <w:szCs w:val="24"/>
        </w:rPr>
        <w:t>Boujettif</w:t>
      </w:r>
      <w:proofErr w:type="spellEnd"/>
      <w:r w:rsidR="00E65E80" w:rsidRPr="00E65E80">
        <w:rPr>
          <w:rFonts w:ascii="Times New Roman" w:hAnsi="Times New Roman"/>
          <w:sz w:val="24"/>
          <w:szCs w:val="24"/>
        </w:rPr>
        <w:t xml:space="preserve">, F., &amp; Mansour, A. (2020). Treatment outcomes of children with acute lymphoblastic leukemia in a middle-income developing country: high mortalities, early relapses, and poor survival. </w:t>
      </w:r>
      <w:proofErr w:type="spellStart"/>
      <w:r w:rsidR="00E65E80" w:rsidRPr="00E65E80">
        <w:rPr>
          <w:rFonts w:ascii="Times New Roman" w:hAnsi="Times New Roman"/>
          <w:sz w:val="24"/>
          <w:szCs w:val="24"/>
        </w:rPr>
        <w:t>Jornal</w:t>
      </w:r>
      <w:proofErr w:type="spellEnd"/>
      <w:r w:rsidR="00E65E80" w:rsidRPr="00E65E80">
        <w:rPr>
          <w:rFonts w:ascii="Times New Roman" w:hAnsi="Times New Roman"/>
          <w:sz w:val="24"/>
          <w:szCs w:val="24"/>
        </w:rPr>
        <w:t xml:space="preserve"> de </w:t>
      </w:r>
      <w:proofErr w:type="spellStart"/>
      <w:r w:rsidR="00E65E80" w:rsidRPr="00E65E80">
        <w:rPr>
          <w:rFonts w:ascii="Times New Roman" w:hAnsi="Times New Roman"/>
          <w:sz w:val="24"/>
          <w:szCs w:val="24"/>
        </w:rPr>
        <w:t>Pediatria</w:t>
      </w:r>
      <w:proofErr w:type="spellEnd"/>
      <w:r w:rsidR="00E65E80" w:rsidRPr="00E65E80">
        <w:rPr>
          <w:rFonts w:ascii="Times New Roman" w:hAnsi="Times New Roman"/>
          <w:sz w:val="24"/>
          <w:szCs w:val="24"/>
        </w:rPr>
        <w:t xml:space="preserve">, 96(1), 108-116. </w:t>
      </w:r>
      <w:hyperlink r:id="rId18" w:history="1">
        <w:r w:rsidR="00E65E80" w:rsidRPr="005C335F">
          <w:rPr>
            <w:rStyle w:val="Hyperlink"/>
            <w:rFonts w:ascii="Times New Roman" w:hAnsi="Times New Roman"/>
            <w:sz w:val="24"/>
            <w:szCs w:val="24"/>
          </w:rPr>
          <w:t>https://doi.org/10.1016/j.jped.2018.07.013</w:t>
        </w:r>
      </w:hyperlink>
      <w:r w:rsidR="00E65E80">
        <w:rPr>
          <w:rFonts w:ascii="Times New Roman" w:hAnsi="Times New Roman"/>
          <w:sz w:val="24"/>
          <w:szCs w:val="24"/>
        </w:rPr>
        <w:t xml:space="preserve"> </w:t>
      </w:r>
    </w:p>
    <w:p w14:paraId="7D20B6F5" w14:textId="77777777" w:rsidR="006526F0" w:rsidRPr="00964902" w:rsidRDefault="006526F0" w:rsidP="006526F0">
      <w:pPr>
        <w:jc w:val="both"/>
        <w:rPr>
          <w:rFonts w:ascii="Times New Roman" w:hAnsi="Times New Roman"/>
          <w:sz w:val="24"/>
          <w:szCs w:val="24"/>
        </w:rPr>
      </w:pPr>
    </w:p>
    <w:p w14:paraId="6B17D5F4" w14:textId="77777777" w:rsidR="006526F0" w:rsidRPr="00964902" w:rsidRDefault="006526F0" w:rsidP="006526F0">
      <w:pPr>
        <w:jc w:val="both"/>
        <w:rPr>
          <w:rFonts w:ascii="Times New Roman" w:hAnsi="Times New Roman"/>
          <w:sz w:val="24"/>
          <w:szCs w:val="24"/>
        </w:rPr>
      </w:pPr>
      <w:r w:rsidRPr="00964902">
        <w:rPr>
          <w:rFonts w:ascii="Times New Roman" w:hAnsi="Times New Roman"/>
          <w:sz w:val="24"/>
          <w:szCs w:val="24"/>
        </w:rPr>
        <w:t xml:space="preserve">6. Maheshwari G. Unusual presentations of acute lymphoblastic leukemia in children: a study of 9 patients. J Glob Oncol </w:t>
      </w:r>
      <w:proofErr w:type="gramStart"/>
      <w:r w:rsidRPr="00964902">
        <w:rPr>
          <w:rFonts w:ascii="Times New Roman" w:hAnsi="Times New Roman"/>
          <w:sz w:val="24"/>
          <w:szCs w:val="24"/>
        </w:rPr>
        <w:t>2018;4:87</w:t>
      </w:r>
      <w:proofErr w:type="gramEnd"/>
      <w:r w:rsidRPr="00964902">
        <w:rPr>
          <w:rFonts w:ascii="Times New Roman" w:hAnsi="Times New Roman"/>
          <w:sz w:val="24"/>
          <w:szCs w:val="24"/>
        </w:rPr>
        <w:t>s.</w:t>
      </w:r>
    </w:p>
    <w:p w14:paraId="0C77E2B6" w14:textId="77777777" w:rsidR="006526F0" w:rsidRPr="00964902" w:rsidRDefault="006526F0" w:rsidP="006526F0">
      <w:pPr>
        <w:jc w:val="both"/>
        <w:rPr>
          <w:rFonts w:ascii="Times New Roman" w:hAnsi="Times New Roman"/>
          <w:sz w:val="24"/>
          <w:szCs w:val="24"/>
        </w:rPr>
      </w:pPr>
    </w:p>
    <w:p w14:paraId="5229396C" w14:textId="49AA3EA0" w:rsidR="006526F0" w:rsidRPr="00964902" w:rsidRDefault="006526F0" w:rsidP="006526F0">
      <w:pPr>
        <w:jc w:val="both"/>
        <w:rPr>
          <w:rFonts w:ascii="Times New Roman" w:hAnsi="Times New Roman"/>
          <w:sz w:val="24"/>
          <w:szCs w:val="24"/>
        </w:rPr>
      </w:pPr>
      <w:r w:rsidRPr="00964902">
        <w:rPr>
          <w:rFonts w:ascii="Times New Roman" w:hAnsi="Times New Roman"/>
          <w:sz w:val="24"/>
          <w:szCs w:val="24"/>
        </w:rPr>
        <w:t xml:space="preserve">7. </w:t>
      </w:r>
      <w:proofErr w:type="spellStart"/>
      <w:r w:rsidR="00E65E80" w:rsidRPr="00E65E80">
        <w:rPr>
          <w:rFonts w:ascii="Times New Roman" w:hAnsi="Times New Roman"/>
          <w:sz w:val="24"/>
          <w:szCs w:val="24"/>
        </w:rPr>
        <w:t>Shakibazad</w:t>
      </w:r>
      <w:proofErr w:type="spellEnd"/>
      <w:r w:rsidR="00E65E80" w:rsidRPr="00E65E80">
        <w:rPr>
          <w:rFonts w:ascii="Times New Roman" w:hAnsi="Times New Roman"/>
          <w:sz w:val="24"/>
          <w:szCs w:val="24"/>
        </w:rPr>
        <w:t xml:space="preserve">, N., </w:t>
      </w:r>
      <w:proofErr w:type="spellStart"/>
      <w:r w:rsidR="00E65E80" w:rsidRPr="00E65E80">
        <w:rPr>
          <w:rFonts w:ascii="Times New Roman" w:hAnsi="Times New Roman"/>
          <w:sz w:val="24"/>
          <w:szCs w:val="24"/>
        </w:rPr>
        <w:t>Haghpanah</w:t>
      </w:r>
      <w:proofErr w:type="spellEnd"/>
      <w:r w:rsidR="00E65E80" w:rsidRPr="00E65E80">
        <w:rPr>
          <w:rFonts w:ascii="Times New Roman" w:hAnsi="Times New Roman"/>
          <w:sz w:val="24"/>
          <w:szCs w:val="24"/>
        </w:rPr>
        <w:t xml:space="preserve">, S., &amp; </w:t>
      </w:r>
      <w:proofErr w:type="spellStart"/>
      <w:r w:rsidR="00E65E80" w:rsidRPr="00E65E80">
        <w:rPr>
          <w:rFonts w:ascii="Times New Roman" w:hAnsi="Times New Roman"/>
          <w:sz w:val="24"/>
          <w:szCs w:val="24"/>
        </w:rPr>
        <w:t>Shahriari</w:t>
      </w:r>
      <w:proofErr w:type="spellEnd"/>
      <w:r w:rsidR="00E65E80" w:rsidRPr="00E65E80">
        <w:rPr>
          <w:rFonts w:ascii="Times New Roman" w:hAnsi="Times New Roman"/>
          <w:sz w:val="24"/>
          <w:szCs w:val="24"/>
        </w:rPr>
        <w:t xml:space="preserve">, M. (2016). Unusual presentations of acute lymphoblastic leukemia in children: A systematic review. Journal of Hematology &amp; Thromboembolic Diseases, 4(Suppl 5), 37. </w:t>
      </w:r>
      <w:hyperlink r:id="rId19" w:history="1">
        <w:r w:rsidR="00E65E80" w:rsidRPr="005C335F">
          <w:rPr>
            <w:rStyle w:val="Hyperlink"/>
            <w:rFonts w:ascii="Times New Roman" w:hAnsi="Times New Roman"/>
            <w:sz w:val="24"/>
            <w:szCs w:val="24"/>
          </w:rPr>
          <w:t>https://doi.org/10.4172/2329-8790.C1.002</w:t>
        </w:r>
      </w:hyperlink>
      <w:r w:rsidR="00E65E80">
        <w:rPr>
          <w:rFonts w:ascii="Times New Roman" w:hAnsi="Times New Roman"/>
          <w:sz w:val="24"/>
          <w:szCs w:val="24"/>
        </w:rPr>
        <w:t xml:space="preserve"> </w:t>
      </w:r>
    </w:p>
    <w:p w14:paraId="128CD5C1" w14:textId="1C1AFD06" w:rsidR="006526F0" w:rsidRPr="00964902" w:rsidRDefault="006526F0" w:rsidP="006526F0">
      <w:pPr>
        <w:jc w:val="both"/>
        <w:rPr>
          <w:rFonts w:ascii="Times New Roman" w:hAnsi="Times New Roman"/>
          <w:sz w:val="24"/>
          <w:szCs w:val="24"/>
        </w:rPr>
      </w:pPr>
      <w:r w:rsidRPr="00964902">
        <w:rPr>
          <w:rFonts w:ascii="Times New Roman" w:hAnsi="Times New Roman"/>
          <w:sz w:val="24"/>
          <w:szCs w:val="24"/>
        </w:rPr>
        <w:t xml:space="preserve">8. </w:t>
      </w:r>
      <w:r w:rsidR="00E65E80" w:rsidRPr="00E65E80">
        <w:rPr>
          <w:rFonts w:ascii="Times New Roman" w:hAnsi="Times New Roman"/>
          <w:sz w:val="24"/>
          <w:szCs w:val="24"/>
        </w:rPr>
        <w:t xml:space="preserve">Graber, J. J., &amp; Nolan, C. P. (2010). Myelopathies in patients with cancer. Archives of Neurology, 67(3), 298–304. </w:t>
      </w:r>
      <w:hyperlink r:id="rId20" w:history="1">
        <w:r w:rsidR="00E65E80" w:rsidRPr="005C335F">
          <w:rPr>
            <w:rStyle w:val="Hyperlink"/>
            <w:rFonts w:ascii="Times New Roman" w:hAnsi="Times New Roman"/>
            <w:sz w:val="24"/>
            <w:szCs w:val="24"/>
          </w:rPr>
          <w:t>https://doi.org/10.1001/archneurol.2010.20</w:t>
        </w:r>
      </w:hyperlink>
      <w:r w:rsidR="00E65E80">
        <w:rPr>
          <w:rFonts w:ascii="Times New Roman" w:hAnsi="Times New Roman"/>
          <w:sz w:val="24"/>
          <w:szCs w:val="24"/>
        </w:rPr>
        <w:t xml:space="preserve"> </w:t>
      </w:r>
    </w:p>
    <w:p w14:paraId="3FF107B5" w14:textId="77777777" w:rsidR="006526F0" w:rsidRPr="00964902" w:rsidRDefault="006526F0" w:rsidP="006526F0">
      <w:pPr>
        <w:jc w:val="both"/>
        <w:rPr>
          <w:rFonts w:ascii="Times New Roman" w:hAnsi="Times New Roman"/>
          <w:sz w:val="24"/>
          <w:szCs w:val="24"/>
        </w:rPr>
      </w:pPr>
    </w:p>
    <w:p w14:paraId="4747CA0C" w14:textId="1C62A832" w:rsidR="006526F0" w:rsidRPr="00964902" w:rsidRDefault="006526F0" w:rsidP="006526F0">
      <w:pPr>
        <w:jc w:val="both"/>
        <w:rPr>
          <w:rFonts w:ascii="Times New Roman" w:hAnsi="Times New Roman"/>
          <w:sz w:val="24"/>
          <w:szCs w:val="24"/>
        </w:rPr>
      </w:pPr>
      <w:r w:rsidRPr="00964902">
        <w:rPr>
          <w:rFonts w:ascii="Times New Roman" w:hAnsi="Times New Roman"/>
          <w:sz w:val="24"/>
          <w:szCs w:val="24"/>
        </w:rPr>
        <w:t xml:space="preserve">9. </w:t>
      </w:r>
      <w:r w:rsidR="00E65E80" w:rsidRPr="00E65E80">
        <w:rPr>
          <w:rFonts w:ascii="Times New Roman" w:hAnsi="Times New Roman"/>
          <w:sz w:val="24"/>
          <w:szCs w:val="24"/>
        </w:rPr>
        <w:t xml:space="preserve">Yavuz, H., &amp; </w:t>
      </w:r>
      <w:proofErr w:type="spellStart"/>
      <w:r w:rsidR="00E65E80" w:rsidRPr="00E65E80">
        <w:rPr>
          <w:rFonts w:ascii="Times New Roman" w:hAnsi="Times New Roman"/>
          <w:sz w:val="24"/>
          <w:szCs w:val="24"/>
        </w:rPr>
        <w:t>Çakır</w:t>
      </w:r>
      <w:proofErr w:type="spellEnd"/>
      <w:r w:rsidR="00E65E80" w:rsidRPr="00E65E80">
        <w:rPr>
          <w:rFonts w:ascii="Times New Roman" w:hAnsi="Times New Roman"/>
          <w:sz w:val="24"/>
          <w:szCs w:val="24"/>
        </w:rPr>
        <w:t xml:space="preserve">, M. (2001). Transverse myelopathy: an initial presentation of acute leukemia. Pediatric Neurology, 24(5), 382–384. </w:t>
      </w:r>
      <w:hyperlink r:id="rId21" w:history="1">
        <w:r w:rsidR="00E65E80" w:rsidRPr="005C335F">
          <w:rPr>
            <w:rStyle w:val="Hyperlink"/>
            <w:rFonts w:ascii="Times New Roman" w:hAnsi="Times New Roman"/>
            <w:sz w:val="24"/>
            <w:szCs w:val="24"/>
          </w:rPr>
          <w:t>https://doi.org/10.1016/s0887-8994(01)00258-2</w:t>
        </w:r>
      </w:hyperlink>
      <w:r w:rsidR="00E65E80">
        <w:rPr>
          <w:rFonts w:ascii="Times New Roman" w:hAnsi="Times New Roman"/>
          <w:sz w:val="24"/>
          <w:szCs w:val="24"/>
        </w:rPr>
        <w:t xml:space="preserve"> </w:t>
      </w:r>
    </w:p>
    <w:p w14:paraId="281EF9D0" w14:textId="6191E061" w:rsidR="006526F0" w:rsidRPr="00964902" w:rsidRDefault="006526F0" w:rsidP="006526F0">
      <w:pPr>
        <w:jc w:val="both"/>
        <w:rPr>
          <w:rFonts w:ascii="Times New Roman" w:hAnsi="Times New Roman"/>
          <w:sz w:val="24"/>
          <w:szCs w:val="24"/>
        </w:rPr>
      </w:pPr>
      <w:r w:rsidRPr="00964902">
        <w:rPr>
          <w:rFonts w:ascii="Times New Roman" w:hAnsi="Times New Roman"/>
          <w:sz w:val="24"/>
          <w:szCs w:val="24"/>
        </w:rPr>
        <w:t xml:space="preserve">10. </w:t>
      </w:r>
      <w:r w:rsidR="00E65E80" w:rsidRPr="00E65E80">
        <w:rPr>
          <w:rFonts w:ascii="Times New Roman" w:hAnsi="Times New Roman"/>
          <w:sz w:val="24"/>
          <w:szCs w:val="24"/>
        </w:rPr>
        <w:t xml:space="preserve">Shukla, A., Verma, S. P., Verma, D. P., &amp; Yadav, G. (2020). Non-compressive myelopathy: an unusual presentation of a patient with acute B lymphoblastic </w:t>
      </w:r>
      <w:proofErr w:type="spellStart"/>
      <w:r w:rsidR="00E65E80" w:rsidRPr="00E65E80">
        <w:rPr>
          <w:rFonts w:ascii="Times New Roman" w:hAnsi="Times New Roman"/>
          <w:sz w:val="24"/>
          <w:szCs w:val="24"/>
        </w:rPr>
        <w:t>leukaemia</w:t>
      </w:r>
      <w:proofErr w:type="spellEnd"/>
      <w:r w:rsidR="00E65E80" w:rsidRPr="00E65E80">
        <w:rPr>
          <w:rFonts w:ascii="Times New Roman" w:hAnsi="Times New Roman"/>
          <w:sz w:val="24"/>
          <w:szCs w:val="24"/>
        </w:rPr>
        <w:t xml:space="preserve">. BMJ Case Reports </w:t>
      </w:r>
      <w:hyperlink r:id="rId22" w:history="1">
        <w:r w:rsidR="00E65E80" w:rsidRPr="005C335F">
          <w:rPr>
            <w:rStyle w:val="Hyperlink"/>
            <w:rFonts w:ascii="Times New Roman" w:hAnsi="Times New Roman"/>
            <w:sz w:val="24"/>
            <w:szCs w:val="24"/>
          </w:rPr>
          <w:t>https://doi.org/10.1136/bcr-2020-235754</w:t>
        </w:r>
      </w:hyperlink>
      <w:r w:rsidR="00E65E80">
        <w:rPr>
          <w:rFonts w:ascii="Times New Roman" w:hAnsi="Times New Roman"/>
          <w:sz w:val="24"/>
          <w:szCs w:val="24"/>
        </w:rPr>
        <w:t xml:space="preserve"> </w:t>
      </w:r>
    </w:p>
    <w:p w14:paraId="47627708" w14:textId="77777777" w:rsidR="006526F0" w:rsidRPr="00964902" w:rsidRDefault="006526F0" w:rsidP="006526F0">
      <w:pPr>
        <w:jc w:val="both"/>
        <w:rPr>
          <w:rFonts w:ascii="Times New Roman" w:hAnsi="Times New Roman"/>
          <w:sz w:val="24"/>
          <w:szCs w:val="24"/>
        </w:rPr>
      </w:pPr>
    </w:p>
    <w:p w14:paraId="277D38E9" w14:textId="7BC9BBD6" w:rsidR="006526F0" w:rsidRDefault="006526F0" w:rsidP="006526F0">
      <w:pPr>
        <w:jc w:val="both"/>
        <w:rPr>
          <w:rFonts w:ascii="Times New Roman" w:hAnsi="Times New Roman"/>
          <w:sz w:val="24"/>
          <w:szCs w:val="24"/>
        </w:rPr>
      </w:pPr>
      <w:r w:rsidRPr="00964902">
        <w:rPr>
          <w:rFonts w:ascii="Times New Roman" w:hAnsi="Times New Roman"/>
          <w:sz w:val="24"/>
          <w:szCs w:val="24"/>
        </w:rPr>
        <w:t xml:space="preserve">11. </w:t>
      </w:r>
      <w:r w:rsidR="00E65E80" w:rsidRPr="00E65E80">
        <w:rPr>
          <w:rFonts w:ascii="Times New Roman" w:hAnsi="Times New Roman"/>
          <w:sz w:val="24"/>
          <w:szCs w:val="24"/>
        </w:rPr>
        <w:t xml:space="preserve">Ma, G. M., Chow, J. S., &amp; Taylor, G. A. (2019). Review of paraneoplastic syndromes in children. Pediatric Radiology, 49, 534–550. </w:t>
      </w:r>
      <w:hyperlink r:id="rId23" w:history="1">
        <w:r w:rsidR="00E65E80" w:rsidRPr="005C335F">
          <w:rPr>
            <w:rStyle w:val="Hyperlink"/>
            <w:rFonts w:ascii="Times New Roman" w:hAnsi="Times New Roman"/>
            <w:sz w:val="24"/>
            <w:szCs w:val="24"/>
          </w:rPr>
          <w:t>https://doi.org/10.1007/s00247-019-04371-y</w:t>
        </w:r>
      </w:hyperlink>
    </w:p>
    <w:p w14:paraId="248833A5" w14:textId="77777777" w:rsidR="00E65E80" w:rsidRPr="00964902" w:rsidRDefault="00E65E80" w:rsidP="006526F0">
      <w:pPr>
        <w:jc w:val="both"/>
        <w:rPr>
          <w:rFonts w:ascii="Times New Roman" w:hAnsi="Times New Roman"/>
          <w:sz w:val="24"/>
          <w:szCs w:val="24"/>
        </w:rPr>
      </w:pPr>
    </w:p>
    <w:p w14:paraId="09FD15AB" w14:textId="77777777" w:rsidR="006526F0" w:rsidRPr="00964902" w:rsidRDefault="006526F0" w:rsidP="006526F0">
      <w:pPr>
        <w:jc w:val="both"/>
        <w:rPr>
          <w:rFonts w:ascii="Times New Roman" w:hAnsi="Times New Roman"/>
          <w:sz w:val="24"/>
          <w:szCs w:val="24"/>
        </w:rPr>
      </w:pPr>
    </w:p>
    <w:p w14:paraId="4D34FE7D" w14:textId="3C22D4A3" w:rsidR="006526F0" w:rsidRPr="00964902" w:rsidRDefault="006526F0" w:rsidP="006526F0">
      <w:pPr>
        <w:jc w:val="both"/>
        <w:rPr>
          <w:rFonts w:ascii="Times New Roman" w:hAnsi="Times New Roman"/>
          <w:sz w:val="24"/>
          <w:szCs w:val="24"/>
        </w:rPr>
      </w:pPr>
      <w:r w:rsidRPr="00964902">
        <w:rPr>
          <w:rFonts w:ascii="Times New Roman" w:hAnsi="Times New Roman"/>
          <w:sz w:val="24"/>
          <w:szCs w:val="24"/>
        </w:rPr>
        <w:t xml:space="preserve">12. </w:t>
      </w:r>
      <w:proofErr w:type="spellStart"/>
      <w:r w:rsidR="00E65E80" w:rsidRPr="00E65E80">
        <w:rPr>
          <w:rFonts w:ascii="Times New Roman" w:hAnsi="Times New Roman"/>
          <w:sz w:val="24"/>
          <w:szCs w:val="24"/>
        </w:rPr>
        <w:t>Pelosof</w:t>
      </w:r>
      <w:proofErr w:type="spellEnd"/>
      <w:r w:rsidR="00E65E80" w:rsidRPr="00E65E80">
        <w:rPr>
          <w:rFonts w:ascii="Times New Roman" w:hAnsi="Times New Roman"/>
          <w:sz w:val="24"/>
          <w:szCs w:val="24"/>
        </w:rPr>
        <w:t xml:space="preserve">, L. C., &amp; Gerber, D. E. (2010). Paraneoplastic syndromes: an approach to diagnosis and treatment. Mayo Clinic Proceedings, 85(9), 838–854. </w:t>
      </w:r>
      <w:hyperlink r:id="rId24" w:history="1">
        <w:r w:rsidR="00E65E80" w:rsidRPr="005C335F">
          <w:rPr>
            <w:rStyle w:val="Hyperlink"/>
            <w:rFonts w:ascii="Times New Roman" w:hAnsi="Times New Roman"/>
            <w:sz w:val="24"/>
            <w:szCs w:val="24"/>
          </w:rPr>
          <w:t>https://doi.org/10.4065/mcp.2010.0099</w:t>
        </w:r>
      </w:hyperlink>
      <w:r w:rsidR="00E65E80">
        <w:rPr>
          <w:rFonts w:ascii="Times New Roman" w:hAnsi="Times New Roman"/>
          <w:sz w:val="24"/>
          <w:szCs w:val="24"/>
        </w:rPr>
        <w:t xml:space="preserve"> </w:t>
      </w:r>
    </w:p>
    <w:p w14:paraId="0513D230" w14:textId="77777777" w:rsidR="006526F0" w:rsidRPr="00964902" w:rsidRDefault="006526F0" w:rsidP="006526F0">
      <w:pPr>
        <w:jc w:val="both"/>
        <w:rPr>
          <w:rFonts w:ascii="Times New Roman" w:hAnsi="Times New Roman"/>
          <w:sz w:val="24"/>
          <w:szCs w:val="24"/>
        </w:rPr>
      </w:pPr>
    </w:p>
    <w:p w14:paraId="64732792" w14:textId="229CD5D2" w:rsidR="006526F0" w:rsidRPr="00964902" w:rsidRDefault="006526F0" w:rsidP="006526F0">
      <w:pPr>
        <w:jc w:val="both"/>
        <w:rPr>
          <w:rFonts w:ascii="Times New Roman" w:hAnsi="Times New Roman"/>
          <w:sz w:val="24"/>
          <w:szCs w:val="24"/>
        </w:rPr>
      </w:pPr>
      <w:r w:rsidRPr="00964902">
        <w:rPr>
          <w:rFonts w:ascii="Times New Roman" w:hAnsi="Times New Roman"/>
          <w:sz w:val="24"/>
          <w:szCs w:val="24"/>
        </w:rPr>
        <w:t xml:space="preserve">13. </w:t>
      </w:r>
      <w:proofErr w:type="spellStart"/>
      <w:r w:rsidR="00E65E80" w:rsidRPr="00E65E80">
        <w:rPr>
          <w:rFonts w:ascii="Times New Roman" w:hAnsi="Times New Roman"/>
          <w:sz w:val="24"/>
          <w:szCs w:val="24"/>
        </w:rPr>
        <w:t>Graus</w:t>
      </w:r>
      <w:proofErr w:type="spellEnd"/>
      <w:r w:rsidR="00E65E80" w:rsidRPr="00E65E80">
        <w:rPr>
          <w:rFonts w:ascii="Times New Roman" w:hAnsi="Times New Roman"/>
          <w:sz w:val="24"/>
          <w:szCs w:val="24"/>
        </w:rPr>
        <w:t xml:space="preserve">, F., Delattre, J. Y., Antoine, J. C., Dalmau, J., </w:t>
      </w:r>
      <w:proofErr w:type="spellStart"/>
      <w:r w:rsidR="00E65E80" w:rsidRPr="00E65E80">
        <w:rPr>
          <w:rFonts w:ascii="Times New Roman" w:hAnsi="Times New Roman"/>
          <w:sz w:val="24"/>
          <w:szCs w:val="24"/>
        </w:rPr>
        <w:t>Giometto</w:t>
      </w:r>
      <w:proofErr w:type="spellEnd"/>
      <w:r w:rsidR="00E65E80" w:rsidRPr="00E65E80">
        <w:rPr>
          <w:rFonts w:ascii="Times New Roman" w:hAnsi="Times New Roman"/>
          <w:sz w:val="24"/>
          <w:szCs w:val="24"/>
        </w:rPr>
        <w:t xml:space="preserve">, B., </w:t>
      </w:r>
      <w:proofErr w:type="spellStart"/>
      <w:r w:rsidR="00E65E80" w:rsidRPr="00E65E80">
        <w:rPr>
          <w:rFonts w:ascii="Times New Roman" w:hAnsi="Times New Roman"/>
          <w:sz w:val="24"/>
          <w:szCs w:val="24"/>
        </w:rPr>
        <w:t>Grisold</w:t>
      </w:r>
      <w:proofErr w:type="spellEnd"/>
      <w:r w:rsidR="00E65E80" w:rsidRPr="00E65E80">
        <w:rPr>
          <w:rFonts w:ascii="Times New Roman" w:hAnsi="Times New Roman"/>
          <w:sz w:val="24"/>
          <w:szCs w:val="24"/>
        </w:rPr>
        <w:t xml:space="preserve">, W., </w:t>
      </w:r>
      <w:proofErr w:type="spellStart"/>
      <w:r w:rsidR="00E65E80" w:rsidRPr="00E65E80">
        <w:rPr>
          <w:rFonts w:ascii="Times New Roman" w:hAnsi="Times New Roman"/>
          <w:sz w:val="24"/>
          <w:szCs w:val="24"/>
        </w:rPr>
        <w:t>Honnorat</w:t>
      </w:r>
      <w:proofErr w:type="spellEnd"/>
      <w:r w:rsidR="00E65E80" w:rsidRPr="00E65E80">
        <w:rPr>
          <w:rFonts w:ascii="Times New Roman" w:hAnsi="Times New Roman"/>
          <w:sz w:val="24"/>
          <w:szCs w:val="24"/>
        </w:rPr>
        <w:t xml:space="preserve">, J., </w:t>
      </w:r>
      <w:proofErr w:type="spellStart"/>
      <w:r w:rsidR="00E65E80" w:rsidRPr="00E65E80">
        <w:rPr>
          <w:rFonts w:ascii="Times New Roman" w:hAnsi="Times New Roman"/>
          <w:sz w:val="24"/>
          <w:szCs w:val="24"/>
        </w:rPr>
        <w:t>Sillevis</w:t>
      </w:r>
      <w:proofErr w:type="spellEnd"/>
      <w:r w:rsidR="00E65E80" w:rsidRPr="00E65E80">
        <w:rPr>
          <w:rFonts w:ascii="Times New Roman" w:hAnsi="Times New Roman"/>
          <w:sz w:val="24"/>
          <w:szCs w:val="24"/>
        </w:rPr>
        <w:t xml:space="preserve"> </w:t>
      </w:r>
      <w:proofErr w:type="spellStart"/>
      <w:r w:rsidR="00E65E80" w:rsidRPr="00E65E80">
        <w:rPr>
          <w:rFonts w:ascii="Times New Roman" w:hAnsi="Times New Roman"/>
          <w:sz w:val="24"/>
          <w:szCs w:val="24"/>
        </w:rPr>
        <w:t>Smitt</w:t>
      </w:r>
      <w:proofErr w:type="spellEnd"/>
      <w:r w:rsidR="00E65E80" w:rsidRPr="00E65E80">
        <w:rPr>
          <w:rFonts w:ascii="Times New Roman" w:hAnsi="Times New Roman"/>
          <w:sz w:val="24"/>
          <w:szCs w:val="24"/>
        </w:rPr>
        <w:t xml:space="preserve">, P. A. E., </w:t>
      </w:r>
      <w:proofErr w:type="spellStart"/>
      <w:r w:rsidR="00E65E80" w:rsidRPr="00E65E80">
        <w:rPr>
          <w:rFonts w:ascii="Times New Roman" w:hAnsi="Times New Roman"/>
          <w:sz w:val="24"/>
          <w:szCs w:val="24"/>
        </w:rPr>
        <w:t>Vedeler</w:t>
      </w:r>
      <w:proofErr w:type="spellEnd"/>
      <w:r w:rsidR="00E65E80" w:rsidRPr="00E65E80">
        <w:rPr>
          <w:rFonts w:ascii="Times New Roman" w:hAnsi="Times New Roman"/>
          <w:sz w:val="24"/>
          <w:szCs w:val="24"/>
        </w:rPr>
        <w:t xml:space="preserve">, C. A., </w:t>
      </w:r>
      <w:proofErr w:type="spellStart"/>
      <w:r w:rsidR="00E65E80" w:rsidRPr="00E65E80">
        <w:rPr>
          <w:rFonts w:ascii="Times New Roman" w:hAnsi="Times New Roman"/>
          <w:sz w:val="24"/>
          <w:szCs w:val="24"/>
        </w:rPr>
        <w:t>Verschuuren</w:t>
      </w:r>
      <w:proofErr w:type="spellEnd"/>
      <w:r w:rsidR="00E65E80" w:rsidRPr="00E65E80">
        <w:rPr>
          <w:rFonts w:ascii="Times New Roman" w:hAnsi="Times New Roman"/>
          <w:sz w:val="24"/>
          <w:szCs w:val="24"/>
        </w:rPr>
        <w:t xml:space="preserve">, J. J. G. M., Vincent, A., &amp; </w:t>
      </w:r>
      <w:proofErr w:type="spellStart"/>
      <w:r w:rsidR="00E65E80" w:rsidRPr="00E65E80">
        <w:rPr>
          <w:rFonts w:ascii="Times New Roman" w:hAnsi="Times New Roman"/>
          <w:sz w:val="24"/>
          <w:szCs w:val="24"/>
        </w:rPr>
        <w:t>Voltz</w:t>
      </w:r>
      <w:proofErr w:type="spellEnd"/>
      <w:r w:rsidR="00E65E80" w:rsidRPr="00E65E80">
        <w:rPr>
          <w:rFonts w:ascii="Times New Roman" w:hAnsi="Times New Roman"/>
          <w:sz w:val="24"/>
          <w:szCs w:val="24"/>
        </w:rPr>
        <w:t xml:space="preserve">, R. (2004). Recommended diagnostic criteria for paraneoplastic neurological syndromes. Journal of Neurology, Neurosurgery &amp; Psychiatry, 75(8), 1135–1140. </w:t>
      </w:r>
      <w:hyperlink r:id="rId25" w:history="1">
        <w:r w:rsidR="00E65E80" w:rsidRPr="005C335F">
          <w:rPr>
            <w:rStyle w:val="Hyperlink"/>
            <w:rFonts w:ascii="Times New Roman" w:hAnsi="Times New Roman"/>
            <w:sz w:val="24"/>
            <w:szCs w:val="24"/>
          </w:rPr>
          <w:t>https://doi.org/10.1136/jnnp.2003.034447</w:t>
        </w:r>
      </w:hyperlink>
      <w:r w:rsidR="00E65E80">
        <w:rPr>
          <w:rFonts w:ascii="Times New Roman" w:hAnsi="Times New Roman"/>
          <w:sz w:val="24"/>
          <w:szCs w:val="24"/>
        </w:rPr>
        <w:t xml:space="preserve"> </w:t>
      </w:r>
      <w:r w:rsidRPr="00964902">
        <w:rPr>
          <w:rFonts w:ascii="Times New Roman" w:hAnsi="Times New Roman"/>
          <w:sz w:val="24"/>
          <w:szCs w:val="24"/>
        </w:rPr>
        <w:t>.</w:t>
      </w:r>
    </w:p>
    <w:p w14:paraId="30C1E55B" w14:textId="77777777" w:rsidR="006526F0" w:rsidRPr="00964902" w:rsidRDefault="006526F0" w:rsidP="006526F0">
      <w:pPr>
        <w:jc w:val="both"/>
        <w:rPr>
          <w:rFonts w:ascii="Times New Roman" w:hAnsi="Times New Roman"/>
          <w:sz w:val="24"/>
          <w:szCs w:val="24"/>
        </w:rPr>
      </w:pPr>
    </w:p>
    <w:p w14:paraId="19889B51" w14:textId="5AF1E666" w:rsidR="006526F0" w:rsidRPr="00964902" w:rsidRDefault="006526F0" w:rsidP="006526F0">
      <w:pPr>
        <w:jc w:val="both"/>
        <w:rPr>
          <w:rFonts w:ascii="Times New Roman" w:hAnsi="Times New Roman"/>
          <w:sz w:val="24"/>
          <w:szCs w:val="24"/>
        </w:rPr>
      </w:pPr>
      <w:r w:rsidRPr="00964902">
        <w:rPr>
          <w:rFonts w:ascii="Times New Roman" w:hAnsi="Times New Roman"/>
          <w:sz w:val="24"/>
          <w:szCs w:val="24"/>
        </w:rPr>
        <w:t xml:space="preserve">14. </w:t>
      </w:r>
      <w:proofErr w:type="spellStart"/>
      <w:r w:rsidR="00E65E80" w:rsidRPr="00E65E80">
        <w:rPr>
          <w:rFonts w:ascii="Times New Roman" w:hAnsi="Times New Roman"/>
          <w:sz w:val="24"/>
          <w:szCs w:val="24"/>
        </w:rPr>
        <w:t>Alavi</w:t>
      </w:r>
      <w:proofErr w:type="spellEnd"/>
      <w:r w:rsidR="00E65E80" w:rsidRPr="00E65E80">
        <w:rPr>
          <w:rFonts w:ascii="Times New Roman" w:hAnsi="Times New Roman"/>
          <w:sz w:val="24"/>
          <w:szCs w:val="24"/>
        </w:rPr>
        <w:t xml:space="preserve">, S. (2013). Paraneoplastic neurologic syndromes in children: A review article. Iranian Journal of Child Neurology, 7(3), 6–14. </w:t>
      </w:r>
      <w:hyperlink r:id="rId26" w:history="1">
        <w:r w:rsidR="00E65E80" w:rsidRPr="005C335F">
          <w:rPr>
            <w:rStyle w:val="Hyperlink"/>
            <w:rFonts w:ascii="Times New Roman" w:hAnsi="Times New Roman"/>
            <w:sz w:val="24"/>
            <w:szCs w:val="24"/>
          </w:rPr>
          <w:t>https://doi.org/10.22037/ijcn.v7i3.4958</w:t>
        </w:r>
      </w:hyperlink>
      <w:r w:rsidR="00E65E80">
        <w:rPr>
          <w:rFonts w:ascii="Times New Roman" w:hAnsi="Times New Roman"/>
          <w:sz w:val="24"/>
          <w:szCs w:val="24"/>
        </w:rPr>
        <w:t xml:space="preserve"> </w:t>
      </w:r>
    </w:p>
    <w:p w14:paraId="1E1E37EA" w14:textId="77777777" w:rsidR="00B01FCD" w:rsidRPr="00FB3A86" w:rsidRDefault="00B01FCD" w:rsidP="00441B6F">
      <w:pPr>
        <w:pStyle w:val="Reference"/>
        <w:numPr>
          <w:ilvl w:val="0"/>
          <w:numId w:val="0"/>
        </w:numPr>
        <w:spacing w:line="240" w:lineRule="auto"/>
        <w:rPr>
          <w:rFonts w:ascii="Arial" w:hAnsi="Arial" w:cs="Arial"/>
        </w:rPr>
      </w:pPr>
    </w:p>
    <w:p w14:paraId="0853DB83" w14:textId="77777777" w:rsidR="00B01FCD" w:rsidRDefault="00B01FCD" w:rsidP="00441B6F">
      <w:pPr>
        <w:pStyle w:val="DefAcrHead"/>
        <w:spacing w:after="0"/>
        <w:jc w:val="both"/>
        <w:rPr>
          <w:rFonts w:ascii="Arial" w:hAnsi="Arial" w:cs="Arial"/>
        </w:rPr>
      </w:pPr>
      <w:r w:rsidRPr="00FB3A86">
        <w:rPr>
          <w:rFonts w:ascii="Arial" w:hAnsi="Arial" w:cs="Arial"/>
        </w:rPr>
        <w:t>Definitions, Acronyms, Abbreviations</w:t>
      </w:r>
    </w:p>
    <w:p w14:paraId="1418D95B" w14:textId="77777777" w:rsidR="00B01FCD" w:rsidRPr="00FB3A86" w:rsidRDefault="00B01FCD" w:rsidP="00441B6F">
      <w:pPr>
        <w:pStyle w:val="Body"/>
        <w:spacing w:after="0"/>
        <w:rPr>
          <w:rFonts w:ascii="Arial" w:hAnsi="Arial" w:cs="Arial"/>
          <w:sz w:val="24"/>
        </w:rPr>
      </w:pPr>
      <w:r w:rsidRPr="00FB3A86">
        <w:rPr>
          <w:rFonts w:ascii="Arial" w:hAnsi="Arial" w:cs="Arial"/>
        </w:rPr>
        <w:t>Here is the Definitions section.  This is an optional section.</w:t>
      </w:r>
      <w:r w:rsidRPr="00FB3A86">
        <w:rPr>
          <w:rFonts w:ascii="Arial" w:hAnsi="Arial" w:cs="Arial"/>
          <w:sz w:val="24"/>
        </w:rPr>
        <w:t xml:space="preserve"> </w:t>
      </w:r>
    </w:p>
    <w:p w14:paraId="18572458" w14:textId="77777777" w:rsidR="00B01FCD" w:rsidRDefault="00B01FCD" w:rsidP="00441B6F">
      <w:pPr>
        <w:pStyle w:val="Body"/>
        <w:spacing w:after="0"/>
        <w:rPr>
          <w:rFonts w:ascii="Arial" w:hAnsi="Arial" w:cs="Arial"/>
        </w:rPr>
      </w:pPr>
      <w:r w:rsidRPr="00FB3A86">
        <w:rPr>
          <w:rFonts w:ascii="Arial" w:hAnsi="Arial" w:cs="Arial"/>
          <w:b/>
        </w:rPr>
        <w:t>Term</w:t>
      </w:r>
      <w:r w:rsidRPr="00FB3A86">
        <w:rPr>
          <w:rFonts w:ascii="Arial" w:hAnsi="Arial" w:cs="Arial"/>
        </w:rPr>
        <w:t>: Definition for the term</w:t>
      </w:r>
    </w:p>
    <w:p w14:paraId="621A04DB" w14:textId="77777777" w:rsidR="00790ADA" w:rsidRPr="00FB3A86" w:rsidRDefault="00790ADA" w:rsidP="00441B6F">
      <w:pPr>
        <w:pStyle w:val="Body"/>
        <w:spacing w:after="0"/>
        <w:rPr>
          <w:rFonts w:ascii="Arial" w:hAnsi="Arial" w:cs="Arial"/>
        </w:rPr>
      </w:pPr>
    </w:p>
    <w:p w14:paraId="05B478FE" w14:textId="454C811F" w:rsidR="000B4141" w:rsidRDefault="000B4141" w:rsidP="000B4141">
      <w:pPr>
        <w:ind w:right="26"/>
        <w:jc w:val="both"/>
      </w:pPr>
      <w:r>
        <w:rPr>
          <w:noProof/>
        </w:rPr>
        <w:lastRenderedPageBreak/>
        <w:drawing>
          <wp:inline distT="0" distB="0" distL="0" distR="0" wp14:anchorId="44752823" wp14:editId="5C1B3A4B">
            <wp:extent cx="6858000" cy="3827145"/>
            <wp:effectExtent l="0" t="0" r="0" b="0"/>
            <wp:docPr id="1813192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58000" cy="3827145"/>
                    </a:xfrm>
                    <a:prstGeom prst="rect">
                      <a:avLst/>
                    </a:prstGeom>
                    <a:noFill/>
                    <a:ln>
                      <a:noFill/>
                    </a:ln>
                  </pic:spPr>
                </pic:pic>
              </a:graphicData>
            </a:graphic>
          </wp:inline>
        </w:drawing>
      </w:r>
      <w:r w:rsidRPr="000B4141">
        <w:rPr>
          <w:b/>
          <w:bCs/>
          <w:u w:val="single"/>
        </w:rPr>
        <w:t xml:space="preserve"> </w:t>
      </w:r>
      <w:r w:rsidRPr="005B4FC1">
        <w:rPr>
          <w:b/>
          <w:bCs/>
          <w:u w:val="single"/>
        </w:rPr>
        <w:t>Figure 1:</w:t>
      </w:r>
      <w:r>
        <w:t xml:space="preserve"> </w:t>
      </w:r>
      <w:r w:rsidRPr="008E3E7B">
        <w:t>Abnormal</w:t>
      </w:r>
      <w:r>
        <w:t xml:space="preserve"> </w:t>
      </w:r>
      <w:r w:rsidRPr="008E3E7B">
        <w:t>cell</w:t>
      </w:r>
      <w:r>
        <w:t xml:space="preserve"> </w:t>
      </w:r>
      <w:r w:rsidRPr="008E3E7B">
        <w:t>shows</w:t>
      </w:r>
      <w:r>
        <w:t xml:space="preserve"> </w:t>
      </w:r>
      <w:r w:rsidRPr="008E3E7B">
        <w:t>dimCD45</w:t>
      </w:r>
      <w:r>
        <w:t xml:space="preserve"> </w:t>
      </w:r>
      <w:r w:rsidRPr="008E3E7B">
        <w:t>and</w:t>
      </w:r>
      <w:r>
        <w:t xml:space="preserve"> </w:t>
      </w:r>
      <w:r w:rsidRPr="008E3E7B">
        <w:t>low</w:t>
      </w:r>
      <w:r>
        <w:t xml:space="preserve"> </w:t>
      </w:r>
      <w:r w:rsidRPr="008E3E7B">
        <w:t>side</w:t>
      </w:r>
      <w:r>
        <w:t xml:space="preserve"> </w:t>
      </w:r>
      <w:r w:rsidRPr="008E3E7B">
        <w:t>scatter</w:t>
      </w:r>
      <w:r>
        <w:t xml:space="preserve"> </w:t>
      </w:r>
      <w:r w:rsidRPr="008E3E7B">
        <w:t>on</w:t>
      </w:r>
      <w:r>
        <w:t xml:space="preserve"> </w:t>
      </w:r>
      <w:r w:rsidRPr="008E3E7B">
        <w:t>CD45</w:t>
      </w:r>
      <w:r>
        <w:t xml:space="preserve"> </w:t>
      </w:r>
      <w:r w:rsidRPr="008E3E7B">
        <w:t>vs</w:t>
      </w:r>
      <w:r>
        <w:t xml:space="preserve"> </w:t>
      </w:r>
      <w:r w:rsidRPr="008E3E7B">
        <w:t>SSC</w:t>
      </w:r>
      <w:r>
        <w:t xml:space="preserve"> </w:t>
      </w:r>
      <w:r w:rsidRPr="008E3E7B">
        <w:t>dot</w:t>
      </w:r>
      <w:r>
        <w:t xml:space="preserve"> </w:t>
      </w:r>
      <w:r w:rsidRPr="008E3E7B">
        <w:t>plot.</w:t>
      </w:r>
      <w:r>
        <w:t xml:space="preserve"> </w:t>
      </w:r>
      <w:r w:rsidRPr="008E3E7B">
        <w:t>These</w:t>
      </w:r>
      <w:r>
        <w:t xml:space="preserve"> </w:t>
      </w:r>
      <w:r w:rsidRPr="008E3E7B">
        <w:t>cells are</w:t>
      </w:r>
      <w:r>
        <w:t xml:space="preserve"> </w:t>
      </w:r>
      <w:r w:rsidRPr="008E3E7B">
        <w:t>positive</w:t>
      </w:r>
      <w:r>
        <w:t xml:space="preserve"> </w:t>
      </w:r>
      <w:r w:rsidRPr="008E3E7B">
        <w:t>for</w:t>
      </w:r>
      <w:r>
        <w:t xml:space="preserve"> </w:t>
      </w:r>
      <w:r w:rsidRPr="008E3E7B">
        <w:t>B</w:t>
      </w:r>
      <w:r>
        <w:t xml:space="preserve"> </w:t>
      </w:r>
      <w:r w:rsidRPr="008E3E7B">
        <w:t>lineage</w:t>
      </w:r>
      <w:r>
        <w:t xml:space="preserve"> </w:t>
      </w:r>
      <w:r w:rsidRPr="008E3E7B">
        <w:t>marker</w:t>
      </w:r>
      <w:r>
        <w:t xml:space="preserve"> CD</w:t>
      </w:r>
      <w:proofErr w:type="gramStart"/>
      <w:r>
        <w:t>10,</w:t>
      </w:r>
      <w:r w:rsidRPr="008E3E7B">
        <w:t>CD</w:t>
      </w:r>
      <w:proofErr w:type="gramEnd"/>
      <w:r w:rsidRPr="008E3E7B">
        <w:t>19,</w:t>
      </w:r>
      <w:r>
        <w:t xml:space="preserve"> </w:t>
      </w:r>
      <w:r w:rsidRPr="008E3E7B">
        <w:t>CD22,cCD79a</w:t>
      </w:r>
      <w:r>
        <w:t xml:space="preserve">, variable CD20 </w:t>
      </w:r>
      <w:r w:rsidRPr="008E3E7B">
        <w:t>along</w:t>
      </w:r>
      <w:r>
        <w:t xml:space="preserve"> </w:t>
      </w:r>
      <w:r w:rsidRPr="008E3E7B">
        <w:t>with</w:t>
      </w:r>
      <w:r>
        <w:t xml:space="preserve"> CD33 (aberrant), </w:t>
      </w:r>
      <w:r w:rsidRPr="008E3E7B">
        <w:t>CD38,CD34,HLADR.These</w:t>
      </w:r>
      <w:r>
        <w:t xml:space="preserve"> </w:t>
      </w:r>
      <w:r w:rsidRPr="008E3E7B">
        <w:t>cells</w:t>
      </w:r>
      <w:r>
        <w:t xml:space="preserve"> </w:t>
      </w:r>
      <w:r w:rsidRPr="008E3E7B">
        <w:t>are negative</w:t>
      </w:r>
      <w:r>
        <w:t xml:space="preserve"> </w:t>
      </w:r>
      <w:r w:rsidRPr="008E3E7B">
        <w:t>for</w:t>
      </w:r>
      <w:r>
        <w:t xml:space="preserve"> </w:t>
      </w:r>
      <w:r w:rsidRPr="008E3E7B">
        <w:t>T</w:t>
      </w:r>
      <w:r>
        <w:t xml:space="preserve"> </w:t>
      </w:r>
      <w:r w:rsidRPr="008E3E7B">
        <w:t>lineage</w:t>
      </w:r>
      <w:r>
        <w:t xml:space="preserve"> </w:t>
      </w:r>
      <w:r w:rsidRPr="008E3E7B">
        <w:t>and</w:t>
      </w:r>
      <w:r>
        <w:t xml:space="preserve"> </w:t>
      </w:r>
      <w:r w:rsidRPr="008E3E7B">
        <w:t>myeloid</w:t>
      </w:r>
      <w:r>
        <w:t xml:space="preserve"> </w:t>
      </w:r>
      <w:r w:rsidRPr="008E3E7B">
        <w:t>markers.</w:t>
      </w:r>
      <w:r>
        <w:t xml:space="preserve"> </w:t>
      </w:r>
      <w:r w:rsidRPr="008E3E7B">
        <w:t>These</w:t>
      </w:r>
      <w:r>
        <w:t xml:space="preserve"> </w:t>
      </w:r>
      <w:r w:rsidRPr="008E3E7B">
        <w:t>findings</w:t>
      </w:r>
      <w:r>
        <w:t xml:space="preserve"> </w:t>
      </w:r>
      <w:r w:rsidRPr="008E3E7B">
        <w:t>are</w:t>
      </w:r>
      <w:r>
        <w:t xml:space="preserve"> </w:t>
      </w:r>
      <w:r w:rsidRPr="008E3E7B">
        <w:t>consistent</w:t>
      </w:r>
      <w:r>
        <w:t xml:space="preserve"> </w:t>
      </w:r>
      <w:r w:rsidRPr="008E3E7B">
        <w:t>with</w:t>
      </w:r>
      <w:r>
        <w:t xml:space="preserve"> </w:t>
      </w:r>
      <w:r w:rsidRPr="008E3E7B">
        <w:t>B</w:t>
      </w:r>
      <w:r>
        <w:t xml:space="preserve"> </w:t>
      </w:r>
      <w:r w:rsidRPr="008E3E7B">
        <w:t>lineage lymphoblasts</w:t>
      </w:r>
      <w:r>
        <w:t>.</w:t>
      </w:r>
    </w:p>
    <w:p w14:paraId="7B3109CF" w14:textId="77925ED1" w:rsidR="00B01FCD" w:rsidRDefault="00B01FCD" w:rsidP="00441B6F">
      <w:pPr>
        <w:pStyle w:val="Appendix"/>
        <w:spacing w:after="0"/>
        <w:jc w:val="both"/>
        <w:rPr>
          <w:rFonts w:ascii="Arial" w:hAnsi="Arial" w:cs="Arial"/>
          <w:b w:val="0"/>
        </w:rPr>
      </w:pPr>
    </w:p>
    <w:p w14:paraId="641F7647" w14:textId="533D82CB" w:rsidR="000B4141" w:rsidRDefault="000B4141" w:rsidP="000B4141">
      <w:pPr>
        <w:ind w:right="26"/>
        <w:jc w:val="both"/>
      </w:pPr>
      <w:r>
        <w:rPr>
          <w:noProof/>
        </w:rPr>
        <w:drawing>
          <wp:inline distT="0" distB="0" distL="0" distR="0" wp14:anchorId="3A3A6621" wp14:editId="33DA632B">
            <wp:extent cx="6858000" cy="3848735"/>
            <wp:effectExtent l="0" t="0" r="0" b="0"/>
            <wp:docPr id="20876672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58000" cy="3848735"/>
                    </a:xfrm>
                    <a:prstGeom prst="rect">
                      <a:avLst/>
                    </a:prstGeom>
                    <a:noFill/>
                    <a:ln>
                      <a:noFill/>
                    </a:ln>
                  </pic:spPr>
                </pic:pic>
              </a:graphicData>
            </a:graphic>
          </wp:inline>
        </w:drawing>
      </w:r>
      <w:r w:rsidRPr="000B4141">
        <w:rPr>
          <w:b/>
          <w:bCs/>
        </w:rPr>
        <w:t xml:space="preserve"> </w:t>
      </w:r>
      <w:r w:rsidRPr="000B60B8">
        <w:rPr>
          <w:b/>
          <w:bCs/>
        </w:rPr>
        <w:t xml:space="preserve">Figure </w:t>
      </w:r>
      <w:proofErr w:type="gramStart"/>
      <w:r w:rsidRPr="000B60B8">
        <w:rPr>
          <w:b/>
          <w:bCs/>
        </w:rPr>
        <w:t>2 :</w:t>
      </w:r>
      <w:proofErr w:type="gramEnd"/>
      <w:r>
        <w:t xml:space="preserve"> </w:t>
      </w:r>
      <w:r w:rsidRPr="000B60B8">
        <w:t>Flow cytometric immunophenotypic analysis of the bone marrow sample was done</w:t>
      </w:r>
      <w:r>
        <w:t xml:space="preserve"> </w:t>
      </w:r>
      <w:r w:rsidRPr="000B60B8">
        <w:t>on CD 19/side scatter plots</w:t>
      </w:r>
      <w:r>
        <w:t xml:space="preserve"> which </w:t>
      </w:r>
      <w:r w:rsidRPr="000B60B8">
        <w:t>does not show evidence of Minimal Residual Disease</w:t>
      </w:r>
      <w:r>
        <w:t xml:space="preserve"> (</w:t>
      </w:r>
      <w:r w:rsidRPr="000B60B8">
        <w:t xml:space="preserve">Limit of quantification: 0.0033 % </w:t>
      </w:r>
      <w:r>
        <w:t xml:space="preserve">; </w:t>
      </w:r>
      <w:r w:rsidRPr="000B60B8">
        <w:t>on the basis of analyzed viable events)</w:t>
      </w:r>
    </w:p>
    <w:p w14:paraId="16F85D60" w14:textId="77777777" w:rsidR="000B4141" w:rsidRDefault="000B4141" w:rsidP="00441B6F">
      <w:pPr>
        <w:pStyle w:val="Appendix"/>
        <w:spacing w:after="0"/>
        <w:jc w:val="both"/>
        <w:rPr>
          <w:rFonts w:ascii="Arial" w:hAnsi="Arial" w:cs="Arial"/>
          <w:b w:val="0"/>
        </w:rPr>
      </w:pPr>
    </w:p>
    <w:p w14:paraId="06BACF4C" w14:textId="77777777" w:rsidR="000B4141" w:rsidRDefault="000B4141" w:rsidP="00441B6F">
      <w:pPr>
        <w:pStyle w:val="Appendix"/>
        <w:spacing w:after="0"/>
        <w:jc w:val="both"/>
        <w:rPr>
          <w:rFonts w:ascii="Arial" w:hAnsi="Arial" w:cs="Arial"/>
          <w:b w:val="0"/>
        </w:rPr>
      </w:pPr>
    </w:p>
    <w:p w14:paraId="554DC83D" w14:textId="77777777" w:rsidR="000B4141" w:rsidRPr="00254D46" w:rsidRDefault="000B4141" w:rsidP="000B4141">
      <w:pPr>
        <w:rPr>
          <w:b/>
          <w:bCs/>
        </w:rPr>
      </w:pPr>
    </w:p>
    <w:p w14:paraId="24079FEF" w14:textId="77777777" w:rsidR="000B4141" w:rsidRPr="00254D46" w:rsidRDefault="000B4141" w:rsidP="000B4141">
      <w:pPr>
        <w:rPr>
          <w:b/>
          <w:bCs/>
        </w:rPr>
      </w:pPr>
      <w:r w:rsidRPr="002774FC">
        <w:rPr>
          <w:b/>
          <w:bCs/>
          <w:sz w:val="28"/>
          <w:szCs w:val="28"/>
        </w:rPr>
        <w:t>Table 1: Investigation details of the case and Report there of</w:t>
      </w:r>
    </w:p>
    <w:tbl>
      <w:tblPr>
        <w:tblW w:w="9010" w:type="dxa"/>
        <w:tblCellMar>
          <w:left w:w="0" w:type="dxa"/>
          <w:right w:w="0" w:type="dxa"/>
        </w:tblCellMar>
        <w:tblLook w:val="04A0" w:firstRow="1" w:lastRow="0" w:firstColumn="1" w:lastColumn="0" w:noHBand="0" w:noVBand="1"/>
      </w:tblPr>
      <w:tblGrid>
        <w:gridCol w:w="5439"/>
        <w:gridCol w:w="4828"/>
      </w:tblGrid>
      <w:tr w:rsidR="000B4141" w:rsidRPr="00DB36DB" w14:paraId="4ADE192D" w14:textId="77777777" w:rsidTr="009D6A9D">
        <w:trPr>
          <w:trHeight w:val="400"/>
        </w:trPr>
        <w:tc>
          <w:tcPr>
            <w:tcW w:w="4711" w:type="dxa"/>
            <w:tcBorders>
              <w:top w:val="single" w:sz="6" w:space="0" w:color="FFFFFF"/>
              <w:left w:val="single" w:sz="6" w:space="0" w:color="FFFFFF"/>
              <w:bottom w:val="single" w:sz="6" w:space="0" w:color="FFFFFF"/>
              <w:right w:val="single" w:sz="6" w:space="0" w:color="FFFFFF"/>
            </w:tcBorders>
            <w:shd w:val="clear" w:color="auto" w:fill="F8CBAD"/>
            <w:tcMar>
              <w:top w:w="68" w:type="dxa"/>
              <w:left w:w="102" w:type="dxa"/>
              <w:bottom w:w="68" w:type="dxa"/>
              <w:right w:w="102" w:type="dxa"/>
            </w:tcMar>
            <w:hideMark/>
          </w:tcPr>
          <w:p w14:paraId="538F4A25" w14:textId="77777777" w:rsidR="000B4141" w:rsidRPr="00DB36DB" w:rsidRDefault="000B4141" w:rsidP="009D6A9D">
            <w:r w:rsidRPr="00DB36DB">
              <w:rPr>
                <w:b/>
                <w:bCs/>
              </w:rPr>
              <w:t>MRI Brain </w:t>
            </w:r>
          </w:p>
        </w:tc>
        <w:tc>
          <w:tcPr>
            <w:tcW w:w="4299" w:type="dxa"/>
            <w:tcBorders>
              <w:top w:val="single" w:sz="6" w:space="0" w:color="FFFFFF"/>
              <w:left w:val="single" w:sz="6" w:space="0" w:color="FFFFFF"/>
              <w:bottom w:val="single" w:sz="6" w:space="0" w:color="FFFFFF"/>
              <w:right w:val="single" w:sz="6" w:space="0" w:color="FFFFFF"/>
            </w:tcBorders>
            <w:shd w:val="clear" w:color="auto" w:fill="F8CBAD"/>
            <w:tcMar>
              <w:top w:w="68" w:type="dxa"/>
              <w:left w:w="102" w:type="dxa"/>
              <w:bottom w:w="68" w:type="dxa"/>
              <w:right w:w="102" w:type="dxa"/>
            </w:tcMar>
            <w:hideMark/>
          </w:tcPr>
          <w:p w14:paraId="3B1C61BB" w14:textId="77777777" w:rsidR="000B4141" w:rsidRPr="00DB36DB" w:rsidRDefault="000B4141" w:rsidP="009D6A9D">
            <w:r>
              <w:t>No Abnormality Detected</w:t>
            </w:r>
          </w:p>
        </w:tc>
      </w:tr>
      <w:tr w:rsidR="000B4141" w:rsidRPr="00DB36DB" w14:paraId="33E171BC" w14:textId="77777777" w:rsidTr="009D6A9D">
        <w:trPr>
          <w:trHeight w:val="400"/>
        </w:trPr>
        <w:tc>
          <w:tcPr>
            <w:tcW w:w="4711" w:type="dxa"/>
            <w:tcBorders>
              <w:top w:val="single" w:sz="6" w:space="0" w:color="FFFFFF"/>
              <w:left w:val="single" w:sz="6" w:space="0" w:color="FFFFFF"/>
              <w:bottom w:val="single" w:sz="6" w:space="0" w:color="FFFFFF"/>
              <w:right w:val="single" w:sz="6" w:space="0" w:color="FFFFFF"/>
            </w:tcBorders>
            <w:shd w:val="clear" w:color="auto" w:fill="F8CBAD"/>
            <w:tcMar>
              <w:top w:w="68" w:type="dxa"/>
              <w:left w:w="102" w:type="dxa"/>
              <w:bottom w:w="68" w:type="dxa"/>
              <w:right w:w="102" w:type="dxa"/>
            </w:tcMar>
            <w:hideMark/>
          </w:tcPr>
          <w:p w14:paraId="4578AFCF" w14:textId="77777777" w:rsidR="000B4141" w:rsidRPr="00DB36DB" w:rsidRDefault="000B4141" w:rsidP="009D6A9D">
            <w:r w:rsidRPr="00DB36DB">
              <w:rPr>
                <w:b/>
                <w:bCs/>
              </w:rPr>
              <w:t>MRI LS Spine</w:t>
            </w:r>
          </w:p>
        </w:tc>
        <w:tc>
          <w:tcPr>
            <w:tcW w:w="4299" w:type="dxa"/>
            <w:tcBorders>
              <w:top w:val="single" w:sz="6" w:space="0" w:color="FFFFFF"/>
              <w:left w:val="single" w:sz="6" w:space="0" w:color="FFFFFF"/>
              <w:bottom w:val="single" w:sz="6" w:space="0" w:color="FFFFFF"/>
              <w:right w:val="single" w:sz="6" w:space="0" w:color="FFFFFF"/>
            </w:tcBorders>
            <w:shd w:val="clear" w:color="auto" w:fill="F8CBAD"/>
            <w:tcMar>
              <w:top w:w="68" w:type="dxa"/>
              <w:left w:w="102" w:type="dxa"/>
              <w:bottom w:w="68" w:type="dxa"/>
              <w:right w:w="102" w:type="dxa"/>
            </w:tcMar>
            <w:hideMark/>
          </w:tcPr>
          <w:p w14:paraId="41FD7795" w14:textId="77777777" w:rsidR="000B4141" w:rsidRPr="00DB36DB" w:rsidRDefault="000B4141" w:rsidP="009D6A9D">
            <w:r>
              <w:t>No Abnormality Detected</w:t>
            </w:r>
          </w:p>
        </w:tc>
      </w:tr>
      <w:tr w:rsidR="000B4141" w:rsidRPr="00DB36DB" w14:paraId="19DEB052" w14:textId="77777777" w:rsidTr="009D6A9D">
        <w:trPr>
          <w:trHeight w:val="400"/>
        </w:trPr>
        <w:tc>
          <w:tcPr>
            <w:tcW w:w="4711" w:type="dxa"/>
            <w:tcBorders>
              <w:top w:val="single" w:sz="6" w:space="0" w:color="FFFFFF"/>
              <w:left w:val="single" w:sz="6" w:space="0" w:color="FFFFFF"/>
              <w:bottom w:val="single" w:sz="6" w:space="0" w:color="FFFFFF"/>
              <w:right w:val="single" w:sz="6" w:space="0" w:color="FFFFFF"/>
            </w:tcBorders>
            <w:shd w:val="clear" w:color="auto" w:fill="F8CBAD"/>
            <w:tcMar>
              <w:top w:w="68" w:type="dxa"/>
              <w:left w:w="102" w:type="dxa"/>
              <w:bottom w:w="68" w:type="dxa"/>
              <w:right w:w="102" w:type="dxa"/>
            </w:tcMar>
            <w:hideMark/>
          </w:tcPr>
          <w:p w14:paraId="6AD514A2" w14:textId="77777777" w:rsidR="000B4141" w:rsidRPr="00DB36DB" w:rsidRDefault="000B4141" w:rsidP="009D6A9D">
            <w:r w:rsidRPr="00DB36DB">
              <w:rPr>
                <w:b/>
                <w:bCs/>
              </w:rPr>
              <w:t>MRI dorsal spine </w:t>
            </w:r>
          </w:p>
        </w:tc>
        <w:tc>
          <w:tcPr>
            <w:tcW w:w="4299" w:type="dxa"/>
            <w:tcBorders>
              <w:top w:val="single" w:sz="6" w:space="0" w:color="FFFFFF"/>
              <w:left w:val="single" w:sz="6" w:space="0" w:color="FFFFFF"/>
              <w:bottom w:val="single" w:sz="6" w:space="0" w:color="FFFFFF"/>
              <w:right w:val="single" w:sz="6" w:space="0" w:color="FFFFFF"/>
            </w:tcBorders>
            <w:shd w:val="clear" w:color="auto" w:fill="F8CBAD"/>
            <w:tcMar>
              <w:top w:w="68" w:type="dxa"/>
              <w:left w:w="102" w:type="dxa"/>
              <w:bottom w:w="68" w:type="dxa"/>
              <w:right w:w="102" w:type="dxa"/>
            </w:tcMar>
            <w:hideMark/>
          </w:tcPr>
          <w:p w14:paraId="0B8574CE" w14:textId="77777777" w:rsidR="000B4141" w:rsidRPr="00DB36DB" w:rsidRDefault="000B4141" w:rsidP="009D6A9D">
            <w:r>
              <w:t>No Abnormality Detected</w:t>
            </w:r>
          </w:p>
        </w:tc>
      </w:tr>
      <w:tr w:rsidR="000B4141" w:rsidRPr="00DB36DB" w14:paraId="520C3AF1" w14:textId="77777777" w:rsidTr="009D6A9D">
        <w:trPr>
          <w:trHeight w:val="600"/>
        </w:trPr>
        <w:tc>
          <w:tcPr>
            <w:tcW w:w="4711" w:type="dxa"/>
            <w:tcBorders>
              <w:top w:val="single" w:sz="6" w:space="0" w:color="FFFFFF"/>
              <w:left w:val="single" w:sz="6" w:space="0" w:color="FFFFFF"/>
              <w:bottom w:val="single" w:sz="6" w:space="0" w:color="FFFFFF"/>
              <w:right w:val="single" w:sz="6" w:space="0" w:color="FFFFFF"/>
            </w:tcBorders>
            <w:shd w:val="clear" w:color="auto" w:fill="F8CBAD"/>
            <w:tcMar>
              <w:top w:w="68" w:type="dxa"/>
              <w:left w:w="102" w:type="dxa"/>
              <w:bottom w:w="68" w:type="dxa"/>
              <w:right w:w="102" w:type="dxa"/>
            </w:tcMar>
            <w:hideMark/>
          </w:tcPr>
          <w:p w14:paraId="0F1EF715" w14:textId="77777777" w:rsidR="000B4141" w:rsidRPr="00DB36DB" w:rsidRDefault="000B4141" w:rsidP="009D6A9D">
            <w:r w:rsidRPr="00DB36DB">
              <w:rPr>
                <w:b/>
                <w:bCs/>
              </w:rPr>
              <w:t>CSF study</w:t>
            </w:r>
          </w:p>
        </w:tc>
        <w:tc>
          <w:tcPr>
            <w:tcW w:w="4299" w:type="dxa"/>
            <w:tcBorders>
              <w:top w:val="single" w:sz="6" w:space="0" w:color="FFFFFF"/>
              <w:left w:val="single" w:sz="6" w:space="0" w:color="FFFFFF"/>
              <w:bottom w:val="single" w:sz="6" w:space="0" w:color="FFFFFF"/>
              <w:right w:val="single" w:sz="6" w:space="0" w:color="FFFFFF"/>
            </w:tcBorders>
            <w:shd w:val="clear" w:color="auto" w:fill="F8CBAD"/>
            <w:tcMar>
              <w:top w:w="68" w:type="dxa"/>
              <w:left w:w="102" w:type="dxa"/>
              <w:bottom w:w="68" w:type="dxa"/>
              <w:right w:w="102" w:type="dxa"/>
            </w:tcMar>
            <w:hideMark/>
          </w:tcPr>
          <w:p w14:paraId="31F9AA6F" w14:textId="77777777" w:rsidR="000B4141" w:rsidRPr="00DB36DB" w:rsidRDefault="000B4141" w:rsidP="009D6A9D">
            <w:r w:rsidRPr="00DB36DB">
              <w:rPr>
                <w:b/>
                <w:bCs/>
              </w:rPr>
              <w:t>No immature cell, biochemical parameter normal</w:t>
            </w:r>
          </w:p>
        </w:tc>
      </w:tr>
      <w:tr w:rsidR="000B4141" w:rsidRPr="00DB36DB" w14:paraId="27C7C9B4" w14:textId="77777777" w:rsidTr="009D6A9D">
        <w:trPr>
          <w:trHeight w:val="680"/>
        </w:trPr>
        <w:tc>
          <w:tcPr>
            <w:tcW w:w="4711" w:type="dxa"/>
            <w:tcBorders>
              <w:top w:val="single" w:sz="6" w:space="0" w:color="FFFFFF"/>
              <w:left w:val="single" w:sz="6" w:space="0" w:color="FFFFFF"/>
              <w:bottom w:val="single" w:sz="6" w:space="0" w:color="FFFFFF"/>
              <w:right w:val="single" w:sz="6" w:space="0" w:color="FFFFFF"/>
            </w:tcBorders>
            <w:shd w:val="clear" w:color="auto" w:fill="F8CBAD"/>
            <w:tcMar>
              <w:top w:w="68" w:type="dxa"/>
              <w:left w:w="102" w:type="dxa"/>
              <w:bottom w:w="68" w:type="dxa"/>
              <w:right w:w="102" w:type="dxa"/>
            </w:tcMar>
            <w:hideMark/>
          </w:tcPr>
          <w:p w14:paraId="3A3E087E" w14:textId="77777777" w:rsidR="000B4141" w:rsidRPr="00DB36DB" w:rsidRDefault="000B4141" w:rsidP="009D6A9D">
            <w:r w:rsidRPr="00DB36DB">
              <w:rPr>
                <w:b/>
                <w:bCs/>
              </w:rPr>
              <w:t>Neurotropic Panel for viral infection from CSF</w:t>
            </w:r>
          </w:p>
        </w:tc>
        <w:tc>
          <w:tcPr>
            <w:tcW w:w="4299" w:type="dxa"/>
            <w:tcBorders>
              <w:top w:val="single" w:sz="6" w:space="0" w:color="FFFFFF"/>
              <w:left w:val="single" w:sz="6" w:space="0" w:color="FFFFFF"/>
              <w:bottom w:val="single" w:sz="6" w:space="0" w:color="FFFFFF"/>
              <w:right w:val="single" w:sz="6" w:space="0" w:color="FFFFFF"/>
            </w:tcBorders>
            <w:shd w:val="clear" w:color="auto" w:fill="F8CBAD"/>
            <w:tcMar>
              <w:top w:w="68" w:type="dxa"/>
              <w:left w:w="102" w:type="dxa"/>
              <w:bottom w:w="68" w:type="dxa"/>
              <w:right w:w="102" w:type="dxa"/>
            </w:tcMar>
            <w:hideMark/>
          </w:tcPr>
          <w:p w14:paraId="78D8948C" w14:textId="77777777" w:rsidR="000B4141" w:rsidRPr="00DB36DB" w:rsidRDefault="000B4141" w:rsidP="009D6A9D">
            <w:r w:rsidRPr="00DB36DB">
              <w:rPr>
                <w:b/>
                <w:bCs/>
              </w:rPr>
              <w:t>NAD</w:t>
            </w:r>
          </w:p>
        </w:tc>
      </w:tr>
      <w:tr w:rsidR="000B4141" w:rsidRPr="00DB36DB" w14:paraId="27235D99" w14:textId="77777777" w:rsidTr="009D6A9D">
        <w:trPr>
          <w:trHeight w:val="600"/>
        </w:trPr>
        <w:tc>
          <w:tcPr>
            <w:tcW w:w="4711" w:type="dxa"/>
            <w:tcBorders>
              <w:top w:val="single" w:sz="6" w:space="0" w:color="FFFFFF"/>
              <w:left w:val="single" w:sz="6" w:space="0" w:color="FFFFFF"/>
              <w:bottom w:val="single" w:sz="6" w:space="0" w:color="FFFFFF"/>
              <w:right w:val="single" w:sz="6" w:space="0" w:color="FFFFFF"/>
            </w:tcBorders>
            <w:shd w:val="clear" w:color="auto" w:fill="F8CBAD"/>
            <w:tcMar>
              <w:top w:w="68" w:type="dxa"/>
              <w:left w:w="102" w:type="dxa"/>
              <w:bottom w:w="68" w:type="dxa"/>
              <w:right w:w="102" w:type="dxa"/>
            </w:tcMar>
            <w:hideMark/>
          </w:tcPr>
          <w:p w14:paraId="3691C832" w14:textId="77777777" w:rsidR="000B4141" w:rsidRPr="00DB36DB" w:rsidRDefault="000B4141" w:rsidP="009D6A9D">
            <w:r w:rsidRPr="00DB36DB">
              <w:rPr>
                <w:b/>
                <w:bCs/>
              </w:rPr>
              <w:t>NCS, EMG</w:t>
            </w:r>
          </w:p>
        </w:tc>
        <w:tc>
          <w:tcPr>
            <w:tcW w:w="4299" w:type="dxa"/>
            <w:tcBorders>
              <w:top w:val="single" w:sz="6" w:space="0" w:color="FFFFFF"/>
              <w:left w:val="single" w:sz="6" w:space="0" w:color="FFFFFF"/>
              <w:bottom w:val="single" w:sz="6" w:space="0" w:color="FFFFFF"/>
              <w:right w:val="single" w:sz="6" w:space="0" w:color="FFFFFF"/>
            </w:tcBorders>
            <w:shd w:val="clear" w:color="auto" w:fill="F8CBAD"/>
            <w:tcMar>
              <w:top w:w="68" w:type="dxa"/>
              <w:left w:w="102" w:type="dxa"/>
              <w:bottom w:w="68" w:type="dxa"/>
              <w:right w:w="102" w:type="dxa"/>
            </w:tcMar>
            <w:hideMark/>
          </w:tcPr>
          <w:p w14:paraId="11B9FCC9" w14:textId="77777777" w:rsidR="000B4141" w:rsidRPr="00DB36DB" w:rsidRDefault="000B4141" w:rsidP="009D6A9D">
            <w:r w:rsidRPr="00DB36DB">
              <w:rPr>
                <w:b/>
                <w:bCs/>
              </w:rPr>
              <w:t>no axonal delay / no sign of </w:t>
            </w:r>
            <w:proofErr w:type="spellStart"/>
            <w:r w:rsidRPr="00DB36DB">
              <w:rPr>
                <w:b/>
                <w:bCs/>
              </w:rPr>
              <w:t>demayelination</w:t>
            </w:r>
            <w:proofErr w:type="spellEnd"/>
          </w:p>
        </w:tc>
      </w:tr>
      <w:tr w:rsidR="000B4141" w:rsidRPr="00DB36DB" w14:paraId="6ACA89A5" w14:textId="77777777" w:rsidTr="009D6A9D">
        <w:trPr>
          <w:trHeight w:val="680"/>
        </w:trPr>
        <w:tc>
          <w:tcPr>
            <w:tcW w:w="4711" w:type="dxa"/>
            <w:tcBorders>
              <w:top w:val="single" w:sz="6" w:space="0" w:color="FFFFFF"/>
              <w:left w:val="single" w:sz="6" w:space="0" w:color="FFFFFF"/>
              <w:bottom w:val="single" w:sz="6" w:space="0" w:color="FFFFFF"/>
              <w:right w:val="single" w:sz="6" w:space="0" w:color="FFFFFF"/>
            </w:tcBorders>
            <w:shd w:val="clear" w:color="auto" w:fill="F8CBAD"/>
            <w:tcMar>
              <w:top w:w="68" w:type="dxa"/>
              <w:left w:w="102" w:type="dxa"/>
              <w:bottom w:w="68" w:type="dxa"/>
              <w:right w:w="102" w:type="dxa"/>
            </w:tcMar>
            <w:hideMark/>
          </w:tcPr>
          <w:p w14:paraId="12CA815D" w14:textId="77777777" w:rsidR="000B4141" w:rsidRPr="00DB36DB" w:rsidRDefault="000B4141" w:rsidP="009D6A9D">
            <w:proofErr w:type="gramStart"/>
            <w:r w:rsidRPr="00DB36DB">
              <w:rPr>
                <w:b/>
                <w:bCs/>
              </w:rPr>
              <w:t>Electrolytes(</w:t>
            </w:r>
            <w:proofErr w:type="gramEnd"/>
            <w:r w:rsidRPr="00DB36DB">
              <w:rPr>
                <w:b/>
                <w:bCs/>
              </w:rPr>
              <w:t>Potassium, calcium ,magnesium ,sodium) </w:t>
            </w:r>
          </w:p>
        </w:tc>
        <w:tc>
          <w:tcPr>
            <w:tcW w:w="4299" w:type="dxa"/>
            <w:tcBorders>
              <w:top w:val="single" w:sz="6" w:space="0" w:color="FFFFFF"/>
              <w:left w:val="single" w:sz="6" w:space="0" w:color="FFFFFF"/>
              <w:bottom w:val="single" w:sz="6" w:space="0" w:color="FFFFFF"/>
              <w:right w:val="single" w:sz="6" w:space="0" w:color="FFFFFF"/>
            </w:tcBorders>
            <w:shd w:val="clear" w:color="auto" w:fill="F8CBAD"/>
            <w:tcMar>
              <w:top w:w="68" w:type="dxa"/>
              <w:left w:w="102" w:type="dxa"/>
              <w:bottom w:w="68" w:type="dxa"/>
              <w:right w:w="102" w:type="dxa"/>
            </w:tcMar>
            <w:hideMark/>
          </w:tcPr>
          <w:p w14:paraId="7DD18AE6" w14:textId="77777777" w:rsidR="000B4141" w:rsidRPr="00DB36DB" w:rsidRDefault="000B4141" w:rsidP="009D6A9D">
            <w:r w:rsidRPr="00DB36DB">
              <w:rPr>
                <w:b/>
                <w:bCs/>
              </w:rPr>
              <w:t>Normal in range</w:t>
            </w:r>
          </w:p>
        </w:tc>
      </w:tr>
      <w:tr w:rsidR="000B4141" w:rsidRPr="00DB36DB" w14:paraId="421350BD" w14:textId="77777777" w:rsidTr="009D6A9D">
        <w:trPr>
          <w:trHeight w:val="400"/>
        </w:trPr>
        <w:tc>
          <w:tcPr>
            <w:tcW w:w="4711" w:type="dxa"/>
            <w:tcBorders>
              <w:top w:val="single" w:sz="6" w:space="0" w:color="FFFFFF"/>
              <w:left w:val="single" w:sz="6" w:space="0" w:color="FFFFFF"/>
              <w:bottom w:val="single" w:sz="6" w:space="0" w:color="FFFFFF"/>
              <w:right w:val="single" w:sz="6" w:space="0" w:color="FFFFFF"/>
            </w:tcBorders>
            <w:shd w:val="clear" w:color="auto" w:fill="F8CBAD"/>
            <w:tcMar>
              <w:top w:w="68" w:type="dxa"/>
              <w:left w:w="102" w:type="dxa"/>
              <w:bottom w:w="68" w:type="dxa"/>
              <w:right w:w="102" w:type="dxa"/>
            </w:tcMar>
            <w:hideMark/>
          </w:tcPr>
          <w:p w14:paraId="770F74F3" w14:textId="77777777" w:rsidR="000B4141" w:rsidRPr="00DB36DB" w:rsidRDefault="000B4141" w:rsidP="009D6A9D">
            <w:proofErr w:type="gramStart"/>
            <w:r w:rsidRPr="00DB36DB">
              <w:rPr>
                <w:b/>
                <w:bCs/>
              </w:rPr>
              <w:t>BMA ,</w:t>
            </w:r>
            <w:proofErr w:type="spellStart"/>
            <w:r w:rsidRPr="00DB36DB">
              <w:rPr>
                <w:b/>
                <w:bCs/>
              </w:rPr>
              <w:t>BMBx</w:t>
            </w:r>
            <w:proofErr w:type="spellEnd"/>
            <w:proofErr w:type="gramEnd"/>
          </w:p>
        </w:tc>
        <w:tc>
          <w:tcPr>
            <w:tcW w:w="4299" w:type="dxa"/>
            <w:tcBorders>
              <w:top w:val="single" w:sz="6" w:space="0" w:color="FFFFFF"/>
              <w:left w:val="single" w:sz="6" w:space="0" w:color="FFFFFF"/>
              <w:bottom w:val="single" w:sz="6" w:space="0" w:color="FFFFFF"/>
              <w:right w:val="single" w:sz="6" w:space="0" w:color="FFFFFF"/>
            </w:tcBorders>
            <w:shd w:val="clear" w:color="auto" w:fill="F8CBAD"/>
            <w:tcMar>
              <w:top w:w="68" w:type="dxa"/>
              <w:left w:w="102" w:type="dxa"/>
              <w:bottom w:w="68" w:type="dxa"/>
              <w:right w:w="102" w:type="dxa"/>
            </w:tcMar>
            <w:hideMark/>
          </w:tcPr>
          <w:p w14:paraId="270691C7" w14:textId="77777777" w:rsidR="000B4141" w:rsidRPr="00DB36DB" w:rsidRDefault="000B4141" w:rsidP="009D6A9D">
            <w:r w:rsidRPr="00DB36DB">
              <w:rPr>
                <w:b/>
                <w:bCs/>
              </w:rPr>
              <w:t>Acute </w:t>
            </w:r>
            <w:proofErr w:type="spellStart"/>
            <w:r w:rsidRPr="00DB36DB">
              <w:rPr>
                <w:b/>
                <w:bCs/>
              </w:rPr>
              <w:t>leukaemia</w:t>
            </w:r>
            <w:proofErr w:type="spellEnd"/>
            <w:r w:rsidRPr="00DB36DB">
              <w:rPr>
                <w:b/>
                <w:bCs/>
              </w:rPr>
              <w:t>, </w:t>
            </w:r>
            <w:r>
              <w:rPr>
                <w:b/>
                <w:bCs/>
              </w:rPr>
              <w:t>86</w:t>
            </w:r>
            <w:r w:rsidRPr="00DB36DB">
              <w:rPr>
                <w:b/>
                <w:bCs/>
              </w:rPr>
              <w:t> </w:t>
            </w:r>
            <w:proofErr w:type="gramStart"/>
            <w:r w:rsidRPr="00DB36DB">
              <w:rPr>
                <w:b/>
                <w:bCs/>
              </w:rPr>
              <w:t>%  Blast</w:t>
            </w:r>
            <w:proofErr w:type="gramEnd"/>
            <w:r w:rsidRPr="00DB36DB">
              <w:rPr>
                <w:b/>
                <w:bCs/>
              </w:rPr>
              <w:t>.</w:t>
            </w:r>
          </w:p>
        </w:tc>
      </w:tr>
      <w:tr w:rsidR="000B4141" w:rsidRPr="002774FC" w14:paraId="5BD372A1" w14:textId="77777777" w:rsidTr="009D6A9D">
        <w:trPr>
          <w:trHeight w:val="600"/>
        </w:trPr>
        <w:tc>
          <w:tcPr>
            <w:tcW w:w="4711" w:type="dxa"/>
            <w:tcBorders>
              <w:top w:val="single" w:sz="6" w:space="0" w:color="FFFFFF"/>
              <w:left w:val="single" w:sz="6" w:space="0" w:color="FFFFFF"/>
              <w:bottom w:val="single" w:sz="6" w:space="0" w:color="FFFFFF"/>
              <w:right w:val="single" w:sz="6" w:space="0" w:color="FFFFFF"/>
            </w:tcBorders>
            <w:shd w:val="clear" w:color="auto" w:fill="F8CBAD"/>
            <w:tcMar>
              <w:top w:w="68" w:type="dxa"/>
              <w:left w:w="102" w:type="dxa"/>
              <w:bottom w:w="68" w:type="dxa"/>
              <w:right w:w="102" w:type="dxa"/>
            </w:tcMar>
            <w:hideMark/>
          </w:tcPr>
          <w:p w14:paraId="7A0D4D81" w14:textId="77777777" w:rsidR="000B4141" w:rsidRPr="00DB36DB" w:rsidRDefault="000B4141" w:rsidP="009D6A9D">
            <w:r w:rsidRPr="00DB36DB">
              <w:rPr>
                <w:b/>
                <w:bCs/>
              </w:rPr>
              <w:t>ALL FISH PANEL</w:t>
            </w:r>
          </w:p>
        </w:tc>
        <w:tc>
          <w:tcPr>
            <w:tcW w:w="4299" w:type="dxa"/>
            <w:tcBorders>
              <w:top w:val="single" w:sz="6" w:space="0" w:color="FFFFFF"/>
              <w:left w:val="single" w:sz="6" w:space="0" w:color="FFFFFF"/>
              <w:bottom w:val="single" w:sz="6" w:space="0" w:color="FFFFFF"/>
              <w:right w:val="single" w:sz="6" w:space="0" w:color="FFFFFF"/>
            </w:tcBorders>
            <w:shd w:val="clear" w:color="auto" w:fill="F8CBAD"/>
            <w:tcMar>
              <w:top w:w="68" w:type="dxa"/>
              <w:left w:w="102" w:type="dxa"/>
              <w:bottom w:w="68" w:type="dxa"/>
              <w:right w:w="102" w:type="dxa"/>
            </w:tcMar>
            <w:hideMark/>
          </w:tcPr>
          <w:p w14:paraId="6B634ED0" w14:textId="77777777" w:rsidR="000B4141" w:rsidRPr="00E60DDE" w:rsidRDefault="000B4141" w:rsidP="009D6A9D">
            <w:pPr>
              <w:rPr>
                <w:lang w:val="da-DK"/>
              </w:rPr>
            </w:pPr>
            <w:r w:rsidRPr="00E60DDE">
              <w:rPr>
                <w:b/>
                <w:bCs/>
                <w:lang w:val="da-DK"/>
              </w:rPr>
              <w:t>positive for t(12:21)  ETV 6 RUNX1 POSITIVE</w:t>
            </w:r>
          </w:p>
        </w:tc>
      </w:tr>
      <w:tr w:rsidR="000B4141" w:rsidRPr="002774FC" w14:paraId="574B055C" w14:textId="77777777" w:rsidTr="009D6A9D">
        <w:trPr>
          <w:trHeight w:val="600"/>
        </w:trPr>
        <w:tc>
          <w:tcPr>
            <w:tcW w:w="4711" w:type="dxa"/>
            <w:tcBorders>
              <w:top w:val="single" w:sz="6" w:space="0" w:color="FFFFFF"/>
              <w:left w:val="single" w:sz="6" w:space="0" w:color="FFFFFF"/>
              <w:bottom w:val="single" w:sz="6" w:space="0" w:color="FFFFFF"/>
              <w:right w:val="single" w:sz="6" w:space="0" w:color="FFFFFF"/>
            </w:tcBorders>
            <w:shd w:val="clear" w:color="auto" w:fill="F8CBAD"/>
            <w:tcMar>
              <w:top w:w="68" w:type="dxa"/>
              <w:left w:w="102" w:type="dxa"/>
              <w:bottom w:w="68" w:type="dxa"/>
              <w:right w:w="102" w:type="dxa"/>
            </w:tcMar>
            <w:hideMark/>
          </w:tcPr>
          <w:p w14:paraId="59E16813" w14:textId="77777777" w:rsidR="000B4141" w:rsidRPr="00DB36DB" w:rsidRDefault="000B4141" w:rsidP="009D6A9D">
            <w:r w:rsidRPr="00DB36DB">
              <w:rPr>
                <w:b/>
                <w:bCs/>
              </w:rPr>
              <w:t>CYTOGENETICS</w:t>
            </w:r>
          </w:p>
        </w:tc>
        <w:tc>
          <w:tcPr>
            <w:tcW w:w="4299" w:type="dxa"/>
            <w:tcBorders>
              <w:top w:val="single" w:sz="6" w:space="0" w:color="FFFFFF"/>
              <w:left w:val="single" w:sz="6" w:space="0" w:color="FFFFFF"/>
              <w:bottom w:val="single" w:sz="6" w:space="0" w:color="FFFFFF"/>
              <w:right w:val="single" w:sz="6" w:space="0" w:color="FFFFFF"/>
            </w:tcBorders>
            <w:shd w:val="clear" w:color="auto" w:fill="F8CBAD"/>
            <w:tcMar>
              <w:top w:w="68" w:type="dxa"/>
              <w:left w:w="102" w:type="dxa"/>
              <w:bottom w:w="68" w:type="dxa"/>
              <w:right w:w="102" w:type="dxa"/>
            </w:tcMar>
            <w:hideMark/>
          </w:tcPr>
          <w:p w14:paraId="376275B9" w14:textId="77777777" w:rsidR="000B4141" w:rsidRPr="00E60DDE" w:rsidRDefault="000B4141" w:rsidP="009D6A9D">
            <w:pPr>
              <w:rPr>
                <w:lang w:val="da-DK"/>
              </w:rPr>
            </w:pPr>
            <w:r w:rsidRPr="00E60DDE">
              <w:rPr>
                <w:b/>
                <w:bCs/>
                <w:lang w:val="da-DK"/>
              </w:rPr>
              <w:t>46XX , deri 7 ,add 7 ,det 7, del12 , +21</w:t>
            </w:r>
          </w:p>
        </w:tc>
      </w:tr>
      <w:tr w:rsidR="000B4141" w:rsidRPr="00DB36DB" w14:paraId="41C4982B" w14:textId="77777777" w:rsidTr="009D6A9D">
        <w:trPr>
          <w:trHeight w:val="940"/>
        </w:trPr>
        <w:tc>
          <w:tcPr>
            <w:tcW w:w="4711" w:type="dxa"/>
            <w:tcBorders>
              <w:top w:val="single" w:sz="6" w:space="0" w:color="FFFFFF"/>
              <w:left w:val="single" w:sz="6" w:space="0" w:color="FFFFFF"/>
              <w:bottom w:val="single" w:sz="6" w:space="0" w:color="FFFFFF"/>
              <w:right w:val="single" w:sz="6" w:space="0" w:color="FFFFFF"/>
            </w:tcBorders>
            <w:shd w:val="clear" w:color="auto" w:fill="F8CBAD"/>
            <w:tcMar>
              <w:top w:w="68" w:type="dxa"/>
              <w:left w:w="102" w:type="dxa"/>
              <w:bottom w:w="68" w:type="dxa"/>
              <w:right w:w="102" w:type="dxa"/>
            </w:tcMar>
            <w:hideMark/>
          </w:tcPr>
          <w:p w14:paraId="74197B60" w14:textId="77777777" w:rsidR="000B4141" w:rsidRPr="00DB36DB" w:rsidRDefault="000B4141" w:rsidP="009D6A9D">
            <w:r w:rsidRPr="00DB36DB">
              <w:rPr>
                <w:b/>
                <w:bCs/>
              </w:rPr>
              <w:t>IPT done from </w:t>
            </w:r>
            <w:proofErr w:type="gramStart"/>
            <w:r w:rsidRPr="00DB36DB">
              <w:rPr>
                <w:b/>
                <w:bCs/>
              </w:rPr>
              <w:t>BMA  showed</w:t>
            </w:r>
            <w:proofErr w:type="gramEnd"/>
          </w:p>
        </w:tc>
        <w:tc>
          <w:tcPr>
            <w:tcW w:w="4299" w:type="dxa"/>
            <w:tcBorders>
              <w:top w:val="single" w:sz="6" w:space="0" w:color="FFFFFF"/>
              <w:left w:val="single" w:sz="6" w:space="0" w:color="FFFFFF"/>
              <w:bottom w:val="single" w:sz="6" w:space="0" w:color="FFFFFF"/>
              <w:right w:val="single" w:sz="6" w:space="0" w:color="FFFFFF"/>
            </w:tcBorders>
            <w:shd w:val="clear" w:color="auto" w:fill="F8CBAD"/>
            <w:tcMar>
              <w:top w:w="68" w:type="dxa"/>
              <w:left w:w="102" w:type="dxa"/>
              <w:bottom w:w="68" w:type="dxa"/>
              <w:right w:w="102" w:type="dxa"/>
            </w:tcMar>
            <w:hideMark/>
          </w:tcPr>
          <w:p w14:paraId="109F13BB" w14:textId="77777777" w:rsidR="000B4141" w:rsidRPr="00DB36DB" w:rsidRDefault="000B4141" w:rsidP="009D6A9D">
            <w:r>
              <w:rPr>
                <w:b/>
                <w:bCs/>
              </w:rPr>
              <w:t>d</w:t>
            </w:r>
            <w:r w:rsidRPr="00DB36DB">
              <w:rPr>
                <w:b/>
                <w:bCs/>
              </w:rPr>
              <w:t>im</w:t>
            </w:r>
            <w:r>
              <w:rPr>
                <w:b/>
                <w:bCs/>
              </w:rPr>
              <w:t xml:space="preserve"> </w:t>
            </w:r>
            <w:r w:rsidRPr="00DB36DB">
              <w:rPr>
                <w:b/>
                <w:bCs/>
              </w:rPr>
              <w:t>CD45</w:t>
            </w:r>
            <w:r>
              <w:rPr>
                <w:b/>
                <w:bCs/>
              </w:rPr>
              <w:t xml:space="preserve"> </w:t>
            </w:r>
            <w:r w:rsidRPr="00DB36DB">
              <w:rPr>
                <w:b/>
                <w:bCs/>
              </w:rPr>
              <w:t>and</w:t>
            </w:r>
            <w:r>
              <w:rPr>
                <w:b/>
                <w:bCs/>
              </w:rPr>
              <w:t xml:space="preserve"> </w:t>
            </w:r>
            <w:r w:rsidRPr="00DB36DB">
              <w:rPr>
                <w:b/>
                <w:bCs/>
              </w:rPr>
              <w:t>low</w:t>
            </w:r>
            <w:r>
              <w:rPr>
                <w:b/>
                <w:bCs/>
              </w:rPr>
              <w:t xml:space="preserve"> </w:t>
            </w:r>
            <w:r w:rsidRPr="00DB36DB">
              <w:rPr>
                <w:b/>
                <w:bCs/>
              </w:rPr>
              <w:t>side</w:t>
            </w:r>
            <w:r>
              <w:rPr>
                <w:b/>
                <w:bCs/>
              </w:rPr>
              <w:t xml:space="preserve"> </w:t>
            </w:r>
            <w:r w:rsidRPr="00DB36DB">
              <w:rPr>
                <w:b/>
                <w:bCs/>
              </w:rPr>
              <w:t>scatter</w:t>
            </w:r>
            <w:r>
              <w:rPr>
                <w:b/>
                <w:bCs/>
              </w:rPr>
              <w:t xml:space="preserve"> </w:t>
            </w:r>
            <w:r w:rsidRPr="00DB36DB">
              <w:rPr>
                <w:b/>
                <w:bCs/>
              </w:rPr>
              <w:t>on</w:t>
            </w:r>
            <w:r>
              <w:rPr>
                <w:b/>
                <w:bCs/>
              </w:rPr>
              <w:t xml:space="preserve"> </w:t>
            </w:r>
            <w:r w:rsidRPr="00DB36DB">
              <w:rPr>
                <w:b/>
                <w:bCs/>
              </w:rPr>
              <w:t>CD45</w:t>
            </w:r>
            <w:r>
              <w:rPr>
                <w:b/>
                <w:bCs/>
              </w:rPr>
              <w:t xml:space="preserve"> </w:t>
            </w:r>
            <w:r w:rsidRPr="00DB36DB">
              <w:rPr>
                <w:b/>
                <w:bCs/>
              </w:rPr>
              <w:t>vs</w:t>
            </w:r>
            <w:r>
              <w:rPr>
                <w:b/>
                <w:bCs/>
              </w:rPr>
              <w:t xml:space="preserve"> </w:t>
            </w:r>
            <w:r w:rsidRPr="00DB36DB">
              <w:rPr>
                <w:b/>
                <w:bCs/>
              </w:rPr>
              <w:t>SSC</w:t>
            </w:r>
            <w:r>
              <w:rPr>
                <w:b/>
                <w:bCs/>
              </w:rPr>
              <w:t xml:space="preserve"> </w:t>
            </w:r>
            <w:r w:rsidRPr="00DB36DB">
              <w:rPr>
                <w:b/>
                <w:bCs/>
              </w:rPr>
              <w:t>dot</w:t>
            </w:r>
            <w:r>
              <w:rPr>
                <w:b/>
                <w:bCs/>
              </w:rPr>
              <w:t xml:space="preserve"> </w:t>
            </w:r>
            <w:r w:rsidRPr="00DB36DB">
              <w:rPr>
                <w:b/>
                <w:bCs/>
              </w:rPr>
              <w:t>plot.</w:t>
            </w:r>
            <w:r>
              <w:rPr>
                <w:b/>
                <w:bCs/>
              </w:rPr>
              <w:t xml:space="preserve"> </w:t>
            </w:r>
            <w:r w:rsidRPr="00DB36DB">
              <w:rPr>
                <w:b/>
                <w:bCs/>
              </w:rPr>
              <w:t>Positive</w:t>
            </w:r>
            <w:r>
              <w:rPr>
                <w:b/>
                <w:bCs/>
              </w:rPr>
              <w:t xml:space="preserve"> </w:t>
            </w:r>
            <w:r w:rsidRPr="00DB36DB">
              <w:rPr>
                <w:b/>
                <w:bCs/>
              </w:rPr>
              <w:t>for</w:t>
            </w:r>
            <w:r>
              <w:rPr>
                <w:b/>
                <w:bCs/>
              </w:rPr>
              <w:t xml:space="preserve"> </w:t>
            </w:r>
            <w:r w:rsidRPr="00DB36DB">
              <w:rPr>
                <w:b/>
                <w:bCs/>
              </w:rPr>
              <w:t>B</w:t>
            </w:r>
            <w:r>
              <w:rPr>
                <w:b/>
                <w:bCs/>
              </w:rPr>
              <w:t xml:space="preserve"> </w:t>
            </w:r>
            <w:r w:rsidRPr="00DB36DB">
              <w:rPr>
                <w:b/>
                <w:bCs/>
              </w:rPr>
              <w:t>lineage</w:t>
            </w:r>
            <w:r>
              <w:rPr>
                <w:b/>
                <w:bCs/>
              </w:rPr>
              <w:t xml:space="preserve"> </w:t>
            </w:r>
            <w:r w:rsidRPr="00DB36DB">
              <w:rPr>
                <w:b/>
                <w:bCs/>
              </w:rPr>
              <w:t>marker</w:t>
            </w:r>
            <w:r>
              <w:rPr>
                <w:b/>
                <w:bCs/>
              </w:rPr>
              <w:t xml:space="preserve"> CD10, </w:t>
            </w:r>
            <w:r w:rsidRPr="00DB36DB">
              <w:rPr>
                <w:b/>
                <w:bCs/>
              </w:rPr>
              <w:t>CD19,</w:t>
            </w:r>
            <w:r>
              <w:rPr>
                <w:b/>
                <w:bCs/>
              </w:rPr>
              <w:t xml:space="preserve"> </w:t>
            </w:r>
            <w:r w:rsidRPr="00DB36DB">
              <w:rPr>
                <w:b/>
                <w:bCs/>
              </w:rPr>
              <w:t>CD22,</w:t>
            </w:r>
            <w:r>
              <w:rPr>
                <w:b/>
                <w:bCs/>
              </w:rPr>
              <w:t xml:space="preserve"> </w:t>
            </w:r>
            <w:r w:rsidRPr="00DB36DB">
              <w:rPr>
                <w:b/>
                <w:bCs/>
              </w:rPr>
              <w:t>cCD79a</w:t>
            </w:r>
            <w:r>
              <w:rPr>
                <w:b/>
                <w:bCs/>
              </w:rPr>
              <w:t xml:space="preserve">, variable CD20 </w:t>
            </w:r>
            <w:r w:rsidRPr="00DB36DB">
              <w:rPr>
                <w:b/>
                <w:bCs/>
              </w:rPr>
              <w:t>along</w:t>
            </w:r>
            <w:r>
              <w:rPr>
                <w:b/>
                <w:bCs/>
              </w:rPr>
              <w:t xml:space="preserve"> </w:t>
            </w:r>
            <w:r w:rsidRPr="00DB36DB">
              <w:rPr>
                <w:b/>
                <w:bCs/>
              </w:rPr>
              <w:t>with</w:t>
            </w:r>
            <w:r>
              <w:rPr>
                <w:b/>
                <w:bCs/>
              </w:rPr>
              <w:t xml:space="preserve"> CD33 (aberrant</w:t>
            </w:r>
            <w:proofErr w:type="gramStart"/>
            <w:r>
              <w:rPr>
                <w:b/>
                <w:bCs/>
              </w:rPr>
              <w:t>),</w:t>
            </w:r>
            <w:r w:rsidRPr="00DB36DB">
              <w:rPr>
                <w:b/>
                <w:bCs/>
              </w:rPr>
              <w:t>CD</w:t>
            </w:r>
            <w:proofErr w:type="gramEnd"/>
            <w:r w:rsidRPr="00DB36DB">
              <w:rPr>
                <w:b/>
                <w:bCs/>
              </w:rPr>
              <w:t>38,</w:t>
            </w:r>
            <w:r>
              <w:rPr>
                <w:b/>
                <w:bCs/>
              </w:rPr>
              <w:t xml:space="preserve"> </w:t>
            </w:r>
            <w:r w:rsidRPr="00DB36DB">
              <w:rPr>
                <w:b/>
                <w:bCs/>
              </w:rPr>
              <w:t>CD34,</w:t>
            </w:r>
            <w:r>
              <w:rPr>
                <w:b/>
                <w:bCs/>
              </w:rPr>
              <w:t xml:space="preserve"> </w:t>
            </w:r>
            <w:r w:rsidRPr="00DB36DB">
              <w:rPr>
                <w:b/>
                <w:bCs/>
              </w:rPr>
              <w:t>HLADR</w:t>
            </w:r>
            <w:r>
              <w:rPr>
                <w:b/>
                <w:bCs/>
              </w:rPr>
              <w:t xml:space="preserve"> ; and N</w:t>
            </w:r>
            <w:r w:rsidRPr="00DB36DB">
              <w:rPr>
                <w:b/>
                <w:bCs/>
              </w:rPr>
              <w:t>egative</w:t>
            </w:r>
            <w:r>
              <w:rPr>
                <w:b/>
                <w:bCs/>
              </w:rPr>
              <w:t xml:space="preserve"> </w:t>
            </w:r>
            <w:r w:rsidRPr="00DB36DB">
              <w:rPr>
                <w:b/>
                <w:bCs/>
              </w:rPr>
              <w:t>for</w:t>
            </w:r>
            <w:r>
              <w:rPr>
                <w:b/>
                <w:bCs/>
              </w:rPr>
              <w:t xml:space="preserve"> </w:t>
            </w:r>
            <w:r w:rsidRPr="00DB36DB">
              <w:rPr>
                <w:b/>
                <w:bCs/>
              </w:rPr>
              <w:t>T</w:t>
            </w:r>
            <w:r>
              <w:rPr>
                <w:b/>
                <w:bCs/>
              </w:rPr>
              <w:t xml:space="preserve"> </w:t>
            </w:r>
            <w:r w:rsidRPr="00DB36DB">
              <w:rPr>
                <w:b/>
                <w:bCs/>
              </w:rPr>
              <w:t>lineage</w:t>
            </w:r>
            <w:r>
              <w:rPr>
                <w:b/>
                <w:bCs/>
              </w:rPr>
              <w:t xml:space="preserve"> </w:t>
            </w:r>
            <w:r w:rsidRPr="00DB36DB">
              <w:rPr>
                <w:b/>
                <w:bCs/>
              </w:rPr>
              <w:t>and</w:t>
            </w:r>
            <w:r>
              <w:rPr>
                <w:b/>
                <w:bCs/>
              </w:rPr>
              <w:t xml:space="preserve"> </w:t>
            </w:r>
            <w:r w:rsidRPr="00DB36DB">
              <w:rPr>
                <w:b/>
                <w:bCs/>
              </w:rPr>
              <w:t>myeloid</w:t>
            </w:r>
            <w:r>
              <w:rPr>
                <w:b/>
                <w:bCs/>
              </w:rPr>
              <w:t xml:space="preserve"> </w:t>
            </w:r>
            <w:r w:rsidRPr="00DB36DB">
              <w:rPr>
                <w:b/>
                <w:bCs/>
              </w:rPr>
              <w:t>markers.</w:t>
            </w:r>
            <w:r>
              <w:rPr>
                <w:b/>
                <w:bCs/>
              </w:rPr>
              <w:t xml:space="preserve"> </w:t>
            </w:r>
          </w:p>
        </w:tc>
      </w:tr>
      <w:tr w:rsidR="000B4141" w:rsidRPr="00DB36DB" w14:paraId="7416EF58" w14:textId="77777777" w:rsidTr="009D6A9D">
        <w:trPr>
          <w:trHeight w:val="940"/>
        </w:trPr>
        <w:tc>
          <w:tcPr>
            <w:tcW w:w="4711" w:type="dxa"/>
            <w:tcBorders>
              <w:top w:val="single" w:sz="6" w:space="0" w:color="FFFFFF"/>
              <w:left w:val="single" w:sz="6" w:space="0" w:color="FFFFFF"/>
              <w:bottom w:val="single" w:sz="6" w:space="0" w:color="FFFFFF"/>
              <w:right w:val="single" w:sz="6" w:space="0" w:color="FFFFFF"/>
            </w:tcBorders>
            <w:shd w:val="clear" w:color="auto" w:fill="F8CBAD"/>
            <w:tcMar>
              <w:top w:w="68" w:type="dxa"/>
              <w:left w:w="102" w:type="dxa"/>
              <w:bottom w:w="68" w:type="dxa"/>
              <w:right w:w="102" w:type="dxa"/>
            </w:tcMar>
          </w:tcPr>
          <w:p w14:paraId="2E0E7C0B" w14:textId="77777777" w:rsidR="000B4141" w:rsidRPr="00DB36DB" w:rsidRDefault="000B4141" w:rsidP="009D6A9D">
            <w:pPr>
              <w:rPr>
                <w:b/>
                <w:bCs/>
              </w:rPr>
            </w:pPr>
            <w:r>
              <w:rPr>
                <w:b/>
                <w:bCs/>
              </w:rPr>
              <w:t>Post Induction Chemotherapy BMA + MRD</w:t>
            </w:r>
          </w:p>
        </w:tc>
        <w:tc>
          <w:tcPr>
            <w:tcW w:w="4299" w:type="dxa"/>
            <w:tcBorders>
              <w:top w:val="single" w:sz="6" w:space="0" w:color="FFFFFF"/>
              <w:left w:val="single" w:sz="6" w:space="0" w:color="FFFFFF"/>
              <w:bottom w:val="single" w:sz="6" w:space="0" w:color="FFFFFF"/>
              <w:right w:val="single" w:sz="6" w:space="0" w:color="FFFFFF"/>
            </w:tcBorders>
            <w:shd w:val="clear" w:color="auto" w:fill="F8CBAD"/>
            <w:tcMar>
              <w:top w:w="68" w:type="dxa"/>
              <w:left w:w="102" w:type="dxa"/>
              <w:bottom w:w="68" w:type="dxa"/>
              <w:right w:w="102" w:type="dxa"/>
            </w:tcMar>
          </w:tcPr>
          <w:p w14:paraId="7CB98457" w14:textId="77777777" w:rsidR="000B4141" w:rsidRDefault="000B4141" w:rsidP="009D6A9D">
            <w:pPr>
              <w:rPr>
                <w:b/>
                <w:bCs/>
              </w:rPr>
            </w:pPr>
            <w:r>
              <w:rPr>
                <w:b/>
                <w:bCs/>
              </w:rPr>
              <w:t>Morphological remission (2% blasts) and MRD by FCM below detection limit</w:t>
            </w:r>
          </w:p>
        </w:tc>
      </w:tr>
    </w:tbl>
    <w:p w14:paraId="2EE8F8FB" w14:textId="77777777" w:rsidR="000B4141" w:rsidRDefault="000B4141" w:rsidP="000B4141"/>
    <w:p w14:paraId="2B4A0DFF" w14:textId="77777777" w:rsidR="000B4141" w:rsidRPr="00FB3A86" w:rsidRDefault="000B4141" w:rsidP="00441B6F">
      <w:pPr>
        <w:pStyle w:val="Appendix"/>
        <w:spacing w:after="0"/>
        <w:jc w:val="both"/>
        <w:rPr>
          <w:rFonts w:ascii="Arial" w:hAnsi="Arial" w:cs="Arial"/>
          <w:b w:val="0"/>
        </w:rPr>
      </w:pPr>
    </w:p>
    <w:sectPr w:rsidR="000B4141" w:rsidRPr="00FB3A86" w:rsidSect="003664F3">
      <w:headerReference w:type="even" r:id="rId29"/>
      <w:headerReference w:type="default" r:id="rId30"/>
      <w:footerReference w:type="default" r:id="rId31"/>
      <w:headerReference w:type="first" r:id="rId3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EAA980" w14:textId="77777777" w:rsidR="00C36CA0" w:rsidRDefault="00C36CA0" w:rsidP="00C37E61">
      <w:r>
        <w:separator/>
      </w:r>
    </w:p>
  </w:endnote>
  <w:endnote w:type="continuationSeparator" w:id="0">
    <w:p w14:paraId="39A86C00" w14:textId="77777777" w:rsidR="00C36CA0" w:rsidRDefault="00C36CA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96318" w14:textId="77777777" w:rsidR="00BF121F" w:rsidRDefault="00BF12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00A68" w14:textId="0DD5FF94" w:rsidR="00C37E61" w:rsidRPr="005342DD" w:rsidRDefault="00C37E61" w:rsidP="005342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F44A5" w14:textId="77777777" w:rsidR="009E048A" w:rsidRDefault="009E048A">
    <w:pPr>
      <w:pStyle w:val="Footer"/>
      <w:rPr>
        <w:rFonts w:ascii="Arial" w:hAnsi="Arial" w:cs="Arial"/>
        <w:sz w:val="16"/>
      </w:rPr>
    </w:pPr>
  </w:p>
  <w:p w14:paraId="70092157"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950F7AD" w14:textId="77777777" w:rsidR="009E048A" w:rsidRDefault="009E048A">
    <w:pPr>
      <w:pStyle w:val="Footer"/>
      <w:rPr>
        <w:rFonts w:ascii="Arial" w:hAnsi="Arial" w:cs="Arial"/>
        <w:sz w:val="16"/>
      </w:rPr>
    </w:pPr>
  </w:p>
  <w:p w14:paraId="223A5F12"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0369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E75B3A" w14:textId="77777777" w:rsidR="00C36CA0" w:rsidRDefault="00C36CA0" w:rsidP="00C37E61">
      <w:r>
        <w:separator/>
      </w:r>
    </w:p>
  </w:footnote>
  <w:footnote w:type="continuationSeparator" w:id="0">
    <w:p w14:paraId="19410BC6" w14:textId="77777777" w:rsidR="00C36CA0" w:rsidRDefault="00C36CA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2E828" w14:textId="23D0E0F1" w:rsidR="00BF121F" w:rsidRDefault="003664F3">
    <w:pPr>
      <w:pStyle w:val="Header"/>
    </w:pPr>
    <w:r>
      <w:rPr>
        <w:noProof/>
      </w:rPr>
      <w:pict w14:anchorId="15E240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000735"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E771F" w14:textId="67773A56" w:rsidR="00BF121F" w:rsidRDefault="003664F3">
    <w:pPr>
      <w:pStyle w:val="Header"/>
    </w:pPr>
    <w:r>
      <w:rPr>
        <w:noProof/>
      </w:rPr>
      <w:pict w14:anchorId="47B435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000736"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D0231" w14:textId="25A766DD" w:rsidR="00296529" w:rsidRPr="00296529" w:rsidRDefault="003664F3" w:rsidP="00296529">
    <w:pPr>
      <w:ind w:left="2160"/>
      <w:jc w:val="center"/>
      <w:rPr>
        <w:rFonts w:ascii="Times New Roman" w:eastAsia="Calibri" w:hAnsi="Times New Roman"/>
        <w:i/>
        <w:sz w:val="18"/>
        <w:szCs w:val="22"/>
      </w:rPr>
    </w:pPr>
    <w:r>
      <w:rPr>
        <w:noProof/>
      </w:rPr>
      <w:pict w14:anchorId="52C333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000734"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20A0EE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6EBA75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97F772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A0A854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0A8EA6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B34A4C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7DB1E" w14:textId="715EA1B7" w:rsidR="003664F3" w:rsidRDefault="003664F3">
    <w:pPr>
      <w:pStyle w:val="Header"/>
    </w:pPr>
    <w:r>
      <w:rPr>
        <w:noProof/>
      </w:rPr>
      <w:pict w14:anchorId="13C46B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000738"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485CE" w14:textId="177C05AB" w:rsidR="003664F3" w:rsidRDefault="003664F3">
    <w:pPr>
      <w:pStyle w:val="Header"/>
    </w:pPr>
    <w:r>
      <w:rPr>
        <w:noProof/>
      </w:rPr>
      <w:pict w14:anchorId="2D7C60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000739"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701F3" w14:textId="0E711E43" w:rsidR="003664F3" w:rsidRDefault="003664F3">
    <w:pPr>
      <w:pStyle w:val="Header"/>
    </w:pPr>
    <w:r>
      <w:rPr>
        <w:noProof/>
      </w:rPr>
      <w:pict w14:anchorId="76F0C9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000737"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A7106E"/>
    <w:multiLevelType w:val="hybridMultilevel"/>
    <w:tmpl w:val="05865C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0F93"/>
    <w:rsid w:val="00030174"/>
    <w:rsid w:val="0004579C"/>
    <w:rsid w:val="00080F72"/>
    <w:rsid w:val="000A47FA"/>
    <w:rsid w:val="000A65D3"/>
    <w:rsid w:val="000B1E33"/>
    <w:rsid w:val="000B4141"/>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664F3"/>
    <w:rsid w:val="00371FB6"/>
    <w:rsid w:val="003763C1"/>
    <w:rsid w:val="00376BBE"/>
    <w:rsid w:val="003913F8"/>
    <w:rsid w:val="0039224F"/>
    <w:rsid w:val="003A43A4"/>
    <w:rsid w:val="003A74EF"/>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342DD"/>
    <w:rsid w:val="00554FDA"/>
    <w:rsid w:val="005A7085"/>
    <w:rsid w:val="005C784C"/>
    <w:rsid w:val="005D17F6"/>
    <w:rsid w:val="005E5539"/>
    <w:rsid w:val="00602BF5"/>
    <w:rsid w:val="00617FDD"/>
    <w:rsid w:val="00633614"/>
    <w:rsid w:val="00633F68"/>
    <w:rsid w:val="00636EB2"/>
    <w:rsid w:val="006375B8"/>
    <w:rsid w:val="006526F0"/>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E18A1"/>
    <w:rsid w:val="007F7B32"/>
    <w:rsid w:val="00804BC2"/>
    <w:rsid w:val="0081431A"/>
    <w:rsid w:val="0083216F"/>
    <w:rsid w:val="00860000"/>
    <w:rsid w:val="00863BD3"/>
    <w:rsid w:val="008641ED"/>
    <w:rsid w:val="00866D66"/>
    <w:rsid w:val="008671C6"/>
    <w:rsid w:val="00875803"/>
    <w:rsid w:val="008B459E"/>
    <w:rsid w:val="008D235A"/>
    <w:rsid w:val="008E13AE"/>
    <w:rsid w:val="008E1506"/>
    <w:rsid w:val="008E710C"/>
    <w:rsid w:val="008F69D6"/>
    <w:rsid w:val="00902823"/>
    <w:rsid w:val="00915CA6"/>
    <w:rsid w:val="0092508B"/>
    <w:rsid w:val="00927834"/>
    <w:rsid w:val="009500A6"/>
    <w:rsid w:val="00957C18"/>
    <w:rsid w:val="00962274"/>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83B8A"/>
    <w:rsid w:val="00B95236"/>
    <w:rsid w:val="00B96BD9"/>
    <w:rsid w:val="00BA1B01"/>
    <w:rsid w:val="00BA2641"/>
    <w:rsid w:val="00BB37AA"/>
    <w:rsid w:val="00BC53A0"/>
    <w:rsid w:val="00BE62AD"/>
    <w:rsid w:val="00BF121F"/>
    <w:rsid w:val="00BF1F80"/>
    <w:rsid w:val="00C166EF"/>
    <w:rsid w:val="00C17EB0"/>
    <w:rsid w:val="00C27F5F"/>
    <w:rsid w:val="00C30A0F"/>
    <w:rsid w:val="00C36CA0"/>
    <w:rsid w:val="00C37E61"/>
    <w:rsid w:val="00C70F1B"/>
    <w:rsid w:val="00C71A47"/>
    <w:rsid w:val="00C7464C"/>
    <w:rsid w:val="00C85588"/>
    <w:rsid w:val="00CD30B3"/>
    <w:rsid w:val="00CD6755"/>
    <w:rsid w:val="00CD6856"/>
    <w:rsid w:val="00CE0089"/>
    <w:rsid w:val="00CE793C"/>
    <w:rsid w:val="00CF193C"/>
    <w:rsid w:val="00D173F1"/>
    <w:rsid w:val="00D74CB0"/>
    <w:rsid w:val="00D8295D"/>
    <w:rsid w:val="00DC2A65"/>
    <w:rsid w:val="00DE15F0"/>
    <w:rsid w:val="00DE3536"/>
    <w:rsid w:val="00DE5663"/>
    <w:rsid w:val="00DE78AA"/>
    <w:rsid w:val="00E053D0"/>
    <w:rsid w:val="00E15994"/>
    <w:rsid w:val="00E3114E"/>
    <w:rsid w:val="00E31A70"/>
    <w:rsid w:val="00E35B02"/>
    <w:rsid w:val="00E65E80"/>
    <w:rsid w:val="00E66496"/>
    <w:rsid w:val="00E66B35"/>
    <w:rsid w:val="00E66E10"/>
    <w:rsid w:val="00E769F6"/>
    <w:rsid w:val="00E8407C"/>
    <w:rsid w:val="00E84F3C"/>
    <w:rsid w:val="00EA012C"/>
    <w:rsid w:val="00EC4C1C"/>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0DE5EB1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E65E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016/j.jped.2018.07.013" TargetMode="External"/><Relationship Id="rId26" Type="http://schemas.openxmlformats.org/officeDocument/2006/relationships/hyperlink" Target="https://doi.org/10.22037/ijcn.v7i3.4958" TargetMode="External"/><Relationship Id="rId3" Type="http://schemas.openxmlformats.org/officeDocument/2006/relationships/styles" Target="styles.xml"/><Relationship Id="rId21" Type="http://schemas.openxmlformats.org/officeDocument/2006/relationships/hyperlink" Target="https://doi.org/10.1016/s0887-8994(01)00258-2"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007/s11684-020-0759-8" TargetMode="External"/><Relationship Id="rId25" Type="http://schemas.openxmlformats.org/officeDocument/2006/relationships/hyperlink" Target="https://doi.org/10.1136/jnnp.2003.034447"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182/blood.2023023568" TargetMode="External"/><Relationship Id="rId20" Type="http://schemas.openxmlformats.org/officeDocument/2006/relationships/hyperlink" Target="https://doi.org/10.1001/archneurol.2010.20"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4065/mcp.2010.0099" TargetMode="Externa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www.cancer.gov/types/leukemia/hp/child-all-treatment-pdq" TargetMode="External"/><Relationship Id="rId23" Type="http://schemas.openxmlformats.org/officeDocument/2006/relationships/hyperlink" Target="https://doi.org/10.1007/s00247-019-04371-y" TargetMode="External"/><Relationship Id="rId28"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yperlink" Target="https://doi.org/10.4172/2329-8790.C1.002"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i.org/10.6004/jnccn.2020.0001" TargetMode="External"/><Relationship Id="rId22" Type="http://schemas.openxmlformats.org/officeDocument/2006/relationships/hyperlink" Target="https://doi.org/10.1136/bcr-2020-235754" TargetMode="External"/><Relationship Id="rId27" Type="http://schemas.openxmlformats.org/officeDocument/2006/relationships/image" Target="media/image1.png"/><Relationship Id="rId30" Type="http://schemas.openxmlformats.org/officeDocument/2006/relationships/header" Target="header5.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001C6-28CC-47B3-A225-CDD8FBC7A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40</TotalTime>
  <Pages>5</Pages>
  <Words>1881</Words>
  <Characters>10725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12581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15</cp:revision>
  <cp:lastPrinted>1999-07-06T11:00:00Z</cp:lastPrinted>
  <dcterms:created xsi:type="dcterms:W3CDTF">2014-10-25T14:34:00Z</dcterms:created>
  <dcterms:modified xsi:type="dcterms:W3CDTF">2025-12-05T07:30:00Z</dcterms:modified>
</cp:coreProperties>
</file>