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CA77B" w14:textId="649D626B" w:rsidR="00CB1DD0" w:rsidRDefault="00CB1DD0" w:rsidP="00BB1926">
      <w:pPr>
        <w:pStyle w:val="NoSpacing"/>
        <w:jc w:val="center"/>
        <w:rPr>
          <w:rFonts w:ascii="Times New Roman" w:hAnsi="Times New Roman" w:cs="Times New Roman"/>
          <w:b/>
          <w:sz w:val="28"/>
          <w:szCs w:val="28"/>
        </w:rPr>
      </w:pPr>
      <w:r w:rsidRPr="00CB1DD0">
        <w:rPr>
          <w:rFonts w:ascii="Times New Roman" w:hAnsi="Times New Roman" w:cs="Times New Roman"/>
          <w:b/>
          <w:bCs/>
          <w:i/>
          <w:iCs/>
          <w:sz w:val="28"/>
          <w:szCs w:val="28"/>
          <w:u w:val="single"/>
        </w:rPr>
        <w:t>Original Research Article</w:t>
      </w:r>
    </w:p>
    <w:p w14:paraId="1FD3941B" w14:textId="7500BE2C" w:rsidR="00BB1926" w:rsidRDefault="00BB1926" w:rsidP="00BB1926">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THE EFFECT OF </w:t>
      </w:r>
      <w:r>
        <w:rPr>
          <w:rFonts w:ascii="Times New Roman" w:hAnsi="Times New Roman" w:cs="Times New Roman"/>
          <w:b/>
          <w:i/>
          <w:sz w:val="28"/>
          <w:szCs w:val="28"/>
        </w:rPr>
        <w:t>PLEUROTUS TUBERREGIUM</w:t>
      </w:r>
      <w:r>
        <w:rPr>
          <w:rFonts w:ascii="Times New Roman" w:hAnsi="Times New Roman" w:cs="Times New Roman"/>
          <w:b/>
          <w:sz w:val="28"/>
          <w:szCs w:val="28"/>
        </w:rPr>
        <w:t xml:space="preserve"> (AN OYSTER MUSHROOM) SCLEROTIA ON THE WEIGHT, PROTEIN CONTENT AND LIPID PROFILE OF BROILER CHICKENS</w:t>
      </w:r>
    </w:p>
    <w:p w14:paraId="12E5872F" w14:textId="77777777" w:rsidR="00BB1926" w:rsidRDefault="00BB1926" w:rsidP="00BB1926">
      <w:pPr>
        <w:pStyle w:val="NoSpacing"/>
        <w:rPr>
          <w:rFonts w:ascii="Times New Roman" w:hAnsi="Times New Roman" w:cs="Times New Roman"/>
          <w:b/>
          <w:sz w:val="24"/>
          <w:szCs w:val="24"/>
        </w:rPr>
      </w:pPr>
    </w:p>
    <w:p w14:paraId="600C3268" w14:textId="77777777" w:rsidR="00BB1926" w:rsidRPr="00E010BD" w:rsidRDefault="00BB1926" w:rsidP="00BB1926">
      <w:pPr>
        <w:pStyle w:val="NormalWeb"/>
        <w:spacing w:line="360" w:lineRule="auto"/>
        <w:jc w:val="both"/>
        <w:rPr>
          <w:rFonts w:ascii="Arial" w:hAnsi="Arial" w:cs="Arial"/>
          <w:b/>
          <w:color w:val="1F1F1F"/>
          <w:sz w:val="22"/>
          <w:szCs w:val="22"/>
        </w:rPr>
      </w:pPr>
      <w:r w:rsidRPr="00E010BD">
        <w:rPr>
          <w:rFonts w:ascii="Arial" w:hAnsi="Arial" w:cs="Arial"/>
          <w:b/>
          <w:sz w:val="22"/>
          <w:szCs w:val="22"/>
        </w:rPr>
        <w:t>ABSTRACT</w:t>
      </w:r>
    </w:p>
    <w:p w14:paraId="4EF69965" w14:textId="77777777" w:rsidR="004213B2"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Introduction:</w:t>
      </w:r>
      <w:r w:rsidRPr="000A617D">
        <w:rPr>
          <w:rFonts w:ascii="Arial" w:eastAsia="Times New Roman" w:hAnsi="Arial" w:cs="Arial"/>
          <w:color w:val="1F1F1F"/>
          <w:sz w:val="20"/>
          <w:szCs w:val="20"/>
        </w:rPr>
        <w:t xml:space="preserve"> </w:t>
      </w:r>
      <w:r w:rsidR="00BB1926" w:rsidRPr="000A617D">
        <w:rPr>
          <w:rFonts w:ascii="Arial" w:eastAsia="Times New Roman" w:hAnsi="Arial" w:cs="Arial"/>
          <w:color w:val="1F1F1F"/>
          <w:sz w:val="20"/>
          <w:szCs w:val="20"/>
        </w:rPr>
        <w:t xml:space="preserve">Edible mushrooms have become increasingly attractive as functional foods for their potential beneficial effects on human and animal health. This study aims to investigate the effect of sclerotia of </w:t>
      </w:r>
      <w:proofErr w:type="spellStart"/>
      <w:r w:rsidR="00BB1926" w:rsidRPr="000A617D">
        <w:rPr>
          <w:rFonts w:ascii="Arial" w:eastAsia="Times New Roman" w:hAnsi="Arial" w:cs="Arial"/>
          <w:i/>
          <w:color w:val="1F1F1F"/>
          <w:sz w:val="20"/>
          <w:szCs w:val="20"/>
        </w:rPr>
        <w:t>Pleurotus</w:t>
      </w:r>
      <w:proofErr w:type="spellEnd"/>
      <w:r w:rsidR="00BB1926" w:rsidRPr="000A617D">
        <w:rPr>
          <w:rFonts w:ascii="Arial" w:eastAsia="Times New Roman" w:hAnsi="Arial" w:cs="Arial"/>
          <w:i/>
          <w:color w:val="1F1F1F"/>
          <w:sz w:val="20"/>
          <w:szCs w:val="20"/>
        </w:rPr>
        <w:t xml:space="preserve"> </w:t>
      </w:r>
      <w:proofErr w:type="spellStart"/>
      <w:r w:rsidR="00BB1926" w:rsidRPr="000A617D">
        <w:rPr>
          <w:rFonts w:ascii="Arial" w:eastAsia="Times New Roman" w:hAnsi="Arial" w:cs="Arial"/>
          <w:i/>
          <w:color w:val="1F1F1F"/>
          <w:sz w:val="20"/>
          <w:szCs w:val="20"/>
        </w:rPr>
        <w:t>tuberregium</w:t>
      </w:r>
      <w:proofErr w:type="spellEnd"/>
      <w:r w:rsidR="00BB1926" w:rsidRPr="000A617D">
        <w:rPr>
          <w:rFonts w:ascii="Arial" w:eastAsia="Times New Roman" w:hAnsi="Arial" w:cs="Arial"/>
          <w:color w:val="1F1F1F"/>
          <w:sz w:val="20"/>
          <w:szCs w:val="20"/>
        </w:rPr>
        <w:t xml:space="preserve"> on </w:t>
      </w:r>
      <w:r w:rsidRPr="000A617D">
        <w:rPr>
          <w:rFonts w:ascii="Arial" w:eastAsia="Times New Roman" w:hAnsi="Arial" w:cs="Arial"/>
          <w:color w:val="1F1F1F"/>
          <w:sz w:val="20"/>
          <w:szCs w:val="20"/>
        </w:rPr>
        <w:t xml:space="preserve">weight, protein and lipid profile of </w:t>
      </w:r>
      <w:r w:rsidR="00BB1926" w:rsidRPr="000A617D">
        <w:rPr>
          <w:rFonts w:ascii="Arial" w:eastAsia="Times New Roman" w:hAnsi="Arial" w:cs="Arial"/>
          <w:color w:val="1F1F1F"/>
          <w:sz w:val="20"/>
          <w:szCs w:val="20"/>
        </w:rPr>
        <w:t xml:space="preserve">broiler chickens.  </w:t>
      </w:r>
    </w:p>
    <w:p w14:paraId="65679AD2" w14:textId="77777777" w:rsidR="004213B2" w:rsidRPr="000A617D" w:rsidRDefault="004213B2" w:rsidP="00BB1926">
      <w:pPr>
        <w:jc w:val="both"/>
        <w:rPr>
          <w:rFonts w:ascii="Arial" w:eastAsia="Times New Roman" w:hAnsi="Arial" w:cs="Arial"/>
          <w:color w:val="1F1F1F"/>
          <w:sz w:val="20"/>
          <w:szCs w:val="20"/>
        </w:rPr>
      </w:pPr>
      <w:proofErr w:type="spellStart"/>
      <w:proofErr w:type="gramStart"/>
      <w:r w:rsidRPr="000A617D">
        <w:rPr>
          <w:rFonts w:ascii="Arial" w:eastAsia="Times New Roman" w:hAnsi="Arial" w:cs="Arial"/>
          <w:b/>
          <w:color w:val="1F1F1F"/>
          <w:sz w:val="20"/>
          <w:szCs w:val="20"/>
        </w:rPr>
        <w:t>Methods:</w:t>
      </w:r>
      <w:r w:rsidR="00BB1926" w:rsidRPr="000A617D">
        <w:rPr>
          <w:rFonts w:ascii="Arial" w:eastAsia="Times New Roman" w:hAnsi="Arial" w:cs="Arial"/>
          <w:color w:val="1F1F1F"/>
          <w:sz w:val="20"/>
          <w:szCs w:val="20"/>
        </w:rPr>
        <w:t>Thirty</w:t>
      </w:r>
      <w:proofErr w:type="spellEnd"/>
      <w:proofErr w:type="gramEnd"/>
      <w:r w:rsidR="00BB1926" w:rsidRPr="000A617D">
        <w:rPr>
          <w:rFonts w:ascii="Arial" w:eastAsia="Times New Roman" w:hAnsi="Arial" w:cs="Arial"/>
          <w:color w:val="1F1F1F"/>
          <w:sz w:val="20"/>
          <w:szCs w:val="20"/>
        </w:rPr>
        <w:t xml:space="preserve"> broiler chickens were randomized and fed with feed containing different percentages of sclerotia of </w:t>
      </w:r>
      <w:proofErr w:type="spellStart"/>
      <w:r w:rsidR="00BB1926" w:rsidRPr="000A617D">
        <w:rPr>
          <w:rFonts w:ascii="Arial" w:eastAsia="Times New Roman" w:hAnsi="Arial" w:cs="Arial"/>
          <w:i/>
          <w:color w:val="1F1F1F"/>
          <w:sz w:val="20"/>
          <w:szCs w:val="20"/>
        </w:rPr>
        <w:t>Pleurotus</w:t>
      </w:r>
      <w:proofErr w:type="spellEnd"/>
      <w:r w:rsidR="00BB1926" w:rsidRPr="000A617D">
        <w:rPr>
          <w:rFonts w:ascii="Arial" w:eastAsia="Times New Roman" w:hAnsi="Arial" w:cs="Arial"/>
          <w:i/>
          <w:color w:val="1F1F1F"/>
          <w:sz w:val="20"/>
          <w:szCs w:val="20"/>
        </w:rPr>
        <w:t xml:space="preserve"> </w:t>
      </w:r>
      <w:proofErr w:type="spellStart"/>
      <w:r w:rsidR="00BB1926" w:rsidRPr="000A617D">
        <w:rPr>
          <w:rFonts w:ascii="Arial" w:eastAsia="Times New Roman" w:hAnsi="Arial" w:cs="Arial"/>
          <w:i/>
          <w:color w:val="1F1F1F"/>
          <w:sz w:val="20"/>
          <w:szCs w:val="20"/>
        </w:rPr>
        <w:t>tuberregium</w:t>
      </w:r>
      <w:proofErr w:type="spellEnd"/>
      <w:r w:rsidR="00BB1926" w:rsidRPr="000A617D">
        <w:rPr>
          <w:rFonts w:ascii="Arial" w:eastAsia="Times New Roman" w:hAnsi="Arial" w:cs="Arial"/>
          <w:color w:val="1F1F1F"/>
          <w:sz w:val="20"/>
          <w:szCs w:val="20"/>
        </w:rPr>
        <w:t xml:space="preserve"> for 8 weeks. The weight, Protein, and Standardized blood lipid profile were measured after the 8 weeks of feeding. </w:t>
      </w:r>
    </w:p>
    <w:p w14:paraId="52AB500A" w14:textId="77777777" w:rsidR="004213B2"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Results</w:t>
      </w:r>
      <w:r w:rsidRPr="000A617D">
        <w:rPr>
          <w:rFonts w:ascii="Arial" w:eastAsia="Times New Roman" w:hAnsi="Arial" w:cs="Arial"/>
          <w:color w:val="1F1F1F"/>
          <w:sz w:val="20"/>
          <w:szCs w:val="20"/>
        </w:rPr>
        <w:t xml:space="preserve">: </w:t>
      </w:r>
      <w:r w:rsidR="00BB1926" w:rsidRPr="000A617D">
        <w:rPr>
          <w:rFonts w:ascii="Arial" w:eastAsia="Times New Roman" w:hAnsi="Arial" w:cs="Arial"/>
          <w:color w:val="1F1F1F"/>
          <w:sz w:val="20"/>
          <w:szCs w:val="20"/>
        </w:rPr>
        <w:t>The final body weight decreased progressively with increasing percentage of sclerotia from 0% to 25%. Chickens in the 0% group had the highest weight, while th</w:t>
      </w:r>
      <w:bookmarkStart w:id="0" w:name="_GoBack"/>
      <w:bookmarkEnd w:id="0"/>
      <w:r w:rsidR="00BB1926" w:rsidRPr="000A617D">
        <w:rPr>
          <w:rFonts w:ascii="Arial" w:eastAsia="Times New Roman" w:hAnsi="Arial" w:cs="Arial"/>
          <w:color w:val="1F1F1F"/>
          <w:sz w:val="20"/>
          <w:szCs w:val="20"/>
        </w:rPr>
        <w:t xml:space="preserve">ose in the 25% group had the lowest weight. There was </w:t>
      </w:r>
      <w:r w:rsidR="00BB1926" w:rsidRPr="000A617D">
        <w:rPr>
          <w:rFonts w:ascii="Arial" w:hAnsi="Arial" w:cs="Arial"/>
          <w:sz w:val="20"/>
          <w:szCs w:val="20"/>
        </w:rPr>
        <w:t>a clear decline in mean protein content with increasing feed level supplementation.</w:t>
      </w:r>
      <w:r w:rsidR="00BB1926" w:rsidRPr="000A617D">
        <w:rPr>
          <w:rFonts w:ascii="Arial" w:eastAsia="Times New Roman" w:hAnsi="Arial" w:cs="Arial"/>
          <w:color w:val="1F1F1F"/>
          <w:sz w:val="20"/>
          <w:szCs w:val="20"/>
        </w:rPr>
        <w:t xml:space="preserve"> The highest cholesterol was observed in the 15% group, and the lowest was in the 25% group. The triglyceride level among the treatment groups is statistically significant (p &gt; 0.05). The differences in HDL levels between groups are highly significant (p &lt; 0.01), indicating a strong treatment effect of the sclerotia on HDL. There is no significant difference in LDL levels between the treatment groups (p &gt; 0.05). This indicated that the lowering effect of the sclerotia on the LDL is not dose-dependent. There is a significant difference in VLDL levels across the treatment groups (p &lt; 0.05), suggesting a treatment effect of the sclerotia on the VLDL. </w:t>
      </w:r>
    </w:p>
    <w:p w14:paraId="112A831A" w14:textId="77777777" w:rsidR="00BB1926"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Conclusion:</w:t>
      </w:r>
      <w:r w:rsidRPr="000A617D">
        <w:rPr>
          <w:rFonts w:ascii="Arial" w:eastAsia="Times New Roman" w:hAnsi="Arial" w:cs="Arial"/>
          <w:color w:val="1F1F1F"/>
          <w:sz w:val="20"/>
          <w:szCs w:val="20"/>
        </w:rPr>
        <w:t xml:space="preserve"> </w:t>
      </w:r>
      <w:r w:rsidR="00BB1926" w:rsidRPr="000A617D">
        <w:rPr>
          <w:rFonts w:ascii="Arial" w:eastAsia="Times New Roman" w:hAnsi="Arial" w:cs="Arial"/>
          <w:color w:val="1F1F1F"/>
          <w:sz w:val="20"/>
          <w:szCs w:val="20"/>
        </w:rPr>
        <w:t xml:space="preserve">This study showed that sclerotia of </w:t>
      </w:r>
      <w:proofErr w:type="spellStart"/>
      <w:r w:rsidR="00BB1926" w:rsidRPr="000A617D">
        <w:rPr>
          <w:rFonts w:ascii="Arial" w:eastAsia="Times New Roman" w:hAnsi="Arial" w:cs="Arial"/>
          <w:i/>
          <w:color w:val="1F1F1F"/>
          <w:sz w:val="20"/>
          <w:szCs w:val="20"/>
        </w:rPr>
        <w:t>Pleurotus</w:t>
      </w:r>
      <w:proofErr w:type="spellEnd"/>
      <w:r w:rsidR="00BB1926" w:rsidRPr="000A617D">
        <w:rPr>
          <w:rFonts w:ascii="Arial" w:eastAsia="Times New Roman" w:hAnsi="Arial" w:cs="Arial"/>
          <w:i/>
          <w:color w:val="1F1F1F"/>
          <w:sz w:val="20"/>
          <w:szCs w:val="20"/>
        </w:rPr>
        <w:t xml:space="preserve"> </w:t>
      </w:r>
      <w:proofErr w:type="spellStart"/>
      <w:r w:rsidR="00BB1926" w:rsidRPr="000A617D">
        <w:rPr>
          <w:rFonts w:ascii="Arial" w:eastAsia="Times New Roman" w:hAnsi="Arial" w:cs="Arial"/>
          <w:i/>
          <w:color w:val="1F1F1F"/>
          <w:sz w:val="20"/>
          <w:szCs w:val="20"/>
        </w:rPr>
        <w:t>tuberregium</w:t>
      </w:r>
      <w:proofErr w:type="spellEnd"/>
      <w:r w:rsidR="00BB1926" w:rsidRPr="000A617D">
        <w:rPr>
          <w:rFonts w:ascii="Arial" w:eastAsia="Times New Roman" w:hAnsi="Arial" w:cs="Arial"/>
          <w:color w:val="1F1F1F"/>
          <w:sz w:val="20"/>
          <w:szCs w:val="20"/>
        </w:rPr>
        <w:t xml:space="preserve"> affect the growth performance, protein content, and cholesterol of broiler chickens. </w:t>
      </w:r>
    </w:p>
    <w:p w14:paraId="26F42C67" w14:textId="77777777" w:rsidR="00BB1926" w:rsidRPr="000A617D" w:rsidRDefault="00BB1926" w:rsidP="004213B2">
      <w:pPr>
        <w:jc w:val="both"/>
        <w:rPr>
          <w:rFonts w:ascii="Arial" w:hAnsi="Arial" w:cs="Arial"/>
          <w:sz w:val="20"/>
          <w:szCs w:val="20"/>
        </w:rPr>
      </w:pPr>
      <w:r w:rsidRPr="000A617D">
        <w:rPr>
          <w:rFonts w:ascii="Arial" w:eastAsia="Times New Roman" w:hAnsi="Arial" w:cs="Arial"/>
          <w:b/>
          <w:color w:val="1F1F1F"/>
          <w:sz w:val="20"/>
          <w:szCs w:val="20"/>
        </w:rPr>
        <w:t>Keywords</w:t>
      </w:r>
      <w:r w:rsidRPr="000A617D">
        <w:rPr>
          <w:rFonts w:ascii="Arial" w:eastAsia="Times New Roman" w:hAnsi="Arial" w:cs="Arial"/>
          <w:color w:val="1F1F1F"/>
          <w:sz w:val="20"/>
          <w:szCs w:val="20"/>
        </w:rPr>
        <w:t>: Diet, Sclerotia, Cholesterol, Broilers</w:t>
      </w:r>
    </w:p>
    <w:p w14:paraId="0058287D" w14:textId="77777777" w:rsidR="004213B2" w:rsidRPr="000A617D" w:rsidRDefault="004213B2" w:rsidP="004213B2">
      <w:pPr>
        <w:jc w:val="both"/>
        <w:rPr>
          <w:rFonts w:ascii="Arial" w:hAnsi="Arial" w:cs="Arial"/>
          <w:sz w:val="20"/>
          <w:szCs w:val="20"/>
        </w:rPr>
      </w:pPr>
    </w:p>
    <w:p w14:paraId="5115F84F" w14:textId="77777777" w:rsidR="004213B2" w:rsidRDefault="004213B2" w:rsidP="004213B2">
      <w:pPr>
        <w:jc w:val="both"/>
        <w:rPr>
          <w:rFonts w:ascii="Times New Roman" w:hAnsi="Times New Roman" w:cs="Times New Roman"/>
          <w:sz w:val="24"/>
          <w:szCs w:val="24"/>
        </w:rPr>
      </w:pPr>
    </w:p>
    <w:p w14:paraId="52E3D1AE" w14:textId="77777777" w:rsidR="000A617D" w:rsidRDefault="000A617D" w:rsidP="004213B2">
      <w:pPr>
        <w:jc w:val="both"/>
        <w:rPr>
          <w:rFonts w:ascii="Times New Roman" w:hAnsi="Times New Roman" w:cs="Times New Roman"/>
          <w:sz w:val="24"/>
          <w:szCs w:val="24"/>
        </w:rPr>
      </w:pPr>
    </w:p>
    <w:p w14:paraId="08EFE66B" w14:textId="77777777" w:rsidR="000A617D" w:rsidRPr="004213B2" w:rsidRDefault="000A617D" w:rsidP="004213B2">
      <w:pPr>
        <w:jc w:val="both"/>
        <w:rPr>
          <w:rFonts w:ascii="Times New Roman" w:hAnsi="Times New Roman" w:cs="Times New Roman"/>
          <w:sz w:val="24"/>
          <w:szCs w:val="24"/>
        </w:rPr>
      </w:pPr>
    </w:p>
    <w:p w14:paraId="7667410D" w14:textId="77777777" w:rsidR="00BB1926" w:rsidRPr="000A617D" w:rsidRDefault="00BB1926" w:rsidP="000A617D">
      <w:pPr>
        <w:pStyle w:val="ListParagraph"/>
        <w:numPr>
          <w:ilvl w:val="0"/>
          <w:numId w:val="1"/>
        </w:numPr>
        <w:shd w:val="clear" w:color="auto" w:fill="FFFFFF"/>
        <w:spacing w:before="100" w:beforeAutospacing="1" w:after="100" w:afterAutospacing="1" w:line="240" w:lineRule="auto"/>
        <w:jc w:val="both"/>
        <w:textAlignment w:val="baseline"/>
        <w:rPr>
          <w:rFonts w:ascii="Arial" w:hAnsi="Arial" w:cs="Arial"/>
          <w:b/>
          <w:bCs/>
          <w:sz w:val="20"/>
          <w:szCs w:val="20"/>
        </w:rPr>
      </w:pPr>
      <w:r w:rsidRPr="000A617D">
        <w:rPr>
          <w:rFonts w:ascii="Arial" w:hAnsi="Arial" w:cs="Arial"/>
          <w:b/>
          <w:bCs/>
          <w:sz w:val="20"/>
          <w:szCs w:val="20"/>
        </w:rPr>
        <w:t>INTRODUCTION</w:t>
      </w:r>
    </w:p>
    <w:p w14:paraId="72379A0A" w14:textId="77777777" w:rsidR="00BB1926" w:rsidRPr="000A617D" w:rsidRDefault="00BB1926" w:rsidP="00BB1926">
      <w:pPr>
        <w:shd w:val="clear" w:color="auto" w:fill="FFFFFF"/>
        <w:spacing w:before="100" w:beforeAutospacing="1" w:after="100" w:afterAutospacing="1" w:line="360" w:lineRule="auto"/>
        <w:jc w:val="both"/>
        <w:textAlignment w:val="baseline"/>
        <w:rPr>
          <w:rFonts w:ascii="Arial" w:eastAsia="Times New Roman" w:hAnsi="Arial" w:cs="Arial"/>
          <w:color w:val="212121"/>
          <w:sz w:val="20"/>
          <w:szCs w:val="20"/>
        </w:rPr>
      </w:pPr>
      <w:r w:rsidRPr="000A617D">
        <w:rPr>
          <w:rFonts w:ascii="Arial" w:hAnsi="Arial" w:cs="Arial"/>
          <w:sz w:val="20"/>
          <w:szCs w:val="20"/>
        </w:rPr>
        <w:t xml:space="preserve">Mushrooms are the earliest form of fungi known to mankind. Their use in the diet in recent times is increasingly being recognized because of their significant roles in human health, nutrition, and the management of diseases. It has been reported that </w:t>
      </w:r>
      <w:hyperlink r:id="rId7" w:tooltip="Learn more about Edible mushrooms from ScienceDirect's AI-generated Topic Pages" w:history="1">
        <w:r w:rsidRPr="000A617D">
          <w:rPr>
            <w:rStyle w:val="Hyperlink"/>
            <w:rFonts w:ascii="Arial" w:eastAsia="Times New Roman" w:hAnsi="Arial" w:cs="Arial"/>
            <w:color w:val="1F1F1F"/>
            <w:sz w:val="20"/>
            <w:szCs w:val="20"/>
            <w:u w:val="none"/>
          </w:rPr>
          <w:t>edible mushrooms</w:t>
        </w:r>
      </w:hyperlink>
      <w:r w:rsidRPr="000A617D">
        <w:rPr>
          <w:rFonts w:ascii="Arial" w:eastAsia="Times New Roman" w:hAnsi="Arial" w:cs="Arial"/>
          <w:color w:val="1F1F1F"/>
          <w:sz w:val="20"/>
          <w:szCs w:val="20"/>
        </w:rPr>
        <w:t xml:space="preserve"> are a valuable source of nutrients and bioactive compounds, and they have a growing appeal for humans due to their </w:t>
      </w:r>
      <w:proofErr w:type="spellStart"/>
      <w:r w:rsidRPr="000A617D">
        <w:rPr>
          <w:rFonts w:ascii="Arial" w:eastAsia="Times New Roman" w:hAnsi="Arial" w:cs="Arial"/>
          <w:color w:val="1F1F1F"/>
          <w:sz w:val="20"/>
          <w:szCs w:val="20"/>
        </w:rPr>
        <w:t>flavours</w:t>
      </w:r>
      <w:proofErr w:type="spellEnd"/>
      <w:r w:rsidRPr="000A617D">
        <w:rPr>
          <w:rFonts w:ascii="Arial" w:eastAsia="Times New Roman" w:hAnsi="Arial" w:cs="Arial"/>
          <w:color w:val="1F1F1F"/>
          <w:sz w:val="20"/>
          <w:szCs w:val="20"/>
        </w:rPr>
        <w:t xml:space="preserve"> and culinary feature. Recently, they have become attractive as functional foods because of their potential beneficial </w:t>
      </w:r>
      <w:r w:rsidRPr="000A617D">
        <w:rPr>
          <w:rFonts w:ascii="Arial" w:eastAsia="Times New Roman" w:hAnsi="Arial" w:cs="Arial"/>
          <w:color w:val="1F1F1F"/>
          <w:sz w:val="20"/>
          <w:szCs w:val="20"/>
        </w:rPr>
        <w:lastRenderedPageBreak/>
        <w:t xml:space="preserve">effects on human health (Kabir et al., 1988, </w:t>
      </w:r>
      <w:r w:rsidRPr="000A617D">
        <w:rPr>
          <w:rFonts w:ascii="Arial" w:hAnsi="Arial" w:cs="Arial"/>
          <w:sz w:val="20"/>
          <w:szCs w:val="20"/>
        </w:rPr>
        <w:t>Borchers</w:t>
      </w:r>
      <w:r w:rsidRPr="000A617D">
        <w:rPr>
          <w:rFonts w:ascii="Arial" w:eastAsia="Times New Roman" w:hAnsi="Arial" w:cs="Arial"/>
          <w:color w:val="1F1F1F"/>
          <w:sz w:val="20"/>
          <w:szCs w:val="20"/>
        </w:rPr>
        <w:t xml:space="preserve"> et al., 1999, Eva </w:t>
      </w:r>
      <w:r w:rsidRPr="000A617D">
        <w:rPr>
          <w:rFonts w:ascii="Arial" w:eastAsia="Times New Roman" w:hAnsi="Arial" w:cs="Arial"/>
          <w:i/>
          <w:iCs/>
          <w:color w:val="1F1F1F"/>
          <w:sz w:val="20"/>
          <w:szCs w:val="20"/>
        </w:rPr>
        <w:t>et al.,</w:t>
      </w:r>
      <w:r w:rsidRPr="000A617D">
        <w:rPr>
          <w:rFonts w:ascii="Arial" w:eastAsia="Times New Roman" w:hAnsi="Arial" w:cs="Arial"/>
          <w:color w:val="1F1F1F"/>
          <w:sz w:val="20"/>
          <w:szCs w:val="20"/>
        </w:rPr>
        <w:t xml:space="preserve"> 2010). Many edible mushrooms have been reported to decrease low-density lipoprotein-cholesterol (LDL-C) in serum by increasing the expression of LDL receptor at mRNA level and LDL receptor activity (Nuhu </w:t>
      </w:r>
      <w:r w:rsidRPr="000A617D">
        <w:rPr>
          <w:rFonts w:ascii="Arial" w:eastAsia="Times New Roman" w:hAnsi="Arial" w:cs="Arial"/>
          <w:i/>
          <w:iCs/>
          <w:color w:val="1F1F1F"/>
          <w:sz w:val="20"/>
          <w:szCs w:val="20"/>
        </w:rPr>
        <w:t>et.al,</w:t>
      </w:r>
      <w:r w:rsidRPr="000A617D">
        <w:rPr>
          <w:rFonts w:ascii="Arial" w:eastAsia="Times New Roman" w:hAnsi="Arial" w:cs="Arial"/>
          <w:color w:val="1F1F1F"/>
          <w:sz w:val="20"/>
          <w:szCs w:val="20"/>
        </w:rPr>
        <w:t xml:space="preserve"> 2009, Lisa and Sabine, 2020, </w:t>
      </w:r>
      <w:proofErr w:type="spellStart"/>
      <w:r w:rsidRPr="000A617D">
        <w:rPr>
          <w:rFonts w:ascii="Arial" w:eastAsia="Times New Roman" w:hAnsi="Arial" w:cs="Arial"/>
          <w:color w:val="1F1F1F"/>
          <w:sz w:val="20"/>
          <w:szCs w:val="20"/>
        </w:rPr>
        <w:t>Shanggong</w:t>
      </w:r>
      <w:proofErr w:type="spellEnd"/>
      <w:r w:rsidRPr="000A617D">
        <w:rPr>
          <w:rFonts w:ascii="Arial" w:eastAsia="Times New Roman" w:hAnsi="Arial" w:cs="Arial"/>
          <w:color w:val="1F1F1F"/>
          <w:sz w:val="20"/>
          <w:szCs w:val="20"/>
        </w:rPr>
        <w:t xml:space="preserve"> </w:t>
      </w:r>
      <w:r w:rsidRPr="000A617D">
        <w:rPr>
          <w:rFonts w:ascii="Arial" w:eastAsia="Times New Roman" w:hAnsi="Arial" w:cs="Arial"/>
          <w:i/>
          <w:iCs/>
          <w:color w:val="1F1F1F"/>
          <w:sz w:val="20"/>
          <w:szCs w:val="20"/>
        </w:rPr>
        <w:t>et.al.</w:t>
      </w:r>
      <w:r w:rsidRPr="000A617D">
        <w:rPr>
          <w:rFonts w:ascii="Arial" w:eastAsia="Times New Roman" w:hAnsi="Arial" w:cs="Arial"/>
          <w:color w:val="1F1F1F"/>
          <w:sz w:val="20"/>
          <w:szCs w:val="20"/>
        </w:rPr>
        <w:t xml:space="preserve"> 2016).</w:t>
      </w:r>
      <w:r w:rsidRPr="000A617D">
        <w:rPr>
          <w:rFonts w:ascii="Arial" w:eastAsia="Times New Roman" w:hAnsi="Arial" w:cs="Arial"/>
          <w:color w:val="212121"/>
          <w:sz w:val="20"/>
          <w:szCs w:val="20"/>
        </w:rPr>
        <w:t xml:space="preserve"> Their roles in the reduction of cholesterol and triglycerides levels in animals have been investigated and results so far appear promising (</w:t>
      </w:r>
      <w:r w:rsidRPr="000A617D">
        <w:rPr>
          <w:rFonts w:ascii="Arial" w:hAnsi="Arial" w:cs="Arial"/>
          <w:sz w:val="20"/>
          <w:szCs w:val="20"/>
        </w:rPr>
        <w:t xml:space="preserve">Nuhu et.al. 2010, </w:t>
      </w:r>
      <w:proofErr w:type="spellStart"/>
      <w:r w:rsidRPr="000A617D">
        <w:rPr>
          <w:rFonts w:ascii="Arial" w:eastAsia="Times New Roman" w:hAnsi="Arial" w:cs="Arial"/>
          <w:color w:val="1F1F1F"/>
          <w:sz w:val="20"/>
          <w:szCs w:val="20"/>
        </w:rPr>
        <w:t>Guillamón</w:t>
      </w:r>
      <w:proofErr w:type="spellEnd"/>
      <w:r w:rsidRPr="000A617D">
        <w:rPr>
          <w:rFonts w:ascii="Arial" w:eastAsia="Times New Roman" w:hAnsi="Arial" w:cs="Arial"/>
          <w:color w:val="212121"/>
          <w:sz w:val="20"/>
          <w:szCs w:val="20"/>
        </w:rPr>
        <w:t xml:space="preserve"> et al., 2010, </w:t>
      </w:r>
      <w:r w:rsidRPr="000A617D">
        <w:rPr>
          <w:rFonts w:ascii="Arial" w:eastAsia="Times New Roman" w:hAnsi="Arial" w:cs="Arial"/>
          <w:sz w:val="20"/>
          <w:szCs w:val="20"/>
        </w:rPr>
        <w:t xml:space="preserve">Schneider et.al. 2011, </w:t>
      </w:r>
      <w:proofErr w:type="spellStart"/>
      <w:r w:rsidRPr="000A617D">
        <w:rPr>
          <w:rFonts w:ascii="Arial" w:eastAsia="Times New Roman" w:hAnsi="Arial" w:cs="Arial"/>
          <w:color w:val="212121"/>
          <w:sz w:val="20"/>
          <w:szCs w:val="20"/>
        </w:rPr>
        <w:t>Shanggong</w:t>
      </w:r>
      <w:proofErr w:type="spellEnd"/>
      <w:r w:rsidRPr="000A617D">
        <w:rPr>
          <w:rFonts w:ascii="Arial" w:eastAsia="Times New Roman" w:hAnsi="Arial" w:cs="Arial"/>
          <w:color w:val="212121"/>
          <w:sz w:val="20"/>
          <w:szCs w:val="20"/>
        </w:rPr>
        <w:t xml:space="preserve"> 2016, </w:t>
      </w:r>
      <w:r w:rsidRPr="000A617D">
        <w:rPr>
          <w:rFonts w:ascii="Arial" w:eastAsia="Times New Roman" w:hAnsi="Arial" w:cs="Arial"/>
          <w:sz w:val="20"/>
          <w:szCs w:val="20"/>
        </w:rPr>
        <w:t>Nur et.al. 2018,</w:t>
      </w:r>
      <w:r w:rsidRPr="000A617D">
        <w:rPr>
          <w:rFonts w:ascii="Arial" w:eastAsia="Times New Roman" w:hAnsi="Arial" w:cs="Arial"/>
          <w:color w:val="212121"/>
          <w:sz w:val="20"/>
          <w:szCs w:val="20"/>
        </w:rPr>
        <w:t xml:space="preserve"> </w:t>
      </w:r>
      <w:r w:rsidRPr="000A617D">
        <w:rPr>
          <w:rFonts w:ascii="Arial" w:hAnsi="Arial" w:cs="Arial"/>
          <w:sz w:val="20"/>
          <w:szCs w:val="20"/>
        </w:rPr>
        <w:t xml:space="preserve">Dong </w:t>
      </w:r>
      <w:proofErr w:type="spellStart"/>
      <w:r w:rsidRPr="000A617D">
        <w:rPr>
          <w:rFonts w:ascii="Arial" w:hAnsi="Arial" w:cs="Arial"/>
          <w:sz w:val="20"/>
          <w:szCs w:val="20"/>
        </w:rPr>
        <w:t>Hoon</w:t>
      </w:r>
      <w:proofErr w:type="spellEnd"/>
      <w:r w:rsidRPr="000A617D">
        <w:rPr>
          <w:rFonts w:ascii="Arial" w:hAnsi="Arial" w:cs="Arial"/>
          <w:sz w:val="20"/>
          <w:szCs w:val="20"/>
        </w:rPr>
        <w:t xml:space="preserve"> et.al. 2019, Dicks and Ellinger, 2020, </w:t>
      </w:r>
      <w:proofErr w:type="spellStart"/>
      <w:r w:rsidRPr="000A617D">
        <w:rPr>
          <w:rFonts w:ascii="Arial" w:hAnsi="Arial" w:cs="Arial"/>
          <w:sz w:val="20"/>
          <w:szCs w:val="20"/>
        </w:rPr>
        <w:t>Handayani</w:t>
      </w:r>
      <w:proofErr w:type="spellEnd"/>
      <w:r w:rsidRPr="000A617D">
        <w:rPr>
          <w:rFonts w:ascii="Arial" w:hAnsi="Arial" w:cs="Arial"/>
          <w:sz w:val="20"/>
          <w:szCs w:val="20"/>
        </w:rPr>
        <w:t xml:space="preserve"> et al., 2011</w:t>
      </w:r>
      <w:r w:rsidRPr="000A617D">
        <w:rPr>
          <w:rFonts w:ascii="Arial" w:eastAsia="Times New Roman" w:hAnsi="Arial" w:cs="Arial"/>
          <w:color w:val="212121"/>
          <w:sz w:val="20"/>
          <w:szCs w:val="20"/>
        </w:rPr>
        <w:t xml:space="preserve">). </w:t>
      </w:r>
    </w:p>
    <w:p w14:paraId="5A1D5776" w14:textId="77777777" w:rsidR="00BB1926" w:rsidRPr="000A617D" w:rsidRDefault="00BB1926" w:rsidP="00BB1926">
      <w:pPr>
        <w:shd w:val="clear" w:color="auto" w:fill="FFFFFF"/>
        <w:spacing w:before="100" w:beforeAutospacing="1" w:after="100" w:afterAutospacing="1" w:line="360" w:lineRule="auto"/>
        <w:jc w:val="both"/>
        <w:textAlignment w:val="baseline"/>
        <w:rPr>
          <w:rFonts w:ascii="Arial" w:eastAsia="Times New Roman" w:hAnsi="Arial" w:cs="Arial"/>
          <w:color w:val="212121"/>
          <w:sz w:val="20"/>
          <w:szCs w:val="20"/>
        </w:rPr>
      </w:pPr>
      <w:proofErr w:type="spellStart"/>
      <w:r w:rsidRPr="000A617D">
        <w:rPr>
          <w:rFonts w:ascii="Arial" w:eastAsia="Times New Roman" w:hAnsi="Arial" w:cs="Arial"/>
          <w:i/>
          <w:iCs/>
          <w:color w:val="212121"/>
          <w:sz w:val="20"/>
          <w:szCs w:val="20"/>
        </w:rPr>
        <w:t>Pleurotus</w:t>
      </w:r>
      <w:proofErr w:type="spellEnd"/>
      <w:r w:rsidRPr="000A617D">
        <w:rPr>
          <w:rFonts w:ascii="Arial" w:eastAsia="Times New Roman" w:hAnsi="Arial" w:cs="Arial"/>
          <w:i/>
          <w:iCs/>
          <w:color w:val="212121"/>
          <w:sz w:val="20"/>
          <w:szCs w:val="20"/>
        </w:rPr>
        <w:t xml:space="preserve"> </w:t>
      </w:r>
      <w:proofErr w:type="spellStart"/>
      <w:r w:rsidRPr="000A617D">
        <w:rPr>
          <w:rFonts w:ascii="Arial" w:eastAsia="Times New Roman" w:hAnsi="Arial" w:cs="Arial"/>
          <w:i/>
          <w:iCs/>
          <w:color w:val="212121"/>
          <w:sz w:val="20"/>
          <w:szCs w:val="20"/>
        </w:rPr>
        <w:t>tuberregium</w:t>
      </w:r>
      <w:proofErr w:type="spellEnd"/>
      <w:r w:rsidRPr="000A617D">
        <w:rPr>
          <w:rFonts w:ascii="Arial" w:eastAsia="Times New Roman" w:hAnsi="Arial" w:cs="Arial"/>
          <w:color w:val="212121"/>
          <w:sz w:val="20"/>
          <w:szCs w:val="20"/>
        </w:rPr>
        <w:t xml:space="preserve"> Fr. known as king tuber oyster or tiger milk mushroom is a tropical and subtropical edible mushroom that is highly consumed and highly priced in Nigeria and other West African sub-regions. The mushroom has been reported to possess properties that are attributable in part to its health promotion and immune surveillance (</w:t>
      </w:r>
      <w:proofErr w:type="spellStart"/>
      <w:r w:rsidRPr="000A617D">
        <w:rPr>
          <w:rFonts w:ascii="Arial" w:hAnsi="Arial" w:cs="Arial"/>
          <w:sz w:val="20"/>
          <w:szCs w:val="20"/>
        </w:rPr>
        <w:t>Yashvant</w:t>
      </w:r>
      <w:proofErr w:type="spellEnd"/>
      <w:r w:rsidRPr="000A617D">
        <w:rPr>
          <w:rFonts w:ascii="Arial" w:hAnsi="Arial" w:cs="Arial"/>
          <w:sz w:val="20"/>
          <w:szCs w:val="20"/>
        </w:rPr>
        <w:t>, et.al. 2012)</w:t>
      </w:r>
      <w:r w:rsidRPr="000A617D">
        <w:rPr>
          <w:rFonts w:ascii="Arial" w:eastAsia="Times New Roman" w:hAnsi="Arial" w:cs="Arial"/>
          <w:color w:val="212121"/>
          <w:sz w:val="20"/>
          <w:szCs w:val="20"/>
        </w:rPr>
        <w:t xml:space="preserve">.  Reports have shown that </w:t>
      </w:r>
      <w:proofErr w:type="spellStart"/>
      <w:r w:rsidRPr="000A617D">
        <w:rPr>
          <w:rFonts w:ascii="Arial" w:eastAsia="Times New Roman" w:hAnsi="Arial" w:cs="Arial"/>
          <w:i/>
          <w:iCs/>
          <w:color w:val="212121"/>
          <w:sz w:val="20"/>
          <w:szCs w:val="20"/>
        </w:rPr>
        <w:t>Pleurotus</w:t>
      </w:r>
      <w:proofErr w:type="spellEnd"/>
      <w:r w:rsidRPr="000A617D">
        <w:rPr>
          <w:rFonts w:ascii="Arial" w:eastAsia="Times New Roman" w:hAnsi="Arial" w:cs="Arial"/>
          <w:i/>
          <w:iCs/>
          <w:color w:val="212121"/>
          <w:sz w:val="20"/>
          <w:szCs w:val="20"/>
        </w:rPr>
        <w:t xml:space="preserve"> </w:t>
      </w:r>
      <w:proofErr w:type="spellStart"/>
      <w:r w:rsidRPr="000A617D">
        <w:rPr>
          <w:rFonts w:ascii="Arial" w:eastAsia="Times New Roman" w:hAnsi="Arial" w:cs="Arial"/>
          <w:i/>
          <w:iCs/>
          <w:color w:val="212121"/>
          <w:sz w:val="20"/>
          <w:szCs w:val="20"/>
        </w:rPr>
        <w:t>tuberregium</w:t>
      </w:r>
      <w:proofErr w:type="spellEnd"/>
      <w:r w:rsidRPr="000A617D">
        <w:rPr>
          <w:rFonts w:ascii="Arial" w:eastAsia="Times New Roman" w:hAnsi="Arial" w:cs="Arial"/>
          <w:color w:val="212121"/>
          <w:sz w:val="20"/>
          <w:szCs w:val="20"/>
        </w:rPr>
        <w:t xml:space="preserve"> is rich in β-glucans, which enhance immune response, contains high levels of phenolics, flavonoids, and polysaccharides, that protect cells from oxidative stress and aging. It </w:t>
      </w:r>
      <w:proofErr w:type="gramStart"/>
      <w:r w:rsidRPr="000A617D">
        <w:rPr>
          <w:rFonts w:ascii="Arial" w:eastAsia="Times New Roman" w:hAnsi="Arial" w:cs="Arial"/>
          <w:color w:val="212121"/>
          <w:sz w:val="20"/>
          <w:szCs w:val="20"/>
        </w:rPr>
        <w:t>support</w:t>
      </w:r>
      <w:proofErr w:type="gramEnd"/>
      <w:r w:rsidRPr="000A617D">
        <w:rPr>
          <w:rFonts w:ascii="Arial" w:eastAsia="Times New Roman" w:hAnsi="Arial" w:cs="Arial"/>
          <w:color w:val="212121"/>
          <w:sz w:val="20"/>
          <w:szCs w:val="20"/>
        </w:rPr>
        <w:t xml:space="preserve"> heart health by lowering cholesterol levels, improves cardiovascular function because it contains fiber and unsaturated fatty acids, which reduce bad cholesterol (LDL) (Ying et.al. 2024). Studies suggest that oyster mushrooms can help lower triglyceride level because of the compounds in them that appear to influence lipid metabolism and reduce the triglyceride amount in the blood stream (</w:t>
      </w:r>
      <w:proofErr w:type="spellStart"/>
      <w:r w:rsidRPr="000A617D">
        <w:rPr>
          <w:rFonts w:ascii="Arial" w:eastAsia="Times New Roman" w:hAnsi="Arial" w:cs="Arial"/>
          <w:color w:val="212121"/>
          <w:sz w:val="20"/>
          <w:szCs w:val="20"/>
        </w:rPr>
        <w:t>Chorvathoba</w:t>
      </w:r>
      <w:proofErr w:type="spellEnd"/>
      <w:r w:rsidRPr="000A617D">
        <w:rPr>
          <w:rFonts w:ascii="Arial" w:eastAsia="Times New Roman" w:hAnsi="Arial" w:cs="Arial"/>
          <w:color w:val="212121"/>
          <w:sz w:val="20"/>
          <w:szCs w:val="20"/>
        </w:rPr>
        <w:t xml:space="preserve"> et al., 1993). Their consumption can reduce concentrations of triglycerides, cholesterol and oxidized LDL, potentially benefiting heart health and lower the risk of heart diseases.</w:t>
      </w:r>
    </w:p>
    <w:p w14:paraId="32B11E03" w14:textId="77777777" w:rsidR="00BB1926" w:rsidRPr="000A617D" w:rsidRDefault="00BB1926" w:rsidP="00BB1926">
      <w:pPr>
        <w:spacing w:line="360" w:lineRule="auto"/>
        <w:jc w:val="both"/>
        <w:rPr>
          <w:rFonts w:ascii="Arial" w:eastAsia="Times New Roman" w:hAnsi="Arial" w:cs="Arial"/>
          <w:sz w:val="20"/>
          <w:szCs w:val="20"/>
        </w:rPr>
      </w:pPr>
      <w:r w:rsidRPr="000A617D">
        <w:rPr>
          <w:rFonts w:ascii="Arial" w:eastAsia="Times New Roman" w:hAnsi="Arial" w:cs="Arial"/>
          <w:sz w:val="20"/>
          <w:szCs w:val="20"/>
          <w:lang w:val="en"/>
        </w:rPr>
        <w:t xml:space="preserve">Elevated cholesterol and triacylglycerol levels are known risk factors for cardiovascular diseases </w:t>
      </w:r>
      <w:r w:rsidRPr="000A617D">
        <w:rPr>
          <w:rFonts w:ascii="Arial" w:eastAsia="Times New Roman" w:hAnsi="Arial" w:cs="Arial"/>
          <w:sz w:val="20"/>
          <w:szCs w:val="20"/>
        </w:rPr>
        <w:t>which is one of the most prominent causes of death for both men and women in most developed and developing countries (WHO, 2003). Certain conditions, such as hyperlipidemia, hypertension, obesity, diabetes mellitus, and a positive family history of Cardiovascular Heart Disease (CHD), are considered to put an individual at greater risk of CHD (</w:t>
      </w:r>
      <w:proofErr w:type="spellStart"/>
      <w:r w:rsidRPr="000A617D">
        <w:rPr>
          <w:rFonts w:ascii="Arial" w:eastAsia="Times New Roman" w:hAnsi="Arial" w:cs="Arial"/>
          <w:sz w:val="20"/>
          <w:szCs w:val="20"/>
        </w:rPr>
        <w:t>Assmann</w:t>
      </w:r>
      <w:proofErr w:type="spellEnd"/>
      <w:r w:rsidRPr="000A617D">
        <w:rPr>
          <w:rFonts w:ascii="Arial" w:eastAsia="Times New Roman" w:hAnsi="Arial" w:cs="Arial"/>
          <w:sz w:val="20"/>
          <w:szCs w:val="20"/>
        </w:rPr>
        <w:t xml:space="preserve"> et al., 2002, The International Task Force for Prevention of Coronary Heart Disease, 1998). Some of these conditions are diet-related conditions.</w:t>
      </w:r>
    </w:p>
    <w:p w14:paraId="4FD93241" w14:textId="77777777" w:rsidR="00BB1926" w:rsidRPr="000A617D" w:rsidRDefault="00BB1926" w:rsidP="00BB1926">
      <w:pPr>
        <w:spacing w:line="360" w:lineRule="auto"/>
        <w:jc w:val="both"/>
        <w:rPr>
          <w:rFonts w:ascii="Arial" w:eastAsia="Times New Roman" w:hAnsi="Arial" w:cs="Arial"/>
          <w:sz w:val="20"/>
          <w:szCs w:val="20"/>
        </w:rPr>
      </w:pPr>
      <w:r w:rsidRPr="000A617D">
        <w:rPr>
          <w:rStyle w:val="Strong"/>
          <w:rFonts w:ascii="Arial" w:hAnsi="Arial" w:cs="Arial"/>
          <w:b w:val="0"/>
          <w:sz w:val="20"/>
          <w:szCs w:val="20"/>
        </w:rPr>
        <w:t>Poultry production</w:t>
      </w:r>
      <w:r w:rsidRPr="000A617D">
        <w:rPr>
          <w:rFonts w:ascii="Arial" w:hAnsi="Arial" w:cs="Arial"/>
          <w:sz w:val="20"/>
          <w:szCs w:val="20"/>
        </w:rPr>
        <w:t xml:space="preserve"> is a major agricultural industry worldwide and an essential source of animal protein for human consumption. </w:t>
      </w:r>
      <w:r w:rsidRPr="000A617D">
        <w:rPr>
          <w:rFonts w:ascii="Arial" w:eastAsia="Times New Roman" w:hAnsi="Arial" w:cs="Arial"/>
          <w:sz w:val="20"/>
          <w:szCs w:val="20"/>
        </w:rPr>
        <w:t xml:space="preserve">Poultry products especially chickens and eggs </w:t>
      </w:r>
      <w:r w:rsidRPr="000A617D">
        <w:rPr>
          <w:rFonts w:ascii="Arial" w:hAnsi="Arial" w:cs="Arial"/>
          <w:sz w:val="20"/>
          <w:szCs w:val="20"/>
          <w:shd w:val="clear" w:color="auto" w:fill="FFFFFF"/>
        </w:rPr>
        <w:t xml:space="preserve">are a staple of many </w:t>
      </w:r>
      <w:r w:rsidRPr="000A617D">
        <w:rPr>
          <w:rFonts w:ascii="Arial" w:eastAsia="Times New Roman" w:hAnsi="Arial" w:cs="Arial"/>
          <w:sz w:val="20"/>
          <w:szCs w:val="20"/>
        </w:rPr>
        <w:t xml:space="preserve">human diets. </w:t>
      </w:r>
      <w:r w:rsidRPr="000A617D">
        <w:rPr>
          <w:rFonts w:ascii="Arial" w:hAnsi="Arial" w:cs="Arial"/>
          <w:sz w:val="20"/>
          <w:szCs w:val="20"/>
          <w:shd w:val="clear" w:color="auto" w:fill="FFFFFF"/>
        </w:rPr>
        <w:t>These common animal proteins are also sources of fat that can elevate human risk for high cholesterol, heart disease, and cardiovascular problems</w:t>
      </w:r>
      <w:r w:rsidRPr="000A617D">
        <w:rPr>
          <w:rFonts w:ascii="Arial" w:eastAsia="Times New Roman" w:hAnsi="Arial" w:cs="Arial"/>
          <w:sz w:val="20"/>
          <w:szCs w:val="20"/>
        </w:rPr>
        <w:t>. A h</w:t>
      </w:r>
      <w:r w:rsidRPr="000A617D">
        <w:rPr>
          <w:rFonts w:ascii="Arial" w:hAnsi="Arial" w:cs="Arial"/>
          <w:sz w:val="20"/>
          <w:szCs w:val="20"/>
        </w:rPr>
        <w:t xml:space="preserve">igh-fat diet (HFD) induces obesity </w:t>
      </w:r>
      <w:r w:rsidRPr="000A617D">
        <w:rPr>
          <w:rFonts w:ascii="Arial" w:hAnsi="Arial" w:cs="Arial"/>
          <w:color w:val="231F20"/>
          <w:sz w:val="20"/>
          <w:szCs w:val="20"/>
        </w:rPr>
        <w:t xml:space="preserve">and for this reason, eating a low-cholesterol diet is important for anyone interested in managing their cholesterol intake. </w:t>
      </w:r>
      <w:r w:rsidRPr="000A617D">
        <w:rPr>
          <w:rFonts w:ascii="Arial" w:eastAsia="Times New Roman" w:hAnsi="Arial" w:cs="Arial"/>
          <w:sz w:val="20"/>
          <w:szCs w:val="20"/>
        </w:rPr>
        <w:t>It is therefore imperative to formulate poultry diets that can reduce the cholesterol level of poultry products</w:t>
      </w:r>
      <w:r w:rsidRPr="000A617D">
        <w:rPr>
          <w:rFonts w:ascii="Arial" w:hAnsi="Arial" w:cs="Arial"/>
          <w:sz w:val="20"/>
          <w:szCs w:val="20"/>
          <w:lang w:val="en"/>
        </w:rPr>
        <w:t xml:space="preserve">. </w:t>
      </w:r>
      <w:r w:rsidRPr="000A617D">
        <w:rPr>
          <w:rFonts w:ascii="Arial" w:eastAsia="Times New Roman" w:hAnsi="Arial" w:cs="Arial"/>
          <w:sz w:val="20"/>
          <w:szCs w:val="20"/>
        </w:rPr>
        <w:t xml:space="preserve">This study aimed to evaluate the effect of the sclerotia of </w:t>
      </w:r>
      <w:proofErr w:type="spellStart"/>
      <w:r w:rsidRPr="000A617D">
        <w:rPr>
          <w:rFonts w:ascii="Arial" w:eastAsia="Times New Roman" w:hAnsi="Arial" w:cs="Arial"/>
          <w:i/>
          <w:iCs/>
          <w:sz w:val="20"/>
          <w:szCs w:val="20"/>
        </w:rPr>
        <w:t>Pleurotus</w:t>
      </w:r>
      <w:proofErr w:type="spellEnd"/>
      <w:r w:rsidRPr="000A617D">
        <w:rPr>
          <w:rFonts w:ascii="Arial" w:eastAsia="Times New Roman" w:hAnsi="Arial" w:cs="Arial"/>
          <w:i/>
          <w:iCs/>
          <w:sz w:val="20"/>
          <w:szCs w:val="20"/>
        </w:rPr>
        <w:t xml:space="preserve"> </w:t>
      </w:r>
      <w:proofErr w:type="spellStart"/>
      <w:r w:rsidRPr="000A617D">
        <w:rPr>
          <w:rFonts w:ascii="Arial" w:eastAsia="Times New Roman" w:hAnsi="Arial" w:cs="Arial"/>
          <w:i/>
          <w:iCs/>
          <w:sz w:val="20"/>
          <w:szCs w:val="20"/>
        </w:rPr>
        <w:t>tuberregium</w:t>
      </w:r>
      <w:proofErr w:type="spellEnd"/>
      <w:r w:rsidRPr="000A617D">
        <w:rPr>
          <w:rFonts w:ascii="Arial" w:eastAsia="Times New Roman" w:hAnsi="Arial" w:cs="Arial"/>
          <w:sz w:val="20"/>
          <w:szCs w:val="20"/>
        </w:rPr>
        <w:t xml:space="preserve"> supplementation with poultry feed on the weight and lipid profile of broiler chickens.</w:t>
      </w:r>
    </w:p>
    <w:p w14:paraId="5A69C74C" w14:textId="77777777" w:rsidR="00BB1926" w:rsidRPr="000A617D" w:rsidRDefault="00BB1926" w:rsidP="000A617D">
      <w:pPr>
        <w:pStyle w:val="ListParagraph"/>
        <w:numPr>
          <w:ilvl w:val="0"/>
          <w:numId w:val="1"/>
        </w:numPr>
        <w:jc w:val="both"/>
        <w:rPr>
          <w:rFonts w:ascii="Arial" w:eastAsia="Times New Roman" w:hAnsi="Arial" w:cs="Arial"/>
          <w:b/>
          <w:bCs/>
        </w:rPr>
      </w:pPr>
      <w:r w:rsidRPr="000A617D">
        <w:rPr>
          <w:rFonts w:ascii="Arial" w:eastAsia="Times New Roman" w:hAnsi="Arial" w:cs="Arial"/>
          <w:b/>
          <w:bCs/>
        </w:rPr>
        <w:t>MATERIALS AND METHODS</w:t>
      </w:r>
    </w:p>
    <w:p w14:paraId="270F86BA" w14:textId="77777777" w:rsidR="00BB1926" w:rsidRPr="00BE7DCD" w:rsidRDefault="00BB1926" w:rsidP="00BB1926">
      <w:pPr>
        <w:spacing w:line="360" w:lineRule="auto"/>
        <w:jc w:val="both"/>
        <w:rPr>
          <w:rFonts w:ascii="Arial" w:eastAsia="Times New Roman" w:hAnsi="Arial" w:cs="Arial"/>
          <w:bCs/>
          <w:sz w:val="20"/>
          <w:szCs w:val="20"/>
        </w:rPr>
      </w:pPr>
      <w:r w:rsidRPr="00BE7DCD">
        <w:rPr>
          <w:rFonts w:ascii="Arial" w:eastAsia="Times New Roman" w:hAnsi="Arial" w:cs="Arial"/>
          <w:bCs/>
          <w:sz w:val="20"/>
          <w:szCs w:val="20"/>
        </w:rPr>
        <w:lastRenderedPageBreak/>
        <w:t xml:space="preserve">All experimental procedures and </w:t>
      </w:r>
      <w:r w:rsidRPr="00BE7DCD">
        <w:rPr>
          <w:rFonts w:ascii="Arial" w:eastAsia="Times New Roman" w:hAnsi="Arial" w:cs="Arial"/>
          <w:color w:val="212121"/>
          <w:sz w:val="20"/>
          <w:szCs w:val="20"/>
        </w:rPr>
        <w:t>Animal use protocols</w:t>
      </w:r>
      <w:r w:rsidRPr="00BE7DCD">
        <w:rPr>
          <w:rFonts w:ascii="Arial" w:eastAsia="Times New Roman" w:hAnsi="Arial" w:cs="Arial"/>
          <w:bCs/>
          <w:sz w:val="20"/>
          <w:szCs w:val="20"/>
        </w:rPr>
        <w:t xml:space="preserve"> were approved by the Ethic Committee of the National Open University of Nigeria.</w:t>
      </w:r>
    </w:p>
    <w:p w14:paraId="19B0586D" w14:textId="77777777" w:rsidR="00BB1926" w:rsidRPr="00695685" w:rsidRDefault="000A617D" w:rsidP="00BB1926">
      <w:pPr>
        <w:spacing w:line="360" w:lineRule="auto"/>
        <w:jc w:val="both"/>
        <w:rPr>
          <w:rFonts w:ascii="Arial" w:eastAsia="Times New Roman" w:hAnsi="Arial" w:cs="Arial"/>
          <w:b/>
          <w:bCs/>
        </w:rPr>
      </w:pPr>
      <w:r w:rsidRPr="000A617D">
        <w:rPr>
          <w:rFonts w:ascii="Arial" w:eastAsia="Times New Roman" w:hAnsi="Arial" w:cs="Arial"/>
          <w:b/>
          <w:bCs/>
        </w:rPr>
        <w:t xml:space="preserve">2.1 </w:t>
      </w:r>
      <w:r w:rsidR="00BB1926" w:rsidRPr="000A617D">
        <w:rPr>
          <w:rFonts w:ascii="Arial" w:eastAsia="Times New Roman" w:hAnsi="Arial" w:cs="Arial"/>
          <w:b/>
          <w:bCs/>
        </w:rPr>
        <w:t>Construction of poultry cage</w:t>
      </w:r>
      <w:r w:rsidR="00695685">
        <w:rPr>
          <w:rFonts w:ascii="Arial" w:eastAsia="Times New Roman" w:hAnsi="Arial" w:cs="Arial"/>
          <w:b/>
          <w:bCs/>
        </w:rPr>
        <w:t xml:space="preserve">: </w:t>
      </w:r>
      <w:r w:rsidR="00BB1926" w:rsidRPr="00BE7DCD">
        <w:rPr>
          <w:rFonts w:ascii="Arial" w:eastAsia="Times New Roman" w:hAnsi="Arial" w:cs="Arial"/>
          <w:bCs/>
          <w:sz w:val="20"/>
          <w:szCs w:val="20"/>
        </w:rPr>
        <w:t xml:space="preserve">A poultry house of 7 by 3 meters was constructed and partition into six compartments of 3 by 1.5 meters. The poultry house was netted and connected to electricity source where a bulb of </w:t>
      </w:r>
      <w:proofErr w:type="gramStart"/>
      <w:r w:rsidR="00BB1926" w:rsidRPr="00BE7DCD">
        <w:rPr>
          <w:rFonts w:ascii="Arial" w:eastAsia="Times New Roman" w:hAnsi="Arial" w:cs="Arial"/>
          <w:bCs/>
          <w:sz w:val="20"/>
          <w:szCs w:val="20"/>
        </w:rPr>
        <w:t>100 watt</w:t>
      </w:r>
      <w:proofErr w:type="gramEnd"/>
      <w:r w:rsidR="00BB1926" w:rsidRPr="00BE7DCD">
        <w:rPr>
          <w:rFonts w:ascii="Arial" w:eastAsia="Times New Roman" w:hAnsi="Arial" w:cs="Arial"/>
          <w:bCs/>
          <w:sz w:val="20"/>
          <w:szCs w:val="20"/>
        </w:rPr>
        <w:t xml:space="preserve"> capacity was fixed into each compartment as source of heat and light for the first two weeks during the experiment. </w:t>
      </w:r>
    </w:p>
    <w:p w14:paraId="1D3D12AF" w14:textId="77777777" w:rsidR="00BB1926" w:rsidRPr="00695685" w:rsidRDefault="00695685" w:rsidP="00BB1926">
      <w:pPr>
        <w:spacing w:line="360" w:lineRule="auto"/>
        <w:jc w:val="both"/>
        <w:rPr>
          <w:rFonts w:ascii="Arial" w:eastAsia="Times New Roman" w:hAnsi="Arial" w:cs="Arial"/>
          <w:b/>
          <w:bCs/>
        </w:rPr>
      </w:pPr>
      <w:r w:rsidRPr="00695685">
        <w:rPr>
          <w:rFonts w:ascii="Arial" w:eastAsia="Times New Roman" w:hAnsi="Arial" w:cs="Arial"/>
          <w:b/>
          <w:bCs/>
        </w:rPr>
        <w:t xml:space="preserve">2.2 </w:t>
      </w:r>
      <w:r w:rsidR="00BB1926" w:rsidRPr="00695685">
        <w:rPr>
          <w:rFonts w:ascii="Arial" w:eastAsia="Times New Roman" w:hAnsi="Arial" w:cs="Arial"/>
          <w:b/>
          <w:bCs/>
        </w:rPr>
        <w:t xml:space="preserve">Collection of sclerotia of </w:t>
      </w:r>
      <w:proofErr w:type="spellStart"/>
      <w:r w:rsidR="00BB1926" w:rsidRPr="00695685">
        <w:rPr>
          <w:rFonts w:ascii="Arial" w:eastAsia="Times New Roman" w:hAnsi="Arial" w:cs="Arial"/>
          <w:b/>
          <w:bCs/>
          <w:i/>
        </w:rPr>
        <w:t>Pleurotus</w:t>
      </w:r>
      <w:proofErr w:type="spellEnd"/>
      <w:r w:rsidR="00BB1926" w:rsidRPr="00695685">
        <w:rPr>
          <w:rFonts w:ascii="Arial" w:eastAsia="Times New Roman" w:hAnsi="Arial" w:cs="Arial"/>
          <w:b/>
          <w:bCs/>
          <w:i/>
        </w:rPr>
        <w:t xml:space="preserve"> </w:t>
      </w:r>
      <w:proofErr w:type="spellStart"/>
      <w:r w:rsidR="00BB1926" w:rsidRPr="00695685">
        <w:rPr>
          <w:rFonts w:ascii="Arial" w:eastAsia="Times New Roman" w:hAnsi="Arial" w:cs="Arial"/>
          <w:b/>
          <w:bCs/>
          <w:i/>
        </w:rPr>
        <w:t>tuberregium</w:t>
      </w:r>
      <w:proofErr w:type="spellEnd"/>
      <w:r>
        <w:rPr>
          <w:rFonts w:ascii="Arial" w:eastAsia="Times New Roman" w:hAnsi="Arial" w:cs="Arial"/>
          <w:b/>
          <w:bCs/>
        </w:rPr>
        <w:t xml:space="preserve">: </w:t>
      </w:r>
      <w:r w:rsidR="00BB1926" w:rsidRPr="00BE7DCD">
        <w:rPr>
          <w:rFonts w:ascii="Arial" w:eastAsia="Times New Roman" w:hAnsi="Arial" w:cs="Arial"/>
          <w:bCs/>
          <w:sz w:val="20"/>
          <w:szCs w:val="20"/>
        </w:rPr>
        <w:t xml:space="preserve">Sclerotia of </w:t>
      </w:r>
      <w:proofErr w:type="spellStart"/>
      <w:r w:rsidR="00BB1926" w:rsidRPr="00BE7DCD">
        <w:rPr>
          <w:rFonts w:ascii="Arial" w:eastAsia="Times New Roman" w:hAnsi="Arial" w:cs="Arial"/>
          <w:bCs/>
          <w:i/>
          <w:sz w:val="20"/>
          <w:szCs w:val="20"/>
        </w:rPr>
        <w:t>Pleurotus</w:t>
      </w:r>
      <w:proofErr w:type="spellEnd"/>
      <w:r w:rsidR="00BB1926" w:rsidRPr="00BE7DCD">
        <w:rPr>
          <w:rFonts w:ascii="Arial" w:eastAsia="Times New Roman" w:hAnsi="Arial" w:cs="Arial"/>
          <w:bCs/>
          <w:i/>
          <w:sz w:val="20"/>
          <w:szCs w:val="20"/>
        </w:rPr>
        <w:t xml:space="preserve"> </w:t>
      </w:r>
      <w:proofErr w:type="spellStart"/>
      <w:r w:rsidR="00BB1926" w:rsidRPr="00BE7DCD">
        <w:rPr>
          <w:rFonts w:ascii="Arial" w:eastAsia="Times New Roman" w:hAnsi="Arial" w:cs="Arial"/>
          <w:bCs/>
          <w:i/>
          <w:sz w:val="20"/>
          <w:szCs w:val="20"/>
        </w:rPr>
        <w:t>tuberregium</w:t>
      </w:r>
      <w:proofErr w:type="spellEnd"/>
      <w:r w:rsidR="00BB1926" w:rsidRPr="00BE7DCD">
        <w:rPr>
          <w:rFonts w:ascii="Arial" w:eastAsia="Times New Roman" w:hAnsi="Arial" w:cs="Arial"/>
          <w:bCs/>
          <w:sz w:val="20"/>
          <w:szCs w:val="20"/>
        </w:rPr>
        <w:t xml:space="preserve"> (Plate1) were purchased from local market in </w:t>
      </w:r>
      <w:proofErr w:type="spellStart"/>
      <w:r w:rsidR="00BB1926" w:rsidRPr="00BE7DCD">
        <w:rPr>
          <w:rFonts w:ascii="Arial" w:eastAsia="Times New Roman" w:hAnsi="Arial" w:cs="Arial"/>
          <w:bCs/>
          <w:sz w:val="20"/>
          <w:szCs w:val="20"/>
        </w:rPr>
        <w:t>Anyigba</w:t>
      </w:r>
      <w:proofErr w:type="spellEnd"/>
      <w:r w:rsidR="00BB1926" w:rsidRPr="00BE7DCD">
        <w:rPr>
          <w:rFonts w:ascii="Arial" w:eastAsia="Times New Roman" w:hAnsi="Arial" w:cs="Arial"/>
          <w:bCs/>
          <w:sz w:val="20"/>
          <w:szCs w:val="20"/>
        </w:rPr>
        <w:t xml:space="preserve">, </w:t>
      </w:r>
      <w:proofErr w:type="spellStart"/>
      <w:r w:rsidR="00BB1926" w:rsidRPr="00BE7DCD">
        <w:rPr>
          <w:rFonts w:ascii="Arial" w:eastAsia="Times New Roman" w:hAnsi="Arial" w:cs="Arial"/>
          <w:bCs/>
          <w:sz w:val="20"/>
          <w:szCs w:val="20"/>
        </w:rPr>
        <w:t>Kogi</w:t>
      </w:r>
      <w:proofErr w:type="spellEnd"/>
      <w:r w:rsidR="00BB1926" w:rsidRPr="00BE7DCD">
        <w:rPr>
          <w:rFonts w:ascii="Arial" w:eastAsia="Times New Roman" w:hAnsi="Arial" w:cs="Arial"/>
          <w:bCs/>
          <w:sz w:val="20"/>
          <w:szCs w:val="20"/>
        </w:rPr>
        <w:t xml:space="preserve"> State Nigeria. The sclerotia were sliced into pieces and dried in the oven at 40</w:t>
      </w:r>
      <w:r w:rsidR="00BB1926" w:rsidRPr="00BE7DCD">
        <w:rPr>
          <w:rFonts w:ascii="Arial" w:eastAsia="Times New Roman" w:hAnsi="Arial" w:cs="Arial"/>
          <w:bCs/>
          <w:sz w:val="20"/>
          <w:szCs w:val="20"/>
          <w:vertAlign w:val="superscript"/>
        </w:rPr>
        <w:t>0</w:t>
      </w:r>
      <w:r w:rsidR="00BB1926" w:rsidRPr="00BE7DCD">
        <w:rPr>
          <w:rFonts w:ascii="Arial" w:eastAsia="Times New Roman" w:hAnsi="Arial" w:cs="Arial"/>
          <w:bCs/>
          <w:sz w:val="20"/>
          <w:szCs w:val="20"/>
        </w:rPr>
        <w:t>C, crushed into powder form and stored at room temperature (22 ± 2</w:t>
      </w:r>
      <w:r w:rsidR="00BB1926" w:rsidRPr="00BE7DCD">
        <w:rPr>
          <w:rFonts w:ascii="Arial" w:eastAsia="Times New Roman" w:hAnsi="Arial" w:cs="Arial"/>
          <w:bCs/>
          <w:sz w:val="20"/>
          <w:szCs w:val="20"/>
          <w:vertAlign w:val="superscript"/>
        </w:rPr>
        <w:t xml:space="preserve">0 </w:t>
      </w:r>
      <w:r w:rsidR="00BB1926" w:rsidRPr="00BE7DCD">
        <w:rPr>
          <w:rFonts w:ascii="Arial" w:eastAsia="Times New Roman" w:hAnsi="Arial" w:cs="Arial"/>
          <w:bCs/>
          <w:sz w:val="20"/>
          <w:szCs w:val="20"/>
        </w:rPr>
        <w:t>C) until used.</w:t>
      </w:r>
    </w:p>
    <w:p w14:paraId="4B02892F" w14:textId="77777777" w:rsidR="00BB1926" w:rsidRDefault="00BB1926" w:rsidP="00BB1926">
      <w:pPr>
        <w:spacing w:line="360" w:lineRule="auto"/>
        <w:jc w:val="both"/>
        <w:rPr>
          <w:rFonts w:ascii="Arial" w:eastAsia="Times New Roman" w:hAnsi="Arial" w:cs="Arial"/>
          <w:bCs/>
          <w:sz w:val="20"/>
          <w:szCs w:val="20"/>
        </w:rPr>
      </w:pPr>
    </w:p>
    <w:p w14:paraId="3B55A019" w14:textId="77777777" w:rsidR="00BB1926" w:rsidRDefault="00BB1926" w:rsidP="00BB1926">
      <w:pPr>
        <w:spacing w:line="360" w:lineRule="auto"/>
        <w:jc w:val="both"/>
        <w:rPr>
          <w:rFonts w:ascii="Arial" w:eastAsia="Times New Roman" w:hAnsi="Arial" w:cs="Arial"/>
          <w:bCs/>
          <w:sz w:val="20"/>
          <w:szCs w:val="20"/>
        </w:rPr>
      </w:pPr>
    </w:p>
    <w:p w14:paraId="5EEBB89F" w14:textId="77777777" w:rsidR="00BB1926" w:rsidRDefault="00BB1926" w:rsidP="00BB1926">
      <w:pPr>
        <w:spacing w:line="360" w:lineRule="auto"/>
        <w:jc w:val="both"/>
        <w:rPr>
          <w:rFonts w:ascii="Arial" w:eastAsia="Times New Roman" w:hAnsi="Arial" w:cs="Arial"/>
          <w:bCs/>
          <w:sz w:val="20"/>
          <w:szCs w:val="20"/>
        </w:rPr>
      </w:pPr>
    </w:p>
    <w:p w14:paraId="141687ED" w14:textId="77777777" w:rsidR="00BB1926" w:rsidRDefault="00BB1926" w:rsidP="00BB1926">
      <w:pPr>
        <w:spacing w:line="360" w:lineRule="auto"/>
        <w:jc w:val="both"/>
        <w:rPr>
          <w:rFonts w:ascii="Arial" w:eastAsia="Times New Roman" w:hAnsi="Arial" w:cs="Arial"/>
          <w:bCs/>
          <w:sz w:val="20"/>
          <w:szCs w:val="20"/>
        </w:rPr>
      </w:pPr>
    </w:p>
    <w:p w14:paraId="3F69529C" w14:textId="77777777" w:rsidR="00BB1926" w:rsidRPr="00964EF3" w:rsidRDefault="00BB1926" w:rsidP="00BB1926">
      <w:pPr>
        <w:spacing w:line="360" w:lineRule="auto"/>
        <w:jc w:val="both"/>
        <w:rPr>
          <w:rFonts w:ascii="Arial" w:eastAsia="Times New Roman" w:hAnsi="Arial" w:cs="Arial"/>
          <w:bCs/>
          <w:sz w:val="20"/>
          <w:szCs w:val="20"/>
        </w:rPr>
      </w:pPr>
      <w:r w:rsidRPr="00BE7DCD">
        <w:rPr>
          <w:rFonts w:ascii="Arial" w:eastAsia="Times New Roman" w:hAnsi="Arial" w:cs="Arial"/>
          <w:noProof/>
          <w:sz w:val="20"/>
          <w:szCs w:val="20"/>
        </w:rPr>
        <w:lastRenderedPageBreak/>
        <w:drawing>
          <wp:inline distT="0" distB="0" distL="0" distR="0" wp14:anchorId="2E72B23C" wp14:editId="012C7DBE">
            <wp:extent cx="5942442" cy="4467727"/>
            <wp:effectExtent l="0" t="0" r="1270" b="9525"/>
            <wp:docPr id="5" name="Picture 5" descr="Description: C:\Users\HP\Desktop\Pla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Plat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68597"/>
                    </a:xfrm>
                    <a:prstGeom prst="rect">
                      <a:avLst/>
                    </a:prstGeom>
                    <a:noFill/>
                    <a:ln>
                      <a:noFill/>
                    </a:ln>
                  </pic:spPr>
                </pic:pic>
              </a:graphicData>
            </a:graphic>
          </wp:inline>
        </w:drawing>
      </w:r>
    </w:p>
    <w:p w14:paraId="4692F766" w14:textId="77777777" w:rsidR="00BB1926" w:rsidRPr="00964EF3" w:rsidRDefault="00BB1926" w:rsidP="00BB1926">
      <w:pPr>
        <w:shd w:val="clear" w:color="auto" w:fill="FFFFFF"/>
        <w:spacing w:before="100" w:beforeAutospacing="1" w:after="100" w:afterAutospacing="1" w:line="240" w:lineRule="auto"/>
        <w:ind w:left="720"/>
        <w:jc w:val="both"/>
        <w:textAlignment w:val="baseline"/>
        <w:rPr>
          <w:rFonts w:ascii="Arial" w:hAnsi="Arial" w:cs="Arial"/>
          <w:sz w:val="20"/>
          <w:szCs w:val="20"/>
        </w:rPr>
      </w:pPr>
      <w:r w:rsidRPr="00BE7DCD">
        <w:rPr>
          <w:rFonts w:ascii="Arial" w:hAnsi="Arial" w:cs="Arial"/>
          <w:b/>
          <w:sz w:val="20"/>
          <w:szCs w:val="20"/>
        </w:rPr>
        <w:t>Plate 1:</w:t>
      </w:r>
      <w:r w:rsidRPr="00BE7DCD">
        <w:rPr>
          <w:rFonts w:ascii="Arial" w:hAnsi="Arial" w:cs="Arial"/>
          <w:sz w:val="20"/>
          <w:szCs w:val="20"/>
        </w:rPr>
        <w:t xml:space="preserve"> Sclerotia of </w:t>
      </w:r>
      <w:proofErr w:type="spellStart"/>
      <w:r w:rsidRPr="00BE7DCD">
        <w:rPr>
          <w:rFonts w:ascii="Arial" w:hAnsi="Arial" w:cs="Arial"/>
          <w:i/>
          <w:sz w:val="20"/>
          <w:szCs w:val="20"/>
        </w:rPr>
        <w:t>Pleurotus</w:t>
      </w:r>
      <w:proofErr w:type="spellEnd"/>
      <w:r w:rsidRPr="00BE7DCD">
        <w:rPr>
          <w:rFonts w:ascii="Arial" w:hAnsi="Arial" w:cs="Arial"/>
          <w:i/>
          <w:sz w:val="20"/>
          <w:szCs w:val="20"/>
        </w:rPr>
        <w:t xml:space="preserve"> </w:t>
      </w:r>
      <w:proofErr w:type="spellStart"/>
      <w:r w:rsidRPr="00BE7DCD">
        <w:rPr>
          <w:rFonts w:ascii="Arial" w:hAnsi="Arial" w:cs="Arial"/>
          <w:i/>
          <w:sz w:val="20"/>
          <w:szCs w:val="20"/>
        </w:rPr>
        <w:t>tuberregium</w:t>
      </w:r>
      <w:proofErr w:type="spellEnd"/>
    </w:p>
    <w:p w14:paraId="0F29DDE6"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2.3 </w:t>
      </w:r>
      <w:r w:rsidR="00BB1926" w:rsidRPr="00695685">
        <w:rPr>
          <w:rFonts w:ascii="Arial" w:eastAsia="Times New Roman" w:hAnsi="Arial" w:cs="Arial"/>
          <w:b/>
          <w:color w:val="1F1F1F"/>
        </w:rPr>
        <w:t>Basic diet (Feed) composition:</w:t>
      </w:r>
      <w:r w:rsidR="00BB1926" w:rsidRPr="00BE7DCD">
        <w:rPr>
          <w:rFonts w:ascii="Arial" w:eastAsia="Times New Roman" w:hAnsi="Arial" w:cs="Arial"/>
          <w:color w:val="1F1F1F"/>
          <w:sz w:val="20"/>
          <w:szCs w:val="20"/>
        </w:rPr>
        <w:t xml:space="preserve"> Commercial feed (Ultima poultry feed) with the composition as shown in Table 1 were used as the basal feed for the study.</w:t>
      </w:r>
    </w:p>
    <w:p w14:paraId="54326BDD"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b/>
          <w:color w:val="1F1F1F"/>
          <w:sz w:val="20"/>
          <w:szCs w:val="20"/>
        </w:rPr>
        <w:t>Animals and Diet:</w:t>
      </w:r>
      <w:r w:rsidRPr="00BE7DCD">
        <w:rPr>
          <w:rFonts w:ascii="Arial" w:eastAsia="Times New Roman" w:hAnsi="Arial" w:cs="Arial"/>
          <w:color w:val="1F1F1F"/>
          <w:sz w:val="20"/>
          <w:szCs w:val="20"/>
        </w:rPr>
        <w:t xml:space="preserve"> Broiler chickens (</w:t>
      </w:r>
      <w:r w:rsidRPr="00BE7DCD">
        <w:rPr>
          <w:rFonts w:ascii="Arial" w:eastAsia="Times New Roman" w:hAnsi="Arial" w:cs="Arial"/>
          <w:i/>
          <w:iCs/>
          <w:color w:val="1F1F1F"/>
          <w:sz w:val="20"/>
          <w:szCs w:val="20"/>
        </w:rPr>
        <w:t>n</w:t>
      </w:r>
      <w:r w:rsidRPr="00BE7DCD">
        <w:rPr>
          <w:rFonts w:ascii="Arial" w:eastAsia="Times New Roman" w:hAnsi="Arial" w:cs="Arial"/>
          <w:color w:val="1F1F1F"/>
          <w:sz w:val="20"/>
          <w:szCs w:val="20"/>
        </w:rPr>
        <w:t> = 30) with each initial body weights of approximately 50g were purchased from a hatchery farm (</w:t>
      </w:r>
      <w:proofErr w:type="spellStart"/>
      <w:r w:rsidRPr="00BE7DCD">
        <w:rPr>
          <w:rFonts w:ascii="Arial" w:eastAsia="Times New Roman" w:hAnsi="Arial" w:cs="Arial"/>
          <w:color w:val="1F1F1F"/>
          <w:sz w:val="20"/>
          <w:szCs w:val="20"/>
        </w:rPr>
        <w:t>Agritech</w:t>
      </w:r>
      <w:proofErr w:type="spellEnd"/>
      <w:r w:rsidRPr="00BE7DCD">
        <w:rPr>
          <w:rFonts w:ascii="Arial" w:eastAsia="Times New Roman" w:hAnsi="Arial" w:cs="Arial"/>
          <w:color w:val="1F1F1F"/>
          <w:sz w:val="20"/>
          <w:szCs w:val="20"/>
        </w:rPr>
        <w:t xml:space="preserve">) in Ibadan, Nigeria. The chickens were shared into six groups of five (5) chickens per group. The sclerotia powder and feed were mixed thoroughly before used. In group 1(Control), the chickens were fed with </w:t>
      </w:r>
      <w:proofErr w:type="spellStart"/>
      <w:r w:rsidRPr="00BE7DCD">
        <w:rPr>
          <w:rFonts w:ascii="Arial" w:eastAsia="Times New Roman" w:hAnsi="Arial" w:cs="Arial"/>
          <w:color w:val="1F1F1F"/>
          <w:sz w:val="20"/>
          <w:szCs w:val="20"/>
        </w:rPr>
        <w:t>unsupplemented</w:t>
      </w:r>
      <w:proofErr w:type="spellEnd"/>
      <w:r w:rsidRPr="00BE7DCD">
        <w:rPr>
          <w:rFonts w:ascii="Arial" w:eastAsia="Times New Roman" w:hAnsi="Arial" w:cs="Arial"/>
          <w:color w:val="1F1F1F"/>
          <w:sz w:val="20"/>
          <w:szCs w:val="20"/>
        </w:rPr>
        <w:t xml:space="preserve"> feed (feed without the sclerotia) while the other groups, 2, 3, 4, 5 and 6 were fed from day 1 to 8 weeks with basic feed containing the following compositions of the sclerotia 5%, 10%, 15%, 20% and 25% (</w:t>
      </w:r>
      <w:proofErr w:type="spellStart"/>
      <w:proofErr w:type="gramStart"/>
      <w:r w:rsidRPr="00BE7DCD">
        <w:rPr>
          <w:rFonts w:ascii="Arial" w:eastAsia="Times New Roman" w:hAnsi="Arial" w:cs="Arial"/>
          <w:color w:val="1F1F1F"/>
          <w:sz w:val="20"/>
          <w:szCs w:val="20"/>
        </w:rPr>
        <w:t>w:w</w:t>
      </w:r>
      <w:proofErr w:type="spellEnd"/>
      <w:proofErr w:type="gramEnd"/>
      <w:r w:rsidRPr="00BE7DCD">
        <w:rPr>
          <w:rFonts w:ascii="Arial" w:eastAsia="Times New Roman" w:hAnsi="Arial" w:cs="Arial"/>
          <w:color w:val="1F1F1F"/>
          <w:sz w:val="20"/>
          <w:szCs w:val="20"/>
        </w:rPr>
        <w:t>). The weights of the chickens were taken every week for the 8 weeks.</w:t>
      </w:r>
    </w:p>
    <w:p w14:paraId="2D60D6AD"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2.4 </w:t>
      </w:r>
      <w:r w:rsidR="00BB1926" w:rsidRPr="00695685">
        <w:rPr>
          <w:rFonts w:ascii="Arial" w:eastAsia="Times New Roman" w:hAnsi="Arial" w:cs="Arial"/>
          <w:b/>
          <w:color w:val="1F1F1F"/>
        </w:rPr>
        <w:t>Determination of the body weight:</w:t>
      </w:r>
      <w:r w:rsidR="00BB1926" w:rsidRPr="00BE7DCD">
        <w:rPr>
          <w:rFonts w:ascii="Arial" w:eastAsia="Times New Roman" w:hAnsi="Arial" w:cs="Arial"/>
          <w:color w:val="1F1F1F"/>
          <w:sz w:val="20"/>
          <w:szCs w:val="20"/>
        </w:rPr>
        <w:t xml:space="preserve"> The weight of the </w:t>
      </w:r>
      <w:proofErr w:type="gramStart"/>
      <w:r w:rsidR="00BB1926" w:rsidRPr="00BE7DCD">
        <w:rPr>
          <w:rFonts w:ascii="Arial" w:eastAsia="Times New Roman" w:hAnsi="Arial" w:cs="Arial"/>
          <w:color w:val="1F1F1F"/>
          <w:sz w:val="20"/>
          <w:szCs w:val="20"/>
        </w:rPr>
        <w:t>day old</w:t>
      </w:r>
      <w:proofErr w:type="gramEnd"/>
      <w:r w:rsidR="00BB1926" w:rsidRPr="00BE7DCD">
        <w:rPr>
          <w:rFonts w:ascii="Arial" w:eastAsia="Times New Roman" w:hAnsi="Arial" w:cs="Arial"/>
          <w:color w:val="1F1F1F"/>
          <w:sz w:val="20"/>
          <w:szCs w:val="20"/>
        </w:rPr>
        <w:t xml:space="preserve"> chickens was determined on the arrival and subsequently every week throughout the eight weeks of the experiment. </w:t>
      </w:r>
      <w:r w:rsidR="00BB1926" w:rsidRPr="00BE7DCD">
        <w:rPr>
          <w:rFonts w:ascii="Arial" w:hAnsi="Arial" w:cs="Arial"/>
          <w:sz w:val="20"/>
          <w:szCs w:val="20"/>
        </w:rPr>
        <w:t xml:space="preserve">A General Linear Model (GLM) was used to evaluate the impact of different feed supplementation levels on chicken weight across </w:t>
      </w:r>
      <w:r w:rsidR="00BB1926" w:rsidRPr="00BE7DCD">
        <w:rPr>
          <w:rStyle w:val="Strong"/>
          <w:rFonts w:ascii="Arial" w:hAnsi="Arial" w:cs="Arial"/>
          <w:sz w:val="20"/>
          <w:szCs w:val="20"/>
        </w:rPr>
        <w:t>eight weeks of the experiment.</w:t>
      </w:r>
    </w:p>
    <w:p w14:paraId="77187912" w14:textId="77777777" w:rsidR="00BB1926" w:rsidRPr="00BE7DCD" w:rsidRDefault="00695685" w:rsidP="00BB1926">
      <w:pPr>
        <w:spacing w:after="0" w:line="360" w:lineRule="auto"/>
        <w:jc w:val="both"/>
        <w:rPr>
          <w:rFonts w:ascii="Arial" w:hAnsi="Arial" w:cs="Arial"/>
          <w:sz w:val="20"/>
          <w:szCs w:val="20"/>
        </w:rPr>
      </w:pPr>
      <w:r>
        <w:rPr>
          <w:rFonts w:ascii="Arial" w:eastAsia="Times New Roman" w:hAnsi="Arial" w:cs="Arial"/>
          <w:b/>
          <w:color w:val="1F1F1F"/>
        </w:rPr>
        <w:lastRenderedPageBreak/>
        <w:t xml:space="preserve">2.5 </w:t>
      </w:r>
      <w:r w:rsidR="00BB1926" w:rsidRPr="00695685">
        <w:rPr>
          <w:rFonts w:ascii="Arial" w:eastAsia="Times New Roman" w:hAnsi="Arial" w:cs="Arial"/>
          <w:b/>
          <w:color w:val="1F1F1F"/>
        </w:rPr>
        <w:t>Determination of protein in the meat:</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 xml:space="preserve">After eight weeks of feeding, the chickens were slaughtered and the tissues were collected for crude protein analysis. The crude protein of the meat samples </w:t>
      </w:r>
      <w:proofErr w:type="gramStart"/>
      <w:r w:rsidR="00BB1926" w:rsidRPr="00BE7DCD">
        <w:rPr>
          <w:rFonts w:ascii="Arial" w:eastAsia="Times New Roman" w:hAnsi="Arial" w:cs="Arial"/>
          <w:color w:val="1F1F1F"/>
          <w:sz w:val="20"/>
          <w:szCs w:val="20"/>
        </w:rPr>
        <w:t>were</w:t>
      </w:r>
      <w:proofErr w:type="gramEnd"/>
      <w:r w:rsidR="00BB1926" w:rsidRPr="00BE7DCD">
        <w:rPr>
          <w:rFonts w:ascii="Arial" w:eastAsia="Times New Roman" w:hAnsi="Arial" w:cs="Arial"/>
          <w:color w:val="1F1F1F"/>
          <w:sz w:val="20"/>
          <w:szCs w:val="20"/>
        </w:rPr>
        <w:t xml:space="preserve"> determined according to the methods described by </w:t>
      </w:r>
      <w:proofErr w:type="spellStart"/>
      <w:r w:rsidR="00BB1926" w:rsidRPr="00BE7DCD">
        <w:rPr>
          <w:rFonts w:ascii="Arial" w:hAnsi="Arial" w:cs="Arial"/>
          <w:sz w:val="20"/>
          <w:szCs w:val="20"/>
        </w:rPr>
        <w:t>Kjeldahl</w:t>
      </w:r>
      <w:proofErr w:type="spellEnd"/>
      <w:r w:rsidR="00BB1926" w:rsidRPr="00BE7DCD">
        <w:rPr>
          <w:rFonts w:ascii="Arial" w:hAnsi="Arial" w:cs="Arial"/>
          <w:sz w:val="20"/>
          <w:szCs w:val="20"/>
        </w:rPr>
        <w:t xml:space="preserve"> Method (AOAC Official Method 984.13).</w:t>
      </w:r>
    </w:p>
    <w:p w14:paraId="00E999A9" w14:textId="77777777" w:rsidR="00BB1926"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2.6 </w:t>
      </w:r>
      <w:r w:rsidR="00BB1926" w:rsidRPr="00695685">
        <w:rPr>
          <w:rFonts w:ascii="Arial" w:eastAsia="Times New Roman" w:hAnsi="Arial" w:cs="Arial"/>
          <w:b/>
          <w:color w:val="1F1F1F"/>
        </w:rPr>
        <w:t>Collection of blood samples for lipid profile:</w:t>
      </w:r>
      <w:r w:rsidR="00BB1926" w:rsidRPr="00BE7DCD">
        <w:rPr>
          <w:rFonts w:ascii="Arial" w:eastAsia="Times New Roman" w:hAnsi="Arial" w:cs="Arial"/>
          <w:color w:val="1F1F1F"/>
          <w:sz w:val="20"/>
          <w:szCs w:val="20"/>
        </w:rPr>
        <w:t xml:space="preserve"> Blood samples were obtained with the help of a Vet Doctor. The blood samples were taken under the wing of the chickens (Plate 2) and were collected in triplicates in </w:t>
      </w:r>
      <w:proofErr w:type="spellStart"/>
      <w:r w:rsidR="00BB1926" w:rsidRPr="00BE7DCD">
        <w:rPr>
          <w:rFonts w:ascii="Arial" w:eastAsia="Times New Roman" w:hAnsi="Arial" w:cs="Arial"/>
          <w:color w:val="1F1F1F"/>
          <w:sz w:val="20"/>
          <w:szCs w:val="20"/>
        </w:rPr>
        <w:t>ethylendiametetraacetic</w:t>
      </w:r>
      <w:proofErr w:type="spellEnd"/>
      <w:r w:rsidR="00BB1926" w:rsidRPr="00BE7DCD">
        <w:rPr>
          <w:rFonts w:ascii="Arial" w:eastAsia="Times New Roman" w:hAnsi="Arial" w:cs="Arial"/>
          <w:color w:val="1F1F1F"/>
          <w:sz w:val="20"/>
          <w:szCs w:val="20"/>
        </w:rPr>
        <w:t xml:space="preserve">-acid-(EDTA-) coated tubes and taken to the laboratory for analysis. </w:t>
      </w:r>
    </w:p>
    <w:p w14:paraId="1CB88E16" w14:textId="77777777" w:rsidR="00BB1926" w:rsidRPr="00964EF3" w:rsidRDefault="00BB1926" w:rsidP="00BB1926">
      <w:pPr>
        <w:spacing w:after="0" w:line="360" w:lineRule="auto"/>
        <w:jc w:val="both"/>
        <w:rPr>
          <w:rFonts w:ascii="Arial" w:eastAsia="Times New Roman" w:hAnsi="Arial" w:cs="Arial"/>
          <w:color w:val="1F1F1F"/>
          <w:sz w:val="20"/>
          <w:szCs w:val="20"/>
        </w:rPr>
      </w:pPr>
      <w:r w:rsidRPr="00BE7DCD">
        <w:rPr>
          <w:rFonts w:ascii="Arial" w:hAnsi="Arial" w:cs="Arial"/>
          <w:noProof/>
          <w:sz w:val="20"/>
          <w:szCs w:val="20"/>
        </w:rPr>
        <w:drawing>
          <wp:inline distT="0" distB="0" distL="0" distR="0" wp14:anchorId="22E0A29D" wp14:editId="1ECB2A8B">
            <wp:extent cx="5843905" cy="5777230"/>
            <wp:effectExtent l="0" t="0" r="4445" b="0"/>
            <wp:docPr id="3" name="Picture 3" descr="Description: C:\Users\HP\Desktop\Plat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P\Desktop\Plat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3905" cy="5777230"/>
                    </a:xfrm>
                    <a:prstGeom prst="rect">
                      <a:avLst/>
                    </a:prstGeom>
                    <a:noFill/>
                    <a:ln>
                      <a:noFill/>
                    </a:ln>
                  </pic:spPr>
                </pic:pic>
              </a:graphicData>
            </a:graphic>
          </wp:inline>
        </w:drawing>
      </w:r>
    </w:p>
    <w:p w14:paraId="6F2FA37A" w14:textId="77777777" w:rsidR="00BB1926" w:rsidRPr="00BE7DCD" w:rsidRDefault="00BB1926" w:rsidP="00BB1926">
      <w:pPr>
        <w:shd w:val="clear" w:color="auto" w:fill="FFFFFF"/>
        <w:spacing w:before="100" w:beforeAutospacing="1" w:after="100" w:afterAutospacing="1" w:line="240" w:lineRule="auto"/>
        <w:ind w:left="720"/>
        <w:jc w:val="both"/>
        <w:textAlignment w:val="baseline"/>
        <w:rPr>
          <w:rFonts w:ascii="Arial" w:hAnsi="Arial" w:cs="Arial"/>
          <w:sz w:val="20"/>
          <w:szCs w:val="20"/>
        </w:rPr>
      </w:pPr>
      <w:r w:rsidRPr="00BE7DCD">
        <w:rPr>
          <w:rFonts w:ascii="Arial" w:hAnsi="Arial" w:cs="Arial"/>
          <w:b/>
          <w:sz w:val="20"/>
          <w:szCs w:val="20"/>
        </w:rPr>
        <w:t>Plate 2:</w:t>
      </w:r>
      <w:r w:rsidRPr="00BE7DCD">
        <w:rPr>
          <w:rFonts w:ascii="Arial" w:hAnsi="Arial" w:cs="Arial"/>
          <w:sz w:val="20"/>
          <w:szCs w:val="20"/>
        </w:rPr>
        <w:t xml:space="preserve"> Collection of blood samples from the Broiler Chickens</w:t>
      </w:r>
    </w:p>
    <w:p w14:paraId="119F8196" w14:textId="77777777" w:rsidR="00BB1926" w:rsidRDefault="00BB1926" w:rsidP="00BB1926">
      <w:pPr>
        <w:spacing w:after="0" w:line="360" w:lineRule="auto"/>
        <w:jc w:val="both"/>
        <w:rPr>
          <w:rFonts w:ascii="Arial" w:eastAsia="Times New Roman" w:hAnsi="Arial" w:cs="Arial"/>
          <w:color w:val="1F1F1F"/>
          <w:sz w:val="20"/>
          <w:szCs w:val="20"/>
        </w:rPr>
      </w:pPr>
    </w:p>
    <w:p w14:paraId="2F3B15E9"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08C44AE3"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2.7 </w:t>
      </w:r>
      <w:r w:rsidR="00BB1926" w:rsidRPr="00695685">
        <w:rPr>
          <w:rFonts w:ascii="Arial" w:eastAsia="Times New Roman" w:hAnsi="Arial" w:cs="Arial"/>
          <w:b/>
          <w:color w:val="1F1F1F"/>
        </w:rPr>
        <w:t>Determination of Total Glyceride (TG):</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 xml:space="preserve">Total glyceride was measured enzymatically using the method of </w:t>
      </w:r>
      <w:proofErr w:type="spellStart"/>
      <w:r w:rsidR="00BB1926" w:rsidRPr="00BE7DCD">
        <w:rPr>
          <w:rFonts w:ascii="Arial" w:eastAsia="Times New Roman" w:hAnsi="Arial" w:cs="Arial"/>
          <w:color w:val="1F1F1F"/>
          <w:sz w:val="20"/>
          <w:szCs w:val="20"/>
        </w:rPr>
        <w:t>Burtis</w:t>
      </w:r>
      <w:proofErr w:type="spellEnd"/>
      <w:r w:rsidR="00BB1926" w:rsidRPr="00BE7DCD">
        <w:rPr>
          <w:rFonts w:ascii="Arial" w:eastAsia="Times New Roman" w:hAnsi="Arial" w:cs="Arial"/>
          <w:color w:val="1F1F1F"/>
          <w:sz w:val="20"/>
          <w:szCs w:val="20"/>
        </w:rPr>
        <w:t xml:space="preserve"> and Ashwood, (2006). Glycerophosphate oxidase assay was used. Lipase catalyzed the hydrolysis of triglycerides to yield glycerol and free fatty acids. Glycerol concentration was then determined with the Trinder reaction using glycerol kinase, glycerol-3 phosphate oxidase and peroxidase. Red dye which was </w:t>
      </w:r>
      <w:proofErr w:type="spellStart"/>
      <w:r w:rsidR="00BB1926" w:rsidRPr="00BE7DCD">
        <w:rPr>
          <w:rFonts w:ascii="Arial" w:eastAsia="Times New Roman" w:hAnsi="Arial" w:cs="Arial"/>
          <w:color w:val="1F1F1F"/>
          <w:sz w:val="20"/>
          <w:szCs w:val="20"/>
        </w:rPr>
        <w:t>quinoneimine</w:t>
      </w:r>
      <w:proofErr w:type="spellEnd"/>
      <w:r w:rsidR="00BB1926" w:rsidRPr="00BE7DCD">
        <w:rPr>
          <w:rFonts w:ascii="Arial" w:eastAsia="Times New Roman" w:hAnsi="Arial" w:cs="Arial"/>
          <w:color w:val="1F1F1F"/>
          <w:sz w:val="20"/>
          <w:szCs w:val="20"/>
        </w:rPr>
        <w:t xml:space="preserve"> was formed. The absorbance of the product was measured at 546 nm using spectrophotometer and this was directly proportional to triglyceride concentration in the plasma.</w:t>
      </w:r>
    </w:p>
    <w:p w14:paraId="6D79A5A0"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2.8 </w:t>
      </w:r>
      <w:r w:rsidR="00BB1926" w:rsidRPr="00695685">
        <w:rPr>
          <w:rFonts w:ascii="Arial" w:eastAsia="Times New Roman" w:hAnsi="Arial" w:cs="Arial"/>
          <w:b/>
          <w:color w:val="1F1F1F"/>
        </w:rPr>
        <w:t>Determination of Total Cholesterol (TC):</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 xml:space="preserve">The total cholesterol was measured using oxidase assay described by </w:t>
      </w:r>
      <w:proofErr w:type="spellStart"/>
      <w:r w:rsidR="00BB1926" w:rsidRPr="00BE7DCD">
        <w:rPr>
          <w:rFonts w:ascii="Arial" w:eastAsia="Times New Roman" w:hAnsi="Arial" w:cs="Arial"/>
          <w:color w:val="1F1F1F"/>
          <w:sz w:val="20"/>
          <w:szCs w:val="20"/>
        </w:rPr>
        <w:t>Burtis</w:t>
      </w:r>
      <w:proofErr w:type="spellEnd"/>
      <w:r w:rsidR="00BB1926" w:rsidRPr="00BE7DCD">
        <w:rPr>
          <w:rFonts w:ascii="Arial" w:eastAsia="Times New Roman" w:hAnsi="Arial" w:cs="Arial"/>
          <w:color w:val="1F1F1F"/>
          <w:sz w:val="20"/>
          <w:szCs w:val="20"/>
        </w:rPr>
        <w:t xml:space="preserve"> and Ashwood, (2006). Cholesterol esterase was first used to catalyze the hydrolysis of cholesterol which was then oxidized by cholesterol oxidase to yield hydrogen peroxide. Through coupled reaction </w:t>
      </w:r>
      <w:proofErr w:type="spellStart"/>
      <w:r w:rsidR="00BB1926" w:rsidRPr="00BE7DCD">
        <w:rPr>
          <w:rFonts w:ascii="Arial" w:eastAsia="Times New Roman" w:hAnsi="Arial" w:cs="Arial"/>
          <w:color w:val="1F1F1F"/>
          <w:sz w:val="20"/>
          <w:szCs w:val="20"/>
        </w:rPr>
        <w:t>catalized</w:t>
      </w:r>
      <w:proofErr w:type="spellEnd"/>
      <w:r w:rsidR="00BB1926" w:rsidRPr="00BE7DCD">
        <w:rPr>
          <w:rFonts w:ascii="Arial" w:eastAsia="Times New Roman" w:hAnsi="Arial" w:cs="Arial"/>
          <w:color w:val="1F1F1F"/>
          <w:sz w:val="20"/>
          <w:szCs w:val="20"/>
        </w:rPr>
        <w:t xml:space="preserve"> by peroxidase, red dye was formed from hydrogen peroxide, 4-aminoantipyrine and phenol. The absorbance of the dye was measured at 546 using spectrophotometer. The result was directly proportional to the concentration of cholesterol in the blood.</w:t>
      </w:r>
    </w:p>
    <w:p w14:paraId="6ED3F00C"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2.9 </w:t>
      </w:r>
      <w:r w:rsidR="00BB1926" w:rsidRPr="00695685">
        <w:rPr>
          <w:rFonts w:ascii="Arial" w:eastAsia="Times New Roman" w:hAnsi="Arial" w:cs="Arial"/>
          <w:b/>
          <w:color w:val="1F1F1F"/>
        </w:rPr>
        <w:t>Determination of the Plasma Lipoprotein:</w:t>
      </w:r>
      <w:r w:rsidR="00BB1926" w:rsidRPr="00BE7DCD">
        <w:rPr>
          <w:rFonts w:ascii="Arial" w:eastAsia="Times New Roman" w:hAnsi="Arial" w:cs="Arial"/>
          <w:color w:val="1F1F1F"/>
          <w:sz w:val="20"/>
          <w:szCs w:val="20"/>
        </w:rPr>
        <w:t xml:space="preserve"> The same method used for the measurement of cholesterol was used to measure High-density lipoprotein (HDL), Low-density lipoprotein (LDL) and Very-low density lipoprotein (VLDL). They were measured after precipitating the low-density lipoprotein and low-density lipoprotein using magnesium sulfate and </w:t>
      </w:r>
      <w:proofErr w:type="spellStart"/>
      <w:r w:rsidR="00BB1926" w:rsidRPr="00BE7DCD">
        <w:rPr>
          <w:rFonts w:ascii="Arial" w:eastAsia="Times New Roman" w:hAnsi="Arial" w:cs="Arial"/>
          <w:color w:val="1F1F1F"/>
          <w:sz w:val="20"/>
          <w:szCs w:val="20"/>
        </w:rPr>
        <w:t>phosphotungstic</w:t>
      </w:r>
      <w:proofErr w:type="spellEnd"/>
      <w:r w:rsidR="00BB1926" w:rsidRPr="00BE7DCD">
        <w:rPr>
          <w:rFonts w:ascii="Arial" w:eastAsia="Times New Roman" w:hAnsi="Arial" w:cs="Arial"/>
          <w:color w:val="1F1F1F"/>
          <w:sz w:val="20"/>
          <w:szCs w:val="20"/>
        </w:rPr>
        <w:t xml:space="preserve"> acid. The LDL calculation was done using the method of </w:t>
      </w:r>
      <w:proofErr w:type="spellStart"/>
      <w:r w:rsidR="00BB1926" w:rsidRPr="00BE7DCD">
        <w:rPr>
          <w:rFonts w:ascii="Arial" w:eastAsia="Times New Roman" w:hAnsi="Arial" w:cs="Arial"/>
          <w:color w:val="1F1F1F"/>
          <w:sz w:val="20"/>
          <w:szCs w:val="20"/>
        </w:rPr>
        <w:t>Burtis</w:t>
      </w:r>
      <w:proofErr w:type="spellEnd"/>
      <w:r w:rsidR="00BB1926" w:rsidRPr="00BE7DCD">
        <w:rPr>
          <w:rFonts w:ascii="Arial" w:eastAsia="Times New Roman" w:hAnsi="Arial" w:cs="Arial"/>
          <w:color w:val="1F1F1F"/>
          <w:sz w:val="20"/>
          <w:szCs w:val="20"/>
        </w:rPr>
        <w:t xml:space="preserve"> and Ashwood, (2006) as follows:</w:t>
      </w:r>
    </w:p>
    <w:p w14:paraId="53ACDF30"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For LDL (LDL = TC – HDL + TG/5)</w:t>
      </w:r>
    </w:p>
    <w:p w14:paraId="29FB24C2"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For VLDL (VLDL=TC – HDL+LDL)</w:t>
      </w:r>
    </w:p>
    <w:p w14:paraId="22BDE4AB"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The blood samples were centrifuged at 3000x rpm at 22</w:t>
      </w:r>
      <w:r w:rsidRPr="00BE7DCD">
        <w:rPr>
          <w:rFonts w:ascii="Arial" w:eastAsia="Times New Roman" w:hAnsi="Arial" w:cs="Arial"/>
          <w:color w:val="1F1F1F"/>
          <w:sz w:val="20"/>
          <w:szCs w:val="20"/>
          <w:vertAlign w:val="superscript"/>
        </w:rPr>
        <w:t>0</w:t>
      </w:r>
      <w:r w:rsidRPr="00BE7DCD">
        <w:rPr>
          <w:rFonts w:ascii="Arial" w:eastAsia="Times New Roman" w:hAnsi="Arial" w:cs="Arial"/>
          <w:color w:val="1F1F1F"/>
          <w:sz w:val="20"/>
          <w:szCs w:val="20"/>
        </w:rPr>
        <w:t xml:space="preserve">C for 25 minutes. After centrifugation, the High-density lipoprotein (HDL) was isolated from plasma with dextran sulphate and magnesium chloride as described by </w:t>
      </w:r>
      <w:proofErr w:type="spellStart"/>
      <w:r w:rsidRPr="00BE7DCD">
        <w:rPr>
          <w:rFonts w:ascii="Arial" w:eastAsia="Times New Roman" w:hAnsi="Arial" w:cs="Arial"/>
          <w:color w:val="1F1F1F"/>
          <w:sz w:val="20"/>
          <w:szCs w:val="20"/>
        </w:rPr>
        <w:t>Sjoblom</w:t>
      </w:r>
      <w:proofErr w:type="spellEnd"/>
      <w:r w:rsidRPr="00BE7DCD">
        <w:rPr>
          <w:rFonts w:ascii="Arial" w:eastAsia="Times New Roman" w:hAnsi="Arial" w:cs="Arial"/>
          <w:color w:val="1F1F1F"/>
          <w:sz w:val="20"/>
          <w:szCs w:val="20"/>
        </w:rPr>
        <w:t xml:space="preserve"> and Eklund (1989). The total plasma cholesterol (TC), TG and HDL cholesterol were measured using the </w:t>
      </w:r>
      <w:proofErr w:type="spellStart"/>
      <w:r w:rsidRPr="00BE7DCD">
        <w:rPr>
          <w:rFonts w:ascii="Arial" w:eastAsia="Times New Roman" w:hAnsi="Arial" w:cs="Arial"/>
          <w:color w:val="1F1F1F"/>
          <w:sz w:val="20"/>
          <w:szCs w:val="20"/>
        </w:rPr>
        <w:t>Konelab</w:t>
      </w:r>
      <w:proofErr w:type="spellEnd"/>
      <w:r w:rsidRPr="00BE7DCD">
        <w:rPr>
          <w:rFonts w:ascii="Arial" w:eastAsia="Times New Roman" w:hAnsi="Arial" w:cs="Arial"/>
          <w:color w:val="1F1F1F"/>
          <w:sz w:val="20"/>
          <w:szCs w:val="20"/>
        </w:rPr>
        <w:t xml:space="preserve"> 20XT with infinity reagent from Thermo Fisher Scientific (Auburn NSW, Australia).</w:t>
      </w:r>
    </w:p>
    <w:p w14:paraId="69FA44D1"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2.10 </w:t>
      </w:r>
      <w:r w:rsidR="00BB1926" w:rsidRPr="00695685">
        <w:rPr>
          <w:rFonts w:ascii="Arial" w:eastAsia="Times New Roman" w:hAnsi="Arial" w:cs="Arial"/>
          <w:b/>
          <w:color w:val="1F1F1F"/>
        </w:rPr>
        <w:t>Statistical Analysis:</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 xml:space="preserve">All results were expressed as mean ± Standard Error (SE). All parameters for inter group differences were analyzed by </w:t>
      </w:r>
      <w:proofErr w:type="gramStart"/>
      <w:r w:rsidR="00BB1926" w:rsidRPr="00BE7DCD">
        <w:rPr>
          <w:rFonts w:ascii="Arial" w:eastAsia="Times New Roman" w:hAnsi="Arial" w:cs="Arial"/>
          <w:color w:val="1F1F1F"/>
          <w:sz w:val="20"/>
          <w:szCs w:val="20"/>
        </w:rPr>
        <w:t>one way</w:t>
      </w:r>
      <w:proofErr w:type="gramEnd"/>
      <w:r w:rsidR="00BB1926" w:rsidRPr="00BE7DCD">
        <w:rPr>
          <w:rFonts w:ascii="Arial" w:eastAsia="Times New Roman" w:hAnsi="Arial" w:cs="Arial"/>
          <w:color w:val="1F1F1F"/>
          <w:sz w:val="20"/>
          <w:szCs w:val="20"/>
        </w:rPr>
        <w:t xml:space="preserve"> ANOVA followed by post hoc operation. The statistical </w:t>
      </w:r>
      <w:proofErr w:type="spellStart"/>
      <w:r w:rsidR="00BB1926" w:rsidRPr="00BE7DCD">
        <w:rPr>
          <w:rFonts w:ascii="Arial" w:eastAsia="Times New Roman" w:hAnsi="Arial" w:cs="Arial"/>
          <w:color w:val="1F1F1F"/>
          <w:sz w:val="20"/>
          <w:szCs w:val="20"/>
        </w:rPr>
        <w:t>programme</w:t>
      </w:r>
      <w:proofErr w:type="spellEnd"/>
      <w:r w:rsidR="00BB1926" w:rsidRPr="00BE7DCD">
        <w:rPr>
          <w:rFonts w:ascii="Arial" w:eastAsia="Times New Roman" w:hAnsi="Arial" w:cs="Arial"/>
          <w:color w:val="1F1F1F"/>
          <w:sz w:val="20"/>
          <w:szCs w:val="20"/>
        </w:rPr>
        <w:t xml:space="preserve"> used was SPSS 25. (P&lt; 0.05 was considered statistically significant)</w:t>
      </w:r>
    </w:p>
    <w:p w14:paraId="412EF7D1"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 xml:space="preserve">The weight of the chickens and blood lipids profiles were reported as mean and standard errors. SPSS software (version 25. SPSS Inc, </w:t>
      </w:r>
      <w:proofErr w:type="spellStart"/>
      <w:r w:rsidRPr="00BE7DCD">
        <w:rPr>
          <w:rFonts w:ascii="Arial" w:eastAsia="Times New Roman" w:hAnsi="Arial" w:cs="Arial"/>
          <w:color w:val="1F1F1F"/>
          <w:sz w:val="20"/>
          <w:szCs w:val="20"/>
        </w:rPr>
        <w:t>Chikago</w:t>
      </w:r>
      <w:proofErr w:type="spellEnd"/>
      <w:r w:rsidRPr="00BE7DCD">
        <w:rPr>
          <w:rFonts w:ascii="Arial" w:eastAsia="Times New Roman" w:hAnsi="Arial" w:cs="Arial"/>
          <w:color w:val="1F1F1F"/>
          <w:sz w:val="20"/>
          <w:szCs w:val="20"/>
        </w:rPr>
        <w:t>, Ill, USA was used for the Statistical analysis. One-way ANOVAs were used, and it was followed by a post hoc Turkey-Kramer significant differences test for multiple comparisons among the groups. Differences were considered significant when p &lt; 0.05.</w:t>
      </w:r>
    </w:p>
    <w:p w14:paraId="41E5EA5D"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2C5CB8AB"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7C254B83"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3DCEE729" w14:textId="77777777" w:rsidR="00BB1926" w:rsidRDefault="00BB1926" w:rsidP="00BB1926">
      <w:pPr>
        <w:spacing w:after="0" w:line="360" w:lineRule="auto"/>
        <w:jc w:val="both"/>
        <w:rPr>
          <w:rFonts w:ascii="Arial" w:eastAsia="Times New Roman" w:hAnsi="Arial" w:cs="Arial"/>
          <w:color w:val="1F1F1F"/>
          <w:sz w:val="20"/>
          <w:szCs w:val="20"/>
        </w:rPr>
      </w:pPr>
    </w:p>
    <w:p w14:paraId="4586F26D" w14:textId="77777777" w:rsidR="00695685" w:rsidRPr="00BE7DCD" w:rsidRDefault="00695685" w:rsidP="00BB1926">
      <w:pPr>
        <w:spacing w:after="0" w:line="360" w:lineRule="auto"/>
        <w:jc w:val="both"/>
        <w:rPr>
          <w:rFonts w:ascii="Arial" w:eastAsia="Times New Roman" w:hAnsi="Arial" w:cs="Arial"/>
          <w:color w:val="1F1F1F"/>
          <w:sz w:val="20"/>
          <w:szCs w:val="20"/>
        </w:rPr>
      </w:pPr>
    </w:p>
    <w:p w14:paraId="650F13F7" w14:textId="77777777" w:rsidR="00BB1926" w:rsidRPr="00695685" w:rsidRDefault="00BB1926" w:rsidP="00695685">
      <w:pPr>
        <w:pStyle w:val="ListParagraph"/>
        <w:numPr>
          <w:ilvl w:val="0"/>
          <w:numId w:val="1"/>
        </w:numPr>
        <w:spacing w:after="0" w:line="240" w:lineRule="auto"/>
        <w:jc w:val="both"/>
        <w:rPr>
          <w:rFonts w:ascii="Arial" w:eastAsia="Times New Roman" w:hAnsi="Arial" w:cs="Arial"/>
          <w:b/>
          <w:color w:val="1F1F1F"/>
        </w:rPr>
      </w:pPr>
      <w:r w:rsidRPr="00695685">
        <w:rPr>
          <w:rFonts w:ascii="Arial" w:eastAsia="Times New Roman" w:hAnsi="Arial" w:cs="Arial"/>
          <w:b/>
          <w:color w:val="1F1F1F"/>
        </w:rPr>
        <w:lastRenderedPageBreak/>
        <w:t>RESULTS</w:t>
      </w:r>
    </w:p>
    <w:p w14:paraId="0E7DD8CE" w14:textId="77777777" w:rsidR="00BB1926" w:rsidRDefault="00BB1926" w:rsidP="00BB1926">
      <w:pPr>
        <w:pStyle w:val="NormalWeb"/>
        <w:spacing w:line="360" w:lineRule="auto"/>
        <w:jc w:val="both"/>
        <w:rPr>
          <w:rFonts w:ascii="Arial" w:hAnsi="Arial" w:cs="Arial"/>
          <w:sz w:val="20"/>
          <w:szCs w:val="20"/>
        </w:rPr>
      </w:pPr>
      <w:r w:rsidRPr="00BE7DCD">
        <w:rPr>
          <w:rFonts w:ascii="Arial" w:hAnsi="Arial" w:cs="Arial"/>
          <w:b/>
          <w:color w:val="1F1F1F"/>
          <w:sz w:val="20"/>
          <w:szCs w:val="20"/>
        </w:rPr>
        <w:t xml:space="preserve"> </w:t>
      </w:r>
      <w:r w:rsidR="00695685">
        <w:rPr>
          <w:rFonts w:ascii="Arial" w:hAnsi="Arial" w:cs="Arial"/>
          <w:b/>
          <w:color w:val="1F1F1F"/>
          <w:sz w:val="20"/>
          <w:szCs w:val="20"/>
        </w:rPr>
        <w:t xml:space="preserve">3.1 </w:t>
      </w:r>
      <w:r w:rsidRPr="00695685">
        <w:rPr>
          <w:rFonts w:ascii="Arial" w:hAnsi="Arial" w:cs="Arial"/>
          <w:b/>
          <w:color w:val="1F1F1F"/>
          <w:sz w:val="22"/>
          <w:szCs w:val="22"/>
        </w:rPr>
        <w:t>Body weight:</w:t>
      </w:r>
      <w:r w:rsidRPr="00BE7DCD">
        <w:rPr>
          <w:rFonts w:ascii="Arial" w:hAnsi="Arial" w:cs="Arial"/>
          <w:color w:val="1F1F1F"/>
          <w:sz w:val="20"/>
          <w:szCs w:val="20"/>
        </w:rPr>
        <w:t xml:space="preserve"> The body weights of the chickens were affected by the addition of the mushroom in the diet. </w:t>
      </w:r>
      <w:r w:rsidRPr="00BE7DCD">
        <w:rPr>
          <w:rFonts w:ascii="Arial" w:hAnsi="Arial" w:cs="Arial"/>
          <w:sz w:val="20"/>
          <w:szCs w:val="20"/>
        </w:rPr>
        <w:t xml:space="preserve">The study found significant effects of the mushroom on the body weight gain. It also suggests a possible inverse relationship between the level of treatment inclusion of the mushroom and body weight gain. The body weight decreased progressively with increasing percentage of the sclerotia from 0% to 25% (Fig. 1). The </w:t>
      </w:r>
      <w:r w:rsidRPr="00695685">
        <w:rPr>
          <w:rStyle w:val="Strong"/>
          <w:rFonts w:ascii="Arial" w:eastAsiaTheme="majorEastAsia" w:hAnsi="Arial" w:cs="Arial"/>
          <w:b w:val="0"/>
          <w:sz w:val="20"/>
          <w:szCs w:val="20"/>
        </w:rPr>
        <w:t>0%, 5%, and 10% feed levels</w:t>
      </w:r>
      <w:r w:rsidRPr="00695685">
        <w:rPr>
          <w:rFonts w:ascii="Arial" w:hAnsi="Arial" w:cs="Arial"/>
          <w:b/>
          <w:sz w:val="20"/>
          <w:szCs w:val="20"/>
        </w:rPr>
        <w:t xml:space="preserve"> </w:t>
      </w:r>
      <w:r w:rsidRPr="00BE7DCD">
        <w:rPr>
          <w:rFonts w:ascii="Arial" w:hAnsi="Arial" w:cs="Arial"/>
          <w:sz w:val="20"/>
          <w:szCs w:val="20"/>
        </w:rPr>
        <w:t xml:space="preserve">produced significantly heavier chickens than </w:t>
      </w:r>
      <w:r w:rsidRPr="00695685">
        <w:rPr>
          <w:rStyle w:val="Strong"/>
          <w:rFonts w:ascii="Arial" w:eastAsiaTheme="majorEastAsia" w:hAnsi="Arial" w:cs="Arial"/>
          <w:b w:val="0"/>
          <w:sz w:val="20"/>
          <w:szCs w:val="20"/>
        </w:rPr>
        <w:t>20–25%</w:t>
      </w:r>
      <w:r w:rsidRPr="00695685">
        <w:rPr>
          <w:rFonts w:ascii="Arial" w:hAnsi="Arial" w:cs="Arial"/>
          <w:b/>
          <w:sz w:val="20"/>
          <w:szCs w:val="20"/>
        </w:rPr>
        <w:t>,</w:t>
      </w:r>
      <w:r w:rsidRPr="00BE7DCD">
        <w:rPr>
          <w:rFonts w:ascii="Arial" w:hAnsi="Arial" w:cs="Arial"/>
          <w:b/>
          <w:sz w:val="20"/>
          <w:szCs w:val="20"/>
        </w:rPr>
        <w:t xml:space="preserve"> </w:t>
      </w:r>
      <w:r w:rsidRPr="00BE7DCD">
        <w:rPr>
          <w:rFonts w:ascii="Arial" w:hAnsi="Arial" w:cs="Arial"/>
          <w:sz w:val="20"/>
          <w:szCs w:val="20"/>
        </w:rPr>
        <w:t xml:space="preserve">with </w:t>
      </w:r>
      <w:r w:rsidRPr="00695685">
        <w:rPr>
          <w:rStyle w:val="Strong"/>
          <w:rFonts w:ascii="Arial" w:eastAsiaTheme="majorEastAsia" w:hAnsi="Arial" w:cs="Arial"/>
          <w:b w:val="0"/>
          <w:sz w:val="20"/>
          <w:szCs w:val="20"/>
        </w:rPr>
        <w:t>15%</w:t>
      </w:r>
      <w:r w:rsidRPr="00695685">
        <w:rPr>
          <w:rFonts w:ascii="Arial" w:hAnsi="Arial" w:cs="Arial"/>
          <w:b/>
          <w:sz w:val="20"/>
          <w:szCs w:val="20"/>
        </w:rPr>
        <w:t xml:space="preserve"> </w:t>
      </w:r>
      <w:r w:rsidRPr="00BE7DCD">
        <w:rPr>
          <w:rFonts w:ascii="Arial" w:hAnsi="Arial" w:cs="Arial"/>
          <w:sz w:val="20"/>
          <w:szCs w:val="20"/>
        </w:rPr>
        <w:t xml:space="preserve">intermediate. Growth was </w:t>
      </w:r>
      <w:r w:rsidRPr="00BE7DCD">
        <w:rPr>
          <w:rStyle w:val="Strong"/>
          <w:rFonts w:ascii="Arial" w:eastAsiaTheme="majorEastAsia" w:hAnsi="Arial" w:cs="Arial"/>
          <w:sz w:val="20"/>
          <w:szCs w:val="20"/>
        </w:rPr>
        <w:t>linear and steep</w:t>
      </w:r>
      <w:r w:rsidRPr="00BE7DCD">
        <w:rPr>
          <w:rFonts w:ascii="Arial" w:hAnsi="Arial" w:cs="Arial"/>
          <w:b/>
          <w:bCs/>
          <w:sz w:val="20"/>
          <w:szCs w:val="20"/>
        </w:rPr>
        <w:t>.</w:t>
      </w:r>
      <w:r w:rsidRPr="00BE7DCD">
        <w:rPr>
          <w:rFonts w:ascii="Arial" w:hAnsi="Arial" w:cs="Arial"/>
          <w:sz w:val="20"/>
          <w:szCs w:val="20"/>
        </w:rPr>
        <w:t xml:space="preserve"> Week 1 mean was135.6 g while week 8 mean was 2406.7 g. The differences between feed levels were minor early but </w:t>
      </w:r>
      <w:r w:rsidRPr="00695685">
        <w:rPr>
          <w:rStyle w:val="Strong"/>
          <w:rFonts w:ascii="Arial" w:eastAsiaTheme="majorEastAsia" w:hAnsi="Arial" w:cs="Arial"/>
          <w:b w:val="0"/>
          <w:sz w:val="20"/>
          <w:szCs w:val="20"/>
        </w:rPr>
        <w:t>became marked after Week 5</w:t>
      </w:r>
      <w:r w:rsidRPr="00695685">
        <w:rPr>
          <w:rFonts w:ascii="Arial" w:hAnsi="Arial" w:cs="Arial"/>
          <w:b/>
          <w:bCs/>
          <w:sz w:val="20"/>
          <w:szCs w:val="20"/>
        </w:rPr>
        <w:t>.</w:t>
      </w:r>
      <w:r w:rsidRPr="00BE7DCD">
        <w:rPr>
          <w:rFonts w:ascii="Arial" w:hAnsi="Arial" w:cs="Arial"/>
          <w:sz w:val="20"/>
          <w:szCs w:val="20"/>
        </w:rPr>
        <w:t xml:space="preserve"> There is a possible inverse relationship between the level of treatment inclusion of the mushroom and body weight gain. </w:t>
      </w:r>
    </w:p>
    <w:p w14:paraId="0CF303CC" w14:textId="77777777" w:rsidR="00BB1926" w:rsidRDefault="00BB1926" w:rsidP="00BB1926">
      <w:pPr>
        <w:pStyle w:val="NormalWeb"/>
        <w:spacing w:line="360" w:lineRule="auto"/>
        <w:jc w:val="both"/>
        <w:rPr>
          <w:rFonts w:ascii="Arial" w:hAnsi="Arial" w:cs="Arial"/>
          <w:sz w:val="20"/>
          <w:szCs w:val="20"/>
        </w:rPr>
      </w:pPr>
      <w:r w:rsidRPr="00BE7DCD">
        <w:rPr>
          <w:rFonts w:ascii="Arial" w:hAnsi="Arial" w:cs="Arial"/>
          <w:noProof/>
          <w:sz w:val="20"/>
          <w:szCs w:val="20"/>
        </w:rPr>
        <w:drawing>
          <wp:inline distT="0" distB="0" distL="0" distR="0" wp14:anchorId="732BDCBD" wp14:editId="74C036BB">
            <wp:extent cx="5943600" cy="3333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5412"/>
                    <a:stretch>
                      <a:fillRect/>
                    </a:stretch>
                  </pic:blipFill>
                  <pic:spPr bwMode="auto">
                    <a:xfrm>
                      <a:off x="0" y="0"/>
                      <a:ext cx="5943600" cy="3333115"/>
                    </a:xfrm>
                    <a:prstGeom prst="rect">
                      <a:avLst/>
                    </a:prstGeom>
                    <a:noFill/>
                    <a:ln>
                      <a:noFill/>
                    </a:ln>
                  </pic:spPr>
                </pic:pic>
              </a:graphicData>
            </a:graphic>
          </wp:inline>
        </w:drawing>
      </w:r>
    </w:p>
    <w:p w14:paraId="61E55BFC" w14:textId="77777777" w:rsidR="00BB1926" w:rsidRPr="00324A6F" w:rsidRDefault="00BB1926" w:rsidP="00BB1926">
      <w:pPr>
        <w:pStyle w:val="Caption"/>
        <w:ind w:left="1440" w:firstLine="720"/>
        <w:rPr>
          <w:rFonts w:ascii="Arial" w:hAnsi="Arial" w:cs="Arial"/>
          <w:color w:val="auto"/>
          <w:kern w:val="0"/>
          <w:sz w:val="20"/>
          <w:szCs w:val="20"/>
        </w:rPr>
      </w:pPr>
      <w:r w:rsidRPr="00BE7DCD">
        <w:rPr>
          <w:rFonts w:ascii="Arial" w:hAnsi="Arial" w:cs="Arial"/>
          <w:color w:val="auto"/>
          <w:sz w:val="20"/>
          <w:szCs w:val="20"/>
        </w:rPr>
        <w:t xml:space="preserve">Fig </w:t>
      </w:r>
      <w:r w:rsidRPr="00BE7DCD">
        <w:rPr>
          <w:rFonts w:ascii="Arial" w:hAnsi="Arial" w:cs="Arial"/>
          <w:color w:val="auto"/>
          <w:sz w:val="20"/>
          <w:szCs w:val="20"/>
        </w:rPr>
        <w:fldChar w:fldCharType="begin"/>
      </w:r>
      <w:r w:rsidRPr="00BE7DCD">
        <w:rPr>
          <w:rFonts w:ascii="Arial" w:hAnsi="Arial" w:cs="Arial"/>
          <w:color w:val="auto"/>
          <w:sz w:val="20"/>
          <w:szCs w:val="20"/>
        </w:rPr>
        <w:instrText xml:space="preserve"> SEQ Figure \* ARABIC </w:instrText>
      </w:r>
      <w:r w:rsidRPr="00BE7DCD">
        <w:rPr>
          <w:rFonts w:ascii="Arial" w:hAnsi="Arial" w:cs="Arial"/>
          <w:color w:val="auto"/>
          <w:sz w:val="20"/>
          <w:szCs w:val="20"/>
        </w:rPr>
        <w:fldChar w:fldCharType="separate"/>
      </w:r>
      <w:r w:rsidRPr="00BE7DCD">
        <w:rPr>
          <w:rFonts w:ascii="Arial" w:hAnsi="Arial" w:cs="Arial"/>
          <w:noProof/>
          <w:color w:val="auto"/>
          <w:sz w:val="20"/>
          <w:szCs w:val="20"/>
        </w:rPr>
        <w:t>1</w:t>
      </w:r>
      <w:r w:rsidRPr="00BE7DCD">
        <w:rPr>
          <w:rFonts w:ascii="Arial" w:hAnsi="Arial" w:cs="Arial"/>
          <w:color w:val="auto"/>
          <w:sz w:val="20"/>
          <w:szCs w:val="20"/>
        </w:rPr>
        <w:fldChar w:fldCharType="end"/>
      </w:r>
      <w:r w:rsidRPr="00BE7DCD">
        <w:rPr>
          <w:rFonts w:ascii="Arial" w:hAnsi="Arial" w:cs="Arial"/>
          <w:color w:val="auto"/>
          <w:sz w:val="20"/>
          <w:szCs w:val="20"/>
        </w:rPr>
        <w:t xml:space="preserve">: </w:t>
      </w:r>
      <w:r w:rsidRPr="00BE7DCD">
        <w:rPr>
          <w:rFonts w:ascii="Arial" w:hAnsi="Arial" w:cs="Arial"/>
          <w:b w:val="0"/>
          <w:color w:val="auto"/>
          <w:sz w:val="20"/>
          <w:szCs w:val="20"/>
        </w:rPr>
        <w:t>Weight of Chickens every week for 8 weeks</w:t>
      </w:r>
    </w:p>
    <w:p w14:paraId="3706B933" w14:textId="77777777" w:rsidR="00BB1926" w:rsidRDefault="00695685" w:rsidP="00BB1926">
      <w:pPr>
        <w:pStyle w:val="NormalWeb"/>
        <w:spacing w:line="360" w:lineRule="auto"/>
        <w:jc w:val="both"/>
        <w:rPr>
          <w:rFonts w:ascii="Arial" w:hAnsi="Arial" w:cs="Arial"/>
          <w:sz w:val="20"/>
          <w:szCs w:val="20"/>
        </w:rPr>
      </w:pPr>
      <w:r>
        <w:rPr>
          <w:rFonts w:ascii="Arial" w:hAnsi="Arial" w:cs="Arial"/>
          <w:b/>
          <w:color w:val="1F1F1F"/>
          <w:sz w:val="22"/>
          <w:szCs w:val="22"/>
        </w:rPr>
        <w:t xml:space="preserve">3.2 </w:t>
      </w:r>
      <w:r w:rsidR="00BB1926" w:rsidRPr="00695685">
        <w:rPr>
          <w:rFonts w:ascii="Arial" w:hAnsi="Arial" w:cs="Arial"/>
          <w:b/>
          <w:color w:val="1F1F1F"/>
          <w:sz w:val="22"/>
          <w:szCs w:val="22"/>
        </w:rPr>
        <w:t>Protein Content of Meat:</w:t>
      </w:r>
      <w:r w:rsidR="00BB1926" w:rsidRPr="00BE7DCD">
        <w:rPr>
          <w:rFonts w:ascii="Arial" w:hAnsi="Arial" w:cs="Arial"/>
          <w:b/>
          <w:color w:val="1F1F1F"/>
          <w:sz w:val="20"/>
          <w:szCs w:val="20"/>
        </w:rPr>
        <w:t xml:space="preserve"> </w:t>
      </w:r>
      <w:r w:rsidR="00BB1926" w:rsidRPr="00BE7DCD">
        <w:rPr>
          <w:rFonts w:ascii="Arial" w:hAnsi="Arial" w:cs="Arial"/>
          <w:color w:val="1F1F1F"/>
          <w:sz w:val="20"/>
          <w:szCs w:val="20"/>
        </w:rPr>
        <w:t>The results</w:t>
      </w:r>
      <w:r w:rsidR="00BB1926" w:rsidRPr="00BE7DCD">
        <w:rPr>
          <w:rFonts w:ascii="Arial" w:hAnsi="Arial" w:cs="Arial"/>
          <w:b/>
          <w:color w:val="1F1F1F"/>
          <w:sz w:val="20"/>
          <w:szCs w:val="20"/>
        </w:rPr>
        <w:t xml:space="preserve"> </w:t>
      </w:r>
      <w:r w:rsidR="00BB1926" w:rsidRPr="00BE7DCD">
        <w:rPr>
          <w:rFonts w:ascii="Arial" w:hAnsi="Arial" w:cs="Arial"/>
          <w:color w:val="1F1F1F"/>
          <w:sz w:val="20"/>
          <w:szCs w:val="20"/>
        </w:rPr>
        <w:t xml:space="preserve">of the protein contents in the broiler chickens after the eight weeks of the experiment </w:t>
      </w:r>
      <w:r w:rsidR="00BB1926" w:rsidRPr="00BE7DCD">
        <w:rPr>
          <w:rFonts w:ascii="Arial" w:hAnsi="Arial" w:cs="Arial"/>
          <w:sz w:val="20"/>
          <w:szCs w:val="20"/>
        </w:rPr>
        <w:t xml:space="preserve">showed a clear decline in mean protein content in the meat with increasing feed level supplementation, from </w:t>
      </w:r>
      <w:r w:rsidR="00BB1926" w:rsidRPr="00DB7BE5">
        <w:rPr>
          <w:rStyle w:val="Strong"/>
          <w:rFonts w:ascii="Arial" w:eastAsiaTheme="majorEastAsia" w:hAnsi="Arial" w:cs="Arial"/>
          <w:b w:val="0"/>
          <w:sz w:val="20"/>
          <w:szCs w:val="20"/>
        </w:rPr>
        <w:t>43.07%</w:t>
      </w:r>
      <w:r w:rsidR="00BB1926" w:rsidRPr="00DB7BE5">
        <w:rPr>
          <w:rFonts w:ascii="Arial" w:hAnsi="Arial" w:cs="Arial"/>
          <w:sz w:val="20"/>
          <w:szCs w:val="20"/>
        </w:rPr>
        <w:t xml:space="preserve"> at</w:t>
      </w:r>
      <w:r w:rsidR="00BB1926" w:rsidRPr="00BE7DCD">
        <w:rPr>
          <w:rFonts w:ascii="Arial" w:hAnsi="Arial" w:cs="Arial"/>
          <w:sz w:val="20"/>
          <w:szCs w:val="20"/>
        </w:rPr>
        <w:t xml:space="preserve"> 0% feed additive to </w:t>
      </w:r>
      <w:r w:rsidR="00BB1926" w:rsidRPr="00DB7BE5">
        <w:rPr>
          <w:rStyle w:val="Strong"/>
          <w:rFonts w:ascii="Arial" w:eastAsiaTheme="majorEastAsia" w:hAnsi="Arial" w:cs="Arial"/>
          <w:b w:val="0"/>
          <w:sz w:val="20"/>
          <w:szCs w:val="20"/>
        </w:rPr>
        <w:t>26.84%</w:t>
      </w:r>
      <w:r w:rsidR="00BB1926" w:rsidRPr="00BE7DCD">
        <w:rPr>
          <w:rFonts w:ascii="Arial" w:hAnsi="Arial" w:cs="Arial"/>
          <w:sz w:val="20"/>
          <w:szCs w:val="20"/>
        </w:rPr>
        <w:t xml:space="preserve"> at 25% (Fig 2). Statistical analysis revealed a highly significant difference in protein content across feed levels </w:t>
      </w:r>
      <w:r w:rsidR="00BB1926" w:rsidRPr="00DB7BE5">
        <w:rPr>
          <w:rFonts w:ascii="Arial" w:hAnsi="Arial" w:cs="Arial"/>
          <w:b/>
          <w:bCs/>
          <w:sz w:val="20"/>
          <w:szCs w:val="20"/>
        </w:rPr>
        <w:t>(</w:t>
      </w:r>
      <w:r w:rsidR="00DB7BE5" w:rsidRPr="00DB7BE5">
        <w:rPr>
          <w:rStyle w:val="Strong"/>
          <w:rFonts w:ascii="Arial" w:eastAsiaTheme="majorEastAsia" w:hAnsi="Arial" w:cs="Arial"/>
          <w:b w:val="0"/>
          <w:i/>
          <w:sz w:val="20"/>
          <w:szCs w:val="20"/>
        </w:rPr>
        <w:t>P</w:t>
      </w:r>
      <w:r w:rsidR="00BB1926" w:rsidRPr="00DB7BE5">
        <w:rPr>
          <w:rStyle w:val="Strong"/>
          <w:rFonts w:ascii="Arial" w:eastAsiaTheme="majorEastAsia" w:hAnsi="Arial" w:cs="Arial"/>
          <w:b w:val="0"/>
          <w:sz w:val="20"/>
          <w:szCs w:val="20"/>
        </w:rPr>
        <w:t xml:space="preserve"> &lt; .001</w:t>
      </w:r>
      <w:r w:rsidR="00BB1926" w:rsidRPr="00DB7BE5">
        <w:rPr>
          <w:rFonts w:ascii="Arial" w:hAnsi="Arial" w:cs="Arial"/>
          <w:b/>
          <w:bCs/>
          <w:sz w:val="20"/>
          <w:szCs w:val="20"/>
        </w:rPr>
        <w:t xml:space="preserve">). </w:t>
      </w:r>
      <w:r w:rsidR="00BB1926" w:rsidRPr="00BE7DCD">
        <w:rPr>
          <w:rFonts w:ascii="Arial" w:hAnsi="Arial" w:cs="Arial"/>
          <w:sz w:val="20"/>
          <w:szCs w:val="20"/>
        </w:rPr>
        <w:t xml:space="preserve">Turkey HSD post hoc comparisons indicated that </w:t>
      </w:r>
      <w:r w:rsidR="00BB1926" w:rsidRPr="00BE7DCD">
        <w:rPr>
          <w:rStyle w:val="Strong"/>
          <w:rFonts w:ascii="Arial" w:eastAsiaTheme="majorEastAsia" w:hAnsi="Arial" w:cs="Arial"/>
          <w:sz w:val="20"/>
          <w:szCs w:val="20"/>
        </w:rPr>
        <w:t xml:space="preserve">all feed </w:t>
      </w:r>
      <w:r w:rsidR="00BB1926" w:rsidRPr="00DB7BE5">
        <w:rPr>
          <w:rStyle w:val="Strong"/>
          <w:rFonts w:ascii="Arial" w:eastAsiaTheme="majorEastAsia" w:hAnsi="Arial" w:cs="Arial"/>
          <w:b w:val="0"/>
          <w:sz w:val="20"/>
          <w:szCs w:val="20"/>
        </w:rPr>
        <w:t>levels differed significantly from each other</w:t>
      </w:r>
      <w:r w:rsidR="00BB1926" w:rsidRPr="00BE7DCD">
        <w:rPr>
          <w:rFonts w:ascii="Arial" w:hAnsi="Arial" w:cs="Arial"/>
          <w:b/>
          <w:sz w:val="20"/>
          <w:szCs w:val="20"/>
        </w:rPr>
        <w:t xml:space="preserve"> </w:t>
      </w:r>
      <w:r w:rsidR="00BB1926" w:rsidRPr="00BE7DCD">
        <w:rPr>
          <w:rFonts w:ascii="Arial" w:hAnsi="Arial" w:cs="Arial"/>
          <w:sz w:val="20"/>
          <w:szCs w:val="20"/>
        </w:rPr>
        <w:t>(</w:t>
      </w:r>
      <w:r w:rsidR="00DB7BE5" w:rsidRPr="00DB7BE5">
        <w:rPr>
          <w:rFonts w:ascii="Arial" w:hAnsi="Arial" w:cs="Arial"/>
          <w:i/>
          <w:sz w:val="20"/>
          <w:szCs w:val="20"/>
        </w:rPr>
        <w:t>P</w:t>
      </w:r>
      <w:r w:rsidR="00DB7BE5" w:rsidRPr="00BE7DCD">
        <w:rPr>
          <w:rFonts w:ascii="Arial" w:hAnsi="Arial" w:cs="Arial"/>
          <w:sz w:val="20"/>
          <w:szCs w:val="20"/>
        </w:rPr>
        <w:t xml:space="preserve"> </w:t>
      </w:r>
      <w:r w:rsidR="00DB7BE5">
        <w:rPr>
          <w:rFonts w:ascii="Arial" w:hAnsi="Arial" w:cs="Arial"/>
          <w:sz w:val="20"/>
          <w:szCs w:val="20"/>
        </w:rPr>
        <w:t>=</w:t>
      </w:r>
      <w:r w:rsidR="00BB1926" w:rsidRPr="00BE7DCD">
        <w:rPr>
          <w:rFonts w:ascii="Arial" w:hAnsi="Arial" w:cs="Arial"/>
          <w:sz w:val="20"/>
          <w:szCs w:val="20"/>
        </w:rPr>
        <w:t xml:space="preserve"> .05), except for minor overlaps at the highest supplementation levels (20% and 25%).</w:t>
      </w:r>
    </w:p>
    <w:p w14:paraId="17FBAD86"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noProof/>
          <w:sz w:val="20"/>
          <w:szCs w:val="20"/>
        </w:rPr>
        <w:lastRenderedPageBreak/>
        <w:drawing>
          <wp:inline distT="0" distB="0" distL="0" distR="0" wp14:anchorId="0D00941B" wp14:editId="6A3E8023">
            <wp:extent cx="5943600" cy="434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t="6061"/>
                    <a:stretch>
                      <a:fillRect/>
                    </a:stretch>
                  </pic:blipFill>
                  <pic:spPr bwMode="auto">
                    <a:xfrm>
                      <a:off x="0" y="0"/>
                      <a:ext cx="5943600" cy="4347845"/>
                    </a:xfrm>
                    <a:prstGeom prst="rect">
                      <a:avLst/>
                    </a:prstGeom>
                    <a:noFill/>
                    <a:ln>
                      <a:noFill/>
                    </a:ln>
                  </pic:spPr>
                </pic:pic>
              </a:graphicData>
            </a:graphic>
          </wp:inline>
        </w:drawing>
      </w:r>
    </w:p>
    <w:p w14:paraId="2D3CB8E9" w14:textId="77777777" w:rsidR="00BB1926" w:rsidRPr="00324A6F" w:rsidRDefault="00BB1926" w:rsidP="00BB1926">
      <w:pPr>
        <w:pStyle w:val="Caption"/>
        <w:ind w:left="1440" w:firstLine="720"/>
        <w:rPr>
          <w:rFonts w:ascii="Arial" w:hAnsi="Arial" w:cs="Arial"/>
          <w:b w:val="0"/>
          <w:bCs w:val="0"/>
          <w:color w:val="auto"/>
          <w:kern w:val="0"/>
          <w:sz w:val="20"/>
          <w:szCs w:val="20"/>
        </w:rPr>
      </w:pPr>
      <w:r w:rsidRPr="00BE7DCD">
        <w:rPr>
          <w:rFonts w:ascii="Arial" w:hAnsi="Arial" w:cs="Arial"/>
          <w:color w:val="auto"/>
          <w:sz w:val="20"/>
          <w:szCs w:val="20"/>
        </w:rPr>
        <w:t xml:space="preserve">Fig 2: </w:t>
      </w:r>
      <w:r w:rsidRPr="00BE7DCD">
        <w:rPr>
          <w:rFonts w:ascii="Arial" w:hAnsi="Arial" w:cs="Arial"/>
          <w:b w:val="0"/>
          <w:color w:val="auto"/>
          <w:sz w:val="20"/>
          <w:szCs w:val="20"/>
        </w:rPr>
        <w:t>Protein Contents of the Chickens after 8 Weeks of Feeding</w:t>
      </w:r>
    </w:p>
    <w:p w14:paraId="0D8E8436" w14:textId="77777777" w:rsidR="00BB1926" w:rsidRDefault="00695685" w:rsidP="00BB1926">
      <w:pPr>
        <w:pStyle w:val="NormalWeb"/>
        <w:spacing w:line="360" w:lineRule="auto"/>
        <w:jc w:val="both"/>
        <w:rPr>
          <w:rFonts w:ascii="Arial" w:hAnsi="Arial" w:cs="Arial"/>
          <w:b/>
          <w:sz w:val="20"/>
          <w:szCs w:val="20"/>
        </w:rPr>
      </w:pPr>
      <w:r>
        <w:rPr>
          <w:rFonts w:ascii="Arial" w:hAnsi="Arial" w:cs="Arial"/>
          <w:b/>
          <w:sz w:val="22"/>
          <w:szCs w:val="22"/>
        </w:rPr>
        <w:t xml:space="preserve">3.3 </w:t>
      </w:r>
      <w:r w:rsidR="00BB1926" w:rsidRPr="00695685">
        <w:rPr>
          <w:rFonts w:ascii="Arial" w:hAnsi="Arial" w:cs="Arial"/>
          <w:b/>
          <w:sz w:val="22"/>
          <w:szCs w:val="22"/>
        </w:rPr>
        <w:t>Lipid profile parameters:</w:t>
      </w:r>
      <w:r w:rsidR="00BB1926" w:rsidRPr="00BE7DCD">
        <w:rPr>
          <w:rFonts w:ascii="Arial" w:hAnsi="Arial" w:cs="Arial"/>
          <w:b/>
          <w:sz w:val="20"/>
          <w:szCs w:val="20"/>
        </w:rPr>
        <w:t xml:space="preserve"> </w:t>
      </w:r>
      <w:r w:rsidR="00BB1926" w:rsidRPr="00BE7DCD">
        <w:rPr>
          <w:rFonts w:ascii="Arial" w:hAnsi="Arial" w:cs="Arial"/>
          <w:sz w:val="20"/>
          <w:szCs w:val="20"/>
        </w:rPr>
        <w:t>The lipid profile parameters after feeding the chicken for 8 weeks are presented in Table 1.</w:t>
      </w:r>
      <w:r w:rsidR="00BB1926" w:rsidRPr="00BE7DCD">
        <w:rPr>
          <w:rFonts w:ascii="Arial" w:hAnsi="Arial" w:cs="Arial"/>
          <w:b/>
          <w:sz w:val="20"/>
          <w:szCs w:val="20"/>
        </w:rPr>
        <w:t xml:space="preserve"> </w:t>
      </w:r>
      <w:r w:rsidR="00BB1926" w:rsidRPr="00BE7DCD">
        <w:rPr>
          <w:rFonts w:ascii="Arial" w:hAnsi="Arial" w:cs="Arial"/>
          <w:sz w:val="20"/>
          <w:szCs w:val="20"/>
        </w:rPr>
        <w:t xml:space="preserve">The highest mean cholesterol was observed in the </w:t>
      </w:r>
      <w:r w:rsidR="00BB1926" w:rsidRPr="00DB7BE5">
        <w:rPr>
          <w:rStyle w:val="Strong"/>
          <w:rFonts w:ascii="Arial" w:eastAsiaTheme="majorEastAsia" w:hAnsi="Arial" w:cs="Arial"/>
          <w:b w:val="0"/>
          <w:sz w:val="20"/>
          <w:szCs w:val="20"/>
        </w:rPr>
        <w:t>15% group</w:t>
      </w:r>
      <w:r w:rsidR="00BB1926" w:rsidRPr="00BE7DCD">
        <w:rPr>
          <w:rFonts w:ascii="Arial" w:hAnsi="Arial" w:cs="Arial"/>
          <w:sz w:val="20"/>
          <w:szCs w:val="20"/>
        </w:rPr>
        <w:t xml:space="preserve"> (4.13 ± 0.18), and the lowest was in the </w:t>
      </w:r>
      <w:r w:rsidR="00BB1926" w:rsidRPr="00DB7BE5">
        <w:rPr>
          <w:rStyle w:val="Strong"/>
          <w:rFonts w:ascii="Arial" w:eastAsiaTheme="majorEastAsia" w:hAnsi="Arial" w:cs="Arial"/>
          <w:b w:val="0"/>
          <w:sz w:val="20"/>
          <w:szCs w:val="20"/>
        </w:rPr>
        <w:t>25%</w:t>
      </w:r>
      <w:r w:rsidR="00BB1926" w:rsidRPr="00BE7DCD">
        <w:rPr>
          <w:rStyle w:val="Strong"/>
          <w:rFonts w:ascii="Arial" w:eastAsiaTheme="majorEastAsia" w:hAnsi="Arial" w:cs="Arial"/>
          <w:sz w:val="20"/>
          <w:szCs w:val="20"/>
        </w:rPr>
        <w:t xml:space="preserve"> group</w:t>
      </w:r>
      <w:r w:rsidR="00BB1926" w:rsidRPr="00BE7DCD">
        <w:rPr>
          <w:rFonts w:ascii="Arial" w:hAnsi="Arial" w:cs="Arial"/>
          <w:sz w:val="20"/>
          <w:szCs w:val="20"/>
        </w:rPr>
        <w:t xml:space="preserve"> (3.23 ± 0.24), (Table 2). There is </w:t>
      </w:r>
      <w:r w:rsidR="00BB1926" w:rsidRPr="00DB7BE5">
        <w:rPr>
          <w:rStyle w:val="Strong"/>
          <w:rFonts w:ascii="Arial" w:eastAsiaTheme="majorEastAsia" w:hAnsi="Arial" w:cs="Arial"/>
          <w:b w:val="0"/>
          <w:sz w:val="20"/>
          <w:szCs w:val="20"/>
        </w:rPr>
        <w:t>no statistically significant difference</w:t>
      </w:r>
      <w:r w:rsidR="00BB1926" w:rsidRPr="00BE7DCD">
        <w:rPr>
          <w:rFonts w:ascii="Arial" w:hAnsi="Arial" w:cs="Arial"/>
          <w:sz w:val="20"/>
          <w:szCs w:val="20"/>
        </w:rPr>
        <w:t xml:space="preserve"> in cholesterol levels across the treatment groups (p &gt; 0.05).</w:t>
      </w:r>
      <w:r w:rsidR="00BB1926" w:rsidRPr="00BE7DCD">
        <w:rPr>
          <w:rFonts w:ascii="Arial" w:hAnsi="Arial" w:cs="Arial"/>
          <w:b/>
          <w:sz w:val="20"/>
          <w:szCs w:val="20"/>
        </w:rPr>
        <w:t xml:space="preserve"> </w:t>
      </w:r>
    </w:p>
    <w:p w14:paraId="2F72BC9F" w14:textId="77777777" w:rsidR="00BB1926" w:rsidRPr="00BE7DCD" w:rsidRDefault="00326303" w:rsidP="00BB1926">
      <w:pPr>
        <w:shd w:val="clear" w:color="auto" w:fill="FFFFFF"/>
        <w:spacing w:before="100" w:beforeAutospacing="1" w:after="100" w:afterAutospacing="1" w:line="240" w:lineRule="auto"/>
        <w:ind w:left="720"/>
        <w:jc w:val="both"/>
        <w:textAlignment w:val="baseline"/>
        <w:rPr>
          <w:rFonts w:ascii="Arial" w:hAnsi="Arial" w:cs="Arial"/>
          <w:sz w:val="20"/>
          <w:szCs w:val="20"/>
        </w:rPr>
      </w:pPr>
      <w:r w:rsidRPr="00BE7DCD">
        <w:rPr>
          <w:rFonts w:ascii="Arial" w:hAnsi="Arial" w:cs="Arial"/>
          <w:sz w:val="20"/>
          <w:szCs w:val="20"/>
        </w:rPr>
        <w:object w:dxaOrig="9606" w:dyaOrig="12954" w14:anchorId="7AC6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9in" o:ole="">
            <v:imagedata r:id="rId12" o:title=""/>
          </v:shape>
          <o:OLEObject Type="Embed" ProgID="Word.Document.12" ShapeID="_x0000_i1025" DrawAspect="Content" ObjectID="_1823264986" r:id="rId13">
            <o:FieldCodes>\s</o:FieldCodes>
          </o:OLEObject>
        </w:object>
      </w:r>
      <w:r w:rsidR="00BB1926" w:rsidRPr="00324A6F">
        <w:rPr>
          <w:rFonts w:ascii="Arial" w:hAnsi="Arial" w:cs="Arial"/>
          <w:sz w:val="20"/>
          <w:szCs w:val="20"/>
        </w:rPr>
        <w:t xml:space="preserve"> </w:t>
      </w:r>
    </w:p>
    <w:p w14:paraId="5FBAF1A8" w14:textId="77777777" w:rsidR="00BB1926" w:rsidRPr="00BE7DCD" w:rsidRDefault="00BB1926" w:rsidP="00BB1926">
      <w:pPr>
        <w:rPr>
          <w:rFonts w:ascii="Arial" w:hAnsi="Arial" w:cs="Arial"/>
          <w:sz w:val="20"/>
          <w:szCs w:val="20"/>
          <w:lang w:val="en-GB"/>
        </w:rPr>
      </w:pPr>
      <w:r w:rsidRPr="00BE7DCD">
        <w:rPr>
          <w:rFonts w:ascii="Arial" w:hAnsi="Arial" w:cs="Arial"/>
          <w:b/>
          <w:sz w:val="20"/>
          <w:szCs w:val="20"/>
          <w:lang w:val="en-GB"/>
        </w:rPr>
        <w:t>Table 2:</w:t>
      </w:r>
      <w:r w:rsidRPr="00BE7DCD">
        <w:rPr>
          <w:rFonts w:ascii="Arial" w:hAnsi="Arial" w:cs="Arial"/>
          <w:sz w:val="20"/>
          <w:szCs w:val="20"/>
          <w:lang w:val="en-GB"/>
        </w:rPr>
        <w:t xml:space="preserve"> Effect of </w:t>
      </w:r>
      <w:proofErr w:type="spellStart"/>
      <w:r w:rsidRPr="00BE7DCD">
        <w:rPr>
          <w:rFonts w:ascii="Arial" w:hAnsi="Arial" w:cs="Arial"/>
          <w:i/>
          <w:sz w:val="20"/>
          <w:szCs w:val="20"/>
          <w:lang w:val="en-GB"/>
        </w:rPr>
        <w:t>Pleurotus</w:t>
      </w:r>
      <w:proofErr w:type="spellEnd"/>
      <w:r w:rsidRPr="00BE7DCD">
        <w:rPr>
          <w:rFonts w:ascii="Arial" w:hAnsi="Arial" w:cs="Arial"/>
          <w:i/>
          <w:sz w:val="20"/>
          <w:szCs w:val="20"/>
          <w:lang w:val="en-GB"/>
        </w:rPr>
        <w:t xml:space="preserve"> </w:t>
      </w:r>
      <w:proofErr w:type="spellStart"/>
      <w:r w:rsidRPr="00BE7DCD">
        <w:rPr>
          <w:rFonts w:ascii="Arial" w:hAnsi="Arial" w:cs="Arial"/>
          <w:i/>
          <w:sz w:val="20"/>
          <w:szCs w:val="20"/>
          <w:lang w:val="en-GB"/>
        </w:rPr>
        <w:t>tuberregium</w:t>
      </w:r>
      <w:proofErr w:type="spellEnd"/>
      <w:r w:rsidRPr="00BE7DCD">
        <w:rPr>
          <w:rFonts w:ascii="Arial" w:hAnsi="Arial" w:cs="Arial"/>
          <w:sz w:val="20"/>
          <w:szCs w:val="20"/>
          <w:lang w:val="en-GB"/>
        </w:rPr>
        <w:t xml:space="preserve"> Sclerotia on the Lipid Profile of Broiler Chickens </w:t>
      </w:r>
      <w:proofErr w:type="gramStart"/>
      <w:r w:rsidRPr="00BE7DCD">
        <w:rPr>
          <w:rFonts w:ascii="Arial" w:hAnsi="Arial" w:cs="Arial"/>
          <w:sz w:val="20"/>
          <w:szCs w:val="20"/>
          <w:lang w:val="en-GB"/>
        </w:rPr>
        <w:t xml:space="preserve">   (</w:t>
      </w:r>
      <w:proofErr w:type="gramEnd"/>
      <w:r w:rsidRPr="00BE7DCD">
        <w:rPr>
          <w:rFonts w:ascii="Arial" w:eastAsia="Times New Roman" w:hAnsi="Arial" w:cs="Arial"/>
          <w:bCs/>
          <w:sz w:val="20"/>
          <w:szCs w:val="20"/>
        </w:rPr>
        <w:t>Mean ± Standard Error</w:t>
      </w:r>
      <w:r w:rsidRPr="00BE7DCD">
        <w:rPr>
          <w:rFonts w:ascii="Arial" w:eastAsia="Times New Roman" w:hAnsi="Arial" w:cs="Arial"/>
          <w:b/>
          <w:bCs/>
          <w:sz w:val="20"/>
          <w:szCs w:val="20"/>
        </w:rPr>
        <w:t>)</w:t>
      </w:r>
    </w:p>
    <w:tbl>
      <w:tblPr>
        <w:tblStyle w:val="TableGrid"/>
        <w:tblW w:w="96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65"/>
        <w:gridCol w:w="1615"/>
        <w:gridCol w:w="1596"/>
        <w:gridCol w:w="1558"/>
        <w:gridCol w:w="1842"/>
      </w:tblGrid>
      <w:tr w:rsidR="00BB1926" w:rsidRPr="00BE7DCD" w14:paraId="49CF9330" w14:textId="77777777" w:rsidTr="000332B8">
        <w:trPr>
          <w:trHeight w:val="1222"/>
        </w:trPr>
        <w:tc>
          <w:tcPr>
            <w:tcW w:w="1560" w:type="dxa"/>
            <w:hideMark/>
          </w:tcPr>
          <w:p w14:paraId="21D5A854"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Level of Supplementation %</w:t>
            </w:r>
          </w:p>
        </w:tc>
        <w:tc>
          <w:tcPr>
            <w:tcW w:w="1465" w:type="dxa"/>
            <w:hideMark/>
          </w:tcPr>
          <w:p w14:paraId="1CA76061"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Cholesterol</w:t>
            </w:r>
          </w:p>
        </w:tc>
        <w:tc>
          <w:tcPr>
            <w:tcW w:w="1616" w:type="dxa"/>
            <w:hideMark/>
          </w:tcPr>
          <w:p w14:paraId="5C29361D"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Triglycerides</w:t>
            </w:r>
          </w:p>
        </w:tc>
        <w:tc>
          <w:tcPr>
            <w:tcW w:w="1597" w:type="dxa"/>
            <w:hideMark/>
          </w:tcPr>
          <w:p w14:paraId="340DDE50"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High Density Lipoprotein (HDL)</w:t>
            </w:r>
          </w:p>
        </w:tc>
        <w:tc>
          <w:tcPr>
            <w:tcW w:w="1559" w:type="dxa"/>
            <w:hideMark/>
          </w:tcPr>
          <w:p w14:paraId="13166C7F"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Low Density Lipoprotein (LDL)</w:t>
            </w:r>
          </w:p>
        </w:tc>
        <w:tc>
          <w:tcPr>
            <w:tcW w:w="1843" w:type="dxa"/>
            <w:hideMark/>
          </w:tcPr>
          <w:p w14:paraId="5E4CF7E9"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 xml:space="preserve">Very </w:t>
            </w:r>
            <w:proofErr w:type="gramStart"/>
            <w:r w:rsidRPr="00BE7DCD">
              <w:rPr>
                <w:rFonts w:ascii="Arial" w:hAnsi="Arial" w:cs="Arial"/>
                <w:b/>
                <w:sz w:val="20"/>
                <w:szCs w:val="20"/>
                <w:lang w:val="en-GB"/>
              </w:rPr>
              <w:t>Low Density</w:t>
            </w:r>
            <w:proofErr w:type="gramEnd"/>
            <w:r w:rsidRPr="00BE7DCD">
              <w:rPr>
                <w:rFonts w:ascii="Arial" w:hAnsi="Arial" w:cs="Arial"/>
                <w:b/>
                <w:sz w:val="20"/>
                <w:szCs w:val="20"/>
                <w:lang w:val="en-GB"/>
              </w:rPr>
              <w:t xml:space="preserve"> Lipoprotein (VLDL)</w:t>
            </w:r>
          </w:p>
        </w:tc>
      </w:tr>
      <w:tr w:rsidR="00BB1926" w:rsidRPr="00BE7DCD" w14:paraId="276A6D3A" w14:textId="77777777" w:rsidTr="000332B8">
        <w:trPr>
          <w:trHeight w:val="701"/>
        </w:trPr>
        <w:tc>
          <w:tcPr>
            <w:tcW w:w="1560" w:type="dxa"/>
            <w:hideMark/>
          </w:tcPr>
          <w:p w14:paraId="3B4E87B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w:t>
            </w:r>
          </w:p>
        </w:tc>
        <w:tc>
          <w:tcPr>
            <w:tcW w:w="1465" w:type="dxa"/>
            <w:hideMark/>
          </w:tcPr>
          <w:p w14:paraId="4EB8FA7A"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3.97±0.49</w:t>
            </w:r>
          </w:p>
        </w:tc>
        <w:tc>
          <w:tcPr>
            <w:tcW w:w="1616" w:type="dxa"/>
            <w:hideMark/>
          </w:tcPr>
          <w:p w14:paraId="296DFE5A"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1.33±0.28</w:t>
            </w:r>
          </w:p>
        </w:tc>
        <w:tc>
          <w:tcPr>
            <w:tcW w:w="1597" w:type="dxa"/>
            <w:hideMark/>
          </w:tcPr>
          <w:p w14:paraId="7BC388FA"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1.23±0.15</w:t>
            </w:r>
          </w:p>
        </w:tc>
        <w:tc>
          <w:tcPr>
            <w:tcW w:w="1559" w:type="dxa"/>
            <w:hideMark/>
          </w:tcPr>
          <w:p w14:paraId="176AC733"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2.10±0.32</w:t>
            </w:r>
          </w:p>
        </w:tc>
        <w:tc>
          <w:tcPr>
            <w:tcW w:w="1843" w:type="dxa"/>
            <w:hideMark/>
          </w:tcPr>
          <w:p w14:paraId="7668A40D"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0.63±0.13</w:t>
            </w:r>
          </w:p>
        </w:tc>
      </w:tr>
      <w:tr w:rsidR="00BB1926" w:rsidRPr="00BE7DCD" w14:paraId="521C0180" w14:textId="77777777" w:rsidTr="000332B8">
        <w:trPr>
          <w:trHeight w:val="790"/>
        </w:trPr>
        <w:tc>
          <w:tcPr>
            <w:tcW w:w="1560" w:type="dxa"/>
            <w:hideMark/>
          </w:tcPr>
          <w:p w14:paraId="38ED1021"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5</w:t>
            </w:r>
          </w:p>
        </w:tc>
        <w:tc>
          <w:tcPr>
            <w:tcW w:w="1465" w:type="dxa"/>
            <w:hideMark/>
          </w:tcPr>
          <w:p w14:paraId="7990957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3.27±0.19</w:t>
            </w:r>
          </w:p>
        </w:tc>
        <w:tc>
          <w:tcPr>
            <w:tcW w:w="1616" w:type="dxa"/>
            <w:hideMark/>
          </w:tcPr>
          <w:p w14:paraId="3AC290AE"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1.07±0.15</w:t>
            </w:r>
          </w:p>
        </w:tc>
        <w:tc>
          <w:tcPr>
            <w:tcW w:w="1597" w:type="dxa"/>
            <w:hideMark/>
          </w:tcPr>
          <w:p w14:paraId="553541B2"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1.13±0.03</w:t>
            </w:r>
          </w:p>
        </w:tc>
        <w:tc>
          <w:tcPr>
            <w:tcW w:w="1559" w:type="dxa"/>
            <w:hideMark/>
          </w:tcPr>
          <w:p w14:paraId="7726256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1.63±0.12</w:t>
            </w:r>
          </w:p>
        </w:tc>
        <w:tc>
          <w:tcPr>
            <w:tcW w:w="1843" w:type="dxa"/>
            <w:hideMark/>
          </w:tcPr>
          <w:p w14:paraId="0D74BA4E"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0.50±0.06</w:t>
            </w:r>
          </w:p>
        </w:tc>
      </w:tr>
      <w:tr w:rsidR="00BB1926" w:rsidRPr="00BE7DCD" w14:paraId="2CA3E78D" w14:textId="77777777" w:rsidTr="000332B8">
        <w:trPr>
          <w:trHeight w:val="701"/>
        </w:trPr>
        <w:tc>
          <w:tcPr>
            <w:tcW w:w="1560" w:type="dxa"/>
            <w:hideMark/>
          </w:tcPr>
          <w:p w14:paraId="17726A1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10</w:t>
            </w:r>
          </w:p>
        </w:tc>
        <w:tc>
          <w:tcPr>
            <w:tcW w:w="1465" w:type="dxa"/>
            <w:hideMark/>
          </w:tcPr>
          <w:p w14:paraId="1B5BA422"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3.93±0.18</w:t>
            </w:r>
          </w:p>
        </w:tc>
        <w:tc>
          <w:tcPr>
            <w:tcW w:w="1616" w:type="dxa"/>
            <w:hideMark/>
          </w:tcPr>
          <w:p w14:paraId="25B4684C"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0.53±0.20</w:t>
            </w:r>
          </w:p>
        </w:tc>
        <w:tc>
          <w:tcPr>
            <w:tcW w:w="1597" w:type="dxa"/>
            <w:hideMark/>
          </w:tcPr>
          <w:p w14:paraId="1511EB14"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1.50±0.00</w:t>
            </w:r>
          </w:p>
        </w:tc>
        <w:tc>
          <w:tcPr>
            <w:tcW w:w="1559" w:type="dxa"/>
            <w:hideMark/>
          </w:tcPr>
          <w:p w14:paraId="6B740BF8"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2.20±0.10</w:t>
            </w:r>
          </w:p>
        </w:tc>
        <w:tc>
          <w:tcPr>
            <w:tcW w:w="1843" w:type="dxa"/>
            <w:hideMark/>
          </w:tcPr>
          <w:p w14:paraId="5DFC21A7"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0.30±0.10</w:t>
            </w:r>
          </w:p>
        </w:tc>
      </w:tr>
      <w:tr w:rsidR="00BB1926" w:rsidRPr="00BE7DCD" w14:paraId="71F0FAD7" w14:textId="77777777" w:rsidTr="000332B8">
        <w:trPr>
          <w:trHeight w:val="541"/>
        </w:trPr>
        <w:tc>
          <w:tcPr>
            <w:tcW w:w="1560" w:type="dxa"/>
            <w:hideMark/>
          </w:tcPr>
          <w:p w14:paraId="26F6C492"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15</w:t>
            </w:r>
          </w:p>
        </w:tc>
        <w:tc>
          <w:tcPr>
            <w:tcW w:w="1465" w:type="dxa"/>
            <w:hideMark/>
          </w:tcPr>
          <w:p w14:paraId="63DFDF4B"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4.13±0.18</w:t>
            </w:r>
          </w:p>
        </w:tc>
        <w:tc>
          <w:tcPr>
            <w:tcW w:w="1616" w:type="dxa"/>
            <w:hideMark/>
          </w:tcPr>
          <w:p w14:paraId="1E861A5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0.40±0.20</w:t>
            </w:r>
          </w:p>
        </w:tc>
        <w:tc>
          <w:tcPr>
            <w:tcW w:w="1597" w:type="dxa"/>
            <w:hideMark/>
          </w:tcPr>
          <w:p w14:paraId="19AC2F47"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1.53±0.03</w:t>
            </w:r>
          </w:p>
        </w:tc>
        <w:tc>
          <w:tcPr>
            <w:tcW w:w="1559" w:type="dxa"/>
            <w:hideMark/>
          </w:tcPr>
          <w:p w14:paraId="7D9E83D1"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2.40±0.25</w:t>
            </w:r>
          </w:p>
        </w:tc>
        <w:tc>
          <w:tcPr>
            <w:tcW w:w="1843" w:type="dxa"/>
            <w:hideMark/>
          </w:tcPr>
          <w:p w14:paraId="4533DEA3"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0.20±0.10</w:t>
            </w:r>
          </w:p>
        </w:tc>
      </w:tr>
      <w:tr w:rsidR="00BB1926" w:rsidRPr="00BE7DCD" w14:paraId="54EBC138" w14:textId="77777777" w:rsidTr="000332B8">
        <w:trPr>
          <w:trHeight w:val="577"/>
        </w:trPr>
        <w:tc>
          <w:tcPr>
            <w:tcW w:w="1560" w:type="dxa"/>
            <w:hideMark/>
          </w:tcPr>
          <w:p w14:paraId="44D3EBF6"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20</w:t>
            </w:r>
          </w:p>
        </w:tc>
        <w:tc>
          <w:tcPr>
            <w:tcW w:w="1465" w:type="dxa"/>
            <w:hideMark/>
          </w:tcPr>
          <w:p w14:paraId="11101EE7"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3.53±0.22</w:t>
            </w:r>
          </w:p>
        </w:tc>
        <w:tc>
          <w:tcPr>
            <w:tcW w:w="1616" w:type="dxa"/>
            <w:hideMark/>
          </w:tcPr>
          <w:p w14:paraId="327E31ED"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0.60±0.10</w:t>
            </w:r>
          </w:p>
        </w:tc>
        <w:tc>
          <w:tcPr>
            <w:tcW w:w="1597" w:type="dxa"/>
            <w:hideMark/>
          </w:tcPr>
          <w:p w14:paraId="2E4E18CE"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1.47±0.03</w:t>
            </w:r>
          </w:p>
        </w:tc>
        <w:tc>
          <w:tcPr>
            <w:tcW w:w="1559" w:type="dxa"/>
            <w:hideMark/>
          </w:tcPr>
          <w:p w14:paraId="051A6A29"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1.80±0.20</w:t>
            </w:r>
          </w:p>
        </w:tc>
        <w:tc>
          <w:tcPr>
            <w:tcW w:w="1843" w:type="dxa"/>
            <w:hideMark/>
          </w:tcPr>
          <w:p w14:paraId="616759C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0.27±0.03</w:t>
            </w:r>
          </w:p>
        </w:tc>
      </w:tr>
      <w:tr w:rsidR="00BB1926" w:rsidRPr="00BE7DCD" w14:paraId="0D6A93CB" w14:textId="77777777" w:rsidTr="000332B8">
        <w:trPr>
          <w:trHeight w:val="557"/>
        </w:trPr>
        <w:tc>
          <w:tcPr>
            <w:tcW w:w="1560" w:type="dxa"/>
            <w:hideMark/>
          </w:tcPr>
          <w:p w14:paraId="73605556"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25</w:t>
            </w:r>
          </w:p>
        </w:tc>
        <w:tc>
          <w:tcPr>
            <w:tcW w:w="1465" w:type="dxa"/>
            <w:hideMark/>
          </w:tcPr>
          <w:p w14:paraId="51B6B5D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3.23±0.24</w:t>
            </w:r>
          </w:p>
        </w:tc>
        <w:tc>
          <w:tcPr>
            <w:tcW w:w="1616" w:type="dxa"/>
            <w:hideMark/>
          </w:tcPr>
          <w:p w14:paraId="696A944D"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0.97±0.20</w:t>
            </w:r>
          </w:p>
        </w:tc>
        <w:tc>
          <w:tcPr>
            <w:tcW w:w="1597" w:type="dxa"/>
            <w:hideMark/>
          </w:tcPr>
          <w:p w14:paraId="38C84BB4"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1.10±0.06</w:t>
            </w:r>
          </w:p>
        </w:tc>
        <w:tc>
          <w:tcPr>
            <w:tcW w:w="1559" w:type="dxa"/>
            <w:hideMark/>
          </w:tcPr>
          <w:p w14:paraId="770D0A49"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1.67±0.29</w:t>
            </w:r>
          </w:p>
        </w:tc>
        <w:tc>
          <w:tcPr>
            <w:tcW w:w="1843" w:type="dxa"/>
            <w:hideMark/>
          </w:tcPr>
          <w:p w14:paraId="4A5080D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0.47±0.09</w:t>
            </w:r>
          </w:p>
        </w:tc>
      </w:tr>
    </w:tbl>
    <w:p w14:paraId="4CB47942"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The mean triglyceride levels ranged from </w:t>
      </w:r>
      <w:r w:rsidRPr="00DB7BE5">
        <w:rPr>
          <w:rStyle w:val="Strong"/>
          <w:rFonts w:ascii="Arial" w:eastAsiaTheme="majorEastAsia" w:hAnsi="Arial" w:cs="Arial"/>
          <w:b w:val="0"/>
          <w:sz w:val="20"/>
          <w:szCs w:val="20"/>
        </w:rPr>
        <w:t>0.40 ± 0.20 (15%)</w:t>
      </w:r>
      <w:r w:rsidRPr="00DB7BE5">
        <w:rPr>
          <w:rFonts w:ascii="Arial" w:hAnsi="Arial" w:cs="Arial"/>
          <w:b/>
          <w:bCs/>
          <w:sz w:val="20"/>
          <w:szCs w:val="20"/>
        </w:rPr>
        <w:t>,</w:t>
      </w:r>
      <w:r w:rsidRPr="00BE7DCD">
        <w:rPr>
          <w:rFonts w:ascii="Arial" w:hAnsi="Arial" w:cs="Arial"/>
          <w:bCs/>
          <w:sz w:val="20"/>
          <w:szCs w:val="20"/>
        </w:rPr>
        <w:t xml:space="preserve"> to</w:t>
      </w:r>
      <w:r w:rsidRPr="00BE7DCD">
        <w:rPr>
          <w:rFonts w:ascii="Arial" w:hAnsi="Arial" w:cs="Arial"/>
          <w:b/>
          <w:bCs/>
          <w:sz w:val="20"/>
          <w:szCs w:val="20"/>
        </w:rPr>
        <w:t xml:space="preserve"> </w:t>
      </w:r>
      <w:r w:rsidRPr="00DB7BE5">
        <w:rPr>
          <w:rStyle w:val="Strong"/>
          <w:rFonts w:ascii="Arial" w:eastAsiaTheme="majorEastAsia" w:hAnsi="Arial" w:cs="Arial"/>
          <w:b w:val="0"/>
          <w:sz w:val="20"/>
          <w:szCs w:val="20"/>
        </w:rPr>
        <w:t>1.33 ± 0.28 (0%)</w:t>
      </w:r>
      <w:r w:rsidRPr="00DB7BE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sz w:val="20"/>
          <w:szCs w:val="20"/>
        </w:rPr>
        <w:t xml:space="preserve"> The differences in triglyceride levels among groups are </w:t>
      </w:r>
      <w:r w:rsidRPr="00BE7DCD">
        <w:rPr>
          <w:rStyle w:val="Strong"/>
          <w:rFonts w:ascii="Arial" w:eastAsiaTheme="majorEastAsia" w:hAnsi="Arial" w:cs="Arial"/>
          <w:sz w:val="20"/>
          <w:szCs w:val="20"/>
        </w:rPr>
        <w:t>statistically significant</w:t>
      </w:r>
      <w:r w:rsidRPr="00BE7DCD">
        <w:rPr>
          <w:rFonts w:ascii="Arial" w:hAnsi="Arial" w:cs="Arial"/>
          <w:sz w:val="20"/>
          <w:szCs w:val="20"/>
        </w:rPr>
        <w:t xml:space="preserve"> (p &lt; 0.05). This suggests that dietary treatments had a measurable effect on triglyceride levels in the chickens.</w:t>
      </w:r>
    </w:p>
    <w:p w14:paraId="429CC0C1" w14:textId="77777777" w:rsidR="00BB1926" w:rsidRPr="00BE7DCD" w:rsidRDefault="00BB1926" w:rsidP="00BB1926">
      <w:pPr>
        <w:pStyle w:val="NormalWeb"/>
        <w:spacing w:line="360" w:lineRule="auto"/>
        <w:jc w:val="both"/>
        <w:rPr>
          <w:rFonts w:ascii="Arial" w:hAnsi="Arial" w:cs="Arial"/>
          <w:sz w:val="20"/>
          <w:szCs w:val="20"/>
        </w:rPr>
      </w:pPr>
      <w:r w:rsidRPr="00695685">
        <w:rPr>
          <w:rStyle w:val="Strong"/>
          <w:rFonts w:ascii="Arial" w:hAnsi="Arial" w:cs="Arial"/>
          <w:b w:val="0"/>
          <w:color w:val="000000" w:themeColor="text1"/>
          <w:sz w:val="20"/>
          <w:szCs w:val="20"/>
        </w:rPr>
        <w:t>The High-Density Lipoprotein (HDL)</w:t>
      </w:r>
      <w:r w:rsidRPr="00BE7DCD">
        <w:rPr>
          <w:rFonts w:ascii="Arial" w:hAnsi="Arial" w:cs="Arial"/>
          <w:sz w:val="20"/>
          <w:szCs w:val="20"/>
        </w:rPr>
        <w:t xml:space="preserve"> increased with the treatment from 10% (1.50 ± 0.00) up to the </w:t>
      </w:r>
      <w:r w:rsidRPr="00DB7BE5">
        <w:rPr>
          <w:rStyle w:val="Strong"/>
          <w:rFonts w:ascii="Arial" w:eastAsiaTheme="majorEastAsia" w:hAnsi="Arial" w:cs="Arial"/>
          <w:b w:val="0"/>
          <w:sz w:val="20"/>
          <w:szCs w:val="20"/>
        </w:rPr>
        <w:t>20%</w:t>
      </w:r>
      <w:r w:rsidRPr="00BE7DCD">
        <w:rPr>
          <w:rStyle w:val="Strong"/>
          <w:rFonts w:ascii="Arial" w:eastAsiaTheme="majorEastAsia" w:hAnsi="Arial" w:cs="Arial"/>
          <w:sz w:val="20"/>
          <w:szCs w:val="20"/>
        </w:rPr>
        <w:t xml:space="preserve"> group</w:t>
      </w:r>
      <w:r w:rsidRPr="00BE7DCD">
        <w:rPr>
          <w:rFonts w:ascii="Arial" w:hAnsi="Arial" w:cs="Arial"/>
          <w:b/>
          <w:sz w:val="20"/>
          <w:szCs w:val="20"/>
        </w:rPr>
        <w:t xml:space="preserve"> </w:t>
      </w:r>
      <w:r w:rsidRPr="00BE7DCD">
        <w:rPr>
          <w:rFonts w:ascii="Arial" w:hAnsi="Arial" w:cs="Arial"/>
          <w:sz w:val="20"/>
          <w:szCs w:val="20"/>
        </w:rPr>
        <w:t xml:space="preserve">(1.47 ± 0.03) before declining at </w:t>
      </w:r>
      <w:r w:rsidRPr="00695685">
        <w:rPr>
          <w:rStyle w:val="Strong"/>
          <w:rFonts w:ascii="Arial" w:eastAsiaTheme="majorEastAsia" w:hAnsi="Arial" w:cs="Arial"/>
          <w:b w:val="0"/>
          <w:sz w:val="20"/>
          <w:szCs w:val="20"/>
        </w:rPr>
        <w:t>25% (1.10 ± 0.06)</w:t>
      </w:r>
      <w:r w:rsidRPr="0069568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sz w:val="20"/>
          <w:szCs w:val="20"/>
        </w:rPr>
        <w:t xml:space="preserve">The differences in HDL levels between groups are </w:t>
      </w:r>
      <w:r w:rsidRPr="00BE7DCD">
        <w:rPr>
          <w:rStyle w:val="Strong"/>
          <w:rFonts w:ascii="Arial" w:eastAsiaTheme="majorEastAsia" w:hAnsi="Arial" w:cs="Arial"/>
          <w:sz w:val="20"/>
          <w:szCs w:val="20"/>
        </w:rPr>
        <w:t>highly significant</w:t>
      </w:r>
      <w:r w:rsidRPr="00BE7DCD">
        <w:rPr>
          <w:rFonts w:ascii="Arial" w:hAnsi="Arial" w:cs="Arial"/>
          <w:sz w:val="20"/>
          <w:szCs w:val="20"/>
        </w:rPr>
        <w:t xml:space="preserve"> (</w:t>
      </w:r>
      <w:r w:rsidR="00695685" w:rsidRPr="00695685">
        <w:rPr>
          <w:rFonts w:ascii="Arial" w:hAnsi="Arial" w:cs="Arial"/>
          <w:i/>
          <w:sz w:val="20"/>
          <w:szCs w:val="20"/>
        </w:rPr>
        <w:t xml:space="preserve">P </w:t>
      </w:r>
      <w:r w:rsidRPr="00BE7DCD">
        <w:rPr>
          <w:rFonts w:ascii="Arial" w:hAnsi="Arial" w:cs="Arial"/>
          <w:sz w:val="20"/>
          <w:szCs w:val="20"/>
        </w:rPr>
        <w:t>&lt; 0.01), indicating a strong treatment effect of the mushroom on HDL.</w:t>
      </w:r>
    </w:p>
    <w:p w14:paraId="129B758C" w14:textId="77777777" w:rsidR="00BB1926" w:rsidRPr="00BE7DCD" w:rsidRDefault="00BB1926" w:rsidP="00BB1926">
      <w:pPr>
        <w:pStyle w:val="NormalWeb"/>
        <w:spacing w:line="360" w:lineRule="auto"/>
        <w:jc w:val="both"/>
        <w:rPr>
          <w:rStyle w:val="Strong"/>
          <w:rFonts w:ascii="Arial" w:hAnsi="Arial" w:cs="Arial"/>
          <w:bCs w:val="0"/>
          <w:sz w:val="20"/>
          <w:szCs w:val="20"/>
        </w:rPr>
      </w:pPr>
      <w:r w:rsidRPr="00DB7BE5">
        <w:rPr>
          <w:rStyle w:val="Strong"/>
          <w:rFonts w:ascii="Arial" w:hAnsi="Arial" w:cs="Arial"/>
          <w:b w:val="0"/>
          <w:color w:val="000000" w:themeColor="text1"/>
          <w:sz w:val="20"/>
          <w:szCs w:val="20"/>
        </w:rPr>
        <w:t xml:space="preserve"> Low-Density Lipoprotein (LDL)</w:t>
      </w:r>
      <w:r w:rsidRPr="00BE7DCD">
        <w:rPr>
          <w:rStyle w:val="Strong"/>
          <w:rFonts w:ascii="Arial" w:hAnsi="Arial" w:cs="Arial"/>
          <w:color w:val="000000" w:themeColor="text1"/>
          <w:sz w:val="20"/>
          <w:szCs w:val="20"/>
        </w:rPr>
        <w:t xml:space="preserve"> </w:t>
      </w:r>
      <w:r w:rsidRPr="00BE7DCD">
        <w:rPr>
          <w:rFonts w:ascii="Arial" w:hAnsi="Arial" w:cs="Arial"/>
          <w:color w:val="000000" w:themeColor="text1"/>
          <w:sz w:val="20"/>
          <w:szCs w:val="20"/>
        </w:rPr>
        <w:t xml:space="preserve">peaked in the </w:t>
      </w:r>
      <w:r w:rsidRPr="00DB7BE5">
        <w:rPr>
          <w:rStyle w:val="Strong"/>
          <w:rFonts w:ascii="Arial" w:hAnsi="Arial" w:cs="Arial"/>
          <w:b w:val="0"/>
          <w:color w:val="000000" w:themeColor="text1"/>
          <w:sz w:val="20"/>
          <w:szCs w:val="20"/>
        </w:rPr>
        <w:t>15% group</w:t>
      </w:r>
      <w:r w:rsidRPr="00BE7DCD">
        <w:rPr>
          <w:rFonts w:ascii="Arial" w:hAnsi="Arial" w:cs="Arial"/>
          <w:color w:val="000000" w:themeColor="text1"/>
          <w:sz w:val="20"/>
          <w:szCs w:val="20"/>
        </w:rPr>
        <w:t xml:space="preserve"> (2.40 ± 0.25) and was lowest in the </w:t>
      </w:r>
      <w:r w:rsidRPr="00DB7BE5">
        <w:rPr>
          <w:rStyle w:val="Strong"/>
          <w:rFonts w:ascii="Arial" w:hAnsi="Arial" w:cs="Arial"/>
          <w:b w:val="0"/>
          <w:color w:val="000000" w:themeColor="text1"/>
          <w:sz w:val="20"/>
          <w:szCs w:val="20"/>
        </w:rPr>
        <w:t>5% group</w:t>
      </w:r>
      <w:r w:rsidRPr="00BE7DCD">
        <w:rPr>
          <w:rFonts w:ascii="Arial" w:hAnsi="Arial" w:cs="Arial"/>
          <w:color w:val="000000" w:themeColor="text1"/>
          <w:sz w:val="20"/>
          <w:szCs w:val="20"/>
        </w:rPr>
        <w:t xml:space="preserve"> (1.63 ± 0.12)</w:t>
      </w:r>
      <w:r w:rsidRPr="00BE7DCD">
        <w:rPr>
          <w:rFonts w:ascii="Arial" w:hAnsi="Arial" w:cs="Arial"/>
          <w:b/>
          <w:bCs/>
          <w:color w:val="000000" w:themeColor="text1"/>
          <w:sz w:val="20"/>
          <w:szCs w:val="20"/>
        </w:rPr>
        <w:t>.</w:t>
      </w:r>
      <w:r w:rsidRPr="00BE7DCD">
        <w:rPr>
          <w:rFonts w:ascii="Arial" w:hAnsi="Arial" w:cs="Arial"/>
          <w:color w:val="000000" w:themeColor="text1"/>
          <w:sz w:val="20"/>
          <w:szCs w:val="20"/>
        </w:rPr>
        <w:t xml:space="preserve"> There is </w:t>
      </w:r>
      <w:r w:rsidRPr="00BE7DCD">
        <w:rPr>
          <w:rStyle w:val="Strong"/>
          <w:rFonts w:ascii="Arial" w:hAnsi="Arial" w:cs="Arial"/>
          <w:color w:val="000000" w:themeColor="text1"/>
          <w:sz w:val="20"/>
          <w:szCs w:val="20"/>
        </w:rPr>
        <w:t>no significant difference</w:t>
      </w:r>
      <w:r w:rsidRPr="00BE7DCD">
        <w:rPr>
          <w:rFonts w:ascii="Arial" w:hAnsi="Arial" w:cs="Arial"/>
          <w:color w:val="000000" w:themeColor="text1"/>
          <w:sz w:val="20"/>
          <w:szCs w:val="20"/>
        </w:rPr>
        <w:t xml:space="preserve"> in LDL levels between the treatment groups (p &gt; 0.05). This indicated that the lowering effect of the mushroom on the LDL in the chickens is not dose dependent. </w:t>
      </w:r>
    </w:p>
    <w:p w14:paraId="70F92FA2" w14:textId="77777777" w:rsidR="00BB1926" w:rsidRPr="00BE7DCD" w:rsidRDefault="00BB1926" w:rsidP="00BB1926">
      <w:pPr>
        <w:pStyle w:val="NormalWeb"/>
        <w:spacing w:line="360" w:lineRule="auto"/>
        <w:jc w:val="both"/>
        <w:rPr>
          <w:rFonts w:ascii="Arial" w:hAnsi="Arial" w:cs="Arial"/>
          <w:sz w:val="20"/>
          <w:szCs w:val="20"/>
        </w:rPr>
      </w:pPr>
      <w:r w:rsidRPr="00DB7BE5">
        <w:rPr>
          <w:rStyle w:val="Strong"/>
          <w:rFonts w:ascii="Arial" w:hAnsi="Arial" w:cs="Arial"/>
          <w:b w:val="0"/>
          <w:color w:val="000000" w:themeColor="text1"/>
          <w:sz w:val="20"/>
          <w:szCs w:val="20"/>
        </w:rPr>
        <w:t>Very Low-Density Lipoprotein (VLDL</w:t>
      </w:r>
      <w:r w:rsidRPr="00BE7DCD">
        <w:rPr>
          <w:rStyle w:val="Strong"/>
          <w:rFonts w:ascii="Arial" w:hAnsi="Arial" w:cs="Arial"/>
          <w:color w:val="000000" w:themeColor="text1"/>
          <w:sz w:val="20"/>
          <w:szCs w:val="20"/>
        </w:rPr>
        <w:t xml:space="preserve">) </w:t>
      </w:r>
      <w:r w:rsidRPr="00BE7DCD">
        <w:rPr>
          <w:rFonts w:ascii="Arial" w:hAnsi="Arial" w:cs="Arial"/>
          <w:color w:val="000000" w:themeColor="text1"/>
          <w:sz w:val="20"/>
          <w:szCs w:val="20"/>
        </w:rPr>
        <w:t xml:space="preserve">was highest in control (0%) </w:t>
      </w:r>
      <w:r w:rsidRPr="00DB7BE5">
        <w:rPr>
          <w:rStyle w:val="Strong"/>
          <w:rFonts w:ascii="Arial" w:hAnsi="Arial" w:cs="Arial"/>
          <w:b w:val="0"/>
          <w:color w:val="000000" w:themeColor="text1"/>
          <w:sz w:val="20"/>
          <w:szCs w:val="20"/>
        </w:rPr>
        <w:t>0.63 ± 0.13 and the lowest was observed in 15%</w:t>
      </w:r>
      <w:r w:rsidRPr="00DB7BE5">
        <w:rPr>
          <w:rFonts w:ascii="Arial" w:hAnsi="Arial" w:cs="Arial"/>
          <w:b/>
          <w:color w:val="000000" w:themeColor="text1"/>
          <w:sz w:val="20"/>
          <w:szCs w:val="20"/>
        </w:rPr>
        <w:t xml:space="preserve"> </w:t>
      </w:r>
      <w:r w:rsidRPr="00DB7BE5">
        <w:rPr>
          <w:rStyle w:val="Strong"/>
          <w:rFonts w:ascii="Arial" w:hAnsi="Arial" w:cs="Arial"/>
          <w:b w:val="0"/>
          <w:color w:val="000000" w:themeColor="text1"/>
          <w:sz w:val="20"/>
          <w:szCs w:val="20"/>
        </w:rPr>
        <w:t>0.20 ± 0.10 (15%</w:t>
      </w:r>
      <w:r w:rsidRPr="00BE7DCD">
        <w:rPr>
          <w:rStyle w:val="Strong"/>
          <w:rFonts w:ascii="Arial" w:hAnsi="Arial" w:cs="Arial"/>
          <w:color w:val="000000" w:themeColor="text1"/>
          <w:sz w:val="20"/>
          <w:szCs w:val="20"/>
        </w:rPr>
        <w:t>)</w:t>
      </w:r>
      <w:r w:rsidRPr="00BE7DCD">
        <w:rPr>
          <w:rFonts w:ascii="Arial" w:hAnsi="Arial" w:cs="Arial"/>
          <w:b/>
          <w:color w:val="000000" w:themeColor="text1"/>
          <w:sz w:val="20"/>
          <w:szCs w:val="20"/>
        </w:rPr>
        <w:t>.</w:t>
      </w:r>
      <w:r w:rsidRPr="00BE7DCD">
        <w:rPr>
          <w:rFonts w:ascii="Arial" w:hAnsi="Arial" w:cs="Arial"/>
          <w:color w:val="000000" w:themeColor="text1"/>
          <w:sz w:val="20"/>
          <w:szCs w:val="20"/>
        </w:rPr>
        <w:t xml:space="preserve"> There is a </w:t>
      </w:r>
      <w:r w:rsidRPr="00DB7BE5">
        <w:rPr>
          <w:rStyle w:val="Strong"/>
          <w:rFonts w:ascii="Arial" w:hAnsi="Arial" w:cs="Arial"/>
          <w:b w:val="0"/>
          <w:color w:val="000000" w:themeColor="text1"/>
          <w:sz w:val="20"/>
          <w:szCs w:val="20"/>
        </w:rPr>
        <w:t>significant difference</w:t>
      </w:r>
      <w:r w:rsidRPr="00BE7DCD">
        <w:rPr>
          <w:rFonts w:ascii="Arial" w:hAnsi="Arial" w:cs="Arial"/>
          <w:color w:val="000000" w:themeColor="text1"/>
          <w:sz w:val="20"/>
          <w:szCs w:val="20"/>
        </w:rPr>
        <w:t xml:space="preserve"> in VLDL levels across the treatment groups (p &lt; 0.05), suggesting a treatment effect of the mushroom on the VLDL.</w:t>
      </w:r>
    </w:p>
    <w:p w14:paraId="22A54766" w14:textId="77777777" w:rsidR="00BB1926" w:rsidRPr="00964EF3" w:rsidRDefault="00BB1926" w:rsidP="00BB1926">
      <w:pPr>
        <w:spacing w:line="360" w:lineRule="auto"/>
        <w:jc w:val="both"/>
        <w:rPr>
          <w:rFonts w:ascii="Arial" w:hAnsi="Arial" w:cs="Arial"/>
          <w:sz w:val="20"/>
          <w:szCs w:val="20"/>
        </w:rPr>
      </w:pPr>
      <w:r w:rsidRPr="00BE7DCD">
        <w:rPr>
          <w:rFonts w:ascii="Arial" w:hAnsi="Arial" w:cs="Arial"/>
          <w:sz w:val="20"/>
          <w:szCs w:val="20"/>
        </w:rPr>
        <w:t>The association between the dosage of sclerotia, body weight gain and lipid profile</w:t>
      </w:r>
      <w:r w:rsidRPr="00BE7DCD">
        <w:rPr>
          <w:rFonts w:ascii="Arial" w:hAnsi="Arial" w:cs="Arial"/>
          <w:b/>
          <w:sz w:val="20"/>
          <w:szCs w:val="20"/>
        </w:rPr>
        <w:t xml:space="preserve"> </w:t>
      </w:r>
      <w:r w:rsidRPr="00BE7DCD">
        <w:rPr>
          <w:rFonts w:ascii="Arial" w:hAnsi="Arial" w:cs="Arial"/>
          <w:sz w:val="20"/>
          <w:szCs w:val="20"/>
        </w:rPr>
        <w:t>showed</w:t>
      </w:r>
      <w:r w:rsidRPr="00BE7DCD">
        <w:rPr>
          <w:rFonts w:ascii="Arial" w:hAnsi="Arial" w:cs="Arial"/>
          <w:b/>
          <w:sz w:val="20"/>
          <w:szCs w:val="20"/>
        </w:rPr>
        <w:t xml:space="preserve"> </w:t>
      </w:r>
      <w:r w:rsidRPr="00DB7BE5">
        <w:rPr>
          <w:rStyle w:val="Strong"/>
          <w:rFonts w:ascii="Arial" w:hAnsi="Arial" w:cs="Arial"/>
          <w:b w:val="0"/>
          <w:sz w:val="20"/>
          <w:szCs w:val="20"/>
        </w:rPr>
        <w:t>significant treatment effects</w:t>
      </w:r>
      <w:r w:rsidRPr="00BE7DCD">
        <w:rPr>
          <w:rFonts w:ascii="Arial" w:hAnsi="Arial" w:cs="Arial"/>
          <w:b/>
          <w:sz w:val="20"/>
          <w:szCs w:val="20"/>
        </w:rPr>
        <w:t xml:space="preserve"> </w:t>
      </w:r>
      <w:r w:rsidRPr="00BE7DCD">
        <w:rPr>
          <w:rFonts w:ascii="Arial" w:hAnsi="Arial" w:cs="Arial"/>
          <w:sz w:val="20"/>
          <w:szCs w:val="20"/>
        </w:rPr>
        <w:t>on</w:t>
      </w:r>
      <w:r w:rsidRPr="00BE7DCD">
        <w:rPr>
          <w:rFonts w:ascii="Arial" w:hAnsi="Arial" w:cs="Arial"/>
          <w:b/>
          <w:sz w:val="20"/>
          <w:szCs w:val="20"/>
        </w:rPr>
        <w:t xml:space="preserve"> </w:t>
      </w:r>
      <w:r w:rsidRPr="00DB7BE5">
        <w:rPr>
          <w:rStyle w:val="Strong"/>
          <w:rFonts w:ascii="Arial" w:hAnsi="Arial" w:cs="Arial"/>
          <w:b w:val="0"/>
          <w:sz w:val="20"/>
          <w:szCs w:val="20"/>
        </w:rPr>
        <w:t>Triglycerides</w:t>
      </w:r>
      <w:r w:rsidRPr="00DB7BE5">
        <w:rPr>
          <w:rFonts w:ascii="Arial" w:hAnsi="Arial" w:cs="Arial"/>
          <w:b/>
          <w:bCs/>
          <w:sz w:val="20"/>
          <w:szCs w:val="20"/>
        </w:rPr>
        <w:t xml:space="preserve">, </w:t>
      </w:r>
      <w:r w:rsidRPr="00DB7BE5">
        <w:rPr>
          <w:rStyle w:val="Strong"/>
          <w:rFonts w:ascii="Arial" w:hAnsi="Arial" w:cs="Arial"/>
          <w:b w:val="0"/>
          <w:sz w:val="20"/>
          <w:szCs w:val="20"/>
        </w:rPr>
        <w:t>HDL</w:t>
      </w:r>
      <w:r w:rsidRPr="00DB7BE5">
        <w:rPr>
          <w:rFonts w:ascii="Arial" w:hAnsi="Arial" w:cs="Arial"/>
          <w:b/>
          <w:sz w:val="20"/>
          <w:szCs w:val="20"/>
        </w:rPr>
        <w:t xml:space="preserve">, </w:t>
      </w:r>
      <w:r w:rsidRPr="00DB7BE5">
        <w:rPr>
          <w:rFonts w:ascii="Arial" w:hAnsi="Arial" w:cs="Arial"/>
          <w:sz w:val="20"/>
          <w:szCs w:val="20"/>
        </w:rPr>
        <w:t>and</w:t>
      </w:r>
      <w:r w:rsidRPr="00DB7BE5">
        <w:rPr>
          <w:rFonts w:ascii="Arial" w:hAnsi="Arial" w:cs="Arial"/>
          <w:b/>
          <w:sz w:val="20"/>
          <w:szCs w:val="20"/>
        </w:rPr>
        <w:t xml:space="preserve"> </w:t>
      </w:r>
      <w:r w:rsidRPr="00DB7BE5">
        <w:rPr>
          <w:rStyle w:val="Strong"/>
          <w:rFonts w:ascii="Arial" w:hAnsi="Arial" w:cs="Arial"/>
          <w:b w:val="0"/>
          <w:sz w:val="20"/>
          <w:szCs w:val="20"/>
        </w:rPr>
        <w:t>VLDL</w:t>
      </w:r>
      <w:r w:rsidRPr="00DB7BE5">
        <w:rPr>
          <w:rFonts w:ascii="Arial" w:hAnsi="Arial" w:cs="Arial"/>
          <w:b/>
          <w:bCs/>
          <w:sz w:val="20"/>
          <w:szCs w:val="20"/>
        </w:rPr>
        <w:t xml:space="preserve">, </w:t>
      </w:r>
      <w:r w:rsidRPr="00DB7BE5">
        <w:rPr>
          <w:rStyle w:val="Strong"/>
          <w:rFonts w:ascii="Arial" w:hAnsi="Arial" w:cs="Arial"/>
          <w:b w:val="0"/>
          <w:sz w:val="20"/>
          <w:szCs w:val="20"/>
        </w:rPr>
        <w:t>but no significant effects</w:t>
      </w:r>
      <w:r w:rsidRPr="00DB7BE5">
        <w:rPr>
          <w:rFonts w:ascii="Arial" w:hAnsi="Arial" w:cs="Arial"/>
          <w:b/>
          <w:sz w:val="20"/>
          <w:szCs w:val="20"/>
        </w:rPr>
        <w:t xml:space="preserve"> were</w:t>
      </w:r>
      <w:r w:rsidRPr="00BE7DCD">
        <w:rPr>
          <w:rFonts w:ascii="Arial" w:hAnsi="Arial" w:cs="Arial"/>
          <w:b/>
          <w:sz w:val="20"/>
          <w:szCs w:val="20"/>
        </w:rPr>
        <w:t xml:space="preserve"> </w:t>
      </w:r>
      <w:r w:rsidRPr="00BE7DCD">
        <w:rPr>
          <w:rFonts w:ascii="Arial" w:hAnsi="Arial" w:cs="Arial"/>
          <w:sz w:val="20"/>
          <w:szCs w:val="20"/>
        </w:rPr>
        <w:t>found on</w:t>
      </w:r>
      <w:r w:rsidRPr="00BE7DCD">
        <w:rPr>
          <w:rFonts w:ascii="Arial" w:hAnsi="Arial" w:cs="Arial"/>
          <w:b/>
          <w:sz w:val="20"/>
          <w:szCs w:val="20"/>
        </w:rPr>
        <w:t xml:space="preserve"> </w:t>
      </w:r>
      <w:r w:rsidRPr="00BE7DCD">
        <w:rPr>
          <w:rStyle w:val="Strong"/>
          <w:rFonts w:ascii="Arial" w:hAnsi="Arial" w:cs="Arial"/>
          <w:sz w:val="20"/>
          <w:szCs w:val="20"/>
        </w:rPr>
        <w:t>Cholesterol</w:t>
      </w:r>
      <w:r w:rsidRPr="00BE7DCD">
        <w:rPr>
          <w:rFonts w:ascii="Arial" w:hAnsi="Arial" w:cs="Arial"/>
          <w:b/>
          <w:sz w:val="20"/>
          <w:szCs w:val="20"/>
        </w:rPr>
        <w:t xml:space="preserve"> </w:t>
      </w:r>
      <w:r w:rsidRPr="00BE7DCD">
        <w:rPr>
          <w:rFonts w:ascii="Arial" w:hAnsi="Arial" w:cs="Arial"/>
          <w:sz w:val="20"/>
          <w:szCs w:val="20"/>
        </w:rPr>
        <w:lastRenderedPageBreak/>
        <w:t>and</w:t>
      </w:r>
      <w:r w:rsidRPr="00DB7BE5">
        <w:rPr>
          <w:rFonts w:ascii="Arial" w:hAnsi="Arial" w:cs="Arial"/>
          <w:sz w:val="20"/>
          <w:szCs w:val="20"/>
        </w:rPr>
        <w:t xml:space="preserve"> </w:t>
      </w:r>
      <w:r w:rsidRPr="001B0DC6">
        <w:rPr>
          <w:rStyle w:val="Strong"/>
          <w:rFonts w:ascii="Arial" w:hAnsi="Arial" w:cs="Arial"/>
          <w:b w:val="0"/>
          <w:sz w:val="20"/>
          <w:szCs w:val="20"/>
        </w:rPr>
        <w:t>LDL</w:t>
      </w:r>
      <w:r w:rsidRPr="00BE7DCD">
        <w:rPr>
          <w:rFonts w:ascii="Arial" w:hAnsi="Arial" w:cs="Arial"/>
          <w:b/>
          <w:bCs/>
          <w:sz w:val="20"/>
          <w:szCs w:val="20"/>
        </w:rPr>
        <w:t xml:space="preserve">. </w:t>
      </w:r>
      <w:r w:rsidRPr="00BE7DCD">
        <w:rPr>
          <w:rFonts w:ascii="Arial" w:hAnsi="Arial" w:cs="Arial"/>
          <w:bCs/>
          <w:sz w:val="20"/>
          <w:szCs w:val="20"/>
        </w:rPr>
        <w:t>The</w:t>
      </w:r>
      <w:r w:rsidRPr="00BE7DCD">
        <w:rPr>
          <w:rFonts w:ascii="Arial" w:hAnsi="Arial" w:cs="Arial"/>
          <w:b/>
          <w:bCs/>
          <w:sz w:val="20"/>
          <w:szCs w:val="20"/>
        </w:rPr>
        <w:t xml:space="preserve"> </w:t>
      </w:r>
      <w:r w:rsidRPr="00BE7DCD">
        <w:rPr>
          <w:rStyle w:val="Strong"/>
          <w:rFonts w:ascii="Arial" w:hAnsi="Arial" w:cs="Arial"/>
          <w:sz w:val="20"/>
          <w:szCs w:val="20"/>
        </w:rPr>
        <w:t>final weight</w:t>
      </w:r>
      <w:r w:rsidRPr="00BE7DCD">
        <w:rPr>
          <w:rFonts w:ascii="Arial" w:hAnsi="Arial" w:cs="Arial"/>
          <w:b/>
          <w:sz w:val="20"/>
          <w:szCs w:val="20"/>
        </w:rPr>
        <w:t xml:space="preserve"> </w:t>
      </w:r>
      <w:r w:rsidRPr="00BE7DCD">
        <w:rPr>
          <w:rFonts w:ascii="Arial" w:hAnsi="Arial" w:cs="Arial"/>
          <w:sz w:val="20"/>
          <w:szCs w:val="20"/>
        </w:rPr>
        <w:t>decreased with increasing dietary treatment levels, suggesting a potential impact of the mushroom on the growth performance.</w:t>
      </w:r>
    </w:p>
    <w:p w14:paraId="39B0DD1C" w14:textId="77777777" w:rsidR="00BB1926" w:rsidRPr="00DB7BE5" w:rsidRDefault="00BB1926" w:rsidP="00DB7BE5">
      <w:pPr>
        <w:pStyle w:val="NormalWeb"/>
        <w:numPr>
          <w:ilvl w:val="0"/>
          <w:numId w:val="1"/>
        </w:numPr>
        <w:jc w:val="both"/>
        <w:rPr>
          <w:rFonts w:ascii="Arial" w:hAnsi="Arial" w:cs="Arial"/>
          <w:b/>
          <w:sz w:val="22"/>
          <w:szCs w:val="22"/>
        </w:rPr>
      </w:pPr>
      <w:r w:rsidRPr="00DB7BE5">
        <w:rPr>
          <w:rFonts w:ascii="Arial" w:hAnsi="Arial" w:cs="Arial"/>
          <w:b/>
          <w:sz w:val="22"/>
          <w:szCs w:val="22"/>
        </w:rPr>
        <w:t>DISCUSSION</w:t>
      </w:r>
    </w:p>
    <w:p w14:paraId="511F58D5"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This is the first study evaluating the effect of mushroom on weight protein and blood lipid profile in chickens. Most of the animal studies on the effect of mushrooms on the lipid profile are on hamsters, rat, minipigs and humans (Peter, 1998, Berger, et al., 2004, </w:t>
      </w:r>
      <w:proofErr w:type="spellStart"/>
      <w:r w:rsidRPr="00BE7DCD">
        <w:rPr>
          <w:rFonts w:ascii="Arial" w:hAnsi="Arial" w:cs="Arial"/>
          <w:sz w:val="20"/>
          <w:szCs w:val="20"/>
        </w:rPr>
        <w:t>Handayani</w:t>
      </w:r>
      <w:proofErr w:type="spellEnd"/>
      <w:r w:rsidRPr="00BE7DCD">
        <w:rPr>
          <w:rFonts w:ascii="Arial" w:hAnsi="Arial" w:cs="Arial"/>
          <w:sz w:val="20"/>
          <w:szCs w:val="20"/>
        </w:rPr>
        <w:t xml:space="preserve">, et al., </w:t>
      </w:r>
      <w:proofErr w:type="gramStart"/>
      <w:r w:rsidRPr="00BE7DCD">
        <w:rPr>
          <w:rFonts w:ascii="Arial" w:hAnsi="Arial" w:cs="Arial"/>
          <w:sz w:val="20"/>
          <w:szCs w:val="20"/>
        </w:rPr>
        <w:t>2011 ,</w:t>
      </w:r>
      <w:proofErr w:type="gramEnd"/>
      <w:r w:rsidRPr="00BE7DCD">
        <w:rPr>
          <w:rFonts w:ascii="Arial" w:hAnsi="Arial" w:cs="Arial"/>
          <w:sz w:val="20"/>
          <w:szCs w:val="20"/>
        </w:rPr>
        <w:t xml:space="preserve"> </w:t>
      </w:r>
      <w:proofErr w:type="spellStart"/>
      <w:r w:rsidRPr="00BE7DCD">
        <w:rPr>
          <w:rFonts w:ascii="Arial" w:hAnsi="Arial" w:cs="Arial"/>
          <w:sz w:val="20"/>
          <w:szCs w:val="20"/>
        </w:rPr>
        <w:t>Shanggong</w:t>
      </w:r>
      <w:proofErr w:type="spellEnd"/>
      <w:r w:rsidRPr="00BE7DCD">
        <w:rPr>
          <w:rFonts w:ascii="Arial" w:hAnsi="Arial" w:cs="Arial"/>
          <w:sz w:val="20"/>
          <w:szCs w:val="20"/>
        </w:rPr>
        <w:t xml:space="preserve"> et al., 2016,). This study showed that the sclerotia of </w:t>
      </w:r>
      <w:proofErr w:type="spellStart"/>
      <w:r w:rsidRPr="00BE7DCD">
        <w:rPr>
          <w:rFonts w:ascii="Arial" w:hAnsi="Arial" w:cs="Arial"/>
          <w:i/>
          <w:sz w:val="20"/>
          <w:szCs w:val="20"/>
        </w:rPr>
        <w:t>Pleurotus</w:t>
      </w:r>
      <w:proofErr w:type="spellEnd"/>
      <w:r w:rsidRPr="00BE7DCD">
        <w:rPr>
          <w:rFonts w:ascii="Arial" w:hAnsi="Arial" w:cs="Arial"/>
          <w:i/>
          <w:sz w:val="20"/>
          <w:szCs w:val="20"/>
        </w:rPr>
        <w:t xml:space="preserve"> </w:t>
      </w:r>
      <w:proofErr w:type="spellStart"/>
      <w:r w:rsidRPr="00BE7DCD">
        <w:rPr>
          <w:rFonts w:ascii="Arial" w:hAnsi="Arial" w:cs="Arial"/>
          <w:i/>
          <w:sz w:val="20"/>
          <w:szCs w:val="20"/>
        </w:rPr>
        <w:t>tuberregium</w:t>
      </w:r>
      <w:proofErr w:type="spellEnd"/>
      <w:r w:rsidRPr="00BE7DCD">
        <w:rPr>
          <w:rFonts w:ascii="Arial" w:hAnsi="Arial" w:cs="Arial"/>
          <w:sz w:val="20"/>
          <w:szCs w:val="20"/>
        </w:rPr>
        <w:t xml:space="preserve"> reduced weight gain in broilers chickens. Chicken weights decreased </w:t>
      </w:r>
      <w:r w:rsidRPr="001B0DC6">
        <w:rPr>
          <w:rStyle w:val="Strong"/>
          <w:rFonts w:ascii="Arial" w:eastAsiaTheme="majorEastAsia" w:hAnsi="Arial" w:cs="Arial"/>
          <w:b w:val="0"/>
          <w:sz w:val="20"/>
          <w:szCs w:val="20"/>
        </w:rPr>
        <w:t>significantly over time</w:t>
      </w:r>
      <w:r w:rsidRPr="001B0DC6">
        <w:rPr>
          <w:rFonts w:ascii="Arial" w:hAnsi="Arial" w:cs="Arial"/>
          <w:b/>
          <w:bCs/>
          <w:sz w:val="20"/>
          <w:szCs w:val="20"/>
        </w:rPr>
        <w:t xml:space="preserve">. </w:t>
      </w:r>
      <w:r w:rsidRPr="001B0DC6">
        <w:rPr>
          <w:rStyle w:val="Strong"/>
          <w:rFonts w:ascii="Arial" w:eastAsiaTheme="majorEastAsia" w:hAnsi="Arial" w:cs="Arial"/>
          <w:b w:val="0"/>
          <w:sz w:val="20"/>
          <w:szCs w:val="20"/>
        </w:rPr>
        <w:t>Feed level has a robust effect</w:t>
      </w:r>
      <w:r w:rsidRPr="00BE7DCD">
        <w:rPr>
          <w:rFonts w:ascii="Arial" w:hAnsi="Arial" w:cs="Arial"/>
          <w:b/>
          <w:sz w:val="20"/>
          <w:szCs w:val="20"/>
        </w:rPr>
        <w:t xml:space="preserve"> </w:t>
      </w:r>
      <w:r w:rsidRPr="00BE7DCD">
        <w:rPr>
          <w:rFonts w:ascii="Arial" w:hAnsi="Arial" w:cs="Arial"/>
          <w:sz w:val="20"/>
          <w:szCs w:val="20"/>
        </w:rPr>
        <w:t xml:space="preserve">on growth, </w:t>
      </w:r>
      <w:r w:rsidRPr="001B0DC6">
        <w:rPr>
          <w:rFonts w:ascii="Arial" w:hAnsi="Arial" w:cs="Arial"/>
          <w:sz w:val="20"/>
          <w:szCs w:val="20"/>
        </w:rPr>
        <w:t>with</w:t>
      </w:r>
      <w:r w:rsidRPr="001B0DC6">
        <w:rPr>
          <w:rFonts w:ascii="Arial" w:hAnsi="Arial" w:cs="Arial"/>
          <w:b/>
          <w:sz w:val="20"/>
          <w:szCs w:val="20"/>
        </w:rPr>
        <w:t xml:space="preserve"> </w:t>
      </w:r>
      <w:r w:rsidRPr="001B0DC6">
        <w:rPr>
          <w:rStyle w:val="Strong"/>
          <w:rFonts w:ascii="Arial" w:eastAsiaTheme="majorEastAsia" w:hAnsi="Arial" w:cs="Arial"/>
          <w:b w:val="0"/>
          <w:sz w:val="20"/>
          <w:szCs w:val="20"/>
        </w:rPr>
        <w:t>minimal or no supplementation (0–5%)</w:t>
      </w:r>
      <w:r w:rsidRPr="001B0DC6">
        <w:rPr>
          <w:rFonts w:ascii="Arial" w:hAnsi="Arial" w:cs="Arial"/>
          <w:b/>
          <w:sz w:val="20"/>
          <w:szCs w:val="20"/>
        </w:rPr>
        <w:t xml:space="preserve"> </w:t>
      </w:r>
      <w:r w:rsidRPr="001B0DC6">
        <w:rPr>
          <w:rFonts w:ascii="Arial" w:hAnsi="Arial" w:cs="Arial"/>
          <w:sz w:val="20"/>
          <w:szCs w:val="20"/>
        </w:rPr>
        <w:t xml:space="preserve">yielding </w:t>
      </w:r>
      <w:r w:rsidRPr="001B0DC6">
        <w:rPr>
          <w:rStyle w:val="Strong"/>
          <w:rFonts w:ascii="Arial" w:eastAsiaTheme="majorEastAsia" w:hAnsi="Arial" w:cs="Arial"/>
          <w:b w:val="0"/>
          <w:sz w:val="20"/>
          <w:szCs w:val="20"/>
        </w:rPr>
        <w:t>superior weight gain</w:t>
      </w:r>
      <w:r w:rsidRPr="001B0DC6">
        <w:rPr>
          <w:rFonts w:ascii="Arial" w:hAnsi="Arial" w:cs="Arial"/>
          <w:b/>
          <w:sz w:val="20"/>
          <w:szCs w:val="20"/>
        </w:rPr>
        <w:t>.</w:t>
      </w:r>
      <w:r w:rsidRPr="001B0DC6">
        <w:rPr>
          <w:rFonts w:ascii="Arial" w:hAnsi="Arial" w:cs="Arial"/>
          <w:b/>
          <w:bCs/>
          <w:sz w:val="20"/>
          <w:szCs w:val="20"/>
        </w:rPr>
        <w:t xml:space="preserve"> </w:t>
      </w:r>
      <w:r w:rsidRPr="001B0DC6">
        <w:rPr>
          <w:rStyle w:val="Strong"/>
          <w:rFonts w:ascii="Arial" w:eastAsiaTheme="majorEastAsia" w:hAnsi="Arial" w:cs="Arial"/>
          <w:b w:val="0"/>
          <w:sz w:val="20"/>
          <w:szCs w:val="20"/>
        </w:rPr>
        <w:t>Excessive supplementation (20–25%) reduces growth performance</w:t>
      </w:r>
      <w:r w:rsidRPr="00BE7DCD">
        <w:rPr>
          <w:rFonts w:ascii="Arial" w:hAnsi="Arial" w:cs="Arial"/>
          <w:b/>
          <w:bCs/>
          <w:sz w:val="20"/>
          <w:szCs w:val="20"/>
        </w:rPr>
        <w:t>,</w:t>
      </w:r>
      <w:r w:rsidRPr="00BE7DCD">
        <w:rPr>
          <w:rFonts w:ascii="Arial" w:hAnsi="Arial" w:cs="Arial"/>
          <w:sz w:val="20"/>
          <w:szCs w:val="20"/>
        </w:rPr>
        <w:t xml:space="preserve"> suggesting an inverse relationship between supplementation level and weight.</w:t>
      </w:r>
      <w:r w:rsidRPr="00BE7DCD">
        <w:rPr>
          <w:rFonts w:ascii="Arial" w:hAnsi="Arial" w:cs="Arial"/>
          <w:b/>
          <w:bCs/>
          <w:sz w:val="20"/>
          <w:szCs w:val="20"/>
        </w:rPr>
        <w:t xml:space="preserve"> </w:t>
      </w:r>
      <w:r w:rsidRPr="00BE7DCD">
        <w:rPr>
          <w:rFonts w:ascii="Arial" w:hAnsi="Arial" w:cs="Arial"/>
          <w:sz w:val="20"/>
          <w:szCs w:val="20"/>
        </w:rPr>
        <w:t>The results suggest that minimal or no feed supplementation optimized weight gain, highlighting a potentially inverse relationship between feed level and growth efficiency. Poultry farmers could consider</w:t>
      </w:r>
      <w:r w:rsidRPr="00BE7DCD">
        <w:rPr>
          <w:rFonts w:ascii="Arial" w:hAnsi="Arial" w:cs="Arial"/>
          <w:b/>
          <w:sz w:val="20"/>
          <w:szCs w:val="20"/>
        </w:rPr>
        <w:t xml:space="preserve"> </w:t>
      </w:r>
      <w:r w:rsidRPr="001B0DC6">
        <w:rPr>
          <w:rStyle w:val="Strong"/>
          <w:rFonts w:ascii="Arial" w:eastAsiaTheme="majorEastAsia" w:hAnsi="Arial" w:cs="Arial"/>
          <w:b w:val="0"/>
          <w:sz w:val="20"/>
          <w:szCs w:val="20"/>
        </w:rPr>
        <w:t>0–5% feed levels</w:t>
      </w:r>
      <w:r w:rsidRPr="00BE7DCD">
        <w:rPr>
          <w:rFonts w:ascii="Arial" w:hAnsi="Arial" w:cs="Arial"/>
          <w:b/>
          <w:sz w:val="20"/>
          <w:szCs w:val="20"/>
        </w:rPr>
        <w:t xml:space="preserve"> </w:t>
      </w:r>
      <w:r w:rsidRPr="00BE7DCD">
        <w:rPr>
          <w:rFonts w:ascii="Arial" w:hAnsi="Arial" w:cs="Arial"/>
          <w:sz w:val="20"/>
          <w:szCs w:val="20"/>
        </w:rPr>
        <w:t>as optimal for maximizing growth efficiency when incorporating this mushroom during formulation of feeds.</w:t>
      </w:r>
    </w:p>
    <w:p w14:paraId="3A9FBF2B"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This finding is of special significance because weight gain leads to obesity that is associated with numerous diseases like diabetes and coronary heart diseases. The results of this study supported many studies that have shown that adding mushrooms powder to diets affect body weight gain in animals (</w:t>
      </w:r>
      <w:proofErr w:type="spellStart"/>
      <w:r w:rsidRPr="00BE7DCD">
        <w:rPr>
          <w:rFonts w:ascii="Arial" w:hAnsi="Arial" w:cs="Arial"/>
          <w:sz w:val="20"/>
          <w:szCs w:val="20"/>
        </w:rPr>
        <w:t>Simopoulus</w:t>
      </w:r>
      <w:proofErr w:type="spellEnd"/>
      <w:r w:rsidRPr="00BE7DCD">
        <w:rPr>
          <w:rFonts w:ascii="Arial" w:hAnsi="Arial" w:cs="Arial"/>
          <w:sz w:val="20"/>
          <w:szCs w:val="20"/>
        </w:rPr>
        <w:t xml:space="preserve"> and </w:t>
      </w:r>
      <w:proofErr w:type="spellStart"/>
      <w:r w:rsidRPr="00BE7DCD">
        <w:rPr>
          <w:rFonts w:ascii="Arial" w:hAnsi="Arial" w:cs="Arial"/>
          <w:sz w:val="20"/>
          <w:szCs w:val="20"/>
        </w:rPr>
        <w:t>Pavlou</w:t>
      </w:r>
      <w:proofErr w:type="spellEnd"/>
      <w:r w:rsidRPr="00BE7DCD">
        <w:rPr>
          <w:rFonts w:ascii="Arial" w:hAnsi="Arial" w:cs="Arial"/>
          <w:sz w:val="20"/>
          <w:szCs w:val="20"/>
        </w:rPr>
        <w:t xml:space="preserve">, 1997, Berger, et al., 2004, Kim et al., 2005, Nuhu et al., 2009). The findings also supported the work of </w:t>
      </w:r>
      <w:proofErr w:type="spellStart"/>
      <w:r w:rsidRPr="00BE7DCD">
        <w:rPr>
          <w:rFonts w:ascii="Arial" w:hAnsi="Arial" w:cs="Arial"/>
          <w:sz w:val="20"/>
          <w:szCs w:val="20"/>
        </w:rPr>
        <w:t>Handayani</w:t>
      </w:r>
      <w:proofErr w:type="spellEnd"/>
      <w:r w:rsidRPr="00BE7DCD">
        <w:rPr>
          <w:rFonts w:ascii="Arial" w:hAnsi="Arial" w:cs="Arial"/>
          <w:sz w:val="20"/>
          <w:szCs w:val="20"/>
        </w:rPr>
        <w:t xml:space="preserve"> et al. (2011) who reported that </w:t>
      </w:r>
      <w:proofErr w:type="spellStart"/>
      <w:r w:rsidRPr="00BE7DCD">
        <w:rPr>
          <w:rFonts w:ascii="Arial" w:hAnsi="Arial" w:cs="Arial"/>
          <w:i/>
          <w:sz w:val="20"/>
          <w:szCs w:val="20"/>
        </w:rPr>
        <w:t>Lentinus</w:t>
      </w:r>
      <w:proofErr w:type="spellEnd"/>
      <w:r w:rsidRPr="00BE7DCD">
        <w:rPr>
          <w:rFonts w:ascii="Arial" w:hAnsi="Arial" w:cs="Arial"/>
          <w:sz w:val="20"/>
          <w:szCs w:val="20"/>
        </w:rPr>
        <w:t xml:space="preserve"> </w:t>
      </w:r>
      <w:proofErr w:type="spellStart"/>
      <w:r w:rsidRPr="00BE7DCD">
        <w:rPr>
          <w:rFonts w:ascii="Arial" w:hAnsi="Arial" w:cs="Arial"/>
          <w:i/>
          <w:sz w:val="20"/>
          <w:szCs w:val="20"/>
        </w:rPr>
        <w:t>edodes</w:t>
      </w:r>
      <w:proofErr w:type="spellEnd"/>
      <w:r w:rsidRPr="00BE7DCD">
        <w:rPr>
          <w:rFonts w:ascii="Arial" w:hAnsi="Arial" w:cs="Arial"/>
          <w:sz w:val="20"/>
          <w:szCs w:val="20"/>
        </w:rPr>
        <w:t xml:space="preserve"> prevents fat deposition and lowers Triglycerides in rats.</w:t>
      </w:r>
    </w:p>
    <w:p w14:paraId="1D759BA8" w14:textId="77777777" w:rsidR="00BB1926" w:rsidRPr="00BE7DCD" w:rsidRDefault="00BB1926" w:rsidP="00BB1926">
      <w:pPr>
        <w:spacing w:before="100" w:beforeAutospacing="1" w:after="100" w:afterAutospacing="1" w:line="360" w:lineRule="auto"/>
        <w:jc w:val="both"/>
        <w:rPr>
          <w:rFonts w:ascii="Arial" w:eastAsia="Times New Roman" w:hAnsi="Arial" w:cs="Arial"/>
          <w:sz w:val="20"/>
          <w:szCs w:val="20"/>
        </w:rPr>
      </w:pPr>
      <w:r w:rsidRPr="00BE7DCD">
        <w:rPr>
          <w:rFonts w:ascii="Arial" w:hAnsi="Arial" w:cs="Arial"/>
          <w:sz w:val="20"/>
          <w:szCs w:val="20"/>
        </w:rPr>
        <w:t>The result of the protein contents revealed a highly significant difference in protein content across feed levels.</w:t>
      </w:r>
      <w:r w:rsidRPr="00BE7DCD">
        <w:rPr>
          <w:rFonts w:ascii="Arial" w:eastAsia="Times New Roman" w:hAnsi="Arial" w:cs="Arial"/>
          <w:sz w:val="20"/>
          <w:szCs w:val="20"/>
        </w:rPr>
        <w:t xml:space="preserve"> The statistical analysis showed that </w:t>
      </w:r>
      <w:r w:rsidRPr="00BE7DCD">
        <w:rPr>
          <w:rFonts w:ascii="Arial" w:hAnsi="Arial" w:cs="Arial"/>
          <w:sz w:val="20"/>
          <w:szCs w:val="20"/>
        </w:rPr>
        <w:t xml:space="preserve">protein values form six distinct groups, showing a </w:t>
      </w:r>
      <w:r w:rsidRPr="001B0DC6">
        <w:rPr>
          <w:rStyle w:val="Strong"/>
          <w:rFonts w:ascii="Arial" w:hAnsi="Arial" w:cs="Arial"/>
          <w:b w:val="0"/>
          <w:sz w:val="20"/>
          <w:szCs w:val="20"/>
        </w:rPr>
        <w:t>progressive, statistically reliable decline</w:t>
      </w:r>
      <w:r w:rsidRPr="00BE7DCD">
        <w:rPr>
          <w:rFonts w:ascii="Arial" w:hAnsi="Arial" w:cs="Arial"/>
          <w:sz w:val="20"/>
          <w:szCs w:val="20"/>
        </w:rPr>
        <w:t xml:space="preserve"> as feed additive concentration increased.</w:t>
      </w:r>
      <w:r w:rsidRPr="00BE7DCD">
        <w:rPr>
          <w:rFonts w:ascii="Arial" w:eastAsia="Times New Roman" w:hAnsi="Arial" w:cs="Arial"/>
          <w:sz w:val="20"/>
          <w:szCs w:val="20"/>
        </w:rPr>
        <w:t xml:space="preserve"> This finding suggests higher supplementation with the sclerotia reduces or lowers the protein contents in broilers, indicating moderate supplementation (5–10%) may best balance nutritional quality of feeds.</w:t>
      </w:r>
    </w:p>
    <w:p w14:paraId="43E13700"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Chickens fed with control feed have higher cholesterol level while those fed with addition of mushroom have lower plasma cholesterol level. The reduction of the cholesterol is not dose dependent as there is no statistical difference in cholesterol levels across the treatment group (p &lt; 0.05). The result showed that 25% sclerotia inclusion significantly repressed the increment of plasma cholesterol in broilers. The mechanism by which the sclerotia reduced the cholesterol levels may be due to the </w:t>
      </w:r>
      <w:proofErr w:type="spellStart"/>
      <w:r w:rsidRPr="00BE7DCD">
        <w:rPr>
          <w:rFonts w:ascii="Arial" w:hAnsi="Arial" w:cs="Arial"/>
          <w:sz w:val="20"/>
          <w:szCs w:val="20"/>
        </w:rPr>
        <w:t>hypocholesterolaemic</w:t>
      </w:r>
      <w:proofErr w:type="spellEnd"/>
      <w:r w:rsidRPr="00BE7DCD">
        <w:rPr>
          <w:rFonts w:ascii="Arial" w:hAnsi="Arial" w:cs="Arial"/>
          <w:sz w:val="20"/>
          <w:szCs w:val="20"/>
        </w:rPr>
        <w:t xml:space="preserve"> agent in the sclerotia which may be involved in decreasing the activity of the enzymes for cholesterol biosynthesis in the broilers. Addition of this mushroom into poultry feed may involve the suppression of endogenous cholesterol biosynthesis in chickens. This finding is in line with the reports that addition of </w:t>
      </w:r>
      <w:r w:rsidRPr="00BE7DCD">
        <w:rPr>
          <w:rFonts w:ascii="Arial" w:hAnsi="Arial" w:cs="Arial"/>
          <w:sz w:val="20"/>
          <w:szCs w:val="20"/>
        </w:rPr>
        <w:lastRenderedPageBreak/>
        <w:t xml:space="preserve">oyster mushrooms in animal diet exhibit beneficial effects on cholesterol </w:t>
      </w:r>
      <w:proofErr w:type="spellStart"/>
      <w:r w:rsidRPr="00BE7DCD">
        <w:rPr>
          <w:rFonts w:ascii="Arial" w:hAnsi="Arial" w:cs="Arial"/>
          <w:sz w:val="20"/>
          <w:szCs w:val="20"/>
        </w:rPr>
        <w:t>metabolismas</w:t>
      </w:r>
      <w:proofErr w:type="spellEnd"/>
      <w:r w:rsidRPr="00BE7DCD">
        <w:rPr>
          <w:rFonts w:ascii="Arial" w:hAnsi="Arial" w:cs="Arial"/>
          <w:sz w:val="20"/>
          <w:szCs w:val="20"/>
        </w:rPr>
        <w:t xml:space="preserve"> as reported by Fukushima et al. (2001), </w:t>
      </w:r>
      <w:proofErr w:type="spellStart"/>
      <w:r w:rsidRPr="00BE7DCD">
        <w:rPr>
          <w:rFonts w:ascii="Arial" w:hAnsi="Arial" w:cs="Arial"/>
          <w:sz w:val="20"/>
          <w:szCs w:val="20"/>
        </w:rPr>
        <w:t>Shanggong</w:t>
      </w:r>
      <w:proofErr w:type="spellEnd"/>
      <w:r w:rsidRPr="00BE7DCD">
        <w:rPr>
          <w:rFonts w:ascii="Arial" w:hAnsi="Arial" w:cs="Arial"/>
          <w:sz w:val="20"/>
          <w:szCs w:val="20"/>
        </w:rPr>
        <w:t xml:space="preserve"> et al. (2016) and </w:t>
      </w:r>
      <w:proofErr w:type="spellStart"/>
      <w:r w:rsidRPr="00BE7DCD">
        <w:rPr>
          <w:rFonts w:ascii="Arial" w:hAnsi="Arial" w:cs="Arial"/>
          <w:sz w:val="20"/>
          <w:szCs w:val="20"/>
        </w:rPr>
        <w:t>Handayani</w:t>
      </w:r>
      <w:proofErr w:type="spellEnd"/>
      <w:r w:rsidRPr="00BE7DCD">
        <w:rPr>
          <w:rFonts w:ascii="Arial" w:hAnsi="Arial" w:cs="Arial"/>
          <w:sz w:val="20"/>
          <w:szCs w:val="20"/>
        </w:rPr>
        <w:t xml:space="preserve"> et al. (2011).</w:t>
      </w:r>
    </w:p>
    <w:p w14:paraId="3207D2F8"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Our findings showed the lowering effect of the sclerotia on the triglyceride level in broiler chickens. This observation suggests that there may be compounds within the sclerotia which appear to influence lipid metabolism, and reduced the glyceride amount in the blood stream of chickens. This observation is in line with the findings of Berger et al., (2004) who observed the effects of </w:t>
      </w:r>
      <w:r w:rsidRPr="00BE7DCD">
        <w:rPr>
          <w:rFonts w:ascii="Arial" w:hAnsi="Arial" w:cs="Arial"/>
          <w:i/>
          <w:sz w:val="20"/>
          <w:szCs w:val="20"/>
        </w:rPr>
        <w:t>Ganoderma lucidum</w:t>
      </w:r>
      <w:r w:rsidRPr="00BE7DCD">
        <w:rPr>
          <w:rFonts w:ascii="Arial" w:hAnsi="Arial" w:cs="Arial"/>
          <w:sz w:val="20"/>
          <w:szCs w:val="20"/>
        </w:rPr>
        <w:t xml:space="preserve"> on the cholesterol and glycerides in rats and minipigs.</w:t>
      </w:r>
    </w:p>
    <w:p w14:paraId="71353102"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In this study, the high-density lipoprotein (HDL) known as good cholesterol was increased by the addition of the sclerotia. The effect was significant between 10% to 20%.  The study has shown that adding less than 10% and above 20% (</w:t>
      </w:r>
      <w:proofErr w:type="spellStart"/>
      <w:proofErr w:type="gramStart"/>
      <w:r w:rsidRPr="00BE7DCD">
        <w:rPr>
          <w:rFonts w:ascii="Arial" w:hAnsi="Arial" w:cs="Arial"/>
          <w:sz w:val="20"/>
          <w:szCs w:val="20"/>
        </w:rPr>
        <w:t>w:w</w:t>
      </w:r>
      <w:proofErr w:type="spellEnd"/>
      <w:proofErr w:type="gramEnd"/>
      <w:r w:rsidRPr="00BE7DCD">
        <w:rPr>
          <w:rFonts w:ascii="Arial" w:hAnsi="Arial" w:cs="Arial"/>
          <w:sz w:val="20"/>
          <w:szCs w:val="20"/>
        </w:rPr>
        <w:t xml:space="preserve">) of the sclerotia does not increase the HDL. Our findings showed that addition of 5% sclerotia to the diet did not increase the LDL in the broilers. Therefore, the ratio of the mushroom in the feed is important in improving the plasma HDL in broilers. </w:t>
      </w:r>
    </w:p>
    <w:p w14:paraId="20A60D6B" w14:textId="77777777" w:rsidR="00BB1926" w:rsidRPr="00BE7DCD" w:rsidRDefault="00BB1926" w:rsidP="00BB1926">
      <w:pPr>
        <w:pStyle w:val="NormalWeb"/>
        <w:spacing w:line="360" w:lineRule="auto"/>
        <w:jc w:val="both"/>
        <w:rPr>
          <w:rStyle w:val="Strong"/>
          <w:rFonts w:ascii="Arial" w:hAnsi="Arial" w:cs="Arial"/>
          <w:b w:val="0"/>
          <w:bCs w:val="0"/>
          <w:color w:val="000000" w:themeColor="text1"/>
          <w:sz w:val="20"/>
          <w:szCs w:val="20"/>
        </w:rPr>
      </w:pPr>
      <w:r w:rsidRPr="00BE7DCD">
        <w:rPr>
          <w:rFonts w:ascii="Arial" w:hAnsi="Arial" w:cs="Arial"/>
          <w:sz w:val="20"/>
          <w:szCs w:val="20"/>
        </w:rPr>
        <w:t xml:space="preserve">The result of this study suggests the lowering effect of the sclerotia on the </w:t>
      </w:r>
      <w:proofErr w:type="gramStart"/>
      <w:r w:rsidRPr="00BE7DCD">
        <w:rPr>
          <w:rFonts w:ascii="Arial" w:hAnsi="Arial" w:cs="Arial"/>
          <w:sz w:val="20"/>
          <w:szCs w:val="20"/>
        </w:rPr>
        <w:t>low density</w:t>
      </w:r>
      <w:proofErr w:type="gramEnd"/>
      <w:r w:rsidRPr="00BE7DCD">
        <w:rPr>
          <w:rFonts w:ascii="Arial" w:hAnsi="Arial" w:cs="Arial"/>
          <w:sz w:val="20"/>
          <w:szCs w:val="20"/>
        </w:rPr>
        <w:t xml:space="preserve"> lipoprotein (LDL). The low-density lipoprotein (LDL) referred to as bad cholesterol decreased at high level of the sclerotia inclusion. </w:t>
      </w:r>
      <w:r w:rsidRPr="00BE7DCD">
        <w:rPr>
          <w:rFonts w:ascii="Arial" w:hAnsi="Arial" w:cs="Arial"/>
          <w:color w:val="000000" w:themeColor="text1"/>
          <w:sz w:val="20"/>
          <w:szCs w:val="20"/>
        </w:rPr>
        <w:t xml:space="preserve">The observed result of the effect of the sclerotia on the LDL in this study </w:t>
      </w:r>
      <w:proofErr w:type="gramStart"/>
      <w:r w:rsidRPr="00BE7DCD">
        <w:rPr>
          <w:rFonts w:ascii="Arial" w:hAnsi="Arial" w:cs="Arial"/>
          <w:color w:val="000000" w:themeColor="text1"/>
          <w:sz w:val="20"/>
          <w:szCs w:val="20"/>
        </w:rPr>
        <w:t>is in agreement</w:t>
      </w:r>
      <w:proofErr w:type="gramEnd"/>
      <w:r w:rsidRPr="00BE7DCD">
        <w:rPr>
          <w:rFonts w:ascii="Arial" w:hAnsi="Arial" w:cs="Arial"/>
          <w:color w:val="000000" w:themeColor="text1"/>
          <w:sz w:val="20"/>
          <w:szCs w:val="20"/>
        </w:rPr>
        <w:t xml:space="preserve"> with the observations of Peter (1998), Berger et al., 2004, Nuhu et al. (2009)</w:t>
      </w:r>
      <w:r w:rsidRPr="00BE7DCD">
        <w:rPr>
          <w:rStyle w:val="Strong"/>
          <w:rFonts w:ascii="Arial" w:hAnsi="Arial" w:cs="Arial"/>
          <w:color w:val="000000" w:themeColor="text1"/>
          <w:sz w:val="20"/>
          <w:szCs w:val="20"/>
        </w:rPr>
        <w:t xml:space="preserve">, </w:t>
      </w:r>
      <w:proofErr w:type="spellStart"/>
      <w:r w:rsidRPr="00DB7BE5">
        <w:rPr>
          <w:rStyle w:val="Strong"/>
          <w:rFonts w:ascii="Arial" w:hAnsi="Arial" w:cs="Arial"/>
          <w:b w:val="0"/>
          <w:color w:val="000000" w:themeColor="text1"/>
          <w:sz w:val="20"/>
          <w:szCs w:val="20"/>
        </w:rPr>
        <w:t>Handayani</w:t>
      </w:r>
      <w:proofErr w:type="spellEnd"/>
      <w:r w:rsidRPr="00DB7BE5">
        <w:rPr>
          <w:rStyle w:val="Strong"/>
          <w:rFonts w:ascii="Arial" w:hAnsi="Arial" w:cs="Arial"/>
          <w:b w:val="0"/>
          <w:color w:val="000000" w:themeColor="text1"/>
          <w:sz w:val="20"/>
          <w:szCs w:val="20"/>
        </w:rPr>
        <w:t xml:space="preserve"> et al., (2011) and</w:t>
      </w:r>
      <w:r w:rsidRPr="00BE7DCD">
        <w:rPr>
          <w:rStyle w:val="Strong"/>
          <w:rFonts w:ascii="Arial" w:hAnsi="Arial" w:cs="Arial"/>
          <w:color w:val="000000" w:themeColor="text1"/>
          <w:sz w:val="20"/>
          <w:szCs w:val="20"/>
        </w:rPr>
        <w:t xml:space="preserve"> </w:t>
      </w:r>
      <w:proofErr w:type="spellStart"/>
      <w:r w:rsidRPr="00DB7BE5">
        <w:rPr>
          <w:rStyle w:val="Strong"/>
          <w:rFonts w:ascii="Arial" w:hAnsi="Arial" w:cs="Arial"/>
          <w:b w:val="0"/>
          <w:color w:val="000000" w:themeColor="text1"/>
          <w:sz w:val="20"/>
          <w:szCs w:val="20"/>
        </w:rPr>
        <w:t>Shanggong</w:t>
      </w:r>
      <w:proofErr w:type="spellEnd"/>
      <w:r w:rsidRPr="00DB7BE5">
        <w:rPr>
          <w:rStyle w:val="Strong"/>
          <w:rFonts w:ascii="Arial" w:hAnsi="Arial" w:cs="Arial"/>
          <w:b w:val="0"/>
          <w:color w:val="000000" w:themeColor="text1"/>
          <w:sz w:val="20"/>
          <w:szCs w:val="20"/>
        </w:rPr>
        <w:t xml:space="preserve"> et al., (2016).</w:t>
      </w:r>
      <w:r w:rsidRPr="00BE7DCD">
        <w:rPr>
          <w:rStyle w:val="Strong"/>
          <w:rFonts w:ascii="Arial" w:hAnsi="Arial" w:cs="Arial"/>
          <w:color w:val="000000" w:themeColor="text1"/>
          <w:sz w:val="20"/>
          <w:szCs w:val="20"/>
        </w:rPr>
        <w:t xml:space="preserve"> </w:t>
      </w:r>
    </w:p>
    <w:p w14:paraId="1D5D86BC" w14:textId="77777777" w:rsidR="00BB1926" w:rsidRPr="00BE7DCD" w:rsidRDefault="00DB7BE5" w:rsidP="001B0DC6">
      <w:pPr>
        <w:pStyle w:val="NormalWeb"/>
        <w:numPr>
          <w:ilvl w:val="0"/>
          <w:numId w:val="1"/>
        </w:numPr>
        <w:spacing w:line="360" w:lineRule="auto"/>
        <w:jc w:val="both"/>
        <w:rPr>
          <w:rStyle w:val="Strong"/>
          <w:rFonts w:ascii="Arial" w:hAnsi="Arial" w:cs="Arial"/>
          <w:b w:val="0"/>
          <w:color w:val="000000" w:themeColor="text1"/>
          <w:sz w:val="20"/>
          <w:szCs w:val="20"/>
        </w:rPr>
      </w:pPr>
      <w:r w:rsidRPr="001B0DC6">
        <w:rPr>
          <w:rStyle w:val="Strong"/>
          <w:rFonts w:ascii="Arial" w:hAnsi="Arial" w:cs="Arial"/>
          <w:color w:val="000000" w:themeColor="text1"/>
          <w:sz w:val="22"/>
          <w:szCs w:val="22"/>
        </w:rPr>
        <w:t>Conclusion:</w:t>
      </w:r>
      <w:r w:rsidRPr="00DB7BE5">
        <w:rPr>
          <w:rStyle w:val="Strong"/>
          <w:rFonts w:ascii="Arial" w:hAnsi="Arial" w:cs="Arial"/>
          <w:b w:val="0"/>
          <w:color w:val="000000" w:themeColor="text1"/>
          <w:sz w:val="20"/>
          <w:szCs w:val="20"/>
        </w:rPr>
        <w:t xml:space="preserve"> </w:t>
      </w:r>
      <w:r w:rsidR="00BB1926" w:rsidRPr="00DB7BE5">
        <w:rPr>
          <w:rStyle w:val="Strong"/>
          <w:rFonts w:ascii="Arial" w:hAnsi="Arial" w:cs="Arial"/>
          <w:b w:val="0"/>
          <w:color w:val="000000" w:themeColor="text1"/>
          <w:sz w:val="20"/>
          <w:szCs w:val="20"/>
        </w:rPr>
        <w:t xml:space="preserve">In conclusion, this study suggests that addition of sclerotia of </w:t>
      </w:r>
      <w:proofErr w:type="spellStart"/>
      <w:r w:rsidR="00BB1926" w:rsidRPr="001B0DC6">
        <w:rPr>
          <w:rStyle w:val="Strong"/>
          <w:rFonts w:ascii="Arial" w:hAnsi="Arial" w:cs="Arial"/>
          <w:b w:val="0"/>
          <w:i/>
          <w:color w:val="000000" w:themeColor="text1"/>
          <w:sz w:val="20"/>
          <w:szCs w:val="20"/>
        </w:rPr>
        <w:t>Pleurotus</w:t>
      </w:r>
      <w:proofErr w:type="spellEnd"/>
      <w:r w:rsidR="00BB1926" w:rsidRPr="001B0DC6">
        <w:rPr>
          <w:rStyle w:val="Strong"/>
          <w:rFonts w:ascii="Arial" w:hAnsi="Arial" w:cs="Arial"/>
          <w:b w:val="0"/>
          <w:i/>
          <w:color w:val="000000" w:themeColor="text1"/>
          <w:sz w:val="20"/>
          <w:szCs w:val="20"/>
        </w:rPr>
        <w:t xml:space="preserve"> </w:t>
      </w:r>
      <w:proofErr w:type="spellStart"/>
      <w:r w:rsidR="00BB1926" w:rsidRPr="001B0DC6">
        <w:rPr>
          <w:rStyle w:val="Strong"/>
          <w:rFonts w:ascii="Arial" w:hAnsi="Arial" w:cs="Arial"/>
          <w:b w:val="0"/>
          <w:i/>
          <w:color w:val="000000" w:themeColor="text1"/>
          <w:sz w:val="20"/>
          <w:szCs w:val="20"/>
        </w:rPr>
        <w:t>tuberregium</w:t>
      </w:r>
      <w:proofErr w:type="spellEnd"/>
      <w:r w:rsidR="00BB1926" w:rsidRPr="00DB7BE5">
        <w:rPr>
          <w:rStyle w:val="Strong"/>
          <w:rFonts w:ascii="Arial" w:hAnsi="Arial" w:cs="Arial"/>
          <w:b w:val="0"/>
          <w:color w:val="000000" w:themeColor="text1"/>
          <w:sz w:val="20"/>
          <w:szCs w:val="20"/>
        </w:rPr>
        <w:t xml:space="preserve"> in the diet of broilers reduced the weight and lowered the cholesterol level. The mechanism involved and the components of sclerotia in the cholesterol lowering effect in broilers were not evaluated in this study and we recommend that it should be investigated in the further studies</w:t>
      </w:r>
      <w:r w:rsidR="00BB1926" w:rsidRPr="00BE7DCD">
        <w:rPr>
          <w:rStyle w:val="Strong"/>
          <w:rFonts w:ascii="Arial" w:hAnsi="Arial" w:cs="Arial"/>
          <w:color w:val="000000" w:themeColor="text1"/>
          <w:sz w:val="20"/>
          <w:szCs w:val="20"/>
        </w:rPr>
        <w:t>.</w:t>
      </w:r>
    </w:p>
    <w:p w14:paraId="4E31BD61" w14:textId="77777777" w:rsidR="001B0DC6" w:rsidRPr="001B0DC6" w:rsidRDefault="001B0DC6" w:rsidP="00BB1926">
      <w:pPr>
        <w:rPr>
          <w:rFonts w:ascii="Arial" w:hAnsi="Arial" w:cs="Arial"/>
          <w:sz w:val="20"/>
          <w:szCs w:val="20"/>
          <w:shd w:val="clear" w:color="auto" w:fill="FFFFFF"/>
        </w:rPr>
      </w:pPr>
      <w:r w:rsidRPr="001B0DC6">
        <w:rPr>
          <w:rFonts w:ascii="Arial" w:hAnsi="Arial" w:cs="Arial"/>
          <w:b/>
          <w:shd w:val="clear" w:color="auto" w:fill="FFFFFF"/>
        </w:rPr>
        <w:t>DISCLAIMER (ARTIFICIAL INTELLIGENCE</w:t>
      </w:r>
      <w:r w:rsidRPr="001B0DC6">
        <w:rPr>
          <w:rFonts w:ascii="Arial" w:hAnsi="Arial" w:cs="Arial"/>
          <w:shd w:val="clear" w:color="auto" w:fill="FFFFFF"/>
        </w:rPr>
        <w:t>):</w:t>
      </w:r>
      <w:r>
        <w:rPr>
          <w:rFonts w:ascii="Arial" w:hAnsi="Arial" w:cs="Arial"/>
          <w:sz w:val="26"/>
          <w:szCs w:val="26"/>
          <w:shd w:val="clear" w:color="auto" w:fill="FFFFFF"/>
        </w:rPr>
        <w:t xml:space="preserve"> </w:t>
      </w:r>
      <w:r w:rsidRPr="001B0DC6">
        <w:rPr>
          <w:rFonts w:ascii="Arial" w:hAnsi="Arial" w:cs="Arial"/>
          <w:sz w:val="20"/>
          <w:szCs w:val="20"/>
          <w:shd w:val="clear" w:color="auto" w:fill="FFFFFF"/>
        </w:rPr>
        <w:t xml:space="preserve">The </w:t>
      </w:r>
      <w:proofErr w:type="gramStart"/>
      <w:r w:rsidRPr="001B0DC6">
        <w:rPr>
          <w:rFonts w:ascii="Arial" w:hAnsi="Arial" w:cs="Arial"/>
          <w:sz w:val="20"/>
          <w:szCs w:val="20"/>
          <w:shd w:val="clear" w:color="auto" w:fill="FFFFFF"/>
        </w:rPr>
        <w:t>authors  hereby</w:t>
      </w:r>
      <w:proofErr w:type="gramEnd"/>
      <w:r w:rsidRPr="001B0DC6">
        <w:rPr>
          <w:rFonts w:ascii="Arial" w:hAnsi="Arial" w:cs="Arial"/>
          <w:sz w:val="20"/>
          <w:szCs w:val="20"/>
          <w:shd w:val="clear" w:color="auto" w:fill="FFFFFF"/>
        </w:rPr>
        <w:t xml:space="preserve">  declare  that  NO  generative  AI technologies  such  as  Large  Language  Models (</w:t>
      </w:r>
      <w:proofErr w:type="spellStart"/>
      <w:r w:rsidRPr="001B0DC6">
        <w:rPr>
          <w:rFonts w:ascii="Arial" w:hAnsi="Arial" w:cs="Arial"/>
          <w:sz w:val="20"/>
          <w:szCs w:val="20"/>
          <w:shd w:val="clear" w:color="auto" w:fill="FFFFFF"/>
        </w:rPr>
        <w:t>ChatGPT</w:t>
      </w:r>
      <w:proofErr w:type="spellEnd"/>
      <w:r w:rsidRPr="001B0DC6">
        <w:rPr>
          <w:rFonts w:ascii="Arial" w:hAnsi="Arial" w:cs="Arial"/>
          <w:sz w:val="20"/>
          <w:szCs w:val="20"/>
          <w:shd w:val="clear" w:color="auto" w:fill="FFFFFF"/>
        </w:rPr>
        <w:t xml:space="preserve">,   COPILOT,   etc.)   and   text-to-image generators have been used during </w:t>
      </w:r>
      <w:proofErr w:type="gramStart"/>
      <w:r w:rsidRPr="001B0DC6">
        <w:rPr>
          <w:rFonts w:ascii="Arial" w:hAnsi="Arial" w:cs="Arial"/>
          <w:sz w:val="20"/>
          <w:szCs w:val="20"/>
          <w:shd w:val="clear" w:color="auto" w:fill="FFFFFF"/>
        </w:rPr>
        <w:t>the  writing</w:t>
      </w:r>
      <w:proofErr w:type="gramEnd"/>
      <w:r w:rsidRPr="001B0DC6">
        <w:rPr>
          <w:rFonts w:ascii="Arial" w:hAnsi="Arial" w:cs="Arial"/>
          <w:sz w:val="20"/>
          <w:szCs w:val="20"/>
          <w:shd w:val="clear" w:color="auto" w:fill="FFFFFF"/>
        </w:rPr>
        <w:t xml:space="preserve"> or editing of this manuscript.</w:t>
      </w:r>
    </w:p>
    <w:p w14:paraId="0D85FADF" w14:textId="77777777" w:rsidR="001B0DC6" w:rsidRPr="00BE7DCD" w:rsidRDefault="001B0DC6" w:rsidP="00BB1926">
      <w:pPr>
        <w:spacing w:after="0" w:line="240" w:lineRule="auto"/>
        <w:jc w:val="both"/>
        <w:rPr>
          <w:rFonts w:ascii="Arial" w:eastAsia="Times New Roman" w:hAnsi="Arial" w:cs="Arial"/>
          <w:b/>
          <w:color w:val="1F1F1F"/>
          <w:sz w:val="20"/>
          <w:szCs w:val="20"/>
        </w:rPr>
      </w:pPr>
    </w:p>
    <w:p w14:paraId="67F5EA7E" w14:textId="77777777" w:rsidR="00BB1926" w:rsidRPr="001B0DC6" w:rsidRDefault="00BB1926" w:rsidP="00BB1926">
      <w:pPr>
        <w:spacing w:after="0" w:line="240" w:lineRule="auto"/>
        <w:jc w:val="both"/>
        <w:rPr>
          <w:rFonts w:ascii="Arial" w:eastAsia="Times New Roman" w:hAnsi="Arial" w:cs="Arial"/>
          <w:b/>
          <w:color w:val="1F1F1F"/>
        </w:rPr>
      </w:pPr>
      <w:r w:rsidRPr="001B0DC6">
        <w:rPr>
          <w:rFonts w:ascii="Arial" w:eastAsia="Times New Roman" w:hAnsi="Arial" w:cs="Arial"/>
          <w:b/>
          <w:color w:val="1F1F1F"/>
        </w:rPr>
        <w:t>REFERENCES</w:t>
      </w:r>
    </w:p>
    <w:p w14:paraId="6031C76D" w14:textId="77777777" w:rsidR="00BB1926" w:rsidRPr="00326303" w:rsidRDefault="00BB1926" w:rsidP="00BB1926">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t>Adekalu</w:t>
      </w:r>
      <w:proofErr w:type="spellEnd"/>
      <w:r w:rsidRPr="00326303">
        <w:rPr>
          <w:rFonts w:ascii="Arial" w:eastAsia="Times New Roman" w:hAnsi="Arial" w:cs="Arial"/>
          <w:color w:val="1F1F1F"/>
          <w:sz w:val="20"/>
          <w:szCs w:val="20"/>
        </w:rPr>
        <w:t xml:space="preserve">, T. B., </w:t>
      </w:r>
      <w:proofErr w:type="spellStart"/>
      <w:r w:rsidRPr="00326303">
        <w:rPr>
          <w:rFonts w:ascii="Arial" w:eastAsia="Times New Roman" w:hAnsi="Arial" w:cs="Arial"/>
          <w:color w:val="1F1F1F"/>
          <w:sz w:val="20"/>
          <w:szCs w:val="20"/>
        </w:rPr>
        <w:t>Ojuawo</w:t>
      </w:r>
      <w:proofErr w:type="spellEnd"/>
      <w:r w:rsidRPr="00326303">
        <w:rPr>
          <w:rFonts w:ascii="Arial" w:eastAsia="Times New Roman" w:hAnsi="Arial" w:cs="Arial"/>
          <w:color w:val="1F1F1F"/>
          <w:sz w:val="20"/>
          <w:szCs w:val="20"/>
        </w:rPr>
        <w:t xml:space="preserve">, R. O. and </w:t>
      </w:r>
      <w:proofErr w:type="spellStart"/>
      <w:r w:rsidRPr="00326303">
        <w:rPr>
          <w:rFonts w:ascii="Arial" w:eastAsia="Times New Roman" w:hAnsi="Arial" w:cs="Arial"/>
          <w:color w:val="1F1F1F"/>
          <w:sz w:val="20"/>
          <w:szCs w:val="20"/>
        </w:rPr>
        <w:t>Adekalu</w:t>
      </w:r>
      <w:proofErr w:type="spellEnd"/>
      <w:r w:rsidRPr="00326303">
        <w:rPr>
          <w:rFonts w:ascii="Arial" w:eastAsia="Times New Roman" w:hAnsi="Arial" w:cs="Arial"/>
          <w:color w:val="1F1F1F"/>
          <w:sz w:val="20"/>
          <w:szCs w:val="20"/>
        </w:rPr>
        <w:t>, O. A. (2011). Proximate and Elemental Analysis of Banana (</w:t>
      </w:r>
      <w:r w:rsidRPr="00326303">
        <w:rPr>
          <w:rFonts w:ascii="Arial" w:eastAsia="Times New Roman" w:hAnsi="Arial" w:cs="Arial"/>
          <w:i/>
          <w:color w:val="1F1F1F"/>
          <w:sz w:val="20"/>
          <w:szCs w:val="20"/>
        </w:rPr>
        <w:t xml:space="preserve">Musa </w:t>
      </w:r>
      <w:proofErr w:type="spellStart"/>
      <w:r w:rsidRPr="00326303">
        <w:rPr>
          <w:rFonts w:ascii="Arial" w:eastAsia="Times New Roman" w:hAnsi="Arial" w:cs="Arial"/>
          <w:i/>
          <w:color w:val="1F1F1F"/>
          <w:sz w:val="20"/>
          <w:szCs w:val="20"/>
        </w:rPr>
        <w:t>paradisiaca</w:t>
      </w:r>
      <w:proofErr w:type="spellEnd"/>
      <w:r w:rsidRPr="00326303">
        <w:rPr>
          <w:rFonts w:ascii="Arial" w:eastAsia="Times New Roman" w:hAnsi="Arial" w:cs="Arial"/>
          <w:color w:val="1F1F1F"/>
          <w:sz w:val="20"/>
          <w:szCs w:val="20"/>
        </w:rPr>
        <w:t xml:space="preserve">) During the Ripening Process. </w:t>
      </w:r>
      <w:r w:rsidRPr="00326303">
        <w:rPr>
          <w:rFonts w:ascii="Arial" w:eastAsia="Times New Roman" w:hAnsi="Arial" w:cs="Arial"/>
          <w:i/>
          <w:color w:val="1F1F1F"/>
          <w:sz w:val="20"/>
          <w:szCs w:val="20"/>
        </w:rPr>
        <w:t>NIFOJ,</w:t>
      </w:r>
      <w:r w:rsidRPr="00326303">
        <w:rPr>
          <w:rFonts w:ascii="Arial" w:eastAsia="Times New Roman" w:hAnsi="Arial" w:cs="Arial"/>
          <w:color w:val="1F1F1F"/>
          <w:sz w:val="20"/>
          <w:szCs w:val="20"/>
        </w:rPr>
        <w:t xml:space="preserve"> 29 (1) 29-35</w:t>
      </w:r>
    </w:p>
    <w:p w14:paraId="70BC90C3"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0D0A85D3"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Berger, A., Rein, D., Kratky, E., </w:t>
      </w:r>
      <w:proofErr w:type="spellStart"/>
      <w:r w:rsidRPr="00326303">
        <w:rPr>
          <w:rFonts w:ascii="Arial" w:eastAsia="Times New Roman" w:hAnsi="Arial" w:cs="Arial"/>
          <w:color w:val="1F1F1F"/>
          <w:sz w:val="20"/>
          <w:szCs w:val="20"/>
        </w:rPr>
        <w:t>Monnard</w:t>
      </w:r>
      <w:proofErr w:type="spellEnd"/>
      <w:r w:rsidRPr="00326303">
        <w:rPr>
          <w:rFonts w:ascii="Arial" w:eastAsia="Times New Roman" w:hAnsi="Arial" w:cs="Arial"/>
          <w:color w:val="1F1F1F"/>
          <w:sz w:val="20"/>
          <w:szCs w:val="20"/>
        </w:rPr>
        <w:t xml:space="preserve">, I., </w:t>
      </w:r>
      <w:proofErr w:type="spellStart"/>
      <w:r w:rsidRPr="00326303">
        <w:rPr>
          <w:rFonts w:ascii="Arial" w:eastAsia="Times New Roman" w:hAnsi="Arial" w:cs="Arial"/>
          <w:color w:val="1F1F1F"/>
          <w:sz w:val="20"/>
          <w:szCs w:val="20"/>
        </w:rPr>
        <w:t>Hajjaj</w:t>
      </w:r>
      <w:proofErr w:type="spellEnd"/>
      <w:r w:rsidRPr="00326303">
        <w:rPr>
          <w:rFonts w:ascii="Arial" w:eastAsia="Times New Roman" w:hAnsi="Arial" w:cs="Arial"/>
          <w:color w:val="1F1F1F"/>
          <w:sz w:val="20"/>
          <w:szCs w:val="20"/>
        </w:rPr>
        <w:t xml:space="preserve">, H., </w:t>
      </w:r>
      <w:proofErr w:type="spellStart"/>
      <w:r w:rsidRPr="00326303">
        <w:rPr>
          <w:rFonts w:ascii="Arial" w:eastAsia="Times New Roman" w:hAnsi="Arial" w:cs="Arial"/>
          <w:color w:val="1F1F1F"/>
          <w:sz w:val="20"/>
          <w:szCs w:val="20"/>
        </w:rPr>
        <w:t>Meirim</w:t>
      </w:r>
      <w:proofErr w:type="spellEnd"/>
      <w:r w:rsidRPr="00326303">
        <w:rPr>
          <w:rFonts w:ascii="Arial" w:eastAsia="Times New Roman" w:hAnsi="Arial" w:cs="Arial"/>
          <w:color w:val="1F1F1F"/>
          <w:sz w:val="20"/>
          <w:szCs w:val="20"/>
        </w:rPr>
        <w:t xml:space="preserve">, I., </w:t>
      </w:r>
      <w:proofErr w:type="spellStart"/>
      <w:r w:rsidRPr="00326303">
        <w:rPr>
          <w:rFonts w:ascii="Arial" w:eastAsia="Times New Roman" w:hAnsi="Arial" w:cs="Arial"/>
          <w:color w:val="1F1F1F"/>
          <w:sz w:val="20"/>
          <w:szCs w:val="20"/>
        </w:rPr>
        <w:t>Piguet-Welsch</w:t>
      </w:r>
      <w:proofErr w:type="spellEnd"/>
      <w:r w:rsidRPr="00326303">
        <w:rPr>
          <w:rFonts w:ascii="Arial" w:eastAsia="Times New Roman" w:hAnsi="Arial" w:cs="Arial"/>
          <w:color w:val="1F1F1F"/>
          <w:sz w:val="20"/>
          <w:szCs w:val="20"/>
        </w:rPr>
        <w:t xml:space="preserve">, C., Hauser, J., Mace, K. and </w:t>
      </w:r>
      <w:proofErr w:type="spellStart"/>
      <w:r w:rsidRPr="00326303">
        <w:rPr>
          <w:rFonts w:ascii="Arial" w:eastAsia="Times New Roman" w:hAnsi="Arial" w:cs="Arial"/>
          <w:color w:val="1F1F1F"/>
          <w:sz w:val="20"/>
          <w:szCs w:val="20"/>
        </w:rPr>
        <w:t>Niederberger</w:t>
      </w:r>
      <w:proofErr w:type="spellEnd"/>
      <w:r w:rsidRPr="00326303">
        <w:rPr>
          <w:rFonts w:ascii="Arial" w:eastAsia="Times New Roman" w:hAnsi="Arial" w:cs="Arial"/>
          <w:color w:val="1F1F1F"/>
          <w:sz w:val="20"/>
          <w:szCs w:val="20"/>
        </w:rPr>
        <w:t xml:space="preserve">, P. (2004). Cholesterol-lowering properties of Ganoderma lucidum in vitro, ex vivo, and in hamsters and minipigs. </w:t>
      </w:r>
      <w:r w:rsidRPr="00326303">
        <w:rPr>
          <w:rFonts w:ascii="Arial" w:eastAsia="Times New Roman" w:hAnsi="Arial" w:cs="Arial"/>
          <w:i/>
          <w:color w:val="1F1F1F"/>
          <w:sz w:val="20"/>
          <w:szCs w:val="20"/>
        </w:rPr>
        <w:t xml:space="preserve">Lipid in </w:t>
      </w:r>
      <w:proofErr w:type="spellStart"/>
      <w:r w:rsidRPr="00326303">
        <w:rPr>
          <w:rFonts w:ascii="Arial" w:eastAsia="Times New Roman" w:hAnsi="Arial" w:cs="Arial"/>
          <w:i/>
          <w:color w:val="1F1F1F"/>
          <w:sz w:val="20"/>
          <w:szCs w:val="20"/>
        </w:rPr>
        <w:t>Heaklth</w:t>
      </w:r>
      <w:proofErr w:type="spellEnd"/>
      <w:r w:rsidRPr="00326303">
        <w:rPr>
          <w:rFonts w:ascii="Arial" w:eastAsia="Times New Roman" w:hAnsi="Arial" w:cs="Arial"/>
          <w:i/>
          <w:color w:val="1F1F1F"/>
          <w:sz w:val="20"/>
          <w:szCs w:val="20"/>
        </w:rPr>
        <w:t xml:space="preserve"> and Disease</w:t>
      </w:r>
      <w:r w:rsidRPr="00326303">
        <w:rPr>
          <w:rFonts w:ascii="Arial" w:eastAsia="Times New Roman" w:hAnsi="Arial" w:cs="Arial"/>
          <w:color w:val="1F1F1F"/>
          <w:sz w:val="20"/>
          <w:szCs w:val="20"/>
        </w:rPr>
        <w:t xml:space="preserve"> 3(2): 1 – 12</w:t>
      </w:r>
    </w:p>
    <w:p w14:paraId="67BCA23A" w14:textId="77777777" w:rsidR="00BB1926" w:rsidRPr="00326303" w:rsidRDefault="00BB1926" w:rsidP="00BB1926">
      <w:pPr>
        <w:jc w:val="both"/>
        <w:rPr>
          <w:rFonts w:ascii="Arial" w:hAnsi="Arial" w:cs="Arial"/>
          <w:sz w:val="20"/>
          <w:szCs w:val="20"/>
        </w:rPr>
      </w:pPr>
      <w:r w:rsidRPr="00326303">
        <w:rPr>
          <w:rFonts w:ascii="Arial" w:hAnsi="Arial" w:cs="Arial"/>
          <w:sz w:val="20"/>
          <w:szCs w:val="20"/>
        </w:rPr>
        <w:t>Borchers AT, Stern JS, Hackman RM, Keen CL, Gershwin ME (1999</w:t>
      </w:r>
      <w:proofErr w:type="gramStart"/>
      <w:r w:rsidRPr="00326303">
        <w:rPr>
          <w:rFonts w:ascii="Arial" w:hAnsi="Arial" w:cs="Arial"/>
          <w:sz w:val="20"/>
          <w:szCs w:val="20"/>
        </w:rPr>
        <w:t>, )</w:t>
      </w:r>
      <w:proofErr w:type="gramEnd"/>
      <w:r w:rsidRPr="00326303">
        <w:rPr>
          <w:rFonts w:ascii="Arial" w:hAnsi="Arial" w:cs="Arial"/>
          <w:sz w:val="20"/>
          <w:szCs w:val="20"/>
        </w:rPr>
        <w:t xml:space="preserve">. Mush rooms, tumors, and immunity. </w:t>
      </w:r>
      <w:r w:rsidRPr="00326303">
        <w:rPr>
          <w:rFonts w:ascii="Arial" w:hAnsi="Arial" w:cs="Arial"/>
          <w:i/>
          <w:sz w:val="20"/>
          <w:szCs w:val="20"/>
        </w:rPr>
        <w:t>Proc Soc Exp Biol Med.</w:t>
      </w:r>
      <w:r w:rsidRPr="00326303">
        <w:rPr>
          <w:rFonts w:ascii="Arial" w:hAnsi="Arial" w:cs="Arial"/>
          <w:sz w:val="20"/>
          <w:szCs w:val="20"/>
        </w:rPr>
        <w:t xml:space="preserve"> 221:281-293.</w:t>
      </w:r>
    </w:p>
    <w:p w14:paraId="4AA87C36" w14:textId="77777777" w:rsidR="00BB1926" w:rsidRPr="00326303" w:rsidRDefault="00BB1926" w:rsidP="00BB1926">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lastRenderedPageBreak/>
        <w:t>Burtis</w:t>
      </w:r>
      <w:proofErr w:type="spellEnd"/>
      <w:r w:rsidRPr="00326303">
        <w:rPr>
          <w:rFonts w:ascii="Arial" w:eastAsia="Times New Roman" w:hAnsi="Arial" w:cs="Arial"/>
          <w:color w:val="1F1F1F"/>
          <w:sz w:val="20"/>
          <w:szCs w:val="20"/>
        </w:rPr>
        <w:t xml:space="preserve">, C. A., and Ashwood, E. R. (2006). </w:t>
      </w:r>
      <w:proofErr w:type="spellStart"/>
      <w:r w:rsidRPr="00326303">
        <w:rPr>
          <w:rFonts w:ascii="Arial" w:eastAsia="Times New Roman" w:hAnsi="Arial" w:cs="Arial"/>
          <w:color w:val="1F1F1F"/>
          <w:sz w:val="20"/>
          <w:szCs w:val="20"/>
        </w:rPr>
        <w:t>Teitz</w:t>
      </w:r>
      <w:proofErr w:type="spellEnd"/>
      <w:r w:rsidRPr="00326303">
        <w:rPr>
          <w:rFonts w:ascii="Arial" w:eastAsia="Times New Roman" w:hAnsi="Arial" w:cs="Arial"/>
          <w:color w:val="1F1F1F"/>
          <w:sz w:val="20"/>
          <w:szCs w:val="20"/>
        </w:rPr>
        <w:t xml:space="preserve"> Fundamental of Clinical Chemistry, pp. 348 – 488. Reed Elsevier India Private Limited, New Delhi, India.</w:t>
      </w:r>
    </w:p>
    <w:p w14:paraId="3CB20819"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14ED70D0" w14:textId="77777777" w:rsidR="00BB1926" w:rsidRPr="00326303" w:rsidRDefault="00BB1926" w:rsidP="00BB1926">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t>Chorvathoba</w:t>
      </w:r>
      <w:proofErr w:type="spellEnd"/>
      <w:r w:rsidRPr="00326303">
        <w:rPr>
          <w:rFonts w:ascii="Arial" w:eastAsia="Times New Roman" w:hAnsi="Arial" w:cs="Arial"/>
          <w:color w:val="1F1F1F"/>
          <w:sz w:val="20"/>
          <w:szCs w:val="20"/>
        </w:rPr>
        <w:t xml:space="preserve">, V., </w:t>
      </w:r>
      <w:proofErr w:type="spellStart"/>
      <w:r w:rsidRPr="00326303">
        <w:rPr>
          <w:rFonts w:ascii="Arial" w:eastAsia="Times New Roman" w:hAnsi="Arial" w:cs="Arial"/>
          <w:color w:val="1F1F1F"/>
          <w:sz w:val="20"/>
          <w:szCs w:val="20"/>
        </w:rPr>
        <w:t>Bobek</w:t>
      </w:r>
      <w:proofErr w:type="spellEnd"/>
      <w:r w:rsidRPr="00326303">
        <w:rPr>
          <w:rFonts w:ascii="Arial" w:eastAsia="Times New Roman" w:hAnsi="Arial" w:cs="Arial"/>
          <w:color w:val="1F1F1F"/>
          <w:sz w:val="20"/>
          <w:szCs w:val="20"/>
        </w:rPr>
        <w:t xml:space="preserve">, P., Ginter, E. and </w:t>
      </w:r>
      <w:proofErr w:type="spellStart"/>
      <w:r w:rsidRPr="00326303">
        <w:rPr>
          <w:rFonts w:ascii="Arial" w:eastAsia="Times New Roman" w:hAnsi="Arial" w:cs="Arial"/>
          <w:color w:val="1F1F1F"/>
          <w:sz w:val="20"/>
          <w:szCs w:val="20"/>
        </w:rPr>
        <w:t>Klvanova</w:t>
      </w:r>
      <w:proofErr w:type="spellEnd"/>
      <w:r w:rsidRPr="00326303">
        <w:rPr>
          <w:rFonts w:ascii="Arial" w:eastAsia="Times New Roman" w:hAnsi="Arial" w:cs="Arial"/>
          <w:color w:val="1F1F1F"/>
          <w:sz w:val="20"/>
          <w:szCs w:val="20"/>
        </w:rPr>
        <w:t xml:space="preserve">, J. (1993). Effect of oyster fungus on glycemia and </w:t>
      </w:r>
      <w:proofErr w:type="spellStart"/>
      <w:r w:rsidRPr="00326303">
        <w:rPr>
          <w:rFonts w:ascii="Arial" w:eastAsia="Times New Roman" w:hAnsi="Arial" w:cs="Arial"/>
          <w:color w:val="1F1F1F"/>
          <w:sz w:val="20"/>
          <w:szCs w:val="20"/>
        </w:rPr>
        <w:t>cholesterolemia</w:t>
      </w:r>
      <w:proofErr w:type="spellEnd"/>
      <w:r w:rsidRPr="00326303">
        <w:rPr>
          <w:rFonts w:ascii="Arial" w:eastAsia="Times New Roman" w:hAnsi="Arial" w:cs="Arial"/>
          <w:color w:val="1F1F1F"/>
          <w:sz w:val="20"/>
          <w:szCs w:val="20"/>
        </w:rPr>
        <w:t xml:space="preserve"> in rats with insulin depended diabetes. </w:t>
      </w:r>
      <w:proofErr w:type="spellStart"/>
      <w:r w:rsidRPr="00326303">
        <w:rPr>
          <w:rFonts w:ascii="Arial" w:eastAsia="Times New Roman" w:hAnsi="Arial" w:cs="Arial"/>
          <w:i/>
          <w:color w:val="1F1F1F"/>
          <w:sz w:val="20"/>
          <w:szCs w:val="20"/>
        </w:rPr>
        <w:t>Physol</w:t>
      </w:r>
      <w:proofErr w:type="spellEnd"/>
      <w:r w:rsidRPr="00326303">
        <w:rPr>
          <w:rFonts w:ascii="Arial" w:eastAsia="Times New Roman" w:hAnsi="Arial" w:cs="Arial"/>
          <w:i/>
          <w:color w:val="1F1F1F"/>
          <w:sz w:val="20"/>
          <w:szCs w:val="20"/>
        </w:rPr>
        <w:t>. Res.</w:t>
      </w:r>
      <w:r w:rsidRPr="00326303">
        <w:rPr>
          <w:rFonts w:ascii="Arial" w:eastAsia="Times New Roman" w:hAnsi="Arial" w:cs="Arial"/>
          <w:color w:val="1F1F1F"/>
          <w:sz w:val="20"/>
          <w:szCs w:val="20"/>
        </w:rPr>
        <w:t xml:space="preserve"> 42:175-179</w:t>
      </w:r>
    </w:p>
    <w:p w14:paraId="740DAB35"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4B6E13AE"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hAnsi="Arial" w:cs="Arial"/>
          <w:sz w:val="20"/>
          <w:szCs w:val="20"/>
        </w:rPr>
        <w:t xml:space="preserve">Dong </w:t>
      </w:r>
      <w:proofErr w:type="spellStart"/>
      <w:r w:rsidRPr="00326303">
        <w:rPr>
          <w:rFonts w:ascii="Arial" w:hAnsi="Arial" w:cs="Arial"/>
          <w:sz w:val="20"/>
          <w:szCs w:val="20"/>
        </w:rPr>
        <w:t>Hoon</w:t>
      </w:r>
      <w:proofErr w:type="spellEnd"/>
      <w:r w:rsidRPr="00326303">
        <w:rPr>
          <w:rFonts w:ascii="Arial" w:hAnsi="Arial" w:cs="Arial"/>
          <w:sz w:val="20"/>
          <w:szCs w:val="20"/>
        </w:rPr>
        <w:t xml:space="preserve"> Lee, Meng Yang, Edward L </w:t>
      </w:r>
      <w:proofErr w:type="spellStart"/>
      <w:r w:rsidRPr="00326303">
        <w:rPr>
          <w:rFonts w:ascii="Arial" w:hAnsi="Arial" w:cs="Arial"/>
          <w:sz w:val="20"/>
          <w:szCs w:val="20"/>
        </w:rPr>
        <w:t>Giovannucci</w:t>
      </w:r>
      <w:proofErr w:type="spellEnd"/>
      <w:r w:rsidRPr="00326303">
        <w:rPr>
          <w:rFonts w:ascii="Arial" w:hAnsi="Arial" w:cs="Arial"/>
          <w:sz w:val="20"/>
          <w:szCs w:val="20"/>
        </w:rPr>
        <w:t xml:space="preserve">, Qi Sun and Jorge E </w:t>
      </w:r>
      <w:proofErr w:type="spellStart"/>
      <w:r w:rsidRPr="00326303">
        <w:rPr>
          <w:rFonts w:ascii="Arial" w:hAnsi="Arial" w:cs="Arial"/>
          <w:sz w:val="20"/>
          <w:szCs w:val="20"/>
        </w:rPr>
        <w:t>Chavarro</w:t>
      </w:r>
      <w:proofErr w:type="spellEnd"/>
      <w:r w:rsidRPr="00326303">
        <w:rPr>
          <w:rFonts w:ascii="Arial" w:hAnsi="Arial" w:cs="Arial"/>
          <w:sz w:val="20"/>
          <w:szCs w:val="20"/>
        </w:rPr>
        <w:t xml:space="preserve"> (2019). Mushroom consumption, biomarkers, and risk of cardiovascular disease and type 2 diabetes: a prospective cohort study of US women and men. </w:t>
      </w:r>
      <w:r w:rsidRPr="00326303">
        <w:rPr>
          <w:rFonts w:ascii="Arial" w:hAnsi="Arial" w:cs="Arial"/>
          <w:i/>
          <w:sz w:val="20"/>
          <w:szCs w:val="20"/>
        </w:rPr>
        <w:t xml:space="preserve">Am. J. Clin. </w:t>
      </w:r>
      <w:proofErr w:type="spellStart"/>
      <w:r w:rsidRPr="00326303">
        <w:rPr>
          <w:rFonts w:ascii="Arial" w:hAnsi="Arial" w:cs="Arial"/>
          <w:i/>
          <w:sz w:val="20"/>
          <w:szCs w:val="20"/>
        </w:rPr>
        <w:t>Nutr</w:t>
      </w:r>
      <w:proofErr w:type="spellEnd"/>
      <w:r w:rsidRPr="00326303">
        <w:rPr>
          <w:rFonts w:ascii="Arial" w:hAnsi="Arial" w:cs="Arial"/>
          <w:i/>
          <w:sz w:val="20"/>
          <w:szCs w:val="20"/>
        </w:rPr>
        <w:t>.</w:t>
      </w:r>
      <w:r w:rsidRPr="00326303">
        <w:rPr>
          <w:rFonts w:ascii="Arial" w:hAnsi="Arial" w:cs="Arial"/>
          <w:sz w:val="20"/>
          <w:szCs w:val="20"/>
        </w:rPr>
        <w:t xml:space="preserve"> 110:666–674</w:t>
      </w:r>
    </w:p>
    <w:p w14:paraId="58F5C4C3"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678A62C6" w14:textId="77777777" w:rsidR="00BB1926" w:rsidRPr="00326303" w:rsidRDefault="00BB1926" w:rsidP="00BB1926">
      <w:pPr>
        <w:jc w:val="both"/>
        <w:rPr>
          <w:rFonts w:ascii="Arial" w:hAnsi="Arial" w:cs="Arial"/>
          <w:sz w:val="20"/>
          <w:szCs w:val="20"/>
        </w:rPr>
      </w:pPr>
      <w:bookmarkStart w:id="1" w:name="_Hlk165732595"/>
      <w:r w:rsidRPr="00326303">
        <w:rPr>
          <w:rFonts w:ascii="Arial" w:eastAsia="Times New Roman" w:hAnsi="Arial" w:cs="Arial"/>
          <w:color w:val="1F1F1F"/>
          <w:sz w:val="20"/>
          <w:szCs w:val="20"/>
        </w:rPr>
        <w:t>Eva</w:t>
      </w:r>
      <w:bookmarkEnd w:id="1"/>
      <w:r w:rsidRPr="00326303">
        <w:rPr>
          <w:rFonts w:ascii="Arial" w:eastAsia="Times New Roman" w:hAnsi="Arial" w:cs="Arial"/>
          <w:color w:val="1F1F1F"/>
          <w:sz w:val="20"/>
          <w:szCs w:val="20"/>
        </w:rPr>
        <w:t>, </w:t>
      </w:r>
      <w:bookmarkStart w:id="2" w:name="_Hlk165735724"/>
      <w:r w:rsidRPr="00326303">
        <w:rPr>
          <w:rFonts w:ascii="Arial" w:eastAsia="Times New Roman" w:hAnsi="Arial" w:cs="Arial"/>
          <w:color w:val="1F1F1F"/>
          <w:sz w:val="20"/>
          <w:szCs w:val="20"/>
        </w:rPr>
        <w:t>G</w:t>
      </w:r>
      <w:bookmarkEnd w:id="2"/>
      <w:r w:rsidRPr="00326303">
        <w:rPr>
          <w:rFonts w:ascii="Arial" w:eastAsia="Times New Roman" w:hAnsi="Arial" w:cs="Arial"/>
          <w:color w:val="1F1F1F"/>
          <w:sz w:val="20"/>
          <w:szCs w:val="20"/>
        </w:rPr>
        <w:t xml:space="preserve">., Ana G.L., Miguel L., Matilde D., Mauricio A. R., Ana V., José A. M. (2010). </w:t>
      </w:r>
      <w:r w:rsidRPr="00326303">
        <w:rPr>
          <w:rFonts w:ascii="Arial" w:eastAsia="Times New Roman" w:hAnsi="Arial" w:cs="Arial"/>
          <w:color w:val="1F1F1F"/>
          <w:kern w:val="36"/>
          <w:sz w:val="20"/>
          <w:szCs w:val="20"/>
        </w:rPr>
        <w:t xml:space="preserve">Edible mushrooms: Role in the prevention of cardiovascular diseases. </w:t>
      </w:r>
      <w:hyperlink r:id="rId14" w:tooltip="Go to Fitoterapia on ScienceDirect" w:history="1">
        <w:proofErr w:type="spellStart"/>
        <w:r w:rsidRPr="00326303">
          <w:rPr>
            <w:rStyle w:val="Hyperlink"/>
            <w:rFonts w:ascii="Arial" w:hAnsi="Arial" w:cs="Arial"/>
            <w:i/>
            <w:sz w:val="20"/>
            <w:szCs w:val="20"/>
          </w:rPr>
          <w:t>Fitoterapia</w:t>
        </w:r>
        <w:proofErr w:type="spellEnd"/>
      </w:hyperlink>
      <w:r w:rsidRPr="00326303">
        <w:rPr>
          <w:rFonts w:ascii="Arial" w:hAnsi="Arial" w:cs="Arial"/>
          <w:i/>
          <w:sz w:val="20"/>
          <w:szCs w:val="20"/>
        </w:rPr>
        <w:t xml:space="preserve"> </w:t>
      </w:r>
      <w:hyperlink r:id="rId15" w:tooltip="Go to table of contents for this volume/issue" w:history="1">
        <w:r w:rsidRPr="00326303">
          <w:rPr>
            <w:rStyle w:val="Hyperlink"/>
            <w:rFonts w:ascii="Arial" w:hAnsi="Arial" w:cs="Arial"/>
            <w:sz w:val="20"/>
            <w:szCs w:val="20"/>
          </w:rPr>
          <w:t xml:space="preserve"> 81,  (7</w:t>
        </w:r>
      </w:hyperlink>
      <w:r w:rsidRPr="00326303">
        <w:rPr>
          <w:rStyle w:val="Hyperlink"/>
          <w:rFonts w:ascii="Arial" w:hAnsi="Arial" w:cs="Arial"/>
          <w:sz w:val="20"/>
          <w:szCs w:val="20"/>
        </w:rPr>
        <w:t>)</w:t>
      </w:r>
      <w:r w:rsidRPr="00326303">
        <w:rPr>
          <w:rFonts w:ascii="Arial" w:hAnsi="Arial" w:cs="Arial"/>
          <w:sz w:val="20"/>
          <w:szCs w:val="20"/>
        </w:rPr>
        <w:t>: 715-723</w:t>
      </w:r>
    </w:p>
    <w:p w14:paraId="42FC4263" w14:textId="77777777" w:rsidR="00BB1926" w:rsidRPr="00326303" w:rsidRDefault="00BB1926" w:rsidP="00BB1926">
      <w:pPr>
        <w:spacing w:after="0" w:line="240" w:lineRule="auto"/>
        <w:jc w:val="both"/>
        <w:rPr>
          <w:rFonts w:ascii="Arial" w:eastAsia="Times New Roman" w:hAnsi="Arial" w:cs="Arial"/>
          <w:color w:val="1F1F1F"/>
          <w:sz w:val="20"/>
          <w:szCs w:val="20"/>
        </w:rPr>
      </w:pPr>
      <w:proofErr w:type="spellStart"/>
      <w:r w:rsidRPr="00326303">
        <w:rPr>
          <w:rFonts w:ascii="Arial" w:hAnsi="Arial" w:cs="Arial"/>
          <w:sz w:val="20"/>
          <w:szCs w:val="20"/>
        </w:rPr>
        <w:t>Guillamón</w:t>
      </w:r>
      <w:proofErr w:type="spellEnd"/>
      <w:r w:rsidRPr="00326303">
        <w:rPr>
          <w:rFonts w:ascii="Arial" w:hAnsi="Arial" w:cs="Arial"/>
          <w:sz w:val="20"/>
          <w:szCs w:val="20"/>
        </w:rPr>
        <w:t>, E.; García-</w:t>
      </w:r>
      <w:proofErr w:type="spellStart"/>
      <w:r w:rsidRPr="00326303">
        <w:rPr>
          <w:rFonts w:ascii="Arial" w:hAnsi="Arial" w:cs="Arial"/>
          <w:sz w:val="20"/>
          <w:szCs w:val="20"/>
        </w:rPr>
        <w:t>Lafuente</w:t>
      </w:r>
      <w:proofErr w:type="spellEnd"/>
      <w:r w:rsidRPr="00326303">
        <w:rPr>
          <w:rFonts w:ascii="Arial" w:hAnsi="Arial" w:cs="Arial"/>
          <w:sz w:val="20"/>
          <w:szCs w:val="20"/>
        </w:rPr>
        <w:t xml:space="preserve">, A.; Lozano, M.; </w:t>
      </w:r>
      <w:proofErr w:type="spellStart"/>
      <w:r w:rsidRPr="00326303">
        <w:rPr>
          <w:rFonts w:ascii="Arial" w:hAnsi="Arial" w:cs="Arial"/>
          <w:sz w:val="20"/>
          <w:szCs w:val="20"/>
        </w:rPr>
        <w:t>D´arrigo</w:t>
      </w:r>
      <w:proofErr w:type="spellEnd"/>
      <w:r w:rsidRPr="00326303">
        <w:rPr>
          <w:rFonts w:ascii="Arial" w:hAnsi="Arial" w:cs="Arial"/>
          <w:sz w:val="20"/>
          <w:szCs w:val="20"/>
        </w:rPr>
        <w:t xml:space="preserve">, M.; </w:t>
      </w:r>
      <w:proofErr w:type="spellStart"/>
      <w:r w:rsidRPr="00326303">
        <w:rPr>
          <w:rFonts w:ascii="Arial" w:hAnsi="Arial" w:cs="Arial"/>
          <w:sz w:val="20"/>
          <w:szCs w:val="20"/>
        </w:rPr>
        <w:t>Rostagno</w:t>
      </w:r>
      <w:proofErr w:type="spellEnd"/>
      <w:r w:rsidRPr="00326303">
        <w:rPr>
          <w:rFonts w:ascii="Arial" w:hAnsi="Arial" w:cs="Arial"/>
          <w:sz w:val="20"/>
          <w:szCs w:val="20"/>
        </w:rPr>
        <w:t xml:space="preserve">, M. A.; </w:t>
      </w:r>
      <w:proofErr w:type="spellStart"/>
      <w:r w:rsidRPr="00326303">
        <w:rPr>
          <w:rFonts w:ascii="Arial" w:hAnsi="Arial" w:cs="Arial"/>
          <w:sz w:val="20"/>
          <w:szCs w:val="20"/>
        </w:rPr>
        <w:t>Villares</w:t>
      </w:r>
      <w:proofErr w:type="spellEnd"/>
      <w:r w:rsidRPr="00326303">
        <w:rPr>
          <w:rFonts w:ascii="Arial" w:hAnsi="Arial" w:cs="Arial"/>
          <w:sz w:val="20"/>
          <w:szCs w:val="20"/>
        </w:rPr>
        <w:t xml:space="preserve">, A.; Martínez, J. A. (2010). Edible Mushrooms: Role in the Prevention of Cardiovascular Diseases. </w:t>
      </w:r>
      <w:proofErr w:type="spellStart"/>
      <w:r w:rsidRPr="00326303">
        <w:rPr>
          <w:rFonts w:ascii="Arial" w:hAnsi="Arial" w:cs="Arial"/>
          <w:i/>
          <w:sz w:val="20"/>
          <w:szCs w:val="20"/>
        </w:rPr>
        <w:t>Fitoterapia</w:t>
      </w:r>
      <w:proofErr w:type="spellEnd"/>
      <w:r w:rsidRPr="00326303">
        <w:rPr>
          <w:rFonts w:ascii="Arial" w:hAnsi="Arial" w:cs="Arial"/>
          <w:sz w:val="20"/>
          <w:szCs w:val="20"/>
        </w:rPr>
        <w:t>. 81(7), 715.</w:t>
      </w:r>
    </w:p>
    <w:p w14:paraId="628B9E7D"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214C090A" w14:textId="77777777" w:rsidR="00BB1926" w:rsidRPr="00326303" w:rsidRDefault="00BB1926" w:rsidP="00BB1926">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t>Handayani</w:t>
      </w:r>
      <w:proofErr w:type="spellEnd"/>
      <w:r w:rsidRPr="00326303">
        <w:rPr>
          <w:rFonts w:ascii="Arial" w:eastAsia="Times New Roman" w:hAnsi="Arial" w:cs="Arial"/>
          <w:color w:val="1F1F1F"/>
          <w:sz w:val="20"/>
          <w:szCs w:val="20"/>
        </w:rPr>
        <w:t xml:space="preserve">, D., Chen, </w:t>
      </w:r>
      <w:proofErr w:type="gramStart"/>
      <w:r w:rsidRPr="00326303">
        <w:rPr>
          <w:rFonts w:ascii="Arial" w:eastAsia="Times New Roman" w:hAnsi="Arial" w:cs="Arial"/>
          <w:color w:val="1F1F1F"/>
          <w:sz w:val="20"/>
          <w:szCs w:val="20"/>
        </w:rPr>
        <w:t>J. ,</w:t>
      </w:r>
      <w:proofErr w:type="gramEnd"/>
      <w:r w:rsidRPr="00326303">
        <w:rPr>
          <w:rFonts w:ascii="Arial" w:eastAsia="Times New Roman" w:hAnsi="Arial" w:cs="Arial"/>
          <w:color w:val="1F1F1F"/>
          <w:sz w:val="20"/>
          <w:szCs w:val="20"/>
        </w:rPr>
        <w:t xml:space="preserve"> Meyer, B. J., and Huang, X. F.. (2011). Dietary Shiitake Mushroom (</w:t>
      </w:r>
      <w:proofErr w:type="spellStart"/>
      <w:r w:rsidRPr="00326303">
        <w:rPr>
          <w:rFonts w:ascii="Arial" w:eastAsia="Times New Roman" w:hAnsi="Arial" w:cs="Arial"/>
          <w:color w:val="1F1F1F"/>
          <w:sz w:val="20"/>
          <w:szCs w:val="20"/>
        </w:rPr>
        <w:t>Lentinus</w:t>
      </w:r>
      <w:proofErr w:type="spellEnd"/>
      <w:r w:rsidRPr="00326303">
        <w:rPr>
          <w:rFonts w:ascii="Arial" w:eastAsia="Times New Roman" w:hAnsi="Arial" w:cs="Arial"/>
          <w:color w:val="1F1F1F"/>
          <w:sz w:val="20"/>
          <w:szCs w:val="20"/>
        </w:rPr>
        <w:t xml:space="preserve"> </w:t>
      </w:r>
      <w:proofErr w:type="spellStart"/>
      <w:r w:rsidRPr="00326303">
        <w:rPr>
          <w:rFonts w:ascii="Arial" w:eastAsia="Times New Roman" w:hAnsi="Arial" w:cs="Arial"/>
          <w:color w:val="1F1F1F"/>
          <w:sz w:val="20"/>
          <w:szCs w:val="20"/>
        </w:rPr>
        <w:t>edodes</w:t>
      </w:r>
      <w:proofErr w:type="spellEnd"/>
      <w:r w:rsidRPr="00326303">
        <w:rPr>
          <w:rFonts w:ascii="Arial" w:eastAsia="Times New Roman" w:hAnsi="Arial" w:cs="Arial"/>
          <w:color w:val="1F1F1F"/>
          <w:sz w:val="20"/>
          <w:szCs w:val="20"/>
        </w:rPr>
        <w:t xml:space="preserve">) Prevents Fat Deposition and Lowers Triglyceride in Rats Fed a High-Fat Diet. </w:t>
      </w:r>
      <w:r w:rsidRPr="00326303">
        <w:rPr>
          <w:rFonts w:ascii="Arial" w:eastAsia="Times New Roman" w:hAnsi="Arial" w:cs="Arial"/>
          <w:i/>
          <w:color w:val="1F1F1F"/>
          <w:sz w:val="20"/>
          <w:szCs w:val="20"/>
        </w:rPr>
        <w:t>Journal of Obesity.</w:t>
      </w:r>
      <w:r w:rsidRPr="00326303">
        <w:rPr>
          <w:rFonts w:ascii="Arial" w:eastAsia="Times New Roman" w:hAnsi="Arial" w:cs="Arial"/>
          <w:color w:val="1F1F1F"/>
          <w:sz w:val="20"/>
          <w:szCs w:val="20"/>
        </w:rPr>
        <w:t xml:space="preserve">  </w:t>
      </w:r>
      <w:hyperlink r:id="rId16" w:history="1">
        <w:r w:rsidRPr="00326303">
          <w:rPr>
            <w:rStyle w:val="Hyperlink"/>
            <w:rFonts w:ascii="Arial" w:eastAsia="Times New Roman" w:hAnsi="Arial" w:cs="Arial"/>
            <w:sz w:val="20"/>
            <w:szCs w:val="20"/>
          </w:rPr>
          <w:t>https://doi.org/10.1155/2011/258051</w:t>
        </w:r>
      </w:hyperlink>
    </w:p>
    <w:p w14:paraId="7D03801F"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0A572E02" w14:textId="77777777" w:rsidR="00BB1926" w:rsidRPr="00326303" w:rsidRDefault="00BB1926" w:rsidP="00BB1926">
      <w:pPr>
        <w:spacing w:after="0" w:line="240" w:lineRule="auto"/>
        <w:jc w:val="both"/>
        <w:rPr>
          <w:rFonts w:ascii="Arial" w:hAnsi="Arial" w:cs="Arial"/>
          <w:sz w:val="20"/>
          <w:szCs w:val="20"/>
        </w:rPr>
      </w:pPr>
      <w:r w:rsidRPr="00326303">
        <w:rPr>
          <w:rFonts w:ascii="Arial" w:hAnsi="Arial" w:cs="Arial"/>
          <w:sz w:val="20"/>
          <w:szCs w:val="20"/>
        </w:rPr>
        <w:t>Kabir Y, Kimura S, Tamura T (1988</w:t>
      </w:r>
      <w:proofErr w:type="gramStart"/>
      <w:r w:rsidRPr="00326303">
        <w:rPr>
          <w:rFonts w:ascii="Arial" w:hAnsi="Arial" w:cs="Arial"/>
          <w:sz w:val="20"/>
          <w:szCs w:val="20"/>
        </w:rPr>
        <w:t>, )</w:t>
      </w:r>
      <w:proofErr w:type="gramEnd"/>
      <w:r w:rsidRPr="00326303">
        <w:rPr>
          <w:rFonts w:ascii="Arial" w:hAnsi="Arial" w:cs="Arial"/>
          <w:sz w:val="20"/>
          <w:szCs w:val="20"/>
        </w:rPr>
        <w:t xml:space="preserve">. Dietary effect of Ganoderma </w:t>
      </w:r>
      <w:proofErr w:type="spellStart"/>
      <w:r w:rsidRPr="00326303">
        <w:rPr>
          <w:rFonts w:ascii="Arial" w:hAnsi="Arial" w:cs="Arial"/>
          <w:sz w:val="20"/>
          <w:szCs w:val="20"/>
        </w:rPr>
        <w:t>luci</w:t>
      </w:r>
      <w:proofErr w:type="spellEnd"/>
      <w:r w:rsidRPr="00326303">
        <w:rPr>
          <w:rFonts w:ascii="Arial" w:hAnsi="Arial" w:cs="Arial"/>
          <w:sz w:val="20"/>
          <w:szCs w:val="20"/>
        </w:rPr>
        <w:t xml:space="preserve"> </w:t>
      </w:r>
      <w:proofErr w:type="spellStart"/>
      <w:r w:rsidRPr="00326303">
        <w:rPr>
          <w:rFonts w:ascii="Arial" w:hAnsi="Arial" w:cs="Arial"/>
          <w:sz w:val="20"/>
          <w:szCs w:val="20"/>
        </w:rPr>
        <w:t>dum</w:t>
      </w:r>
      <w:proofErr w:type="spellEnd"/>
      <w:r w:rsidRPr="00326303">
        <w:rPr>
          <w:rFonts w:ascii="Arial" w:hAnsi="Arial" w:cs="Arial"/>
          <w:sz w:val="20"/>
          <w:szCs w:val="20"/>
        </w:rPr>
        <w:t xml:space="preserve"> mushroom on blood pressure and lipid levels in </w:t>
      </w:r>
      <w:proofErr w:type="spellStart"/>
      <w:r w:rsidRPr="00326303">
        <w:rPr>
          <w:rFonts w:ascii="Arial" w:hAnsi="Arial" w:cs="Arial"/>
          <w:sz w:val="20"/>
          <w:szCs w:val="20"/>
        </w:rPr>
        <w:t>sponta</w:t>
      </w:r>
      <w:proofErr w:type="spellEnd"/>
      <w:r w:rsidRPr="00326303">
        <w:rPr>
          <w:rFonts w:ascii="Arial" w:hAnsi="Arial" w:cs="Arial"/>
          <w:sz w:val="20"/>
          <w:szCs w:val="20"/>
        </w:rPr>
        <w:t xml:space="preserve"> </w:t>
      </w:r>
      <w:proofErr w:type="spellStart"/>
      <w:r w:rsidRPr="00326303">
        <w:rPr>
          <w:rFonts w:ascii="Arial" w:hAnsi="Arial" w:cs="Arial"/>
          <w:sz w:val="20"/>
          <w:szCs w:val="20"/>
        </w:rPr>
        <w:t>neously</w:t>
      </w:r>
      <w:proofErr w:type="spellEnd"/>
      <w:r w:rsidRPr="00326303">
        <w:rPr>
          <w:rFonts w:ascii="Arial" w:hAnsi="Arial" w:cs="Arial"/>
          <w:sz w:val="20"/>
          <w:szCs w:val="20"/>
        </w:rPr>
        <w:t xml:space="preserve"> hypertensive rats (SHR). </w:t>
      </w:r>
      <w:r w:rsidRPr="00326303">
        <w:rPr>
          <w:rFonts w:ascii="Arial" w:hAnsi="Arial" w:cs="Arial"/>
          <w:i/>
          <w:sz w:val="20"/>
          <w:szCs w:val="20"/>
        </w:rPr>
        <w:t xml:space="preserve">J </w:t>
      </w:r>
      <w:proofErr w:type="spellStart"/>
      <w:r w:rsidRPr="00326303">
        <w:rPr>
          <w:rFonts w:ascii="Arial" w:hAnsi="Arial" w:cs="Arial"/>
          <w:i/>
          <w:sz w:val="20"/>
          <w:szCs w:val="20"/>
        </w:rPr>
        <w:t>Nutr</w:t>
      </w:r>
      <w:proofErr w:type="spellEnd"/>
      <w:r w:rsidRPr="00326303">
        <w:rPr>
          <w:rFonts w:ascii="Arial" w:hAnsi="Arial" w:cs="Arial"/>
          <w:i/>
          <w:sz w:val="20"/>
          <w:szCs w:val="20"/>
        </w:rPr>
        <w:t xml:space="preserve"> Sci </w:t>
      </w:r>
      <w:proofErr w:type="spellStart"/>
      <w:r w:rsidRPr="00326303">
        <w:rPr>
          <w:rFonts w:ascii="Arial" w:hAnsi="Arial" w:cs="Arial"/>
          <w:i/>
          <w:sz w:val="20"/>
          <w:szCs w:val="20"/>
        </w:rPr>
        <w:t>Vitaminol</w:t>
      </w:r>
      <w:proofErr w:type="spellEnd"/>
      <w:r w:rsidRPr="00326303">
        <w:rPr>
          <w:rFonts w:ascii="Arial" w:hAnsi="Arial" w:cs="Arial"/>
          <w:sz w:val="20"/>
          <w:szCs w:val="20"/>
        </w:rPr>
        <w:t xml:space="preserve"> (Tokyo) 34:433-438</w:t>
      </w:r>
    </w:p>
    <w:p w14:paraId="4D8CC93C" w14:textId="77777777" w:rsidR="00BB1926" w:rsidRPr="00326303" w:rsidRDefault="00BB1926" w:rsidP="00BB1926">
      <w:pPr>
        <w:spacing w:after="0" w:line="240" w:lineRule="auto"/>
        <w:jc w:val="both"/>
        <w:rPr>
          <w:rFonts w:ascii="Arial" w:hAnsi="Arial" w:cs="Arial"/>
          <w:sz w:val="20"/>
          <w:szCs w:val="20"/>
        </w:rPr>
      </w:pPr>
    </w:p>
    <w:p w14:paraId="2D10D9B7"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hAnsi="Arial" w:cs="Arial"/>
          <w:sz w:val="20"/>
          <w:szCs w:val="20"/>
        </w:rPr>
        <w:t xml:space="preserve">Lisa Dicks and Sabine Ellinger (2020). E </w:t>
      </w:r>
      <w:proofErr w:type="spellStart"/>
      <w:r w:rsidRPr="00326303">
        <w:rPr>
          <w:rFonts w:ascii="Arial" w:hAnsi="Arial" w:cs="Arial"/>
          <w:sz w:val="20"/>
          <w:szCs w:val="20"/>
        </w:rPr>
        <w:t>ectofthe</w:t>
      </w:r>
      <w:proofErr w:type="spellEnd"/>
      <w:r w:rsidRPr="00326303">
        <w:rPr>
          <w:rFonts w:ascii="Arial" w:hAnsi="Arial" w:cs="Arial"/>
          <w:sz w:val="20"/>
          <w:szCs w:val="20"/>
        </w:rPr>
        <w:t xml:space="preserve"> Intake of Oyster Mushrooms (</w:t>
      </w:r>
      <w:proofErr w:type="spellStart"/>
      <w:r w:rsidRPr="00326303">
        <w:rPr>
          <w:rFonts w:ascii="Arial" w:hAnsi="Arial" w:cs="Arial"/>
          <w:sz w:val="20"/>
          <w:szCs w:val="20"/>
        </w:rPr>
        <w:t>Pleurotus</w:t>
      </w:r>
      <w:proofErr w:type="spellEnd"/>
      <w:r w:rsidRPr="00326303">
        <w:rPr>
          <w:rFonts w:ascii="Arial" w:hAnsi="Arial" w:cs="Arial"/>
          <w:sz w:val="20"/>
          <w:szCs w:val="20"/>
        </w:rPr>
        <w:t xml:space="preserve"> </w:t>
      </w:r>
      <w:proofErr w:type="spellStart"/>
      <w:r w:rsidRPr="00326303">
        <w:rPr>
          <w:rFonts w:ascii="Arial" w:hAnsi="Arial" w:cs="Arial"/>
          <w:sz w:val="20"/>
          <w:szCs w:val="20"/>
        </w:rPr>
        <w:t>ostreatus</w:t>
      </w:r>
      <w:proofErr w:type="spellEnd"/>
      <w:r w:rsidRPr="00326303">
        <w:rPr>
          <w:rFonts w:ascii="Arial" w:hAnsi="Arial" w:cs="Arial"/>
          <w:sz w:val="20"/>
          <w:szCs w:val="20"/>
        </w:rPr>
        <w:t xml:space="preserve">) on Cardiometabolic Parameters—A Systematic Review of Clinical Trials. </w:t>
      </w:r>
      <w:proofErr w:type="gramStart"/>
      <w:r w:rsidRPr="00326303">
        <w:rPr>
          <w:rFonts w:ascii="Arial" w:hAnsi="Arial" w:cs="Arial"/>
          <w:i/>
          <w:sz w:val="20"/>
          <w:szCs w:val="20"/>
        </w:rPr>
        <w:t>Nutrients</w:t>
      </w:r>
      <w:r w:rsidRPr="00326303">
        <w:rPr>
          <w:rFonts w:ascii="Arial" w:hAnsi="Arial" w:cs="Arial"/>
          <w:sz w:val="20"/>
          <w:szCs w:val="20"/>
        </w:rPr>
        <w:t xml:space="preserve">  12</w:t>
      </w:r>
      <w:proofErr w:type="gramEnd"/>
      <w:r w:rsidRPr="00326303">
        <w:rPr>
          <w:rFonts w:ascii="Arial" w:hAnsi="Arial" w:cs="Arial"/>
          <w:sz w:val="20"/>
          <w:szCs w:val="20"/>
        </w:rPr>
        <w:t>, 1134</w:t>
      </w:r>
    </w:p>
    <w:p w14:paraId="7A7D0FED"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2AD8FE1F"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Nuhu, A., </w:t>
      </w:r>
      <w:proofErr w:type="spellStart"/>
      <w:r w:rsidRPr="00326303">
        <w:rPr>
          <w:rFonts w:ascii="Arial" w:eastAsia="Times New Roman" w:hAnsi="Arial" w:cs="Arial"/>
          <w:color w:val="1F1F1F"/>
          <w:sz w:val="20"/>
          <w:szCs w:val="20"/>
        </w:rPr>
        <w:t>Ruhul</w:t>
      </w:r>
      <w:proofErr w:type="spellEnd"/>
      <w:r w:rsidRPr="00326303">
        <w:rPr>
          <w:rFonts w:ascii="Arial" w:eastAsia="Times New Roman" w:hAnsi="Arial" w:cs="Arial"/>
          <w:color w:val="1F1F1F"/>
          <w:sz w:val="20"/>
          <w:szCs w:val="20"/>
        </w:rPr>
        <w:t xml:space="preserve">, A., </w:t>
      </w:r>
      <w:proofErr w:type="spellStart"/>
      <w:r w:rsidRPr="00326303">
        <w:rPr>
          <w:rFonts w:ascii="Arial" w:eastAsia="Times New Roman" w:hAnsi="Arial" w:cs="Arial"/>
          <w:color w:val="1F1F1F"/>
          <w:sz w:val="20"/>
          <w:szCs w:val="20"/>
        </w:rPr>
        <w:t>Asaduzzaman</w:t>
      </w:r>
      <w:proofErr w:type="spellEnd"/>
      <w:r w:rsidRPr="00326303">
        <w:rPr>
          <w:rFonts w:ascii="Arial" w:eastAsia="Times New Roman" w:hAnsi="Arial" w:cs="Arial"/>
          <w:color w:val="1F1F1F"/>
          <w:sz w:val="20"/>
          <w:szCs w:val="20"/>
        </w:rPr>
        <w:t xml:space="preserve"> K., </w:t>
      </w:r>
      <w:proofErr w:type="spellStart"/>
      <w:r w:rsidRPr="00326303">
        <w:rPr>
          <w:rFonts w:ascii="Arial" w:eastAsia="Times New Roman" w:hAnsi="Arial" w:cs="Arial"/>
          <w:color w:val="1F1F1F"/>
          <w:sz w:val="20"/>
          <w:szCs w:val="20"/>
        </w:rPr>
        <w:t>Ismot</w:t>
      </w:r>
      <w:proofErr w:type="spellEnd"/>
      <w:r w:rsidRPr="00326303">
        <w:rPr>
          <w:rFonts w:ascii="Arial" w:eastAsia="Times New Roman" w:hAnsi="Arial" w:cs="Arial"/>
          <w:color w:val="1F1F1F"/>
          <w:sz w:val="20"/>
          <w:szCs w:val="20"/>
        </w:rPr>
        <w:t xml:space="preserve">, A., Mi, J. S., Min, W. L., </w:t>
      </w:r>
      <w:proofErr w:type="spellStart"/>
      <w:r w:rsidRPr="00326303">
        <w:rPr>
          <w:rFonts w:ascii="Arial" w:eastAsia="Times New Roman" w:hAnsi="Arial" w:cs="Arial"/>
          <w:color w:val="1F1F1F"/>
          <w:sz w:val="20"/>
          <w:szCs w:val="20"/>
        </w:rPr>
        <w:t>Youn</w:t>
      </w:r>
      <w:proofErr w:type="spellEnd"/>
      <w:r w:rsidRPr="00326303">
        <w:rPr>
          <w:rFonts w:ascii="Arial" w:eastAsia="Times New Roman" w:hAnsi="Arial" w:cs="Arial"/>
          <w:color w:val="1F1F1F"/>
          <w:sz w:val="20"/>
          <w:szCs w:val="20"/>
        </w:rPr>
        <w:t xml:space="preserve">, U. L. and Tae, S. L. (2009). Comparative Effects of Oyster Mushrooms on Lipid Profile, Liver and Kidney Function in Hypercholesterolemic Rats, </w:t>
      </w:r>
      <w:r w:rsidRPr="00326303">
        <w:rPr>
          <w:rFonts w:ascii="Arial" w:eastAsia="Times New Roman" w:hAnsi="Arial" w:cs="Arial"/>
          <w:i/>
          <w:color w:val="1F1F1F"/>
          <w:sz w:val="20"/>
          <w:szCs w:val="20"/>
        </w:rPr>
        <w:t>Microbiology</w:t>
      </w:r>
      <w:r w:rsidRPr="00326303">
        <w:rPr>
          <w:rFonts w:ascii="Arial" w:eastAsia="Times New Roman" w:hAnsi="Arial" w:cs="Arial"/>
          <w:color w:val="1F1F1F"/>
          <w:sz w:val="20"/>
          <w:szCs w:val="20"/>
        </w:rPr>
        <w:t xml:space="preserve"> 37(1): 37 – 42</w:t>
      </w:r>
    </w:p>
    <w:p w14:paraId="6199AB06"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5F42F51F" w14:textId="77777777" w:rsidR="00BB1926" w:rsidRPr="00326303" w:rsidRDefault="00BB1926" w:rsidP="00BB1926">
      <w:pPr>
        <w:spacing w:after="0" w:line="240" w:lineRule="auto"/>
        <w:jc w:val="both"/>
        <w:textAlignment w:val="center"/>
        <w:outlineLvl w:val="1"/>
        <w:rPr>
          <w:rFonts w:ascii="Arial" w:eastAsia="Times New Roman" w:hAnsi="Arial" w:cs="Arial"/>
          <w:sz w:val="20"/>
          <w:szCs w:val="20"/>
        </w:rPr>
      </w:pPr>
      <w:bookmarkStart w:id="3" w:name="_Hlk165736142"/>
      <w:r w:rsidRPr="00326303">
        <w:rPr>
          <w:rFonts w:ascii="Arial" w:eastAsia="Times New Roman" w:hAnsi="Arial" w:cs="Arial"/>
          <w:sz w:val="20"/>
          <w:szCs w:val="20"/>
        </w:rPr>
        <w:t xml:space="preserve">Nur </w:t>
      </w:r>
      <w:bookmarkEnd w:id="3"/>
      <w:r w:rsidRPr="00326303">
        <w:rPr>
          <w:rFonts w:ascii="Arial" w:eastAsia="Times New Roman" w:hAnsi="Arial" w:cs="Arial"/>
          <w:sz w:val="20"/>
          <w:szCs w:val="20"/>
        </w:rPr>
        <w:t xml:space="preserve">A. A., </w:t>
      </w:r>
      <w:proofErr w:type="spellStart"/>
      <w:r w:rsidRPr="00326303">
        <w:rPr>
          <w:rFonts w:ascii="Arial" w:eastAsia="Times New Roman" w:hAnsi="Arial" w:cs="Arial"/>
          <w:sz w:val="20"/>
          <w:szCs w:val="20"/>
        </w:rPr>
        <w:t>Nurhayati</w:t>
      </w:r>
      <w:proofErr w:type="spellEnd"/>
      <w:r w:rsidRPr="00326303">
        <w:rPr>
          <w:rFonts w:ascii="Arial" w:eastAsia="Times New Roman" w:hAnsi="Arial" w:cs="Arial"/>
          <w:sz w:val="20"/>
          <w:szCs w:val="20"/>
        </w:rPr>
        <w:t xml:space="preserve"> Z.  </w:t>
      </w:r>
      <w:proofErr w:type="gramStart"/>
      <w:r w:rsidRPr="00326303">
        <w:rPr>
          <w:rFonts w:ascii="Arial" w:eastAsia="Times New Roman" w:hAnsi="Arial" w:cs="Arial"/>
          <w:sz w:val="20"/>
          <w:szCs w:val="20"/>
        </w:rPr>
        <w:t>A. ,</w:t>
      </w:r>
      <w:proofErr w:type="gramEnd"/>
      <w:r w:rsidRPr="00326303">
        <w:rPr>
          <w:rFonts w:ascii="Arial" w:eastAsia="Times New Roman" w:hAnsi="Arial" w:cs="Arial"/>
          <w:sz w:val="20"/>
          <w:szCs w:val="20"/>
        </w:rPr>
        <w:t> </w:t>
      </w:r>
      <w:proofErr w:type="spellStart"/>
      <w:r w:rsidRPr="00326303">
        <w:rPr>
          <w:rFonts w:ascii="Arial" w:eastAsia="Times New Roman" w:hAnsi="Arial" w:cs="Arial"/>
          <w:sz w:val="20"/>
          <w:szCs w:val="20"/>
        </w:rPr>
        <w:t>Noorlidah</w:t>
      </w:r>
      <w:proofErr w:type="spellEnd"/>
      <w:r w:rsidRPr="00326303">
        <w:rPr>
          <w:rFonts w:ascii="Arial" w:eastAsia="Times New Roman" w:hAnsi="Arial" w:cs="Arial"/>
          <w:sz w:val="20"/>
          <w:szCs w:val="20"/>
        </w:rPr>
        <w:t xml:space="preserve"> A. (2018). </w:t>
      </w:r>
      <w:r w:rsidRPr="00326303">
        <w:rPr>
          <w:rFonts w:ascii="Arial" w:eastAsia="Times New Roman" w:hAnsi="Arial" w:cs="Arial"/>
          <w:kern w:val="36"/>
          <w:sz w:val="20"/>
          <w:szCs w:val="20"/>
        </w:rPr>
        <w:t xml:space="preserve">The potential applications of mushrooms against some facets of atherosclerosis: A review. </w:t>
      </w:r>
      <w:hyperlink r:id="rId17" w:tooltip="Go to Food Research International on ScienceDirect" w:history="1">
        <w:r w:rsidRPr="00326303">
          <w:rPr>
            <w:rStyle w:val="Hyperlink"/>
            <w:rFonts w:ascii="Arial" w:eastAsia="Times New Roman" w:hAnsi="Arial" w:cs="Arial"/>
            <w:i/>
            <w:color w:val="1F1F1F"/>
            <w:sz w:val="20"/>
            <w:szCs w:val="20"/>
          </w:rPr>
          <w:t>Food Research International</w:t>
        </w:r>
      </w:hyperlink>
      <w:r w:rsidRPr="00326303">
        <w:rPr>
          <w:rFonts w:ascii="Arial" w:eastAsia="Times New Roman" w:hAnsi="Arial" w:cs="Arial"/>
          <w:sz w:val="20"/>
          <w:szCs w:val="20"/>
        </w:rPr>
        <w:t xml:space="preserve">. </w:t>
      </w:r>
      <w:hyperlink r:id="rId18" w:tooltip="Go to table of contents for this volume/issue" w:history="1">
        <w:r w:rsidRPr="00326303">
          <w:rPr>
            <w:rStyle w:val="Hyperlink"/>
            <w:rFonts w:ascii="Arial" w:eastAsia="Times New Roman" w:hAnsi="Arial" w:cs="Arial"/>
            <w:color w:val="0272B1"/>
            <w:sz w:val="20"/>
            <w:szCs w:val="20"/>
          </w:rPr>
          <w:t>105</w:t>
        </w:r>
      </w:hyperlink>
      <w:r w:rsidRPr="00326303">
        <w:rPr>
          <w:rFonts w:ascii="Arial" w:eastAsia="Times New Roman" w:hAnsi="Arial" w:cs="Arial"/>
          <w:sz w:val="20"/>
          <w:szCs w:val="20"/>
        </w:rPr>
        <w:t>, 517-536</w:t>
      </w:r>
    </w:p>
    <w:p w14:paraId="26C28E57" w14:textId="77777777" w:rsidR="00BB1926" w:rsidRPr="00326303" w:rsidRDefault="00BB1926" w:rsidP="00BB1926">
      <w:pPr>
        <w:spacing w:after="0" w:line="240" w:lineRule="auto"/>
        <w:jc w:val="both"/>
        <w:textAlignment w:val="center"/>
        <w:outlineLvl w:val="1"/>
        <w:rPr>
          <w:rFonts w:ascii="Arial" w:eastAsia="Times New Roman" w:hAnsi="Arial" w:cs="Arial"/>
          <w:sz w:val="20"/>
          <w:szCs w:val="20"/>
        </w:rPr>
      </w:pPr>
    </w:p>
    <w:p w14:paraId="10DB5E8C" w14:textId="77777777" w:rsidR="00BB1926" w:rsidRPr="00326303" w:rsidRDefault="00BB1926" w:rsidP="00BB1926">
      <w:pPr>
        <w:jc w:val="both"/>
        <w:rPr>
          <w:rFonts w:ascii="Arial" w:hAnsi="Arial" w:cs="Arial"/>
          <w:sz w:val="20"/>
          <w:szCs w:val="20"/>
        </w:rPr>
      </w:pPr>
      <w:r w:rsidRPr="00326303">
        <w:rPr>
          <w:rFonts w:ascii="Arial" w:hAnsi="Arial" w:cs="Arial"/>
          <w:sz w:val="20"/>
          <w:szCs w:val="20"/>
        </w:rPr>
        <w:t xml:space="preserve">Schneider, I., Kressel, G., Meyer, A., </w:t>
      </w:r>
      <w:proofErr w:type="spellStart"/>
      <w:r w:rsidRPr="00326303">
        <w:rPr>
          <w:rFonts w:ascii="Arial" w:hAnsi="Arial" w:cs="Arial"/>
          <w:sz w:val="20"/>
          <w:szCs w:val="20"/>
        </w:rPr>
        <w:t>Krings</w:t>
      </w:r>
      <w:proofErr w:type="spellEnd"/>
      <w:r w:rsidRPr="00326303">
        <w:rPr>
          <w:rFonts w:ascii="Arial" w:hAnsi="Arial" w:cs="Arial"/>
          <w:sz w:val="20"/>
          <w:szCs w:val="20"/>
        </w:rPr>
        <w:t xml:space="preserve">, U., Berger, R.G., and Hahn, A. (2011). Lipid Lowering </w:t>
      </w:r>
      <w:proofErr w:type="spellStart"/>
      <w:r w:rsidRPr="00326303">
        <w:rPr>
          <w:rFonts w:ascii="Arial" w:hAnsi="Arial" w:cs="Arial"/>
          <w:sz w:val="20"/>
          <w:szCs w:val="20"/>
        </w:rPr>
        <w:t>Effercts</w:t>
      </w:r>
      <w:proofErr w:type="spellEnd"/>
      <w:r w:rsidRPr="00326303">
        <w:rPr>
          <w:rFonts w:ascii="Arial" w:hAnsi="Arial" w:cs="Arial"/>
          <w:sz w:val="20"/>
          <w:szCs w:val="20"/>
        </w:rPr>
        <w:t xml:space="preserve"> of Oyster Mushroom (</w:t>
      </w:r>
      <w:proofErr w:type="spellStart"/>
      <w:r w:rsidRPr="00326303">
        <w:rPr>
          <w:rFonts w:ascii="Arial" w:hAnsi="Arial" w:cs="Arial"/>
          <w:sz w:val="20"/>
          <w:szCs w:val="20"/>
        </w:rPr>
        <w:t>Pleurotus</w:t>
      </w:r>
      <w:proofErr w:type="spellEnd"/>
      <w:r w:rsidRPr="00326303">
        <w:rPr>
          <w:rFonts w:ascii="Arial" w:hAnsi="Arial" w:cs="Arial"/>
          <w:sz w:val="20"/>
          <w:szCs w:val="20"/>
        </w:rPr>
        <w:t xml:space="preserve"> </w:t>
      </w:r>
      <w:proofErr w:type="spellStart"/>
      <w:r w:rsidRPr="00326303">
        <w:rPr>
          <w:rFonts w:ascii="Arial" w:hAnsi="Arial" w:cs="Arial"/>
          <w:sz w:val="20"/>
          <w:szCs w:val="20"/>
        </w:rPr>
        <w:t>ostreatus</w:t>
      </w:r>
      <w:proofErr w:type="spellEnd"/>
      <w:r w:rsidRPr="00326303">
        <w:rPr>
          <w:rFonts w:ascii="Arial" w:hAnsi="Arial" w:cs="Arial"/>
          <w:sz w:val="20"/>
          <w:szCs w:val="20"/>
        </w:rPr>
        <w:t xml:space="preserve">) in Humans. </w:t>
      </w:r>
      <w:r w:rsidRPr="00326303">
        <w:rPr>
          <w:rFonts w:ascii="Arial" w:hAnsi="Arial" w:cs="Arial"/>
          <w:i/>
          <w:sz w:val="20"/>
          <w:szCs w:val="20"/>
        </w:rPr>
        <w:t>Journal of Functional Food</w:t>
      </w:r>
      <w:r w:rsidRPr="00326303">
        <w:rPr>
          <w:rFonts w:ascii="Arial" w:hAnsi="Arial" w:cs="Arial"/>
          <w:sz w:val="20"/>
          <w:szCs w:val="20"/>
        </w:rPr>
        <w:t xml:space="preserve"> 3(1): 17 - 24 </w:t>
      </w:r>
    </w:p>
    <w:p w14:paraId="4AC6EA83" w14:textId="77777777" w:rsidR="00BB1926" w:rsidRPr="00326303" w:rsidRDefault="00BB1926" w:rsidP="00BB1926">
      <w:pPr>
        <w:jc w:val="both"/>
        <w:rPr>
          <w:rFonts w:ascii="Arial" w:hAnsi="Arial" w:cs="Arial"/>
          <w:sz w:val="20"/>
          <w:szCs w:val="20"/>
        </w:rPr>
      </w:pPr>
      <w:proofErr w:type="spellStart"/>
      <w:r w:rsidRPr="00326303">
        <w:rPr>
          <w:rFonts w:ascii="Arial" w:hAnsi="Arial" w:cs="Arial"/>
          <w:sz w:val="20"/>
          <w:szCs w:val="20"/>
        </w:rPr>
        <w:t>Shanggong</w:t>
      </w:r>
      <w:proofErr w:type="spellEnd"/>
      <w:r w:rsidRPr="00326303">
        <w:rPr>
          <w:rFonts w:ascii="Arial" w:hAnsi="Arial" w:cs="Arial"/>
          <w:sz w:val="20"/>
          <w:szCs w:val="20"/>
        </w:rPr>
        <w:t xml:space="preserve"> Y.  </w:t>
      </w:r>
      <w:proofErr w:type="spellStart"/>
      <w:proofErr w:type="gramStart"/>
      <w:r w:rsidRPr="00326303">
        <w:rPr>
          <w:rFonts w:ascii="Arial" w:hAnsi="Arial" w:cs="Arial"/>
          <w:sz w:val="20"/>
          <w:szCs w:val="20"/>
        </w:rPr>
        <w:t>Xianli</w:t>
      </w:r>
      <w:proofErr w:type="spellEnd"/>
      <w:r w:rsidRPr="00326303">
        <w:rPr>
          <w:rFonts w:ascii="Arial" w:hAnsi="Arial" w:cs="Arial"/>
          <w:sz w:val="20"/>
          <w:szCs w:val="20"/>
        </w:rPr>
        <w:t>,  W.</w:t>
      </w:r>
      <w:proofErr w:type="gramEnd"/>
      <w:r w:rsidRPr="00326303">
        <w:rPr>
          <w:rFonts w:ascii="Arial" w:hAnsi="Arial" w:cs="Arial"/>
          <w:sz w:val="20"/>
          <w:szCs w:val="20"/>
        </w:rPr>
        <w:t xml:space="preserve">, </w:t>
      </w:r>
      <w:proofErr w:type="spellStart"/>
      <w:r w:rsidRPr="00326303">
        <w:rPr>
          <w:rFonts w:ascii="Arial" w:hAnsi="Arial" w:cs="Arial"/>
          <w:sz w:val="20"/>
          <w:szCs w:val="20"/>
        </w:rPr>
        <w:t>Mathew,F</w:t>
      </w:r>
      <w:proofErr w:type="spellEnd"/>
      <w:r w:rsidRPr="00326303">
        <w:rPr>
          <w:rFonts w:ascii="Arial" w:hAnsi="Arial" w:cs="Arial"/>
          <w:sz w:val="20"/>
          <w:szCs w:val="20"/>
        </w:rPr>
        <w:t xml:space="preserve">., Rosalia, C. M. S., Mario, A. C., Frank, A. S., and </w:t>
      </w:r>
      <w:proofErr w:type="spellStart"/>
      <w:r w:rsidRPr="00326303">
        <w:rPr>
          <w:rFonts w:ascii="Arial" w:hAnsi="Arial" w:cs="Arial"/>
          <w:sz w:val="20"/>
          <w:szCs w:val="20"/>
        </w:rPr>
        <w:t>Nianbai</w:t>
      </w:r>
      <w:proofErr w:type="spellEnd"/>
      <w:r w:rsidRPr="00326303">
        <w:rPr>
          <w:rFonts w:ascii="Arial" w:hAnsi="Arial" w:cs="Arial"/>
          <w:sz w:val="20"/>
          <w:szCs w:val="20"/>
        </w:rPr>
        <w:t xml:space="preserve">, F. (2016). Diet Containing Shitake Mushroom Reduce Serum Lipids and Serum Lipophilic Antioxidant Capacity in Rats. </w:t>
      </w:r>
      <w:r w:rsidRPr="00326303">
        <w:rPr>
          <w:rFonts w:ascii="Arial" w:hAnsi="Arial" w:cs="Arial"/>
          <w:i/>
          <w:sz w:val="20"/>
          <w:szCs w:val="20"/>
        </w:rPr>
        <w:t xml:space="preserve">J. </w:t>
      </w:r>
      <w:proofErr w:type="spellStart"/>
      <w:r w:rsidRPr="00326303">
        <w:rPr>
          <w:rFonts w:ascii="Arial" w:hAnsi="Arial" w:cs="Arial"/>
          <w:i/>
          <w:sz w:val="20"/>
          <w:szCs w:val="20"/>
        </w:rPr>
        <w:t>Nutr</w:t>
      </w:r>
      <w:proofErr w:type="spellEnd"/>
      <w:r w:rsidRPr="00326303">
        <w:rPr>
          <w:rFonts w:ascii="Arial" w:hAnsi="Arial" w:cs="Arial"/>
          <w:sz w:val="20"/>
          <w:szCs w:val="20"/>
        </w:rPr>
        <w:t xml:space="preserve"> 146(12(2491 - 2496 </w:t>
      </w:r>
    </w:p>
    <w:p w14:paraId="4C1F92A2" w14:textId="77777777" w:rsidR="00BB1926" w:rsidRPr="00326303" w:rsidRDefault="00BB1926" w:rsidP="00BB1926">
      <w:pPr>
        <w:jc w:val="both"/>
        <w:rPr>
          <w:rFonts w:ascii="Arial" w:hAnsi="Arial" w:cs="Arial"/>
          <w:sz w:val="20"/>
          <w:szCs w:val="20"/>
        </w:rPr>
      </w:pPr>
      <w:proofErr w:type="spellStart"/>
      <w:r w:rsidRPr="00326303">
        <w:rPr>
          <w:rFonts w:ascii="Arial" w:hAnsi="Arial" w:cs="Arial"/>
          <w:sz w:val="20"/>
          <w:szCs w:val="20"/>
        </w:rPr>
        <w:t>Simopoulus</w:t>
      </w:r>
      <w:proofErr w:type="spellEnd"/>
      <w:r w:rsidRPr="00326303">
        <w:rPr>
          <w:rFonts w:ascii="Arial" w:hAnsi="Arial" w:cs="Arial"/>
          <w:sz w:val="20"/>
          <w:szCs w:val="20"/>
        </w:rPr>
        <w:t xml:space="preserve">, A. P.  and </w:t>
      </w:r>
      <w:proofErr w:type="spellStart"/>
      <w:r w:rsidRPr="00326303">
        <w:rPr>
          <w:rFonts w:ascii="Arial" w:hAnsi="Arial" w:cs="Arial"/>
          <w:sz w:val="20"/>
          <w:szCs w:val="20"/>
        </w:rPr>
        <w:t>Pavlou</w:t>
      </w:r>
      <w:proofErr w:type="spellEnd"/>
      <w:r w:rsidRPr="00326303">
        <w:rPr>
          <w:rFonts w:ascii="Arial" w:hAnsi="Arial" w:cs="Arial"/>
          <w:sz w:val="20"/>
          <w:szCs w:val="20"/>
        </w:rPr>
        <w:t xml:space="preserve"> (1997). Nutrition and Fitness, Metabolic and Behavioral Aspect in Health and Disease.  World Review of Nutrition and Dietetics Karger, </w:t>
      </w:r>
      <w:proofErr w:type="gramStart"/>
      <w:r w:rsidRPr="00326303">
        <w:rPr>
          <w:rFonts w:ascii="Arial" w:hAnsi="Arial" w:cs="Arial"/>
          <w:sz w:val="20"/>
          <w:szCs w:val="20"/>
        </w:rPr>
        <w:t>Basel,  pp.</w:t>
      </w:r>
      <w:proofErr w:type="gramEnd"/>
      <w:r w:rsidRPr="00326303">
        <w:rPr>
          <w:rFonts w:ascii="Arial" w:hAnsi="Arial" w:cs="Arial"/>
          <w:sz w:val="20"/>
          <w:szCs w:val="20"/>
        </w:rPr>
        <w:t xml:space="preserve"> 1-266.</w:t>
      </w:r>
    </w:p>
    <w:p w14:paraId="72493208" w14:textId="77777777" w:rsidR="00BB1926" w:rsidRPr="00326303" w:rsidRDefault="00BB1926" w:rsidP="00BB1926">
      <w:pPr>
        <w:spacing w:after="0" w:line="240" w:lineRule="auto"/>
        <w:jc w:val="both"/>
        <w:rPr>
          <w:rFonts w:ascii="Arial" w:eastAsia="Times New Roman" w:hAnsi="Arial" w:cs="Arial"/>
          <w:color w:val="1F1F1F"/>
          <w:sz w:val="20"/>
          <w:szCs w:val="20"/>
        </w:rPr>
      </w:pPr>
      <w:proofErr w:type="spellStart"/>
      <w:r w:rsidRPr="00326303">
        <w:rPr>
          <w:rFonts w:ascii="Arial" w:eastAsia="Times New Roman" w:hAnsi="Arial" w:cs="Arial"/>
          <w:color w:val="1F1F1F"/>
          <w:sz w:val="20"/>
          <w:szCs w:val="20"/>
        </w:rPr>
        <w:t>Sjoblom</w:t>
      </w:r>
      <w:proofErr w:type="spellEnd"/>
      <w:r w:rsidRPr="00326303">
        <w:rPr>
          <w:rFonts w:ascii="Arial" w:eastAsia="Times New Roman" w:hAnsi="Arial" w:cs="Arial"/>
          <w:color w:val="1F1F1F"/>
          <w:sz w:val="20"/>
          <w:szCs w:val="20"/>
        </w:rPr>
        <w:t xml:space="preserve">, L.  and Eklund, A. (1989). Determination of HDL2 cholesterol by precipitation with dextran sulfate and magnesium chloride: establishing optimal conditions for rat plasma. </w:t>
      </w:r>
      <w:r w:rsidRPr="00326303">
        <w:rPr>
          <w:rFonts w:ascii="Arial" w:eastAsia="Times New Roman" w:hAnsi="Arial" w:cs="Arial"/>
          <w:i/>
          <w:color w:val="1F1F1F"/>
          <w:sz w:val="20"/>
          <w:szCs w:val="20"/>
        </w:rPr>
        <w:t>Lipids</w:t>
      </w:r>
      <w:r w:rsidRPr="00326303">
        <w:rPr>
          <w:rFonts w:ascii="Arial" w:eastAsia="Times New Roman" w:hAnsi="Arial" w:cs="Arial"/>
          <w:color w:val="1F1F1F"/>
          <w:sz w:val="20"/>
          <w:szCs w:val="20"/>
        </w:rPr>
        <w:t>, 24 (6): 532-534</w:t>
      </w:r>
    </w:p>
    <w:p w14:paraId="7D114D4C" w14:textId="77777777" w:rsidR="00BB1926" w:rsidRPr="00326303" w:rsidRDefault="00BB1926" w:rsidP="00BB1926">
      <w:pPr>
        <w:pStyle w:val="Heading1"/>
        <w:shd w:val="clear" w:color="auto" w:fill="FFFFFF"/>
        <w:spacing w:before="0" w:after="0" w:line="450" w:lineRule="atLeast"/>
        <w:jc w:val="both"/>
        <w:rPr>
          <w:rFonts w:ascii="Arial" w:hAnsi="Arial" w:cs="Arial"/>
          <w:color w:val="1B1B1B"/>
          <w:sz w:val="20"/>
          <w:szCs w:val="20"/>
        </w:rPr>
      </w:pPr>
      <w:r w:rsidRPr="00326303">
        <w:rPr>
          <w:rFonts w:ascii="Arial" w:eastAsia="Times New Roman" w:hAnsi="Arial" w:cs="Arial"/>
          <w:color w:val="1F1F1F"/>
          <w:kern w:val="0"/>
          <w:sz w:val="20"/>
          <w:szCs w:val="20"/>
          <w14:ligatures w14:val="none"/>
        </w:rPr>
        <w:t xml:space="preserve">World Health Organization (WHO) (2003). </w:t>
      </w:r>
      <w:r w:rsidRPr="00326303">
        <w:rPr>
          <w:rFonts w:ascii="Arial" w:hAnsi="Arial" w:cs="Arial"/>
          <w:color w:val="1B1B1B"/>
          <w:sz w:val="20"/>
          <w:szCs w:val="20"/>
        </w:rPr>
        <w:t>WHO's </w:t>
      </w:r>
      <w:r w:rsidRPr="00326303">
        <w:rPr>
          <w:rStyle w:val="Emphasis"/>
          <w:rFonts w:ascii="Arial" w:hAnsi="Arial" w:cs="Arial"/>
          <w:color w:val="1B1B1B"/>
          <w:sz w:val="20"/>
          <w:szCs w:val="20"/>
        </w:rPr>
        <w:t>World Health Report</w:t>
      </w:r>
      <w:r w:rsidRPr="00326303">
        <w:rPr>
          <w:rFonts w:ascii="Arial" w:hAnsi="Arial" w:cs="Arial"/>
          <w:color w:val="1B1B1B"/>
          <w:sz w:val="20"/>
          <w:szCs w:val="20"/>
        </w:rPr>
        <w:t xml:space="preserve"> 2003: Shaping the future depends on strengthening health systems. </w:t>
      </w:r>
      <w:r w:rsidRPr="00326303">
        <w:rPr>
          <w:rFonts w:ascii="Arial" w:hAnsi="Arial" w:cs="Arial"/>
          <w:color w:val="1B1B1B"/>
          <w:sz w:val="20"/>
          <w:szCs w:val="20"/>
          <w:shd w:val="clear" w:color="auto" w:fill="FFFFFF"/>
        </w:rPr>
        <w:t>Geneva, 2003.</w:t>
      </w:r>
    </w:p>
    <w:p w14:paraId="1BCF4822"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7A0F0D00" w14:textId="77777777" w:rsidR="002A1CB8" w:rsidRPr="00326303" w:rsidRDefault="00BB1926" w:rsidP="00BB1926">
      <w:pPr>
        <w:jc w:val="both"/>
        <w:rPr>
          <w:rFonts w:ascii="Arial" w:hAnsi="Arial" w:cs="Arial"/>
          <w:sz w:val="20"/>
          <w:szCs w:val="20"/>
        </w:rPr>
      </w:pPr>
      <w:r w:rsidRPr="00326303">
        <w:rPr>
          <w:rFonts w:ascii="Arial" w:hAnsi="Arial" w:cs="Arial"/>
          <w:sz w:val="20"/>
          <w:szCs w:val="20"/>
        </w:rPr>
        <w:t xml:space="preserve">Ying Zhou, </w:t>
      </w:r>
      <w:proofErr w:type="spellStart"/>
      <w:r w:rsidRPr="00326303">
        <w:rPr>
          <w:rFonts w:ascii="Arial" w:hAnsi="Arial" w:cs="Arial"/>
          <w:sz w:val="20"/>
          <w:szCs w:val="20"/>
        </w:rPr>
        <w:t>Minghang</w:t>
      </w:r>
      <w:proofErr w:type="spellEnd"/>
      <w:r w:rsidRPr="00326303">
        <w:rPr>
          <w:rFonts w:ascii="Arial" w:hAnsi="Arial" w:cs="Arial"/>
          <w:sz w:val="20"/>
          <w:szCs w:val="20"/>
        </w:rPr>
        <w:t xml:space="preserve"> Chu, </w:t>
      </w:r>
      <w:proofErr w:type="spellStart"/>
      <w:r w:rsidRPr="00326303">
        <w:rPr>
          <w:rFonts w:ascii="Arial" w:hAnsi="Arial" w:cs="Arial"/>
          <w:sz w:val="20"/>
          <w:szCs w:val="20"/>
        </w:rPr>
        <w:t>Farhad</w:t>
      </w:r>
      <w:proofErr w:type="spellEnd"/>
      <w:r w:rsidRPr="00326303">
        <w:rPr>
          <w:rFonts w:ascii="Arial" w:hAnsi="Arial" w:cs="Arial"/>
          <w:sz w:val="20"/>
          <w:szCs w:val="20"/>
        </w:rPr>
        <w:t xml:space="preserve"> Ahmadi, Osman </w:t>
      </w:r>
      <w:proofErr w:type="spellStart"/>
      <w:r w:rsidRPr="00326303">
        <w:rPr>
          <w:rFonts w:ascii="Arial" w:hAnsi="Arial" w:cs="Arial"/>
          <w:sz w:val="20"/>
          <w:szCs w:val="20"/>
        </w:rPr>
        <w:t>Tuncay</w:t>
      </w:r>
      <w:proofErr w:type="spellEnd"/>
      <w:r w:rsidRPr="00326303">
        <w:rPr>
          <w:rFonts w:ascii="Arial" w:hAnsi="Arial" w:cs="Arial"/>
          <w:sz w:val="20"/>
          <w:szCs w:val="20"/>
        </w:rPr>
        <w:t xml:space="preserve"> Agar, Colin J. Barrow, Frank R. </w:t>
      </w:r>
      <w:proofErr w:type="spellStart"/>
      <w:r w:rsidRPr="00326303">
        <w:rPr>
          <w:rFonts w:ascii="Arial" w:hAnsi="Arial" w:cs="Arial"/>
          <w:sz w:val="20"/>
          <w:szCs w:val="20"/>
        </w:rPr>
        <w:t>Dunshea</w:t>
      </w:r>
      <w:proofErr w:type="spellEnd"/>
      <w:r w:rsidRPr="00326303">
        <w:rPr>
          <w:rFonts w:ascii="Arial" w:hAnsi="Arial" w:cs="Arial"/>
          <w:sz w:val="20"/>
          <w:szCs w:val="20"/>
        </w:rPr>
        <w:t xml:space="preserve"> &amp; Hafiz A.R. </w:t>
      </w:r>
      <w:proofErr w:type="spellStart"/>
      <w:r w:rsidRPr="00326303">
        <w:rPr>
          <w:rFonts w:ascii="Arial" w:hAnsi="Arial" w:cs="Arial"/>
          <w:sz w:val="20"/>
          <w:szCs w:val="20"/>
        </w:rPr>
        <w:t>Suleria</w:t>
      </w:r>
      <w:proofErr w:type="spellEnd"/>
      <w:r w:rsidRPr="00326303">
        <w:rPr>
          <w:rFonts w:ascii="Arial" w:hAnsi="Arial" w:cs="Arial"/>
          <w:sz w:val="20"/>
          <w:szCs w:val="20"/>
        </w:rPr>
        <w:t xml:space="preserve"> (2024).  A Comprehensive Review on Phytochemical Profiling in Mushrooms: Occurrence, Biological Activities, Applications and Future Prospective</w:t>
      </w:r>
      <w:r w:rsidRPr="00326303">
        <w:rPr>
          <w:rFonts w:ascii="Arial" w:hAnsi="Arial" w:cs="Arial"/>
          <w:i/>
          <w:sz w:val="20"/>
          <w:szCs w:val="20"/>
        </w:rPr>
        <w:t>, Food Reviews International,</w:t>
      </w:r>
      <w:r w:rsidRPr="00326303">
        <w:rPr>
          <w:rFonts w:ascii="Arial" w:hAnsi="Arial" w:cs="Arial"/>
          <w:sz w:val="20"/>
          <w:szCs w:val="20"/>
        </w:rPr>
        <w:t xml:space="preserve"> 40:3, 924-951</w:t>
      </w:r>
    </w:p>
    <w:sectPr w:rsidR="002A1CB8" w:rsidRPr="0032630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36889" w14:textId="77777777" w:rsidR="009F4953" w:rsidRDefault="009F4953" w:rsidP="00E010BD">
      <w:pPr>
        <w:spacing w:after="0" w:line="240" w:lineRule="auto"/>
      </w:pPr>
      <w:r>
        <w:separator/>
      </w:r>
    </w:p>
  </w:endnote>
  <w:endnote w:type="continuationSeparator" w:id="0">
    <w:p w14:paraId="77A50298" w14:textId="77777777" w:rsidR="009F4953" w:rsidRDefault="009F4953" w:rsidP="00E0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34B9" w14:textId="77777777" w:rsidR="003F4E6B" w:rsidRDefault="003F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147220"/>
      <w:docPartObj>
        <w:docPartGallery w:val="Page Numbers (Bottom of Page)"/>
        <w:docPartUnique/>
      </w:docPartObj>
    </w:sdtPr>
    <w:sdtEndPr>
      <w:rPr>
        <w:noProof/>
      </w:rPr>
    </w:sdtEndPr>
    <w:sdtContent>
      <w:p w14:paraId="50D2B660" w14:textId="77777777" w:rsidR="00E010BD" w:rsidRDefault="00E010BD">
        <w:pPr>
          <w:pStyle w:val="Footer"/>
          <w:jc w:val="center"/>
        </w:pPr>
        <w:r>
          <w:fldChar w:fldCharType="begin"/>
        </w:r>
        <w:r>
          <w:instrText xml:space="preserve"> PAGE   \* MERGEFORMAT </w:instrText>
        </w:r>
        <w:r>
          <w:fldChar w:fldCharType="separate"/>
        </w:r>
        <w:r w:rsidR="00C42452">
          <w:rPr>
            <w:noProof/>
          </w:rPr>
          <w:t>1</w:t>
        </w:r>
        <w:r>
          <w:rPr>
            <w:noProof/>
          </w:rPr>
          <w:fldChar w:fldCharType="end"/>
        </w:r>
      </w:p>
    </w:sdtContent>
  </w:sdt>
  <w:p w14:paraId="3EAB510C" w14:textId="77777777" w:rsidR="00E010BD" w:rsidRDefault="00E01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37CB" w14:textId="77777777" w:rsidR="003F4E6B" w:rsidRDefault="003F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9C28" w14:textId="77777777" w:rsidR="009F4953" w:rsidRDefault="009F4953" w:rsidP="00E010BD">
      <w:pPr>
        <w:spacing w:after="0" w:line="240" w:lineRule="auto"/>
      </w:pPr>
      <w:r>
        <w:separator/>
      </w:r>
    </w:p>
  </w:footnote>
  <w:footnote w:type="continuationSeparator" w:id="0">
    <w:p w14:paraId="7F974159" w14:textId="77777777" w:rsidR="009F4953" w:rsidRDefault="009F4953" w:rsidP="00E01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E2E8" w14:textId="14CB8CF2" w:rsidR="003F4E6B" w:rsidRDefault="003F4E6B">
    <w:pPr>
      <w:pStyle w:val="Header"/>
    </w:pPr>
    <w:r>
      <w:rPr>
        <w:noProof/>
      </w:rPr>
      <w:pict w14:anchorId="3C835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632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0981" w14:textId="52A5273F" w:rsidR="003F4E6B" w:rsidRDefault="003F4E6B">
    <w:pPr>
      <w:pStyle w:val="Header"/>
    </w:pPr>
    <w:r>
      <w:rPr>
        <w:noProof/>
      </w:rPr>
      <w:pict w14:anchorId="3FB66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632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27C5" w14:textId="766208A2" w:rsidR="003F4E6B" w:rsidRDefault="003F4E6B">
    <w:pPr>
      <w:pStyle w:val="Header"/>
    </w:pPr>
    <w:r>
      <w:rPr>
        <w:noProof/>
      </w:rPr>
      <w:pict w14:anchorId="467E4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632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6462B"/>
    <w:multiLevelType w:val="hybridMultilevel"/>
    <w:tmpl w:val="164E1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926"/>
    <w:rsid w:val="000A617D"/>
    <w:rsid w:val="000E6292"/>
    <w:rsid w:val="001B0DC6"/>
    <w:rsid w:val="00252E2C"/>
    <w:rsid w:val="002A1CB8"/>
    <w:rsid w:val="00326303"/>
    <w:rsid w:val="003F4E6B"/>
    <w:rsid w:val="00405A3B"/>
    <w:rsid w:val="004213B2"/>
    <w:rsid w:val="004220B9"/>
    <w:rsid w:val="00516604"/>
    <w:rsid w:val="00695685"/>
    <w:rsid w:val="008542B7"/>
    <w:rsid w:val="00914789"/>
    <w:rsid w:val="009553E3"/>
    <w:rsid w:val="00960674"/>
    <w:rsid w:val="009E6261"/>
    <w:rsid w:val="009F4953"/>
    <w:rsid w:val="00B2097D"/>
    <w:rsid w:val="00B6515A"/>
    <w:rsid w:val="00BB1926"/>
    <w:rsid w:val="00BF6CD8"/>
    <w:rsid w:val="00C42452"/>
    <w:rsid w:val="00CB1DD0"/>
    <w:rsid w:val="00DB7BE5"/>
    <w:rsid w:val="00DD54D8"/>
    <w:rsid w:val="00E0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C7880"/>
  <w15:docId w15:val="{E3E55246-170F-492C-974B-08B7163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26"/>
  </w:style>
  <w:style w:type="paragraph" w:styleId="Heading1">
    <w:name w:val="heading 1"/>
    <w:basedOn w:val="Normal"/>
    <w:next w:val="Normal"/>
    <w:link w:val="Heading1Char"/>
    <w:uiPriority w:val="9"/>
    <w:qFormat/>
    <w:rsid w:val="00BB1926"/>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26"/>
    <w:rPr>
      <w:rFonts w:asciiTheme="majorHAnsi" w:eastAsiaTheme="majorEastAsia" w:hAnsiTheme="majorHAnsi" w:cstheme="majorBidi"/>
      <w:color w:val="365F91" w:themeColor="accent1" w:themeShade="BF"/>
      <w:kern w:val="2"/>
      <w:sz w:val="40"/>
      <w:szCs w:val="40"/>
      <w14:ligatures w14:val="standardContextual"/>
    </w:rPr>
  </w:style>
  <w:style w:type="character" w:styleId="Hyperlink">
    <w:name w:val="Hyperlink"/>
    <w:basedOn w:val="DefaultParagraphFont"/>
    <w:uiPriority w:val="99"/>
    <w:unhideWhenUsed/>
    <w:rsid w:val="00BB1926"/>
    <w:rPr>
      <w:color w:val="0000FF" w:themeColor="hyperlink"/>
      <w:u w:val="single"/>
    </w:rPr>
  </w:style>
  <w:style w:type="paragraph" w:styleId="NormalWeb">
    <w:name w:val="Normal (Web)"/>
    <w:basedOn w:val="Normal"/>
    <w:uiPriority w:val="99"/>
    <w:unhideWhenUsed/>
    <w:rsid w:val="00BB192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B1926"/>
    <w:pPr>
      <w:spacing w:line="240" w:lineRule="auto"/>
    </w:pPr>
    <w:rPr>
      <w:b/>
      <w:bCs/>
      <w:color w:val="4F81BD" w:themeColor="accent1"/>
      <w:kern w:val="2"/>
      <w:sz w:val="18"/>
      <w:szCs w:val="18"/>
      <w14:ligatures w14:val="standardContextual"/>
    </w:rPr>
  </w:style>
  <w:style w:type="paragraph" w:styleId="NoSpacing">
    <w:name w:val="No Spacing"/>
    <w:uiPriority w:val="1"/>
    <w:qFormat/>
    <w:rsid w:val="00BB1926"/>
    <w:pPr>
      <w:spacing w:after="0" w:line="240" w:lineRule="auto"/>
    </w:pPr>
    <w:rPr>
      <w:kern w:val="2"/>
      <w14:ligatures w14:val="standardContextual"/>
    </w:rPr>
  </w:style>
  <w:style w:type="table" w:styleId="TableGrid">
    <w:name w:val="Table Grid"/>
    <w:basedOn w:val="TableNormal"/>
    <w:uiPriority w:val="59"/>
    <w:rsid w:val="00BB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926"/>
    <w:rPr>
      <w:b/>
      <w:bCs/>
    </w:rPr>
  </w:style>
  <w:style w:type="character" w:styleId="Emphasis">
    <w:name w:val="Emphasis"/>
    <w:basedOn w:val="DefaultParagraphFont"/>
    <w:uiPriority w:val="20"/>
    <w:qFormat/>
    <w:rsid w:val="00BB1926"/>
    <w:rPr>
      <w:i/>
      <w:iCs/>
    </w:rPr>
  </w:style>
  <w:style w:type="paragraph" w:styleId="Header">
    <w:name w:val="header"/>
    <w:basedOn w:val="Normal"/>
    <w:link w:val="HeaderChar"/>
    <w:uiPriority w:val="99"/>
    <w:unhideWhenUsed/>
    <w:rsid w:val="00E0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0BD"/>
  </w:style>
  <w:style w:type="paragraph" w:styleId="Footer">
    <w:name w:val="footer"/>
    <w:basedOn w:val="Normal"/>
    <w:link w:val="FooterChar"/>
    <w:uiPriority w:val="99"/>
    <w:unhideWhenUsed/>
    <w:rsid w:val="00E0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0BD"/>
  </w:style>
  <w:style w:type="paragraph" w:styleId="BalloonText">
    <w:name w:val="Balloon Text"/>
    <w:basedOn w:val="Normal"/>
    <w:link w:val="BalloonTextChar"/>
    <w:uiPriority w:val="99"/>
    <w:semiHidden/>
    <w:unhideWhenUsed/>
    <w:rsid w:val="00E01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0BD"/>
    <w:rPr>
      <w:rFonts w:ascii="Tahoma" w:hAnsi="Tahoma" w:cs="Tahoma"/>
      <w:sz w:val="16"/>
      <w:szCs w:val="16"/>
    </w:rPr>
  </w:style>
  <w:style w:type="paragraph" w:styleId="ListParagraph">
    <w:name w:val="List Paragraph"/>
    <w:basedOn w:val="Normal"/>
    <w:uiPriority w:val="34"/>
    <w:qFormat/>
    <w:rsid w:val="000A617D"/>
    <w:pPr>
      <w:ind w:left="720"/>
      <w:contextualSpacing/>
    </w:pPr>
  </w:style>
  <w:style w:type="character" w:styleId="UnresolvedMention">
    <w:name w:val="Unresolved Mention"/>
    <w:basedOn w:val="DefaultParagraphFont"/>
    <w:uiPriority w:val="99"/>
    <w:semiHidden/>
    <w:unhideWhenUsed/>
    <w:rsid w:val="00CB1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docx"/><Relationship Id="rId18" Type="http://schemas.openxmlformats.org/officeDocument/2006/relationships/hyperlink" Target="https://www.sciencedirect.com/journal/food-research-international/vol/105/suppl/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iencedirect.com/topics/pharmacology-toxicology-and-pharmaceutical-science/edible-mushroom" TargetMode="External"/><Relationship Id="rId12" Type="http://schemas.openxmlformats.org/officeDocument/2006/relationships/image" Target="media/image5.emf"/><Relationship Id="rId17" Type="http://schemas.openxmlformats.org/officeDocument/2006/relationships/hyperlink" Target="https://www.sciencedirect.com/journal/food-research-internation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55/2011/25805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ciencedirect.com/journal/fitoterapia/vol/81/issue/7"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ciencedirect.com/journal/fitoterapi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Pages>
  <Words>3747</Words>
  <Characters>21363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18</cp:revision>
  <dcterms:created xsi:type="dcterms:W3CDTF">2025-10-28T09:22:00Z</dcterms:created>
  <dcterms:modified xsi:type="dcterms:W3CDTF">2025-10-29T12:13:00Z</dcterms:modified>
</cp:coreProperties>
</file>