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FE36D" w14:textId="77777777" w:rsidR="00754C9A" w:rsidRDefault="00754C9A" w:rsidP="00441B6F">
      <w:pPr>
        <w:pStyle w:val="Title"/>
        <w:spacing w:after="0"/>
        <w:jc w:val="both"/>
        <w:rPr>
          <w:rFonts w:ascii="Arial" w:hAnsi="Arial" w:cs="Arial"/>
        </w:rPr>
      </w:pPr>
    </w:p>
    <w:p w14:paraId="14B7716A" w14:textId="716BC85B" w:rsidR="00785490" w:rsidRPr="00785490" w:rsidRDefault="00785490" w:rsidP="00785490">
      <w:pPr>
        <w:jc w:val="right"/>
        <w:rPr>
          <w:rFonts w:ascii="Arial" w:hAnsi="Arial" w:cs="Arial"/>
          <w:b/>
          <w:sz w:val="36"/>
        </w:rPr>
      </w:pPr>
      <w:r w:rsidRPr="00785490">
        <w:rPr>
          <w:rFonts w:ascii="Arial" w:hAnsi="Arial" w:cs="Arial"/>
          <w:b/>
          <w:sz w:val="36"/>
        </w:rPr>
        <w:t>Epidemiological overview of leprosy in Brazil: temporal analysis between the years 2013 and 2023</w:t>
      </w:r>
    </w:p>
    <w:p w14:paraId="3A70225B" w14:textId="77777777" w:rsidR="00A258C3" w:rsidRPr="00790ADA" w:rsidRDefault="00A258C3" w:rsidP="00441B6F">
      <w:pPr>
        <w:pStyle w:val="Author"/>
        <w:spacing w:line="240" w:lineRule="auto"/>
        <w:jc w:val="both"/>
        <w:rPr>
          <w:rFonts w:ascii="Arial" w:hAnsi="Arial" w:cs="Arial"/>
          <w:sz w:val="36"/>
        </w:rPr>
      </w:pPr>
    </w:p>
    <w:p w14:paraId="1552BEDE" w14:textId="672DBC59" w:rsidR="00B01FCD" w:rsidRPr="00FB3A86" w:rsidRDefault="00B01FCD" w:rsidP="00441B6F">
      <w:pPr>
        <w:pStyle w:val="Copyright"/>
        <w:spacing w:after="0" w:line="240" w:lineRule="auto"/>
        <w:jc w:val="both"/>
        <w:rPr>
          <w:rFonts w:ascii="Arial" w:hAnsi="Arial" w:cs="Arial"/>
        </w:rPr>
        <w:sectPr w:rsidR="00B01FCD" w:rsidRPr="00FB3A86" w:rsidSect="001513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27108C4" w14:textId="0743DF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6A10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A1747A" w14:textId="77777777" w:rsidTr="001E44FE">
        <w:tc>
          <w:tcPr>
            <w:tcW w:w="9576" w:type="dxa"/>
            <w:shd w:val="clear" w:color="auto" w:fill="F2F2F2"/>
          </w:tcPr>
          <w:p w14:paraId="23786F4E" w14:textId="77777777" w:rsidR="00E3114E" w:rsidRDefault="00E3114E" w:rsidP="00441B6F">
            <w:pPr>
              <w:pStyle w:val="Body"/>
              <w:spacing w:after="0"/>
              <w:rPr>
                <w:rFonts w:ascii="Arial" w:eastAsia="Calibri" w:hAnsi="Arial" w:cs="Arial"/>
                <w:b/>
                <w:szCs w:val="22"/>
              </w:rPr>
            </w:pPr>
          </w:p>
          <w:p w14:paraId="5E52D11C" w14:textId="5922E97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31EB" w:rsidRPr="007731EB">
              <w:rPr>
                <w:rFonts w:ascii="Arial" w:eastAsia="Calibri" w:hAnsi="Arial" w:cs="Arial"/>
                <w:bCs/>
                <w:szCs w:val="22"/>
              </w:rPr>
              <w:t>Analyze leprosy indicators in the Brazilian population from 2013 to 2023.</w:t>
            </w:r>
            <w:r w:rsidR="007731EB">
              <w:rPr>
                <w:rFonts w:ascii="Arial" w:eastAsia="Calibri" w:hAnsi="Arial" w:cs="Arial"/>
                <w:b/>
                <w:szCs w:val="22"/>
              </w:rPr>
              <w:t xml:space="preserve"> </w:t>
            </w:r>
          </w:p>
          <w:p w14:paraId="2A2D0DD8" w14:textId="29F6DA78" w:rsidR="00BA1B01" w:rsidRPr="007731EB" w:rsidRDefault="00BA1B01" w:rsidP="00441B6F">
            <w:pPr>
              <w:pStyle w:val="Body"/>
              <w:spacing w:after="0"/>
              <w:rPr>
                <w:rFonts w:ascii="Arial" w:eastAsia="Calibri"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7731EB" w:rsidRPr="007731EB">
              <w:rPr>
                <w:rFonts w:ascii="Arial" w:hAnsi="Arial" w:cs="Arial"/>
              </w:rPr>
              <w:t>This is a retrospective descriptive study with a quantitative approach.</w:t>
            </w:r>
          </w:p>
          <w:p w14:paraId="1D78D5D0" w14:textId="1203B201" w:rsidR="00BA1B01" w:rsidRPr="007731EB" w:rsidRDefault="00BA1B01" w:rsidP="00441B6F">
            <w:pPr>
              <w:pStyle w:val="Body"/>
              <w:spacing w:after="0"/>
              <w:rPr>
                <w:rFonts w:ascii="Arial" w:eastAsia="Calibri" w:hAnsi="Arial" w:cs="Arial"/>
              </w:rPr>
            </w:pPr>
            <w:r w:rsidRPr="007731EB">
              <w:rPr>
                <w:rFonts w:ascii="Arial" w:eastAsia="Calibri" w:hAnsi="Arial" w:cs="Arial"/>
                <w:b/>
              </w:rPr>
              <w:t>Place and Duration of Study:</w:t>
            </w:r>
            <w:r w:rsidRPr="007731EB">
              <w:rPr>
                <w:rFonts w:ascii="Arial" w:eastAsia="Calibri" w:hAnsi="Arial" w:cs="Arial"/>
              </w:rPr>
              <w:t xml:space="preserve"> </w:t>
            </w:r>
            <w:r w:rsidR="00315186" w:rsidRPr="007731EB">
              <w:rPr>
                <w:rFonts w:ascii="Arial" w:eastAsia="Calibri" w:hAnsi="Arial" w:cs="Arial"/>
              </w:rPr>
              <w:t>S</w:t>
            </w:r>
            <w:r w:rsidR="007731EB">
              <w:rPr>
                <w:rFonts w:ascii="Arial" w:eastAsia="Calibri" w:hAnsi="Arial" w:cs="Arial"/>
              </w:rPr>
              <w:t>tate university of Pará</w:t>
            </w:r>
            <w:r w:rsidR="007731EB" w:rsidRPr="007731EB">
              <w:rPr>
                <w:rFonts w:ascii="Arial" w:eastAsia="Calibri" w:hAnsi="Arial" w:cs="Arial"/>
              </w:rPr>
              <w:t>,</w:t>
            </w:r>
            <w:r w:rsidR="007731EB">
              <w:rPr>
                <w:rFonts w:ascii="Arial" w:eastAsia="Calibri" w:hAnsi="Arial" w:cs="Arial"/>
              </w:rPr>
              <w:t xml:space="preserve"> postgraduate program in parasitic biology in the Amazon,</w:t>
            </w:r>
            <w:r w:rsidRPr="007731EB">
              <w:rPr>
                <w:rFonts w:ascii="Arial" w:eastAsia="Calibri" w:hAnsi="Arial" w:cs="Arial"/>
              </w:rPr>
              <w:t xml:space="preserve"> between </w:t>
            </w:r>
            <w:proofErr w:type="spellStart"/>
            <w:r w:rsidR="007731EB">
              <w:rPr>
                <w:rFonts w:ascii="Arial" w:eastAsia="Calibri" w:hAnsi="Arial" w:cs="Arial"/>
              </w:rPr>
              <w:t>january</w:t>
            </w:r>
            <w:proofErr w:type="spellEnd"/>
            <w:r w:rsidRPr="007731EB">
              <w:rPr>
                <w:rFonts w:ascii="Arial" w:eastAsia="Calibri" w:hAnsi="Arial" w:cs="Arial"/>
              </w:rPr>
              <w:t xml:space="preserve"> 20</w:t>
            </w:r>
            <w:r w:rsidR="007731EB">
              <w:rPr>
                <w:rFonts w:ascii="Arial" w:eastAsia="Calibri" w:hAnsi="Arial" w:cs="Arial"/>
              </w:rPr>
              <w:t>25</w:t>
            </w:r>
            <w:r w:rsidRPr="007731EB">
              <w:rPr>
                <w:rFonts w:ascii="Arial" w:eastAsia="Calibri" w:hAnsi="Arial" w:cs="Arial"/>
              </w:rPr>
              <w:t xml:space="preserve"> and </w:t>
            </w:r>
            <w:proofErr w:type="spellStart"/>
            <w:r w:rsidR="007731EB">
              <w:rPr>
                <w:rFonts w:ascii="Arial" w:eastAsia="Calibri" w:hAnsi="Arial" w:cs="Arial"/>
              </w:rPr>
              <w:t>october</w:t>
            </w:r>
            <w:proofErr w:type="spellEnd"/>
            <w:r w:rsidRPr="007731EB">
              <w:rPr>
                <w:rFonts w:ascii="Arial" w:eastAsia="Calibri" w:hAnsi="Arial" w:cs="Arial"/>
              </w:rPr>
              <w:t xml:space="preserve"> 20</w:t>
            </w:r>
            <w:r w:rsidR="007731EB">
              <w:rPr>
                <w:rFonts w:ascii="Arial" w:eastAsia="Calibri" w:hAnsi="Arial" w:cs="Arial"/>
              </w:rPr>
              <w:t>25</w:t>
            </w:r>
            <w:r w:rsidRPr="007731EB">
              <w:rPr>
                <w:rFonts w:ascii="Arial" w:eastAsia="Calibri" w:hAnsi="Arial" w:cs="Arial"/>
              </w:rPr>
              <w:t>.</w:t>
            </w:r>
          </w:p>
          <w:p w14:paraId="3FAF44D6" w14:textId="375B37D1" w:rsidR="00BA1B01" w:rsidRPr="007731EB" w:rsidRDefault="00BA1B01" w:rsidP="00441B6F">
            <w:pPr>
              <w:pStyle w:val="Body"/>
              <w:spacing w:after="0"/>
              <w:rPr>
                <w:rFonts w:ascii="Arial" w:eastAsia="Calibri" w:hAnsi="Arial" w:cs="Arial"/>
              </w:rPr>
            </w:pPr>
            <w:r w:rsidRPr="007731EB">
              <w:rPr>
                <w:rFonts w:ascii="Arial" w:eastAsia="Calibri" w:hAnsi="Arial" w:cs="Arial"/>
                <w:b/>
                <w:bCs/>
              </w:rPr>
              <w:t>Methodology:</w:t>
            </w:r>
            <w:r w:rsidRPr="007731EB">
              <w:rPr>
                <w:rFonts w:ascii="Arial" w:eastAsia="Calibri" w:hAnsi="Arial" w:cs="Arial"/>
              </w:rPr>
              <w:t xml:space="preserve"> </w:t>
            </w:r>
            <w:r w:rsidR="007731EB" w:rsidRPr="007731EB">
              <w:rPr>
                <w:rFonts w:ascii="Arial" w:hAnsi="Arial" w:cs="Arial"/>
              </w:rPr>
              <w:t xml:space="preserve">The research was conducted in Brazil, which consists of 27 federal units: one federal district and 26 states, with a total of 5,570 municipalities. The following epidemiological indicators were measured: the overall detection rate of new cases per 100,000 inhabitants; the detection rate among individuals under 15 years old per 100,000 inhabitants; prevalence per 10,000 inhabitants; proportion of new cases diagnosed with grade 2 physical disability (GIF2). </w:t>
            </w:r>
          </w:p>
          <w:p w14:paraId="41F08907" w14:textId="7E6C81C8" w:rsidR="00BA1B01" w:rsidRPr="007731EB" w:rsidRDefault="00BA1B01" w:rsidP="00441B6F">
            <w:pPr>
              <w:pStyle w:val="Body"/>
              <w:spacing w:after="0"/>
              <w:rPr>
                <w:rFonts w:ascii="Arial" w:eastAsia="Calibri" w:hAnsi="Arial" w:cs="Arial"/>
                <w:b/>
                <w:bCs/>
              </w:rPr>
            </w:pPr>
            <w:r w:rsidRPr="007731EB">
              <w:rPr>
                <w:rFonts w:ascii="Arial" w:eastAsia="Calibri" w:hAnsi="Arial" w:cs="Arial"/>
                <w:b/>
                <w:bCs/>
              </w:rPr>
              <w:t>Results:</w:t>
            </w:r>
            <w:r w:rsidRPr="007731EB">
              <w:rPr>
                <w:rFonts w:ascii="Arial" w:eastAsia="Calibri" w:hAnsi="Arial" w:cs="Arial"/>
              </w:rPr>
              <w:t xml:space="preserve"> </w:t>
            </w:r>
            <w:r w:rsidR="007731EB" w:rsidRPr="007731EB">
              <w:rPr>
                <w:rFonts w:ascii="Arial" w:hAnsi="Arial" w:cs="Arial"/>
              </w:rPr>
              <w:t>Epidemiological data from SINAN were analyzed for the period between January 2013 and December 2023, revealing a gradual decline in the detection rate of new leprosy cases in Brazil (Figure 1). In 2013, the rate was 15.44 cases per 100,000 inhabitants, dropping to 10.68 cases per 100,000 in 2023. Despite the overall decline, there were notable fluctuations in detection rates, particularly in 2019, when the rate reache</w:t>
            </w:r>
            <w:bookmarkStart w:id="0" w:name="_GoBack"/>
            <w:bookmarkEnd w:id="0"/>
            <w:r w:rsidR="007731EB" w:rsidRPr="007731EB">
              <w:rPr>
                <w:rFonts w:ascii="Arial" w:hAnsi="Arial" w:cs="Arial"/>
              </w:rPr>
              <w:t>d 13.23 cases per 100,000, followed by a sharp drop in 2020 to 8.49 cases.</w:t>
            </w:r>
          </w:p>
          <w:p w14:paraId="43C5AFBA" w14:textId="35AD0CF1" w:rsidR="00785490" w:rsidRPr="007731EB" w:rsidRDefault="00BA1B01" w:rsidP="00785490">
            <w:pPr>
              <w:pStyle w:val="Body"/>
              <w:spacing w:after="0"/>
              <w:rPr>
                <w:rFonts w:ascii="Arial" w:eastAsia="Calibri" w:hAnsi="Arial" w:cs="Arial"/>
                <w:color w:val="FF0000"/>
              </w:rPr>
            </w:pPr>
            <w:r w:rsidRPr="007731EB">
              <w:rPr>
                <w:rFonts w:ascii="Arial" w:eastAsia="Calibri" w:hAnsi="Arial" w:cs="Arial"/>
                <w:b/>
                <w:bCs/>
              </w:rPr>
              <w:t>Conclusion:</w:t>
            </w:r>
            <w:r w:rsidR="007731EB" w:rsidRPr="007731EB">
              <w:rPr>
                <w:rFonts w:ascii="Arial" w:hAnsi="Arial" w:cs="Arial" w:hint="cs"/>
              </w:rPr>
              <w:t xml:space="preserve"> Leprosy remains a public health challenge, requiring ongoing investments in infrastructure, professional training, and equitable access to healthcare services. Integrated strategies aligned with other social policies can help reduce inequalities and facilitate treatment adherence.</w:t>
            </w:r>
          </w:p>
          <w:p w14:paraId="11F358C7" w14:textId="47B744CD"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2FFE5047" w14:textId="77777777" w:rsidR="00636EB2" w:rsidRDefault="00636EB2" w:rsidP="00441B6F">
      <w:pPr>
        <w:pStyle w:val="Body"/>
        <w:spacing w:after="0"/>
        <w:rPr>
          <w:rFonts w:ascii="Arial" w:hAnsi="Arial" w:cs="Arial"/>
          <w:i/>
        </w:rPr>
      </w:pPr>
    </w:p>
    <w:p w14:paraId="4A5A731B" w14:textId="03691C7D" w:rsidR="00A24E7E" w:rsidRDefault="00A24E7E" w:rsidP="00441B6F">
      <w:pPr>
        <w:pStyle w:val="Body"/>
        <w:spacing w:after="0"/>
        <w:rPr>
          <w:rFonts w:ascii="Arial" w:hAnsi="Arial" w:cs="Arial"/>
          <w:i/>
        </w:rPr>
      </w:pPr>
      <w:r>
        <w:rPr>
          <w:rFonts w:ascii="Arial" w:hAnsi="Arial" w:cs="Arial"/>
          <w:i/>
        </w:rPr>
        <w:t xml:space="preserve">Keywords: </w:t>
      </w:r>
      <w:r w:rsidR="00785490">
        <w:rPr>
          <w:rFonts w:ascii="Arial" w:hAnsi="Arial" w:cs="Arial"/>
          <w:i/>
        </w:rPr>
        <w:t xml:space="preserve">Lepra, </w:t>
      </w:r>
      <w:r w:rsidR="007731EB">
        <w:rPr>
          <w:rFonts w:ascii="Arial" w:hAnsi="Arial" w:cs="Arial"/>
          <w:i/>
        </w:rPr>
        <w:t xml:space="preserve">Epidemiology, Public health. </w:t>
      </w:r>
    </w:p>
    <w:p w14:paraId="0AFEBF4F" w14:textId="77777777" w:rsidR="00790ADA" w:rsidRDefault="00790ADA" w:rsidP="00441B6F">
      <w:pPr>
        <w:pStyle w:val="Body"/>
        <w:spacing w:after="0"/>
        <w:rPr>
          <w:rFonts w:ascii="Arial" w:hAnsi="Arial" w:cs="Arial"/>
          <w:i/>
        </w:rPr>
      </w:pPr>
    </w:p>
    <w:p w14:paraId="7BE78719" w14:textId="77777777" w:rsidR="0024282C" w:rsidRDefault="0024282C" w:rsidP="00441B6F">
      <w:pPr>
        <w:pStyle w:val="Body"/>
        <w:spacing w:after="0"/>
        <w:rPr>
          <w:rFonts w:ascii="Arial" w:hAnsi="Arial" w:cs="Arial"/>
          <w:i/>
          <w:sz w:val="18"/>
        </w:rPr>
      </w:pPr>
    </w:p>
    <w:p w14:paraId="7C36C662" w14:textId="77777777" w:rsidR="00505F06" w:rsidRPr="00A24E7E" w:rsidRDefault="00505F06" w:rsidP="00441B6F">
      <w:pPr>
        <w:pStyle w:val="Body"/>
        <w:spacing w:after="0"/>
        <w:rPr>
          <w:rFonts w:ascii="Arial" w:hAnsi="Arial" w:cs="Arial"/>
          <w:i/>
        </w:rPr>
      </w:pPr>
    </w:p>
    <w:p w14:paraId="5C65AAFD" w14:textId="4C3465B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5DA2D2" w14:textId="77777777" w:rsidR="00790ADA" w:rsidRPr="00FB3A86" w:rsidRDefault="00790ADA" w:rsidP="00441B6F">
      <w:pPr>
        <w:pStyle w:val="AbstHead"/>
        <w:spacing w:after="0"/>
        <w:jc w:val="both"/>
        <w:rPr>
          <w:rFonts w:ascii="Arial" w:hAnsi="Arial" w:cs="Arial"/>
        </w:rPr>
      </w:pPr>
    </w:p>
    <w:p w14:paraId="72C0FA3E" w14:textId="257616D8" w:rsidR="00785490" w:rsidRPr="00785490" w:rsidRDefault="00785490" w:rsidP="00785490">
      <w:pPr>
        <w:pStyle w:val="NoSpacing"/>
        <w:ind w:firstLine="720"/>
        <w:jc w:val="both"/>
        <w:rPr>
          <w:rFonts w:ascii="Arial" w:hAnsi="Arial" w:cs="Arial"/>
          <w:sz w:val="22"/>
          <w:szCs w:val="22"/>
        </w:rPr>
      </w:pPr>
      <w:r w:rsidRPr="00785490">
        <w:rPr>
          <w:rFonts w:ascii="Arial" w:hAnsi="Arial" w:cs="Arial" w:hint="cs"/>
          <w:sz w:val="22"/>
          <w:szCs w:val="22"/>
        </w:rPr>
        <w:t xml:space="preserve">Leprosy is a chronic infectious disease caused by the bacterium </w:t>
      </w:r>
      <w:r w:rsidRPr="00785490">
        <w:rPr>
          <w:rFonts w:ascii="Arial" w:hAnsi="Arial" w:cs="Arial" w:hint="cs"/>
          <w:i/>
          <w:iCs/>
          <w:sz w:val="22"/>
          <w:szCs w:val="22"/>
        </w:rPr>
        <w:t>Mycobacterium leprae</w:t>
      </w:r>
      <w:r w:rsidRPr="00785490">
        <w:rPr>
          <w:rFonts w:ascii="Arial" w:hAnsi="Arial" w:cs="Arial" w:hint="cs"/>
          <w:sz w:val="22"/>
          <w:szCs w:val="22"/>
        </w:rPr>
        <w:t>, an acid-fast bacillus that acts as an intracellular parasite, showing a particular affinity for Schwann cells and skin tissues [1]. The disease typically emerges after a long incubation period, which can range from 2 to 7 years. The main symptoms include changes in thermal, pain, and touch sensitivity; loss of muscle strength; lesions on the face, trunk, and limbs; and in more severe cases, damage to internal organs and systems [2].</w:t>
      </w:r>
    </w:p>
    <w:p w14:paraId="7524F6E0" w14:textId="77777777" w:rsidR="00785490" w:rsidRPr="00785490" w:rsidRDefault="00785490" w:rsidP="00785490">
      <w:pPr>
        <w:pStyle w:val="NoSpacing"/>
        <w:jc w:val="both"/>
        <w:rPr>
          <w:rFonts w:ascii="Arial" w:hAnsi="Arial" w:cs="Arial"/>
          <w:sz w:val="22"/>
          <w:szCs w:val="22"/>
        </w:rPr>
      </w:pPr>
    </w:p>
    <w:p w14:paraId="704D14DB" w14:textId="428ED7D2" w:rsidR="00785490" w:rsidRPr="00785490" w:rsidRDefault="00785490" w:rsidP="00785490">
      <w:pPr>
        <w:pStyle w:val="NoSpacing"/>
        <w:ind w:firstLine="720"/>
        <w:jc w:val="both"/>
        <w:rPr>
          <w:rFonts w:ascii="Arial" w:hAnsi="Arial" w:cs="Arial"/>
          <w:sz w:val="22"/>
          <w:szCs w:val="22"/>
        </w:rPr>
      </w:pPr>
      <w:r w:rsidRPr="00785490">
        <w:rPr>
          <w:rFonts w:ascii="Arial" w:hAnsi="Arial" w:cs="Arial" w:hint="cs"/>
          <w:sz w:val="22"/>
          <w:szCs w:val="22"/>
        </w:rPr>
        <w:t xml:space="preserve">In severe cases, the disease can affect vital organs and systems. Diagnosis is based on a general physical exam, observed symptoms, and complementary tests such as skin or peripheral nerve exams, </w:t>
      </w:r>
      <w:proofErr w:type="spellStart"/>
      <w:r w:rsidRPr="00785490">
        <w:rPr>
          <w:rFonts w:ascii="Arial" w:hAnsi="Arial" w:cs="Arial" w:hint="cs"/>
          <w:sz w:val="22"/>
          <w:szCs w:val="22"/>
        </w:rPr>
        <w:t>bacilloscopy</w:t>
      </w:r>
      <w:proofErr w:type="spellEnd"/>
      <w:r w:rsidRPr="00785490">
        <w:rPr>
          <w:rFonts w:ascii="Arial" w:hAnsi="Arial" w:cs="Arial" w:hint="cs"/>
          <w:sz w:val="22"/>
          <w:szCs w:val="22"/>
        </w:rPr>
        <w:t xml:space="preserve">, and histopathology. Leprosy is transmitted through respiratory droplets. In 2021, more than 140,000 new </w:t>
      </w:r>
      <w:r w:rsidRPr="00785490">
        <w:rPr>
          <w:rFonts w:ascii="Arial" w:hAnsi="Arial" w:cs="Arial" w:hint="cs"/>
          <w:sz w:val="22"/>
          <w:szCs w:val="22"/>
        </w:rPr>
        <w:lastRenderedPageBreak/>
        <w:t>cases were reported worldwide, with India ranking first in absolute case numbers, followed by Brazil. Regarding the degree of physical disability, over 7,000 cases were diagnosed with grade 2 disability (GIF2) [3].</w:t>
      </w:r>
    </w:p>
    <w:p w14:paraId="4ACBDFE9" w14:textId="77777777" w:rsidR="00785490" w:rsidRPr="00785490" w:rsidRDefault="00785490" w:rsidP="00785490">
      <w:pPr>
        <w:pStyle w:val="NoSpacing"/>
        <w:jc w:val="both"/>
        <w:rPr>
          <w:rFonts w:ascii="Arial" w:hAnsi="Arial" w:cs="Arial"/>
          <w:sz w:val="22"/>
          <w:szCs w:val="22"/>
        </w:rPr>
      </w:pPr>
    </w:p>
    <w:p w14:paraId="58260AD2" w14:textId="14631197" w:rsidR="00785490" w:rsidRPr="00785490" w:rsidRDefault="00785490" w:rsidP="00785490">
      <w:pPr>
        <w:pStyle w:val="NoSpacing"/>
        <w:ind w:firstLine="720"/>
        <w:jc w:val="both"/>
        <w:rPr>
          <w:rFonts w:ascii="Arial" w:hAnsi="Arial" w:cs="Arial"/>
        </w:rPr>
      </w:pPr>
      <w:r w:rsidRPr="00785490">
        <w:rPr>
          <w:rFonts w:ascii="Arial" w:hAnsi="Arial" w:cs="Arial" w:hint="cs"/>
          <w:sz w:val="22"/>
          <w:szCs w:val="22"/>
        </w:rPr>
        <w:t>In 2022, Brazil recorded 1,449 people diagnosed with grade 2 physical disability (GIF2) and 4,041 with grade 1 (GIF1), representing 11.6% and 32.4% of cases, respectively. It’s worth noting that the states of Mato Grosso and Tocantins have the highest rates of new case detection. Early diagnosis plays a key role in halting the progression of leprosy, helping prevent physical impairment and, in turn, reducing social, emotional, and psychological impacts, as well as lowering overall quality-of-life burdens [4</w:t>
      </w:r>
      <w:r w:rsidRPr="00785490">
        <w:rPr>
          <w:rFonts w:ascii="Arial" w:hAnsi="Arial" w:cs="Arial" w:hint="cs"/>
        </w:rPr>
        <w:t>].</w:t>
      </w:r>
    </w:p>
    <w:p w14:paraId="64480B90" w14:textId="77777777" w:rsidR="00790ADA" w:rsidRPr="00785490" w:rsidRDefault="00790ADA" w:rsidP="00441B6F">
      <w:pPr>
        <w:pStyle w:val="Body"/>
        <w:spacing w:after="0"/>
        <w:rPr>
          <w:rFonts w:ascii="Arial" w:hAnsi="Arial" w:cs="Arial"/>
        </w:rPr>
      </w:pPr>
    </w:p>
    <w:p w14:paraId="3AF0794A" w14:textId="2E0BEEF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69EDE4" w14:textId="77777777" w:rsidR="00790ADA" w:rsidRPr="00FB3A86" w:rsidRDefault="00790ADA" w:rsidP="00441B6F">
      <w:pPr>
        <w:pStyle w:val="AbstHead"/>
        <w:spacing w:after="0"/>
        <w:jc w:val="both"/>
        <w:rPr>
          <w:rFonts w:ascii="Arial" w:hAnsi="Arial" w:cs="Arial"/>
        </w:rPr>
      </w:pPr>
    </w:p>
    <w:p w14:paraId="2089308E" w14:textId="77777777" w:rsidR="00785490" w:rsidRPr="00785490" w:rsidRDefault="00785490" w:rsidP="00785490">
      <w:pPr>
        <w:pStyle w:val="Body"/>
        <w:ind w:firstLine="720"/>
        <w:rPr>
          <w:rFonts w:ascii="Arial" w:hAnsi="Arial" w:cs="Arial"/>
          <w:sz w:val="22"/>
          <w:szCs w:val="22"/>
        </w:rPr>
      </w:pPr>
      <w:r w:rsidRPr="00785490">
        <w:rPr>
          <w:rFonts w:ascii="Arial" w:hAnsi="Arial" w:cs="Arial"/>
          <w:sz w:val="22"/>
          <w:szCs w:val="22"/>
        </w:rPr>
        <w:t>This is a retrospective descriptive study with a quantitative approach. The research was conducted in Brazil, which consists of 27 federal units: one federal district and 26 states, with a total of 5,570 municipalities (IBGE, 2022). The general study population was based on notifications recorded in the Notifiable Diseases Information System (SINAN). All leprosy cases reported between 2013 and 2023 were collected. Since the data comes from a secondary database, records that were incomplete, blank, or marked as "ignored," as well as patients diagnosed with leprosy and other comorbidities, were excluded. The selection of indicators was based on the distribution of reported cases, following the structure of the dataset created from these notifications.</w:t>
      </w:r>
    </w:p>
    <w:p w14:paraId="4A188CD1" w14:textId="77777777" w:rsidR="00785490" w:rsidRPr="00785490" w:rsidRDefault="00785490" w:rsidP="00785490">
      <w:pPr>
        <w:pStyle w:val="Body"/>
        <w:ind w:firstLine="720"/>
        <w:rPr>
          <w:rFonts w:ascii="Arial" w:hAnsi="Arial" w:cs="Arial"/>
          <w:sz w:val="22"/>
          <w:szCs w:val="22"/>
        </w:rPr>
      </w:pPr>
      <w:r w:rsidRPr="00785490">
        <w:rPr>
          <w:rFonts w:ascii="Arial" w:hAnsi="Arial" w:cs="Arial"/>
          <w:sz w:val="22"/>
          <w:szCs w:val="22"/>
        </w:rPr>
        <w:t>The data collected were cleaned using Excel 2016 to eliminate inconsistencies, redundancies, and any potential mismatches in the database. Afterward, the cases were organized by year of notification and used for analysis. For this study, the number of leprosy cases was adjusted based on the population estimates provided by the Brazilian Institute of Geography and Statistics (IBGE) for each of the years reviewed.</w:t>
      </w:r>
    </w:p>
    <w:p w14:paraId="68DE8D3F" w14:textId="2ADF0C3A" w:rsidR="00790ADA" w:rsidRPr="00785490" w:rsidRDefault="00785490" w:rsidP="00785490">
      <w:pPr>
        <w:pStyle w:val="Body"/>
        <w:spacing w:after="0"/>
        <w:ind w:firstLine="720"/>
        <w:rPr>
          <w:rFonts w:ascii="Arial" w:hAnsi="Arial" w:cs="Arial"/>
          <w:sz w:val="22"/>
          <w:szCs w:val="22"/>
        </w:rPr>
      </w:pPr>
      <w:r w:rsidRPr="00785490">
        <w:rPr>
          <w:rFonts w:ascii="Arial" w:hAnsi="Arial" w:cs="Arial"/>
          <w:sz w:val="22"/>
          <w:szCs w:val="22"/>
        </w:rPr>
        <w:t>The following epidemiological indicators were measured: the overall detection rate of new cases per 100,000 inhabitants; the detection rate among individuals under 15 years old per 100,000 inhabitants; prevalence per 10,000 inhabitants; proportion of new cases diagnosed with grade 2 physical disability (GIF2); proportion of examined leprosy contacts; and proportion of new cases cured. A descriptive analysis of the results was then conducted to generate line charts aimed at characterizing the behavior of annual case series. A line chart in a time series displays the values of a given variable for each year in the evaluated period, in sequence, connected by a single line. Trend analysis was performed using a simple linear regression model, and predictive data patterns were assessed through a trend line, which revealed patterns within the analyzed data. Ethical review was not required for this study, as it used publicly available data.</w:t>
      </w:r>
    </w:p>
    <w:p w14:paraId="34AF0DC4" w14:textId="094E0D57" w:rsidR="00AA74E0" w:rsidRPr="00785490" w:rsidRDefault="00AA74E0" w:rsidP="00441B6F">
      <w:pPr>
        <w:pStyle w:val="Body"/>
        <w:spacing w:after="0"/>
        <w:rPr>
          <w:rFonts w:ascii="Arial" w:hAnsi="Arial" w:cs="Arial"/>
          <w:sz w:val="22"/>
          <w:szCs w:val="22"/>
        </w:rPr>
      </w:pPr>
    </w:p>
    <w:p w14:paraId="3AAFF125" w14:textId="77777777" w:rsidR="00790ADA" w:rsidRPr="00785490" w:rsidRDefault="00790ADA" w:rsidP="00441B6F">
      <w:pPr>
        <w:pStyle w:val="Body"/>
        <w:spacing w:after="0"/>
        <w:rPr>
          <w:rFonts w:ascii="Arial" w:hAnsi="Arial" w:cs="Arial"/>
          <w:sz w:val="22"/>
          <w:szCs w:val="22"/>
        </w:rPr>
      </w:pPr>
    </w:p>
    <w:p w14:paraId="0AC2E339" w14:textId="77777777" w:rsidR="00902823" w:rsidRPr="00785490" w:rsidRDefault="00000F8F" w:rsidP="00441B6F">
      <w:pPr>
        <w:pStyle w:val="Head1"/>
        <w:spacing w:after="0"/>
        <w:jc w:val="both"/>
        <w:rPr>
          <w:rFonts w:ascii="Arial" w:hAnsi="Arial" w:cs="Arial"/>
          <w:szCs w:val="22"/>
        </w:rPr>
      </w:pPr>
      <w:r w:rsidRPr="00785490">
        <w:rPr>
          <w:rFonts w:ascii="Arial" w:hAnsi="Arial" w:cs="Arial"/>
          <w:szCs w:val="22"/>
        </w:rPr>
        <w:t>3</w:t>
      </w:r>
      <w:r w:rsidR="00902823" w:rsidRPr="00785490">
        <w:rPr>
          <w:rFonts w:ascii="Arial" w:hAnsi="Arial" w:cs="Arial"/>
          <w:szCs w:val="22"/>
        </w:rPr>
        <w:t xml:space="preserve">. </w:t>
      </w:r>
      <w:r w:rsidRPr="00785490">
        <w:rPr>
          <w:rFonts w:ascii="Arial" w:hAnsi="Arial" w:cs="Arial"/>
          <w:szCs w:val="22"/>
        </w:rPr>
        <w:t>results and discussion</w:t>
      </w:r>
    </w:p>
    <w:p w14:paraId="7193BFD2" w14:textId="77777777" w:rsidR="00790ADA" w:rsidRPr="00785490" w:rsidRDefault="00790ADA" w:rsidP="00441B6F">
      <w:pPr>
        <w:pStyle w:val="Head1"/>
        <w:spacing w:after="0"/>
        <w:jc w:val="both"/>
        <w:rPr>
          <w:rFonts w:ascii="Arial" w:hAnsi="Arial" w:cs="Arial"/>
          <w:szCs w:val="22"/>
        </w:rPr>
      </w:pPr>
    </w:p>
    <w:p w14:paraId="60B2AF3E" w14:textId="4CB0ACA7" w:rsidR="00785490" w:rsidRPr="00785490" w:rsidRDefault="00785490" w:rsidP="00785490">
      <w:pPr>
        <w:pStyle w:val="Body"/>
        <w:rPr>
          <w:rFonts w:ascii="Arial" w:hAnsi="Arial" w:cs="Arial"/>
          <w:sz w:val="22"/>
          <w:szCs w:val="22"/>
        </w:rPr>
      </w:pPr>
      <w:r w:rsidRPr="00785490">
        <w:rPr>
          <w:rFonts w:ascii="Arial" w:hAnsi="Arial" w:cs="Arial"/>
          <w:sz w:val="22"/>
          <w:szCs w:val="22"/>
        </w:rPr>
        <w:t>3.1 Overall detection rate of new leprosy cases per 100,000 inhabitants</w:t>
      </w:r>
    </w:p>
    <w:p w14:paraId="23D18290" w14:textId="41F9D1F7" w:rsidR="00790ADA" w:rsidRPr="00785490" w:rsidRDefault="00785490" w:rsidP="00785490">
      <w:pPr>
        <w:pStyle w:val="Body"/>
        <w:spacing w:after="0"/>
        <w:rPr>
          <w:rFonts w:ascii="Arial" w:hAnsi="Arial" w:cs="Arial"/>
          <w:sz w:val="22"/>
          <w:szCs w:val="22"/>
        </w:rPr>
      </w:pPr>
      <w:r w:rsidRPr="00785490">
        <w:rPr>
          <w:rFonts w:ascii="Arial" w:hAnsi="Arial" w:cs="Arial"/>
          <w:sz w:val="22"/>
          <w:szCs w:val="22"/>
        </w:rPr>
        <w:lastRenderedPageBreak/>
        <w:t>Epidemiological data from SINAN were analyzed for the period between January 2013 and December 2023, revealing a gradual decline in the detection rate of new leprosy cases in Brazil (Figure 1). In 2013, the rate was 15.44 cases per 100,000 inhabitants, dropping to 10.68 cases per 100,000 in 2023. Despite the overall decline, there were notable fluctuations in detection rates, particularly in 2019, when the rate reached 13.23 cases per 100,000, followed by a sharp drop in 2020 to 8.49 cases. These figures then began to gradually rise again in subsequent years. The linear trend shown in the graph reinforces a steady downward trajectory. It suggests moderate progress in leprosy control over the period, pointing to advances in public policy and diagnostics while also highlighting potential underreporting or limitations within Brazil’s healthcare services.</w:t>
      </w:r>
    </w:p>
    <w:p w14:paraId="2E90BD71" w14:textId="77777777" w:rsidR="00785490" w:rsidRPr="00785490" w:rsidRDefault="00785490" w:rsidP="00785490">
      <w:pPr>
        <w:pStyle w:val="Body"/>
        <w:rPr>
          <w:rFonts w:ascii="Arial" w:hAnsi="Arial" w:cs="Arial"/>
          <w:sz w:val="22"/>
          <w:szCs w:val="22"/>
        </w:rPr>
      </w:pPr>
      <w:r w:rsidRPr="00785490">
        <w:rPr>
          <w:rFonts w:ascii="Arial" w:hAnsi="Arial" w:cs="Arial"/>
          <w:sz w:val="22"/>
          <w:szCs w:val="22"/>
        </w:rPr>
        <w:t>Detection rate among individuals under 15 years old (per 100,000 inhabitants)</w:t>
      </w:r>
    </w:p>
    <w:p w14:paraId="01C05499" w14:textId="77777777" w:rsidR="00785490" w:rsidRPr="00785490" w:rsidRDefault="00785490" w:rsidP="00785490">
      <w:pPr>
        <w:pStyle w:val="Body"/>
        <w:rPr>
          <w:rFonts w:ascii="Arial" w:hAnsi="Arial" w:cs="Arial"/>
          <w:sz w:val="22"/>
          <w:szCs w:val="22"/>
        </w:rPr>
      </w:pPr>
      <w:r w:rsidRPr="00785490">
        <w:rPr>
          <w:rFonts w:ascii="Arial" w:hAnsi="Arial" w:cs="Arial"/>
          <w:sz w:val="22"/>
          <w:szCs w:val="22"/>
        </w:rPr>
        <w:t>Detection among individuals under 15 years old is a key indicator for measuring recent active transmission of the disease. Over the period analyzed, there was a significant decline from 5.03 cases per 100,000 inhabitants in 2013 to 2.18 cases per 100,000 in 2023. This decrease reflects meaningful progress in controlling transmission, possibly due to improved identification of early-stage cases and effective contact treatment. However, the persistence of cases in this age group indicates that leprosy continues to be transmitted in certain areas, underscoring the need for more effective regional strategies to break the chain of transmission.</w:t>
      </w:r>
    </w:p>
    <w:p w14:paraId="4A7A1C11" w14:textId="48434C02" w:rsidR="00785490" w:rsidRPr="00785490" w:rsidRDefault="00785490" w:rsidP="00785490">
      <w:pPr>
        <w:pStyle w:val="Body"/>
        <w:rPr>
          <w:rFonts w:ascii="Arial" w:hAnsi="Arial" w:cs="Arial"/>
          <w:sz w:val="22"/>
          <w:szCs w:val="22"/>
        </w:rPr>
      </w:pPr>
      <w:r w:rsidRPr="00785490">
        <w:rPr>
          <w:rFonts w:ascii="Arial" w:hAnsi="Arial" w:cs="Arial"/>
          <w:sz w:val="22"/>
          <w:szCs w:val="22"/>
        </w:rPr>
        <w:t>3.2 Prevalence rate (per 10,000 inhabitants)</w:t>
      </w:r>
    </w:p>
    <w:p w14:paraId="087649C5" w14:textId="3DAC58F8" w:rsidR="00785490" w:rsidRPr="00785490" w:rsidRDefault="00785490" w:rsidP="00785490">
      <w:pPr>
        <w:pStyle w:val="Body"/>
        <w:spacing w:after="0"/>
        <w:rPr>
          <w:rFonts w:ascii="Arial" w:hAnsi="Arial" w:cs="Arial"/>
          <w:sz w:val="22"/>
          <w:szCs w:val="22"/>
        </w:rPr>
      </w:pPr>
      <w:r w:rsidRPr="00785490">
        <w:rPr>
          <w:rFonts w:ascii="Arial" w:hAnsi="Arial" w:cs="Arial"/>
          <w:sz w:val="22"/>
          <w:szCs w:val="22"/>
        </w:rPr>
        <w:t>The prevalence rate followed a similar downward trend, decreasing from 1.42 per 10,000 inhabitants in 2013 to 1.21 per 10,000 in 2023. Despite this reduction, the rate has leveled off at still-concerning levels. Figure 1 presents trend lines that support the overall decline over time but also indicate that the pace of decrease has slowed in recent years.</w:t>
      </w:r>
    </w:p>
    <w:p w14:paraId="79CE4C44" w14:textId="77777777" w:rsidR="00785490" w:rsidRPr="00785490" w:rsidRDefault="00785490" w:rsidP="00785490">
      <w:pPr>
        <w:pStyle w:val="Body"/>
        <w:spacing w:after="0"/>
        <w:rPr>
          <w:rFonts w:ascii="Arial" w:hAnsi="Arial" w:cs="Arial"/>
          <w:sz w:val="22"/>
          <w:szCs w:val="22"/>
        </w:rPr>
      </w:pPr>
    </w:p>
    <w:p w14:paraId="378A8C34" w14:textId="2C0CFE61" w:rsidR="00863BD3" w:rsidRPr="00785490" w:rsidRDefault="00413E93" w:rsidP="00441B6F">
      <w:pPr>
        <w:tabs>
          <w:tab w:val="left" w:pos="1080"/>
        </w:tabs>
        <w:jc w:val="both"/>
        <w:rPr>
          <w:rFonts w:ascii="Arial" w:hAnsi="Arial"/>
          <w:b/>
          <w:sz w:val="22"/>
          <w:szCs w:val="22"/>
        </w:rPr>
      </w:pPr>
      <w:r>
        <w:rPr>
          <w:rFonts w:ascii="Arial" w:hAnsi="Arial"/>
          <w:b/>
          <w:sz w:val="22"/>
          <w:szCs w:val="22"/>
        </w:rPr>
        <w:t xml:space="preserve">Figure </w:t>
      </w:r>
      <w:r w:rsidR="00785490" w:rsidRPr="00785490">
        <w:rPr>
          <w:rFonts w:ascii="Arial" w:hAnsi="Arial"/>
          <w:b/>
          <w:sz w:val="22"/>
          <w:szCs w:val="22"/>
        </w:rPr>
        <w:t>1. Detection rate of new leprosy cases and among individuals under 15 years old per 100,000 inhabitants, and prevalence rate per 10,000 inhabitants, Brazil, 2013 to 2023.</w:t>
      </w:r>
    </w:p>
    <w:p w14:paraId="0F5A29A6" w14:textId="77777777" w:rsidR="00785490" w:rsidRDefault="00785490" w:rsidP="00441B6F">
      <w:pPr>
        <w:tabs>
          <w:tab w:val="left" w:pos="1080"/>
        </w:tabs>
        <w:jc w:val="both"/>
        <w:rPr>
          <w:rFonts w:ascii="Arial" w:hAnsi="Arial"/>
          <w:b/>
        </w:rPr>
      </w:pPr>
    </w:p>
    <w:p w14:paraId="0C1C02DC" w14:textId="0D659245" w:rsidR="00785490" w:rsidRDefault="00785490" w:rsidP="00785490">
      <w:pPr>
        <w:tabs>
          <w:tab w:val="left" w:pos="1080"/>
        </w:tabs>
        <w:jc w:val="center"/>
        <w:rPr>
          <w:rFonts w:ascii="Arial" w:hAnsi="Arial"/>
          <w:b/>
        </w:rPr>
      </w:pPr>
      <w:r>
        <w:rPr>
          <w:noProof/>
        </w:rPr>
        <w:lastRenderedPageBreak/>
        <w:drawing>
          <wp:inline distT="0" distB="0" distL="0" distR="0" wp14:anchorId="0CA90C3B" wp14:editId="5B9278EF">
            <wp:extent cx="4372108" cy="2568575"/>
            <wp:effectExtent l="0" t="0" r="0" b="0"/>
            <wp:docPr id="17331057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05723" name=""/>
                    <pic:cNvPicPr/>
                  </pic:nvPicPr>
                  <pic:blipFill>
                    <a:blip r:embed="rId14"/>
                    <a:stretch>
                      <a:fillRect/>
                    </a:stretch>
                  </pic:blipFill>
                  <pic:spPr>
                    <a:xfrm>
                      <a:off x="0" y="0"/>
                      <a:ext cx="4382673" cy="2574782"/>
                    </a:xfrm>
                    <a:prstGeom prst="rect">
                      <a:avLst/>
                    </a:prstGeom>
                  </pic:spPr>
                </pic:pic>
              </a:graphicData>
            </a:graphic>
          </wp:inline>
        </w:drawing>
      </w:r>
    </w:p>
    <w:p w14:paraId="161A1559" w14:textId="2843645B" w:rsidR="00785490" w:rsidRPr="00785490" w:rsidRDefault="00785490" w:rsidP="00441B6F">
      <w:pPr>
        <w:tabs>
          <w:tab w:val="left" w:pos="1080"/>
        </w:tabs>
        <w:jc w:val="both"/>
        <w:rPr>
          <w:rFonts w:ascii="Arial" w:hAnsi="Arial"/>
          <w:bCs/>
          <w:sz w:val="22"/>
          <w:szCs w:val="22"/>
        </w:rPr>
      </w:pPr>
      <w:r w:rsidRPr="00785490">
        <w:rPr>
          <w:rFonts w:ascii="Arial" w:hAnsi="Arial"/>
          <w:bCs/>
          <w:sz w:val="22"/>
          <w:szCs w:val="22"/>
        </w:rPr>
        <w:t>SOURCE: Sinan/SVS-MS</w:t>
      </w:r>
    </w:p>
    <w:p w14:paraId="59318214" w14:textId="77777777" w:rsidR="00863BD3" w:rsidRPr="00785490" w:rsidRDefault="00863BD3" w:rsidP="00441B6F">
      <w:pPr>
        <w:tabs>
          <w:tab w:val="left" w:pos="1080"/>
        </w:tabs>
        <w:jc w:val="both"/>
        <w:rPr>
          <w:rFonts w:ascii="Arial" w:hAnsi="Arial"/>
          <w:b/>
          <w:sz w:val="22"/>
          <w:szCs w:val="22"/>
        </w:rPr>
      </w:pPr>
    </w:p>
    <w:p w14:paraId="16BC7BEE" w14:textId="23A8F446"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3.3 Proportion of new cases diagnosed with grade 2 physical disability (GIF2)</w:t>
      </w:r>
    </w:p>
    <w:p w14:paraId="57EB0B23" w14:textId="77777777" w:rsidR="00785490" w:rsidRPr="00785490" w:rsidRDefault="00785490" w:rsidP="00785490">
      <w:pPr>
        <w:tabs>
          <w:tab w:val="left" w:pos="1080"/>
        </w:tabs>
        <w:jc w:val="both"/>
        <w:rPr>
          <w:rFonts w:ascii="Arial" w:hAnsi="Arial"/>
          <w:bCs/>
          <w:sz w:val="22"/>
          <w:szCs w:val="22"/>
        </w:rPr>
      </w:pPr>
    </w:p>
    <w:p w14:paraId="2DFC2903" w14:textId="6F1727F6"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The proportion of cases diagnosed with grade 2 physical disability (GIF2) increased from 7.3% in 2013 to 11.2% in 2023 (Figure 2). Both the metric for cases assessed at diagnosis and the GIF2 rate displayed a matching trend line. However, when examining the number of assessed cases in isolation, there was a decline—from 88.1 new leprosy cases evaluated in 2013 to 85.3 in 2023. This drop suggests a diagnostic gap, indicating late-stage assessments that contribute to the rising proportion of new GIF2 cases.</w:t>
      </w:r>
    </w:p>
    <w:p w14:paraId="5A15736E" w14:textId="77777777" w:rsidR="00785490" w:rsidRPr="00785490" w:rsidRDefault="00785490" w:rsidP="00785490">
      <w:pPr>
        <w:tabs>
          <w:tab w:val="left" w:pos="1080"/>
        </w:tabs>
        <w:jc w:val="both"/>
        <w:rPr>
          <w:rFonts w:ascii="Arial" w:hAnsi="Arial"/>
          <w:bCs/>
          <w:sz w:val="22"/>
          <w:szCs w:val="22"/>
        </w:rPr>
      </w:pPr>
    </w:p>
    <w:p w14:paraId="2C6D7260" w14:textId="5BA63CB6" w:rsidR="00785490" w:rsidRPr="00785490" w:rsidRDefault="00413E93" w:rsidP="00785490">
      <w:pPr>
        <w:tabs>
          <w:tab w:val="left" w:pos="1080"/>
        </w:tabs>
        <w:jc w:val="both"/>
        <w:rPr>
          <w:rFonts w:ascii="Arial" w:hAnsi="Arial"/>
          <w:b/>
          <w:sz w:val="22"/>
          <w:szCs w:val="22"/>
        </w:rPr>
      </w:pPr>
      <w:proofErr w:type="gramStart"/>
      <w:r w:rsidRPr="00413E93">
        <w:rPr>
          <w:rFonts w:ascii="Arial" w:hAnsi="Arial"/>
          <w:b/>
          <w:sz w:val="22"/>
          <w:szCs w:val="22"/>
        </w:rPr>
        <w:t xml:space="preserve">Figure  </w:t>
      </w:r>
      <w:r w:rsidR="00785490" w:rsidRPr="00785490">
        <w:rPr>
          <w:rFonts w:ascii="Arial" w:hAnsi="Arial"/>
          <w:b/>
          <w:sz w:val="22"/>
          <w:szCs w:val="22"/>
        </w:rPr>
        <w:t>2</w:t>
      </w:r>
      <w:proofErr w:type="gramEnd"/>
      <w:r w:rsidR="00785490" w:rsidRPr="00785490">
        <w:rPr>
          <w:rFonts w:ascii="Arial" w:hAnsi="Arial"/>
          <w:b/>
          <w:sz w:val="22"/>
          <w:szCs w:val="22"/>
        </w:rPr>
        <w:t xml:space="preserve"> - Proportion of new leprosy cases assessed and diagnosed with grade 2 physical disability, Brazil, 2013 to 2023.</w:t>
      </w:r>
    </w:p>
    <w:p w14:paraId="458FAD8F" w14:textId="77777777" w:rsidR="00785490" w:rsidRPr="00785490" w:rsidRDefault="00785490" w:rsidP="00785490">
      <w:pPr>
        <w:tabs>
          <w:tab w:val="left" w:pos="1080"/>
        </w:tabs>
        <w:jc w:val="both"/>
        <w:rPr>
          <w:rFonts w:ascii="Arial" w:hAnsi="Arial"/>
          <w:b/>
          <w:sz w:val="22"/>
          <w:szCs w:val="22"/>
        </w:rPr>
      </w:pPr>
    </w:p>
    <w:p w14:paraId="1037B9E5" w14:textId="77777777" w:rsidR="00785490" w:rsidRPr="00785490" w:rsidRDefault="00785490" w:rsidP="00785490">
      <w:pPr>
        <w:tabs>
          <w:tab w:val="left" w:pos="1080"/>
        </w:tabs>
        <w:jc w:val="both"/>
        <w:rPr>
          <w:rFonts w:ascii="Arial" w:hAnsi="Arial"/>
          <w:b/>
          <w:sz w:val="22"/>
          <w:szCs w:val="22"/>
        </w:rPr>
      </w:pPr>
    </w:p>
    <w:p w14:paraId="0850E490" w14:textId="7EB58B41" w:rsidR="00785490" w:rsidRPr="00785490" w:rsidRDefault="00785490" w:rsidP="00785490">
      <w:pPr>
        <w:tabs>
          <w:tab w:val="left" w:pos="1080"/>
        </w:tabs>
        <w:jc w:val="center"/>
        <w:rPr>
          <w:rFonts w:ascii="Arial" w:hAnsi="Arial"/>
          <w:b/>
          <w:sz w:val="22"/>
          <w:szCs w:val="22"/>
        </w:rPr>
      </w:pPr>
      <w:r w:rsidRPr="00785490">
        <w:rPr>
          <w:rFonts w:ascii="Arial" w:hAnsi="Arial"/>
          <w:b/>
          <w:noProof/>
          <w:sz w:val="22"/>
          <w:szCs w:val="22"/>
        </w:rPr>
        <w:lastRenderedPageBreak/>
        <w:drawing>
          <wp:inline distT="0" distB="0" distL="0" distR="0" wp14:anchorId="15AC388C" wp14:editId="51C9AF1D">
            <wp:extent cx="4264024" cy="3072809"/>
            <wp:effectExtent l="0" t="0" r="0" b="0"/>
            <wp:docPr id="12321406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40632" name=""/>
                    <pic:cNvPicPr/>
                  </pic:nvPicPr>
                  <pic:blipFill rotWithShape="1">
                    <a:blip r:embed="rId15"/>
                    <a:srcRect t="11200" b="8869"/>
                    <a:stretch/>
                  </pic:blipFill>
                  <pic:spPr bwMode="auto">
                    <a:xfrm>
                      <a:off x="0" y="0"/>
                      <a:ext cx="4297181" cy="3096703"/>
                    </a:xfrm>
                    <a:prstGeom prst="rect">
                      <a:avLst/>
                    </a:prstGeom>
                    <a:ln>
                      <a:noFill/>
                    </a:ln>
                    <a:extLst>
                      <a:ext uri="{53640926-AAD7-44D8-BBD7-CCE9431645EC}">
                        <a14:shadowObscured xmlns:a14="http://schemas.microsoft.com/office/drawing/2010/main"/>
                      </a:ext>
                    </a:extLst>
                  </pic:spPr>
                </pic:pic>
              </a:graphicData>
            </a:graphic>
          </wp:inline>
        </w:drawing>
      </w:r>
    </w:p>
    <w:p w14:paraId="3CB1CFE7" w14:textId="1D41FE2E" w:rsidR="00785490" w:rsidRPr="00785490" w:rsidRDefault="00785490" w:rsidP="00785490">
      <w:pPr>
        <w:tabs>
          <w:tab w:val="left" w:pos="1080"/>
        </w:tabs>
        <w:jc w:val="both"/>
        <w:rPr>
          <w:rFonts w:ascii="Arial" w:hAnsi="Arial"/>
          <w:bCs/>
          <w:sz w:val="22"/>
          <w:szCs w:val="22"/>
        </w:rPr>
      </w:pPr>
      <w:r w:rsidRPr="00785490">
        <w:rPr>
          <w:rFonts w:ascii="Arial" w:hAnsi="Arial"/>
          <w:b/>
          <w:sz w:val="22"/>
          <w:szCs w:val="22"/>
        </w:rPr>
        <w:t xml:space="preserve">      </w:t>
      </w:r>
      <w:r w:rsidRPr="00785490">
        <w:rPr>
          <w:rFonts w:ascii="Arial" w:hAnsi="Arial"/>
          <w:bCs/>
          <w:sz w:val="22"/>
          <w:szCs w:val="22"/>
        </w:rPr>
        <w:t>SOURCE: Sinan/SVS-MS</w:t>
      </w:r>
    </w:p>
    <w:p w14:paraId="10314D12" w14:textId="77777777" w:rsidR="00785490" w:rsidRPr="00785490" w:rsidRDefault="00785490" w:rsidP="00785490">
      <w:pPr>
        <w:tabs>
          <w:tab w:val="left" w:pos="1080"/>
        </w:tabs>
        <w:jc w:val="both"/>
        <w:rPr>
          <w:rFonts w:ascii="Arial" w:hAnsi="Arial"/>
          <w:b/>
          <w:sz w:val="22"/>
          <w:szCs w:val="22"/>
        </w:rPr>
      </w:pPr>
    </w:p>
    <w:p w14:paraId="7068FE59" w14:textId="1DC3E0D0"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 xml:space="preserve">3.4 Proportion of examined leprosy contacts among those registered during cohort years, Brazil, 2013 to 2023. </w:t>
      </w:r>
    </w:p>
    <w:p w14:paraId="5BBE91F8" w14:textId="77777777" w:rsidR="00785490" w:rsidRPr="00785490" w:rsidRDefault="00785490" w:rsidP="00785490">
      <w:pPr>
        <w:tabs>
          <w:tab w:val="left" w:pos="1080"/>
        </w:tabs>
        <w:jc w:val="both"/>
        <w:rPr>
          <w:rFonts w:ascii="Arial" w:hAnsi="Arial"/>
          <w:b/>
          <w:sz w:val="22"/>
          <w:szCs w:val="22"/>
        </w:rPr>
      </w:pPr>
    </w:p>
    <w:p w14:paraId="1895A9E3" w14:textId="3AE97C26" w:rsidR="00785490" w:rsidRPr="00785490" w:rsidRDefault="00785490" w:rsidP="00785490">
      <w:pPr>
        <w:tabs>
          <w:tab w:val="left" w:pos="1080"/>
        </w:tabs>
        <w:jc w:val="both"/>
        <w:rPr>
          <w:rFonts w:ascii="Arial" w:hAnsi="Arial"/>
          <w:bCs/>
          <w:sz w:val="22"/>
          <w:szCs w:val="22"/>
        </w:rPr>
      </w:pPr>
      <w:r w:rsidRPr="00785490">
        <w:rPr>
          <w:rFonts w:ascii="Arial" w:hAnsi="Arial"/>
          <w:bCs/>
          <w:sz w:val="22"/>
          <w:szCs w:val="22"/>
        </w:rPr>
        <w:t xml:space="preserve">           The proportion of contacts of new leprosy cases who were assessed showed moderate growth, rising from 75.1% in 2013 to 79.7% in 2023 (Figure 3). Despite this progress, the rate remains below the ideal threshold for breaking the leprosy transmission chain. It is worth noting that during the pandemic period, from 2020 to 2022, there was a slight decline in contact examinations, followed by a slow recovery in the years that followed.</w:t>
      </w:r>
    </w:p>
    <w:p w14:paraId="6DB31DC5" w14:textId="77777777" w:rsidR="00785490" w:rsidRPr="00785490" w:rsidRDefault="00785490" w:rsidP="00785490">
      <w:pPr>
        <w:tabs>
          <w:tab w:val="left" w:pos="1080"/>
        </w:tabs>
        <w:jc w:val="both"/>
        <w:rPr>
          <w:rFonts w:ascii="Arial" w:hAnsi="Arial"/>
          <w:bCs/>
          <w:sz w:val="22"/>
          <w:szCs w:val="22"/>
        </w:rPr>
      </w:pPr>
    </w:p>
    <w:p w14:paraId="6BF47AC9" w14:textId="1ECD3C62" w:rsidR="00863BD3" w:rsidRPr="00785490" w:rsidRDefault="00413E93" w:rsidP="00785490">
      <w:pPr>
        <w:tabs>
          <w:tab w:val="left" w:pos="1080"/>
        </w:tabs>
        <w:jc w:val="both"/>
        <w:rPr>
          <w:rFonts w:ascii="Arial" w:hAnsi="Arial"/>
          <w:b/>
          <w:sz w:val="22"/>
          <w:szCs w:val="22"/>
        </w:rPr>
      </w:pPr>
      <w:proofErr w:type="gramStart"/>
      <w:r w:rsidRPr="00413E93">
        <w:rPr>
          <w:rFonts w:ascii="Arial" w:hAnsi="Arial"/>
          <w:b/>
          <w:sz w:val="22"/>
          <w:szCs w:val="22"/>
        </w:rPr>
        <w:t xml:space="preserve">Figure  </w:t>
      </w:r>
      <w:r w:rsidR="00785490" w:rsidRPr="00785490">
        <w:rPr>
          <w:rFonts w:ascii="Arial" w:hAnsi="Arial"/>
          <w:b/>
          <w:sz w:val="22"/>
          <w:szCs w:val="22"/>
        </w:rPr>
        <w:t>3</w:t>
      </w:r>
      <w:proofErr w:type="gramEnd"/>
      <w:r w:rsidR="00785490" w:rsidRPr="00785490">
        <w:rPr>
          <w:rFonts w:ascii="Arial" w:hAnsi="Arial"/>
          <w:b/>
          <w:sz w:val="22"/>
          <w:szCs w:val="22"/>
        </w:rPr>
        <w:t xml:space="preserve">: Proportion of examined leprosy contacts among those registered in cohort years, Brazil, 2013 to 2023. </w:t>
      </w:r>
    </w:p>
    <w:p w14:paraId="23B373AC" w14:textId="110DD203" w:rsidR="00376BBE" w:rsidRPr="00785490" w:rsidRDefault="00785490" w:rsidP="00785490">
      <w:pPr>
        <w:pStyle w:val="Body"/>
        <w:spacing w:after="0"/>
        <w:jc w:val="center"/>
        <w:rPr>
          <w:rFonts w:ascii="Arial" w:hAnsi="Arial" w:cs="Arial"/>
          <w:sz w:val="22"/>
          <w:szCs w:val="22"/>
        </w:rPr>
      </w:pPr>
      <w:r w:rsidRPr="00785490">
        <w:rPr>
          <w:rFonts w:ascii="Arial" w:hAnsi="Arial" w:cs="Arial"/>
          <w:noProof/>
          <w:sz w:val="22"/>
          <w:szCs w:val="22"/>
        </w:rPr>
        <w:lastRenderedPageBreak/>
        <w:drawing>
          <wp:inline distT="0" distB="0" distL="0" distR="0" wp14:anchorId="5A3E7F7A" wp14:editId="5760D400">
            <wp:extent cx="3986397" cy="2891424"/>
            <wp:effectExtent l="0" t="0" r="0" b="0"/>
            <wp:docPr id="16390771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77150" name=""/>
                    <pic:cNvPicPr/>
                  </pic:nvPicPr>
                  <pic:blipFill rotWithShape="1">
                    <a:blip r:embed="rId16"/>
                    <a:srcRect b="16001"/>
                    <a:stretch/>
                  </pic:blipFill>
                  <pic:spPr bwMode="auto">
                    <a:xfrm>
                      <a:off x="0" y="0"/>
                      <a:ext cx="4009864" cy="2908445"/>
                    </a:xfrm>
                    <a:prstGeom prst="rect">
                      <a:avLst/>
                    </a:prstGeom>
                    <a:ln>
                      <a:noFill/>
                    </a:ln>
                    <a:extLst>
                      <a:ext uri="{53640926-AAD7-44D8-BBD7-CCE9431645EC}">
                        <a14:shadowObscured xmlns:a14="http://schemas.microsoft.com/office/drawing/2010/main"/>
                      </a:ext>
                    </a:extLst>
                  </pic:spPr>
                </pic:pic>
              </a:graphicData>
            </a:graphic>
          </wp:inline>
        </w:drawing>
      </w:r>
    </w:p>
    <w:p w14:paraId="6D533D1D" w14:textId="77777777" w:rsidR="00785490" w:rsidRPr="00785490" w:rsidRDefault="00785490" w:rsidP="00785490">
      <w:pPr>
        <w:pStyle w:val="Body"/>
        <w:spacing w:after="0"/>
        <w:jc w:val="center"/>
        <w:rPr>
          <w:rFonts w:ascii="Arial" w:hAnsi="Arial" w:cs="Arial"/>
          <w:sz w:val="22"/>
          <w:szCs w:val="22"/>
        </w:rPr>
      </w:pPr>
    </w:p>
    <w:p w14:paraId="6F9685CB" w14:textId="50A1A069" w:rsidR="00785490" w:rsidRPr="00785490" w:rsidRDefault="00785490" w:rsidP="00785490">
      <w:pPr>
        <w:ind w:right="255"/>
        <w:jc w:val="both"/>
        <w:rPr>
          <w:rFonts w:ascii="Times New Roman" w:hAnsi="Times New Roman"/>
          <w:sz w:val="22"/>
          <w:szCs w:val="22"/>
        </w:rPr>
      </w:pPr>
      <w:r w:rsidRPr="00785490">
        <w:rPr>
          <w:rFonts w:ascii="Times New Roman" w:hAnsi="Times New Roman"/>
          <w:sz w:val="22"/>
          <w:szCs w:val="22"/>
        </w:rPr>
        <w:t xml:space="preserve">                SOURCE: Sinan/SVS-MS</w:t>
      </w:r>
    </w:p>
    <w:p w14:paraId="52D52534" w14:textId="77777777" w:rsidR="00785490" w:rsidRPr="00785490" w:rsidRDefault="00785490" w:rsidP="00785490">
      <w:pPr>
        <w:pStyle w:val="Body"/>
        <w:spacing w:after="0"/>
        <w:rPr>
          <w:rFonts w:ascii="Arial" w:hAnsi="Arial" w:cs="Arial"/>
          <w:sz w:val="22"/>
          <w:szCs w:val="22"/>
        </w:rPr>
      </w:pPr>
    </w:p>
    <w:p w14:paraId="544E3EC4" w14:textId="0218D5D0" w:rsidR="00785490" w:rsidRPr="00785490" w:rsidRDefault="00785490" w:rsidP="00785490">
      <w:pPr>
        <w:pStyle w:val="Body"/>
        <w:rPr>
          <w:rFonts w:ascii="Arial" w:hAnsi="Arial" w:cs="Arial"/>
          <w:sz w:val="22"/>
          <w:szCs w:val="22"/>
        </w:rPr>
      </w:pPr>
      <w:r w:rsidRPr="00785490">
        <w:rPr>
          <w:rFonts w:ascii="Arial" w:hAnsi="Arial" w:cs="Arial"/>
          <w:sz w:val="22"/>
          <w:szCs w:val="22"/>
        </w:rPr>
        <w:t>3.5 Proportion of new cases cured</w:t>
      </w:r>
    </w:p>
    <w:p w14:paraId="00E24B65" w14:textId="58CAC64F" w:rsidR="00785490" w:rsidRPr="00785490" w:rsidRDefault="00785490" w:rsidP="00785490">
      <w:pPr>
        <w:pStyle w:val="Body"/>
        <w:spacing w:after="0"/>
        <w:rPr>
          <w:rFonts w:ascii="Arial" w:hAnsi="Arial" w:cs="Arial"/>
          <w:sz w:val="22"/>
          <w:szCs w:val="22"/>
        </w:rPr>
      </w:pPr>
      <w:r w:rsidRPr="00785490">
        <w:rPr>
          <w:rFonts w:ascii="Arial" w:hAnsi="Arial" w:cs="Arial"/>
          <w:sz w:val="22"/>
          <w:szCs w:val="22"/>
        </w:rPr>
        <w:t>The cure rate for new leprosy cases has fluctuated over the years, peaking at 84.0% in 2013 and reaching a low of 76.2% in 2022 (Figure 4). After 2021, there was a slight recovery, with the rate climbing to 78.5% in 2023. This trend may be attributed to structural challenges, such as interruptions in clinical follow-up during the pandemic and difficulties with treatment adherence, which is lengthy and requires continuous monitoring. The decline in the cure rate may reflect obstacles in patient follow-up and sustained treatment engagement.</w:t>
      </w:r>
    </w:p>
    <w:p w14:paraId="1BB1C6AF" w14:textId="77777777" w:rsidR="00785490" w:rsidRPr="00785490" w:rsidRDefault="00785490" w:rsidP="00785490">
      <w:pPr>
        <w:pStyle w:val="Body"/>
        <w:spacing w:after="0"/>
        <w:rPr>
          <w:rFonts w:ascii="Arial" w:hAnsi="Arial" w:cs="Arial"/>
          <w:sz w:val="22"/>
          <w:szCs w:val="22"/>
        </w:rPr>
      </w:pPr>
    </w:p>
    <w:p w14:paraId="1F3CFEB5" w14:textId="0F272F12" w:rsidR="00785490" w:rsidRPr="00785490" w:rsidRDefault="00413E93" w:rsidP="00785490">
      <w:pPr>
        <w:pStyle w:val="Body"/>
        <w:spacing w:after="0"/>
        <w:rPr>
          <w:rFonts w:ascii="Arial" w:hAnsi="Arial" w:cs="Arial"/>
          <w:b/>
          <w:bCs/>
          <w:sz w:val="22"/>
          <w:szCs w:val="22"/>
        </w:rPr>
      </w:pPr>
      <w:proofErr w:type="gramStart"/>
      <w:r w:rsidRPr="00413E93">
        <w:rPr>
          <w:rFonts w:ascii="Arial" w:hAnsi="Arial" w:cs="Arial"/>
          <w:b/>
          <w:bCs/>
          <w:sz w:val="22"/>
          <w:szCs w:val="22"/>
        </w:rPr>
        <w:t xml:space="preserve">Figure  </w:t>
      </w:r>
      <w:r w:rsidR="00785490" w:rsidRPr="00785490">
        <w:rPr>
          <w:rFonts w:ascii="Arial" w:hAnsi="Arial" w:cs="Arial"/>
          <w:b/>
          <w:bCs/>
          <w:sz w:val="22"/>
          <w:szCs w:val="22"/>
        </w:rPr>
        <w:t>4</w:t>
      </w:r>
      <w:proofErr w:type="gramEnd"/>
      <w:r w:rsidR="00785490" w:rsidRPr="00785490">
        <w:rPr>
          <w:rFonts w:ascii="Arial" w:hAnsi="Arial" w:cs="Arial"/>
          <w:b/>
          <w:bCs/>
          <w:sz w:val="22"/>
          <w:szCs w:val="22"/>
        </w:rPr>
        <w:t xml:space="preserve">: Proportion of cured cases in cohorts of new leprosy cases, Brazil, 2013 to 2023. </w:t>
      </w:r>
    </w:p>
    <w:p w14:paraId="39A29697" w14:textId="77777777" w:rsidR="00785490" w:rsidRPr="00785490" w:rsidRDefault="00785490" w:rsidP="00785490">
      <w:pPr>
        <w:pStyle w:val="Body"/>
        <w:spacing w:after="0"/>
        <w:rPr>
          <w:rFonts w:ascii="Arial" w:hAnsi="Arial" w:cs="Arial"/>
          <w:b/>
          <w:bCs/>
          <w:sz w:val="22"/>
          <w:szCs w:val="22"/>
        </w:rPr>
      </w:pPr>
    </w:p>
    <w:p w14:paraId="3E19DFA8" w14:textId="6DAD0FE0" w:rsidR="00785490" w:rsidRPr="00785490" w:rsidRDefault="00785490" w:rsidP="00785490">
      <w:pPr>
        <w:pStyle w:val="Body"/>
        <w:spacing w:after="0"/>
        <w:jc w:val="center"/>
        <w:rPr>
          <w:rFonts w:ascii="Arial" w:hAnsi="Arial" w:cs="Arial"/>
          <w:b/>
          <w:bCs/>
          <w:sz w:val="22"/>
          <w:szCs w:val="22"/>
        </w:rPr>
      </w:pPr>
      <w:r w:rsidRPr="00785490">
        <w:rPr>
          <w:rFonts w:ascii="Arial" w:hAnsi="Arial" w:cs="Arial"/>
          <w:b/>
          <w:bCs/>
          <w:noProof/>
          <w:sz w:val="22"/>
          <w:szCs w:val="22"/>
        </w:rPr>
        <w:lastRenderedPageBreak/>
        <w:drawing>
          <wp:inline distT="0" distB="0" distL="0" distR="0" wp14:anchorId="2346FD3D" wp14:editId="424B99CA">
            <wp:extent cx="3966210" cy="2828260"/>
            <wp:effectExtent l="0" t="0" r="0" b="0"/>
            <wp:docPr id="1546317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17790" name=""/>
                    <pic:cNvPicPr/>
                  </pic:nvPicPr>
                  <pic:blipFill rotWithShape="1">
                    <a:blip r:embed="rId17"/>
                    <a:srcRect t="13123" b="11044"/>
                    <a:stretch/>
                  </pic:blipFill>
                  <pic:spPr bwMode="auto">
                    <a:xfrm>
                      <a:off x="0" y="0"/>
                      <a:ext cx="4002425" cy="2854085"/>
                    </a:xfrm>
                    <a:prstGeom prst="rect">
                      <a:avLst/>
                    </a:prstGeom>
                    <a:ln>
                      <a:noFill/>
                    </a:ln>
                    <a:extLst>
                      <a:ext uri="{53640926-AAD7-44D8-BBD7-CCE9431645EC}">
                        <a14:shadowObscured xmlns:a14="http://schemas.microsoft.com/office/drawing/2010/main"/>
                      </a:ext>
                    </a:extLst>
                  </pic:spPr>
                </pic:pic>
              </a:graphicData>
            </a:graphic>
          </wp:inline>
        </w:drawing>
      </w:r>
    </w:p>
    <w:p w14:paraId="4D3906E7" w14:textId="77777777" w:rsidR="00785490" w:rsidRPr="00785490" w:rsidRDefault="00785490" w:rsidP="00785490">
      <w:pPr>
        <w:ind w:left="120"/>
        <w:rPr>
          <w:rFonts w:ascii="Arial" w:hAnsi="Arial" w:cs="Arial"/>
          <w:sz w:val="22"/>
          <w:szCs w:val="22"/>
        </w:rPr>
      </w:pPr>
      <w:r w:rsidRPr="00785490">
        <w:rPr>
          <w:rFonts w:ascii="Arial" w:hAnsi="Arial" w:cs="Arial" w:hint="cs"/>
          <w:sz w:val="22"/>
          <w:szCs w:val="22"/>
        </w:rPr>
        <w:t xml:space="preserve">SOURCE: Sinan/SVS-MS </w:t>
      </w:r>
    </w:p>
    <w:p w14:paraId="40C2D458" w14:textId="77777777" w:rsidR="00785490" w:rsidRPr="00785490" w:rsidRDefault="00785490" w:rsidP="00785490">
      <w:pPr>
        <w:ind w:left="120"/>
        <w:rPr>
          <w:rFonts w:ascii="Arial" w:hAnsi="Arial" w:cs="Arial"/>
          <w:sz w:val="22"/>
          <w:szCs w:val="22"/>
        </w:rPr>
      </w:pPr>
    </w:p>
    <w:p w14:paraId="2E11524A" w14:textId="2AA9EC1E" w:rsidR="00785490" w:rsidRPr="00785490" w:rsidRDefault="00785490" w:rsidP="00785490">
      <w:pPr>
        <w:ind w:left="120" w:firstLine="600"/>
        <w:jc w:val="both"/>
        <w:rPr>
          <w:rFonts w:ascii="Arial" w:hAnsi="Arial" w:cs="Arial"/>
          <w:sz w:val="22"/>
          <w:szCs w:val="22"/>
        </w:rPr>
      </w:pPr>
      <w:r w:rsidRPr="00785490">
        <w:rPr>
          <w:rFonts w:ascii="Arial" w:hAnsi="Arial" w:cs="Arial" w:hint="cs"/>
          <w:sz w:val="22"/>
          <w:szCs w:val="22"/>
        </w:rPr>
        <w:t>The proportion of examined contacts has shown modest growth over the years, but remains below the ideal threshold for effectively disrupting the transmission chain. According to the Ministry of Health (</w:t>
      </w:r>
      <w:proofErr w:type="gramStart"/>
      <w:r w:rsidRPr="00785490">
        <w:rPr>
          <w:rFonts w:ascii="Arial" w:hAnsi="Arial" w:cs="Arial" w:hint="cs"/>
          <w:sz w:val="22"/>
          <w:szCs w:val="22"/>
        </w:rPr>
        <w:t>2023)[</w:t>
      </w:r>
      <w:proofErr w:type="gramEnd"/>
      <w:r w:rsidRPr="00785490">
        <w:rPr>
          <w:rFonts w:ascii="Arial" w:hAnsi="Arial" w:cs="Arial" w:hint="cs"/>
          <w:sz w:val="22"/>
          <w:szCs w:val="22"/>
        </w:rPr>
        <w:t>3], strategies such as home visits, educational campaigns, and increased community engagement may help improve these indicators. Contact examinations are crucial for identifying asymptomatic cases and providing early treatment, contributing to the reduction of new cases [4].</w:t>
      </w:r>
    </w:p>
    <w:p w14:paraId="6D94D677" w14:textId="5D770EB7" w:rsidR="00785490" w:rsidRPr="00785490" w:rsidRDefault="00785490" w:rsidP="00785490">
      <w:pPr>
        <w:ind w:left="120" w:firstLine="600"/>
        <w:jc w:val="both"/>
        <w:rPr>
          <w:rFonts w:ascii="Arial" w:hAnsi="Arial" w:cs="Arial"/>
          <w:sz w:val="22"/>
          <w:szCs w:val="22"/>
        </w:rPr>
      </w:pPr>
      <w:r w:rsidRPr="00785490">
        <w:rPr>
          <w:rFonts w:ascii="Arial" w:hAnsi="Arial" w:cs="Arial" w:hint="cs"/>
          <w:sz w:val="22"/>
          <w:szCs w:val="22"/>
        </w:rPr>
        <w:t>Although the cure rate remained relatively stable, the decline observed between 2017 and 2021 may be related to challenges brought on by the COVID-19 pandemic, which negatively impacted treatment continuity and patient follow-up [3]. Treatment adherence is one of the pillars for interrupting leprosy transmission, as highlighted by the WHO (</w:t>
      </w:r>
      <w:proofErr w:type="gramStart"/>
      <w:r w:rsidRPr="00785490">
        <w:rPr>
          <w:rFonts w:ascii="Arial" w:hAnsi="Arial" w:cs="Arial" w:hint="cs"/>
          <w:sz w:val="22"/>
          <w:szCs w:val="22"/>
        </w:rPr>
        <w:t>2022)[</w:t>
      </w:r>
      <w:proofErr w:type="gramEnd"/>
      <w:r w:rsidRPr="00785490">
        <w:rPr>
          <w:rFonts w:ascii="Arial" w:hAnsi="Arial" w:cs="Arial" w:hint="cs"/>
          <w:sz w:val="22"/>
          <w:szCs w:val="22"/>
        </w:rPr>
        <w:t>5], and should be reinforced through public policies that include psychosocial support for patients. Furthermore, maintaining consistent surveillance and ensuring proper treatment remain essential challenges in leprosy control. According to research by Lima et al. (2022) [6], early diagnosis and adherence to treatment are key factors in preventing disease progression and the spread of the bacillus.</w:t>
      </w:r>
    </w:p>
    <w:p w14:paraId="24F504E9" w14:textId="6D2495EA" w:rsidR="00785490" w:rsidRPr="00785490" w:rsidRDefault="00785490" w:rsidP="00785490">
      <w:pPr>
        <w:ind w:left="120" w:firstLine="600"/>
        <w:jc w:val="both"/>
        <w:rPr>
          <w:rFonts w:ascii="Arial" w:hAnsi="Arial" w:cs="Arial"/>
          <w:sz w:val="22"/>
          <w:szCs w:val="22"/>
        </w:rPr>
      </w:pPr>
      <w:r w:rsidRPr="00785490">
        <w:rPr>
          <w:rFonts w:ascii="Arial" w:hAnsi="Arial" w:cs="Arial" w:hint="cs"/>
          <w:sz w:val="22"/>
          <w:szCs w:val="22"/>
        </w:rPr>
        <w:t>Limited access to healthcare services in certain regions of Brazil remains a significant barrier, potentially worsening rates of physical disability. Moreover, studies indicate that the stigma surrounding the disease, often tied to delayed diagnosis, continues to undermine efforts to promote active treatment-seeking behavior [7]. A multidisciplinary approach, which includes psychological, social, and medical support, has proven effective in increasing treatment adherence and improving patients’ quality of life.</w:t>
      </w:r>
    </w:p>
    <w:p w14:paraId="4DA246B5" w14:textId="77777777" w:rsidR="00E053D0" w:rsidRPr="00785490" w:rsidRDefault="00E053D0" w:rsidP="00441B6F">
      <w:pPr>
        <w:pStyle w:val="Body"/>
        <w:spacing w:after="0"/>
        <w:rPr>
          <w:rFonts w:ascii="Arial" w:hAnsi="Arial" w:cs="Arial"/>
          <w:sz w:val="22"/>
          <w:szCs w:val="22"/>
        </w:rPr>
      </w:pPr>
    </w:p>
    <w:p w14:paraId="657F7288" w14:textId="77777777" w:rsidR="00790ADA" w:rsidRPr="00785490" w:rsidRDefault="00790ADA" w:rsidP="00441B6F">
      <w:pPr>
        <w:pStyle w:val="Body"/>
        <w:spacing w:after="0"/>
        <w:rPr>
          <w:rFonts w:ascii="Arial" w:hAnsi="Arial" w:cs="Arial"/>
          <w:sz w:val="22"/>
          <w:szCs w:val="22"/>
        </w:rPr>
      </w:pPr>
    </w:p>
    <w:p w14:paraId="6559B102" w14:textId="77777777" w:rsidR="00B01FCD" w:rsidRPr="00785490" w:rsidRDefault="00000F8F" w:rsidP="00441B6F">
      <w:pPr>
        <w:pStyle w:val="ConcHead"/>
        <w:spacing w:after="0"/>
        <w:jc w:val="both"/>
        <w:rPr>
          <w:rFonts w:ascii="Arial" w:hAnsi="Arial" w:cs="Arial"/>
          <w:szCs w:val="22"/>
        </w:rPr>
      </w:pPr>
      <w:r w:rsidRPr="00785490">
        <w:rPr>
          <w:rFonts w:ascii="Arial" w:hAnsi="Arial" w:cs="Arial" w:hint="cs"/>
          <w:szCs w:val="22"/>
        </w:rPr>
        <w:t xml:space="preserve">4. </w:t>
      </w:r>
      <w:r w:rsidR="00B01FCD" w:rsidRPr="00785490">
        <w:rPr>
          <w:rFonts w:ascii="Arial" w:hAnsi="Arial" w:cs="Arial" w:hint="cs"/>
          <w:szCs w:val="22"/>
        </w:rPr>
        <w:t>Conclusion</w:t>
      </w:r>
    </w:p>
    <w:p w14:paraId="06C0DDAB" w14:textId="77777777" w:rsidR="00790ADA" w:rsidRPr="00785490" w:rsidRDefault="00790ADA" w:rsidP="00441B6F">
      <w:pPr>
        <w:pStyle w:val="Body"/>
        <w:spacing w:after="0"/>
        <w:rPr>
          <w:rFonts w:ascii="Arial" w:hAnsi="Arial" w:cs="Arial"/>
          <w:sz w:val="22"/>
          <w:szCs w:val="22"/>
        </w:rPr>
      </w:pPr>
    </w:p>
    <w:p w14:paraId="74F1B69A" w14:textId="77777777" w:rsidR="00785490" w:rsidRPr="00785490" w:rsidRDefault="00785490" w:rsidP="00785490">
      <w:pPr>
        <w:pStyle w:val="Body"/>
        <w:ind w:firstLine="720"/>
        <w:rPr>
          <w:rFonts w:ascii="Arial" w:hAnsi="Arial" w:cs="Arial"/>
          <w:sz w:val="22"/>
          <w:szCs w:val="22"/>
        </w:rPr>
      </w:pPr>
      <w:r w:rsidRPr="00785490">
        <w:rPr>
          <w:rFonts w:ascii="Arial" w:hAnsi="Arial" w:cs="Arial" w:hint="cs"/>
          <w:sz w:val="22"/>
          <w:szCs w:val="22"/>
        </w:rPr>
        <w:lastRenderedPageBreak/>
        <w:t>Despite the reduction in the number of new leprosy cases in Brazil between 2013 and 2023, the country still faces a considerable incidence of the disease. This scenario highlights the need to sustain efforts in prevention, early diagnosis, and appropriate treatment—fundamental pillars for interrupting the transmission chain. Additionally, it is crucial to strengthen public health policies, with special attention to at-risk populations and educational actions aimed at reducing stigma associated with the disease.</w:t>
      </w:r>
    </w:p>
    <w:p w14:paraId="2BFE9240" w14:textId="77F723AF" w:rsidR="00785490" w:rsidRPr="00785490" w:rsidRDefault="00785490" w:rsidP="00785490">
      <w:pPr>
        <w:pStyle w:val="Body"/>
        <w:spacing w:after="0"/>
        <w:ind w:firstLine="720"/>
        <w:rPr>
          <w:rFonts w:ascii="Arial" w:hAnsi="Arial" w:cs="Arial"/>
          <w:sz w:val="22"/>
          <w:szCs w:val="22"/>
        </w:rPr>
      </w:pPr>
      <w:r w:rsidRPr="00785490">
        <w:rPr>
          <w:rFonts w:ascii="Arial" w:hAnsi="Arial" w:cs="Arial" w:hint="cs"/>
          <w:sz w:val="22"/>
          <w:szCs w:val="22"/>
        </w:rPr>
        <w:t>Leprosy remains a public health challenge, requiring ongoing investments in infrastructure, professional training, and equitable access to healthcare services. Integrated strategies aligned with other social policies can help reduce inequalities and facilitate treatment adherence. Eradicating leprosy in Brazil is not only a technical goal, but also an ethical commitment to the dignity and quality of life of those affected. Therefore, tackling this disease demands joint and sustainable actions that reinforce the right to health for all Brazilians.</w:t>
      </w:r>
    </w:p>
    <w:p w14:paraId="67BB922D" w14:textId="77777777" w:rsidR="00785490" w:rsidRPr="00785490" w:rsidRDefault="00785490" w:rsidP="00441B6F">
      <w:pPr>
        <w:pStyle w:val="Body"/>
        <w:spacing w:after="0"/>
        <w:rPr>
          <w:rFonts w:ascii="Arial" w:hAnsi="Arial" w:cs="Arial"/>
          <w:sz w:val="22"/>
          <w:szCs w:val="22"/>
        </w:rPr>
      </w:pPr>
    </w:p>
    <w:p w14:paraId="7306976B" w14:textId="23CD46F7" w:rsidR="005C784C" w:rsidRDefault="005C784C" w:rsidP="00441B6F">
      <w:pPr>
        <w:pStyle w:val="ReferHead"/>
        <w:spacing w:after="0"/>
        <w:jc w:val="both"/>
        <w:rPr>
          <w:rFonts w:ascii="Arial" w:hAnsi="Arial" w:cs="Arial"/>
          <w:b w:val="0"/>
          <w:caps w:val="0"/>
          <w:sz w:val="20"/>
        </w:rPr>
      </w:pPr>
    </w:p>
    <w:p w14:paraId="5EEBE951" w14:textId="4276446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9B3B2D" w14:textId="77777777" w:rsidR="00785490" w:rsidRDefault="00785490" w:rsidP="00441B6F">
      <w:pPr>
        <w:pStyle w:val="ReferHead"/>
        <w:spacing w:after="0"/>
        <w:jc w:val="both"/>
        <w:rPr>
          <w:rFonts w:ascii="Arial" w:hAnsi="Arial" w:cs="Arial"/>
          <w:bCs/>
        </w:rPr>
      </w:pPr>
    </w:p>
    <w:p w14:paraId="0F603A23" w14:textId="1A28EC2B" w:rsidR="00785490" w:rsidRPr="00785490" w:rsidRDefault="00785490" w:rsidP="00785490">
      <w:pPr>
        <w:pStyle w:val="ReferHead"/>
        <w:spacing w:after="0"/>
        <w:jc w:val="both"/>
        <w:rPr>
          <w:rFonts w:ascii="Arial" w:hAnsi="Arial" w:cs="Arial"/>
          <w:b w:val="0"/>
          <w:caps w:val="0"/>
          <w:sz w:val="20"/>
        </w:rPr>
      </w:pPr>
      <w:r w:rsidRPr="00785490">
        <w:rPr>
          <w:rFonts w:ascii="Arial" w:hAnsi="Arial" w:cs="Arial"/>
          <w:b w:val="0"/>
          <w:caps w:val="0"/>
          <w:sz w:val="20"/>
        </w:rPr>
        <w:t>The authors declare that there was no need for approval from the research ethics committee (CEP/CONEP).</w:t>
      </w:r>
    </w:p>
    <w:p w14:paraId="66A91F02" w14:textId="77777777" w:rsidR="00785490" w:rsidRDefault="00785490" w:rsidP="00441B6F">
      <w:pPr>
        <w:pStyle w:val="ReferHead"/>
        <w:spacing w:after="0"/>
        <w:jc w:val="both"/>
        <w:rPr>
          <w:rFonts w:ascii="Arial" w:hAnsi="Arial" w:cs="Arial"/>
          <w:bCs/>
        </w:rPr>
      </w:pPr>
    </w:p>
    <w:p w14:paraId="1B62B599" w14:textId="77777777" w:rsidR="005C784C" w:rsidRPr="002B685A" w:rsidRDefault="005C784C" w:rsidP="00441B6F">
      <w:pPr>
        <w:pStyle w:val="ReferHead"/>
        <w:spacing w:after="0"/>
        <w:jc w:val="both"/>
        <w:rPr>
          <w:rFonts w:ascii="Arial" w:hAnsi="Arial" w:cs="Arial"/>
          <w:bCs/>
        </w:rPr>
      </w:pPr>
    </w:p>
    <w:p w14:paraId="1F3787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44332C" w14:textId="77777777" w:rsidR="00790ADA" w:rsidRPr="00FB3A86" w:rsidRDefault="00790ADA" w:rsidP="00441B6F">
      <w:pPr>
        <w:pStyle w:val="ReferHead"/>
        <w:spacing w:after="0"/>
        <w:jc w:val="both"/>
        <w:rPr>
          <w:rFonts w:ascii="Arial" w:hAnsi="Arial" w:cs="Arial"/>
        </w:rPr>
      </w:pPr>
    </w:p>
    <w:p w14:paraId="55BBAABF" w14:textId="77777777" w:rsidR="00F2164F" w:rsidRPr="00F2164F" w:rsidRDefault="00F2164F" w:rsidP="00F2164F">
      <w:pPr>
        <w:pStyle w:val="Body"/>
        <w:rPr>
          <w:rFonts w:ascii="Arial" w:hAnsi="Arial" w:cs="Arial"/>
        </w:rPr>
      </w:pPr>
      <w:r w:rsidRPr="00F2164F">
        <w:rPr>
          <w:rFonts w:ascii="Arial" w:hAnsi="Arial" w:cs="Arial"/>
        </w:rPr>
        <w:t xml:space="preserve">1. Jesus ILR, Araújo EP, Nogueira LM, et al. Leprosy and vulnerability: a scoping review. </w:t>
      </w:r>
      <w:proofErr w:type="spellStart"/>
      <w:r w:rsidRPr="00F2164F">
        <w:rPr>
          <w:rFonts w:ascii="Arial" w:hAnsi="Arial" w:cs="Arial"/>
        </w:rPr>
        <w:t>Ciênc</w:t>
      </w:r>
      <w:proofErr w:type="spellEnd"/>
      <w:r w:rsidRPr="00F2164F">
        <w:rPr>
          <w:rFonts w:ascii="Arial" w:hAnsi="Arial" w:cs="Arial"/>
        </w:rPr>
        <w:t xml:space="preserve"> </w:t>
      </w:r>
      <w:proofErr w:type="spellStart"/>
      <w:r w:rsidRPr="00F2164F">
        <w:rPr>
          <w:rFonts w:ascii="Arial" w:hAnsi="Arial" w:cs="Arial"/>
        </w:rPr>
        <w:t>Saúde</w:t>
      </w:r>
      <w:proofErr w:type="spellEnd"/>
      <w:r w:rsidRPr="00F2164F">
        <w:rPr>
          <w:rFonts w:ascii="Arial" w:hAnsi="Arial" w:cs="Arial"/>
        </w:rPr>
        <w:t xml:space="preserve"> </w:t>
      </w:r>
      <w:proofErr w:type="spellStart"/>
      <w:r w:rsidRPr="00F2164F">
        <w:rPr>
          <w:rFonts w:ascii="Arial" w:hAnsi="Arial" w:cs="Arial"/>
        </w:rPr>
        <w:t>Coletiva</w:t>
      </w:r>
      <w:proofErr w:type="spellEnd"/>
      <w:r w:rsidRPr="00F2164F">
        <w:rPr>
          <w:rFonts w:ascii="Arial" w:hAnsi="Arial" w:cs="Arial"/>
        </w:rPr>
        <w:t>. 2023 Jan;28(1):143–154.</w:t>
      </w:r>
    </w:p>
    <w:p w14:paraId="1B924DCF" w14:textId="77777777" w:rsidR="00F2164F" w:rsidRPr="00F2164F" w:rsidRDefault="00F2164F" w:rsidP="00F2164F">
      <w:pPr>
        <w:pStyle w:val="Body"/>
        <w:rPr>
          <w:rFonts w:ascii="Arial" w:hAnsi="Arial" w:cs="Arial"/>
        </w:rPr>
      </w:pPr>
    </w:p>
    <w:p w14:paraId="56BFD1AB" w14:textId="77777777" w:rsidR="00F2164F" w:rsidRPr="00F2164F" w:rsidRDefault="00F2164F" w:rsidP="00F2164F">
      <w:pPr>
        <w:pStyle w:val="Body"/>
        <w:rPr>
          <w:rFonts w:ascii="Arial" w:hAnsi="Arial" w:cs="Arial"/>
        </w:rPr>
      </w:pPr>
      <w:r w:rsidRPr="00F2164F">
        <w:rPr>
          <w:rFonts w:ascii="Arial" w:hAnsi="Arial" w:cs="Arial"/>
        </w:rPr>
        <w:t xml:space="preserve">2. World Health Organization (WHO). Global leprosy (Hansen disease) update, 2021: moving towards interruption of transmission. </w:t>
      </w:r>
      <w:proofErr w:type="spellStart"/>
      <w:r w:rsidRPr="00F2164F">
        <w:rPr>
          <w:rFonts w:ascii="Arial" w:hAnsi="Arial" w:cs="Arial"/>
        </w:rPr>
        <w:t>Wkly</w:t>
      </w:r>
      <w:proofErr w:type="spellEnd"/>
      <w:r w:rsidRPr="00F2164F">
        <w:rPr>
          <w:rFonts w:ascii="Arial" w:hAnsi="Arial" w:cs="Arial"/>
        </w:rPr>
        <w:t xml:space="preserve"> Epidemiol Rec. 2022;97(36):429–452.</w:t>
      </w:r>
    </w:p>
    <w:p w14:paraId="17DB744D" w14:textId="77777777" w:rsidR="00F2164F" w:rsidRPr="00F2164F" w:rsidRDefault="00F2164F" w:rsidP="00F2164F">
      <w:pPr>
        <w:pStyle w:val="Body"/>
        <w:rPr>
          <w:rFonts w:ascii="Arial" w:hAnsi="Arial" w:cs="Arial"/>
        </w:rPr>
      </w:pPr>
    </w:p>
    <w:p w14:paraId="59096605" w14:textId="77777777" w:rsidR="00F2164F" w:rsidRPr="00F2164F" w:rsidRDefault="00F2164F" w:rsidP="00F2164F">
      <w:pPr>
        <w:pStyle w:val="Body"/>
        <w:rPr>
          <w:rFonts w:ascii="Arial" w:hAnsi="Arial" w:cs="Arial"/>
        </w:rPr>
      </w:pPr>
      <w:r w:rsidRPr="00F2164F">
        <w:rPr>
          <w:rFonts w:ascii="Arial" w:hAnsi="Arial" w:cs="Arial"/>
        </w:rPr>
        <w:t>3. Ministry of Health (BR). Epidemiological bulletin of leprosy 2023. Brasília: Ministry of Health; 2023.</w:t>
      </w:r>
    </w:p>
    <w:p w14:paraId="589BA28F" w14:textId="77777777" w:rsidR="00F2164F" w:rsidRPr="00F2164F" w:rsidRDefault="00F2164F" w:rsidP="00F2164F">
      <w:pPr>
        <w:pStyle w:val="Body"/>
        <w:rPr>
          <w:rFonts w:ascii="Arial" w:hAnsi="Arial" w:cs="Arial"/>
        </w:rPr>
      </w:pPr>
    </w:p>
    <w:p w14:paraId="567D95AB" w14:textId="77777777" w:rsidR="009C0135" w:rsidRDefault="00F2164F" w:rsidP="00F2164F">
      <w:pPr>
        <w:pStyle w:val="Body"/>
        <w:rPr>
          <w:rFonts w:ascii="Arial" w:hAnsi="Arial" w:cs="Arial"/>
        </w:rPr>
      </w:pPr>
      <w:r w:rsidRPr="00F2164F">
        <w:rPr>
          <w:rFonts w:ascii="Arial" w:hAnsi="Arial" w:cs="Arial"/>
        </w:rPr>
        <w:t xml:space="preserve">4. </w:t>
      </w:r>
      <w:proofErr w:type="spellStart"/>
      <w:r w:rsidRPr="00F2164F">
        <w:rPr>
          <w:rFonts w:ascii="Arial" w:hAnsi="Arial" w:cs="Arial"/>
        </w:rPr>
        <w:t>Hespanhol</w:t>
      </w:r>
      <w:proofErr w:type="spellEnd"/>
      <w:r w:rsidRPr="00F2164F">
        <w:rPr>
          <w:rFonts w:ascii="Arial" w:hAnsi="Arial" w:cs="Arial"/>
        </w:rPr>
        <w:t xml:space="preserve"> MCL, </w:t>
      </w:r>
      <w:proofErr w:type="spellStart"/>
      <w:r w:rsidRPr="00F2164F">
        <w:rPr>
          <w:rFonts w:ascii="Arial" w:hAnsi="Arial" w:cs="Arial"/>
        </w:rPr>
        <w:t>Domingues</w:t>
      </w:r>
      <w:proofErr w:type="spellEnd"/>
      <w:r w:rsidRPr="00F2164F">
        <w:rPr>
          <w:rFonts w:ascii="Arial" w:hAnsi="Arial" w:cs="Arial"/>
        </w:rPr>
        <w:t xml:space="preserve"> SM, </w:t>
      </w:r>
      <w:proofErr w:type="spellStart"/>
      <w:r w:rsidRPr="00F2164F">
        <w:rPr>
          <w:rFonts w:ascii="Arial" w:hAnsi="Arial" w:cs="Arial"/>
        </w:rPr>
        <w:t>Uchôa-Figueiredo</w:t>
      </w:r>
      <w:proofErr w:type="spellEnd"/>
      <w:r w:rsidRPr="00F2164F">
        <w:rPr>
          <w:rFonts w:ascii="Arial" w:hAnsi="Arial" w:cs="Arial"/>
        </w:rPr>
        <w:t xml:space="preserve"> LR. Late diagnosis under the perspective of therapeutic itineraries: level 2 physical disabilities in Hansen’s disease. Interface (</w:t>
      </w:r>
      <w:proofErr w:type="spellStart"/>
      <w:r w:rsidRPr="00F2164F">
        <w:rPr>
          <w:rFonts w:ascii="Arial" w:hAnsi="Arial" w:cs="Arial"/>
        </w:rPr>
        <w:t>Botucatu</w:t>
      </w:r>
      <w:proofErr w:type="spellEnd"/>
      <w:r w:rsidRPr="00F2164F">
        <w:rPr>
          <w:rFonts w:ascii="Arial" w:hAnsi="Arial" w:cs="Arial"/>
        </w:rPr>
        <w:t>). 2021;</w:t>
      </w:r>
      <w:proofErr w:type="gramStart"/>
      <w:r w:rsidRPr="00F2164F">
        <w:rPr>
          <w:rFonts w:ascii="Arial" w:hAnsi="Arial" w:cs="Arial"/>
        </w:rPr>
        <w:t>25:e</w:t>
      </w:r>
      <w:proofErr w:type="gramEnd"/>
      <w:r w:rsidRPr="00F2164F">
        <w:rPr>
          <w:rFonts w:ascii="Arial" w:hAnsi="Arial" w:cs="Arial"/>
        </w:rPr>
        <w:t xml:space="preserve">200640. </w:t>
      </w:r>
    </w:p>
    <w:p w14:paraId="65B8327F" w14:textId="66188A46" w:rsidR="00F2164F" w:rsidRPr="00F2164F" w:rsidRDefault="00F2164F" w:rsidP="00F2164F">
      <w:pPr>
        <w:pStyle w:val="Body"/>
        <w:rPr>
          <w:rFonts w:ascii="Arial" w:hAnsi="Arial" w:cs="Arial"/>
        </w:rPr>
      </w:pPr>
      <w:r w:rsidRPr="00F2164F">
        <w:rPr>
          <w:rFonts w:ascii="Arial" w:hAnsi="Arial" w:cs="Arial"/>
        </w:rPr>
        <w:t xml:space="preserve">5. World Health Organization (WHO). Global leprosy (Hansen disease) update, 2021: moving towards interruption of transmission. </w:t>
      </w:r>
      <w:proofErr w:type="spellStart"/>
      <w:r w:rsidRPr="00F2164F">
        <w:rPr>
          <w:rFonts w:ascii="Arial" w:hAnsi="Arial" w:cs="Arial"/>
        </w:rPr>
        <w:t>Wkly</w:t>
      </w:r>
      <w:proofErr w:type="spellEnd"/>
      <w:r w:rsidRPr="00F2164F">
        <w:rPr>
          <w:rFonts w:ascii="Arial" w:hAnsi="Arial" w:cs="Arial"/>
        </w:rPr>
        <w:t xml:space="preserve"> Epidemiol Rec [Internet]. 2022 [cited 2023 Jun 27];97(36):429–452.</w:t>
      </w:r>
    </w:p>
    <w:p w14:paraId="66761737" w14:textId="77777777" w:rsidR="00F2164F" w:rsidRPr="00F2164F" w:rsidRDefault="00F2164F" w:rsidP="00F2164F">
      <w:pPr>
        <w:pStyle w:val="Body"/>
        <w:rPr>
          <w:rFonts w:ascii="Arial" w:hAnsi="Arial" w:cs="Arial"/>
        </w:rPr>
      </w:pPr>
    </w:p>
    <w:p w14:paraId="5B657418" w14:textId="77777777" w:rsidR="00F2164F" w:rsidRPr="00F2164F" w:rsidRDefault="00F2164F" w:rsidP="00F2164F">
      <w:pPr>
        <w:pStyle w:val="Body"/>
        <w:rPr>
          <w:rFonts w:ascii="Arial" w:hAnsi="Arial" w:cs="Arial"/>
        </w:rPr>
      </w:pPr>
      <w:r w:rsidRPr="00F2164F">
        <w:rPr>
          <w:rFonts w:ascii="Arial" w:hAnsi="Arial" w:cs="Arial"/>
        </w:rPr>
        <w:lastRenderedPageBreak/>
        <w:t>6. Lima TS, Santos RM, Pereira AL, et al. The importance of early diagnosis in leprosy: strategies to improve adherence to treatment. Rev Bras Epidemiol. 2022;25(1):92–105.</w:t>
      </w:r>
    </w:p>
    <w:p w14:paraId="5E2391C3" w14:textId="77777777" w:rsidR="00F2164F" w:rsidRPr="00F2164F" w:rsidRDefault="00F2164F" w:rsidP="00F2164F">
      <w:pPr>
        <w:pStyle w:val="Body"/>
        <w:rPr>
          <w:rFonts w:ascii="Arial" w:hAnsi="Arial" w:cs="Arial"/>
        </w:rPr>
      </w:pPr>
    </w:p>
    <w:p w14:paraId="4D2AAAF0" w14:textId="159BC5E7" w:rsidR="00790ADA" w:rsidRDefault="00F2164F" w:rsidP="00F2164F">
      <w:pPr>
        <w:pStyle w:val="Body"/>
        <w:spacing w:after="0"/>
        <w:rPr>
          <w:rFonts w:ascii="Arial" w:hAnsi="Arial" w:cs="Arial"/>
        </w:rPr>
      </w:pPr>
      <w:r w:rsidRPr="00F2164F">
        <w:rPr>
          <w:rFonts w:ascii="Arial" w:hAnsi="Arial" w:cs="Arial"/>
        </w:rPr>
        <w:t xml:space="preserve">7. Silva AF, Costa RL. Stigmatization and the challenges in leprosy treatment: a critical review. </w:t>
      </w:r>
      <w:proofErr w:type="spellStart"/>
      <w:r w:rsidRPr="00F2164F">
        <w:rPr>
          <w:rFonts w:ascii="Arial" w:hAnsi="Arial" w:cs="Arial"/>
        </w:rPr>
        <w:t>Saúde</w:t>
      </w:r>
      <w:proofErr w:type="spellEnd"/>
      <w:r w:rsidRPr="00F2164F">
        <w:rPr>
          <w:rFonts w:ascii="Arial" w:hAnsi="Arial" w:cs="Arial"/>
        </w:rPr>
        <w:t xml:space="preserve"> Soc. 2023;32(3):1215–1225.</w:t>
      </w:r>
    </w:p>
    <w:p w14:paraId="3DB50BC0" w14:textId="77777777" w:rsidR="00785490" w:rsidRDefault="00785490" w:rsidP="00785490">
      <w:pPr>
        <w:pStyle w:val="Body"/>
        <w:spacing w:after="0"/>
        <w:rPr>
          <w:rFonts w:ascii="Arial" w:hAnsi="Arial" w:cs="Arial"/>
        </w:rPr>
      </w:pPr>
    </w:p>
    <w:p w14:paraId="6FDCA2EF" w14:textId="523F3CD3" w:rsidR="00B01FCD" w:rsidRPr="00785490" w:rsidRDefault="00B01FCD" w:rsidP="00785490">
      <w:pPr>
        <w:pStyle w:val="Body"/>
        <w:spacing w:after="0"/>
      </w:pPr>
    </w:p>
    <w:p w14:paraId="62031052" w14:textId="6F86AFC0" w:rsidR="004D4277" w:rsidRPr="00785490" w:rsidRDefault="004D4277" w:rsidP="00785490">
      <w:pPr>
        <w:pStyle w:val="DefAcrHead"/>
        <w:spacing w:after="0"/>
        <w:jc w:val="both"/>
        <w:rPr>
          <w:rFonts w:ascii="Arial" w:hAnsi="Arial" w:cs="Arial"/>
        </w:rPr>
        <w:sectPr w:rsidR="004D4277" w:rsidRPr="00785490" w:rsidSect="001513C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A960AC8" w14:textId="77777777" w:rsidR="00B01FCD" w:rsidRPr="00FB3A86" w:rsidRDefault="00B01FCD" w:rsidP="00441B6F">
      <w:pPr>
        <w:pStyle w:val="Appendix"/>
        <w:spacing w:after="0"/>
        <w:jc w:val="both"/>
        <w:rPr>
          <w:rFonts w:ascii="Arial" w:hAnsi="Arial" w:cs="Arial"/>
          <w:b w:val="0"/>
        </w:rPr>
      </w:pPr>
    </w:p>
    <w:sectPr w:rsidR="00B01FCD" w:rsidRPr="00FB3A86" w:rsidSect="001513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A528" w14:textId="77777777" w:rsidR="005439D1" w:rsidRDefault="005439D1" w:rsidP="00C37E61">
      <w:r>
        <w:separator/>
      </w:r>
    </w:p>
  </w:endnote>
  <w:endnote w:type="continuationSeparator" w:id="0">
    <w:p w14:paraId="36A71B93" w14:textId="77777777" w:rsidR="005439D1" w:rsidRDefault="005439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FCD6" w14:textId="77777777" w:rsidR="009136F2" w:rsidRDefault="00913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CE86" w14:textId="77777777" w:rsidR="009136F2" w:rsidRDefault="00913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18AC" w14:textId="77777777" w:rsidR="009E048A" w:rsidRDefault="009E048A">
    <w:pPr>
      <w:pStyle w:val="Footer"/>
      <w:rPr>
        <w:rFonts w:ascii="Arial" w:hAnsi="Arial" w:cs="Arial"/>
        <w:sz w:val="16"/>
      </w:rPr>
    </w:pPr>
  </w:p>
  <w:p w14:paraId="2EF142D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9D3EF0" w14:textId="77777777" w:rsidR="009E048A" w:rsidRDefault="009E048A">
    <w:pPr>
      <w:pStyle w:val="Footer"/>
      <w:rPr>
        <w:rFonts w:ascii="Arial" w:hAnsi="Arial" w:cs="Arial"/>
        <w:sz w:val="16"/>
      </w:rPr>
    </w:pPr>
  </w:p>
  <w:p w14:paraId="438476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5C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58FA8" w14:textId="77777777" w:rsidR="005439D1" w:rsidRDefault="005439D1" w:rsidP="00C37E61">
      <w:r>
        <w:separator/>
      </w:r>
    </w:p>
  </w:footnote>
  <w:footnote w:type="continuationSeparator" w:id="0">
    <w:p w14:paraId="0075918F" w14:textId="77777777" w:rsidR="005439D1" w:rsidRDefault="005439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B5BB" w14:textId="270C436C" w:rsidR="009136F2" w:rsidRDefault="009136F2">
    <w:pPr>
      <w:pStyle w:val="Header"/>
    </w:pPr>
    <w:r>
      <w:rPr>
        <w:noProof/>
      </w:rPr>
      <w:pict w14:anchorId="03A33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3F48" w14:textId="355905CB" w:rsidR="009136F2" w:rsidRDefault="009136F2">
    <w:pPr>
      <w:pStyle w:val="Header"/>
    </w:pPr>
    <w:r>
      <w:rPr>
        <w:noProof/>
      </w:rPr>
      <w:pict w14:anchorId="61131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30DF" w14:textId="0C8426DD" w:rsidR="00296529" w:rsidRPr="00296529" w:rsidRDefault="009136F2" w:rsidP="00296529">
    <w:pPr>
      <w:ind w:left="2160"/>
      <w:jc w:val="center"/>
      <w:rPr>
        <w:rFonts w:ascii="Times New Roman" w:eastAsia="Calibri" w:hAnsi="Times New Roman"/>
        <w:i/>
        <w:sz w:val="18"/>
        <w:szCs w:val="22"/>
      </w:rPr>
    </w:pPr>
    <w:r>
      <w:rPr>
        <w:noProof/>
      </w:rPr>
      <w:pict w14:anchorId="4EA43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10AAB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72D2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FBA6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3AC8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2A17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E2327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4031" w14:textId="1B60502F" w:rsidR="009136F2" w:rsidRDefault="009136F2">
    <w:pPr>
      <w:pStyle w:val="Header"/>
    </w:pPr>
    <w:r>
      <w:rPr>
        <w:noProof/>
      </w:rPr>
      <w:pict w14:anchorId="72B16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1066" w14:textId="255993F4" w:rsidR="009136F2" w:rsidRDefault="009136F2">
    <w:pPr>
      <w:pStyle w:val="Header"/>
    </w:pPr>
    <w:r>
      <w:rPr>
        <w:noProof/>
      </w:rPr>
      <w:pict w14:anchorId="68BC9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2E2C" w14:textId="3926A92E" w:rsidR="009136F2" w:rsidRDefault="009136F2">
    <w:pPr>
      <w:pStyle w:val="Header"/>
    </w:pPr>
    <w:r>
      <w:rPr>
        <w:noProof/>
      </w:rPr>
      <w:pict w14:anchorId="4D4DB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5F8B"/>
    <w:rsid w:val="000A47FA"/>
    <w:rsid w:val="000A65D3"/>
    <w:rsid w:val="000B1E33"/>
    <w:rsid w:val="000D689F"/>
    <w:rsid w:val="000E7B7B"/>
    <w:rsid w:val="000E7D62"/>
    <w:rsid w:val="00103357"/>
    <w:rsid w:val="00123C9F"/>
    <w:rsid w:val="00126190"/>
    <w:rsid w:val="00130F17"/>
    <w:rsid w:val="001320BF"/>
    <w:rsid w:val="001444AC"/>
    <w:rsid w:val="001513C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B4D"/>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5771"/>
    <w:rsid w:val="00401927"/>
    <w:rsid w:val="0041027F"/>
    <w:rsid w:val="00412475"/>
    <w:rsid w:val="00413E93"/>
    <w:rsid w:val="00423789"/>
    <w:rsid w:val="00426E31"/>
    <w:rsid w:val="004301E1"/>
    <w:rsid w:val="00440F43"/>
    <w:rsid w:val="00441B6F"/>
    <w:rsid w:val="00446221"/>
    <w:rsid w:val="00450E62"/>
    <w:rsid w:val="004539DB"/>
    <w:rsid w:val="004629C4"/>
    <w:rsid w:val="00471A80"/>
    <w:rsid w:val="004D305E"/>
    <w:rsid w:val="004D4277"/>
    <w:rsid w:val="004E7A5C"/>
    <w:rsid w:val="00502516"/>
    <w:rsid w:val="00505F06"/>
    <w:rsid w:val="00506828"/>
    <w:rsid w:val="0053056E"/>
    <w:rsid w:val="005439D1"/>
    <w:rsid w:val="00554FDA"/>
    <w:rsid w:val="005C784C"/>
    <w:rsid w:val="005D17F6"/>
    <w:rsid w:val="005E5539"/>
    <w:rsid w:val="005F66F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1EB"/>
    <w:rsid w:val="0077749E"/>
    <w:rsid w:val="00785490"/>
    <w:rsid w:val="00790ADA"/>
    <w:rsid w:val="007D2288"/>
    <w:rsid w:val="007E088F"/>
    <w:rsid w:val="007F7B32"/>
    <w:rsid w:val="00804BC2"/>
    <w:rsid w:val="0081431A"/>
    <w:rsid w:val="0083216F"/>
    <w:rsid w:val="00860000"/>
    <w:rsid w:val="00863BD3"/>
    <w:rsid w:val="008641ED"/>
    <w:rsid w:val="00866D66"/>
    <w:rsid w:val="008671C6"/>
    <w:rsid w:val="00875803"/>
    <w:rsid w:val="00891166"/>
    <w:rsid w:val="008B459E"/>
    <w:rsid w:val="008E13AE"/>
    <w:rsid w:val="008E1506"/>
    <w:rsid w:val="008E710C"/>
    <w:rsid w:val="008F69D6"/>
    <w:rsid w:val="00902823"/>
    <w:rsid w:val="0090430A"/>
    <w:rsid w:val="009136F2"/>
    <w:rsid w:val="00915CA6"/>
    <w:rsid w:val="00927834"/>
    <w:rsid w:val="009500A6"/>
    <w:rsid w:val="00957C18"/>
    <w:rsid w:val="009659BA"/>
    <w:rsid w:val="00983040"/>
    <w:rsid w:val="009B3FB9"/>
    <w:rsid w:val="009C0135"/>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48D"/>
    <w:rsid w:val="00B309DA"/>
    <w:rsid w:val="00B52583"/>
    <w:rsid w:val="00B52896"/>
    <w:rsid w:val="00B70564"/>
    <w:rsid w:val="00B81EEF"/>
    <w:rsid w:val="00B95236"/>
    <w:rsid w:val="00B96BD9"/>
    <w:rsid w:val="00BA1B01"/>
    <w:rsid w:val="00BA2641"/>
    <w:rsid w:val="00BB37AA"/>
    <w:rsid w:val="00BC53A0"/>
    <w:rsid w:val="00BE62AD"/>
    <w:rsid w:val="00BF121F"/>
    <w:rsid w:val="00BF1F80"/>
    <w:rsid w:val="00C14153"/>
    <w:rsid w:val="00C166EF"/>
    <w:rsid w:val="00C17EB0"/>
    <w:rsid w:val="00C202A6"/>
    <w:rsid w:val="00C27F5F"/>
    <w:rsid w:val="00C30A0F"/>
    <w:rsid w:val="00C37E61"/>
    <w:rsid w:val="00C70F1B"/>
    <w:rsid w:val="00C71A47"/>
    <w:rsid w:val="00C7464C"/>
    <w:rsid w:val="00C85588"/>
    <w:rsid w:val="00CD6755"/>
    <w:rsid w:val="00CD6856"/>
    <w:rsid w:val="00CE0089"/>
    <w:rsid w:val="00CE793C"/>
    <w:rsid w:val="00CF193C"/>
    <w:rsid w:val="00D173F1"/>
    <w:rsid w:val="00D52777"/>
    <w:rsid w:val="00D74CB0"/>
    <w:rsid w:val="00D8295D"/>
    <w:rsid w:val="00DB3AE2"/>
    <w:rsid w:val="00DC2A65"/>
    <w:rsid w:val="00DD507F"/>
    <w:rsid w:val="00DE15F0"/>
    <w:rsid w:val="00DE5663"/>
    <w:rsid w:val="00DE78AA"/>
    <w:rsid w:val="00E053D0"/>
    <w:rsid w:val="00E15994"/>
    <w:rsid w:val="00E3114E"/>
    <w:rsid w:val="00E31A70"/>
    <w:rsid w:val="00E35B02"/>
    <w:rsid w:val="00E66496"/>
    <w:rsid w:val="00E66B35"/>
    <w:rsid w:val="00E66E10"/>
    <w:rsid w:val="00E734A5"/>
    <w:rsid w:val="00E769F6"/>
    <w:rsid w:val="00E8407C"/>
    <w:rsid w:val="00E84F3C"/>
    <w:rsid w:val="00EA012C"/>
    <w:rsid w:val="00EC6A55"/>
    <w:rsid w:val="00ED0288"/>
    <w:rsid w:val="00EE52CB"/>
    <w:rsid w:val="00EF38E7"/>
    <w:rsid w:val="00EF581D"/>
    <w:rsid w:val="00EF7FD8"/>
    <w:rsid w:val="00F06F59"/>
    <w:rsid w:val="00F17988"/>
    <w:rsid w:val="00F2164F"/>
    <w:rsid w:val="00F469F0"/>
    <w:rsid w:val="00F53273"/>
    <w:rsid w:val="00F755E4"/>
    <w:rsid w:val="00F77D02"/>
    <w:rsid w:val="00F965E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80EC4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785490"/>
    <w:pPr>
      <w:spacing w:after="120"/>
    </w:pPr>
  </w:style>
  <w:style w:type="character" w:customStyle="1" w:styleId="BodyTextChar">
    <w:name w:val="Body Text Char"/>
    <w:basedOn w:val="DefaultParagraphFont"/>
    <w:link w:val="BodyText"/>
    <w:semiHidden/>
    <w:rsid w:val="00785490"/>
    <w:rPr>
      <w:rFonts w:ascii="Helvetica" w:hAnsi="Helvetica"/>
    </w:rPr>
  </w:style>
  <w:style w:type="paragraph" w:styleId="NoSpacing">
    <w:name w:val="No Spacing"/>
    <w:uiPriority w:val="1"/>
    <w:qFormat/>
    <w:rsid w:val="0078549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7847-4F12-4994-BB53-2BDFA6EA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9</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28</cp:revision>
  <cp:lastPrinted>1999-07-06T11:00:00Z</cp:lastPrinted>
  <dcterms:created xsi:type="dcterms:W3CDTF">2014-10-25T14:34:00Z</dcterms:created>
  <dcterms:modified xsi:type="dcterms:W3CDTF">2025-11-21T11:55:00Z</dcterms:modified>
</cp:coreProperties>
</file>