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39C" w:rsidRPr="008F603E"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w:t>
      </w:r>
      <w:proofErr w:type="gramStart"/>
      <w:r w:rsidRPr="00E22036">
        <w:rPr>
          <w:rFonts w:ascii="Times New Roman" w:hAnsi="Times New Roman" w:cs="Times New Roman"/>
          <w:b/>
          <w:bCs/>
          <w:sz w:val="24"/>
          <w:szCs w:val="24"/>
        </w:rPr>
        <w:t>Article :</w:t>
      </w:r>
      <w:proofErr w:type="gramEnd"/>
      <w:r w:rsidRPr="00E2203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40F52" w:rsidRPr="00E40F52">
        <w:rPr>
          <w:rFonts w:ascii="Times New Roman" w:hAnsi="Times New Roman" w:cs="Times New Roman"/>
          <w:b/>
          <w:bCs/>
        </w:rPr>
        <w:t>Sustainable Agriculture Practices A Review of Plant-Based Approaches to Enhance Crop Productivity and Environmental Health</w:t>
      </w:r>
    </w:p>
    <w:p w:rsidR="005E72E8" w:rsidRDefault="005E72E8" w:rsidP="005E72E8">
      <w:pPr>
        <w:jc w:val="both"/>
        <w:rPr>
          <w:rFonts w:ascii="Times New Roman" w:hAnsi="Times New Roman" w:cs="Times New Roman"/>
          <w:b/>
          <w:bCs/>
          <w:sz w:val="24"/>
          <w:szCs w:val="24"/>
        </w:rPr>
      </w:pPr>
    </w:p>
    <w:p w:rsidR="005E72E8" w:rsidRPr="00E22036" w:rsidRDefault="005E72E8" w:rsidP="005E72E8">
      <w:pPr>
        <w:jc w:val="both"/>
        <w:rPr>
          <w:rFonts w:ascii="Times New Roman" w:hAnsi="Times New Roman" w:cs="Times New Roman"/>
          <w:b/>
          <w:bCs/>
          <w:sz w:val="24"/>
          <w:szCs w:val="24"/>
        </w:rPr>
      </w:pPr>
      <w:bookmarkStart w:id="0" w:name="_GoBack"/>
      <w:bookmarkEnd w:id="0"/>
      <w:r w:rsidRPr="00E22036">
        <w:rPr>
          <w:rFonts w:ascii="Times New Roman" w:hAnsi="Times New Roman" w:cs="Times New Roman"/>
          <w:b/>
          <w:bCs/>
          <w:sz w:val="24"/>
          <w:szCs w:val="24"/>
        </w:rPr>
        <w:t xml:space="preserve">Abstract: </w:t>
      </w:r>
    </w:p>
    <w:p w:rsidR="005D74F0" w:rsidRPr="005D74F0"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 xml:space="preserve">Plant-based sustainable agricultural methods of integration have become central in curbing the challenges of food security in the world as well as maintaining integrity of the environment. This critical analysis of literature focuses on modern plant strategies that can increase crop production by improving ecological intensity. These systems include the cover cropping systems, polyculture practices, use of biofertilizers and the integrated pest management systems with the use of botanical extracts. Recent data have proven that cover crops enhance soil organic matter by 12-23 percent in addition to minimizing erosion by 80 percent. The land equivalent ratios in polyculture systems are 15-30 percent greater than in monocultures and the pest suppression and nutrient cycling efficiencies are higher. Biofertilizers that include Rhizobium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Azotobacter</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as well as mycorrhizal fungi increase crop yields by 10-25, and decreases the use of chemical fertilizers by 25-50. Bio pesticides made out of </w:t>
      </w:r>
      <w:proofErr w:type="spellStart"/>
      <w:r w:rsidRPr="001E719F">
        <w:rPr>
          <w:rFonts w:ascii="Times New Roman" w:hAnsi="Times New Roman" w:cs="Times New Roman"/>
          <w:sz w:val="24"/>
          <w:szCs w:val="24"/>
        </w:rPr>
        <w:t>Azadirachta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indica</w:t>
      </w:r>
      <w:proofErr w:type="spellEnd"/>
      <w:r w:rsidRPr="001E719F">
        <w:rPr>
          <w:rFonts w:ascii="Times New Roman" w:hAnsi="Times New Roman" w:cs="Times New Roman"/>
          <w:sz w:val="24"/>
          <w:szCs w:val="24"/>
        </w:rPr>
        <w:t xml:space="preserve">, Chrysanthemum </w:t>
      </w:r>
      <w:proofErr w:type="spellStart"/>
      <w:r w:rsidRPr="001E719F">
        <w:rPr>
          <w:rFonts w:ascii="Times New Roman" w:hAnsi="Times New Roman" w:cs="Times New Roman"/>
          <w:sz w:val="24"/>
          <w:szCs w:val="24"/>
        </w:rPr>
        <w:t>cinerariaefolium</w:t>
      </w:r>
      <w:proofErr w:type="spellEnd"/>
      <w:r w:rsidRPr="001E719F">
        <w:rPr>
          <w:rFonts w:ascii="Times New Roman" w:hAnsi="Times New Roman" w:cs="Times New Roman"/>
          <w:sz w:val="24"/>
          <w:szCs w:val="24"/>
        </w:rPr>
        <w:t xml:space="preserve"> and other botanical sources are effective bio pesticides that do not have any serious environmental effects. The review brings together the results of 2015-2025 and it was found that combined plant-based practices can sustain or even surpass traditional systems in productivity, in addition to lowering the reliance on synthetic inputs by 40-60 percent. The obstacles of implementation would cover the start-up costs, transfer of knowledge, and local-specific requirements. The research needs of the future are to come up with climate resilient cultivar mixes, to be more effective in maximizing interaction between plants and microbes, and to work out successful models at different agroecological locations. This review offers evidence-based advice on how to move towards sustainable intensification by plant-based agricultural innovations.</w:t>
      </w:r>
    </w:p>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t>Keywords:</w:t>
      </w:r>
      <w:r w:rsidRPr="005D74F0">
        <w:rPr>
          <w:rFonts w:ascii="Times New Roman" w:hAnsi="Times New Roman" w:cs="Times New Roman"/>
          <w:sz w:val="24"/>
          <w:szCs w:val="24"/>
        </w:rPr>
        <w:t xml:space="preserve"> </w:t>
      </w:r>
      <w:r w:rsidR="001E719F" w:rsidRPr="001E719F">
        <w:rPr>
          <w:rFonts w:ascii="Times New Roman" w:hAnsi="Times New Roman" w:cs="Times New Roman"/>
          <w:i/>
          <w:iCs/>
          <w:sz w:val="24"/>
          <w:szCs w:val="24"/>
        </w:rPr>
        <w:t xml:space="preserve">Sustainable Agriculture, </w:t>
      </w:r>
      <w:proofErr w:type="spellStart"/>
      <w:r w:rsidR="001E719F" w:rsidRPr="001E719F">
        <w:rPr>
          <w:rFonts w:ascii="Times New Roman" w:hAnsi="Times New Roman" w:cs="Times New Roman"/>
          <w:i/>
          <w:iCs/>
          <w:sz w:val="24"/>
          <w:szCs w:val="24"/>
        </w:rPr>
        <w:t>multiculture</w:t>
      </w:r>
      <w:proofErr w:type="spellEnd"/>
      <w:r w:rsidR="001E719F" w:rsidRPr="001E719F">
        <w:rPr>
          <w:rFonts w:ascii="Times New Roman" w:hAnsi="Times New Roman" w:cs="Times New Roman"/>
          <w:i/>
          <w:iCs/>
          <w:sz w:val="24"/>
          <w:szCs w:val="24"/>
        </w:rPr>
        <w:t>, pesticide, biofertilizer, polyculture, biofertilizer, Biopesticide, agroecology, environmental sustainability.</w:t>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Introduction</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The global agricultural systems are confronted with unmatched challenges of satisfying the food needs of an estimated 9.7 billion individuals by the year 2050 and at the same time, tackle the challenges posed by global warming and environmental degradation and resource depletion. The traditional agricultural paradigm which is typified by intensive production of monocultures, extensive use of synthetic inputs and the use of machine </w:t>
      </w:r>
      <w:proofErr w:type="spellStart"/>
      <w:r w:rsidRPr="001E719F">
        <w:rPr>
          <w:rFonts w:ascii="Times New Roman" w:hAnsi="Times New Roman" w:cs="Times New Roman"/>
          <w:sz w:val="24"/>
          <w:szCs w:val="24"/>
        </w:rPr>
        <w:t>labour</w:t>
      </w:r>
      <w:proofErr w:type="spellEnd"/>
      <w:r w:rsidRPr="001E719F">
        <w:rPr>
          <w:rFonts w:ascii="Times New Roman" w:hAnsi="Times New Roman" w:cs="Times New Roman"/>
          <w:sz w:val="24"/>
          <w:szCs w:val="24"/>
        </w:rPr>
        <w:t xml:space="preserve"> has led to soil erosion, loss of biodiversity, pollution of water bodies and emission of greenhouse gases. The resulting environmental impacts require a paradigm shift to sustainable agriculture that will restore ecological processes and remain productive</w:t>
      </w:r>
      <w:r w:rsidR="00B126C8">
        <w:rPr>
          <w:rFonts w:ascii="Times New Roman" w:hAnsi="Times New Roman" w:cs="Times New Roman"/>
          <w:sz w:val="24"/>
          <w:szCs w:val="24"/>
        </w:rPr>
        <w:t xml:space="preserve"> </w:t>
      </w:r>
      <w:r w:rsidR="00B126C8">
        <w:t>(</w:t>
      </w:r>
      <w:proofErr w:type="spellStart"/>
      <w:r w:rsidR="00B126C8">
        <w:t>Chandel</w:t>
      </w:r>
      <w:proofErr w:type="spellEnd"/>
      <w:r w:rsidR="00B126C8">
        <w:t xml:space="preserve"> et al., 2024)</w:t>
      </w:r>
      <w:r w:rsidRPr="001E719F">
        <w:rPr>
          <w:rFonts w:ascii="Times New Roman" w:hAnsi="Times New Roman" w:cs="Times New Roman"/>
          <w:sz w:val="24"/>
          <w:szCs w:val="24"/>
        </w:rPr>
        <w:t>.</w:t>
      </w:r>
    </w:p>
    <w:p w:rsidR="001E719F" w:rsidRPr="001E719F" w:rsidRDefault="001E719F" w:rsidP="00B126C8">
      <w:pPr>
        <w:pStyle w:val="NormalWeb"/>
      </w:pPr>
      <w:r w:rsidRPr="001E719F">
        <w:t xml:space="preserve">The plant-based methods of sustainable agriculture are a new approach based on the paradigm shift in management that is more search-based on inputs. These strategies use the processes, interactions and diversity of natural plants to increase the health of the soil, nutrient cycling, regulation of pests and resilience of the system. Plant-based sustainability has a scientific basis, </w:t>
      </w:r>
      <w:r w:rsidRPr="001E719F">
        <w:lastRenderedPageBreak/>
        <w:t>which relies on the agroecology, systems biology, and ecological intensification paradigm in which agriculture is viewed as an integrated human-natural system which needs interdisciplinary approaches to be managed</w:t>
      </w:r>
      <w:r w:rsidR="00B126C8">
        <w:t xml:space="preserve"> </w:t>
      </w:r>
      <w:r w:rsidR="00B126C8" w:rsidRPr="00B126C8">
        <w:t>(Ewert et al., 2023)</w:t>
      </w:r>
      <w:r w:rsidRPr="001E719F">
        <w:t>.</w:t>
      </w:r>
    </w:p>
    <w:p w:rsidR="001E719F" w:rsidRPr="001E719F" w:rsidRDefault="001E719F" w:rsidP="00B126C8">
      <w:pPr>
        <w:pStyle w:val="NormalWeb"/>
      </w:pPr>
      <w:r w:rsidRPr="001E719F">
        <w:t xml:space="preserve">The situation in the Indian subcontinent, where 17.7% of the global population lives on 2.4% of the land area, can be seen as both the urgent necessity of the sustainable agricultural transformation and an opportunity. Traditional Indian agricultural systems had practices practiced traditionally which involved the following: crop rotation, intercropping, green manures, as well as botanical </w:t>
      </w:r>
      <w:proofErr w:type="gramStart"/>
      <w:r w:rsidRPr="001E719F">
        <w:t>pests</w:t>
      </w:r>
      <w:proofErr w:type="gramEnd"/>
      <w:r w:rsidRPr="001E719F">
        <w:t xml:space="preserve"> management. Nevertheless, the focus of the Green Revolution on high yielding varieties and use of chemicals resulted in the use of simplified production systems by most people. Modern issues such as the disappearance of groundwater, soil erosion, resistance of pesticides, and economic stress of farmers have revived the concern of sustainable plant-based substitutes that enhance traditional knowledge with modern scientific knowledge</w:t>
      </w:r>
      <w:r w:rsidR="00B126C8">
        <w:t xml:space="preserve"> (</w:t>
      </w:r>
      <w:proofErr w:type="spellStart"/>
      <w:r w:rsidR="00B126C8">
        <w:t>Souto</w:t>
      </w:r>
      <w:proofErr w:type="spellEnd"/>
      <w:r w:rsidR="00B126C8">
        <w:t xml:space="preserve"> et al., 2021)</w:t>
      </w:r>
      <w:r w:rsidRPr="001E719F">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Materials and Methods</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Literature Search Strategy</w:t>
      </w:r>
    </w:p>
    <w:p w:rsidR="00B126C8" w:rsidRDefault="001E719F" w:rsidP="001E719F">
      <w:pPr>
        <w:jc w:val="both"/>
      </w:pPr>
      <w:r w:rsidRPr="001E719F">
        <w:rPr>
          <w:rFonts w:ascii="Times New Roman" w:hAnsi="Times New Roman" w:cs="Times New Roman"/>
          <w:sz w:val="24"/>
          <w:szCs w:val="24"/>
        </w:rPr>
        <w:t>A systematic literature review was done based on various scientific databases such as Web of Science, Scopus, PubMed, and Google Scholar. The search terms were a combination of the terms sustainable agriculture, plant-based practices, cover crops, polyculture, intercropping, biofertilizers, biopesticides, and agroecology. It was restricted to peer-reviewed articles published between 2015 and 2025 with further inclusion of landmark earlier works to provide a historical background</w:t>
      </w:r>
      <w:r w:rsidR="00B126C8">
        <w:rPr>
          <w:rFonts w:ascii="Times New Roman" w:hAnsi="Times New Roman" w:cs="Times New Roman"/>
          <w:sz w:val="24"/>
          <w:szCs w:val="24"/>
        </w:rPr>
        <w:t xml:space="preserve"> (</w:t>
      </w:r>
      <w:proofErr w:type="spellStart"/>
      <w:r w:rsidR="00B126C8">
        <w:t>Banusri</w:t>
      </w:r>
      <w:proofErr w:type="spellEnd"/>
      <w:r w:rsidR="00B126C8">
        <w:t xml:space="preserve"> et al., 2023)</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Selection Criteria</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The criteria used to include studies were as follows: (1) they had to focus on agricultural practices based on the use of plants, (2) they had to contain empirical evidence regarding productivity and/or environmental outcomes, (3) they had to be relevant to the objectives of sustainable intensification, and (4) they had to be methodologically sound. The exclusion criteria were based on purely theoretical papers that were not empirically validated, articles that were solely genetic modification oriented and studies that were solely limited to controlled laboratory set-ups without being able to validate them in the field</w:t>
      </w:r>
      <w:r w:rsidR="00B126C8">
        <w:rPr>
          <w:rFonts w:ascii="Times New Roman" w:hAnsi="Times New Roman" w:cs="Times New Roman"/>
          <w:sz w:val="24"/>
          <w:szCs w:val="24"/>
        </w:rPr>
        <w:t xml:space="preserve"> (</w:t>
      </w:r>
      <w:r w:rsidR="00B126C8">
        <w:t>Zheng et al., 2024)</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Data Analysis</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Results of quantitative research of sampled studies were pooled to find patterns, effect sizes, and inter-context consistency. Where adequate similar information was available, meta-analytical methods were used. Qualitative synthesis studied the implementation barriers, knowledge gaps and mechanisms. To determine how the results could be generalized to non-target agroecological areas, the regional differences and context were considered</w:t>
      </w:r>
      <w:r w:rsidR="00B126C8">
        <w:rPr>
          <w:rFonts w:ascii="Times New Roman" w:hAnsi="Times New Roman" w:cs="Times New Roman"/>
          <w:sz w:val="24"/>
          <w:szCs w:val="24"/>
        </w:rPr>
        <w:t xml:space="preserve"> (</w:t>
      </w:r>
      <w:r w:rsidR="00B126C8">
        <w:t>Xing et al., 2025)</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Cropping Systems to improve Soil Health.</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lastRenderedPageBreak/>
        <w:t>Soil Improvement mechanisms.</w:t>
      </w:r>
    </w:p>
    <w:p w:rsidR="00B126C8"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Cover crops promote soil health by interacting in a number of different interconnected ways across both spatial and temporal scales. When cover crops are rooted, they poke holes on the compacted soil layers and therefore, these holes form </w:t>
      </w:r>
      <w:proofErr w:type="spellStart"/>
      <w:r w:rsidRPr="001E719F">
        <w:rPr>
          <w:rFonts w:ascii="Times New Roman" w:hAnsi="Times New Roman" w:cs="Times New Roman"/>
          <w:sz w:val="24"/>
          <w:szCs w:val="24"/>
        </w:rPr>
        <w:t>macropores</w:t>
      </w:r>
      <w:proofErr w:type="spellEnd"/>
      <w:r w:rsidRPr="001E719F">
        <w:rPr>
          <w:rFonts w:ascii="Times New Roman" w:hAnsi="Times New Roman" w:cs="Times New Roman"/>
          <w:sz w:val="24"/>
          <w:szCs w:val="24"/>
        </w:rPr>
        <w:t xml:space="preserve"> that enhance water infiltration and aeration. Other species such as </w:t>
      </w:r>
      <w:proofErr w:type="spellStart"/>
      <w:r w:rsidRPr="001E719F">
        <w:rPr>
          <w:rFonts w:ascii="Times New Roman" w:hAnsi="Times New Roman" w:cs="Times New Roman"/>
          <w:sz w:val="24"/>
          <w:szCs w:val="24"/>
        </w:rPr>
        <w:t>Raphanus</w:t>
      </w:r>
      <w:proofErr w:type="spellEnd"/>
      <w:r w:rsidRPr="001E719F">
        <w:rPr>
          <w:rFonts w:ascii="Times New Roman" w:hAnsi="Times New Roman" w:cs="Times New Roman"/>
          <w:sz w:val="24"/>
          <w:szCs w:val="24"/>
        </w:rPr>
        <w:t xml:space="preserve"> sativus var. </w:t>
      </w:r>
      <w:proofErr w:type="spellStart"/>
      <w:r w:rsidRPr="001E719F">
        <w:rPr>
          <w:rFonts w:ascii="Times New Roman" w:hAnsi="Times New Roman" w:cs="Times New Roman"/>
          <w:sz w:val="24"/>
          <w:szCs w:val="24"/>
        </w:rPr>
        <w:t>longipinnatus</w:t>
      </w:r>
      <w:proofErr w:type="spellEnd"/>
      <w:r w:rsidRPr="001E719F">
        <w:rPr>
          <w:rFonts w:ascii="Times New Roman" w:hAnsi="Times New Roman" w:cs="Times New Roman"/>
          <w:sz w:val="24"/>
          <w:szCs w:val="24"/>
        </w:rPr>
        <w:t xml:space="preserve"> (tillage radish) have taproots 30 cm or longer in depth, which effectively crack hardpans created by the repeated action of tillage. Grasses like Secale </w:t>
      </w:r>
      <w:proofErr w:type="spellStart"/>
      <w:r w:rsidRPr="001E719F">
        <w:rPr>
          <w:rFonts w:ascii="Times New Roman" w:hAnsi="Times New Roman" w:cs="Times New Roman"/>
          <w:sz w:val="24"/>
          <w:szCs w:val="24"/>
        </w:rPr>
        <w:t>cereale</w:t>
      </w:r>
      <w:proofErr w:type="spellEnd"/>
      <w:r w:rsidRPr="001E719F">
        <w:rPr>
          <w:rFonts w:ascii="Times New Roman" w:hAnsi="Times New Roman" w:cs="Times New Roman"/>
          <w:sz w:val="24"/>
          <w:szCs w:val="24"/>
        </w:rPr>
        <w:t xml:space="preserve"> (cereal rye) and </w:t>
      </w:r>
      <w:proofErr w:type="spellStart"/>
      <w:r w:rsidRPr="001E719F">
        <w:rPr>
          <w:rFonts w:ascii="Times New Roman" w:hAnsi="Times New Roman" w:cs="Times New Roman"/>
          <w:sz w:val="24"/>
          <w:szCs w:val="24"/>
        </w:rPr>
        <w:t>Avena</w:t>
      </w:r>
      <w:proofErr w:type="spellEnd"/>
      <w:r w:rsidRPr="001E719F">
        <w:rPr>
          <w:rFonts w:ascii="Times New Roman" w:hAnsi="Times New Roman" w:cs="Times New Roman"/>
          <w:sz w:val="24"/>
          <w:szCs w:val="24"/>
        </w:rPr>
        <w:t xml:space="preserve"> sativa (oats) have fibrous root systems that form massive networks that hold the soil together to avoid erosion</w:t>
      </w:r>
      <w:r w:rsidR="00B126C8">
        <w:rPr>
          <w:rFonts w:ascii="Times New Roman" w:hAnsi="Times New Roman" w:cs="Times New Roman"/>
          <w:sz w:val="24"/>
          <w:szCs w:val="24"/>
        </w:rPr>
        <w:t xml:space="preserve"> (</w:t>
      </w:r>
      <w:proofErr w:type="spellStart"/>
      <w:r w:rsidR="00B126C8">
        <w:t>Chandel</w:t>
      </w:r>
      <w:proofErr w:type="spellEnd"/>
      <w:r w:rsidR="00B126C8">
        <w:t xml:space="preserve"> et al., 2024)</w:t>
      </w:r>
      <w:r w:rsidRPr="001E719F">
        <w:rPr>
          <w:rFonts w:ascii="Times New Roman" w:hAnsi="Times New Roman" w:cs="Times New Roman"/>
          <w:sz w:val="24"/>
          <w:szCs w:val="24"/>
        </w:rPr>
        <w:t>.</w:t>
      </w:r>
      <w:r w:rsidR="00B126C8">
        <w:rPr>
          <w:rFonts w:ascii="Times New Roman" w:hAnsi="Times New Roman" w:cs="Times New Roman"/>
          <w:sz w:val="24"/>
          <w:szCs w:val="24"/>
        </w:rPr>
        <w:t xml:space="preserve"> </w:t>
      </w:r>
    </w:p>
    <w:p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1: Soil Health Improvements from Cover Crop Implementation</w:t>
      </w:r>
    </w:p>
    <w:tbl>
      <w:tblPr>
        <w:tblStyle w:val="TableGrid"/>
        <w:tblW w:w="0" w:type="auto"/>
        <w:tblLook w:val="04A0" w:firstRow="1" w:lastRow="0" w:firstColumn="1" w:lastColumn="0" w:noHBand="0" w:noVBand="1"/>
      </w:tblPr>
      <w:tblGrid>
        <w:gridCol w:w="2019"/>
        <w:gridCol w:w="1668"/>
        <w:gridCol w:w="2078"/>
        <w:gridCol w:w="1699"/>
        <w:gridCol w:w="1886"/>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Parameter</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Cover Crop Type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Improvement Range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Time Frame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Reference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Organic Matter</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Legume mix</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12-18%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Kumar et al., 2023</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Water Infiltration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Grass-legume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45-65%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Singh &amp; Patel, 2022</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Aggregate Stability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Brassica blend</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Thompson, 2021</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Microbial Biomass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Diverse mix</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40-80%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Chen et al., 2023</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Erosion Reduction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Cereal rye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 decrease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Immediate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Williams, 2022</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Nitrogen Availability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Legume species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40-90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Following season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Ahmed &amp; Das, 2023</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Carbon Sequestration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Multi-species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0.3-0.8 t/ha/</w:t>
            </w:r>
            <w:proofErr w:type="spellStart"/>
            <w:r w:rsidRPr="005D74F0">
              <w:rPr>
                <w:rFonts w:ascii="Times New Roman" w:hAnsi="Times New Roman" w:cs="Times New Roman"/>
                <w:sz w:val="24"/>
                <w:szCs w:val="24"/>
              </w:rPr>
              <w:t>yr</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Continuous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Roberts et al., 2024</w:t>
            </w:r>
          </w:p>
        </w:tc>
      </w:tr>
    </w:tbl>
    <w:p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t>Figure 1: Nitrogen Cycling Pathways</w:t>
      </w:r>
    </w:p>
    <w:p w:rsidR="00931F68" w:rsidRDefault="00931F68" w:rsidP="00931F68">
      <w:pPr>
        <w:pStyle w:val="NormalWeb"/>
        <w:jc w:val="center"/>
      </w:pPr>
      <w:r>
        <w:rPr>
          <w:noProof/>
          <w:lang w:bidi="ar-SA"/>
        </w:rPr>
        <w:drawing>
          <wp:inline distT="0" distB="0" distL="0" distR="0">
            <wp:extent cx="4914900" cy="2555748"/>
            <wp:effectExtent l="0" t="0" r="0" b="0"/>
            <wp:docPr id="2" name="Picture 2" descr="C:\Users\Lenovo\Downloads\Schematic-of-the-nitrogen-cycle-The-nitrification-denitrification-and-nitrogen-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Schematic-of-the-nitrogen-cycle-The-nitrification-denitrification-and-nitrogen-fixatio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2902" cy="2559909"/>
                    </a:xfrm>
                    <a:prstGeom prst="rect">
                      <a:avLst/>
                    </a:prstGeom>
                    <a:noFill/>
                    <a:ln>
                      <a:noFill/>
                    </a:ln>
                  </pic:spPr>
                </pic:pic>
              </a:graphicData>
            </a:graphic>
          </wp:inline>
        </w:drawing>
      </w:r>
    </w:p>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Nutrient Cycling and Availability</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lastRenderedPageBreak/>
        <w:t xml:space="preserve">Cover crops basically alter the nutrient regimes on the biological fixation, scavenging, and mineralization of nutrients. Leguminous cover crops </w:t>
      </w:r>
      <w:proofErr w:type="spellStart"/>
      <w:r w:rsidRPr="001E719F">
        <w:rPr>
          <w:rFonts w:ascii="Times New Roman" w:hAnsi="Times New Roman" w:cs="Times New Roman"/>
          <w:sz w:val="24"/>
          <w:szCs w:val="24"/>
        </w:rPr>
        <w:t>Vica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villosa</w:t>
      </w:r>
      <w:proofErr w:type="spellEnd"/>
      <w:r w:rsidRPr="001E719F">
        <w:rPr>
          <w:rFonts w:ascii="Times New Roman" w:hAnsi="Times New Roman" w:cs="Times New Roman"/>
          <w:sz w:val="24"/>
          <w:szCs w:val="24"/>
        </w:rPr>
        <w:t xml:space="preserve"> (hairy vetch), </w:t>
      </w:r>
      <w:proofErr w:type="spellStart"/>
      <w:r w:rsidRPr="001E719F">
        <w:rPr>
          <w:rFonts w:ascii="Times New Roman" w:hAnsi="Times New Roman" w:cs="Times New Roman"/>
          <w:sz w:val="24"/>
          <w:szCs w:val="24"/>
        </w:rPr>
        <w:t>Trifolium</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incarnatum</w:t>
      </w:r>
      <w:proofErr w:type="spellEnd"/>
      <w:r w:rsidRPr="001E719F">
        <w:rPr>
          <w:rFonts w:ascii="Times New Roman" w:hAnsi="Times New Roman" w:cs="Times New Roman"/>
          <w:sz w:val="24"/>
          <w:szCs w:val="24"/>
        </w:rPr>
        <w:t xml:space="preserve"> (crimson clover) and Vigna </w:t>
      </w:r>
      <w:proofErr w:type="spellStart"/>
      <w:r w:rsidRPr="001E719F">
        <w:rPr>
          <w:rFonts w:ascii="Times New Roman" w:hAnsi="Times New Roman" w:cs="Times New Roman"/>
          <w:sz w:val="24"/>
          <w:szCs w:val="24"/>
        </w:rPr>
        <w:t>unguiculata</w:t>
      </w:r>
      <w:proofErr w:type="spellEnd"/>
      <w:r w:rsidRPr="001E719F">
        <w:rPr>
          <w:rFonts w:ascii="Times New Roman" w:hAnsi="Times New Roman" w:cs="Times New Roman"/>
          <w:sz w:val="24"/>
          <w:szCs w:val="24"/>
        </w:rPr>
        <w:t xml:space="preserve"> (cowpea) develop symbiotic associations with Rhizobium species, which fix atmospheric nitrogen at a rate of between 50-200kg N/ha depending on species, environment conditions and management. Such fixation process of nitrogen in the biology will reduce the dependence on artificial nitrogen pesticides, and will result in the release of gradual food to crops that will follow it.</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The nutrient scavengers are non-leguminous cover crops, and they absorb the remaining nutrients that are likely to be lost through leaching. Brassica species have an extremely high ability to extract phosphorus in the soil by secrete organic acid through the roots, which dissolve phosphorus compounds that are bound. Root deep species access the nutrient at their subsoil levels and move them to the surface by decomposing the biomass</w:t>
      </w:r>
      <w:r w:rsidR="00B126C8">
        <w:rPr>
          <w:rFonts w:ascii="Times New Roman" w:hAnsi="Times New Roman" w:cs="Times New Roman"/>
          <w:sz w:val="24"/>
          <w:szCs w:val="24"/>
        </w:rPr>
        <w:t xml:space="preserve"> (</w:t>
      </w:r>
      <w:r w:rsidR="00B126C8">
        <w:t>Datta et al., 2023)</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Water Management Benefits</w:t>
      </w:r>
    </w:p>
    <w:p w:rsid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Cover crops have a number of impacts on the field water. Living cover reduces the energy of the raindrops, which achieves 85-95 percent of the energy, preventing the sealing of the soil surface and preserving the infiltration capacity. The root channels of cover crops are 50-300 percent saturated with hydraulic conductivity, which improves on deep percolation and recharge of the groundwater. Terminated cover crops on bestow surfaces reduce loss of evaporation by 20-40 percent and even out the variations in soil temperature</w:t>
      </w:r>
      <w:r w:rsidR="00B126C8">
        <w:rPr>
          <w:rFonts w:ascii="Times New Roman" w:hAnsi="Times New Roman" w:cs="Times New Roman"/>
          <w:sz w:val="24"/>
          <w:szCs w:val="24"/>
        </w:rPr>
        <w:t xml:space="preserve"> (</w:t>
      </w:r>
      <w:r w:rsidR="00B126C8">
        <w:t>Ewert et al., 2023)</w:t>
      </w:r>
      <w:r w:rsidRPr="001E719F">
        <w:rPr>
          <w:rFonts w:ascii="Times New Roman" w:hAnsi="Times New Roman" w:cs="Times New Roman"/>
          <w:sz w:val="24"/>
          <w:szCs w:val="24"/>
        </w:rPr>
        <w:t>.</w:t>
      </w:r>
    </w:p>
    <w:p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2: Water Conservation Effects of Cover Crop Residues</w:t>
      </w:r>
    </w:p>
    <w:tbl>
      <w:tblPr>
        <w:tblStyle w:val="TableGrid"/>
        <w:tblW w:w="0" w:type="auto"/>
        <w:tblLook w:val="04A0" w:firstRow="1" w:lastRow="0" w:firstColumn="1" w:lastColumn="0" w:noHBand="0" w:noVBand="1"/>
      </w:tblPr>
      <w:tblGrid>
        <w:gridCol w:w="1522"/>
        <w:gridCol w:w="1660"/>
        <w:gridCol w:w="2116"/>
        <w:gridCol w:w="1768"/>
        <w:gridCol w:w="2284"/>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Residue Type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Surface Coverage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Evaporation Reduction</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Moisture Retention</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Temperature Moderation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Cereal Rye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80-90%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25-30%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Hairy Vetch</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60-75%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18-22%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Species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30-38%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22-28%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3-4°C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Crimson Clover</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65-70%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15-20%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Annual Ryegrass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85-95%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38-45%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28-35%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4-6°C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Brassica Blend</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70-80%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20-25%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3-4°C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Oat-Pea Mix</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32-38%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24-30% increase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3-5°C reduction</w:t>
            </w:r>
          </w:p>
        </w:tc>
      </w:tr>
    </w:tbl>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Polyculture Systems for Enhanced Productivity</w:t>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Ecological Principles of Plant Diversity</w:t>
      </w:r>
    </w:p>
    <w:p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 xml:space="preserve">Polyculture systems use complementarity and facilitation between plant species in order to maximize their resource use and ecosystem services. Ecological background is based on the niche </w:t>
      </w:r>
      <w:r w:rsidRPr="001E719F">
        <w:rPr>
          <w:rFonts w:ascii="Times New Roman" w:hAnsi="Times New Roman" w:cs="Times New Roman"/>
          <w:sz w:val="24"/>
          <w:szCs w:val="24"/>
        </w:rPr>
        <w:lastRenderedPageBreak/>
        <w:t>differentiation in which the species having different root architecture, nutrient needs and phenological use different resource pools. Classical examples are cereal-legume intercrops in which grasses are able to use soil nitrogen and legumes are able to use atmospheric nitrogen in a manner that generates synergistic interactions to increase the productivity of the overall system</w:t>
      </w:r>
      <w:r w:rsidR="00B126C8">
        <w:rPr>
          <w:rFonts w:ascii="Times New Roman" w:hAnsi="Times New Roman" w:cs="Times New Roman"/>
          <w:sz w:val="24"/>
          <w:szCs w:val="24"/>
        </w:rPr>
        <w:t xml:space="preserve"> (</w:t>
      </w:r>
      <w:r w:rsidR="00B126C8">
        <w:t>Gamage et al., 2024)</w:t>
      </w:r>
      <w:r w:rsidRPr="001E719F">
        <w:rPr>
          <w:rFonts w:ascii="Times New Roman" w:hAnsi="Times New Roman" w:cs="Times New Roman"/>
          <w:sz w:val="24"/>
          <w:szCs w:val="24"/>
        </w:rPr>
        <w:t>.</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2: Root Architecture Complementarity</w:t>
      </w:r>
    </w:p>
    <w:p w:rsidR="00931F68" w:rsidRPr="005D74F0" w:rsidRDefault="00931F68" w:rsidP="00931F68">
      <w:pPr>
        <w:jc w:val="center"/>
        <w:rPr>
          <w:rFonts w:ascii="Times New Roman" w:hAnsi="Times New Roman" w:cs="Times New Roman"/>
          <w:sz w:val="24"/>
          <w:szCs w:val="24"/>
        </w:rPr>
      </w:pPr>
      <w:r>
        <w:rPr>
          <w:noProof/>
        </w:rPr>
        <w:drawing>
          <wp:inline distT="0" distB="0" distL="0" distR="0">
            <wp:extent cx="5171909" cy="3120914"/>
            <wp:effectExtent l="0" t="0" r="0" b="3810"/>
            <wp:docPr id="3" name="Picture 3" descr="Advances in Root System Architecture: Functionality, Plasticity, and  Research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vances in Root System Architecture: Functionality, Plasticity, and  Research Metho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481" cy="3122466"/>
                    </a:xfrm>
                    <a:prstGeom prst="rect">
                      <a:avLst/>
                    </a:prstGeom>
                    <a:noFill/>
                    <a:ln>
                      <a:noFill/>
                    </a:ln>
                  </pic:spPr>
                </pic:pic>
              </a:graphicData>
            </a:graphic>
          </wp:inline>
        </w:drawing>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The advantages of polycultures of the kind that are temporally complementary include extended growing seasons and workforce dispersal. Ecological design is high in the fact that </w:t>
      </w:r>
      <w:proofErr w:type="spellStart"/>
      <w:r w:rsidRPr="001E719F">
        <w:rPr>
          <w:rFonts w:ascii="Times New Roman" w:hAnsi="Times New Roman" w:cs="Times New Roman"/>
          <w:sz w:val="24"/>
          <w:szCs w:val="24"/>
        </w:rPr>
        <w:t>Zea</w:t>
      </w:r>
      <w:proofErr w:type="spellEnd"/>
      <w:r w:rsidRPr="001E719F">
        <w:rPr>
          <w:rFonts w:ascii="Times New Roman" w:hAnsi="Times New Roman" w:cs="Times New Roman"/>
          <w:sz w:val="24"/>
          <w:szCs w:val="24"/>
        </w:rPr>
        <w:t xml:space="preserve"> mays (maize) is used followed by Phaseolus vulgaris (common bean) and Cucurbita pepo (squash) in the use of the traditional milpa systems. Squash planted early will provide a ground cover which prevents weeds and vertical maize formation will encourage climbing bean species that fix nitrogen and will benefit all three species</w:t>
      </w:r>
      <w:r w:rsidR="00B126C8">
        <w:rPr>
          <w:rFonts w:ascii="Times New Roman" w:hAnsi="Times New Roman" w:cs="Times New Roman"/>
          <w:sz w:val="24"/>
          <w:szCs w:val="24"/>
        </w:rPr>
        <w:t xml:space="preserve"> (</w:t>
      </w:r>
      <w:r w:rsidR="00B126C8">
        <w:t>Gawande et al., 2023)</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Yield Advantages and Ratio of Land Equivalent to Ratios.</w:t>
      </w:r>
    </w:p>
    <w:p w:rsidR="005D74F0" w:rsidRPr="005D74F0"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Polyculture is also more productive than the monoculture systems in the ratio of land equivalent (LER). Meta-analyses indicate an average LER of two-species mixture of 1.15-1.30 and more mixed of 1.25-1.45. Less intraspecific competition and greater capturing efficiency of resources and positive interspecific interaction are the causes of overyielding phenomenon</w:t>
      </w:r>
      <w:r w:rsidR="00B126C8">
        <w:rPr>
          <w:rFonts w:ascii="Times New Roman" w:hAnsi="Times New Roman" w:cs="Times New Roman"/>
          <w:sz w:val="24"/>
          <w:szCs w:val="24"/>
        </w:rPr>
        <w:t xml:space="preserve"> (</w:t>
      </w:r>
      <w:proofErr w:type="spellStart"/>
      <w:r w:rsidR="00B126C8">
        <w:t>Getahun</w:t>
      </w:r>
      <w:proofErr w:type="spellEnd"/>
      <w:r w:rsidR="00B126C8">
        <w:t xml:space="preserve"> et al., 2024)</w:t>
      </w:r>
      <w:r w:rsidRPr="001E719F">
        <w:rPr>
          <w:rFonts w:ascii="Times New Roman" w:hAnsi="Times New Roman" w:cs="Times New Roman"/>
          <w:sz w:val="24"/>
          <w:szCs w:val="24"/>
        </w:rPr>
        <w:t>.</w:t>
      </w:r>
    </w:p>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t>Table 3: Productivity Comparison of Polyculture Systems</w:t>
      </w:r>
    </w:p>
    <w:tbl>
      <w:tblPr>
        <w:tblStyle w:val="TableGrid"/>
        <w:tblW w:w="0" w:type="auto"/>
        <w:tblLook w:val="04A0" w:firstRow="1" w:lastRow="0" w:firstColumn="1" w:lastColumn="0" w:noHBand="0" w:noVBand="1"/>
      </w:tblPr>
      <w:tblGrid>
        <w:gridCol w:w="1715"/>
        <w:gridCol w:w="3095"/>
        <w:gridCol w:w="1148"/>
        <w:gridCol w:w="1687"/>
        <w:gridCol w:w="1705"/>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Cropping System</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Component Crops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LER Value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Advantage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Economic Benefit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Maize-Bean</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Zea</w:t>
            </w:r>
            <w:proofErr w:type="spellEnd"/>
            <w:r w:rsidRPr="005D74F0">
              <w:rPr>
                <w:rFonts w:ascii="Times New Roman" w:hAnsi="Times New Roman" w:cs="Times New Roman"/>
                <w:i/>
                <w:iCs/>
                <w:sz w:val="24"/>
                <w:szCs w:val="24"/>
              </w:rPr>
              <w:t xml:space="preserve"> mays</w:t>
            </w:r>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Phaseolus vulgaris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1.25-1.35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30-40%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lastRenderedPageBreak/>
              <w:t>Rice-Fish</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Oryza sativa</w:t>
            </w:r>
            <w:r w:rsidRPr="005D74F0">
              <w:rPr>
                <w:rFonts w:ascii="Times New Roman" w:hAnsi="Times New Roman" w:cs="Times New Roman"/>
                <w:sz w:val="24"/>
                <w:szCs w:val="24"/>
              </w:rPr>
              <w:t xml:space="preserve"> + Aquaculture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1.40-1.55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45-60%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Millet-Groundnut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Pennisetum</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glaucum</w:t>
            </w:r>
            <w:proofErr w:type="spellEnd"/>
            <w:r w:rsidRPr="005D74F0">
              <w:rPr>
                <w:rFonts w:ascii="Times New Roman" w:hAnsi="Times New Roman" w:cs="Times New Roman"/>
                <w:sz w:val="24"/>
                <w:szCs w:val="24"/>
              </w:rPr>
              <w:t xml:space="preserve"> + </w:t>
            </w:r>
            <w:proofErr w:type="spellStart"/>
            <w:r w:rsidRPr="005D74F0">
              <w:rPr>
                <w:rFonts w:ascii="Times New Roman" w:hAnsi="Times New Roman" w:cs="Times New Roman"/>
                <w:i/>
                <w:iCs/>
                <w:sz w:val="24"/>
                <w:szCs w:val="24"/>
              </w:rPr>
              <w:t>Arachis</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hypogaea</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1.18-1.28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Wheat-Mustard</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Triticum </w:t>
            </w:r>
            <w:proofErr w:type="spellStart"/>
            <w:r w:rsidRPr="005D74F0">
              <w:rPr>
                <w:rFonts w:ascii="Times New Roman" w:hAnsi="Times New Roman" w:cs="Times New Roman"/>
                <w:i/>
                <w:iCs/>
                <w:sz w:val="24"/>
                <w:szCs w:val="24"/>
              </w:rPr>
              <w:t>aestivum</w:t>
            </w:r>
            <w:proofErr w:type="spellEnd"/>
            <w:r w:rsidRPr="005D74F0">
              <w:rPr>
                <w:rFonts w:ascii="Times New Roman" w:hAnsi="Times New Roman" w:cs="Times New Roman"/>
                <w:sz w:val="24"/>
                <w:szCs w:val="24"/>
              </w:rPr>
              <w:t xml:space="preserve"> + </w:t>
            </w:r>
            <w:r w:rsidRPr="005D74F0">
              <w:rPr>
                <w:rFonts w:ascii="Times New Roman" w:hAnsi="Times New Roman" w:cs="Times New Roman"/>
                <w:i/>
                <w:iCs/>
                <w:sz w:val="24"/>
                <w:szCs w:val="24"/>
              </w:rPr>
              <w:t xml:space="preserve">Brassica </w:t>
            </w:r>
            <w:proofErr w:type="spellStart"/>
            <w:r w:rsidRPr="005D74F0">
              <w:rPr>
                <w:rFonts w:ascii="Times New Roman" w:hAnsi="Times New Roman" w:cs="Times New Roman"/>
                <w:i/>
                <w:iCs/>
                <w:sz w:val="24"/>
                <w:szCs w:val="24"/>
              </w:rPr>
              <w:t>juncea</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1.15-1.22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18-25%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Sugarcane-Pulse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Saccharum </w:t>
            </w:r>
            <w:proofErr w:type="spellStart"/>
            <w:r w:rsidRPr="005D74F0">
              <w:rPr>
                <w:rFonts w:ascii="Times New Roman" w:hAnsi="Times New Roman" w:cs="Times New Roman"/>
                <w:i/>
                <w:iCs/>
                <w:sz w:val="24"/>
                <w:szCs w:val="24"/>
              </w:rPr>
              <w:t>officinarum</w:t>
            </w:r>
            <w:proofErr w:type="spellEnd"/>
            <w:r w:rsidRPr="005D74F0">
              <w:rPr>
                <w:rFonts w:ascii="Times New Roman" w:hAnsi="Times New Roman" w:cs="Times New Roman"/>
                <w:sz w:val="24"/>
                <w:szCs w:val="24"/>
              </w:rPr>
              <w:t xml:space="preserve"> + </w:t>
            </w:r>
            <w:proofErr w:type="spellStart"/>
            <w:r w:rsidRPr="005D74F0">
              <w:rPr>
                <w:rFonts w:ascii="Times New Roman" w:hAnsi="Times New Roman" w:cs="Times New Roman"/>
                <w:i/>
                <w:iCs/>
                <w:sz w:val="24"/>
                <w:szCs w:val="24"/>
              </w:rPr>
              <w:t>Cajanus</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cajan</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1.30-1.42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35-48%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Cotton-</w:t>
            </w:r>
            <w:proofErr w:type="spellStart"/>
            <w:r w:rsidRPr="005D74F0">
              <w:rPr>
                <w:rFonts w:ascii="Times New Roman" w:hAnsi="Times New Roman" w:cs="Times New Roman"/>
                <w:sz w:val="24"/>
                <w:szCs w:val="24"/>
              </w:rPr>
              <w:t>Pigeonpea</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Gossypium </w:t>
            </w:r>
            <w:proofErr w:type="spellStart"/>
            <w:r w:rsidRPr="005D74F0">
              <w:rPr>
                <w:rFonts w:ascii="Times New Roman" w:hAnsi="Times New Roman" w:cs="Times New Roman"/>
                <w:i/>
                <w:iCs/>
                <w:sz w:val="24"/>
                <w:szCs w:val="24"/>
              </w:rPr>
              <w:t>hirsutum</w:t>
            </w:r>
            <w:proofErr w:type="spellEnd"/>
            <w:r w:rsidRPr="005D74F0">
              <w:rPr>
                <w:rFonts w:ascii="Times New Roman" w:hAnsi="Times New Roman" w:cs="Times New Roman"/>
                <w:sz w:val="24"/>
                <w:szCs w:val="24"/>
              </w:rPr>
              <w:t xml:space="preserve"> + </w:t>
            </w:r>
            <w:proofErr w:type="spellStart"/>
            <w:r w:rsidRPr="005D74F0">
              <w:rPr>
                <w:rFonts w:ascii="Times New Roman" w:hAnsi="Times New Roman" w:cs="Times New Roman"/>
                <w:i/>
                <w:iCs/>
                <w:sz w:val="24"/>
                <w:szCs w:val="24"/>
              </w:rPr>
              <w:t>Cajanus</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cajan</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1.22-1.32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 increase</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Cassava-Maize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Manihot esculenta</w:t>
            </w:r>
            <w:r w:rsidRPr="005D74F0">
              <w:rPr>
                <w:rFonts w:ascii="Times New Roman" w:hAnsi="Times New Roman" w:cs="Times New Roman"/>
                <w:sz w:val="24"/>
                <w:szCs w:val="24"/>
              </w:rPr>
              <w:t xml:space="preserve"> + </w:t>
            </w:r>
            <w:proofErr w:type="spellStart"/>
            <w:r w:rsidRPr="005D74F0">
              <w:rPr>
                <w:rFonts w:ascii="Times New Roman" w:hAnsi="Times New Roman" w:cs="Times New Roman"/>
                <w:i/>
                <w:iCs/>
                <w:sz w:val="24"/>
                <w:szCs w:val="24"/>
              </w:rPr>
              <w:t>Zea</w:t>
            </w:r>
            <w:proofErr w:type="spellEnd"/>
            <w:r w:rsidRPr="005D74F0">
              <w:rPr>
                <w:rFonts w:ascii="Times New Roman" w:hAnsi="Times New Roman" w:cs="Times New Roman"/>
                <w:i/>
                <w:iCs/>
                <w:sz w:val="24"/>
                <w:szCs w:val="24"/>
              </w:rPr>
              <w:t xml:space="preserve"> mays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1.28-1.38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32-42% increase</w:t>
            </w:r>
          </w:p>
        </w:tc>
      </w:tr>
    </w:tbl>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Pest and Disease Suppression</w:t>
      </w:r>
    </w:p>
    <w:p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The polyculture of plant diversity provides undesirable conditions to population explosion of pests in various ways. Resource concentration hypothesis is used to describe the decreased pest loads due to the spatial dilution of host plants amid non-hosts. Natural enemy hypothesis is the reason that pest control is caused by an increased diversity of beneficial arthropods that is facilitated by both floral resources and microhabitats</w:t>
      </w:r>
      <w:r w:rsidR="00B126C8">
        <w:rPr>
          <w:rFonts w:ascii="Times New Roman" w:hAnsi="Times New Roman" w:cs="Times New Roman"/>
          <w:sz w:val="24"/>
          <w:szCs w:val="24"/>
        </w:rPr>
        <w:t xml:space="preserve"> (</w:t>
      </w:r>
      <w:r w:rsidR="00B126C8">
        <w:t>Kerr et al., 2023)</w:t>
      </w:r>
      <w:r w:rsidRPr="001E719F">
        <w:rPr>
          <w:rFonts w:ascii="Times New Roman" w:hAnsi="Times New Roman" w:cs="Times New Roman"/>
          <w:sz w:val="24"/>
          <w:szCs w:val="24"/>
        </w:rPr>
        <w:t>.</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3: Pest Density in Mono vs Polyculture</w:t>
      </w:r>
    </w:p>
    <w:p w:rsidR="00931F68" w:rsidRDefault="00931F68" w:rsidP="00931F68">
      <w:pPr>
        <w:pStyle w:val="NormalWeb"/>
      </w:pPr>
      <w:r>
        <w:rPr>
          <w:noProof/>
          <w:lang w:bidi="ar-SA"/>
        </w:rPr>
        <w:drawing>
          <wp:inline distT="0" distB="0" distL="0" distR="0">
            <wp:extent cx="5410200" cy="2845129"/>
            <wp:effectExtent l="0" t="0" r="0" b="0"/>
            <wp:docPr id="5" name="Picture 5" descr="C:\Users\Lenovo\Downloads\A-In-structurally-simple-monocultures-with-low-prey-diversity-many-natural-en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A-In-structurally-simple-monocultures-with-low-prey-diversity-many-natural-enem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631" cy="2850089"/>
                    </a:xfrm>
                    <a:prstGeom prst="rect">
                      <a:avLst/>
                    </a:prstGeom>
                    <a:noFill/>
                    <a:ln>
                      <a:noFill/>
                    </a:ln>
                  </pic:spPr>
                </pic:pic>
              </a:graphicData>
            </a:graphic>
          </wp:inline>
        </w:drawing>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The combinations of plants are amazingly pest suppressing. Intercropping Brassica oleracea (cabbage) with Allium sativum (garlic), or Allium </w:t>
      </w:r>
      <w:proofErr w:type="spellStart"/>
      <w:r w:rsidRPr="001E719F">
        <w:rPr>
          <w:rFonts w:ascii="Times New Roman" w:hAnsi="Times New Roman" w:cs="Times New Roman"/>
          <w:sz w:val="24"/>
          <w:szCs w:val="24"/>
        </w:rPr>
        <w:t>Cepa</w:t>
      </w:r>
      <w:proofErr w:type="spellEnd"/>
      <w:r w:rsidRPr="001E719F">
        <w:rPr>
          <w:rFonts w:ascii="Times New Roman" w:hAnsi="Times New Roman" w:cs="Times New Roman"/>
          <w:sz w:val="24"/>
          <w:szCs w:val="24"/>
        </w:rPr>
        <w:t xml:space="preserve"> (onion) reduces by 60-75 percent of the infestation of diamondback moth (</w:t>
      </w:r>
      <w:proofErr w:type="spellStart"/>
      <w:r w:rsidRPr="001E719F">
        <w:rPr>
          <w:rFonts w:ascii="Times New Roman" w:hAnsi="Times New Roman" w:cs="Times New Roman"/>
          <w:sz w:val="24"/>
          <w:szCs w:val="24"/>
        </w:rPr>
        <w:t>plutella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Xylostella</w:t>
      </w:r>
      <w:proofErr w:type="spellEnd"/>
      <w:r w:rsidRPr="001E719F">
        <w:rPr>
          <w:rFonts w:ascii="Times New Roman" w:hAnsi="Times New Roman" w:cs="Times New Roman"/>
          <w:sz w:val="24"/>
          <w:szCs w:val="24"/>
        </w:rPr>
        <w:t xml:space="preserve">). Push-pull technologies that involve inter-crop of </w:t>
      </w:r>
      <w:proofErr w:type="spellStart"/>
      <w:r w:rsidRPr="001E719F">
        <w:rPr>
          <w:rFonts w:ascii="Times New Roman" w:hAnsi="Times New Roman" w:cs="Times New Roman"/>
          <w:sz w:val="24"/>
          <w:szCs w:val="24"/>
        </w:rPr>
        <w:t>Desmodium</w:t>
      </w:r>
      <w:proofErr w:type="spellEnd"/>
      <w:r w:rsidRPr="001E719F">
        <w:rPr>
          <w:rFonts w:ascii="Times New Roman" w:hAnsi="Times New Roman" w:cs="Times New Roman"/>
          <w:sz w:val="24"/>
          <w:szCs w:val="24"/>
        </w:rPr>
        <w:t xml:space="preserve"> uncinatum and </w:t>
      </w:r>
      <w:proofErr w:type="spellStart"/>
      <w:r w:rsidRPr="001E719F">
        <w:rPr>
          <w:rFonts w:ascii="Times New Roman" w:hAnsi="Times New Roman" w:cs="Times New Roman"/>
          <w:sz w:val="24"/>
          <w:szCs w:val="24"/>
        </w:rPr>
        <w:t>Pennisetum</w:t>
      </w:r>
      <w:proofErr w:type="spellEnd"/>
      <w:r w:rsidRPr="001E719F">
        <w:rPr>
          <w:rFonts w:ascii="Times New Roman" w:hAnsi="Times New Roman" w:cs="Times New Roman"/>
          <w:sz w:val="24"/>
          <w:szCs w:val="24"/>
        </w:rPr>
        <w:t xml:space="preserve"> purpureum as border plants reduce 80-90 percent of stem borers in maize and increase soil fertility</w:t>
      </w:r>
      <w:r w:rsidR="00B126C8">
        <w:rPr>
          <w:rFonts w:ascii="Times New Roman" w:hAnsi="Times New Roman" w:cs="Times New Roman"/>
          <w:sz w:val="24"/>
          <w:szCs w:val="24"/>
        </w:rPr>
        <w:t xml:space="preserve"> (</w:t>
      </w:r>
      <w:r w:rsidR="00B126C8">
        <w:t>Khan, 2024)</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Biofertilizers: Plants-Microbes Synergies.</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lastRenderedPageBreak/>
        <w:t>Nitrogen-Fixing Biofertilizers</w:t>
      </w:r>
    </w:p>
    <w:p w:rsidR="00B126C8"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Among the most significant nitrogen fertilizers alternatives that are sustainable is biological fixation of nitrogen. Symbiotic interactions between legumes and Rhizobium species can fix 50-300 kg/ha/year of N/year which depends on the compatibility between the host and the strain, the soil condition, and management. Complicated inoculant recipes are added to a number of strains that are selected to be effectively utilized in environmental conditions</w:t>
      </w:r>
      <w:r w:rsidR="00B126C8">
        <w:rPr>
          <w:rFonts w:ascii="Times New Roman" w:hAnsi="Times New Roman" w:cs="Times New Roman"/>
          <w:sz w:val="24"/>
          <w:szCs w:val="24"/>
        </w:rPr>
        <w:t xml:space="preserve"> (</w:t>
      </w:r>
      <w:r w:rsidR="00B126C8">
        <w:t xml:space="preserve">Lafontaine &amp; </w:t>
      </w:r>
      <w:proofErr w:type="spellStart"/>
      <w:r w:rsidR="00B126C8">
        <w:t>Jannoyer</w:t>
      </w:r>
      <w:proofErr w:type="spellEnd"/>
      <w:r w:rsidR="00B126C8">
        <w:t>, 2014)</w:t>
      </w:r>
      <w:r w:rsidRPr="001E719F">
        <w:rPr>
          <w:rFonts w:ascii="Times New Roman" w:hAnsi="Times New Roman" w:cs="Times New Roman"/>
          <w:sz w:val="24"/>
          <w:szCs w:val="24"/>
        </w:rPr>
        <w:t>.</w:t>
      </w:r>
    </w:p>
    <w:p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4: Nitrogen Fixation Potential of Different Legume-Rhizobia Associations</w:t>
      </w:r>
    </w:p>
    <w:tbl>
      <w:tblPr>
        <w:tblStyle w:val="TableGrid"/>
        <w:tblW w:w="0" w:type="auto"/>
        <w:tblLook w:val="04A0" w:firstRow="1" w:lastRow="0" w:firstColumn="1" w:lastColumn="0" w:noHBand="0" w:noVBand="1"/>
      </w:tblPr>
      <w:tblGrid>
        <w:gridCol w:w="2575"/>
        <w:gridCol w:w="2346"/>
        <w:gridCol w:w="1491"/>
        <w:gridCol w:w="1405"/>
        <w:gridCol w:w="1533"/>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Host Plant</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Rhizobium Species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N-Fixation Rate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Increase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Fertilizer Saved</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Soybean (</w:t>
            </w:r>
            <w:r w:rsidRPr="005D74F0">
              <w:rPr>
                <w:rFonts w:ascii="Times New Roman" w:hAnsi="Times New Roman" w:cs="Times New Roman"/>
                <w:i/>
                <w:iCs/>
                <w:sz w:val="24"/>
                <w:szCs w:val="24"/>
              </w:rPr>
              <w:t>Glycine max</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japonicum</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150-250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60-80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Chickpea (</w:t>
            </w:r>
            <w:proofErr w:type="spellStart"/>
            <w:r w:rsidRPr="005D74F0">
              <w:rPr>
                <w:rFonts w:ascii="Times New Roman" w:hAnsi="Times New Roman" w:cs="Times New Roman"/>
                <w:i/>
                <w:iCs/>
                <w:sz w:val="24"/>
                <w:szCs w:val="24"/>
              </w:rPr>
              <w:t>Cicer</w:t>
            </w:r>
            <w:proofErr w:type="spellEnd"/>
            <w:r w:rsidRPr="005D74F0">
              <w:rPr>
                <w:rFonts w:ascii="Times New Roman" w:hAnsi="Times New Roman" w:cs="Times New Roman"/>
                <w:i/>
                <w:iCs/>
                <w:sz w:val="24"/>
                <w:szCs w:val="24"/>
              </w:rPr>
              <w:t xml:space="preserve"> arietinum</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Mesorhizobium</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ciceri</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80-140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40-60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Common Bean (</w:t>
            </w:r>
            <w:r w:rsidRPr="005D74F0">
              <w:rPr>
                <w:rFonts w:ascii="Times New Roman" w:hAnsi="Times New Roman" w:cs="Times New Roman"/>
                <w:i/>
                <w:iCs/>
                <w:sz w:val="24"/>
                <w:szCs w:val="24"/>
              </w:rPr>
              <w:t>Phaseolus vulgaris</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Rhizobium </w:t>
            </w:r>
            <w:proofErr w:type="spellStart"/>
            <w:r w:rsidRPr="005D74F0">
              <w:rPr>
                <w:rFonts w:ascii="Times New Roman" w:hAnsi="Times New Roman" w:cs="Times New Roman"/>
                <w:i/>
                <w:iCs/>
                <w:sz w:val="24"/>
                <w:szCs w:val="24"/>
              </w:rPr>
              <w:t>leguminosarum</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60-120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10-18%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30-50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Groundnut (</w:t>
            </w:r>
            <w:proofErr w:type="spellStart"/>
            <w:r w:rsidRPr="005D74F0">
              <w:rPr>
                <w:rFonts w:ascii="Times New Roman" w:hAnsi="Times New Roman" w:cs="Times New Roman"/>
                <w:i/>
                <w:iCs/>
                <w:sz w:val="24"/>
                <w:szCs w:val="24"/>
              </w:rPr>
              <w:t>Arachis</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hypogaea</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sp.</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100-180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50-70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Pigeon Pea (</w:t>
            </w:r>
            <w:proofErr w:type="spellStart"/>
            <w:r w:rsidRPr="005D74F0">
              <w:rPr>
                <w:rFonts w:ascii="Times New Roman" w:hAnsi="Times New Roman" w:cs="Times New Roman"/>
                <w:i/>
                <w:iCs/>
                <w:sz w:val="24"/>
                <w:szCs w:val="24"/>
              </w:rPr>
              <w:t>Cajanus</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cajan</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Rhizobium sp.</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120-200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55-75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Lentil (</w:t>
            </w:r>
            <w:r w:rsidRPr="005D74F0">
              <w:rPr>
                <w:rFonts w:ascii="Times New Roman" w:hAnsi="Times New Roman" w:cs="Times New Roman"/>
                <w:i/>
                <w:iCs/>
                <w:sz w:val="24"/>
                <w:szCs w:val="24"/>
              </w:rPr>
              <w:t xml:space="preserve">Lens </w:t>
            </w:r>
            <w:proofErr w:type="spellStart"/>
            <w:r w:rsidRPr="005D74F0">
              <w:rPr>
                <w:rFonts w:ascii="Times New Roman" w:hAnsi="Times New Roman" w:cs="Times New Roman"/>
                <w:i/>
                <w:iCs/>
                <w:sz w:val="24"/>
                <w:szCs w:val="24"/>
              </w:rPr>
              <w:t>culinaris</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Rhizobium </w:t>
            </w:r>
            <w:proofErr w:type="spellStart"/>
            <w:r w:rsidRPr="005D74F0">
              <w:rPr>
                <w:rFonts w:ascii="Times New Roman" w:hAnsi="Times New Roman" w:cs="Times New Roman"/>
                <w:i/>
                <w:iCs/>
                <w:sz w:val="24"/>
                <w:szCs w:val="24"/>
              </w:rPr>
              <w:t>leguminosarum</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50-100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8-15%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25-45 kg urea/ha</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Black Gram (</w:t>
            </w:r>
            <w:r w:rsidRPr="005D74F0">
              <w:rPr>
                <w:rFonts w:ascii="Times New Roman" w:hAnsi="Times New Roman" w:cs="Times New Roman"/>
                <w:i/>
                <w:iCs/>
                <w:sz w:val="24"/>
                <w:szCs w:val="24"/>
              </w:rPr>
              <w:t>Vigna mungo</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i/>
                <w:iCs/>
                <w:sz w:val="24"/>
                <w:szCs w:val="24"/>
              </w:rPr>
              <w:t>Bradyrhizobium</w:t>
            </w:r>
            <w:proofErr w:type="spellEnd"/>
            <w:r w:rsidRPr="005D74F0">
              <w:rPr>
                <w:rFonts w:ascii="Times New Roman" w:hAnsi="Times New Roman" w:cs="Times New Roman"/>
                <w:i/>
                <w:iCs/>
                <w:sz w:val="24"/>
                <w:szCs w:val="24"/>
              </w:rPr>
              <w:t xml:space="preserve"> sp.</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70-130 kg/ha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12-18%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35-55 kg urea/ha</w:t>
            </w:r>
          </w:p>
        </w:tc>
      </w:tr>
    </w:tbl>
    <w:p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t>Figure 4: PSB Action on Soil Phosphorus</w:t>
      </w:r>
    </w:p>
    <w:p w:rsidR="00931F68" w:rsidRDefault="00931F68" w:rsidP="005D74F0">
      <w:pPr>
        <w:jc w:val="both"/>
        <w:rPr>
          <w:rFonts w:ascii="Times New Roman" w:hAnsi="Times New Roman" w:cs="Times New Roman"/>
          <w:sz w:val="24"/>
          <w:szCs w:val="24"/>
        </w:rPr>
      </w:pPr>
      <w:r>
        <w:rPr>
          <w:noProof/>
        </w:rPr>
        <w:drawing>
          <wp:inline distT="0" distB="0" distL="0" distR="0">
            <wp:extent cx="5943600" cy="3342088"/>
            <wp:effectExtent l="0" t="0" r="0" b="0"/>
            <wp:docPr id="7" name="Picture 7" descr="Ability of Phosphate-Solubilizing Bacteria to Enhance the Growth of Rice in  Phosphorus-Deficient Soils | Trends in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bility of Phosphate-Solubilizing Bacteria to Enhance the Growth of Rice in  Phosphorus-Deficient Soils | Trends in Scien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088"/>
                    </a:xfrm>
                    <a:prstGeom prst="rect">
                      <a:avLst/>
                    </a:prstGeom>
                    <a:noFill/>
                    <a:ln>
                      <a:noFill/>
                    </a:ln>
                  </pic:spPr>
                </pic:pic>
              </a:graphicData>
            </a:graphic>
          </wp:inline>
        </w:drawing>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lastRenderedPageBreak/>
        <w:t xml:space="preserve">Additional sources of nitrogen include free-living nitrogen fixers such as </w:t>
      </w:r>
      <w:proofErr w:type="spellStart"/>
      <w:r w:rsidRPr="001E719F">
        <w:rPr>
          <w:rFonts w:ascii="Times New Roman" w:hAnsi="Times New Roman" w:cs="Times New Roman"/>
          <w:sz w:val="24"/>
          <w:szCs w:val="24"/>
        </w:rPr>
        <w:t>Azotobacter</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Azospirillum</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xml:space="preserve"> and </w:t>
      </w:r>
      <w:proofErr w:type="spellStart"/>
      <w:r w:rsidRPr="001E719F">
        <w:rPr>
          <w:rFonts w:ascii="Times New Roman" w:hAnsi="Times New Roman" w:cs="Times New Roman"/>
          <w:sz w:val="24"/>
          <w:szCs w:val="24"/>
        </w:rPr>
        <w:t>Gluconacetobacter</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diazotrophicus</w:t>
      </w:r>
      <w:proofErr w:type="spellEnd"/>
      <w:r w:rsidRPr="001E719F">
        <w:rPr>
          <w:rFonts w:ascii="Times New Roman" w:hAnsi="Times New Roman" w:cs="Times New Roman"/>
          <w:sz w:val="24"/>
          <w:szCs w:val="24"/>
        </w:rPr>
        <w:t xml:space="preserve"> which fix nitrogen and form plant growth-promoting compounds. These symbiotic organisms sequester 20-40 kg N/ha in non-leguminous crops and at the same time produce </w:t>
      </w:r>
      <w:proofErr w:type="spellStart"/>
      <w:r w:rsidRPr="001E719F">
        <w:rPr>
          <w:rFonts w:ascii="Times New Roman" w:hAnsi="Times New Roman" w:cs="Times New Roman"/>
          <w:sz w:val="24"/>
          <w:szCs w:val="24"/>
        </w:rPr>
        <w:t>phyto</w:t>
      </w:r>
      <w:proofErr w:type="spellEnd"/>
      <w:r w:rsidRPr="001E719F">
        <w:rPr>
          <w:rFonts w:ascii="Times New Roman" w:hAnsi="Times New Roman" w:cs="Times New Roman"/>
          <w:sz w:val="24"/>
          <w:szCs w:val="24"/>
        </w:rPr>
        <w:t xml:space="preserve"> hormones, siderophores and antimicrobial compounds that improve the growth and </w:t>
      </w:r>
      <w:proofErr w:type="spellStart"/>
      <w:r w:rsidRPr="001E719F">
        <w:rPr>
          <w:rFonts w:ascii="Times New Roman" w:hAnsi="Times New Roman" w:cs="Times New Roman"/>
          <w:sz w:val="24"/>
          <w:szCs w:val="24"/>
        </w:rPr>
        <w:t>well being</w:t>
      </w:r>
      <w:proofErr w:type="spellEnd"/>
      <w:r w:rsidRPr="001E719F">
        <w:rPr>
          <w:rFonts w:ascii="Times New Roman" w:hAnsi="Times New Roman" w:cs="Times New Roman"/>
          <w:sz w:val="24"/>
          <w:szCs w:val="24"/>
        </w:rPr>
        <w:t xml:space="preserve"> of the plant</w:t>
      </w:r>
      <w:r w:rsidR="00B126C8">
        <w:rPr>
          <w:rFonts w:ascii="Times New Roman" w:hAnsi="Times New Roman" w:cs="Times New Roman"/>
          <w:sz w:val="24"/>
          <w:szCs w:val="24"/>
        </w:rPr>
        <w:t xml:space="preserve"> (</w:t>
      </w:r>
      <w:proofErr w:type="spellStart"/>
      <w:r w:rsidR="00B126C8">
        <w:t>Lichtfouse</w:t>
      </w:r>
      <w:proofErr w:type="spellEnd"/>
      <w:r w:rsidR="00B126C8">
        <w:t>, 2013)</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Phosphate-Solubilizing Microorganisms</w:t>
      </w:r>
    </w:p>
    <w:p w:rsidR="001E719F" w:rsidRPr="001E719F"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 xml:space="preserve">Availability of phosphorus restricts the yield of crops in most soils even though the total amount of phosphorus is high but has been stored in insoluble mineral forms. PSB phosphate-solubilizing bacteria (Bacillus spp., Pseudomonas spp., and Enterobacter </w:t>
      </w:r>
      <w:proofErr w:type="spellStart"/>
      <w:r w:rsidRPr="001E719F">
        <w:rPr>
          <w:rFonts w:ascii="Times New Roman" w:hAnsi="Times New Roman" w:cs="Times New Roman"/>
          <w:sz w:val="24"/>
          <w:szCs w:val="24"/>
        </w:rPr>
        <w:t>spp</w:t>
      </w:r>
      <w:proofErr w:type="spellEnd"/>
      <w:r w:rsidRPr="001E719F">
        <w:rPr>
          <w:rFonts w:ascii="Times New Roman" w:hAnsi="Times New Roman" w:cs="Times New Roman"/>
          <w:sz w:val="24"/>
          <w:szCs w:val="24"/>
        </w:rPr>
        <w:t>) release organic acids, phosphatases, and chelating compounds which loosen bound phosphorus. PSB field use boosts the amount of availed phosphorus by 3050 percent and crop yields by 1020 percent</w:t>
      </w:r>
      <w:r w:rsidR="00B126C8">
        <w:rPr>
          <w:rFonts w:ascii="Times New Roman" w:hAnsi="Times New Roman" w:cs="Times New Roman"/>
          <w:sz w:val="24"/>
          <w:szCs w:val="24"/>
        </w:rPr>
        <w:t xml:space="preserve"> (</w:t>
      </w:r>
      <w:r w:rsidR="00B126C8">
        <w:t>Liu et al., 2024)</w:t>
      </w:r>
      <w:r w:rsidRPr="001E719F">
        <w:rPr>
          <w:rFonts w:ascii="Times New Roman" w:hAnsi="Times New Roman" w:cs="Times New Roman"/>
          <w:sz w:val="24"/>
          <w:szCs w:val="24"/>
        </w:rPr>
        <w:t>.</w:t>
      </w:r>
    </w:p>
    <w:p w:rsidR="001E719F" w:rsidRPr="001E719F" w:rsidRDefault="001E719F" w:rsidP="001E719F">
      <w:pPr>
        <w:jc w:val="both"/>
        <w:rPr>
          <w:rFonts w:ascii="Times New Roman" w:hAnsi="Times New Roman" w:cs="Times New Roman"/>
          <w:b/>
          <w:bCs/>
          <w:sz w:val="24"/>
          <w:szCs w:val="24"/>
        </w:rPr>
      </w:pPr>
      <w:r w:rsidRPr="001E719F">
        <w:rPr>
          <w:rFonts w:ascii="Times New Roman" w:hAnsi="Times New Roman" w:cs="Times New Roman"/>
          <w:b/>
          <w:bCs/>
          <w:sz w:val="24"/>
          <w:szCs w:val="24"/>
        </w:rPr>
        <w:t>Mycorrhizal Associations</w:t>
      </w:r>
    </w:p>
    <w:p w:rsidR="00B126C8" w:rsidRDefault="001E719F" w:rsidP="001E719F">
      <w:pPr>
        <w:jc w:val="both"/>
        <w:rPr>
          <w:rFonts w:ascii="Times New Roman" w:hAnsi="Times New Roman" w:cs="Times New Roman"/>
          <w:sz w:val="24"/>
          <w:szCs w:val="24"/>
        </w:rPr>
      </w:pPr>
      <w:r w:rsidRPr="001E719F">
        <w:rPr>
          <w:rFonts w:ascii="Times New Roman" w:hAnsi="Times New Roman" w:cs="Times New Roman"/>
          <w:sz w:val="24"/>
          <w:szCs w:val="24"/>
        </w:rPr>
        <w:t>AMF establish symbiosis with 80 percent of terrestrial plants and significantly increase root surface area to obtain nutrients. The networks of hyphae grow 10-100 cm farther than the root zones and tap into phosphorus, zinc, copper and other nutrients that the roots alone cannot reach in soil volumes. The AMF inoculation enhances phosphorus uptake by 50-300 percent and has improved the ability of drought tolerance by enhancing water absorption</w:t>
      </w:r>
      <w:r w:rsidR="00B126C8">
        <w:rPr>
          <w:rFonts w:ascii="Times New Roman" w:hAnsi="Times New Roman" w:cs="Times New Roman"/>
          <w:sz w:val="24"/>
          <w:szCs w:val="24"/>
        </w:rPr>
        <w:t xml:space="preserve"> (</w:t>
      </w:r>
      <w:r w:rsidR="00B126C8">
        <w:t>Mahmood et al., 2024)</w:t>
      </w:r>
      <w:r w:rsidRPr="001E719F">
        <w:rPr>
          <w:rFonts w:ascii="Times New Roman" w:hAnsi="Times New Roman" w:cs="Times New Roman"/>
          <w:sz w:val="24"/>
          <w:szCs w:val="24"/>
        </w:rPr>
        <w:t>.</w:t>
      </w:r>
    </w:p>
    <w:p w:rsidR="005D74F0" w:rsidRPr="005D74F0" w:rsidRDefault="005D74F0" w:rsidP="001E719F">
      <w:pPr>
        <w:jc w:val="both"/>
        <w:rPr>
          <w:rFonts w:ascii="Times New Roman" w:hAnsi="Times New Roman" w:cs="Times New Roman"/>
          <w:sz w:val="24"/>
          <w:szCs w:val="24"/>
        </w:rPr>
      </w:pPr>
      <w:r w:rsidRPr="005D74F0">
        <w:rPr>
          <w:rFonts w:ascii="Times New Roman" w:hAnsi="Times New Roman" w:cs="Times New Roman"/>
          <w:b/>
          <w:bCs/>
          <w:sz w:val="24"/>
          <w:szCs w:val="24"/>
        </w:rPr>
        <w:t>Table 5: Crop Response to Mycorrhizal Inoculation</w:t>
      </w:r>
    </w:p>
    <w:tbl>
      <w:tblPr>
        <w:tblStyle w:val="TableGrid"/>
        <w:tblW w:w="0" w:type="auto"/>
        <w:tblLook w:val="04A0" w:firstRow="1" w:lastRow="0" w:firstColumn="1" w:lastColumn="0" w:noHBand="0" w:noVBand="1"/>
      </w:tblPr>
      <w:tblGrid>
        <w:gridCol w:w="2319"/>
        <w:gridCol w:w="1778"/>
        <w:gridCol w:w="1504"/>
        <w:gridCol w:w="1882"/>
        <w:gridCol w:w="1867"/>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Crop Species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AMF Species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 Uptake Increase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Yield Enhancement</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Water Use Efficiency</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Maize (</w:t>
            </w:r>
            <w:proofErr w:type="spellStart"/>
            <w:r w:rsidRPr="005D74F0">
              <w:rPr>
                <w:rFonts w:ascii="Times New Roman" w:hAnsi="Times New Roman" w:cs="Times New Roman"/>
                <w:i/>
                <w:iCs/>
                <w:sz w:val="24"/>
                <w:szCs w:val="24"/>
              </w:rPr>
              <w:t>Zea</w:t>
            </w:r>
            <w:proofErr w:type="spellEnd"/>
            <w:r w:rsidRPr="005D74F0">
              <w:rPr>
                <w:rFonts w:ascii="Times New Roman" w:hAnsi="Times New Roman" w:cs="Times New Roman"/>
                <w:i/>
                <w:iCs/>
                <w:sz w:val="24"/>
                <w:szCs w:val="24"/>
              </w:rPr>
              <w:t xml:space="preserve"> mays</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intraradices</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80-150%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15-30%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Wheat (</w:t>
            </w:r>
            <w:r w:rsidRPr="005D74F0">
              <w:rPr>
                <w:rFonts w:ascii="Times New Roman" w:hAnsi="Times New Roman" w:cs="Times New Roman"/>
                <w:i/>
                <w:iCs/>
                <w:sz w:val="24"/>
                <w:szCs w:val="24"/>
              </w:rPr>
              <w:t xml:space="preserve">Triticum </w:t>
            </w:r>
            <w:proofErr w:type="spellStart"/>
            <w:r w:rsidRPr="005D74F0">
              <w:rPr>
                <w:rFonts w:ascii="Times New Roman" w:hAnsi="Times New Roman" w:cs="Times New Roman"/>
                <w:i/>
                <w:iCs/>
                <w:sz w:val="24"/>
                <w:szCs w:val="24"/>
              </w:rPr>
              <w:t>aestivum</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mosseae</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60-120%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12-25%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20-30%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Rice (</w:t>
            </w:r>
            <w:r w:rsidRPr="005D74F0">
              <w:rPr>
                <w:rFonts w:ascii="Times New Roman" w:hAnsi="Times New Roman" w:cs="Times New Roman"/>
                <w:i/>
                <w:iCs/>
                <w:sz w:val="24"/>
                <w:szCs w:val="24"/>
              </w:rPr>
              <w:t>Oryza sativa</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fasciculatum</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50-100%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10-20%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15-25%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Tomato (</w:t>
            </w:r>
            <w:r w:rsidRPr="005D74F0">
              <w:rPr>
                <w:rFonts w:ascii="Times New Roman" w:hAnsi="Times New Roman" w:cs="Times New Roman"/>
                <w:i/>
                <w:iCs/>
                <w:sz w:val="24"/>
                <w:szCs w:val="24"/>
              </w:rPr>
              <w:t xml:space="preserve">Solanum </w:t>
            </w:r>
            <w:proofErr w:type="spellStart"/>
            <w:r w:rsidRPr="005D74F0">
              <w:rPr>
                <w:rFonts w:ascii="Times New Roman" w:hAnsi="Times New Roman" w:cs="Times New Roman"/>
                <w:i/>
                <w:iCs/>
                <w:sz w:val="24"/>
                <w:szCs w:val="24"/>
              </w:rPr>
              <w:t>lycopersicum</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AMF</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100-200%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20-40%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30-45%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Onion (</w:t>
            </w:r>
            <w:r w:rsidRPr="005D74F0">
              <w:rPr>
                <w:rFonts w:ascii="Times New Roman" w:hAnsi="Times New Roman" w:cs="Times New Roman"/>
                <w:i/>
                <w:iCs/>
                <w:sz w:val="24"/>
                <w:szCs w:val="24"/>
              </w:rPr>
              <w:t xml:space="preserve">Allium </w:t>
            </w:r>
            <w:proofErr w:type="spellStart"/>
            <w:r w:rsidRPr="005D74F0">
              <w:rPr>
                <w:rFonts w:ascii="Times New Roman" w:hAnsi="Times New Roman" w:cs="Times New Roman"/>
                <w:i/>
                <w:iCs/>
                <w:sz w:val="24"/>
                <w:szCs w:val="24"/>
              </w:rPr>
              <w:t>cepa</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versiforme</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120-250%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25-45%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35-50%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Potato (</w:t>
            </w:r>
            <w:r w:rsidRPr="005D74F0">
              <w:rPr>
                <w:rFonts w:ascii="Times New Roman" w:hAnsi="Times New Roman" w:cs="Times New Roman"/>
                <w:i/>
                <w:iCs/>
                <w:sz w:val="24"/>
                <w:szCs w:val="24"/>
              </w:rPr>
              <w:t>Solanum tuberosum</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i/>
                <w:iCs/>
                <w:sz w:val="24"/>
                <w:szCs w:val="24"/>
              </w:rPr>
              <w:t xml:space="preserve">Glomus </w:t>
            </w:r>
            <w:proofErr w:type="spellStart"/>
            <w:r w:rsidRPr="005D74F0">
              <w:rPr>
                <w:rFonts w:ascii="Times New Roman" w:hAnsi="Times New Roman" w:cs="Times New Roman"/>
                <w:i/>
                <w:iCs/>
                <w:sz w:val="24"/>
                <w:szCs w:val="24"/>
              </w:rPr>
              <w:t>etunicatum</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70-140%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 improvement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Sorghum (</w:t>
            </w:r>
            <w:r w:rsidRPr="005D74F0">
              <w:rPr>
                <w:rFonts w:ascii="Times New Roman" w:hAnsi="Times New Roman" w:cs="Times New Roman"/>
                <w:i/>
                <w:iCs/>
                <w:sz w:val="24"/>
                <w:szCs w:val="24"/>
              </w:rPr>
              <w:t>Sorghum bicolor</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Mixed AMF</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90-170%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18-32%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 improvement</w:t>
            </w:r>
          </w:p>
        </w:tc>
      </w:tr>
    </w:tbl>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Botanical Pest Management Strategies</w:t>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Plant-Derived Insecticides</w:t>
      </w:r>
    </w:p>
    <w:p w:rsidR="001E719F" w:rsidRDefault="001E719F" w:rsidP="005D74F0">
      <w:pPr>
        <w:jc w:val="both"/>
        <w:rPr>
          <w:rFonts w:ascii="Times New Roman" w:hAnsi="Times New Roman" w:cs="Times New Roman"/>
          <w:sz w:val="24"/>
          <w:szCs w:val="24"/>
        </w:rPr>
      </w:pPr>
      <w:r w:rsidRPr="001E719F">
        <w:rPr>
          <w:rFonts w:ascii="Times New Roman" w:hAnsi="Times New Roman" w:cs="Times New Roman"/>
          <w:sz w:val="24"/>
          <w:szCs w:val="24"/>
        </w:rPr>
        <w:t xml:space="preserve">Other alternatives that are less damaging to the synthetic pesticides are the botanical insecticides which are fastest biodegraded, and have minimal impact on non-targets. The most researched source </w:t>
      </w:r>
      <w:proofErr w:type="spellStart"/>
      <w:r w:rsidRPr="001E719F">
        <w:rPr>
          <w:rFonts w:ascii="Times New Roman" w:hAnsi="Times New Roman" w:cs="Times New Roman"/>
          <w:sz w:val="24"/>
          <w:szCs w:val="24"/>
        </w:rPr>
        <w:t>Azadirachta</w:t>
      </w:r>
      <w:proofErr w:type="spellEnd"/>
      <w:r w:rsidRPr="001E719F">
        <w:rPr>
          <w:rFonts w:ascii="Times New Roman" w:hAnsi="Times New Roman" w:cs="Times New Roman"/>
          <w:sz w:val="24"/>
          <w:szCs w:val="24"/>
        </w:rPr>
        <w:t xml:space="preserve"> </w:t>
      </w:r>
      <w:proofErr w:type="spellStart"/>
      <w:r w:rsidRPr="001E719F">
        <w:rPr>
          <w:rFonts w:ascii="Times New Roman" w:hAnsi="Times New Roman" w:cs="Times New Roman"/>
          <w:sz w:val="24"/>
          <w:szCs w:val="24"/>
        </w:rPr>
        <w:t>indica</w:t>
      </w:r>
      <w:proofErr w:type="spellEnd"/>
      <w:r w:rsidRPr="001E719F">
        <w:rPr>
          <w:rFonts w:ascii="Times New Roman" w:hAnsi="Times New Roman" w:cs="Times New Roman"/>
          <w:sz w:val="24"/>
          <w:szCs w:val="24"/>
        </w:rPr>
        <w:t xml:space="preserve"> (neem) contains </w:t>
      </w:r>
      <w:proofErr w:type="spellStart"/>
      <w:r w:rsidRPr="001E719F">
        <w:rPr>
          <w:rFonts w:ascii="Times New Roman" w:hAnsi="Times New Roman" w:cs="Times New Roman"/>
          <w:sz w:val="24"/>
          <w:szCs w:val="24"/>
        </w:rPr>
        <w:t>azadirachtin</w:t>
      </w:r>
      <w:proofErr w:type="spellEnd"/>
      <w:r w:rsidRPr="001E719F">
        <w:rPr>
          <w:rFonts w:ascii="Times New Roman" w:hAnsi="Times New Roman" w:cs="Times New Roman"/>
          <w:sz w:val="24"/>
          <w:szCs w:val="24"/>
        </w:rPr>
        <w:t xml:space="preserve"> and other related limonoids that disrupt </w:t>
      </w:r>
      <w:r w:rsidRPr="001E719F">
        <w:rPr>
          <w:rFonts w:ascii="Times New Roman" w:hAnsi="Times New Roman" w:cs="Times New Roman"/>
          <w:sz w:val="24"/>
          <w:szCs w:val="24"/>
        </w:rPr>
        <w:lastRenderedPageBreak/>
        <w:t>insect feeding, growth and reproduction. Neem preparations control over 200 species of pests with LC 50 values of 0.1 -10ppm to unsusceptible species</w:t>
      </w:r>
      <w:r w:rsidR="00B126C8">
        <w:rPr>
          <w:rFonts w:ascii="Times New Roman" w:hAnsi="Times New Roman" w:cs="Times New Roman"/>
          <w:sz w:val="24"/>
          <w:szCs w:val="24"/>
        </w:rPr>
        <w:t xml:space="preserve"> (</w:t>
      </w:r>
      <w:r w:rsidR="00B126C8">
        <w:t>Mamatha et al., 2024)</w:t>
      </w:r>
      <w:r w:rsidRPr="001E719F">
        <w:rPr>
          <w:rFonts w:ascii="Times New Roman" w:hAnsi="Times New Roman" w:cs="Times New Roman"/>
          <w:sz w:val="24"/>
          <w:szCs w:val="24"/>
        </w:rPr>
        <w:t>.</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 xml:space="preserve">Figure 5: </w:t>
      </w:r>
      <w:proofErr w:type="spellStart"/>
      <w:r w:rsidRPr="005D74F0">
        <w:rPr>
          <w:rFonts w:ascii="Times New Roman" w:hAnsi="Times New Roman" w:cs="Times New Roman"/>
          <w:b/>
          <w:bCs/>
          <w:sz w:val="24"/>
          <w:szCs w:val="24"/>
        </w:rPr>
        <w:t>Azadirachtin</w:t>
      </w:r>
      <w:proofErr w:type="spellEnd"/>
      <w:r w:rsidRPr="005D74F0">
        <w:rPr>
          <w:rFonts w:ascii="Times New Roman" w:hAnsi="Times New Roman" w:cs="Times New Roman"/>
          <w:b/>
          <w:bCs/>
          <w:sz w:val="24"/>
          <w:szCs w:val="24"/>
        </w:rPr>
        <w:t xml:space="preserve"> Effects on Insects</w:t>
      </w:r>
    </w:p>
    <w:p w:rsidR="00931F68" w:rsidRPr="005D74F0" w:rsidRDefault="00931F68" w:rsidP="005D74F0">
      <w:pPr>
        <w:jc w:val="both"/>
        <w:rPr>
          <w:rFonts w:ascii="Times New Roman" w:hAnsi="Times New Roman" w:cs="Times New Roman"/>
          <w:sz w:val="24"/>
          <w:szCs w:val="24"/>
        </w:rPr>
      </w:pPr>
      <w:r>
        <w:rPr>
          <w:noProof/>
        </w:rPr>
        <w:drawing>
          <wp:inline distT="0" distB="0" distL="0" distR="0">
            <wp:extent cx="5943600" cy="4452747"/>
            <wp:effectExtent l="0" t="0" r="0" b="5080"/>
            <wp:docPr id="8" name="Picture 8" descr="Toxic effects of the neem oil (Azadirachta indica) formulation on the stink  bug predator, Podisus nigrispinus (Heteroptera: Pentatomidae)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xic effects of the neem oil (Azadirachta indica) formulation on the stink  bug predator, Podisus nigrispinus (Heteroptera: Pentatomidae) | Scientific  Repo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2747"/>
                    </a:xfrm>
                    <a:prstGeom prst="rect">
                      <a:avLst/>
                    </a:prstGeom>
                    <a:noFill/>
                    <a:ln>
                      <a:noFill/>
                    </a:ln>
                  </pic:spPr>
                </pic:pic>
              </a:graphicData>
            </a:graphic>
          </wp:inline>
        </w:drawing>
      </w:r>
    </w:p>
    <w:p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Chrysanthemum </w:t>
      </w:r>
      <w:proofErr w:type="spellStart"/>
      <w:r w:rsidRPr="00F56FD7">
        <w:rPr>
          <w:rFonts w:ascii="Times New Roman" w:hAnsi="Times New Roman" w:cs="Times New Roman"/>
          <w:sz w:val="24"/>
          <w:szCs w:val="24"/>
        </w:rPr>
        <w:t>cinerariaefolium</w:t>
      </w:r>
      <w:proofErr w:type="spellEnd"/>
      <w:r w:rsidRPr="00F56FD7">
        <w:rPr>
          <w:rFonts w:ascii="Times New Roman" w:hAnsi="Times New Roman" w:cs="Times New Roman"/>
          <w:sz w:val="24"/>
          <w:szCs w:val="24"/>
        </w:rPr>
        <w:t xml:space="preserve"> produces </w:t>
      </w:r>
      <w:proofErr w:type="spellStart"/>
      <w:r w:rsidRPr="00F56FD7">
        <w:rPr>
          <w:rFonts w:ascii="Times New Roman" w:hAnsi="Times New Roman" w:cs="Times New Roman"/>
          <w:sz w:val="24"/>
          <w:szCs w:val="24"/>
        </w:rPr>
        <w:t>pyrethrins</w:t>
      </w:r>
      <w:proofErr w:type="spellEnd"/>
      <w:r w:rsidRPr="00F56FD7">
        <w:rPr>
          <w:rFonts w:ascii="Times New Roman" w:hAnsi="Times New Roman" w:cs="Times New Roman"/>
          <w:sz w:val="24"/>
          <w:szCs w:val="24"/>
        </w:rPr>
        <w:t xml:space="preserve"> which cause rapid knockdown due to interruption with sodium channels in insect nervous systems. The pyrethrin extracts employed in nature are also degradable in hours under the sun eliminating issues of environmental persistence. The significant substitute sources of botanical insecticides include Derris spp. (rotenone), </w:t>
      </w:r>
      <w:proofErr w:type="spellStart"/>
      <w:r w:rsidRPr="00F56FD7">
        <w:rPr>
          <w:rFonts w:ascii="Times New Roman" w:hAnsi="Times New Roman" w:cs="Times New Roman"/>
          <w:sz w:val="24"/>
          <w:szCs w:val="24"/>
        </w:rPr>
        <w:t>Nicotian</w:t>
      </w:r>
      <w:proofErr w:type="spellEnd"/>
      <w:r w:rsidRPr="00F56FD7">
        <w:rPr>
          <w:rFonts w:ascii="Times New Roman" w:hAnsi="Times New Roman" w:cs="Times New Roman"/>
          <w:sz w:val="24"/>
          <w:szCs w:val="24"/>
        </w:rPr>
        <w:t xml:space="preserve"> tabacum (nicotine) and </w:t>
      </w:r>
      <w:proofErr w:type="spellStart"/>
      <w:r w:rsidRPr="00F56FD7">
        <w:rPr>
          <w:rFonts w:ascii="Times New Roman" w:hAnsi="Times New Roman" w:cs="Times New Roman"/>
          <w:sz w:val="24"/>
          <w:szCs w:val="24"/>
        </w:rPr>
        <w:t>Ryania</w:t>
      </w:r>
      <w:proofErr w:type="spellEnd"/>
      <w:r w:rsidRPr="00F56FD7">
        <w:rPr>
          <w:rFonts w:ascii="Times New Roman" w:hAnsi="Times New Roman" w:cs="Times New Roman"/>
          <w:sz w:val="24"/>
          <w:szCs w:val="24"/>
        </w:rPr>
        <w:t xml:space="preserve"> </w:t>
      </w:r>
      <w:proofErr w:type="spellStart"/>
      <w:r w:rsidRPr="00F56FD7">
        <w:rPr>
          <w:rFonts w:ascii="Times New Roman" w:hAnsi="Times New Roman" w:cs="Times New Roman"/>
          <w:sz w:val="24"/>
          <w:szCs w:val="24"/>
        </w:rPr>
        <w:t>speciosa</w:t>
      </w:r>
      <w:proofErr w:type="spellEnd"/>
      <w:r w:rsidRPr="00F56FD7">
        <w:rPr>
          <w:rFonts w:ascii="Times New Roman" w:hAnsi="Times New Roman" w:cs="Times New Roman"/>
          <w:sz w:val="24"/>
          <w:szCs w:val="24"/>
        </w:rPr>
        <w:t xml:space="preserve"> (ryanodine)</w:t>
      </w:r>
      <w:r w:rsidR="00B126C8">
        <w:rPr>
          <w:rFonts w:ascii="Times New Roman" w:hAnsi="Times New Roman" w:cs="Times New Roman"/>
          <w:sz w:val="24"/>
          <w:szCs w:val="24"/>
        </w:rPr>
        <w:t xml:space="preserve"> (</w:t>
      </w:r>
      <w:r w:rsidR="00B126C8">
        <w:t>Mohanty et al., 2024)</w:t>
      </w:r>
      <w:r w:rsidRPr="00F56FD7">
        <w:rPr>
          <w:rFonts w:ascii="Times New Roman" w:hAnsi="Times New Roman" w:cs="Times New Roman"/>
          <w:sz w:val="24"/>
          <w:szCs w:val="24"/>
        </w:rPr>
        <w:t>.</w:t>
      </w:r>
    </w:p>
    <w:p w:rsidR="00F56FD7" w:rsidRPr="00F56FD7" w:rsidRDefault="00F56FD7" w:rsidP="00F56FD7">
      <w:pPr>
        <w:jc w:val="both"/>
        <w:rPr>
          <w:rFonts w:ascii="Times New Roman" w:hAnsi="Times New Roman" w:cs="Times New Roman"/>
          <w:b/>
          <w:bCs/>
          <w:i/>
          <w:iCs/>
          <w:sz w:val="24"/>
          <w:szCs w:val="24"/>
        </w:rPr>
      </w:pPr>
      <w:r w:rsidRPr="00F56FD7">
        <w:rPr>
          <w:rFonts w:ascii="Times New Roman" w:hAnsi="Times New Roman" w:cs="Times New Roman"/>
          <w:b/>
          <w:bCs/>
          <w:i/>
          <w:iCs/>
          <w:sz w:val="24"/>
          <w:szCs w:val="24"/>
        </w:rPr>
        <w:t>Antifeedants/ Repellents Plants.</w:t>
      </w:r>
    </w:p>
    <w:p w:rsid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Strategic use of repellent plants as a strategy of pest management without the use of lethal techniques is a behavior change. </w:t>
      </w:r>
      <w:proofErr w:type="spellStart"/>
      <w:r w:rsidRPr="00F56FD7">
        <w:rPr>
          <w:rFonts w:ascii="Times New Roman" w:hAnsi="Times New Roman" w:cs="Times New Roman"/>
          <w:sz w:val="24"/>
          <w:szCs w:val="24"/>
        </w:rPr>
        <w:t>Tanacetum</w:t>
      </w:r>
      <w:proofErr w:type="spellEnd"/>
      <w:r w:rsidRPr="00F56FD7">
        <w:rPr>
          <w:rFonts w:ascii="Times New Roman" w:hAnsi="Times New Roman" w:cs="Times New Roman"/>
          <w:sz w:val="24"/>
          <w:szCs w:val="24"/>
        </w:rPr>
        <w:t xml:space="preserve"> vulgare (tansy), Artemisia </w:t>
      </w:r>
      <w:proofErr w:type="spellStart"/>
      <w:r w:rsidRPr="00F56FD7">
        <w:rPr>
          <w:rFonts w:ascii="Times New Roman" w:hAnsi="Times New Roman" w:cs="Times New Roman"/>
          <w:sz w:val="24"/>
          <w:szCs w:val="24"/>
        </w:rPr>
        <w:t>absinthium</w:t>
      </w:r>
      <w:proofErr w:type="spellEnd"/>
      <w:r w:rsidRPr="00F56FD7">
        <w:rPr>
          <w:rFonts w:ascii="Times New Roman" w:hAnsi="Times New Roman" w:cs="Times New Roman"/>
          <w:sz w:val="24"/>
          <w:szCs w:val="24"/>
        </w:rPr>
        <w:t xml:space="preserve"> (wormwood), and Rosmarinus officinalis (rosemary) are the plants that release volatile compounds which discourage various pest species. With these aromatic species planted as border plantation or intercrop with the adjacent crops, the population of pests attaching to the crop is reduced by 40-70 percent as a result</w:t>
      </w:r>
      <w:r w:rsidR="00B126C8">
        <w:rPr>
          <w:rFonts w:ascii="Times New Roman" w:hAnsi="Times New Roman" w:cs="Times New Roman"/>
          <w:sz w:val="24"/>
          <w:szCs w:val="24"/>
        </w:rPr>
        <w:t xml:space="preserve"> (</w:t>
      </w:r>
      <w:r w:rsidR="00B126C8">
        <w:t xml:space="preserve">Nath, 2024; </w:t>
      </w:r>
      <w:proofErr w:type="spellStart"/>
      <w:r w:rsidR="00B126C8">
        <w:t>Oberč</w:t>
      </w:r>
      <w:proofErr w:type="spellEnd"/>
      <w:r w:rsidR="00B126C8">
        <w:t xml:space="preserve"> &amp; Schnell, 2020)</w:t>
      </w:r>
      <w:r>
        <w:rPr>
          <w:rFonts w:ascii="Times New Roman" w:hAnsi="Times New Roman" w:cs="Times New Roman"/>
          <w:sz w:val="24"/>
          <w:szCs w:val="24"/>
        </w:rPr>
        <w:t>.</w:t>
      </w:r>
    </w:p>
    <w:p w:rsidR="005D74F0" w:rsidRPr="005D74F0" w:rsidRDefault="005D74F0" w:rsidP="00F56FD7">
      <w:pPr>
        <w:jc w:val="both"/>
        <w:rPr>
          <w:rFonts w:ascii="Times New Roman" w:hAnsi="Times New Roman" w:cs="Times New Roman"/>
          <w:sz w:val="24"/>
          <w:szCs w:val="24"/>
        </w:rPr>
      </w:pPr>
      <w:r w:rsidRPr="005D74F0">
        <w:rPr>
          <w:rFonts w:ascii="Times New Roman" w:hAnsi="Times New Roman" w:cs="Times New Roman"/>
          <w:b/>
          <w:bCs/>
          <w:sz w:val="24"/>
          <w:szCs w:val="24"/>
        </w:rPr>
        <w:t>Table 6: Efficacy of Botanical Pest Management Approaches</w:t>
      </w:r>
    </w:p>
    <w:tbl>
      <w:tblPr>
        <w:tblStyle w:val="TableGrid"/>
        <w:tblW w:w="0" w:type="auto"/>
        <w:tblLook w:val="04A0" w:firstRow="1" w:lastRow="0" w:firstColumn="1" w:lastColumn="0" w:noHBand="0" w:noVBand="1"/>
      </w:tblPr>
      <w:tblGrid>
        <w:gridCol w:w="2314"/>
        <w:gridCol w:w="1902"/>
        <w:gridCol w:w="1776"/>
        <w:gridCol w:w="1596"/>
        <w:gridCol w:w="1762"/>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lastRenderedPageBreak/>
              <w:t>Botanical Source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Active Compounds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Target Pests</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Efficacy Range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Application Method</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Neem (</w:t>
            </w:r>
            <w:proofErr w:type="spellStart"/>
            <w:r w:rsidRPr="005D74F0">
              <w:rPr>
                <w:rFonts w:ascii="Times New Roman" w:hAnsi="Times New Roman" w:cs="Times New Roman"/>
                <w:i/>
                <w:iCs/>
                <w:sz w:val="24"/>
                <w:szCs w:val="24"/>
              </w:rPr>
              <w:t>Azadirachta</w:t>
            </w:r>
            <w:proofErr w:type="spellEnd"/>
            <w:r w:rsidRPr="005D74F0">
              <w:rPr>
                <w:rFonts w:ascii="Times New Roman" w:hAnsi="Times New Roman" w:cs="Times New Roman"/>
                <w:i/>
                <w:iCs/>
                <w:sz w:val="24"/>
                <w:szCs w:val="24"/>
              </w:rPr>
              <w:t xml:space="preserve"> </w:t>
            </w:r>
            <w:proofErr w:type="spellStart"/>
            <w:r w:rsidRPr="005D74F0">
              <w:rPr>
                <w:rFonts w:ascii="Times New Roman" w:hAnsi="Times New Roman" w:cs="Times New Roman"/>
                <w:i/>
                <w:iCs/>
                <w:sz w:val="24"/>
                <w:szCs w:val="24"/>
              </w:rPr>
              <w:t>indica</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Azadirachtin</w:t>
            </w:r>
            <w:proofErr w:type="spellEnd"/>
            <w:r w:rsidRPr="005D74F0">
              <w:rPr>
                <w:rFonts w:ascii="Times New Roman" w:hAnsi="Times New Roman" w:cs="Times New Roman"/>
                <w:sz w:val="24"/>
                <w:szCs w:val="24"/>
              </w:rPr>
              <w:t xml:space="preserve">, </w:t>
            </w:r>
            <w:proofErr w:type="spellStart"/>
            <w:r w:rsidRPr="005D74F0">
              <w:rPr>
                <w:rFonts w:ascii="Times New Roman" w:hAnsi="Times New Roman" w:cs="Times New Roman"/>
                <w:sz w:val="24"/>
                <w:szCs w:val="24"/>
              </w:rPr>
              <w:t>Nimbin</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Lepidoptera, Hemiptera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70-90% control</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Foliar spray</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Pyrethrum (</w:t>
            </w:r>
            <w:r w:rsidRPr="005D74F0">
              <w:rPr>
                <w:rFonts w:ascii="Times New Roman" w:hAnsi="Times New Roman" w:cs="Times New Roman"/>
                <w:i/>
                <w:iCs/>
                <w:sz w:val="24"/>
                <w:szCs w:val="24"/>
              </w:rPr>
              <w:t>Chrysanthemum</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Pyrethrins</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Flying insects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80-95% knockdown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Contact spray</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Garlic (</w:t>
            </w:r>
            <w:r w:rsidRPr="005D74F0">
              <w:rPr>
                <w:rFonts w:ascii="Times New Roman" w:hAnsi="Times New Roman" w:cs="Times New Roman"/>
                <w:i/>
                <w:iCs/>
                <w:sz w:val="24"/>
                <w:szCs w:val="24"/>
              </w:rPr>
              <w:t>Allium sativum</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Allicin, Diallyl disulfide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 xml:space="preserve">Aphids, </w:t>
            </w:r>
            <w:proofErr w:type="spellStart"/>
            <w:r w:rsidRPr="005D74F0">
              <w:rPr>
                <w:rFonts w:ascii="Times New Roman" w:hAnsi="Times New Roman" w:cs="Times New Roman"/>
                <w:sz w:val="24"/>
                <w:szCs w:val="24"/>
              </w:rPr>
              <w:t>Thrips</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60-80% repellency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Extract spray</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Tobacco (</w:t>
            </w:r>
            <w:r w:rsidRPr="005D74F0">
              <w:rPr>
                <w:rFonts w:ascii="Times New Roman" w:hAnsi="Times New Roman" w:cs="Times New Roman"/>
                <w:i/>
                <w:iCs/>
                <w:sz w:val="24"/>
                <w:szCs w:val="24"/>
              </w:rPr>
              <w:t>Nicotiana tabacum</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Nicotine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Soft-bodied insects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75-85% mortality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Aqueous extract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Custard Apple (</w:t>
            </w:r>
            <w:r w:rsidRPr="005D74F0">
              <w:rPr>
                <w:rFonts w:ascii="Times New Roman" w:hAnsi="Times New Roman" w:cs="Times New Roman"/>
                <w:i/>
                <w:iCs/>
                <w:sz w:val="24"/>
                <w:szCs w:val="24"/>
              </w:rPr>
              <w:t>Annona</w:t>
            </w:r>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Annonaceous</w:t>
            </w:r>
            <w:proofErr w:type="spellEnd"/>
            <w:r w:rsidRPr="005D74F0">
              <w:rPr>
                <w:rFonts w:ascii="Times New Roman" w:hAnsi="Times New Roman" w:cs="Times New Roman"/>
                <w:sz w:val="24"/>
                <w:szCs w:val="24"/>
              </w:rPr>
              <w:t xml:space="preserve"> </w:t>
            </w:r>
            <w:proofErr w:type="spellStart"/>
            <w:r w:rsidRPr="005D74F0">
              <w:rPr>
                <w:rFonts w:ascii="Times New Roman" w:hAnsi="Times New Roman" w:cs="Times New Roman"/>
                <w:sz w:val="24"/>
                <w:szCs w:val="24"/>
              </w:rPr>
              <w:t>acetogenins</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Stored grain pests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70-85% control</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Seed powder</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Lantana (</w:t>
            </w:r>
            <w:r w:rsidRPr="005D74F0">
              <w:rPr>
                <w:rFonts w:ascii="Times New Roman" w:hAnsi="Times New Roman" w:cs="Times New Roman"/>
                <w:i/>
                <w:iCs/>
                <w:sz w:val="24"/>
                <w:szCs w:val="24"/>
              </w:rPr>
              <w:t xml:space="preserve">Lantana </w:t>
            </w:r>
            <w:proofErr w:type="spellStart"/>
            <w:r w:rsidRPr="005D74F0">
              <w:rPr>
                <w:rFonts w:ascii="Times New Roman" w:hAnsi="Times New Roman" w:cs="Times New Roman"/>
                <w:i/>
                <w:iCs/>
                <w:sz w:val="24"/>
                <w:szCs w:val="24"/>
              </w:rPr>
              <w:t>camara</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proofErr w:type="spellStart"/>
            <w:r w:rsidRPr="005D74F0">
              <w:rPr>
                <w:rFonts w:ascii="Times New Roman" w:hAnsi="Times New Roman" w:cs="Times New Roman"/>
                <w:sz w:val="24"/>
                <w:szCs w:val="24"/>
              </w:rPr>
              <w:t>Lantadenes</w:t>
            </w:r>
            <w:proofErr w:type="spellEnd"/>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Mosquitoes, Flies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65-80% repellency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Leaf extract</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Marigold (</w:t>
            </w:r>
            <w:proofErr w:type="spellStart"/>
            <w:r w:rsidRPr="005D74F0">
              <w:rPr>
                <w:rFonts w:ascii="Times New Roman" w:hAnsi="Times New Roman" w:cs="Times New Roman"/>
                <w:i/>
                <w:iCs/>
                <w:sz w:val="24"/>
                <w:szCs w:val="24"/>
              </w:rPr>
              <w:t>Tagetes</w:t>
            </w:r>
            <w:proofErr w:type="spellEnd"/>
            <w:r w:rsidRPr="005D74F0">
              <w:rPr>
                <w:rFonts w:ascii="Times New Roman" w:hAnsi="Times New Roman" w:cs="Times New Roman"/>
                <w:sz w:val="24"/>
                <w:szCs w:val="24"/>
              </w:rPr>
              <w:t>)</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Thiophenes, Limonene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Nematodes, Whitefly</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55-75% reduction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Intercropping</w:t>
            </w:r>
          </w:p>
        </w:tc>
      </w:tr>
    </w:tbl>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Trap Crops and Banker Plants</w:t>
      </w:r>
    </w:p>
    <w:p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Trap cropping takes advantage of preferences of the pests to accumulate them around the primary crops. Indian mustard (Brassica </w:t>
      </w:r>
      <w:proofErr w:type="spellStart"/>
      <w:r w:rsidRPr="00F56FD7">
        <w:rPr>
          <w:rFonts w:ascii="Times New Roman" w:hAnsi="Times New Roman" w:cs="Times New Roman"/>
          <w:sz w:val="24"/>
          <w:szCs w:val="24"/>
        </w:rPr>
        <w:t>juncea</w:t>
      </w:r>
      <w:proofErr w:type="spellEnd"/>
      <w:r w:rsidRPr="00F56FD7">
        <w:rPr>
          <w:rFonts w:ascii="Times New Roman" w:hAnsi="Times New Roman" w:cs="Times New Roman"/>
          <w:sz w:val="24"/>
          <w:szCs w:val="24"/>
        </w:rPr>
        <w:t xml:space="preserve">) planted as a border crop benefits the crops of </w:t>
      </w:r>
      <w:proofErr w:type="spellStart"/>
      <w:r w:rsidRPr="00F56FD7">
        <w:rPr>
          <w:rFonts w:ascii="Times New Roman" w:hAnsi="Times New Roman" w:cs="Times New Roman"/>
          <w:sz w:val="24"/>
          <w:szCs w:val="24"/>
        </w:rPr>
        <w:t>diameterback</w:t>
      </w:r>
      <w:proofErr w:type="spellEnd"/>
      <w:r w:rsidRPr="00F56FD7">
        <w:rPr>
          <w:rFonts w:ascii="Times New Roman" w:hAnsi="Times New Roman" w:cs="Times New Roman"/>
          <w:sz w:val="24"/>
          <w:szCs w:val="24"/>
        </w:rPr>
        <w:t xml:space="preserve"> moth, aphids, and flea beetles and thereby mitigates infestation of main crops by 60-80%. Targeted interventions can be applied to trap crops or the crops destroyed before the pest can disperse as much as possible reducing the application of pesticides</w:t>
      </w:r>
      <w:r w:rsidR="00B126C8">
        <w:rPr>
          <w:rFonts w:ascii="Times New Roman" w:hAnsi="Times New Roman" w:cs="Times New Roman"/>
          <w:sz w:val="24"/>
          <w:szCs w:val="24"/>
        </w:rPr>
        <w:t xml:space="preserve"> (</w:t>
      </w:r>
      <w:proofErr w:type="spellStart"/>
      <w:r w:rsidR="00B126C8">
        <w:t>Ojadi</w:t>
      </w:r>
      <w:proofErr w:type="spellEnd"/>
      <w:r w:rsidR="00B126C8">
        <w:t xml:space="preserve">, 2023; </w:t>
      </w:r>
      <w:proofErr w:type="spellStart"/>
      <w:r w:rsidR="00B126C8">
        <w:t>Piñeiro</w:t>
      </w:r>
      <w:proofErr w:type="spellEnd"/>
      <w:r w:rsidR="00B126C8">
        <w:t xml:space="preserve"> et al., 2020)</w:t>
      </w:r>
      <w:r w:rsidRPr="00F56FD7">
        <w:rPr>
          <w:rFonts w:ascii="Times New Roman" w:hAnsi="Times New Roman" w:cs="Times New Roman"/>
          <w:sz w:val="24"/>
          <w:szCs w:val="24"/>
        </w:rPr>
        <w:t>.</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6: Spatial Arrangement for Pest Management</w:t>
      </w:r>
    </w:p>
    <w:p w:rsidR="00931F68" w:rsidRDefault="00931F68" w:rsidP="00931F68">
      <w:pPr>
        <w:pStyle w:val="NormalWeb"/>
        <w:jc w:val="center"/>
      </w:pPr>
      <w:r>
        <w:rPr>
          <w:noProof/>
          <w:lang w:bidi="ar-SA"/>
        </w:rPr>
        <w:lastRenderedPageBreak/>
        <w:drawing>
          <wp:inline distT="0" distB="0" distL="0" distR="0">
            <wp:extent cx="4329497" cy="4543425"/>
            <wp:effectExtent l="0" t="0" r="0" b="0"/>
            <wp:docPr id="10" name="Picture 10" descr="C:\Users\Lenovo\Downloads\Ecological-interactions-among-pests-natural-enemies-predators-pollinators-and-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Downloads\Ecological-interactions-among-pests-natural-enemies-predators-pollinators-and-cro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5100" cy="4549305"/>
                    </a:xfrm>
                    <a:prstGeom prst="rect">
                      <a:avLst/>
                    </a:prstGeom>
                    <a:noFill/>
                    <a:ln>
                      <a:noFill/>
                    </a:ln>
                  </pic:spPr>
                </pic:pic>
              </a:graphicData>
            </a:graphic>
          </wp:inline>
        </w:drawing>
      </w:r>
    </w:p>
    <w:p w:rsidR="00931F68" w:rsidRPr="005D74F0" w:rsidRDefault="00931F68" w:rsidP="005D74F0">
      <w:pPr>
        <w:jc w:val="both"/>
        <w:rPr>
          <w:rFonts w:ascii="Times New Roman" w:hAnsi="Times New Roman" w:cs="Times New Roman"/>
          <w:sz w:val="24"/>
          <w:szCs w:val="24"/>
        </w:rPr>
      </w:pPr>
    </w:p>
    <w:p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Banker plants contribute to maintenance of desirable populations of arthropods which have been the source of biological control. In </w:t>
      </w:r>
      <w:proofErr w:type="spellStart"/>
      <w:r w:rsidRPr="00F56FD7">
        <w:rPr>
          <w:rFonts w:ascii="Times New Roman" w:hAnsi="Times New Roman" w:cs="Times New Roman"/>
          <w:sz w:val="24"/>
          <w:szCs w:val="24"/>
        </w:rPr>
        <w:t>Lobularia</w:t>
      </w:r>
      <w:proofErr w:type="spellEnd"/>
      <w:r w:rsidRPr="00F56FD7">
        <w:rPr>
          <w:rFonts w:ascii="Times New Roman" w:hAnsi="Times New Roman" w:cs="Times New Roman"/>
          <w:sz w:val="24"/>
          <w:szCs w:val="24"/>
        </w:rPr>
        <w:t xml:space="preserve"> </w:t>
      </w:r>
      <w:proofErr w:type="spellStart"/>
      <w:r w:rsidRPr="00F56FD7">
        <w:rPr>
          <w:rFonts w:ascii="Times New Roman" w:hAnsi="Times New Roman" w:cs="Times New Roman"/>
          <w:sz w:val="24"/>
          <w:szCs w:val="24"/>
        </w:rPr>
        <w:t>maritima</w:t>
      </w:r>
      <w:proofErr w:type="spellEnd"/>
      <w:r w:rsidRPr="00F56FD7">
        <w:rPr>
          <w:rFonts w:ascii="Times New Roman" w:hAnsi="Times New Roman" w:cs="Times New Roman"/>
          <w:sz w:val="24"/>
          <w:szCs w:val="24"/>
        </w:rPr>
        <w:t xml:space="preserve"> (sweet alyssum), Fagopyrum </w:t>
      </w:r>
      <w:proofErr w:type="spellStart"/>
      <w:r w:rsidRPr="00F56FD7">
        <w:rPr>
          <w:rFonts w:ascii="Times New Roman" w:hAnsi="Times New Roman" w:cs="Times New Roman"/>
          <w:sz w:val="24"/>
          <w:szCs w:val="24"/>
        </w:rPr>
        <w:t>esculentum</w:t>
      </w:r>
      <w:proofErr w:type="spellEnd"/>
      <w:r w:rsidRPr="00F56FD7">
        <w:rPr>
          <w:rFonts w:ascii="Times New Roman" w:hAnsi="Times New Roman" w:cs="Times New Roman"/>
          <w:sz w:val="24"/>
          <w:szCs w:val="24"/>
        </w:rPr>
        <w:t xml:space="preserve"> (buckwheat), and Phacelia </w:t>
      </w:r>
      <w:proofErr w:type="spellStart"/>
      <w:r w:rsidRPr="00F56FD7">
        <w:rPr>
          <w:rFonts w:ascii="Times New Roman" w:hAnsi="Times New Roman" w:cs="Times New Roman"/>
          <w:sz w:val="24"/>
          <w:szCs w:val="24"/>
        </w:rPr>
        <w:t>tanacetifolia</w:t>
      </w:r>
      <w:proofErr w:type="spellEnd"/>
      <w:r w:rsidRPr="00F56FD7">
        <w:rPr>
          <w:rFonts w:ascii="Times New Roman" w:hAnsi="Times New Roman" w:cs="Times New Roman"/>
          <w:sz w:val="24"/>
          <w:szCs w:val="24"/>
        </w:rPr>
        <w:t xml:space="preserve">, predators and parasitoids feeding on pest species are found growing. Natural </w:t>
      </w:r>
      <w:proofErr w:type="gramStart"/>
      <w:r w:rsidRPr="00F56FD7">
        <w:rPr>
          <w:rFonts w:ascii="Times New Roman" w:hAnsi="Times New Roman" w:cs="Times New Roman"/>
          <w:sz w:val="24"/>
          <w:szCs w:val="24"/>
        </w:rPr>
        <w:t>enemies</w:t>
      </w:r>
      <w:proofErr w:type="gramEnd"/>
      <w:r w:rsidRPr="00F56FD7">
        <w:rPr>
          <w:rFonts w:ascii="Times New Roman" w:hAnsi="Times New Roman" w:cs="Times New Roman"/>
          <w:sz w:val="24"/>
          <w:szCs w:val="24"/>
        </w:rPr>
        <w:t xml:space="preserve"> abundance during growing seasons can be boosted by 3-5 folds with planting of banker plants strategically that can boost pest control</w:t>
      </w:r>
      <w:r w:rsidR="00B126C8">
        <w:rPr>
          <w:rFonts w:ascii="Times New Roman" w:hAnsi="Times New Roman" w:cs="Times New Roman"/>
          <w:sz w:val="24"/>
          <w:szCs w:val="24"/>
        </w:rPr>
        <w:t xml:space="preserve"> (</w:t>
      </w:r>
      <w:r w:rsidR="00B126C8">
        <w:t>Sekhar et al., 2024)</w:t>
      </w:r>
      <w:r w:rsidRPr="00F56FD7">
        <w:rPr>
          <w:rFonts w:ascii="Times New Roman" w:hAnsi="Times New Roman" w:cs="Times New Roman"/>
          <w:sz w:val="24"/>
          <w:szCs w:val="24"/>
        </w:rPr>
        <w:t>.</w:t>
      </w:r>
    </w:p>
    <w:p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Integration and Synergies</w:t>
      </w:r>
    </w:p>
    <w:p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Systems-Level Benefits</w:t>
      </w:r>
    </w:p>
    <w:p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The shareholder impacts of the components are not as great as the leverage of the synergies of different plant based practices. Poly culture rotations and using cover crops build up soil organic matter and also diversification of production and revenue streams. Leguminous cover crops provide soil with nitrogen to the subsequent intercrops in addition to improving the soil structure to allow intricate root systems. This is because the applications of biofertilizers enhance the formation of biomass covers and nitrogen fixation rates</w:t>
      </w:r>
      <w:r w:rsidR="00B126C8">
        <w:rPr>
          <w:rFonts w:ascii="Times New Roman" w:hAnsi="Times New Roman" w:cs="Times New Roman"/>
          <w:sz w:val="24"/>
          <w:szCs w:val="24"/>
        </w:rPr>
        <w:t xml:space="preserve"> (</w:t>
      </w:r>
      <w:r w:rsidR="00B126C8">
        <w:t>P. Sharma et al., 2024)</w:t>
      </w:r>
      <w:r w:rsidRPr="00F56FD7">
        <w:rPr>
          <w:rFonts w:ascii="Times New Roman" w:hAnsi="Times New Roman" w:cs="Times New Roman"/>
          <w:sz w:val="24"/>
          <w:szCs w:val="24"/>
        </w:rPr>
        <w:t>.</w:t>
      </w:r>
    </w:p>
    <w:p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Economic Considerations</w:t>
      </w:r>
    </w:p>
    <w:p w:rsidR="00B126C8"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lastRenderedPageBreak/>
        <w:t>Sustainable practices in plants are long-term investments that are pegged on initial investment in seeds, inoculants, and education. However, the low price of input and access to the high end market tends to be recouped within 2- 3 seasons. Economic analyses indicate that integrated sustainable systems make up 15-40% more profitable than conventional monocultures would in respect to overall costs of production and worth of ecosystem services.</w:t>
      </w:r>
      <w:r w:rsidR="00B126C8">
        <w:rPr>
          <w:rFonts w:ascii="Times New Roman" w:hAnsi="Times New Roman" w:cs="Times New Roman"/>
          <w:sz w:val="24"/>
          <w:szCs w:val="24"/>
        </w:rPr>
        <w:t xml:space="preserve"> </w:t>
      </w:r>
    </w:p>
    <w:p w:rsidR="00931F68" w:rsidRPr="005D74F0" w:rsidRDefault="00931F68" w:rsidP="00F56FD7">
      <w:pPr>
        <w:jc w:val="both"/>
        <w:rPr>
          <w:rFonts w:ascii="Times New Roman" w:hAnsi="Times New Roman" w:cs="Times New Roman"/>
          <w:sz w:val="24"/>
          <w:szCs w:val="24"/>
        </w:rPr>
      </w:pPr>
      <w:r w:rsidRPr="005D74F0">
        <w:rPr>
          <w:rFonts w:ascii="Times New Roman" w:hAnsi="Times New Roman" w:cs="Times New Roman"/>
          <w:b/>
          <w:bCs/>
          <w:sz w:val="24"/>
          <w:szCs w:val="24"/>
        </w:rPr>
        <w:t>Figure 7: Cumulative Benefits of Integration</w:t>
      </w:r>
    </w:p>
    <w:p w:rsidR="00931F68" w:rsidRPr="005D74F0" w:rsidRDefault="00931F68" w:rsidP="005D74F0">
      <w:pPr>
        <w:jc w:val="both"/>
        <w:rPr>
          <w:rFonts w:ascii="Times New Roman" w:hAnsi="Times New Roman" w:cs="Times New Roman"/>
          <w:sz w:val="24"/>
          <w:szCs w:val="24"/>
        </w:rPr>
      </w:pPr>
      <w:r>
        <w:rPr>
          <w:noProof/>
        </w:rPr>
        <w:drawing>
          <wp:inline distT="0" distB="0" distL="0" distR="0">
            <wp:extent cx="5334000" cy="2857500"/>
            <wp:effectExtent l="0" t="0" r="0" b="0"/>
            <wp:docPr id="11" name="Picture 11" descr="Continuous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inuous Integr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857500"/>
                    </a:xfrm>
                    <a:prstGeom prst="rect">
                      <a:avLst/>
                    </a:prstGeom>
                    <a:noFill/>
                    <a:ln>
                      <a:noFill/>
                    </a:ln>
                  </pic:spPr>
                </pic:pic>
              </a:graphicData>
            </a:graphic>
          </wp:inline>
        </w:drawing>
      </w:r>
    </w:p>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b/>
          <w:bCs/>
          <w:sz w:val="24"/>
          <w:szCs w:val="24"/>
        </w:rPr>
        <w:t>Table 7: Economic Analysis of Sustainable Practice Adoption</w:t>
      </w:r>
    </w:p>
    <w:tbl>
      <w:tblPr>
        <w:tblStyle w:val="TableGrid"/>
        <w:tblW w:w="0" w:type="auto"/>
        <w:tblLook w:val="04A0" w:firstRow="1" w:lastRow="0" w:firstColumn="1" w:lastColumn="0" w:noHBand="0" w:noVBand="1"/>
      </w:tblPr>
      <w:tblGrid>
        <w:gridCol w:w="2441"/>
        <w:gridCol w:w="1818"/>
        <w:gridCol w:w="1586"/>
        <w:gridCol w:w="1886"/>
        <w:gridCol w:w="1619"/>
      </w:tblGrid>
      <w:tr w:rsidR="005D74F0" w:rsidRPr="005D74F0" w:rsidTr="00931F68">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Practice Combination</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Initial Investment</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Payback Period</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Net Return Increase</w:t>
            </w:r>
          </w:p>
        </w:tc>
        <w:tc>
          <w:tcPr>
            <w:tcW w:w="0" w:type="auto"/>
            <w:hideMark/>
          </w:tcPr>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Risk Reduction</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Cover Crop + Polyculture</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$150-250/ha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30-40%</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Biofertilizer + Botanicals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$80-120/ha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20-30%</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25-35%</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Full Integration</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$200-350/ha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2-4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35-45%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40-50%</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Polyculture + Trap Crops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$100-180/ha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1-3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AMF + Cover Crops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$120-200/ha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2-3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28-38%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32-42%</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Green Manure + Biocontrol</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$90-150/ha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1-2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18-28%</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22-32%</w:t>
            </w:r>
          </w:p>
        </w:tc>
      </w:tr>
      <w:tr w:rsidR="005D74F0" w:rsidRPr="005D74F0" w:rsidTr="00931F68">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Complete System</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$300-450/ha</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3-5 years</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40-55%</w:t>
            </w:r>
          </w:p>
        </w:tc>
        <w:tc>
          <w:tcPr>
            <w:tcW w:w="0" w:type="auto"/>
            <w:hideMark/>
          </w:tcPr>
          <w:p w:rsidR="005D74F0" w:rsidRPr="005D74F0" w:rsidRDefault="005D74F0" w:rsidP="005D74F0">
            <w:pPr>
              <w:jc w:val="both"/>
              <w:rPr>
                <w:rFonts w:ascii="Times New Roman" w:hAnsi="Times New Roman" w:cs="Times New Roman"/>
                <w:sz w:val="24"/>
                <w:szCs w:val="24"/>
              </w:rPr>
            </w:pPr>
            <w:r w:rsidRPr="005D74F0">
              <w:rPr>
                <w:rFonts w:ascii="Times New Roman" w:hAnsi="Times New Roman" w:cs="Times New Roman"/>
                <w:sz w:val="24"/>
                <w:szCs w:val="24"/>
              </w:rPr>
              <w:t>45-60%</w:t>
            </w:r>
          </w:p>
        </w:tc>
      </w:tr>
    </w:tbl>
    <w:p w:rsidR="004D1368"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Challenges and Future Directions</w:t>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Implementation Barriers</w:t>
      </w:r>
    </w:p>
    <w:p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Though proven to be beneficial, the implementation of sustainable practices grounded on plants is limited by various limitations. Knowledge-intensive management needs education to the farmers and technical assistance which is usually not offered in the rural regions. Cover crop and traditional </w:t>
      </w:r>
      <w:r w:rsidRPr="00F56FD7">
        <w:rPr>
          <w:rFonts w:ascii="Times New Roman" w:hAnsi="Times New Roman" w:cs="Times New Roman"/>
          <w:sz w:val="24"/>
          <w:szCs w:val="24"/>
        </w:rPr>
        <w:lastRenderedPageBreak/>
        <w:t>varieties of seeds and their systems must be fortified to guarantee quality availability of germplasm. Market systems that are inclined towards monoculture commodities will not support diversification unless there is a policy in place</w:t>
      </w:r>
      <w:r w:rsidR="00B126C8">
        <w:rPr>
          <w:rFonts w:ascii="Times New Roman" w:hAnsi="Times New Roman" w:cs="Times New Roman"/>
          <w:sz w:val="24"/>
          <w:szCs w:val="24"/>
        </w:rPr>
        <w:t xml:space="preserve"> (</w:t>
      </w:r>
      <w:r w:rsidR="00B126C8">
        <w:t>S. Sharma &amp; K.C., 2024)</w:t>
      </w:r>
      <w:r w:rsidRPr="00F56FD7">
        <w:rPr>
          <w:rFonts w:ascii="Times New Roman" w:hAnsi="Times New Roman" w:cs="Times New Roman"/>
          <w:sz w:val="24"/>
          <w:szCs w:val="24"/>
        </w:rPr>
        <w:t>.</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8: Pathways to Overcome Constraints</w:t>
      </w:r>
    </w:p>
    <w:p w:rsidR="00931F68" w:rsidRPr="005D74F0" w:rsidRDefault="00931F68" w:rsidP="005D74F0">
      <w:pPr>
        <w:jc w:val="both"/>
        <w:rPr>
          <w:rFonts w:ascii="Times New Roman" w:hAnsi="Times New Roman" w:cs="Times New Roman"/>
          <w:sz w:val="24"/>
          <w:szCs w:val="24"/>
        </w:rPr>
      </w:pPr>
      <w:r>
        <w:rPr>
          <w:noProof/>
        </w:rPr>
        <w:drawing>
          <wp:inline distT="0" distB="0" distL="0" distR="0">
            <wp:extent cx="4543156" cy="2683302"/>
            <wp:effectExtent l="0" t="0" r="0" b="3175"/>
            <wp:docPr id="13" name="Picture 13" descr="Theory of Constraints Step 4: Elevating the Constraint - Future State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ory of Constraints Step 4: Elevating the Constraint - Future State  Enginee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322" cy="2689897"/>
                    </a:xfrm>
                    <a:prstGeom prst="rect">
                      <a:avLst/>
                    </a:prstGeom>
                    <a:noFill/>
                    <a:ln>
                      <a:noFill/>
                    </a:ln>
                  </pic:spPr>
                </pic:pic>
              </a:graphicData>
            </a:graphic>
          </wp:inline>
        </w:drawing>
      </w:r>
    </w:p>
    <w:p w:rsidR="00931F68" w:rsidRPr="005D74F0" w:rsidRDefault="00931F68" w:rsidP="00931F68">
      <w:pPr>
        <w:jc w:val="both"/>
        <w:rPr>
          <w:rFonts w:ascii="Times New Roman" w:hAnsi="Times New Roman" w:cs="Times New Roman"/>
          <w:sz w:val="24"/>
          <w:szCs w:val="24"/>
        </w:rPr>
      </w:pPr>
      <w:r w:rsidRPr="005D74F0">
        <w:rPr>
          <w:rFonts w:ascii="Times New Roman" w:hAnsi="Times New Roman" w:cs="Times New Roman"/>
          <w:b/>
          <w:bCs/>
          <w:sz w:val="24"/>
          <w:szCs w:val="24"/>
        </w:rPr>
        <w:t>Figure 9: Multi-stakeholder Scaling Approach</w:t>
      </w:r>
    </w:p>
    <w:p w:rsidR="00931F68" w:rsidRDefault="00931F68" w:rsidP="005D74F0">
      <w:pPr>
        <w:jc w:val="both"/>
        <w:rPr>
          <w:rFonts w:ascii="Times New Roman" w:hAnsi="Times New Roman" w:cs="Times New Roman"/>
          <w:b/>
          <w:bCs/>
          <w:sz w:val="24"/>
          <w:szCs w:val="24"/>
        </w:rPr>
      </w:pPr>
      <w:r>
        <w:rPr>
          <w:noProof/>
        </w:rPr>
        <w:drawing>
          <wp:inline distT="0" distB="0" distL="0" distR="0">
            <wp:extent cx="5943600" cy="3364155"/>
            <wp:effectExtent l="0" t="0" r="0" b="8255"/>
            <wp:docPr id="14" name="Picture 14" descr="Frontiers | Complexities and Context of Scaling Up: A Qualitative Study of  Stakeholder Perspectives of Scaling Physical Activity and Nutrition  Intervention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ontiers | Complexities and Context of Scaling Up: A Qualitative Study of  Stakeholder Perspectives of Scaling Physical Activity and Nutrition  Interventions in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64155"/>
                    </a:xfrm>
                    <a:prstGeom prst="rect">
                      <a:avLst/>
                    </a:prstGeom>
                    <a:noFill/>
                    <a:ln>
                      <a:noFill/>
                    </a:ln>
                  </pic:spPr>
                </pic:pic>
              </a:graphicData>
            </a:graphic>
          </wp:inline>
        </w:drawing>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Climate Change Adaptation</w:t>
      </w:r>
    </w:p>
    <w:p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 xml:space="preserve">There is also a weakness in the agricultural systems to the climatic variability, and thus, resilient practices are being used. Plant </w:t>
      </w:r>
      <w:proofErr w:type="spellStart"/>
      <w:r w:rsidRPr="00F56FD7">
        <w:rPr>
          <w:rFonts w:ascii="Times New Roman" w:hAnsi="Times New Roman" w:cs="Times New Roman"/>
          <w:sz w:val="24"/>
          <w:szCs w:val="24"/>
        </w:rPr>
        <w:t>heterogenity</w:t>
      </w:r>
      <w:proofErr w:type="spellEnd"/>
      <w:r w:rsidRPr="00F56FD7">
        <w:rPr>
          <w:rFonts w:ascii="Times New Roman" w:hAnsi="Times New Roman" w:cs="Times New Roman"/>
          <w:sz w:val="24"/>
          <w:szCs w:val="24"/>
        </w:rPr>
        <w:t xml:space="preserve"> helps to reduce extremes in weather because of stress </w:t>
      </w:r>
      <w:r w:rsidRPr="00F56FD7">
        <w:rPr>
          <w:rFonts w:ascii="Times New Roman" w:hAnsi="Times New Roman" w:cs="Times New Roman"/>
          <w:sz w:val="24"/>
          <w:szCs w:val="24"/>
        </w:rPr>
        <w:lastRenderedPageBreak/>
        <w:t>variation, and maturity epochs. Planted cover crops access the tap water during dry seasons and planting mulches reduce the heights and lows of the temperatures. Among the research priorities is the selection and breeding of climate-adaptive cultivars so as to have systems that produce sustainability</w:t>
      </w:r>
      <w:r w:rsidR="00B126C8">
        <w:rPr>
          <w:rFonts w:ascii="Times New Roman" w:hAnsi="Times New Roman" w:cs="Times New Roman"/>
          <w:sz w:val="24"/>
          <w:szCs w:val="24"/>
        </w:rPr>
        <w:t xml:space="preserve"> (</w:t>
      </w:r>
      <w:r w:rsidR="00B126C8">
        <w:t>Singh et al., 2024)</w:t>
      </w:r>
      <w:r w:rsidRPr="00F56FD7">
        <w:rPr>
          <w:rFonts w:ascii="Times New Roman" w:hAnsi="Times New Roman" w:cs="Times New Roman"/>
          <w:sz w:val="24"/>
          <w:szCs w:val="24"/>
        </w:rPr>
        <w:t>.</w:t>
      </w:r>
    </w:p>
    <w:p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Scaling Mechanisms</w:t>
      </w:r>
    </w:p>
    <w:p w:rsidR="00F56FD7" w:rsidRPr="00F56FD7"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A proper scaling should be both technically and socially and on policy level. The mechanisms of efficient knowledge transfer and the adoption rates of the participants of Farmer field schools are higher than 60 due to the institutions of these schools. The electronic media are increasingly proving effective in terms of information exchange and market connections. The policy support through the payment of ecosystem services and sustainable certification programs motivates and renders it cost-effective</w:t>
      </w:r>
      <w:r w:rsidR="00B126C8">
        <w:rPr>
          <w:rFonts w:ascii="Times New Roman" w:hAnsi="Times New Roman" w:cs="Times New Roman"/>
          <w:sz w:val="24"/>
          <w:szCs w:val="24"/>
        </w:rPr>
        <w:t xml:space="preserve"> (</w:t>
      </w:r>
      <w:r w:rsidR="00B126C8">
        <w:t xml:space="preserve">Sithole &amp; </w:t>
      </w:r>
      <w:proofErr w:type="spellStart"/>
      <w:r w:rsidR="00B126C8">
        <w:t>Olorunfemi</w:t>
      </w:r>
      <w:proofErr w:type="spellEnd"/>
      <w:r w:rsidR="00B126C8">
        <w:t>, 2024)</w:t>
      </w:r>
      <w:r w:rsidRPr="00F56FD7">
        <w:rPr>
          <w:rFonts w:ascii="Times New Roman" w:hAnsi="Times New Roman" w:cs="Times New Roman"/>
          <w:sz w:val="24"/>
          <w:szCs w:val="24"/>
        </w:rPr>
        <w:t>.</w:t>
      </w:r>
    </w:p>
    <w:p w:rsidR="00F56FD7" w:rsidRPr="00F56FD7" w:rsidRDefault="00F56FD7" w:rsidP="00F56FD7">
      <w:pPr>
        <w:jc w:val="both"/>
        <w:rPr>
          <w:rFonts w:ascii="Times New Roman" w:hAnsi="Times New Roman" w:cs="Times New Roman"/>
          <w:b/>
          <w:bCs/>
          <w:sz w:val="24"/>
          <w:szCs w:val="24"/>
        </w:rPr>
      </w:pPr>
      <w:r w:rsidRPr="00F56FD7">
        <w:rPr>
          <w:rFonts w:ascii="Times New Roman" w:hAnsi="Times New Roman" w:cs="Times New Roman"/>
          <w:b/>
          <w:bCs/>
          <w:sz w:val="24"/>
          <w:szCs w:val="24"/>
        </w:rPr>
        <w:t>Research Priorities</w:t>
      </w:r>
    </w:p>
    <w:p w:rsidR="005D74F0" w:rsidRPr="005D74F0" w:rsidRDefault="00F56FD7" w:rsidP="00F56FD7">
      <w:pPr>
        <w:jc w:val="both"/>
        <w:rPr>
          <w:rFonts w:ascii="Times New Roman" w:hAnsi="Times New Roman" w:cs="Times New Roman"/>
          <w:sz w:val="24"/>
          <w:szCs w:val="24"/>
        </w:rPr>
      </w:pPr>
      <w:r w:rsidRPr="00F56FD7">
        <w:rPr>
          <w:rFonts w:ascii="Times New Roman" w:hAnsi="Times New Roman" w:cs="Times New Roman"/>
          <w:sz w:val="24"/>
          <w:szCs w:val="24"/>
        </w:rPr>
        <w:t>The paper needs to be expanded in future research by the context specific optimization of the plant mixes to apply them to different agro ecological regions. Understanding of interactions between plants, soil and microbes at the molecular scale will aid in taking certain actions that will enhance positive interactions. Proper mechanization to various cropping systems should be developed to become efficient with regards to labor. The evidence on policy supports will be furnished by the provision of ecosystem services and economic sustainability to the long-term studies</w:t>
      </w:r>
      <w:r w:rsidR="00B126C8">
        <w:rPr>
          <w:rFonts w:ascii="Times New Roman" w:hAnsi="Times New Roman" w:cs="Times New Roman"/>
          <w:sz w:val="24"/>
          <w:szCs w:val="24"/>
        </w:rPr>
        <w:t xml:space="preserve"> (</w:t>
      </w:r>
      <w:proofErr w:type="spellStart"/>
      <w:r w:rsidR="00B126C8">
        <w:t>Valavi</w:t>
      </w:r>
      <w:proofErr w:type="spellEnd"/>
      <w:r w:rsidR="00B126C8">
        <w:t xml:space="preserve"> et al., 2025).</w:t>
      </w:r>
    </w:p>
    <w:p w:rsid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Figure 10: Integrated Research Priorities</w:t>
      </w:r>
    </w:p>
    <w:p w:rsidR="00931F68" w:rsidRPr="005D74F0" w:rsidRDefault="00931F68" w:rsidP="005D74F0">
      <w:pPr>
        <w:jc w:val="both"/>
        <w:rPr>
          <w:rFonts w:ascii="Times New Roman" w:hAnsi="Times New Roman" w:cs="Times New Roman"/>
          <w:sz w:val="24"/>
          <w:szCs w:val="24"/>
        </w:rPr>
      </w:pPr>
      <w:r>
        <w:rPr>
          <w:noProof/>
        </w:rPr>
        <w:drawing>
          <wp:inline distT="0" distB="0" distL="0" distR="0">
            <wp:extent cx="5943600" cy="2391937"/>
            <wp:effectExtent l="0" t="0" r="0" b="8890"/>
            <wp:docPr id="15" name="Picture 15" descr="Research priority setting - Students 4 Best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earch priority setting - Students 4 Best Ev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391937"/>
                    </a:xfrm>
                    <a:prstGeom prst="rect">
                      <a:avLst/>
                    </a:prstGeom>
                    <a:noFill/>
                    <a:ln>
                      <a:noFill/>
                    </a:ln>
                  </pic:spPr>
                </pic:pic>
              </a:graphicData>
            </a:graphic>
          </wp:inline>
        </w:drawing>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Conclusion</w:t>
      </w:r>
    </w:p>
    <w:p w:rsidR="00F56FD7" w:rsidRDefault="00F56FD7" w:rsidP="005D74F0">
      <w:pPr>
        <w:jc w:val="both"/>
        <w:rPr>
          <w:rFonts w:ascii="Times New Roman" w:hAnsi="Times New Roman" w:cs="Times New Roman"/>
          <w:sz w:val="24"/>
          <w:szCs w:val="24"/>
        </w:rPr>
      </w:pPr>
      <w:r w:rsidRPr="00F56FD7">
        <w:rPr>
          <w:rFonts w:ascii="Times New Roman" w:hAnsi="Times New Roman" w:cs="Times New Roman"/>
          <w:sz w:val="24"/>
          <w:szCs w:val="24"/>
        </w:rPr>
        <w:t xml:space="preserve">Sustainable agriculture practices based on plants provide possible solutions towards food security and recovering environmental resources. Individual and synergistic advantages are shown in terms of productivity, profitability and ecology with cover crops, polycultures, biofertilizers and botanical pest management. The implementation issues have to be solved by the concerted work of the scientists, extension services, farmers and policy-makers. The key to success is adaptation, </w:t>
      </w:r>
      <w:r w:rsidRPr="00F56FD7">
        <w:rPr>
          <w:rFonts w:ascii="Times New Roman" w:hAnsi="Times New Roman" w:cs="Times New Roman"/>
          <w:sz w:val="24"/>
          <w:szCs w:val="24"/>
        </w:rPr>
        <w:lastRenderedPageBreak/>
        <w:t>management, and favorable institutional structures which are specific to the context. The indications have been overwhelming in support of a shift in agricultural systems to be plant-based to ensure a sustainable intensification that satisfies the demands of the human population and planetary toxins. The further development requires further innovation, collaboration with multiple stakeholders, and adherence to the principles of ecology used to transform agriculture.</w:t>
      </w:r>
    </w:p>
    <w:p w:rsidR="005D74F0" w:rsidRPr="005D74F0" w:rsidRDefault="005D74F0" w:rsidP="005D74F0">
      <w:pPr>
        <w:jc w:val="both"/>
        <w:rPr>
          <w:rFonts w:ascii="Times New Roman" w:hAnsi="Times New Roman" w:cs="Times New Roman"/>
          <w:b/>
          <w:bCs/>
          <w:sz w:val="24"/>
          <w:szCs w:val="24"/>
        </w:rPr>
      </w:pPr>
      <w:r w:rsidRPr="005D74F0">
        <w:rPr>
          <w:rFonts w:ascii="Times New Roman" w:hAnsi="Times New Roman" w:cs="Times New Roman"/>
          <w:b/>
          <w:bCs/>
          <w:sz w:val="24"/>
          <w:szCs w:val="24"/>
        </w:rPr>
        <w:t>References</w:t>
      </w: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Banusri</w:t>
      </w:r>
      <w:proofErr w:type="spellEnd"/>
      <w:r w:rsidRPr="00E93782">
        <w:rPr>
          <w:rFonts w:ascii="Times New Roman" w:hAnsi="Times New Roman" w:cs="Times New Roman"/>
          <w:sz w:val="24"/>
          <w:szCs w:val="24"/>
        </w:rPr>
        <w:t xml:space="preserve">, M., Bharath, H. R. R., G, G. K., &amp; P, A. (2023). Impact of CSR Activities on the Enhancement of Income of Farmers in Sustainable Agriculture. </w:t>
      </w:r>
      <w:r w:rsidRPr="00E93782">
        <w:rPr>
          <w:rFonts w:ascii="Times New Roman" w:hAnsi="Times New Roman" w:cs="Times New Roman"/>
          <w:i/>
          <w:iCs/>
          <w:sz w:val="24"/>
          <w:szCs w:val="24"/>
        </w:rPr>
        <w:t>International Journal for Research in Applied Science and Engineering Technology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11</w:t>
      </w:r>
      <w:r w:rsidRPr="00E93782">
        <w:rPr>
          <w:rFonts w:ascii="Times New Roman" w:hAnsi="Times New Roman" w:cs="Times New Roman"/>
          <w:sz w:val="24"/>
          <w:szCs w:val="24"/>
        </w:rPr>
        <w:t xml:space="preserve">(10), 1502. </w:t>
      </w:r>
      <w:hyperlink r:id="rId17" w:tgtFrame="_blank" w:history="1">
        <w:r w:rsidRPr="00E93782">
          <w:rPr>
            <w:rStyle w:val="Hyperlink"/>
            <w:rFonts w:ascii="Times New Roman" w:hAnsi="Times New Roman" w:cs="Times New Roman"/>
            <w:sz w:val="24"/>
            <w:szCs w:val="24"/>
          </w:rPr>
          <w:t>https://doi.org/10.22214/ijraset.2023.56237</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Chandel</w:t>
      </w:r>
      <w:proofErr w:type="spellEnd"/>
      <w:r w:rsidRPr="00E93782">
        <w:rPr>
          <w:rFonts w:ascii="Times New Roman" w:hAnsi="Times New Roman" w:cs="Times New Roman"/>
          <w:sz w:val="24"/>
          <w:szCs w:val="24"/>
        </w:rPr>
        <w:t xml:space="preserve">, N., Kumar, A., &amp; Kumar, R. (2024). Towards Sustainable Agriculture: Integrating Agronomic Practices, Environmental Physiology and Plant Nutrition. </w:t>
      </w:r>
      <w:r w:rsidRPr="00E93782">
        <w:rPr>
          <w:rFonts w:ascii="Times New Roman" w:hAnsi="Times New Roman" w:cs="Times New Roman"/>
          <w:i/>
          <w:iCs/>
          <w:sz w:val="24"/>
          <w:szCs w:val="24"/>
        </w:rPr>
        <w:t>International Journal of Plant &amp; Soil Science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36</w:t>
      </w:r>
      <w:r w:rsidRPr="00E93782">
        <w:rPr>
          <w:rFonts w:ascii="Times New Roman" w:hAnsi="Times New Roman" w:cs="Times New Roman"/>
          <w:sz w:val="24"/>
          <w:szCs w:val="24"/>
        </w:rPr>
        <w:t xml:space="preserve">(6), 492. </w:t>
      </w:r>
      <w:hyperlink r:id="rId18" w:tgtFrame="_blank" w:history="1">
        <w:r w:rsidRPr="00E93782">
          <w:rPr>
            <w:rStyle w:val="Hyperlink"/>
            <w:rFonts w:ascii="Times New Roman" w:hAnsi="Times New Roman" w:cs="Times New Roman"/>
            <w:sz w:val="24"/>
            <w:szCs w:val="24"/>
          </w:rPr>
          <w:t>https://doi.org/10.9734/ijpss/2024/v36i64651</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Datta, S., </w:t>
      </w:r>
      <w:proofErr w:type="spellStart"/>
      <w:r w:rsidRPr="00E93782">
        <w:rPr>
          <w:rFonts w:ascii="Times New Roman" w:hAnsi="Times New Roman" w:cs="Times New Roman"/>
          <w:sz w:val="24"/>
          <w:szCs w:val="24"/>
        </w:rPr>
        <w:t>Hamim</w:t>
      </w:r>
      <w:proofErr w:type="spellEnd"/>
      <w:r w:rsidRPr="00E93782">
        <w:rPr>
          <w:rFonts w:ascii="Times New Roman" w:hAnsi="Times New Roman" w:cs="Times New Roman"/>
          <w:sz w:val="24"/>
          <w:szCs w:val="24"/>
        </w:rPr>
        <w:t xml:space="preserve">, I., Jaiswal, D. K., &amp; </w:t>
      </w:r>
      <w:proofErr w:type="spellStart"/>
      <w:r w:rsidRPr="00E93782">
        <w:rPr>
          <w:rFonts w:ascii="Times New Roman" w:hAnsi="Times New Roman" w:cs="Times New Roman"/>
          <w:sz w:val="24"/>
          <w:szCs w:val="24"/>
        </w:rPr>
        <w:t>Sungthong</w:t>
      </w:r>
      <w:proofErr w:type="spellEnd"/>
      <w:r w:rsidRPr="00E93782">
        <w:rPr>
          <w:rFonts w:ascii="Times New Roman" w:hAnsi="Times New Roman" w:cs="Times New Roman"/>
          <w:sz w:val="24"/>
          <w:szCs w:val="24"/>
        </w:rPr>
        <w:t xml:space="preserve">, R. (2023). Sustainable agriculture. </w:t>
      </w:r>
      <w:r w:rsidRPr="00E93782">
        <w:rPr>
          <w:rFonts w:ascii="Times New Roman" w:hAnsi="Times New Roman" w:cs="Times New Roman"/>
          <w:i/>
          <w:iCs/>
          <w:sz w:val="24"/>
          <w:szCs w:val="24"/>
        </w:rPr>
        <w:t>BMC Plant Biology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23</w:t>
      </w:r>
      <w:r w:rsidRPr="00E93782">
        <w:rPr>
          <w:rFonts w:ascii="Times New Roman" w:hAnsi="Times New Roman" w:cs="Times New Roman"/>
          <w:sz w:val="24"/>
          <w:szCs w:val="24"/>
        </w:rPr>
        <w:t xml:space="preserve">(1). </w:t>
      </w:r>
      <w:hyperlink r:id="rId19" w:tgtFrame="_blank" w:history="1">
        <w:r w:rsidRPr="00E93782">
          <w:rPr>
            <w:rStyle w:val="Hyperlink"/>
            <w:rFonts w:ascii="Times New Roman" w:hAnsi="Times New Roman" w:cs="Times New Roman"/>
            <w:sz w:val="24"/>
            <w:szCs w:val="24"/>
          </w:rPr>
          <w:t>https://doi.org/10.1186/s12870-023-04626-9</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Ewert, F., </w:t>
      </w:r>
      <w:proofErr w:type="spellStart"/>
      <w:r w:rsidRPr="00E93782">
        <w:rPr>
          <w:rFonts w:ascii="Times New Roman" w:hAnsi="Times New Roman" w:cs="Times New Roman"/>
          <w:sz w:val="24"/>
          <w:szCs w:val="24"/>
        </w:rPr>
        <w:t>Baatz</w:t>
      </w:r>
      <w:proofErr w:type="spellEnd"/>
      <w:r w:rsidRPr="00E93782">
        <w:rPr>
          <w:rFonts w:ascii="Times New Roman" w:hAnsi="Times New Roman" w:cs="Times New Roman"/>
          <w:sz w:val="24"/>
          <w:szCs w:val="24"/>
        </w:rPr>
        <w:t xml:space="preserve">, R., &amp; Finger, R. (2023). Agroecology for a Sustainable Agriculture and Food System: From Local Solutions to Large-Scale Adoption. </w:t>
      </w:r>
      <w:r w:rsidRPr="00E93782">
        <w:rPr>
          <w:rFonts w:ascii="Times New Roman" w:hAnsi="Times New Roman" w:cs="Times New Roman"/>
          <w:i/>
          <w:iCs/>
          <w:sz w:val="24"/>
          <w:szCs w:val="24"/>
        </w:rPr>
        <w:t>Annual Review of Resource Economics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15</w:t>
      </w:r>
      <w:r w:rsidRPr="00E93782">
        <w:rPr>
          <w:rFonts w:ascii="Times New Roman" w:hAnsi="Times New Roman" w:cs="Times New Roman"/>
          <w:sz w:val="24"/>
          <w:szCs w:val="24"/>
        </w:rPr>
        <w:t xml:space="preserve">(1), 351. </w:t>
      </w:r>
      <w:hyperlink r:id="rId20" w:tgtFrame="_blank" w:history="1">
        <w:r w:rsidRPr="00E93782">
          <w:rPr>
            <w:rStyle w:val="Hyperlink"/>
            <w:rFonts w:ascii="Times New Roman" w:hAnsi="Times New Roman" w:cs="Times New Roman"/>
            <w:sz w:val="24"/>
            <w:szCs w:val="24"/>
          </w:rPr>
          <w:t>https://doi.org/10.1146/annurev-resource-102422-090105</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Gamage, A., </w:t>
      </w:r>
      <w:proofErr w:type="spellStart"/>
      <w:r w:rsidRPr="00E93782">
        <w:rPr>
          <w:rFonts w:ascii="Times New Roman" w:hAnsi="Times New Roman" w:cs="Times New Roman"/>
          <w:sz w:val="24"/>
          <w:szCs w:val="24"/>
        </w:rPr>
        <w:t>Gangahagedara</w:t>
      </w:r>
      <w:proofErr w:type="spellEnd"/>
      <w:r w:rsidRPr="00E93782">
        <w:rPr>
          <w:rFonts w:ascii="Times New Roman" w:hAnsi="Times New Roman" w:cs="Times New Roman"/>
          <w:sz w:val="24"/>
          <w:szCs w:val="24"/>
        </w:rPr>
        <w:t xml:space="preserve">, R., </w:t>
      </w:r>
      <w:proofErr w:type="spellStart"/>
      <w:r w:rsidRPr="00E93782">
        <w:rPr>
          <w:rFonts w:ascii="Times New Roman" w:hAnsi="Times New Roman" w:cs="Times New Roman"/>
          <w:sz w:val="24"/>
          <w:szCs w:val="24"/>
        </w:rPr>
        <w:t>Subasinghe</w:t>
      </w:r>
      <w:proofErr w:type="spellEnd"/>
      <w:r w:rsidRPr="00E93782">
        <w:rPr>
          <w:rFonts w:ascii="Times New Roman" w:hAnsi="Times New Roman" w:cs="Times New Roman"/>
          <w:sz w:val="24"/>
          <w:szCs w:val="24"/>
        </w:rPr>
        <w:t xml:space="preserve">, S., Gamage, J., </w:t>
      </w:r>
      <w:proofErr w:type="spellStart"/>
      <w:r w:rsidRPr="00E93782">
        <w:rPr>
          <w:rFonts w:ascii="Times New Roman" w:hAnsi="Times New Roman" w:cs="Times New Roman"/>
          <w:sz w:val="24"/>
          <w:szCs w:val="24"/>
        </w:rPr>
        <w:t>Guruge</w:t>
      </w:r>
      <w:proofErr w:type="spellEnd"/>
      <w:r w:rsidRPr="00E93782">
        <w:rPr>
          <w:rFonts w:ascii="Times New Roman" w:hAnsi="Times New Roman" w:cs="Times New Roman"/>
          <w:sz w:val="24"/>
          <w:szCs w:val="24"/>
        </w:rPr>
        <w:t xml:space="preserve">, C., Senaratne, S., </w:t>
      </w:r>
      <w:proofErr w:type="spellStart"/>
      <w:r w:rsidRPr="00E93782">
        <w:rPr>
          <w:rFonts w:ascii="Times New Roman" w:hAnsi="Times New Roman" w:cs="Times New Roman"/>
          <w:sz w:val="24"/>
          <w:szCs w:val="24"/>
        </w:rPr>
        <w:t>Randika</w:t>
      </w:r>
      <w:proofErr w:type="spellEnd"/>
      <w:r w:rsidRPr="00E93782">
        <w:rPr>
          <w:rFonts w:ascii="Times New Roman" w:hAnsi="Times New Roman" w:cs="Times New Roman"/>
          <w:sz w:val="24"/>
          <w:szCs w:val="24"/>
        </w:rPr>
        <w:t xml:space="preserve">, T., </w:t>
      </w:r>
      <w:proofErr w:type="spellStart"/>
      <w:r w:rsidRPr="00E93782">
        <w:rPr>
          <w:rFonts w:ascii="Times New Roman" w:hAnsi="Times New Roman" w:cs="Times New Roman"/>
          <w:sz w:val="24"/>
          <w:szCs w:val="24"/>
        </w:rPr>
        <w:t>Rathnayake</w:t>
      </w:r>
      <w:proofErr w:type="spellEnd"/>
      <w:r w:rsidRPr="00E93782">
        <w:rPr>
          <w:rFonts w:ascii="Times New Roman" w:hAnsi="Times New Roman" w:cs="Times New Roman"/>
          <w:sz w:val="24"/>
          <w:szCs w:val="24"/>
        </w:rPr>
        <w:t xml:space="preserve">, C., Hameed, Z., </w:t>
      </w:r>
      <w:proofErr w:type="spellStart"/>
      <w:r w:rsidRPr="00E93782">
        <w:rPr>
          <w:rFonts w:ascii="Times New Roman" w:hAnsi="Times New Roman" w:cs="Times New Roman"/>
          <w:sz w:val="24"/>
          <w:szCs w:val="24"/>
        </w:rPr>
        <w:t>Madhujith</w:t>
      </w:r>
      <w:proofErr w:type="spellEnd"/>
      <w:r w:rsidRPr="00E93782">
        <w:rPr>
          <w:rFonts w:ascii="Times New Roman" w:hAnsi="Times New Roman" w:cs="Times New Roman"/>
          <w:sz w:val="24"/>
          <w:szCs w:val="24"/>
        </w:rPr>
        <w:t xml:space="preserve">, T., &amp; Merah, O. (2024). Advancing Sustainability: The Impact of Emerging Technologies in Agriculture. </w:t>
      </w:r>
      <w:r w:rsidRPr="00E93782">
        <w:rPr>
          <w:rFonts w:ascii="Times New Roman" w:hAnsi="Times New Roman" w:cs="Times New Roman"/>
          <w:i/>
          <w:iCs/>
          <w:sz w:val="24"/>
          <w:szCs w:val="24"/>
        </w:rPr>
        <w:t>Current Plant Biology</w:t>
      </w:r>
      <w:r w:rsidRPr="00E93782">
        <w:rPr>
          <w:rFonts w:ascii="Times New Roman" w:hAnsi="Times New Roman" w:cs="Times New Roman"/>
          <w:sz w:val="24"/>
          <w:szCs w:val="24"/>
        </w:rPr>
        <w:t xml:space="preserve">, 100420. </w:t>
      </w:r>
      <w:hyperlink r:id="rId21" w:tgtFrame="_blank" w:history="1">
        <w:r w:rsidRPr="00E93782">
          <w:rPr>
            <w:rStyle w:val="Hyperlink"/>
            <w:rFonts w:ascii="Times New Roman" w:hAnsi="Times New Roman" w:cs="Times New Roman"/>
            <w:sz w:val="24"/>
            <w:szCs w:val="24"/>
          </w:rPr>
          <w:t>https://doi.org/10.1016/j.cpb.2024.100420</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Gawande, V., </w:t>
      </w:r>
      <w:proofErr w:type="spellStart"/>
      <w:r w:rsidRPr="00E93782">
        <w:rPr>
          <w:rFonts w:ascii="Times New Roman" w:hAnsi="Times New Roman" w:cs="Times New Roman"/>
          <w:sz w:val="24"/>
          <w:szCs w:val="24"/>
        </w:rPr>
        <w:t>Saikanth</w:t>
      </w:r>
      <w:proofErr w:type="spellEnd"/>
      <w:r w:rsidRPr="00E93782">
        <w:rPr>
          <w:rFonts w:ascii="Times New Roman" w:hAnsi="Times New Roman" w:cs="Times New Roman"/>
          <w:sz w:val="24"/>
          <w:szCs w:val="24"/>
        </w:rPr>
        <w:t xml:space="preserve">, D. R. K., </w:t>
      </w:r>
      <w:proofErr w:type="spellStart"/>
      <w:r w:rsidRPr="00E93782">
        <w:rPr>
          <w:rFonts w:ascii="Times New Roman" w:hAnsi="Times New Roman" w:cs="Times New Roman"/>
          <w:sz w:val="24"/>
          <w:szCs w:val="24"/>
        </w:rPr>
        <w:t>Sumithra</w:t>
      </w:r>
      <w:proofErr w:type="spellEnd"/>
      <w:r w:rsidRPr="00E93782">
        <w:rPr>
          <w:rFonts w:ascii="Times New Roman" w:hAnsi="Times New Roman" w:cs="Times New Roman"/>
          <w:sz w:val="24"/>
          <w:szCs w:val="24"/>
        </w:rPr>
        <w:t xml:space="preserve">, B. S., Aravind, S. A., Swamy, G. N., Chowdhury, M., &amp; Singh, B. V. (2023). Potential of Precision Farming Technologies for Eco-Friendly Agriculture. </w:t>
      </w:r>
      <w:r w:rsidRPr="00E93782">
        <w:rPr>
          <w:rFonts w:ascii="Times New Roman" w:hAnsi="Times New Roman" w:cs="Times New Roman"/>
          <w:i/>
          <w:iCs/>
          <w:sz w:val="24"/>
          <w:szCs w:val="24"/>
        </w:rPr>
        <w:t>International Journal of Plant &amp; Soil Science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35</w:t>
      </w:r>
      <w:r w:rsidRPr="00E93782">
        <w:rPr>
          <w:rFonts w:ascii="Times New Roman" w:hAnsi="Times New Roman" w:cs="Times New Roman"/>
          <w:sz w:val="24"/>
          <w:szCs w:val="24"/>
        </w:rPr>
        <w:t xml:space="preserve">(19), 101. </w:t>
      </w:r>
      <w:hyperlink r:id="rId22" w:tgtFrame="_blank" w:history="1">
        <w:r w:rsidRPr="00E93782">
          <w:rPr>
            <w:rStyle w:val="Hyperlink"/>
            <w:rFonts w:ascii="Times New Roman" w:hAnsi="Times New Roman" w:cs="Times New Roman"/>
            <w:sz w:val="24"/>
            <w:szCs w:val="24"/>
          </w:rPr>
          <w:t>https://doi.org/10.9734/ijpss/2023/v35i193528</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Getahun</w:t>
      </w:r>
      <w:proofErr w:type="spellEnd"/>
      <w:r w:rsidRPr="00E93782">
        <w:rPr>
          <w:rFonts w:ascii="Times New Roman" w:hAnsi="Times New Roman" w:cs="Times New Roman"/>
          <w:sz w:val="24"/>
          <w:szCs w:val="24"/>
        </w:rPr>
        <w:t xml:space="preserve">, S., </w:t>
      </w:r>
      <w:proofErr w:type="spellStart"/>
      <w:r w:rsidRPr="00E93782">
        <w:rPr>
          <w:rFonts w:ascii="Times New Roman" w:hAnsi="Times New Roman" w:cs="Times New Roman"/>
          <w:sz w:val="24"/>
          <w:szCs w:val="24"/>
        </w:rPr>
        <w:t>Kefale</w:t>
      </w:r>
      <w:proofErr w:type="spellEnd"/>
      <w:r w:rsidRPr="00E93782">
        <w:rPr>
          <w:rFonts w:ascii="Times New Roman" w:hAnsi="Times New Roman" w:cs="Times New Roman"/>
          <w:sz w:val="24"/>
          <w:szCs w:val="24"/>
        </w:rPr>
        <w:t xml:space="preserve">, H., &amp; </w:t>
      </w:r>
      <w:proofErr w:type="spellStart"/>
      <w:r w:rsidRPr="00E93782">
        <w:rPr>
          <w:rFonts w:ascii="Times New Roman" w:hAnsi="Times New Roman" w:cs="Times New Roman"/>
          <w:sz w:val="24"/>
          <w:szCs w:val="24"/>
        </w:rPr>
        <w:t>Gelaye</w:t>
      </w:r>
      <w:proofErr w:type="spellEnd"/>
      <w:r w:rsidRPr="00E93782">
        <w:rPr>
          <w:rFonts w:ascii="Times New Roman" w:hAnsi="Times New Roman" w:cs="Times New Roman"/>
          <w:sz w:val="24"/>
          <w:szCs w:val="24"/>
        </w:rPr>
        <w:t xml:space="preserve">, Y. (2024). Application of Precision Agriculture Technologies for Sustainable Crop Production and Environmental Sustainability: A Systematic Review [Review of </w:t>
      </w:r>
      <w:r w:rsidRPr="00E93782">
        <w:rPr>
          <w:rFonts w:ascii="Times New Roman" w:hAnsi="Times New Roman" w:cs="Times New Roman"/>
          <w:i/>
          <w:iCs/>
          <w:sz w:val="24"/>
          <w:szCs w:val="24"/>
        </w:rPr>
        <w:t xml:space="preserve">Application of Precision Agriculture Technologies for </w:t>
      </w:r>
      <w:r w:rsidRPr="00E93782">
        <w:rPr>
          <w:rFonts w:ascii="Times New Roman" w:hAnsi="Times New Roman" w:cs="Times New Roman"/>
          <w:i/>
          <w:iCs/>
          <w:sz w:val="24"/>
          <w:szCs w:val="24"/>
        </w:rPr>
        <w:lastRenderedPageBreak/>
        <w:t>Sustainable Crop Production and Environmental Sustainability: A Systematic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The Scientific World JOURNAL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2024</w:t>
      </w:r>
      <w:r w:rsidRPr="00E93782">
        <w:rPr>
          <w:rFonts w:ascii="Times New Roman" w:hAnsi="Times New Roman" w:cs="Times New Roman"/>
          <w:sz w:val="24"/>
          <w:szCs w:val="24"/>
        </w:rPr>
        <w:t xml:space="preserve">(1). </w:t>
      </w:r>
      <w:proofErr w:type="spellStart"/>
      <w:r w:rsidRPr="00E93782">
        <w:rPr>
          <w:rFonts w:ascii="Times New Roman" w:hAnsi="Times New Roman" w:cs="Times New Roman"/>
          <w:sz w:val="24"/>
          <w:szCs w:val="24"/>
        </w:rPr>
        <w:t>Hindawi</w:t>
      </w:r>
      <w:proofErr w:type="spellEnd"/>
      <w:r w:rsidRPr="00E93782">
        <w:rPr>
          <w:rFonts w:ascii="Times New Roman" w:hAnsi="Times New Roman" w:cs="Times New Roman"/>
          <w:sz w:val="24"/>
          <w:szCs w:val="24"/>
        </w:rPr>
        <w:t xml:space="preserve"> Publishing Corporation. </w:t>
      </w:r>
      <w:hyperlink r:id="rId23" w:tgtFrame="_blank" w:history="1">
        <w:r w:rsidRPr="00E93782">
          <w:rPr>
            <w:rStyle w:val="Hyperlink"/>
            <w:rFonts w:ascii="Times New Roman" w:hAnsi="Times New Roman" w:cs="Times New Roman"/>
            <w:sz w:val="24"/>
            <w:szCs w:val="24"/>
          </w:rPr>
          <w:t>https://doi.org/10.1155/2024/2126734</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Kerr, R. B., </w:t>
      </w:r>
      <w:proofErr w:type="spellStart"/>
      <w:r w:rsidRPr="00E93782">
        <w:rPr>
          <w:rFonts w:ascii="Times New Roman" w:hAnsi="Times New Roman" w:cs="Times New Roman"/>
          <w:sz w:val="24"/>
          <w:szCs w:val="24"/>
        </w:rPr>
        <w:t>Postigo</w:t>
      </w:r>
      <w:proofErr w:type="spellEnd"/>
      <w:r w:rsidRPr="00E93782">
        <w:rPr>
          <w:rFonts w:ascii="Times New Roman" w:hAnsi="Times New Roman" w:cs="Times New Roman"/>
          <w:sz w:val="24"/>
          <w:szCs w:val="24"/>
        </w:rPr>
        <w:t>, J. C., Smith, P., Cowie, A., Singh, P. K., Rivera‐</w:t>
      </w:r>
      <w:proofErr w:type="spellStart"/>
      <w:r w:rsidRPr="00E93782">
        <w:rPr>
          <w:rFonts w:ascii="Times New Roman" w:hAnsi="Times New Roman" w:cs="Times New Roman"/>
          <w:sz w:val="24"/>
          <w:szCs w:val="24"/>
        </w:rPr>
        <w:t>Ferre</w:t>
      </w:r>
      <w:proofErr w:type="spellEnd"/>
      <w:r w:rsidRPr="00E93782">
        <w:rPr>
          <w:rFonts w:ascii="Times New Roman" w:hAnsi="Times New Roman" w:cs="Times New Roman"/>
          <w:sz w:val="24"/>
          <w:szCs w:val="24"/>
        </w:rPr>
        <w:t xml:space="preserve">, M. G., Tirado, C., Campbell, D., &amp; </w:t>
      </w:r>
      <w:proofErr w:type="spellStart"/>
      <w:r w:rsidRPr="00E93782">
        <w:rPr>
          <w:rFonts w:ascii="Times New Roman" w:hAnsi="Times New Roman" w:cs="Times New Roman"/>
          <w:sz w:val="24"/>
          <w:szCs w:val="24"/>
        </w:rPr>
        <w:t>Neufeldt</w:t>
      </w:r>
      <w:proofErr w:type="spellEnd"/>
      <w:r w:rsidRPr="00E93782">
        <w:rPr>
          <w:rFonts w:ascii="Times New Roman" w:hAnsi="Times New Roman" w:cs="Times New Roman"/>
          <w:sz w:val="24"/>
          <w:szCs w:val="24"/>
        </w:rPr>
        <w:t xml:space="preserve">, H. (2023). Agroecology as a transformative approach to tackle climatic, food, and </w:t>
      </w:r>
      <w:proofErr w:type="spellStart"/>
      <w:r w:rsidRPr="00E93782">
        <w:rPr>
          <w:rFonts w:ascii="Times New Roman" w:hAnsi="Times New Roman" w:cs="Times New Roman"/>
          <w:sz w:val="24"/>
          <w:szCs w:val="24"/>
        </w:rPr>
        <w:t>ecosystemic</w:t>
      </w:r>
      <w:proofErr w:type="spellEnd"/>
      <w:r w:rsidRPr="00E93782">
        <w:rPr>
          <w:rFonts w:ascii="Times New Roman" w:hAnsi="Times New Roman" w:cs="Times New Roman"/>
          <w:sz w:val="24"/>
          <w:szCs w:val="24"/>
        </w:rPr>
        <w:t xml:space="preserve"> crises. </w:t>
      </w:r>
      <w:r w:rsidRPr="00E93782">
        <w:rPr>
          <w:rFonts w:ascii="Times New Roman" w:hAnsi="Times New Roman" w:cs="Times New Roman"/>
          <w:i/>
          <w:iCs/>
          <w:sz w:val="24"/>
          <w:szCs w:val="24"/>
        </w:rPr>
        <w:t>Current Opinion in Environmental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62</w:t>
      </w:r>
      <w:r w:rsidRPr="00E93782">
        <w:rPr>
          <w:rFonts w:ascii="Times New Roman" w:hAnsi="Times New Roman" w:cs="Times New Roman"/>
          <w:sz w:val="24"/>
          <w:szCs w:val="24"/>
        </w:rPr>
        <w:t xml:space="preserve">, 101275. </w:t>
      </w:r>
      <w:hyperlink r:id="rId24" w:tgtFrame="_blank" w:history="1">
        <w:r w:rsidRPr="00E93782">
          <w:rPr>
            <w:rStyle w:val="Hyperlink"/>
            <w:rFonts w:ascii="Times New Roman" w:hAnsi="Times New Roman" w:cs="Times New Roman"/>
            <w:sz w:val="24"/>
            <w:szCs w:val="24"/>
          </w:rPr>
          <w:t>https://doi.org/10.1016/j.cosust.2023.101275</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Khan, N. (2024). Unlocking Innovation in Crop Resilience and Productivity: Breakthroughs in Biotechnology and Sustainable Farming. </w:t>
      </w:r>
      <w:proofErr w:type="spellStart"/>
      <w:r w:rsidRPr="00E93782">
        <w:rPr>
          <w:rFonts w:ascii="Times New Roman" w:hAnsi="Times New Roman" w:cs="Times New Roman"/>
          <w:i/>
          <w:iCs/>
          <w:sz w:val="24"/>
          <w:szCs w:val="24"/>
        </w:rPr>
        <w:t>Innov</w:t>
      </w:r>
      <w:proofErr w:type="spellEnd"/>
      <w:r w:rsidRPr="00E93782">
        <w:rPr>
          <w:rFonts w:ascii="Times New Roman" w:hAnsi="Times New Roman" w:cs="Times New Roman"/>
          <w:i/>
          <w:iCs/>
          <w:sz w:val="24"/>
          <w:szCs w:val="24"/>
        </w:rPr>
        <w:t xml:space="preserve"> </w:t>
      </w:r>
      <w:proofErr w:type="spellStart"/>
      <w:r w:rsidRPr="00E93782">
        <w:rPr>
          <w:rFonts w:ascii="Times New Roman" w:hAnsi="Times New Roman" w:cs="Times New Roman"/>
          <w:i/>
          <w:iCs/>
          <w:sz w:val="24"/>
          <w:szCs w:val="24"/>
        </w:rPr>
        <w:t>Discov</w:t>
      </w:r>
      <w:proofErr w:type="spellEnd"/>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w:t>
      </w:r>
      <w:r w:rsidRPr="00E93782">
        <w:rPr>
          <w:rFonts w:ascii="Times New Roman" w:hAnsi="Times New Roman" w:cs="Times New Roman"/>
          <w:sz w:val="24"/>
          <w:szCs w:val="24"/>
        </w:rPr>
        <w:t xml:space="preserve">, 28. </w:t>
      </w:r>
      <w:hyperlink r:id="rId25" w:tgtFrame="_blank" w:history="1">
        <w:r w:rsidRPr="00E93782">
          <w:rPr>
            <w:rStyle w:val="Hyperlink"/>
            <w:rFonts w:ascii="Times New Roman" w:hAnsi="Times New Roman" w:cs="Times New Roman"/>
            <w:sz w:val="24"/>
            <w:szCs w:val="24"/>
          </w:rPr>
          <w:t>https://doi.org/10.53964/id.2024028</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Lafontaine, H. O., &amp; </w:t>
      </w:r>
      <w:proofErr w:type="spellStart"/>
      <w:r w:rsidRPr="00E93782">
        <w:rPr>
          <w:rFonts w:ascii="Times New Roman" w:hAnsi="Times New Roman" w:cs="Times New Roman"/>
          <w:sz w:val="24"/>
          <w:szCs w:val="24"/>
        </w:rPr>
        <w:t>Jannoyer</w:t>
      </w:r>
      <w:proofErr w:type="spellEnd"/>
      <w:r w:rsidRPr="00E93782">
        <w:rPr>
          <w:rFonts w:ascii="Times New Roman" w:hAnsi="Times New Roman" w:cs="Times New Roman"/>
          <w:sz w:val="24"/>
          <w:szCs w:val="24"/>
        </w:rPr>
        <w:t xml:space="preserve">, M. (2014). Sustainable Agriculture Reviews 14. In </w:t>
      </w:r>
      <w:r w:rsidRPr="00E93782">
        <w:rPr>
          <w:rFonts w:ascii="Times New Roman" w:hAnsi="Times New Roman" w:cs="Times New Roman"/>
          <w:i/>
          <w:iCs/>
          <w:sz w:val="24"/>
          <w:szCs w:val="24"/>
        </w:rPr>
        <w:t>Sustainable agriculture reviews</w:t>
      </w:r>
      <w:r w:rsidRPr="00E93782">
        <w:rPr>
          <w:rFonts w:ascii="Times New Roman" w:hAnsi="Times New Roman" w:cs="Times New Roman"/>
          <w:sz w:val="24"/>
          <w:szCs w:val="24"/>
        </w:rPr>
        <w:t xml:space="preserve">. Springer International Publishing. </w:t>
      </w:r>
      <w:hyperlink r:id="rId26" w:tgtFrame="_blank" w:history="1">
        <w:r w:rsidRPr="00E93782">
          <w:rPr>
            <w:rStyle w:val="Hyperlink"/>
            <w:rFonts w:ascii="Times New Roman" w:hAnsi="Times New Roman" w:cs="Times New Roman"/>
            <w:sz w:val="24"/>
            <w:szCs w:val="24"/>
          </w:rPr>
          <w:t>https://doi.org/10.1007/978-3-319-06016-3</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Lichtfouse</w:t>
      </w:r>
      <w:proofErr w:type="spellEnd"/>
      <w:r w:rsidRPr="00E93782">
        <w:rPr>
          <w:rFonts w:ascii="Times New Roman" w:hAnsi="Times New Roman" w:cs="Times New Roman"/>
          <w:sz w:val="24"/>
          <w:szCs w:val="24"/>
        </w:rPr>
        <w:t xml:space="preserve">, É. (2013). Sustainable Agriculture Reviews. In </w:t>
      </w:r>
      <w:r w:rsidRPr="00E93782">
        <w:rPr>
          <w:rFonts w:ascii="Times New Roman" w:hAnsi="Times New Roman" w:cs="Times New Roman"/>
          <w:i/>
          <w:iCs/>
          <w:sz w:val="24"/>
          <w:szCs w:val="24"/>
        </w:rPr>
        <w:t>Sustainable agriculture reviews</w:t>
      </w:r>
      <w:r w:rsidRPr="00E93782">
        <w:rPr>
          <w:rFonts w:ascii="Times New Roman" w:hAnsi="Times New Roman" w:cs="Times New Roman"/>
          <w:sz w:val="24"/>
          <w:szCs w:val="24"/>
        </w:rPr>
        <w:t xml:space="preserve">. Springer International Publishing. </w:t>
      </w:r>
      <w:hyperlink r:id="rId27" w:tgtFrame="_blank" w:history="1">
        <w:r w:rsidRPr="00E93782">
          <w:rPr>
            <w:rStyle w:val="Hyperlink"/>
            <w:rFonts w:ascii="Times New Roman" w:hAnsi="Times New Roman" w:cs="Times New Roman"/>
            <w:sz w:val="24"/>
            <w:szCs w:val="24"/>
          </w:rPr>
          <w:t>https://doi.org/10.1007/978-94-007-5961-9</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Liu, M., Chen, X., &amp; Jiao, Y. (2024). Sustainable Agriculture: Theories, Methods, Practices and Policies. </w:t>
      </w:r>
      <w:r w:rsidRPr="00E93782">
        <w:rPr>
          <w:rFonts w:ascii="Times New Roman" w:hAnsi="Times New Roman" w:cs="Times New Roman"/>
          <w:i/>
          <w:iCs/>
          <w:sz w:val="24"/>
          <w:szCs w:val="24"/>
        </w:rPr>
        <w:t>Agriculture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14</w:t>
      </w:r>
      <w:r w:rsidRPr="00E93782">
        <w:rPr>
          <w:rFonts w:ascii="Times New Roman" w:hAnsi="Times New Roman" w:cs="Times New Roman"/>
          <w:sz w:val="24"/>
          <w:szCs w:val="24"/>
        </w:rPr>
        <w:t xml:space="preserve">(3), 473. </w:t>
      </w:r>
      <w:hyperlink r:id="rId28" w:tgtFrame="_blank" w:history="1">
        <w:r w:rsidRPr="00E93782">
          <w:rPr>
            <w:rStyle w:val="Hyperlink"/>
            <w:rFonts w:ascii="Times New Roman" w:hAnsi="Times New Roman" w:cs="Times New Roman"/>
            <w:sz w:val="24"/>
            <w:szCs w:val="24"/>
          </w:rPr>
          <w:t>https://doi.org/10.3390/agriculture14030473</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Mahmood, H., Hassan, M. S., </w:t>
      </w:r>
      <w:proofErr w:type="spellStart"/>
      <w:r w:rsidRPr="00E93782">
        <w:rPr>
          <w:rFonts w:ascii="Times New Roman" w:hAnsi="Times New Roman" w:cs="Times New Roman"/>
          <w:sz w:val="24"/>
          <w:szCs w:val="24"/>
        </w:rPr>
        <w:t>Meraj</w:t>
      </w:r>
      <w:proofErr w:type="spellEnd"/>
      <w:r w:rsidRPr="00E93782">
        <w:rPr>
          <w:rFonts w:ascii="Times New Roman" w:hAnsi="Times New Roman" w:cs="Times New Roman"/>
          <w:sz w:val="24"/>
          <w:szCs w:val="24"/>
        </w:rPr>
        <w:t xml:space="preserve">, G., &amp; Furqan, M. (2024). Agriculture’s Role in Environmental Sustainability: A Comprehensive Review of Challenges and Solutions [Review of </w:t>
      </w:r>
      <w:r w:rsidRPr="00E93782">
        <w:rPr>
          <w:rFonts w:ascii="Times New Roman" w:hAnsi="Times New Roman" w:cs="Times New Roman"/>
          <w:i/>
          <w:iCs/>
          <w:sz w:val="24"/>
          <w:szCs w:val="24"/>
        </w:rPr>
        <w:t>Agriculture’s Role in Environmental Sustainability: A Comprehensive Review of Challenges and Solutions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Challenges in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12</w:t>
      </w:r>
      <w:r w:rsidRPr="00E93782">
        <w:rPr>
          <w:rFonts w:ascii="Times New Roman" w:hAnsi="Times New Roman" w:cs="Times New Roman"/>
          <w:sz w:val="24"/>
          <w:szCs w:val="24"/>
        </w:rPr>
        <w:t xml:space="preserve">(3), 178. </w:t>
      </w:r>
      <w:proofErr w:type="spellStart"/>
      <w:r w:rsidRPr="00E93782">
        <w:rPr>
          <w:rFonts w:ascii="Times New Roman" w:hAnsi="Times New Roman" w:cs="Times New Roman"/>
          <w:sz w:val="24"/>
          <w:szCs w:val="24"/>
        </w:rPr>
        <w:t>Librelloph</w:t>
      </w:r>
      <w:proofErr w:type="spellEnd"/>
      <w:r w:rsidRPr="00E93782">
        <w:rPr>
          <w:rFonts w:ascii="Times New Roman" w:hAnsi="Times New Roman" w:cs="Times New Roman"/>
          <w:sz w:val="24"/>
          <w:szCs w:val="24"/>
        </w:rPr>
        <w:t xml:space="preserve">. </w:t>
      </w:r>
      <w:hyperlink r:id="rId29" w:tgtFrame="_blank" w:history="1">
        <w:r w:rsidRPr="00E93782">
          <w:rPr>
            <w:rStyle w:val="Hyperlink"/>
            <w:rFonts w:ascii="Times New Roman" w:hAnsi="Times New Roman" w:cs="Times New Roman"/>
            <w:sz w:val="24"/>
            <w:szCs w:val="24"/>
          </w:rPr>
          <w:t>https://doi.org/10.56578/cis120302</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Mamatha, B., </w:t>
      </w:r>
      <w:proofErr w:type="spellStart"/>
      <w:r w:rsidRPr="00E93782">
        <w:rPr>
          <w:rFonts w:ascii="Times New Roman" w:hAnsi="Times New Roman" w:cs="Times New Roman"/>
          <w:sz w:val="24"/>
          <w:szCs w:val="24"/>
        </w:rPr>
        <w:t>Mudigiri</w:t>
      </w:r>
      <w:proofErr w:type="spellEnd"/>
      <w:r w:rsidRPr="00E93782">
        <w:rPr>
          <w:rFonts w:ascii="Times New Roman" w:hAnsi="Times New Roman" w:cs="Times New Roman"/>
          <w:sz w:val="24"/>
          <w:szCs w:val="24"/>
        </w:rPr>
        <w:t xml:space="preserve">, C., Ramesh, G., </w:t>
      </w:r>
      <w:proofErr w:type="spellStart"/>
      <w:r w:rsidRPr="00E93782">
        <w:rPr>
          <w:rFonts w:ascii="Times New Roman" w:hAnsi="Times New Roman" w:cs="Times New Roman"/>
          <w:sz w:val="24"/>
          <w:szCs w:val="24"/>
        </w:rPr>
        <w:t>Saidulu</w:t>
      </w:r>
      <w:proofErr w:type="spellEnd"/>
      <w:r w:rsidRPr="00E93782">
        <w:rPr>
          <w:rFonts w:ascii="Times New Roman" w:hAnsi="Times New Roman" w:cs="Times New Roman"/>
          <w:sz w:val="24"/>
          <w:szCs w:val="24"/>
        </w:rPr>
        <w:t xml:space="preserve">, P., Meenakshi, N., &amp; Prasanna, C. L. (2024). Enhancing Soil Health and Fertility Management for Sustainable Agriculture: A Review [Review of </w:t>
      </w:r>
      <w:r w:rsidRPr="00E93782">
        <w:rPr>
          <w:rFonts w:ascii="Times New Roman" w:hAnsi="Times New Roman" w:cs="Times New Roman"/>
          <w:i/>
          <w:iCs/>
          <w:sz w:val="24"/>
          <w:szCs w:val="24"/>
        </w:rPr>
        <w:t>Enhancing Soil Health and Fertility Management for Sustainable Agriculture: A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Asian Journal of Soil Science and Plant Nutrition</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10</w:t>
      </w:r>
      <w:r w:rsidRPr="00E93782">
        <w:rPr>
          <w:rFonts w:ascii="Times New Roman" w:hAnsi="Times New Roman" w:cs="Times New Roman"/>
          <w:sz w:val="24"/>
          <w:szCs w:val="24"/>
        </w:rPr>
        <w:t xml:space="preserve">(3), 182. </w:t>
      </w:r>
      <w:proofErr w:type="spellStart"/>
      <w:r w:rsidRPr="00E93782">
        <w:rPr>
          <w:rFonts w:ascii="Times New Roman" w:hAnsi="Times New Roman" w:cs="Times New Roman"/>
          <w:sz w:val="24"/>
          <w:szCs w:val="24"/>
        </w:rPr>
        <w:t>Sciencedomain</w:t>
      </w:r>
      <w:proofErr w:type="spellEnd"/>
      <w:r w:rsidRPr="00E93782">
        <w:rPr>
          <w:rFonts w:ascii="Times New Roman" w:hAnsi="Times New Roman" w:cs="Times New Roman"/>
          <w:sz w:val="24"/>
          <w:szCs w:val="24"/>
        </w:rPr>
        <w:t xml:space="preserve"> International. </w:t>
      </w:r>
      <w:hyperlink r:id="rId30" w:tgtFrame="_blank" w:history="1">
        <w:r w:rsidRPr="00E93782">
          <w:rPr>
            <w:rStyle w:val="Hyperlink"/>
            <w:rFonts w:ascii="Times New Roman" w:hAnsi="Times New Roman" w:cs="Times New Roman"/>
            <w:sz w:val="24"/>
            <w:szCs w:val="24"/>
          </w:rPr>
          <w:t>https://doi.org/10.9734/ajsspn/2024/v10i3330</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lastRenderedPageBreak/>
        <w:t xml:space="preserve">Mohanty, L. K., Singh, N. K., Raj, P., Prakash, A., Tiwari, A. K., Singh, V., &amp; </w:t>
      </w:r>
      <w:proofErr w:type="spellStart"/>
      <w:r w:rsidRPr="00E93782">
        <w:rPr>
          <w:rFonts w:ascii="Times New Roman" w:hAnsi="Times New Roman" w:cs="Times New Roman"/>
          <w:sz w:val="24"/>
          <w:szCs w:val="24"/>
        </w:rPr>
        <w:t>Sachan</w:t>
      </w:r>
      <w:proofErr w:type="spellEnd"/>
      <w:r w:rsidRPr="00E93782">
        <w:rPr>
          <w:rFonts w:ascii="Times New Roman" w:hAnsi="Times New Roman" w:cs="Times New Roman"/>
          <w:sz w:val="24"/>
          <w:szCs w:val="24"/>
        </w:rPr>
        <w:t xml:space="preserve">, P. (2024). Nurturing Crops, Enhancing Soil Health, and Sustaining Agricultural Prosperity Worldwide through Agronomy. </w:t>
      </w:r>
      <w:r w:rsidRPr="00E93782">
        <w:rPr>
          <w:rFonts w:ascii="Times New Roman" w:hAnsi="Times New Roman" w:cs="Times New Roman"/>
          <w:i/>
          <w:iCs/>
          <w:sz w:val="24"/>
          <w:szCs w:val="24"/>
        </w:rPr>
        <w:t>Journal of Experimental Agriculture International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46</w:t>
      </w:r>
      <w:r w:rsidRPr="00E93782">
        <w:rPr>
          <w:rFonts w:ascii="Times New Roman" w:hAnsi="Times New Roman" w:cs="Times New Roman"/>
          <w:sz w:val="24"/>
          <w:szCs w:val="24"/>
        </w:rPr>
        <w:t xml:space="preserve">(2), 46. </w:t>
      </w:r>
      <w:hyperlink r:id="rId31" w:tgtFrame="_blank" w:history="1">
        <w:r w:rsidRPr="00E93782">
          <w:rPr>
            <w:rStyle w:val="Hyperlink"/>
            <w:rFonts w:ascii="Times New Roman" w:hAnsi="Times New Roman" w:cs="Times New Roman"/>
            <w:sz w:val="24"/>
            <w:szCs w:val="24"/>
          </w:rPr>
          <w:t>https://doi.org/10.9734/jeai/2024/v46i22308</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Nath, S. (2024). A vision of precision agriculture: Balance between agricultural sustainability and environmental stewardship. </w:t>
      </w:r>
      <w:r w:rsidRPr="00E93782">
        <w:rPr>
          <w:rFonts w:ascii="Times New Roman" w:hAnsi="Times New Roman" w:cs="Times New Roman"/>
          <w:i/>
          <w:iCs/>
          <w:sz w:val="24"/>
          <w:szCs w:val="24"/>
        </w:rPr>
        <w:t>Agronomy Journal</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116</w:t>
      </w:r>
      <w:r w:rsidRPr="00E93782">
        <w:rPr>
          <w:rFonts w:ascii="Times New Roman" w:hAnsi="Times New Roman" w:cs="Times New Roman"/>
          <w:sz w:val="24"/>
          <w:szCs w:val="24"/>
        </w:rPr>
        <w:t xml:space="preserve">, 1126. </w:t>
      </w:r>
      <w:hyperlink r:id="rId32" w:tgtFrame="_blank" w:history="1">
        <w:r w:rsidRPr="00E93782">
          <w:rPr>
            <w:rStyle w:val="Hyperlink"/>
            <w:rFonts w:ascii="Times New Roman" w:hAnsi="Times New Roman" w:cs="Times New Roman"/>
            <w:sz w:val="24"/>
            <w:szCs w:val="24"/>
          </w:rPr>
          <w:t>https://doi.org/10.1002/agj2.21405</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Oberč</w:t>
      </w:r>
      <w:proofErr w:type="spellEnd"/>
      <w:r w:rsidRPr="00E93782">
        <w:rPr>
          <w:rFonts w:ascii="Times New Roman" w:hAnsi="Times New Roman" w:cs="Times New Roman"/>
          <w:sz w:val="24"/>
          <w:szCs w:val="24"/>
        </w:rPr>
        <w:t xml:space="preserve">, B. P., &amp; Schnell, A. A. (2020). </w:t>
      </w:r>
      <w:r w:rsidRPr="00E93782">
        <w:rPr>
          <w:rFonts w:ascii="Times New Roman" w:hAnsi="Times New Roman" w:cs="Times New Roman"/>
          <w:i/>
          <w:iCs/>
          <w:sz w:val="24"/>
          <w:szCs w:val="24"/>
        </w:rPr>
        <w:t>Approaches to sustainable agriculture: exploring the pathways towards the future of farming</w:t>
      </w:r>
      <w:r w:rsidRPr="00E93782">
        <w:rPr>
          <w:rFonts w:ascii="Times New Roman" w:hAnsi="Times New Roman" w:cs="Times New Roman"/>
          <w:sz w:val="24"/>
          <w:szCs w:val="24"/>
        </w:rPr>
        <w:t xml:space="preserve">. </w:t>
      </w:r>
      <w:hyperlink r:id="rId33" w:tgtFrame="_blank" w:history="1">
        <w:r w:rsidRPr="00E93782">
          <w:rPr>
            <w:rStyle w:val="Hyperlink"/>
            <w:rFonts w:ascii="Times New Roman" w:hAnsi="Times New Roman" w:cs="Times New Roman"/>
            <w:sz w:val="24"/>
            <w:szCs w:val="24"/>
          </w:rPr>
          <w:t>https://doi.org/10.2305/iucn.ch.2020.07.en</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Ojadi</w:t>
      </w:r>
      <w:proofErr w:type="spellEnd"/>
      <w:r w:rsidRPr="00E93782">
        <w:rPr>
          <w:rFonts w:ascii="Times New Roman" w:hAnsi="Times New Roman" w:cs="Times New Roman"/>
          <w:sz w:val="24"/>
          <w:szCs w:val="24"/>
        </w:rPr>
        <w:t xml:space="preserve">, F.-X. I. (2023). Sustainable Agricultural Practices: Value Chain of </w:t>
      </w:r>
      <w:proofErr w:type="spellStart"/>
      <w:r w:rsidRPr="00E93782">
        <w:rPr>
          <w:rFonts w:ascii="Times New Roman" w:hAnsi="Times New Roman" w:cs="Times New Roman"/>
          <w:sz w:val="24"/>
          <w:szCs w:val="24"/>
        </w:rPr>
        <w:t>Egusi</w:t>
      </w:r>
      <w:proofErr w:type="spellEnd"/>
      <w:r w:rsidRPr="00E93782">
        <w:rPr>
          <w:rFonts w:ascii="Times New Roman" w:hAnsi="Times New Roman" w:cs="Times New Roman"/>
          <w:sz w:val="24"/>
          <w:szCs w:val="24"/>
        </w:rPr>
        <w:t xml:space="preserve">, A Local Soup Condiment in Nigeria. In </w:t>
      </w:r>
      <w:proofErr w:type="spellStart"/>
      <w:r w:rsidRPr="00E93782">
        <w:rPr>
          <w:rFonts w:ascii="Times New Roman" w:hAnsi="Times New Roman" w:cs="Times New Roman"/>
          <w:i/>
          <w:iCs/>
          <w:sz w:val="24"/>
          <w:szCs w:val="24"/>
        </w:rPr>
        <w:t>IntechOpen</w:t>
      </w:r>
      <w:proofErr w:type="spellEnd"/>
      <w:r w:rsidRPr="00E93782">
        <w:rPr>
          <w:rFonts w:ascii="Times New Roman" w:hAnsi="Times New Roman" w:cs="Times New Roman"/>
          <w:i/>
          <w:iCs/>
          <w:sz w:val="24"/>
          <w:szCs w:val="24"/>
        </w:rPr>
        <w:t xml:space="preserve"> eBooks</w:t>
      </w:r>
      <w:r w:rsidRPr="00E93782">
        <w:rPr>
          <w:rFonts w:ascii="Times New Roman" w:hAnsi="Times New Roman" w:cs="Times New Roman"/>
          <w:sz w:val="24"/>
          <w:szCs w:val="24"/>
        </w:rPr>
        <w:t xml:space="preserve">. </w:t>
      </w:r>
      <w:proofErr w:type="spellStart"/>
      <w:r w:rsidRPr="00E93782">
        <w:rPr>
          <w:rFonts w:ascii="Times New Roman" w:hAnsi="Times New Roman" w:cs="Times New Roman"/>
          <w:sz w:val="24"/>
          <w:szCs w:val="24"/>
        </w:rPr>
        <w:t>IntechOpen</w:t>
      </w:r>
      <w:proofErr w:type="spellEnd"/>
      <w:r w:rsidRPr="00E93782">
        <w:rPr>
          <w:rFonts w:ascii="Times New Roman" w:hAnsi="Times New Roman" w:cs="Times New Roman"/>
          <w:sz w:val="24"/>
          <w:szCs w:val="24"/>
        </w:rPr>
        <w:t xml:space="preserve">. </w:t>
      </w:r>
      <w:hyperlink r:id="rId34" w:tgtFrame="_blank" w:history="1">
        <w:r w:rsidRPr="00E93782">
          <w:rPr>
            <w:rStyle w:val="Hyperlink"/>
            <w:rFonts w:ascii="Times New Roman" w:hAnsi="Times New Roman" w:cs="Times New Roman"/>
            <w:sz w:val="24"/>
            <w:szCs w:val="24"/>
          </w:rPr>
          <w:t>https://doi.org/10.5772/intechopen.109854</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Piñeiro</w:t>
      </w:r>
      <w:proofErr w:type="spellEnd"/>
      <w:r w:rsidRPr="00E93782">
        <w:rPr>
          <w:rFonts w:ascii="Times New Roman" w:hAnsi="Times New Roman" w:cs="Times New Roman"/>
          <w:sz w:val="24"/>
          <w:szCs w:val="24"/>
        </w:rPr>
        <w:t xml:space="preserve">, V., Arias, J., </w:t>
      </w:r>
      <w:proofErr w:type="spellStart"/>
      <w:r w:rsidRPr="00E93782">
        <w:rPr>
          <w:rFonts w:ascii="Times New Roman" w:hAnsi="Times New Roman" w:cs="Times New Roman"/>
          <w:sz w:val="24"/>
          <w:szCs w:val="24"/>
        </w:rPr>
        <w:t>Dürr</w:t>
      </w:r>
      <w:proofErr w:type="spellEnd"/>
      <w:r w:rsidRPr="00E93782">
        <w:rPr>
          <w:rFonts w:ascii="Times New Roman" w:hAnsi="Times New Roman" w:cs="Times New Roman"/>
          <w:sz w:val="24"/>
          <w:szCs w:val="24"/>
        </w:rPr>
        <w:t xml:space="preserve">, J., </w:t>
      </w:r>
      <w:proofErr w:type="spellStart"/>
      <w:r w:rsidRPr="00E93782">
        <w:rPr>
          <w:rFonts w:ascii="Times New Roman" w:hAnsi="Times New Roman" w:cs="Times New Roman"/>
          <w:sz w:val="24"/>
          <w:szCs w:val="24"/>
        </w:rPr>
        <w:t>Elverdin</w:t>
      </w:r>
      <w:proofErr w:type="spellEnd"/>
      <w:r w:rsidRPr="00E93782">
        <w:rPr>
          <w:rFonts w:ascii="Times New Roman" w:hAnsi="Times New Roman" w:cs="Times New Roman"/>
          <w:sz w:val="24"/>
          <w:szCs w:val="24"/>
        </w:rPr>
        <w:t xml:space="preserve">, P., Ibáñez, A. M., </w:t>
      </w:r>
      <w:proofErr w:type="spellStart"/>
      <w:r w:rsidRPr="00E93782">
        <w:rPr>
          <w:rFonts w:ascii="Times New Roman" w:hAnsi="Times New Roman" w:cs="Times New Roman"/>
          <w:sz w:val="24"/>
          <w:szCs w:val="24"/>
        </w:rPr>
        <w:t>Kinengyere</w:t>
      </w:r>
      <w:proofErr w:type="spellEnd"/>
      <w:r w:rsidRPr="00E93782">
        <w:rPr>
          <w:rFonts w:ascii="Times New Roman" w:hAnsi="Times New Roman" w:cs="Times New Roman"/>
          <w:sz w:val="24"/>
          <w:szCs w:val="24"/>
        </w:rPr>
        <w:t xml:space="preserve">, A. A., </w:t>
      </w:r>
      <w:proofErr w:type="spellStart"/>
      <w:r w:rsidRPr="00E93782">
        <w:rPr>
          <w:rFonts w:ascii="Times New Roman" w:hAnsi="Times New Roman" w:cs="Times New Roman"/>
          <w:sz w:val="24"/>
          <w:szCs w:val="24"/>
        </w:rPr>
        <w:t>Opazo</w:t>
      </w:r>
      <w:proofErr w:type="spellEnd"/>
      <w:r w:rsidRPr="00E93782">
        <w:rPr>
          <w:rFonts w:ascii="Times New Roman" w:hAnsi="Times New Roman" w:cs="Times New Roman"/>
          <w:sz w:val="24"/>
          <w:szCs w:val="24"/>
        </w:rPr>
        <w:t xml:space="preserve">, C., </w:t>
      </w:r>
      <w:proofErr w:type="spellStart"/>
      <w:r w:rsidRPr="00E93782">
        <w:rPr>
          <w:rFonts w:ascii="Times New Roman" w:hAnsi="Times New Roman" w:cs="Times New Roman"/>
          <w:sz w:val="24"/>
          <w:szCs w:val="24"/>
        </w:rPr>
        <w:t>Owoo</w:t>
      </w:r>
      <w:proofErr w:type="spellEnd"/>
      <w:r w:rsidRPr="00E93782">
        <w:rPr>
          <w:rFonts w:ascii="Times New Roman" w:hAnsi="Times New Roman" w:cs="Times New Roman"/>
          <w:sz w:val="24"/>
          <w:szCs w:val="24"/>
        </w:rPr>
        <w:t xml:space="preserve">, N. S., Page, J., Prager, S. D., &amp; Torero, M. (2020). A scoping review on incentives for adoption of sustainable agricultural practices and their outcomes [Review of </w:t>
      </w:r>
      <w:r w:rsidRPr="00E93782">
        <w:rPr>
          <w:rFonts w:ascii="Times New Roman" w:hAnsi="Times New Roman" w:cs="Times New Roman"/>
          <w:i/>
          <w:iCs/>
          <w:sz w:val="24"/>
          <w:szCs w:val="24"/>
        </w:rPr>
        <w:t>A scoping review on incentives for adoption of sustainable agricultural practices and their outcomes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Nature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w:t>
      </w:r>
      <w:r w:rsidRPr="00E93782">
        <w:rPr>
          <w:rFonts w:ascii="Times New Roman" w:hAnsi="Times New Roman" w:cs="Times New Roman"/>
          <w:sz w:val="24"/>
          <w:szCs w:val="24"/>
        </w:rPr>
        <w:t xml:space="preserve">(10), 809. Nature Portfolio. </w:t>
      </w:r>
      <w:hyperlink r:id="rId35" w:tgtFrame="_blank" w:history="1">
        <w:r w:rsidRPr="00E93782">
          <w:rPr>
            <w:rStyle w:val="Hyperlink"/>
            <w:rFonts w:ascii="Times New Roman" w:hAnsi="Times New Roman" w:cs="Times New Roman"/>
            <w:sz w:val="24"/>
            <w:szCs w:val="24"/>
          </w:rPr>
          <w:t>https://doi.org/10.1038/s41893-020-00617-y</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Sekhar, M., Rastogi, M., M, R. C., </w:t>
      </w:r>
      <w:proofErr w:type="spellStart"/>
      <w:r w:rsidRPr="00E93782">
        <w:rPr>
          <w:rFonts w:ascii="Times New Roman" w:hAnsi="Times New Roman" w:cs="Times New Roman"/>
          <w:sz w:val="24"/>
          <w:szCs w:val="24"/>
        </w:rPr>
        <w:t>Saikanth</w:t>
      </w:r>
      <w:proofErr w:type="spellEnd"/>
      <w:r w:rsidRPr="00E93782">
        <w:rPr>
          <w:rFonts w:ascii="Times New Roman" w:hAnsi="Times New Roman" w:cs="Times New Roman"/>
          <w:sz w:val="24"/>
          <w:szCs w:val="24"/>
        </w:rPr>
        <w:t xml:space="preserve">, D. R. K., Rout, S., Kumar, S., &amp; Patel, A. K. (2024). Exploring Traditional Agricultural Techniques Integrated with Modern Farming for a Sustainable Future : A Review. </w:t>
      </w:r>
      <w:r w:rsidRPr="00E93782">
        <w:rPr>
          <w:rFonts w:ascii="Times New Roman" w:hAnsi="Times New Roman" w:cs="Times New Roman"/>
          <w:i/>
          <w:iCs/>
          <w:sz w:val="24"/>
          <w:szCs w:val="24"/>
        </w:rPr>
        <w:t>JSRR</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30</w:t>
      </w:r>
      <w:r w:rsidRPr="00E93782">
        <w:rPr>
          <w:rFonts w:ascii="Times New Roman" w:hAnsi="Times New Roman" w:cs="Times New Roman"/>
          <w:sz w:val="24"/>
          <w:szCs w:val="24"/>
        </w:rPr>
        <w:t xml:space="preserve">, 185. </w:t>
      </w:r>
      <w:hyperlink r:id="rId36" w:tgtFrame="_blank" w:history="1">
        <w:r w:rsidRPr="00E93782">
          <w:rPr>
            <w:rStyle w:val="Hyperlink"/>
            <w:rFonts w:ascii="Times New Roman" w:hAnsi="Times New Roman" w:cs="Times New Roman"/>
            <w:sz w:val="24"/>
            <w:szCs w:val="24"/>
          </w:rPr>
          <w:t>https://doi.org/10.9734/jsrr/2024/v30i31871</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Sharma, P., Sharma, P., &amp; Thakur, N. (2024). Sustainable farming practices and soil health: a pathway to achieving SDGs and future prospects. </w:t>
      </w:r>
      <w:r w:rsidRPr="00E93782">
        <w:rPr>
          <w:rFonts w:ascii="Times New Roman" w:hAnsi="Times New Roman" w:cs="Times New Roman"/>
          <w:i/>
          <w:iCs/>
          <w:sz w:val="24"/>
          <w:szCs w:val="24"/>
        </w:rPr>
        <w:t>Discover 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5</w:t>
      </w:r>
      <w:r w:rsidRPr="00E93782">
        <w:rPr>
          <w:rFonts w:ascii="Times New Roman" w:hAnsi="Times New Roman" w:cs="Times New Roman"/>
          <w:sz w:val="24"/>
          <w:szCs w:val="24"/>
        </w:rPr>
        <w:t xml:space="preserve">(1). </w:t>
      </w:r>
      <w:hyperlink r:id="rId37" w:tgtFrame="_blank" w:history="1">
        <w:r w:rsidRPr="00E93782">
          <w:rPr>
            <w:rStyle w:val="Hyperlink"/>
            <w:rFonts w:ascii="Times New Roman" w:hAnsi="Times New Roman" w:cs="Times New Roman"/>
            <w:sz w:val="24"/>
            <w:szCs w:val="24"/>
          </w:rPr>
          <w:t>https://doi.org/10.1007/s43621-024-00447-4</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Sharma, S., &amp; K.C., B. (2024). Sustainable Agriculture and It’s Practices: A Review [Review of </w:t>
      </w:r>
      <w:r w:rsidRPr="00E93782">
        <w:rPr>
          <w:rFonts w:ascii="Times New Roman" w:hAnsi="Times New Roman" w:cs="Times New Roman"/>
          <w:i/>
          <w:iCs/>
          <w:sz w:val="24"/>
          <w:szCs w:val="24"/>
        </w:rPr>
        <w:t>Sustainable Agriculture and It’s Practices: A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Turkish Journal of Agriculture - Food Science and Technology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12</w:t>
      </w:r>
      <w:r w:rsidRPr="00E93782">
        <w:rPr>
          <w:rFonts w:ascii="Times New Roman" w:hAnsi="Times New Roman" w:cs="Times New Roman"/>
          <w:sz w:val="24"/>
          <w:szCs w:val="24"/>
        </w:rPr>
        <w:t xml:space="preserve">(12), 2631. Turkish Science and </w:t>
      </w:r>
      <w:proofErr w:type="spellStart"/>
      <w:r w:rsidRPr="00E93782">
        <w:rPr>
          <w:rFonts w:ascii="Times New Roman" w:hAnsi="Times New Roman" w:cs="Times New Roman"/>
          <w:sz w:val="24"/>
          <w:szCs w:val="24"/>
        </w:rPr>
        <w:t>Tecnology</w:t>
      </w:r>
      <w:proofErr w:type="spellEnd"/>
      <w:r w:rsidRPr="00E93782">
        <w:rPr>
          <w:rFonts w:ascii="Times New Roman" w:hAnsi="Times New Roman" w:cs="Times New Roman"/>
          <w:sz w:val="24"/>
          <w:szCs w:val="24"/>
        </w:rPr>
        <w:t xml:space="preserve"> (TST). </w:t>
      </w:r>
      <w:hyperlink r:id="rId38" w:tgtFrame="_blank" w:history="1">
        <w:r w:rsidRPr="00E93782">
          <w:rPr>
            <w:rStyle w:val="Hyperlink"/>
            <w:rFonts w:ascii="Times New Roman" w:hAnsi="Times New Roman" w:cs="Times New Roman"/>
            <w:sz w:val="24"/>
            <w:szCs w:val="24"/>
          </w:rPr>
          <w:t>https://doi.org/10.24925/turjaf.v12i12.2631-2639.6622</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Singh, A., Pandey, A. K., Santhosh, D., </w:t>
      </w:r>
      <w:proofErr w:type="spellStart"/>
      <w:r w:rsidRPr="00E93782">
        <w:rPr>
          <w:rFonts w:ascii="Times New Roman" w:hAnsi="Times New Roman" w:cs="Times New Roman"/>
          <w:sz w:val="24"/>
          <w:szCs w:val="24"/>
        </w:rPr>
        <w:t>Ganavi</w:t>
      </w:r>
      <w:proofErr w:type="spellEnd"/>
      <w:r w:rsidRPr="00E93782">
        <w:rPr>
          <w:rFonts w:ascii="Times New Roman" w:hAnsi="Times New Roman" w:cs="Times New Roman"/>
          <w:sz w:val="24"/>
          <w:szCs w:val="24"/>
        </w:rPr>
        <w:t xml:space="preserve">, N. R., </w:t>
      </w:r>
      <w:proofErr w:type="spellStart"/>
      <w:r w:rsidRPr="00E93782">
        <w:rPr>
          <w:rFonts w:ascii="Times New Roman" w:hAnsi="Times New Roman" w:cs="Times New Roman"/>
          <w:sz w:val="24"/>
          <w:szCs w:val="24"/>
        </w:rPr>
        <w:t>Sarma</w:t>
      </w:r>
      <w:proofErr w:type="spellEnd"/>
      <w:r w:rsidRPr="00E93782">
        <w:rPr>
          <w:rFonts w:ascii="Times New Roman" w:hAnsi="Times New Roman" w:cs="Times New Roman"/>
          <w:sz w:val="24"/>
          <w:szCs w:val="24"/>
        </w:rPr>
        <w:t xml:space="preserve">, A., </w:t>
      </w:r>
      <w:proofErr w:type="spellStart"/>
      <w:r w:rsidRPr="00E93782">
        <w:rPr>
          <w:rFonts w:ascii="Times New Roman" w:hAnsi="Times New Roman" w:cs="Times New Roman"/>
          <w:sz w:val="24"/>
          <w:szCs w:val="24"/>
        </w:rPr>
        <w:t>Deori</w:t>
      </w:r>
      <w:proofErr w:type="spellEnd"/>
      <w:r w:rsidRPr="00E93782">
        <w:rPr>
          <w:rFonts w:ascii="Times New Roman" w:hAnsi="Times New Roman" w:cs="Times New Roman"/>
          <w:sz w:val="24"/>
          <w:szCs w:val="24"/>
        </w:rPr>
        <w:t xml:space="preserve">, C., Das, J., &amp; D, S. K. (2024). A Comprehensive Review on Greenhouse Gas Emissions in Agriculture and Evolving Agricultural Practices for Climate Resilience [Review of </w:t>
      </w:r>
      <w:r w:rsidRPr="00E93782">
        <w:rPr>
          <w:rFonts w:ascii="Times New Roman" w:hAnsi="Times New Roman" w:cs="Times New Roman"/>
          <w:i/>
          <w:iCs/>
          <w:sz w:val="24"/>
          <w:szCs w:val="24"/>
        </w:rPr>
        <w:t>A Comprehensive Review on Greenhouse Gas Emissions in Agriculture and Evolving Agricultural Practices for Climate Resilience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International Journal of Environment and Climate Change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14</w:t>
      </w:r>
      <w:r w:rsidRPr="00E93782">
        <w:rPr>
          <w:rFonts w:ascii="Times New Roman" w:hAnsi="Times New Roman" w:cs="Times New Roman"/>
          <w:sz w:val="24"/>
          <w:szCs w:val="24"/>
        </w:rPr>
        <w:t xml:space="preserve">(5), 455. </w:t>
      </w:r>
      <w:proofErr w:type="spellStart"/>
      <w:r w:rsidRPr="00E93782">
        <w:rPr>
          <w:rFonts w:ascii="Times New Roman" w:hAnsi="Times New Roman" w:cs="Times New Roman"/>
          <w:sz w:val="24"/>
          <w:szCs w:val="24"/>
        </w:rPr>
        <w:t>Sciencedomain</w:t>
      </w:r>
      <w:proofErr w:type="spellEnd"/>
      <w:r w:rsidRPr="00E93782">
        <w:rPr>
          <w:rFonts w:ascii="Times New Roman" w:hAnsi="Times New Roman" w:cs="Times New Roman"/>
          <w:sz w:val="24"/>
          <w:szCs w:val="24"/>
        </w:rPr>
        <w:t xml:space="preserve"> International. </w:t>
      </w:r>
      <w:hyperlink r:id="rId39" w:tgtFrame="_blank" w:history="1">
        <w:r w:rsidRPr="00E93782">
          <w:rPr>
            <w:rStyle w:val="Hyperlink"/>
            <w:rFonts w:ascii="Times New Roman" w:hAnsi="Times New Roman" w:cs="Times New Roman"/>
            <w:sz w:val="24"/>
            <w:szCs w:val="24"/>
          </w:rPr>
          <w:t>https://doi.org/10.9734/ijecc/2024/v14i54206</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Sithole, A., &amp; </w:t>
      </w:r>
      <w:proofErr w:type="spellStart"/>
      <w:r w:rsidRPr="00E93782">
        <w:rPr>
          <w:rFonts w:ascii="Times New Roman" w:hAnsi="Times New Roman" w:cs="Times New Roman"/>
          <w:sz w:val="24"/>
          <w:szCs w:val="24"/>
        </w:rPr>
        <w:t>Olorunfemi</w:t>
      </w:r>
      <w:proofErr w:type="spellEnd"/>
      <w:r w:rsidRPr="00E93782">
        <w:rPr>
          <w:rFonts w:ascii="Times New Roman" w:hAnsi="Times New Roman" w:cs="Times New Roman"/>
          <w:sz w:val="24"/>
          <w:szCs w:val="24"/>
        </w:rPr>
        <w:t xml:space="preserve">, O. D. (2024). Sustainable Agricultural Practices in Sub-Saharan Africa: A Review of Adoption Trends, Impacts, and Challenges Among Smallholder Farmers [Review of </w:t>
      </w:r>
      <w:r w:rsidRPr="00E93782">
        <w:rPr>
          <w:rFonts w:ascii="Times New Roman" w:hAnsi="Times New Roman" w:cs="Times New Roman"/>
          <w:i/>
          <w:iCs/>
          <w:sz w:val="24"/>
          <w:szCs w:val="24"/>
        </w:rPr>
        <w:t>Sustainable Agricultural Practices in Sub-Saharan Africa: A Review of Adoption Trends, Impacts, and Challenges Among Smallholder Farmers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Sustainability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16</w:t>
      </w:r>
      <w:r w:rsidRPr="00E93782">
        <w:rPr>
          <w:rFonts w:ascii="Times New Roman" w:hAnsi="Times New Roman" w:cs="Times New Roman"/>
          <w:sz w:val="24"/>
          <w:szCs w:val="24"/>
        </w:rPr>
        <w:t xml:space="preserve">(22), 9766. Multidisciplinary Digital Publishing Institute. </w:t>
      </w:r>
      <w:hyperlink r:id="rId40" w:tgtFrame="_blank" w:history="1">
        <w:r w:rsidRPr="00E93782">
          <w:rPr>
            <w:rStyle w:val="Hyperlink"/>
            <w:rFonts w:ascii="Times New Roman" w:hAnsi="Times New Roman" w:cs="Times New Roman"/>
            <w:sz w:val="24"/>
            <w:szCs w:val="24"/>
          </w:rPr>
          <w:t>https://doi.org/10.3390/su16229766</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Souto</w:t>
      </w:r>
      <w:proofErr w:type="spellEnd"/>
      <w:r w:rsidRPr="00E93782">
        <w:rPr>
          <w:rFonts w:ascii="Times New Roman" w:hAnsi="Times New Roman" w:cs="Times New Roman"/>
          <w:sz w:val="24"/>
          <w:szCs w:val="24"/>
        </w:rPr>
        <w:t xml:space="preserve">, A. L., </w:t>
      </w:r>
      <w:proofErr w:type="spellStart"/>
      <w:r w:rsidRPr="00E93782">
        <w:rPr>
          <w:rFonts w:ascii="Times New Roman" w:hAnsi="Times New Roman" w:cs="Times New Roman"/>
          <w:sz w:val="24"/>
          <w:szCs w:val="24"/>
        </w:rPr>
        <w:t>Sylvestre</w:t>
      </w:r>
      <w:proofErr w:type="spellEnd"/>
      <w:r w:rsidRPr="00E93782">
        <w:rPr>
          <w:rFonts w:ascii="Times New Roman" w:hAnsi="Times New Roman" w:cs="Times New Roman"/>
          <w:sz w:val="24"/>
          <w:szCs w:val="24"/>
        </w:rPr>
        <w:t xml:space="preserve">, M., </w:t>
      </w:r>
      <w:proofErr w:type="spellStart"/>
      <w:r w:rsidRPr="00E93782">
        <w:rPr>
          <w:rFonts w:ascii="Times New Roman" w:hAnsi="Times New Roman" w:cs="Times New Roman"/>
          <w:sz w:val="24"/>
          <w:szCs w:val="24"/>
        </w:rPr>
        <w:t>Tölke</w:t>
      </w:r>
      <w:proofErr w:type="spellEnd"/>
      <w:r w:rsidRPr="00E93782">
        <w:rPr>
          <w:rFonts w:ascii="Times New Roman" w:hAnsi="Times New Roman" w:cs="Times New Roman"/>
          <w:sz w:val="24"/>
          <w:szCs w:val="24"/>
        </w:rPr>
        <w:t xml:space="preserve">, E. D., Tavares, J. F., Barbosa‐Filho, J. M., &amp; </w:t>
      </w:r>
      <w:proofErr w:type="spellStart"/>
      <w:r w:rsidRPr="00E93782">
        <w:rPr>
          <w:rFonts w:ascii="Times New Roman" w:hAnsi="Times New Roman" w:cs="Times New Roman"/>
          <w:sz w:val="24"/>
          <w:szCs w:val="24"/>
        </w:rPr>
        <w:t>Cebrián‐Torrejón</w:t>
      </w:r>
      <w:proofErr w:type="spellEnd"/>
      <w:r w:rsidRPr="00E93782">
        <w:rPr>
          <w:rFonts w:ascii="Times New Roman" w:hAnsi="Times New Roman" w:cs="Times New Roman"/>
          <w:sz w:val="24"/>
          <w:szCs w:val="24"/>
        </w:rPr>
        <w:t xml:space="preserve">, G. (2021). Plant-Derived Pesticides as an Alternative to Pest Management and Sustainable Agricultural Production: Prospects, Applications and Challenges [Review of </w:t>
      </w:r>
      <w:r w:rsidRPr="00E93782">
        <w:rPr>
          <w:rFonts w:ascii="Times New Roman" w:hAnsi="Times New Roman" w:cs="Times New Roman"/>
          <w:i/>
          <w:iCs/>
          <w:sz w:val="24"/>
          <w:szCs w:val="24"/>
        </w:rPr>
        <w:t>Plant-Derived Pesticides as an Alternative to Pest Management and Sustainable Agricultural Production: Prospects, Applications and Challenges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Molecules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26</w:t>
      </w:r>
      <w:r w:rsidRPr="00E93782">
        <w:rPr>
          <w:rFonts w:ascii="Times New Roman" w:hAnsi="Times New Roman" w:cs="Times New Roman"/>
          <w:sz w:val="24"/>
          <w:szCs w:val="24"/>
        </w:rPr>
        <w:t xml:space="preserve">(16), 4835. Multidisciplinary Digital Publishing Institute. </w:t>
      </w:r>
      <w:hyperlink r:id="rId41" w:tgtFrame="_blank" w:history="1">
        <w:r w:rsidRPr="00E93782">
          <w:rPr>
            <w:rStyle w:val="Hyperlink"/>
            <w:rFonts w:ascii="Times New Roman" w:hAnsi="Times New Roman" w:cs="Times New Roman"/>
            <w:sz w:val="24"/>
            <w:szCs w:val="24"/>
          </w:rPr>
          <w:t>https://doi.org/10.3390/molecules26164835</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proofErr w:type="spellStart"/>
      <w:r w:rsidRPr="00E93782">
        <w:rPr>
          <w:rFonts w:ascii="Times New Roman" w:hAnsi="Times New Roman" w:cs="Times New Roman"/>
          <w:sz w:val="24"/>
          <w:szCs w:val="24"/>
        </w:rPr>
        <w:t>Valavi</w:t>
      </w:r>
      <w:proofErr w:type="spellEnd"/>
      <w:r w:rsidRPr="00E93782">
        <w:rPr>
          <w:rFonts w:ascii="Times New Roman" w:hAnsi="Times New Roman" w:cs="Times New Roman"/>
          <w:sz w:val="24"/>
          <w:szCs w:val="24"/>
        </w:rPr>
        <w:t xml:space="preserve">, A. R. J., Raj, M. S. S., &amp; Sebastian, A. (2025). Examining the possibility of Integrating Sustainable Agricultural Practices into Laws for safeguarding the rights of farm animals. </w:t>
      </w:r>
      <w:r w:rsidRPr="00E93782">
        <w:rPr>
          <w:rFonts w:ascii="Times New Roman" w:hAnsi="Times New Roman" w:cs="Times New Roman"/>
          <w:i/>
          <w:iCs/>
          <w:sz w:val="24"/>
          <w:szCs w:val="24"/>
        </w:rPr>
        <w:t>Derecho Animal Forum of Animal Law Studies</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15</w:t>
      </w:r>
      <w:r w:rsidRPr="00E93782">
        <w:rPr>
          <w:rFonts w:ascii="Times New Roman" w:hAnsi="Times New Roman" w:cs="Times New Roman"/>
          <w:sz w:val="24"/>
          <w:szCs w:val="24"/>
        </w:rPr>
        <w:t xml:space="preserve">(1), 83. </w:t>
      </w:r>
      <w:hyperlink r:id="rId42" w:tgtFrame="_blank" w:history="1">
        <w:r w:rsidRPr="00E93782">
          <w:rPr>
            <w:rStyle w:val="Hyperlink"/>
            <w:rFonts w:ascii="Times New Roman" w:hAnsi="Times New Roman" w:cs="Times New Roman"/>
            <w:sz w:val="24"/>
            <w:szCs w:val="24"/>
          </w:rPr>
          <w:t>https://doi.org/10.5565/rev/da.659</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Xing, Y., Wang, X., &amp; Mustafa, A. (2025). Exploring the link between soil health and crop productivity [Review of </w:t>
      </w:r>
      <w:r w:rsidRPr="00E93782">
        <w:rPr>
          <w:rFonts w:ascii="Times New Roman" w:hAnsi="Times New Roman" w:cs="Times New Roman"/>
          <w:i/>
          <w:iCs/>
          <w:sz w:val="24"/>
          <w:szCs w:val="24"/>
        </w:rPr>
        <w:t>Exploring the link between soil health and crop productivity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Ecotoxicology and Environmental Safety</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289</w:t>
      </w:r>
      <w:r w:rsidRPr="00E93782">
        <w:rPr>
          <w:rFonts w:ascii="Times New Roman" w:hAnsi="Times New Roman" w:cs="Times New Roman"/>
          <w:sz w:val="24"/>
          <w:szCs w:val="24"/>
        </w:rPr>
        <w:t xml:space="preserve">, 117703. Elsevier BV. </w:t>
      </w:r>
      <w:hyperlink r:id="rId43" w:tgtFrame="_blank" w:history="1">
        <w:r w:rsidRPr="00E93782">
          <w:rPr>
            <w:rStyle w:val="Hyperlink"/>
            <w:rFonts w:ascii="Times New Roman" w:hAnsi="Times New Roman" w:cs="Times New Roman"/>
            <w:sz w:val="24"/>
            <w:szCs w:val="24"/>
          </w:rPr>
          <w:t>https://doi.org/10.1016/j.ecoenv.2025.117703</w:t>
        </w:r>
      </w:hyperlink>
    </w:p>
    <w:p w:rsidR="00E93782" w:rsidRPr="00E93782" w:rsidRDefault="00E93782" w:rsidP="00E93782">
      <w:pPr>
        <w:jc w:val="both"/>
        <w:rPr>
          <w:rFonts w:ascii="Times New Roman" w:hAnsi="Times New Roman" w:cs="Times New Roman"/>
          <w:sz w:val="24"/>
          <w:szCs w:val="24"/>
        </w:rPr>
      </w:pPr>
    </w:p>
    <w:p w:rsidR="00E93782" w:rsidRPr="00E93782" w:rsidRDefault="00E93782" w:rsidP="00E93782">
      <w:pPr>
        <w:pStyle w:val="ListParagraph"/>
        <w:numPr>
          <w:ilvl w:val="0"/>
          <w:numId w:val="8"/>
        </w:numPr>
        <w:jc w:val="both"/>
        <w:rPr>
          <w:rFonts w:ascii="Times New Roman" w:hAnsi="Times New Roman" w:cs="Times New Roman"/>
          <w:sz w:val="24"/>
          <w:szCs w:val="24"/>
        </w:rPr>
      </w:pPr>
      <w:r w:rsidRPr="00E93782">
        <w:rPr>
          <w:rFonts w:ascii="Times New Roman" w:hAnsi="Times New Roman" w:cs="Times New Roman"/>
          <w:sz w:val="24"/>
          <w:szCs w:val="24"/>
        </w:rPr>
        <w:t xml:space="preserve">Zheng, H., Ma, W., &amp; He, Q. (2024). Climate-smart agricultural practices for enhanced farm productivity, income, resilience, and greenhouse gas mitigation: a comprehensive review [Review of </w:t>
      </w:r>
      <w:r w:rsidRPr="00E93782">
        <w:rPr>
          <w:rFonts w:ascii="Times New Roman" w:hAnsi="Times New Roman" w:cs="Times New Roman"/>
          <w:i/>
          <w:iCs/>
          <w:sz w:val="24"/>
          <w:szCs w:val="24"/>
        </w:rPr>
        <w:t>Climate-smart agricultural practices for enhanced farm productivity, income, resilience, and greenhouse gas mitigation: a comprehensive review</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 xml:space="preserve">Mitigation </w:t>
      </w:r>
      <w:r w:rsidRPr="00E93782">
        <w:rPr>
          <w:rFonts w:ascii="Times New Roman" w:hAnsi="Times New Roman" w:cs="Times New Roman"/>
          <w:i/>
          <w:iCs/>
          <w:sz w:val="24"/>
          <w:szCs w:val="24"/>
        </w:rPr>
        <w:lastRenderedPageBreak/>
        <w:t>and Adaptation Strategies for Global Change</w:t>
      </w:r>
      <w:r w:rsidRPr="00E93782">
        <w:rPr>
          <w:rFonts w:ascii="Times New Roman" w:hAnsi="Times New Roman" w:cs="Times New Roman"/>
          <w:sz w:val="24"/>
          <w:szCs w:val="24"/>
        </w:rPr>
        <w:t xml:space="preserve">, </w:t>
      </w:r>
      <w:r w:rsidRPr="00E93782">
        <w:rPr>
          <w:rFonts w:ascii="Times New Roman" w:hAnsi="Times New Roman" w:cs="Times New Roman"/>
          <w:i/>
          <w:iCs/>
          <w:sz w:val="24"/>
          <w:szCs w:val="24"/>
        </w:rPr>
        <w:t>29</w:t>
      </w:r>
      <w:r w:rsidRPr="00E93782">
        <w:rPr>
          <w:rFonts w:ascii="Times New Roman" w:hAnsi="Times New Roman" w:cs="Times New Roman"/>
          <w:sz w:val="24"/>
          <w:szCs w:val="24"/>
        </w:rPr>
        <w:t xml:space="preserve">(4). Springer </w:t>
      </w:r>
      <w:proofErr w:type="spellStart"/>
      <w:r w:rsidRPr="00E93782">
        <w:rPr>
          <w:rFonts w:ascii="Times New Roman" w:hAnsi="Times New Roman" w:cs="Times New Roman"/>
          <w:sz w:val="24"/>
          <w:szCs w:val="24"/>
        </w:rPr>
        <w:t>Science+Business</w:t>
      </w:r>
      <w:proofErr w:type="spellEnd"/>
      <w:r w:rsidRPr="00E93782">
        <w:rPr>
          <w:rFonts w:ascii="Times New Roman" w:hAnsi="Times New Roman" w:cs="Times New Roman"/>
          <w:sz w:val="24"/>
          <w:szCs w:val="24"/>
        </w:rPr>
        <w:t xml:space="preserve"> Media. </w:t>
      </w:r>
      <w:hyperlink r:id="rId44" w:tgtFrame="_blank" w:history="1">
        <w:r w:rsidRPr="00E93782">
          <w:rPr>
            <w:rStyle w:val="Hyperlink"/>
            <w:rFonts w:ascii="Times New Roman" w:hAnsi="Times New Roman" w:cs="Times New Roman"/>
            <w:sz w:val="24"/>
            <w:szCs w:val="24"/>
          </w:rPr>
          <w:t>https://doi.org/10.1007/s11027-024-10124-6</w:t>
        </w:r>
      </w:hyperlink>
    </w:p>
    <w:p w:rsidR="00E93782" w:rsidRDefault="00E93782" w:rsidP="00F56FD7">
      <w:pPr>
        <w:jc w:val="both"/>
        <w:rPr>
          <w:rFonts w:ascii="Times New Roman" w:hAnsi="Times New Roman" w:cs="Times New Roman"/>
          <w:sz w:val="24"/>
          <w:szCs w:val="24"/>
        </w:rPr>
      </w:pPr>
    </w:p>
    <w:p w:rsidR="00E93782" w:rsidRDefault="00E93782" w:rsidP="00F56FD7">
      <w:pPr>
        <w:jc w:val="both"/>
        <w:rPr>
          <w:rFonts w:ascii="Times New Roman" w:hAnsi="Times New Roman" w:cs="Times New Roman"/>
          <w:sz w:val="24"/>
          <w:szCs w:val="24"/>
        </w:rPr>
      </w:pPr>
    </w:p>
    <w:p w:rsidR="00E93782" w:rsidRPr="008F603E" w:rsidRDefault="00E93782" w:rsidP="00F56FD7">
      <w:pPr>
        <w:jc w:val="both"/>
        <w:rPr>
          <w:rFonts w:ascii="Times New Roman" w:hAnsi="Times New Roman" w:cs="Times New Roman"/>
          <w:sz w:val="24"/>
          <w:szCs w:val="24"/>
        </w:rPr>
      </w:pPr>
    </w:p>
    <w:p w:rsidR="0022155B" w:rsidRPr="0022155B" w:rsidRDefault="0022155B" w:rsidP="008F603E">
      <w:pPr>
        <w:jc w:val="both"/>
        <w:rPr>
          <w:rFonts w:ascii="Times New Roman" w:hAnsi="Times New Roman" w:cs="Times New Roman"/>
          <w:sz w:val="24"/>
          <w:szCs w:val="24"/>
        </w:rPr>
      </w:pPr>
    </w:p>
    <w:sectPr w:rsidR="0022155B" w:rsidRPr="0022155B">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0B3" w:rsidRDefault="002250B3" w:rsidP="00A9794C">
      <w:pPr>
        <w:spacing w:after="0" w:line="240" w:lineRule="auto"/>
      </w:pPr>
      <w:r>
        <w:separator/>
      </w:r>
    </w:p>
  </w:endnote>
  <w:endnote w:type="continuationSeparator" w:id="0">
    <w:p w:rsidR="002250B3" w:rsidRDefault="002250B3" w:rsidP="00A9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0B3" w:rsidRDefault="002250B3" w:rsidP="00A9794C">
      <w:pPr>
        <w:spacing w:after="0" w:line="240" w:lineRule="auto"/>
      </w:pPr>
      <w:r>
        <w:separator/>
      </w:r>
    </w:p>
  </w:footnote>
  <w:footnote w:type="continuationSeparator" w:id="0">
    <w:p w:rsidR="002250B3" w:rsidRDefault="002250B3" w:rsidP="00A97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94C" w:rsidRDefault="00A979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362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363D13C7"/>
    <w:multiLevelType w:val="hybridMultilevel"/>
    <w:tmpl w:val="E62CD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F4079A"/>
    <w:multiLevelType w:val="hybridMultilevel"/>
    <w:tmpl w:val="A84615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A3FDC"/>
    <w:rsid w:val="00145A72"/>
    <w:rsid w:val="00172C50"/>
    <w:rsid w:val="001D0A8C"/>
    <w:rsid w:val="001E719F"/>
    <w:rsid w:val="001F173C"/>
    <w:rsid w:val="0022155B"/>
    <w:rsid w:val="002250B3"/>
    <w:rsid w:val="00247B9F"/>
    <w:rsid w:val="0032155B"/>
    <w:rsid w:val="00391A6A"/>
    <w:rsid w:val="004352FB"/>
    <w:rsid w:val="004B686C"/>
    <w:rsid w:val="004D1368"/>
    <w:rsid w:val="005A5785"/>
    <w:rsid w:val="005D0259"/>
    <w:rsid w:val="005D74F0"/>
    <w:rsid w:val="005E72E8"/>
    <w:rsid w:val="006B42FD"/>
    <w:rsid w:val="007316BA"/>
    <w:rsid w:val="00755A9F"/>
    <w:rsid w:val="0079339C"/>
    <w:rsid w:val="007E0843"/>
    <w:rsid w:val="00850C44"/>
    <w:rsid w:val="008C194D"/>
    <w:rsid w:val="008F603E"/>
    <w:rsid w:val="00931F68"/>
    <w:rsid w:val="0096095D"/>
    <w:rsid w:val="009C0C38"/>
    <w:rsid w:val="009D718B"/>
    <w:rsid w:val="00A25762"/>
    <w:rsid w:val="00A40EFD"/>
    <w:rsid w:val="00A4239E"/>
    <w:rsid w:val="00A660F0"/>
    <w:rsid w:val="00A86984"/>
    <w:rsid w:val="00A96A8B"/>
    <w:rsid w:val="00A9794C"/>
    <w:rsid w:val="00B126C8"/>
    <w:rsid w:val="00B54C17"/>
    <w:rsid w:val="00BB5982"/>
    <w:rsid w:val="00BF421B"/>
    <w:rsid w:val="00C212C0"/>
    <w:rsid w:val="00C65C2E"/>
    <w:rsid w:val="00CD7438"/>
    <w:rsid w:val="00D13EB7"/>
    <w:rsid w:val="00D21F49"/>
    <w:rsid w:val="00D46E4D"/>
    <w:rsid w:val="00D65EFE"/>
    <w:rsid w:val="00DF71DA"/>
    <w:rsid w:val="00E40F52"/>
    <w:rsid w:val="00E77526"/>
    <w:rsid w:val="00E93782"/>
    <w:rsid w:val="00EA342C"/>
    <w:rsid w:val="00F00DA5"/>
    <w:rsid w:val="00F32B76"/>
    <w:rsid w:val="00F56FD7"/>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D7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D74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D74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D74F0"/>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931F68"/>
    <w:pPr>
      <w:ind w:left="720"/>
      <w:contextualSpacing/>
    </w:pPr>
  </w:style>
  <w:style w:type="paragraph" w:styleId="Header">
    <w:name w:val="header"/>
    <w:basedOn w:val="Normal"/>
    <w:link w:val="HeaderChar"/>
    <w:uiPriority w:val="99"/>
    <w:unhideWhenUsed/>
    <w:rsid w:val="00A97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94C"/>
  </w:style>
  <w:style w:type="paragraph" w:styleId="Footer">
    <w:name w:val="footer"/>
    <w:basedOn w:val="Normal"/>
    <w:link w:val="FooterChar"/>
    <w:uiPriority w:val="99"/>
    <w:unhideWhenUsed/>
    <w:rsid w:val="00A97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222495566">
      <w:bodyDiv w:val="1"/>
      <w:marLeft w:val="0"/>
      <w:marRight w:val="0"/>
      <w:marTop w:val="0"/>
      <w:marBottom w:val="0"/>
      <w:divBdr>
        <w:top w:val="none" w:sz="0" w:space="0" w:color="auto"/>
        <w:left w:val="none" w:sz="0" w:space="0" w:color="auto"/>
        <w:bottom w:val="none" w:sz="0" w:space="0" w:color="auto"/>
        <w:right w:val="none" w:sz="0" w:space="0" w:color="auto"/>
      </w:divBdr>
      <w:divsChild>
        <w:div w:id="662701153">
          <w:marLeft w:val="0"/>
          <w:marRight w:val="0"/>
          <w:marTop w:val="0"/>
          <w:marBottom w:val="0"/>
          <w:divBdr>
            <w:top w:val="none" w:sz="0" w:space="0" w:color="auto"/>
            <w:left w:val="none" w:sz="0" w:space="0" w:color="auto"/>
            <w:bottom w:val="none" w:sz="0" w:space="0" w:color="auto"/>
            <w:right w:val="none" w:sz="0" w:space="0" w:color="auto"/>
          </w:divBdr>
        </w:div>
        <w:div w:id="38282192">
          <w:marLeft w:val="0"/>
          <w:marRight w:val="0"/>
          <w:marTop w:val="0"/>
          <w:marBottom w:val="0"/>
          <w:divBdr>
            <w:top w:val="none" w:sz="0" w:space="0" w:color="auto"/>
            <w:left w:val="none" w:sz="0" w:space="0" w:color="auto"/>
            <w:bottom w:val="none" w:sz="0" w:space="0" w:color="auto"/>
            <w:right w:val="none" w:sz="0" w:space="0" w:color="auto"/>
          </w:divBdr>
        </w:div>
        <w:div w:id="1810246057">
          <w:marLeft w:val="0"/>
          <w:marRight w:val="0"/>
          <w:marTop w:val="0"/>
          <w:marBottom w:val="0"/>
          <w:divBdr>
            <w:top w:val="none" w:sz="0" w:space="0" w:color="auto"/>
            <w:left w:val="none" w:sz="0" w:space="0" w:color="auto"/>
            <w:bottom w:val="none" w:sz="0" w:space="0" w:color="auto"/>
            <w:right w:val="none" w:sz="0" w:space="0" w:color="auto"/>
          </w:divBdr>
        </w:div>
        <w:div w:id="1525098776">
          <w:marLeft w:val="0"/>
          <w:marRight w:val="0"/>
          <w:marTop w:val="0"/>
          <w:marBottom w:val="0"/>
          <w:divBdr>
            <w:top w:val="none" w:sz="0" w:space="0" w:color="auto"/>
            <w:left w:val="none" w:sz="0" w:space="0" w:color="auto"/>
            <w:bottom w:val="none" w:sz="0" w:space="0" w:color="auto"/>
            <w:right w:val="none" w:sz="0" w:space="0" w:color="auto"/>
          </w:divBdr>
        </w:div>
        <w:div w:id="24794550">
          <w:marLeft w:val="0"/>
          <w:marRight w:val="0"/>
          <w:marTop w:val="0"/>
          <w:marBottom w:val="0"/>
          <w:divBdr>
            <w:top w:val="none" w:sz="0" w:space="0" w:color="auto"/>
            <w:left w:val="none" w:sz="0" w:space="0" w:color="auto"/>
            <w:bottom w:val="none" w:sz="0" w:space="0" w:color="auto"/>
            <w:right w:val="none" w:sz="0" w:space="0" w:color="auto"/>
          </w:divBdr>
        </w:div>
        <w:div w:id="1118336511">
          <w:marLeft w:val="0"/>
          <w:marRight w:val="0"/>
          <w:marTop w:val="0"/>
          <w:marBottom w:val="0"/>
          <w:divBdr>
            <w:top w:val="none" w:sz="0" w:space="0" w:color="auto"/>
            <w:left w:val="none" w:sz="0" w:space="0" w:color="auto"/>
            <w:bottom w:val="none" w:sz="0" w:space="0" w:color="auto"/>
            <w:right w:val="none" w:sz="0" w:space="0" w:color="auto"/>
          </w:divBdr>
        </w:div>
        <w:div w:id="1755667501">
          <w:marLeft w:val="0"/>
          <w:marRight w:val="0"/>
          <w:marTop w:val="0"/>
          <w:marBottom w:val="0"/>
          <w:divBdr>
            <w:top w:val="none" w:sz="0" w:space="0" w:color="auto"/>
            <w:left w:val="none" w:sz="0" w:space="0" w:color="auto"/>
            <w:bottom w:val="none" w:sz="0" w:space="0" w:color="auto"/>
            <w:right w:val="none" w:sz="0" w:space="0" w:color="auto"/>
          </w:divBdr>
        </w:div>
        <w:div w:id="1213233648">
          <w:marLeft w:val="0"/>
          <w:marRight w:val="0"/>
          <w:marTop w:val="0"/>
          <w:marBottom w:val="0"/>
          <w:divBdr>
            <w:top w:val="none" w:sz="0" w:space="0" w:color="auto"/>
            <w:left w:val="none" w:sz="0" w:space="0" w:color="auto"/>
            <w:bottom w:val="none" w:sz="0" w:space="0" w:color="auto"/>
            <w:right w:val="none" w:sz="0" w:space="0" w:color="auto"/>
          </w:divBdr>
        </w:div>
        <w:div w:id="149637362">
          <w:marLeft w:val="0"/>
          <w:marRight w:val="0"/>
          <w:marTop w:val="0"/>
          <w:marBottom w:val="0"/>
          <w:divBdr>
            <w:top w:val="none" w:sz="0" w:space="0" w:color="auto"/>
            <w:left w:val="none" w:sz="0" w:space="0" w:color="auto"/>
            <w:bottom w:val="none" w:sz="0" w:space="0" w:color="auto"/>
            <w:right w:val="none" w:sz="0" w:space="0" w:color="auto"/>
          </w:divBdr>
        </w:div>
        <w:div w:id="217518465">
          <w:marLeft w:val="0"/>
          <w:marRight w:val="0"/>
          <w:marTop w:val="0"/>
          <w:marBottom w:val="0"/>
          <w:divBdr>
            <w:top w:val="none" w:sz="0" w:space="0" w:color="auto"/>
            <w:left w:val="none" w:sz="0" w:space="0" w:color="auto"/>
            <w:bottom w:val="none" w:sz="0" w:space="0" w:color="auto"/>
            <w:right w:val="none" w:sz="0" w:space="0" w:color="auto"/>
          </w:divBdr>
        </w:div>
        <w:div w:id="219171727">
          <w:marLeft w:val="0"/>
          <w:marRight w:val="0"/>
          <w:marTop w:val="0"/>
          <w:marBottom w:val="0"/>
          <w:divBdr>
            <w:top w:val="none" w:sz="0" w:space="0" w:color="auto"/>
            <w:left w:val="none" w:sz="0" w:space="0" w:color="auto"/>
            <w:bottom w:val="none" w:sz="0" w:space="0" w:color="auto"/>
            <w:right w:val="none" w:sz="0" w:space="0" w:color="auto"/>
          </w:divBdr>
        </w:div>
        <w:div w:id="1066805203">
          <w:marLeft w:val="0"/>
          <w:marRight w:val="0"/>
          <w:marTop w:val="0"/>
          <w:marBottom w:val="0"/>
          <w:divBdr>
            <w:top w:val="none" w:sz="0" w:space="0" w:color="auto"/>
            <w:left w:val="none" w:sz="0" w:space="0" w:color="auto"/>
            <w:bottom w:val="none" w:sz="0" w:space="0" w:color="auto"/>
            <w:right w:val="none" w:sz="0" w:space="0" w:color="auto"/>
          </w:divBdr>
        </w:div>
        <w:div w:id="1628045601">
          <w:marLeft w:val="0"/>
          <w:marRight w:val="0"/>
          <w:marTop w:val="0"/>
          <w:marBottom w:val="0"/>
          <w:divBdr>
            <w:top w:val="none" w:sz="0" w:space="0" w:color="auto"/>
            <w:left w:val="none" w:sz="0" w:space="0" w:color="auto"/>
            <w:bottom w:val="none" w:sz="0" w:space="0" w:color="auto"/>
            <w:right w:val="none" w:sz="0" w:space="0" w:color="auto"/>
          </w:divBdr>
        </w:div>
        <w:div w:id="1204246712">
          <w:marLeft w:val="0"/>
          <w:marRight w:val="0"/>
          <w:marTop w:val="0"/>
          <w:marBottom w:val="0"/>
          <w:divBdr>
            <w:top w:val="none" w:sz="0" w:space="0" w:color="auto"/>
            <w:left w:val="none" w:sz="0" w:space="0" w:color="auto"/>
            <w:bottom w:val="none" w:sz="0" w:space="0" w:color="auto"/>
            <w:right w:val="none" w:sz="0" w:space="0" w:color="auto"/>
          </w:divBdr>
        </w:div>
        <w:div w:id="626859439">
          <w:marLeft w:val="0"/>
          <w:marRight w:val="0"/>
          <w:marTop w:val="0"/>
          <w:marBottom w:val="0"/>
          <w:divBdr>
            <w:top w:val="none" w:sz="0" w:space="0" w:color="auto"/>
            <w:left w:val="none" w:sz="0" w:space="0" w:color="auto"/>
            <w:bottom w:val="none" w:sz="0" w:space="0" w:color="auto"/>
            <w:right w:val="none" w:sz="0" w:space="0" w:color="auto"/>
          </w:divBdr>
        </w:div>
        <w:div w:id="1297489037">
          <w:marLeft w:val="0"/>
          <w:marRight w:val="0"/>
          <w:marTop w:val="0"/>
          <w:marBottom w:val="0"/>
          <w:divBdr>
            <w:top w:val="none" w:sz="0" w:space="0" w:color="auto"/>
            <w:left w:val="none" w:sz="0" w:space="0" w:color="auto"/>
            <w:bottom w:val="none" w:sz="0" w:space="0" w:color="auto"/>
            <w:right w:val="none" w:sz="0" w:space="0" w:color="auto"/>
          </w:divBdr>
        </w:div>
        <w:div w:id="1644506491">
          <w:marLeft w:val="0"/>
          <w:marRight w:val="0"/>
          <w:marTop w:val="0"/>
          <w:marBottom w:val="0"/>
          <w:divBdr>
            <w:top w:val="none" w:sz="0" w:space="0" w:color="auto"/>
            <w:left w:val="none" w:sz="0" w:space="0" w:color="auto"/>
            <w:bottom w:val="none" w:sz="0" w:space="0" w:color="auto"/>
            <w:right w:val="none" w:sz="0" w:space="0" w:color="auto"/>
          </w:divBdr>
        </w:div>
        <w:div w:id="1421101342">
          <w:marLeft w:val="0"/>
          <w:marRight w:val="0"/>
          <w:marTop w:val="0"/>
          <w:marBottom w:val="0"/>
          <w:divBdr>
            <w:top w:val="none" w:sz="0" w:space="0" w:color="auto"/>
            <w:left w:val="none" w:sz="0" w:space="0" w:color="auto"/>
            <w:bottom w:val="none" w:sz="0" w:space="0" w:color="auto"/>
            <w:right w:val="none" w:sz="0" w:space="0" w:color="auto"/>
          </w:divBdr>
        </w:div>
        <w:div w:id="646671924">
          <w:marLeft w:val="0"/>
          <w:marRight w:val="0"/>
          <w:marTop w:val="0"/>
          <w:marBottom w:val="0"/>
          <w:divBdr>
            <w:top w:val="none" w:sz="0" w:space="0" w:color="auto"/>
            <w:left w:val="none" w:sz="0" w:space="0" w:color="auto"/>
            <w:bottom w:val="none" w:sz="0" w:space="0" w:color="auto"/>
            <w:right w:val="none" w:sz="0" w:space="0" w:color="auto"/>
          </w:divBdr>
        </w:div>
        <w:div w:id="2082290371">
          <w:marLeft w:val="0"/>
          <w:marRight w:val="0"/>
          <w:marTop w:val="0"/>
          <w:marBottom w:val="0"/>
          <w:divBdr>
            <w:top w:val="none" w:sz="0" w:space="0" w:color="auto"/>
            <w:left w:val="none" w:sz="0" w:space="0" w:color="auto"/>
            <w:bottom w:val="none" w:sz="0" w:space="0" w:color="auto"/>
            <w:right w:val="none" w:sz="0" w:space="0" w:color="auto"/>
          </w:divBdr>
        </w:div>
        <w:div w:id="1808084837">
          <w:marLeft w:val="0"/>
          <w:marRight w:val="0"/>
          <w:marTop w:val="0"/>
          <w:marBottom w:val="0"/>
          <w:divBdr>
            <w:top w:val="none" w:sz="0" w:space="0" w:color="auto"/>
            <w:left w:val="none" w:sz="0" w:space="0" w:color="auto"/>
            <w:bottom w:val="none" w:sz="0" w:space="0" w:color="auto"/>
            <w:right w:val="none" w:sz="0" w:space="0" w:color="auto"/>
          </w:divBdr>
        </w:div>
        <w:div w:id="1573587311">
          <w:marLeft w:val="0"/>
          <w:marRight w:val="0"/>
          <w:marTop w:val="0"/>
          <w:marBottom w:val="0"/>
          <w:divBdr>
            <w:top w:val="none" w:sz="0" w:space="0" w:color="auto"/>
            <w:left w:val="none" w:sz="0" w:space="0" w:color="auto"/>
            <w:bottom w:val="none" w:sz="0" w:space="0" w:color="auto"/>
            <w:right w:val="none" w:sz="0" w:space="0" w:color="auto"/>
          </w:divBdr>
        </w:div>
        <w:div w:id="1845852872">
          <w:marLeft w:val="0"/>
          <w:marRight w:val="0"/>
          <w:marTop w:val="0"/>
          <w:marBottom w:val="0"/>
          <w:divBdr>
            <w:top w:val="none" w:sz="0" w:space="0" w:color="auto"/>
            <w:left w:val="none" w:sz="0" w:space="0" w:color="auto"/>
            <w:bottom w:val="none" w:sz="0" w:space="0" w:color="auto"/>
            <w:right w:val="none" w:sz="0" w:space="0" w:color="auto"/>
          </w:divBdr>
        </w:div>
        <w:div w:id="2117292189">
          <w:marLeft w:val="0"/>
          <w:marRight w:val="0"/>
          <w:marTop w:val="0"/>
          <w:marBottom w:val="0"/>
          <w:divBdr>
            <w:top w:val="none" w:sz="0" w:space="0" w:color="auto"/>
            <w:left w:val="none" w:sz="0" w:space="0" w:color="auto"/>
            <w:bottom w:val="none" w:sz="0" w:space="0" w:color="auto"/>
            <w:right w:val="none" w:sz="0" w:space="0" w:color="auto"/>
          </w:divBdr>
        </w:div>
        <w:div w:id="677267658">
          <w:marLeft w:val="0"/>
          <w:marRight w:val="0"/>
          <w:marTop w:val="0"/>
          <w:marBottom w:val="0"/>
          <w:divBdr>
            <w:top w:val="none" w:sz="0" w:space="0" w:color="auto"/>
            <w:left w:val="none" w:sz="0" w:space="0" w:color="auto"/>
            <w:bottom w:val="none" w:sz="0" w:space="0" w:color="auto"/>
            <w:right w:val="none" w:sz="0" w:space="0" w:color="auto"/>
          </w:divBdr>
        </w:div>
        <w:div w:id="2087997278">
          <w:marLeft w:val="0"/>
          <w:marRight w:val="0"/>
          <w:marTop w:val="0"/>
          <w:marBottom w:val="0"/>
          <w:divBdr>
            <w:top w:val="none" w:sz="0" w:space="0" w:color="auto"/>
            <w:left w:val="none" w:sz="0" w:space="0" w:color="auto"/>
            <w:bottom w:val="none" w:sz="0" w:space="0" w:color="auto"/>
            <w:right w:val="none" w:sz="0" w:space="0" w:color="auto"/>
          </w:divBdr>
        </w:div>
        <w:div w:id="1895462872">
          <w:marLeft w:val="0"/>
          <w:marRight w:val="0"/>
          <w:marTop w:val="0"/>
          <w:marBottom w:val="0"/>
          <w:divBdr>
            <w:top w:val="none" w:sz="0" w:space="0" w:color="auto"/>
            <w:left w:val="none" w:sz="0" w:space="0" w:color="auto"/>
            <w:bottom w:val="none" w:sz="0" w:space="0" w:color="auto"/>
            <w:right w:val="none" w:sz="0" w:space="0" w:color="auto"/>
          </w:divBdr>
        </w:div>
        <w:div w:id="1173185793">
          <w:marLeft w:val="0"/>
          <w:marRight w:val="0"/>
          <w:marTop w:val="0"/>
          <w:marBottom w:val="0"/>
          <w:divBdr>
            <w:top w:val="none" w:sz="0" w:space="0" w:color="auto"/>
            <w:left w:val="none" w:sz="0" w:space="0" w:color="auto"/>
            <w:bottom w:val="none" w:sz="0" w:space="0" w:color="auto"/>
            <w:right w:val="none" w:sz="0" w:space="0" w:color="auto"/>
          </w:divBdr>
        </w:div>
      </w:divsChild>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490142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1497966">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692615386">
      <w:bodyDiv w:val="1"/>
      <w:marLeft w:val="0"/>
      <w:marRight w:val="0"/>
      <w:marTop w:val="0"/>
      <w:marBottom w:val="0"/>
      <w:divBdr>
        <w:top w:val="none" w:sz="0" w:space="0" w:color="auto"/>
        <w:left w:val="none" w:sz="0" w:space="0" w:color="auto"/>
        <w:bottom w:val="none" w:sz="0" w:space="0" w:color="auto"/>
        <w:right w:val="none" w:sz="0" w:space="0" w:color="auto"/>
      </w:divBdr>
      <w:divsChild>
        <w:div w:id="888961038">
          <w:marLeft w:val="0"/>
          <w:marRight w:val="0"/>
          <w:marTop w:val="0"/>
          <w:marBottom w:val="0"/>
          <w:divBdr>
            <w:top w:val="none" w:sz="0" w:space="0" w:color="auto"/>
            <w:left w:val="none" w:sz="0" w:space="0" w:color="auto"/>
            <w:bottom w:val="none" w:sz="0" w:space="0" w:color="auto"/>
            <w:right w:val="none" w:sz="0" w:space="0" w:color="auto"/>
          </w:divBdr>
        </w:div>
        <w:div w:id="1438525265">
          <w:marLeft w:val="0"/>
          <w:marRight w:val="0"/>
          <w:marTop w:val="0"/>
          <w:marBottom w:val="0"/>
          <w:divBdr>
            <w:top w:val="none" w:sz="0" w:space="0" w:color="auto"/>
            <w:left w:val="none" w:sz="0" w:space="0" w:color="auto"/>
            <w:bottom w:val="none" w:sz="0" w:space="0" w:color="auto"/>
            <w:right w:val="none" w:sz="0" w:space="0" w:color="auto"/>
          </w:divBdr>
        </w:div>
        <w:div w:id="1531607666">
          <w:marLeft w:val="0"/>
          <w:marRight w:val="0"/>
          <w:marTop w:val="0"/>
          <w:marBottom w:val="0"/>
          <w:divBdr>
            <w:top w:val="none" w:sz="0" w:space="0" w:color="auto"/>
            <w:left w:val="none" w:sz="0" w:space="0" w:color="auto"/>
            <w:bottom w:val="none" w:sz="0" w:space="0" w:color="auto"/>
            <w:right w:val="none" w:sz="0" w:space="0" w:color="auto"/>
          </w:divBdr>
        </w:div>
        <w:div w:id="340817957">
          <w:marLeft w:val="0"/>
          <w:marRight w:val="0"/>
          <w:marTop w:val="0"/>
          <w:marBottom w:val="0"/>
          <w:divBdr>
            <w:top w:val="none" w:sz="0" w:space="0" w:color="auto"/>
            <w:left w:val="none" w:sz="0" w:space="0" w:color="auto"/>
            <w:bottom w:val="none" w:sz="0" w:space="0" w:color="auto"/>
            <w:right w:val="none" w:sz="0" w:space="0" w:color="auto"/>
          </w:divBdr>
        </w:div>
        <w:div w:id="1469322100">
          <w:marLeft w:val="0"/>
          <w:marRight w:val="0"/>
          <w:marTop w:val="0"/>
          <w:marBottom w:val="0"/>
          <w:divBdr>
            <w:top w:val="none" w:sz="0" w:space="0" w:color="auto"/>
            <w:left w:val="none" w:sz="0" w:space="0" w:color="auto"/>
            <w:bottom w:val="none" w:sz="0" w:space="0" w:color="auto"/>
            <w:right w:val="none" w:sz="0" w:space="0" w:color="auto"/>
          </w:divBdr>
        </w:div>
        <w:div w:id="1200363054">
          <w:marLeft w:val="0"/>
          <w:marRight w:val="0"/>
          <w:marTop w:val="0"/>
          <w:marBottom w:val="0"/>
          <w:divBdr>
            <w:top w:val="none" w:sz="0" w:space="0" w:color="auto"/>
            <w:left w:val="none" w:sz="0" w:space="0" w:color="auto"/>
            <w:bottom w:val="none" w:sz="0" w:space="0" w:color="auto"/>
            <w:right w:val="none" w:sz="0" w:space="0" w:color="auto"/>
          </w:divBdr>
        </w:div>
        <w:div w:id="1829831179">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
        <w:div w:id="1775637028">
          <w:marLeft w:val="0"/>
          <w:marRight w:val="0"/>
          <w:marTop w:val="0"/>
          <w:marBottom w:val="0"/>
          <w:divBdr>
            <w:top w:val="none" w:sz="0" w:space="0" w:color="auto"/>
            <w:left w:val="none" w:sz="0" w:space="0" w:color="auto"/>
            <w:bottom w:val="none" w:sz="0" w:space="0" w:color="auto"/>
            <w:right w:val="none" w:sz="0" w:space="0" w:color="auto"/>
          </w:divBdr>
        </w:div>
        <w:div w:id="79910799">
          <w:marLeft w:val="0"/>
          <w:marRight w:val="0"/>
          <w:marTop w:val="0"/>
          <w:marBottom w:val="0"/>
          <w:divBdr>
            <w:top w:val="none" w:sz="0" w:space="0" w:color="auto"/>
            <w:left w:val="none" w:sz="0" w:space="0" w:color="auto"/>
            <w:bottom w:val="none" w:sz="0" w:space="0" w:color="auto"/>
            <w:right w:val="none" w:sz="0" w:space="0" w:color="auto"/>
          </w:divBdr>
        </w:div>
        <w:div w:id="877813098">
          <w:marLeft w:val="0"/>
          <w:marRight w:val="0"/>
          <w:marTop w:val="0"/>
          <w:marBottom w:val="0"/>
          <w:divBdr>
            <w:top w:val="none" w:sz="0" w:space="0" w:color="auto"/>
            <w:left w:val="none" w:sz="0" w:space="0" w:color="auto"/>
            <w:bottom w:val="none" w:sz="0" w:space="0" w:color="auto"/>
            <w:right w:val="none" w:sz="0" w:space="0" w:color="auto"/>
          </w:divBdr>
        </w:div>
        <w:div w:id="1330981040">
          <w:marLeft w:val="0"/>
          <w:marRight w:val="0"/>
          <w:marTop w:val="0"/>
          <w:marBottom w:val="0"/>
          <w:divBdr>
            <w:top w:val="none" w:sz="0" w:space="0" w:color="auto"/>
            <w:left w:val="none" w:sz="0" w:space="0" w:color="auto"/>
            <w:bottom w:val="none" w:sz="0" w:space="0" w:color="auto"/>
            <w:right w:val="none" w:sz="0" w:space="0" w:color="auto"/>
          </w:divBdr>
        </w:div>
        <w:div w:id="171458387">
          <w:marLeft w:val="0"/>
          <w:marRight w:val="0"/>
          <w:marTop w:val="0"/>
          <w:marBottom w:val="0"/>
          <w:divBdr>
            <w:top w:val="none" w:sz="0" w:space="0" w:color="auto"/>
            <w:left w:val="none" w:sz="0" w:space="0" w:color="auto"/>
            <w:bottom w:val="none" w:sz="0" w:space="0" w:color="auto"/>
            <w:right w:val="none" w:sz="0" w:space="0" w:color="auto"/>
          </w:divBdr>
        </w:div>
        <w:div w:id="1655141024">
          <w:marLeft w:val="0"/>
          <w:marRight w:val="0"/>
          <w:marTop w:val="0"/>
          <w:marBottom w:val="0"/>
          <w:divBdr>
            <w:top w:val="none" w:sz="0" w:space="0" w:color="auto"/>
            <w:left w:val="none" w:sz="0" w:space="0" w:color="auto"/>
            <w:bottom w:val="none" w:sz="0" w:space="0" w:color="auto"/>
            <w:right w:val="none" w:sz="0" w:space="0" w:color="auto"/>
          </w:divBdr>
        </w:div>
        <w:div w:id="2076126863">
          <w:marLeft w:val="0"/>
          <w:marRight w:val="0"/>
          <w:marTop w:val="0"/>
          <w:marBottom w:val="0"/>
          <w:divBdr>
            <w:top w:val="none" w:sz="0" w:space="0" w:color="auto"/>
            <w:left w:val="none" w:sz="0" w:space="0" w:color="auto"/>
            <w:bottom w:val="none" w:sz="0" w:space="0" w:color="auto"/>
            <w:right w:val="none" w:sz="0" w:space="0" w:color="auto"/>
          </w:divBdr>
        </w:div>
        <w:div w:id="849221182">
          <w:marLeft w:val="0"/>
          <w:marRight w:val="0"/>
          <w:marTop w:val="0"/>
          <w:marBottom w:val="0"/>
          <w:divBdr>
            <w:top w:val="none" w:sz="0" w:space="0" w:color="auto"/>
            <w:left w:val="none" w:sz="0" w:space="0" w:color="auto"/>
            <w:bottom w:val="none" w:sz="0" w:space="0" w:color="auto"/>
            <w:right w:val="none" w:sz="0" w:space="0" w:color="auto"/>
          </w:divBdr>
        </w:div>
        <w:div w:id="1771971572">
          <w:marLeft w:val="0"/>
          <w:marRight w:val="0"/>
          <w:marTop w:val="0"/>
          <w:marBottom w:val="0"/>
          <w:divBdr>
            <w:top w:val="none" w:sz="0" w:space="0" w:color="auto"/>
            <w:left w:val="none" w:sz="0" w:space="0" w:color="auto"/>
            <w:bottom w:val="none" w:sz="0" w:space="0" w:color="auto"/>
            <w:right w:val="none" w:sz="0" w:space="0" w:color="auto"/>
          </w:divBdr>
        </w:div>
        <w:div w:id="1363550380">
          <w:marLeft w:val="0"/>
          <w:marRight w:val="0"/>
          <w:marTop w:val="0"/>
          <w:marBottom w:val="0"/>
          <w:divBdr>
            <w:top w:val="none" w:sz="0" w:space="0" w:color="auto"/>
            <w:left w:val="none" w:sz="0" w:space="0" w:color="auto"/>
            <w:bottom w:val="none" w:sz="0" w:space="0" w:color="auto"/>
            <w:right w:val="none" w:sz="0" w:space="0" w:color="auto"/>
          </w:divBdr>
        </w:div>
        <w:div w:id="2078354319">
          <w:marLeft w:val="0"/>
          <w:marRight w:val="0"/>
          <w:marTop w:val="0"/>
          <w:marBottom w:val="0"/>
          <w:divBdr>
            <w:top w:val="none" w:sz="0" w:space="0" w:color="auto"/>
            <w:left w:val="none" w:sz="0" w:space="0" w:color="auto"/>
            <w:bottom w:val="none" w:sz="0" w:space="0" w:color="auto"/>
            <w:right w:val="none" w:sz="0" w:space="0" w:color="auto"/>
          </w:divBdr>
        </w:div>
        <w:div w:id="654845831">
          <w:marLeft w:val="0"/>
          <w:marRight w:val="0"/>
          <w:marTop w:val="0"/>
          <w:marBottom w:val="0"/>
          <w:divBdr>
            <w:top w:val="none" w:sz="0" w:space="0" w:color="auto"/>
            <w:left w:val="none" w:sz="0" w:space="0" w:color="auto"/>
            <w:bottom w:val="none" w:sz="0" w:space="0" w:color="auto"/>
            <w:right w:val="none" w:sz="0" w:space="0" w:color="auto"/>
          </w:divBdr>
        </w:div>
        <w:div w:id="59865250">
          <w:marLeft w:val="0"/>
          <w:marRight w:val="0"/>
          <w:marTop w:val="0"/>
          <w:marBottom w:val="0"/>
          <w:divBdr>
            <w:top w:val="none" w:sz="0" w:space="0" w:color="auto"/>
            <w:left w:val="none" w:sz="0" w:space="0" w:color="auto"/>
            <w:bottom w:val="none" w:sz="0" w:space="0" w:color="auto"/>
            <w:right w:val="none" w:sz="0" w:space="0" w:color="auto"/>
          </w:divBdr>
        </w:div>
        <w:div w:id="394621108">
          <w:marLeft w:val="0"/>
          <w:marRight w:val="0"/>
          <w:marTop w:val="0"/>
          <w:marBottom w:val="0"/>
          <w:divBdr>
            <w:top w:val="none" w:sz="0" w:space="0" w:color="auto"/>
            <w:left w:val="none" w:sz="0" w:space="0" w:color="auto"/>
            <w:bottom w:val="none" w:sz="0" w:space="0" w:color="auto"/>
            <w:right w:val="none" w:sz="0" w:space="0" w:color="auto"/>
          </w:divBdr>
        </w:div>
        <w:div w:id="1509639392">
          <w:marLeft w:val="0"/>
          <w:marRight w:val="0"/>
          <w:marTop w:val="0"/>
          <w:marBottom w:val="0"/>
          <w:divBdr>
            <w:top w:val="none" w:sz="0" w:space="0" w:color="auto"/>
            <w:left w:val="none" w:sz="0" w:space="0" w:color="auto"/>
            <w:bottom w:val="none" w:sz="0" w:space="0" w:color="auto"/>
            <w:right w:val="none" w:sz="0" w:space="0" w:color="auto"/>
          </w:divBdr>
        </w:div>
        <w:div w:id="1680083103">
          <w:marLeft w:val="0"/>
          <w:marRight w:val="0"/>
          <w:marTop w:val="0"/>
          <w:marBottom w:val="0"/>
          <w:divBdr>
            <w:top w:val="none" w:sz="0" w:space="0" w:color="auto"/>
            <w:left w:val="none" w:sz="0" w:space="0" w:color="auto"/>
            <w:bottom w:val="none" w:sz="0" w:space="0" w:color="auto"/>
            <w:right w:val="none" w:sz="0" w:space="0" w:color="auto"/>
          </w:divBdr>
        </w:div>
        <w:div w:id="1105467335">
          <w:marLeft w:val="0"/>
          <w:marRight w:val="0"/>
          <w:marTop w:val="0"/>
          <w:marBottom w:val="0"/>
          <w:divBdr>
            <w:top w:val="none" w:sz="0" w:space="0" w:color="auto"/>
            <w:left w:val="none" w:sz="0" w:space="0" w:color="auto"/>
            <w:bottom w:val="none" w:sz="0" w:space="0" w:color="auto"/>
            <w:right w:val="none" w:sz="0" w:space="0" w:color="auto"/>
          </w:divBdr>
        </w:div>
        <w:div w:id="1238704924">
          <w:marLeft w:val="0"/>
          <w:marRight w:val="0"/>
          <w:marTop w:val="0"/>
          <w:marBottom w:val="0"/>
          <w:divBdr>
            <w:top w:val="none" w:sz="0" w:space="0" w:color="auto"/>
            <w:left w:val="none" w:sz="0" w:space="0" w:color="auto"/>
            <w:bottom w:val="none" w:sz="0" w:space="0" w:color="auto"/>
            <w:right w:val="none" w:sz="0" w:space="0" w:color="auto"/>
          </w:divBdr>
        </w:div>
        <w:div w:id="114761310">
          <w:marLeft w:val="0"/>
          <w:marRight w:val="0"/>
          <w:marTop w:val="0"/>
          <w:marBottom w:val="0"/>
          <w:divBdr>
            <w:top w:val="none" w:sz="0" w:space="0" w:color="auto"/>
            <w:left w:val="none" w:sz="0" w:space="0" w:color="auto"/>
            <w:bottom w:val="none" w:sz="0" w:space="0" w:color="auto"/>
            <w:right w:val="none" w:sz="0" w:space="0" w:color="auto"/>
          </w:divBdr>
        </w:div>
        <w:div w:id="232669333">
          <w:marLeft w:val="0"/>
          <w:marRight w:val="0"/>
          <w:marTop w:val="0"/>
          <w:marBottom w:val="0"/>
          <w:divBdr>
            <w:top w:val="none" w:sz="0" w:space="0" w:color="auto"/>
            <w:left w:val="none" w:sz="0" w:space="0" w:color="auto"/>
            <w:bottom w:val="none" w:sz="0" w:space="0" w:color="auto"/>
            <w:right w:val="none" w:sz="0" w:space="0" w:color="auto"/>
          </w:divBdr>
        </w:div>
      </w:divsChild>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589193783">
      <w:bodyDiv w:val="1"/>
      <w:marLeft w:val="0"/>
      <w:marRight w:val="0"/>
      <w:marTop w:val="0"/>
      <w:marBottom w:val="0"/>
      <w:divBdr>
        <w:top w:val="none" w:sz="0" w:space="0" w:color="auto"/>
        <w:left w:val="none" w:sz="0" w:space="0" w:color="auto"/>
        <w:bottom w:val="none" w:sz="0" w:space="0" w:color="auto"/>
        <w:right w:val="none" w:sz="0" w:space="0" w:color="auto"/>
      </w:divBdr>
      <w:divsChild>
        <w:div w:id="1914855363">
          <w:marLeft w:val="0"/>
          <w:marRight w:val="0"/>
          <w:marTop w:val="0"/>
          <w:marBottom w:val="0"/>
          <w:divBdr>
            <w:top w:val="none" w:sz="0" w:space="0" w:color="auto"/>
            <w:left w:val="none" w:sz="0" w:space="0" w:color="auto"/>
            <w:bottom w:val="none" w:sz="0" w:space="0" w:color="auto"/>
            <w:right w:val="none" w:sz="0" w:space="0" w:color="auto"/>
          </w:divBdr>
          <w:divsChild>
            <w:div w:id="1555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570">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31324107">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6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9734/ijpss/2024/v36i64651" TargetMode="External"/><Relationship Id="rId26" Type="http://schemas.openxmlformats.org/officeDocument/2006/relationships/hyperlink" Target="https://doi.org/10.1007/978-3-319-06016-3" TargetMode="External"/><Relationship Id="rId39" Type="http://schemas.openxmlformats.org/officeDocument/2006/relationships/hyperlink" Target="https://doi.org/10.9734/ijecc/2024/v14i54206" TargetMode="External"/><Relationship Id="rId21" Type="http://schemas.openxmlformats.org/officeDocument/2006/relationships/hyperlink" Target="https://doi.org/10.1016/j.cpb.2024.100420" TargetMode="External"/><Relationship Id="rId34" Type="http://schemas.openxmlformats.org/officeDocument/2006/relationships/hyperlink" Target="https://doi.org/10.5772/intechopen.109854" TargetMode="External"/><Relationship Id="rId42" Type="http://schemas.openxmlformats.org/officeDocument/2006/relationships/hyperlink" Target="https://doi.org/10.5565/rev/da.65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56578/cis120302" TargetMode="External"/><Relationship Id="rId11" Type="http://schemas.openxmlformats.org/officeDocument/2006/relationships/image" Target="media/image5.jpeg"/><Relationship Id="rId24" Type="http://schemas.openxmlformats.org/officeDocument/2006/relationships/hyperlink" Target="https://doi.org/10.1016/j.cosust.2023.101275" TargetMode="External"/><Relationship Id="rId32" Type="http://schemas.openxmlformats.org/officeDocument/2006/relationships/hyperlink" Target="https://doi.org/10.1002/agj2.21405" TargetMode="External"/><Relationship Id="rId37" Type="http://schemas.openxmlformats.org/officeDocument/2006/relationships/hyperlink" Target="https://doi.org/10.1007/s43621-024-00447-4" TargetMode="External"/><Relationship Id="rId40" Type="http://schemas.openxmlformats.org/officeDocument/2006/relationships/hyperlink" Target="https://doi.org/10.3390/su16229766"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155/2024/2126734" TargetMode="External"/><Relationship Id="rId28" Type="http://schemas.openxmlformats.org/officeDocument/2006/relationships/hyperlink" Target="https://doi.org/10.3390/agriculture14030473" TargetMode="External"/><Relationship Id="rId36" Type="http://schemas.openxmlformats.org/officeDocument/2006/relationships/hyperlink" Target="https://doi.org/10.9734/jsrr/2024/v30i31871"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186/s12870-023-04626-9" TargetMode="External"/><Relationship Id="rId31" Type="http://schemas.openxmlformats.org/officeDocument/2006/relationships/hyperlink" Target="https://doi.org/10.9734/jeai/2024/v46i22308" TargetMode="External"/><Relationship Id="rId44" Type="http://schemas.openxmlformats.org/officeDocument/2006/relationships/hyperlink" Target="https://doi.org/10.1007/s11027-024-10124-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9734/ijpss/2023/v35i193528" TargetMode="External"/><Relationship Id="rId27" Type="http://schemas.openxmlformats.org/officeDocument/2006/relationships/hyperlink" Target="https://doi.org/10.1007/978-94-007-5961-9" TargetMode="External"/><Relationship Id="rId30" Type="http://schemas.openxmlformats.org/officeDocument/2006/relationships/hyperlink" Target="https://doi.org/10.9734/ajsspn/2024/v10i3330" TargetMode="External"/><Relationship Id="rId35" Type="http://schemas.openxmlformats.org/officeDocument/2006/relationships/hyperlink" Target="https://doi.org/10.1038/s41893-020-00617-y" TargetMode="External"/><Relationship Id="rId43" Type="http://schemas.openxmlformats.org/officeDocument/2006/relationships/hyperlink" Target="https://doi.org/10.1016/j.ecoenv.2025.117703"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22214/ijraset.2023.56237" TargetMode="External"/><Relationship Id="rId25" Type="http://schemas.openxmlformats.org/officeDocument/2006/relationships/hyperlink" Target="https://doi.org/10.53964/id.2024028" TargetMode="External"/><Relationship Id="rId33" Type="http://schemas.openxmlformats.org/officeDocument/2006/relationships/hyperlink" Target="https://doi.org/10.2305/iucn.ch.2020.07.en" TargetMode="External"/><Relationship Id="rId38" Type="http://schemas.openxmlformats.org/officeDocument/2006/relationships/hyperlink" Target="https://doi.org/10.24925/turjaf.v12i12.2631-2639.6622" TargetMode="External"/><Relationship Id="rId46" Type="http://schemas.openxmlformats.org/officeDocument/2006/relationships/header" Target="header2.xml"/><Relationship Id="rId20" Type="http://schemas.openxmlformats.org/officeDocument/2006/relationships/hyperlink" Target="https://doi.org/10.1146/annurev-resource-102422-090105" TargetMode="External"/><Relationship Id="rId41" Type="http://schemas.openxmlformats.org/officeDocument/2006/relationships/hyperlink" Target="https://doi.org/10.3390/molecules2616483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19</Pages>
  <Words>5337</Words>
  <Characters>30423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47</cp:revision>
  <dcterms:created xsi:type="dcterms:W3CDTF">2025-03-30T16:47:00Z</dcterms:created>
  <dcterms:modified xsi:type="dcterms:W3CDTF">2025-11-24T08:15:00Z</dcterms:modified>
</cp:coreProperties>
</file>