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9383C" w14:textId="7AC8395B" w:rsidR="0009619C" w:rsidRPr="0009619C" w:rsidRDefault="0009619C" w:rsidP="0009619C">
      <w:pPr>
        <w:spacing w:before="96" w:line="254" w:lineRule="auto"/>
        <w:ind w:left="180"/>
        <w:rPr>
          <w:b/>
          <w:sz w:val="24"/>
          <w:szCs w:val="24"/>
          <w:u w:val="single"/>
        </w:rPr>
      </w:pPr>
      <w:r w:rsidRPr="0009619C">
        <w:rPr>
          <w:b/>
          <w:sz w:val="24"/>
          <w:szCs w:val="24"/>
          <w:u w:val="single"/>
        </w:rPr>
        <w:t>Original Research Article</w:t>
      </w:r>
    </w:p>
    <w:p w14:paraId="2B67796D" w14:textId="32C2746D" w:rsidR="0025559A" w:rsidRDefault="003A3BF9" w:rsidP="00DE201B">
      <w:pPr>
        <w:spacing w:before="96" w:line="254" w:lineRule="auto"/>
        <w:ind w:left="180"/>
        <w:jc w:val="center"/>
        <w:rPr>
          <w:b/>
          <w:sz w:val="24"/>
          <w:szCs w:val="24"/>
        </w:rPr>
      </w:pPr>
      <w:r>
        <w:rPr>
          <w:b/>
          <w:sz w:val="24"/>
          <w:szCs w:val="24"/>
        </w:rPr>
        <w:t>TREND AND VARIATION IN THE SUPPLY</w:t>
      </w:r>
      <w:r w:rsidR="0025559A" w:rsidRPr="008F1604">
        <w:rPr>
          <w:b/>
          <w:sz w:val="24"/>
          <w:szCs w:val="24"/>
        </w:rPr>
        <w:t xml:space="preserve"> OF THE CONS</w:t>
      </w:r>
      <w:r w:rsidR="001F2595">
        <w:rPr>
          <w:b/>
          <w:sz w:val="24"/>
          <w:szCs w:val="24"/>
        </w:rPr>
        <w:t>TRUCTION WORKERS</w:t>
      </w:r>
      <w:r w:rsidR="00925585">
        <w:rPr>
          <w:b/>
          <w:sz w:val="24"/>
          <w:szCs w:val="24"/>
        </w:rPr>
        <w:t xml:space="preserve"> </w:t>
      </w:r>
      <w:r w:rsidR="001F2595">
        <w:rPr>
          <w:b/>
          <w:sz w:val="24"/>
          <w:szCs w:val="24"/>
        </w:rPr>
        <w:t>IN THE</w:t>
      </w:r>
      <w:r w:rsidR="0025559A" w:rsidRPr="008F1604">
        <w:rPr>
          <w:b/>
          <w:sz w:val="24"/>
          <w:szCs w:val="24"/>
        </w:rPr>
        <w:t xml:space="preserve"> URBAN HOUSING SECTOR OF ASSAM</w:t>
      </w:r>
    </w:p>
    <w:p w14:paraId="2F2A4717" w14:textId="77777777" w:rsidR="00FF3C07" w:rsidRDefault="00FF3C07" w:rsidP="00DE201B">
      <w:pPr>
        <w:spacing w:before="96" w:line="254" w:lineRule="auto"/>
        <w:ind w:left="180"/>
        <w:jc w:val="center"/>
        <w:rPr>
          <w:b/>
          <w:sz w:val="24"/>
          <w:szCs w:val="24"/>
        </w:rPr>
      </w:pPr>
    </w:p>
    <w:p w14:paraId="391E3348" w14:textId="77777777" w:rsidR="006658ED" w:rsidRPr="00B43981" w:rsidRDefault="006658ED" w:rsidP="006658ED">
      <w:pPr>
        <w:ind w:left="180"/>
        <w:jc w:val="right"/>
        <w:rPr>
          <w:color w:val="000000"/>
          <w:sz w:val="24"/>
          <w:szCs w:val="24"/>
        </w:rPr>
      </w:pPr>
    </w:p>
    <w:p w14:paraId="38037C3C" w14:textId="77777777" w:rsidR="0025559A" w:rsidRPr="00B43981" w:rsidRDefault="0025559A" w:rsidP="00B43981">
      <w:pPr>
        <w:pBdr>
          <w:top w:val="nil"/>
          <w:left w:val="nil"/>
          <w:bottom w:val="nil"/>
          <w:right w:val="nil"/>
          <w:between w:val="nil"/>
        </w:pBdr>
        <w:ind w:left="180"/>
        <w:rPr>
          <w:color w:val="000000"/>
          <w:sz w:val="24"/>
          <w:szCs w:val="24"/>
        </w:rPr>
      </w:pPr>
    </w:p>
    <w:p w14:paraId="78C1E189" w14:textId="77777777" w:rsidR="0025559A" w:rsidRPr="008F1604" w:rsidRDefault="0025559A" w:rsidP="00DE201B">
      <w:pPr>
        <w:pStyle w:val="Heading2"/>
        <w:ind w:left="180" w:right="0"/>
        <w:rPr>
          <w:sz w:val="24"/>
          <w:szCs w:val="24"/>
        </w:rPr>
      </w:pPr>
      <w:r w:rsidRPr="008F1604">
        <w:rPr>
          <w:sz w:val="24"/>
          <w:szCs w:val="24"/>
        </w:rPr>
        <w:t>Abstract</w:t>
      </w:r>
    </w:p>
    <w:p w14:paraId="40F63982" w14:textId="77777777" w:rsidR="0025559A" w:rsidRPr="008F1604" w:rsidRDefault="0025559A" w:rsidP="00DE201B">
      <w:pPr>
        <w:pBdr>
          <w:top w:val="nil"/>
          <w:left w:val="nil"/>
          <w:bottom w:val="nil"/>
          <w:right w:val="nil"/>
          <w:between w:val="nil"/>
        </w:pBdr>
        <w:spacing w:before="33" w:line="273" w:lineRule="auto"/>
        <w:ind w:left="180"/>
        <w:jc w:val="both"/>
        <w:rPr>
          <w:color w:val="000000"/>
          <w:sz w:val="24"/>
          <w:szCs w:val="24"/>
        </w:rPr>
      </w:pPr>
      <w:r w:rsidRPr="008F1604">
        <w:rPr>
          <w:b/>
          <w:color w:val="000000"/>
          <w:sz w:val="24"/>
          <w:szCs w:val="24"/>
        </w:rPr>
        <w:t>Purpose of the study</w:t>
      </w:r>
      <w:r w:rsidRPr="008F1604">
        <w:rPr>
          <w:color w:val="000000"/>
          <w:sz w:val="24"/>
          <w:szCs w:val="24"/>
        </w:rPr>
        <w:t>: The study aims at examining the supply trend and variation in the supply of the construction workers in the urban housing sector of Assam, and providing suggestions for policy measures in line of the findings of the study.</w:t>
      </w:r>
    </w:p>
    <w:p w14:paraId="41090A11" w14:textId="77777777" w:rsidR="0025559A" w:rsidRPr="008F1604" w:rsidRDefault="0025559A" w:rsidP="00DE201B">
      <w:pPr>
        <w:pBdr>
          <w:top w:val="nil"/>
          <w:left w:val="nil"/>
          <w:bottom w:val="nil"/>
          <w:right w:val="nil"/>
          <w:between w:val="nil"/>
        </w:pBdr>
        <w:spacing w:before="102" w:line="273" w:lineRule="auto"/>
        <w:ind w:left="180"/>
        <w:jc w:val="both"/>
        <w:rPr>
          <w:color w:val="000000"/>
          <w:sz w:val="24"/>
          <w:szCs w:val="24"/>
        </w:rPr>
      </w:pPr>
      <w:r w:rsidRPr="008F1604">
        <w:rPr>
          <w:b/>
          <w:color w:val="000000"/>
          <w:sz w:val="24"/>
          <w:szCs w:val="24"/>
        </w:rPr>
        <w:t xml:space="preserve">Methodology: </w:t>
      </w:r>
      <w:r w:rsidRPr="008F1604">
        <w:rPr>
          <w:color w:val="000000"/>
          <w:sz w:val="24"/>
          <w:szCs w:val="24"/>
        </w:rPr>
        <w:t xml:space="preserve">The present study has been conducted in 90 construction sites selected purposively in 10 sample towns of different categories in the Brahmaputra valley of the state. In total 450 workers have been randomly selected taking at least 5 workers from each sample site, and 30 contractors/ builders of </w:t>
      </w:r>
      <w:proofErr w:type="gramStart"/>
      <w:r w:rsidRPr="008F1604">
        <w:rPr>
          <w:color w:val="000000"/>
          <w:sz w:val="24"/>
          <w:szCs w:val="24"/>
        </w:rPr>
        <w:t>first class</w:t>
      </w:r>
      <w:proofErr w:type="gramEnd"/>
      <w:r w:rsidRPr="008F1604">
        <w:rPr>
          <w:color w:val="000000"/>
          <w:sz w:val="24"/>
          <w:szCs w:val="24"/>
        </w:rPr>
        <w:t xml:space="preserve"> category taking one from each 3 (three) construction sites.</w:t>
      </w:r>
    </w:p>
    <w:p w14:paraId="12D3FFDA" w14:textId="77777777" w:rsidR="0025559A" w:rsidRPr="008F1604" w:rsidRDefault="0025559A" w:rsidP="00DE201B">
      <w:pPr>
        <w:pBdr>
          <w:top w:val="nil"/>
          <w:left w:val="nil"/>
          <w:bottom w:val="nil"/>
          <w:right w:val="nil"/>
          <w:between w:val="nil"/>
        </w:pBdr>
        <w:spacing w:before="103" w:line="273" w:lineRule="auto"/>
        <w:ind w:left="180"/>
        <w:jc w:val="both"/>
        <w:rPr>
          <w:color w:val="000000"/>
          <w:sz w:val="24"/>
          <w:szCs w:val="24"/>
        </w:rPr>
      </w:pPr>
      <w:r w:rsidRPr="008F1604">
        <w:rPr>
          <w:b/>
          <w:color w:val="000000"/>
          <w:sz w:val="24"/>
          <w:szCs w:val="24"/>
        </w:rPr>
        <w:t xml:space="preserve">Main findings: </w:t>
      </w:r>
      <w:r w:rsidRPr="008F1604">
        <w:rPr>
          <w:color w:val="000000"/>
          <w:sz w:val="24"/>
          <w:szCs w:val="24"/>
        </w:rPr>
        <w:t>Supplies of building construction workers (BCWs) in sample areas as well as construction workers (CWs) in the state are growing faster than the total labor supply. However, employment opportunities for BCWs have not increased satisfactorily, with many BCWs remaining unemployed during the slack season.</w:t>
      </w:r>
    </w:p>
    <w:p w14:paraId="6A0B0138" w14:textId="77777777" w:rsidR="0025559A" w:rsidRPr="008F1604" w:rsidRDefault="0025559A" w:rsidP="00DE201B">
      <w:pPr>
        <w:pBdr>
          <w:top w:val="nil"/>
          <w:left w:val="nil"/>
          <w:bottom w:val="nil"/>
          <w:right w:val="nil"/>
          <w:between w:val="nil"/>
        </w:pBdr>
        <w:spacing w:before="103" w:line="273" w:lineRule="auto"/>
        <w:ind w:left="180"/>
        <w:jc w:val="both"/>
        <w:rPr>
          <w:color w:val="000000"/>
          <w:sz w:val="24"/>
          <w:szCs w:val="24"/>
        </w:rPr>
      </w:pPr>
      <w:r w:rsidRPr="008F1604">
        <w:rPr>
          <w:b/>
          <w:color w:val="000000"/>
          <w:sz w:val="24"/>
          <w:szCs w:val="24"/>
        </w:rPr>
        <w:t>Applications of this study/Social Implication:</w:t>
      </w:r>
      <w:r w:rsidRPr="008F1604">
        <w:rPr>
          <w:color w:val="000000"/>
          <w:sz w:val="24"/>
          <w:szCs w:val="24"/>
        </w:rPr>
        <w:t xml:space="preserve"> To tackle the problem of over-supply of BCWs in the state coupled with limited demand for them, the study calls for government action to implement appropriate policy measures to keep family size in check and to rationalize the use of machines in this sector.</w:t>
      </w:r>
    </w:p>
    <w:p w14:paraId="433AB5EF" w14:textId="77777777" w:rsidR="0025559A" w:rsidRPr="008F1604" w:rsidRDefault="0025559A" w:rsidP="00DE201B">
      <w:pPr>
        <w:pBdr>
          <w:top w:val="nil"/>
          <w:left w:val="nil"/>
          <w:bottom w:val="nil"/>
          <w:right w:val="nil"/>
          <w:between w:val="nil"/>
        </w:pBdr>
        <w:spacing w:before="102" w:line="273" w:lineRule="auto"/>
        <w:ind w:left="180"/>
        <w:jc w:val="both"/>
        <w:rPr>
          <w:color w:val="000000"/>
          <w:sz w:val="24"/>
          <w:szCs w:val="24"/>
        </w:rPr>
      </w:pPr>
      <w:r w:rsidRPr="008F1604">
        <w:rPr>
          <w:b/>
          <w:color w:val="000000"/>
          <w:sz w:val="24"/>
          <w:szCs w:val="24"/>
        </w:rPr>
        <w:t xml:space="preserve">Originality/Novelty of the study: </w:t>
      </w:r>
      <w:r w:rsidRPr="008F1604">
        <w:rPr>
          <w:color w:val="000000"/>
          <w:sz w:val="24"/>
          <w:szCs w:val="24"/>
        </w:rPr>
        <w:t xml:space="preserve">The earlier studies have avoided the inquiry into the supply aspect of BCWs. </w:t>
      </w:r>
      <w:r w:rsidR="00E7528E" w:rsidRPr="008F1604">
        <w:rPr>
          <w:color w:val="000000"/>
          <w:sz w:val="24"/>
          <w:szCs w:val="24"/>
        </w:rPr>
        <w:t>Secondly;</w:t>
      </w:r>
      <w:r w:rsidRPr="008F1604">
        <w:rPr>
          <w:color w:val="000000"/>
          <w:sz w:val="24"/>
          <w:szCs w:val="24"/>
        </w:rPr>
        <w:t xml:space="preserve"> this aspect of the construction workers in housing sector has not so far been studied in the state.</w:t>
      </w:r>
    </w:p>
    <w:p w14:paraId="3E625D94" w14:textId="77777777" w:rsidR="00935971" w:rsidRPr="008F1604" w:rsidRDefault="0025559A" w:rsidP="00DE201B">
      <w:pPr>
        <w:spacing w:before="181" w:line="276" w:lineRule="auto"/>
        <w:ind w:left="180"/>
        <w:jc w:val="both"/>
        <w:rPr>
          <w:i/>
          <w:sz w:val="24"/>
          <w:szCs w:val="24"/>
        </w:rPr>
      </w:pPr>
      <w:r w:rsidRPr="008F1604">
        <w:rPr>
          <w:b/>
          <w:i/>
          <w:sz w:val="24"/>
          <w:szCs w:val="24"/>
        </w:rPr>
        <w:t xml:space="preserve">Keywords: </w:t>
      </w:r>
      <w:r w:rsidRPr="008F1604">
        <w:rPr>
          <w:i/>
          <w:sz w:val="24"/>
          <w:szCs w:val="24"/>
        </w:rPr>
        <w:t>Urban areas, Construction workers (CWs), Building Construction Workers (BCWs</w:t>
      </w:r>
      <w:r w:rsidR="00E7528E">
        <w:rPr>
          <w:i/>
          <w:sz w:val="24"/>
          <w:szCs w:val="24"/>
        </w:rPr>
        <w:t>), Supply Trend,</w:t>
      </w:r>
      <w:r w:rsidRPr="008F1604">
        <w:rPr>
          <w:i/>
          <w:sz w:val="24"/>
          <w:szCs w:val="24"/>
        </w:rPr>
        <w:t xml:space="preserve"> Ur</w:t>
      </w:r>
      <w:r w:rsidR="00E7528E">
        <w:rPr>
          <w:i/>
          <w:sz w:val="24"/>
          <w:szCs w:val="24"/>
        </w:rPr>
        <w:t xml:space="preserve">ban Housing </w:t>
      </w:r>
      <w:proofErr w:type="gramStart"/>
      <w:r w:rsidR="00E7528E">
        <w:rPr>
          <w:i/>
          <w:sz w:val="24"/>
          <w:szCs w:val="24"/>
        </w:rPr>
        <w:t>Sector,</w:t>
      </w:r>
      <w:r w:rsidRPr="008F1604">
        <w:rPr>
          <w:i/>
          <w:sz w:val="24"/>
          <w:szCs w:val="24"/>
        </w:rPr>
        <w:t>,</w:t>
      </w:r>
      <w:proofErr w:type="gramEnd"/>
      <w:r w:rsidRPr="008F1604">
        <w:rPr>
          <w:i/>
          <w:sz w:val="24"/>
          <w:szCs w:val="24"/>
        </w:rPr>
        <w:t xml:space="preserve"> Employment Opportunities, Seasonal Variation</w:t>
      </w:r>
      <w:r w:rsidR="00E7528E">
        <w:rPr>
          <w:i/>
          <w:sz w:val="24"/>
          <w:szCs w:val="24"/>
        </w:rPr>
        <w:t>.</w:t>
      </w:r>
    </w:p>
    <w:p w14:paraId="5EACC2BE" w14:textId="77777777" w:rsidR="00935971" w:rsidRPr="002667F1" w:rsidRDefault="00935971" w:rsidP="00DE201B">
      <w:pPr>
        <w:spacing w:before="181" w:line="273" w:lineRule="auto"/>
        <w:ind w:left="180"/>
        <w:jc w:val="both"/>
        <w:rPr>
          <w:b/>
          <w:sz w:val="24"/>
          <w:szCs w:val="24"/>
        </w:rPr>
      </w:pPr>
      <w:r w:rsidRPr="002667F1">
        <w:rPr>
          <w:b/>
          <w:sz w:val="24"/>
          <w:szCs w:val="24"/>
        </w:rPr>
        <w:t>INRODUCTION</w:t>
      </w:r>
      <w:r w:rsidR="002667F1">
        <w:rPr>
          <w:b/>
          <w:sz w:val="24"/>
          <w:szCs w:val="24"/>
        </w:rPr>
        <w:t>:</w:t>
      </w:r>
    </w:p>
    <w:p w14:paraId="24B7D3E8" w14:textId="77777777" w:rsidR="008B7EBB" w:rsidRPr="008F1604" w:rsidRDefault="00076795" w:rsidP="00DE201B">
      <w:pPr>
        <w:pBdr>
          <w:top w:val="nil"/>
          <w:left w:val="nil"/>
          <w:bottom w:val="nil"/>
          <w:right w:val="nil"/>
          <w:between w:val="nil"/>
        </w:pBdr>
        <w:spacing w:before="151" w:line="276" w:lineRule="auto"/>
        <w:ind w:left="180"/>
        <w:jc w:val="both"/>
        <w:rPr>
          <w:color w:val="000000"/>
          <w:sz w:val="24"/>
          <w:szCs w:val="24"/>
        </w:rPr>
      </w:pPr>
      <w:r>
        <w:rPr>
          <w:color w:val="000000"/>
          <w:sz w:val="24"/>
          <w:szCs w:val="24"/>
        </w:rPr>
        <w:t xml:space="preserve">               </w:t>
      </w:r>
      <w:r w:rsidR="00935971" w:rsidRPr="008F1604">
        <w:rPr>
          <w:color w:val="000000"/>
          <w:sz w:val="24"/>
          <w:szCs w:val="24"/>
        </w:rPr>
        <w:t>The urban areas</w:t>
      </w:r>
      <w:r w:rsidR="00935971" w:rsidRPr="008F1604">
        <w:rPr>
          <w:rStyle w:val="FootnoteReference"/>
          <w:color w:val="000000"/>
          <w:sz w:val="24"/>
          <w:szCs w:val="24"/>
        </w:rPr>
        <w:footnoteReference w:id="1"/>
      </w:r>
      <w:r w:rsidR="00935971" w:rsidRPr="008F1604">
        <w:rPr>
          <w:color w:val="000000"/>
          <w:sz w:val="24"/>
          <w:szCs w:val="24"/>
        </w:rPr>
        <w:t>of Assam, with the construction of a large number of towering buildings, have experienced a spectacular growth of housing colony. Urban areas of t</w:t>
      </w:r>
      <w:r>
        <w:rPr>
          <w:color w:val="000000"/>
          <w:sz w:val="24"/>
          <w:szCs w:val="24"/>
        </w:rPr>
        <w:t>he state are in need of more</w:t>
      </w:r>
      <w:r w:rsidR="00935971" w:rsidRPr="008F1604">
        <w:rPr>
          <w:color w:val="000000"/>
          <w:sz w:val="24"/>
          <w:szCs w:val="24"/>
        </w:rPr>
        <w:t xml:space="preserve"> buildings to accommodate fast growing population. Hence, the building construction sector has emerged as an important construction sector with a </w:t>
      </w:r>
      <w:proofErr w:type="gramStart"/>
      <w:r w:rsidR="00935971" w:rsidRPr="008F1604">
        <w:rPr>
          <w:color w:val="000000"/>
          <w:sz w:val="24"/>
          <w:szCs w:val="24"/>
        </w:rPr>
        <w:t>large scale</w:t>
      </w:r>
      <w:proofErr w:type="gramEnd"/>
      <w:r w:rsidR="00935971" w:rsidRPr="008F1604">
        <w:rPr>
          <w:color w:val="000000"/>
          <w:sz w:val="24"/>
          <w:szCs w:val="24"/>
        </w:rPr>
        <w:t xml:space="preserve"> </w:t>
      </w:r>
      <w:r w:rsidR="00935971" w:rsidRPr="008F1604">
        <w:rPr>
          <w:color w:val="000000"/>
          <w:sz w:val="24"/>
          <w:szCs w:val="24"/>
        </w:rPr>
        <w:lastRenderedPageBreak/>
        <w:t xml:space="preserve">employment of casual </w:t>
      </w:r>
      <w:proofErr w:type="spellStart"/>
      <w:r w:rsidR="00935971" w:rsidRPr="008F1604">
        <w:rPr>
          <w:color w:val="000000"/>
          <w:sz w:val="24"/>
          <w:szCs w:val="24"/>
        </w:rPr>
        <w:t>labourers</w:t>
      </w:r>
      <w:proofErr w:type="spellEnd"/>
      <w:r w:rsidR="00935971" w:rsidRPr="008F1604">
        <w:rPr>
          <w:color w:val="000000"/>
          <w:sz w:val="24"/>
          <w:szCs w:val="24"/>
        </w:rPr>
        <w:t>, termed as building construction workers (BCWs)</w:t>
      </w:r>
      <w:r w:rsidR="00935971" w:rsidRPr="008F1604">
        <w:rPr>
          <w:rStyle w:val="FootnoteReference"/>
          <w:color w:val="000000"/>
          <w:sz w:val="24"/>
          <w:szCs w:val="24"/>
        </w:rPr>
        <w:footnoteReference w:id="2"/>
      </w:r>
      <w:r w:rsidR="00935971" w:rsidRPr="008F1604">
        <w:rPr>
          <w:color w:val="000000"/>
          <w:sz w:val="24"/>
          <w:szCs w:val="24"/>
        </w:rPr>
        <w:t>.</w:t>
      </w:r>
      <w:r w:rsidRPr="004B2FDB">
        <w:rPr>
          <w:color w:val="000000" w:themeColor="text1"/>
          <w:sz w:val="24"/>
          <w:szCs w:val="24"/>
        </w:rPr>
        <w:t xml:space="preserve"> Construction industry, including the housing construction sector is generating more employment opportunity for a given capital inflow. The Construction industry could generate on an average 17 jobs for per million Dollar invested in different construction sectors </w:t>
      </w:r>
      <w:sdt>
        <w:sdtPr>
          <w:rPr>
            <w:color w:val="000000" w:themeColor="text1"/>
            <w:sz w:val="24"/>
            <w:szCs w:val="24"/>
          </w:rPr>
          <w:id w:val="187864751"/>
          <w:citation/>
        </w:sdtPr>
        <w:sdtEndPr/>
        <w:sdtContent>
          <w:r w:rsidR="00CC730B" w:rsidRPr="004B2FDB">
            <w:rPr>
              <w:color w:val="000000" w:themeColor="text1"/>
              <w:sz w:val="24"/>
              <w:szCs w:val="24"/>
            </w:rPr>
            <w:fldChar w:fldCharType="begin"/>
          </w:r>
          <w:r w:rsidRPr="004B2FDB">
            <w:rPr>
              <w:color w:val="000000" w:themeColor="text1"/>
              <w:sz w:val="24"/>
              <w:szCs w:val="24"/>
            </w:rPr>
            <w:instrText xml:space="preserve"> CITATION CID05 \l 1033  </w:instrText>
          </w:r>
          <w:r w:rsidR="00CC730B" w:rsidRPr="004B2FDB">
            <w:rPr>
              <w:color w:val="000000" w:themeColor="text1"/>
              <w:sz w:val="24"/>
              <w:szCs w:val="24"/>
            </w:rPr>
            <w:fldChar w:fldCharType="separate"/>
          </w:r>
          <w:r w:rsidRPr="004B2FDB">
            <w:rPr>
              <w:noProof/>
              <w:color w:val="000000" w:themeColor="text1"/>
              <w:sz w:val="24"/>
              <w:szCs w:val="24"/>
            </w:rPr>
            <w:t>(cidb, 2005, pp.1-32)</w:t>
          </w:r>
          <w:r w:rsidR="00CC730B" w:rsidRPr="004B2FDB">
            <w:rPr>
              <w:color w:val="000000" w:themeColor="text1"/>
              <w:sz w:val="24"/>
              <w:szCs w:val="24"/>
            </w:rPr>
            <w:fldChar w:fldCharType="end"/>
          </w:r>
        </w:sdtContent>
      </w:sdt>
      <w:r w:rsidRPr="004B2FDB">
        <w:rPr>
          <w:color w:val="000000" w:themeColor="text1"/>
          <w:sz w:val="24"/>
          <w:szCs w:val="24"/>
        </w:rPr>
        <w:t xml:space="preserve">. </w:t>
      </w:r>
      <w:r w:rsidR="00935971" w:rsidRPr="008F1604">
        <w:rPr>
          <w:color w:val="000000"/>
          <w:sz w:val="24"/>
          <w:szCs w:val="24"/>
        </w:rPr>
        <w:t>Construction sector has provided employment opportunity to 17.5 million workers of the country in 1999-2000, which has increased to 26.1 million in 2005- 06, to 44.2 million in 2009-10 and it has further increased to 46 million in 2010-11. The share of construction sector to the total employment in the country has gradually increased from 4.4% in 1999-2000 to 5.7% in 2005-06 and to 9.6% in 2009-10</w:t>
      </w:r>
      <w:r w:rsidR="00935971" w:rsidRPr="008F1604">
        <w:rPr>
          <w:rStyle w:val="FootnoteReference"/>
          <w:color w:val="000000"/>
          <w:sz w:val="24"/>
          <w:szCs w:val="24"/>
        </w:rPr>
        <w:footnoteReference w:id="3"/>
      </w:r>
      <w:r w:rsidR="00935971" w:rsidRPr="008F1604">
        <w:rPr>
          <w:color w:val="000000"/>
          <w:sz w:val="24"/>
          <w:szCs w:val="24"/>
        </w:rPr>
        <w:t>. The share of this sector to the GDP of the country has also constantly increased from 6.5% in 1999-2000 to 7.7% in 2005-06 and to 7.9% in 7.9% in 2009-10</w:t>
      </w:r>
      <w:r w:rsidR="00935971" w:rsidRPr="008F1604">
        <w:rPr>
          <w:rStyle w:val="FootnoteReference"/>
          <w:color w:val="000000"/>
          <w:sz w:val="24"/>
          <w:szCs w:val="24"/>
        </w:rPr>
        <w:footnoteReference w:id="4"/>
      </w:r>
      <w:r w:rsidR="00935971" w:rsidRPr="008F1604">
        <w:rPr>
          <w:color w:val="000000"/>
          <w:sz w:val="24"/>
          <w:szCs w:val="24"/>
        </w:rPr>
        <w:t>. Again, this sector has contributed a sizeable amount of ₹</w:t>
      </w:r>
      <w:r w:rsidR="00935971" w:rsidRPr="008F1604">
        <w:rPr>
          <w:sz w:val="24"/>
          <w:szCs w:val="24"/>
        </w:rPr>
        <w:t>878,110 cores with 7.81% (at 2011-12 prices) to the GVA of the country in</w:t>
      </w:r>
      <w:r w:rsidR="008B7EBB" w:rsidRPr="008F1604">
        <w:rPr>
          <w:color w:val="000000"/>
          <w:sz w:val="24"/>
          <w:szCs w:val="24"/>
        </w:rPr>
        <w:t>2016-17, which has increased to 1,011,322 (7.90% of the GVA of the country) in 2018-19</w:t>
      </w:r>
      <w:r w:rsidR="008B7EBB" w:rsidRPr="008F1604">
        <w:rPr>
          <w:rStyle w:val="FootnoteReference"/>
          <w:color w:val="000000"/>
          <w:sz w:val="24"/>
          <w:szCs w:val="24"/>
        </w:rPr>
        <w:footnoteReference w:id="5"/>
      </w:r>
      <w:r w:rsidR="008B7EBB" w:rsidRPr="008F1604">
        <w:rPr>
          <w:color w:val="000000"/>
          <w:sz w:val="24"/>
          <w:szCs w:val="24"/>
        </w:rPr>
        <w:t>.</w:t>
      </w:r>
    </w:p>
    <w:p w14:paraId="3B493FCD" w14:textId="77777777" w:rsidR="008B7EBB" w:rsidRDefault="00076795" w:rsidP="00A35E38">
      <w:pPr>
        <w:pBdr>
          <w:top w:val="nil"/>
          <w:left w:val="nil"/>
          <w:bottom w:val="nil"/>
          <w:right w:val="nil"/>
          <w:between w:val="nil"/>
        </w:pBdr>
        <w:spacing w:before="105" w:line="276" w:lineRule="auto"/>
        <w:ind w:left="180"/>
        <w:jc w:val="both"/>
        <w:rPr>
          <w:color w:val="000000"/>
          <w:sz w:val="24"/>
          <w:szCs w:val="24"/>
        </w:rPr>
      </w:pPr>
      <w:r>
        <w:rPr>
          <w:color w:val="000000"/>
          <w:sz w:val="24"/>
          <w:szCs w:val="24"/>
        </w:rPr>
        <w:t xml:space="preserve">                 </w:t>
      </w:r>
      <w:r w:rsidR="008B7EBB" w:rsidRPr="008F1604">
        <w:rPr>
          <w:color w:val="000000"/>
          <w:sz w:val="24"/>
          <w:szCs w:val="24"/>
        </w:rPr>
        <w:t xml:space="preserve">In north-east India, surrounded by seven hilly states, Assam is sprawling in the </w:t>
      </w:r>
      <w:proofErr w:type="gramStart"/>
      <w:r w:rsidR="008B7EBB" w:rsidRPr="008F1604">
        <w:rPr>
          <w:color w:val="000000"/>
          <w:sz w:val="24"/>
          <w:szCs w:val="24"/>
        </w:rPr>
        <w:t>33 district</w:t>
      </w:r>
      <w:proofErr w:type="gramEnd"/>
      <w:r w:rsidR="008B7EBB" w:rsidRPr="008F1604">
        <w:rPr>
          <w:color w:val="000000"/>
          <w:sz w:val="24"/>
          <w:szCs w:val="24"/>
        </w:rPr>
        <w:t xml:space="preserve"> head-quarters under increasing population pressures. While the decadal growth of households in urban areas of the state is 38.81 per cent in 2011, the decadal growth of houses to accommodate the urban population is lagging behind at 37.12 </w:t>
      </w:r>
      <w:r w:rsidRPr="008F1604">
        <w:rPr>
          <w:color w:val="000000"/>
          <w:sz w:val="24"/>
          <w:szCs w:val="24"/>
        </w:rPr>
        <w:t>percent. Total</w:t>
      </w:r>
      <w:r w:rsidR="008B7EBB" w:rsidRPr="008F1604">
        <w:rPr>
          <w:color w:val="000000"/>
          <w:sz w:val="24"/>
          <w:szCs w:val="24"/>
        </w:rPr>
        <w:t xml:space="preserve"> urban households in Assam was 715185 in </w:t>
      </w:r>
      <w:proofErr w:type="gramStart"/>
      <w:r w:rsidR="008B7EBB" w:rsidRPr="008F1604">
        <w:rPr>
          <w:color w:val="000000"/>
          <w:sz w:val="24"/>
          <w:szCs w:val="24"/>
        </w:rPr>
        <w:t>2001,which</w:t>
      </w:r>
      <w:proofErr w:type="gramEnd"/>
      <w:r w:rsidR="008B7EBB" w:rsidRPr="008F1604">
        <w:rPr>
          <w:color w:val="000000"/>
          <w:sz w:val="24"/>
          <w:szCs w:val="24"/>
        </w:rPr>
        <w:t xml:space="preserve"> has increased to 992742 in 2011,while total </w:t>
      </w:r>
      <w:proofErr w:type="spellStart"/>
      <w:r w:rsidR="008B7EBB" w:rsidRPr="008F1604">
        <w:rPr>
          <w:color w:val="000000"/>
          <w:sz w:val="24"/>
          <w:szCs w:val="24"/>
        </w:rPr>
        <w:t>nos</w:t>
      </w:r>
      <w:proofErr w:type="spellEnd"/>
      <w:r w:rsidR="008B7EBB" w:rsidRPr="008F1604">
        <w:rPr>
          <w:color w:val="000000"/>
          <w:sz w:val="24"/>
          <w:szCs w:val="24"/>
        </w:rPr>
        <w:t xml:space="preserve"> of house in urban areas was 710847units in 2001 which has increased to 974704 units in 2011</w:t>
      </w:r>
      <w:r w:rsidR="008B7EBB" w:rsidRPr="008F1604">
        <w:rPr>
          <w:rStyle w:val="FootnoteReference"/>
          <w:color w:val="000000"/>
          <w:sz w:val="24"/>
          <w:szCs w:val="24"/>
        </w:rPr>
        <w:footnoteReference w:id="6"/>
      </w:r>
      <w:r w:rsidR="008B7EBB" w:rsidRPr="008F1604">
        <w:rPr>
          <w:color w:val="000000"/>
          <w:sz w:val="24"/>
          <w:szCs w:val="24"/>
        </w:rPr>
        <w:t xml:space="preserve">. Fortunately, to afford the increasing need of houses, the gross state domestic product (GSDP) of Assam at the current prices has increased </w:t>
      </w:r>
      <w:r w:rsidR="008B7EBB" w:rsidRPr="008F1604">
        <w:rPr>
          <w:sz w:val="24"/>
          <w:szCs w:val="24"/>
        </w:rPr>
        <w:t xml:space="preserve">from ₹104, 015 crore in 2010-11 to ₹125, 903 </w:t>
      </w:r>
      <w:proofErr w:type="gramStart"/>
      <w:r w:rsidR="008B7EBB" w:rsidRPr="008F1604">
        <w:rPr>
          <w:sz w:val="24"/>
          <w:szCs w:val="24"/>
        </w:rPr>
        <w:t>crore</w:t>
      </w:r>
      <w:proofErr w:type="gramEnd"/>
      <w:r w:rsidR="008B7EBB" w:rsidRPr="008F1604">
        <w:rPr>
          <w:sz w:val="24"/>
          <w:szCs w:val="24"/>
        </w:rPr>
        <w:t xml:space="preserve"> in 2011-12 recoding 21.04 per cent increase, and then to ₹138, 401 crore</w:t>
      </w:r>
      <w:r w:rsidR="0042555E">
        <w:rPr>
          <w:sz w:val="24"/>
          <w:szCs w:val="24"/>
        </w:rPr>
        <w:t xml:space="preserve"> </w:t>
      </w:r>
      <w:r w:rsidR="008B7EBB" w:rsidRPr="008F1604">
        <w:rPr>
          <w:color w:val="000000"/>
          <w:sz w:val="24"/>
          <w:szCs w:val="24"/>
        </w:rPr>
        <w:t>in 2012-13 with a 9.93 per cent increase</w:t>
      </w:r>
      <w:r w:rsidR="00970C17" w:rsidRPr="008F1604">
        <w:rPr>
          <w:rStyle w:val="FootnoteReference"/>
          <w:color w:val="000000"/>
          <w:sz w:val="24"/>
          <w:szCs w:val="24"/>
        </w:rPr>
        <w:footnoteReference w:id="7"/>
      </w:r>
      <w:r w:rsidR="008B7EBB" w:rsidRPr="008F1604">
        <w:rPr>
          <w:color w:val="000000"/>
          <w:sz w:val="24"/>
          <w:szCs w:val="24"/>
        </w:rPr>
        <w:t>. People in the higher strata of income have been demanding affordable houses in the urban areas having the securities and facilities of modern civilization, as in elsewhere.</w:t>
      </w:r>
    </w:p>
    <w:p w14:paraId="0421711F" w14:textId="77777777" w:rsidR="00AC4F92" w:rsidRPr="008F1604" w:rsidRDefault="0042555E" w:rsidP="00A35E38">
      <w:pPr>
        <w:spacing w:before="120" w:line="276" w:lineRule="auto"/>
        <w:ind w:left="180"/>
        <w:jc w:val="both"/>
        <w:rPr>
          <w:color w:val="000000"/>
          <w:sz w:val="24"/>
          <w:szCs w:val="24"/>
        </w:rPr>
      </w:pPr>
      <w:r>
        <w:rPr>
          <w:color w:val="000000"/>
          <w:sz w:val="24"/>
          <w:szCs w:val="24"/>
        </w:rPr>
        <w:t xml:space="preserve">      </w:t>
      </w:r>
      <w:r w:rsidRPr="008F1604">
        <w:rPr>
          <w:color w:val="000000"/>
          <w:sz w:val="24"/>
          <w:szCs w:val="24"/>
        </w:rPr>
        <w:t xml:space="preserve"> </w:t>
      </w:r>
      <w:r w:rsidR="00AC4F92" w:rsidRPr="004B2FDB">
        <w:rPr>
          <w:color w:val="000000" w:themeColor="text1"/>
          <w:sz w:val="24"/>
          <w:szCs w:val="24"/>
        </w:rPr>
        <w:t>Importantly, the housing sector has contributed around 60 percent to the total employment in the construction sector of the country in 1995-96. In the 21</w:t>
      </w:r>
      <w:r w:rsidR="00AC4F92" w:rsidRPr="004B2FDB">
        <w:rPr>
          <w:color w:val="000000" w:themeColor="text1"/>
          <w:sz w:val="24"/>
          <w:szCs w:val="24"/>
          <w:vertAlign w:val="superscript"/>
        </w:rPr>
        <w:t>st</w:t>
      </w:r>
      <w:r w:rsidR="00AC4F92" w:rsidRPr="004B2FDB">
        <w:rPr>
          <w:color w:val="000000" w:themeColor="text1"/>
          <w:sz w:val="24"/>
          <w:szCs w:val="24"/>
        </w:rPr>
        <w:t xml:space="preserve"> century, a large increase in the construction employment is expected to be mainly in the housing sector</w:t>
      </w:r>
      <w:r w:rsidR="00AC4F92" w:rsidRPr="004B2FDB">
        <w:rPr>
          <w:rStyle w:val="FootnoteReference"/>
          <w:color w:val="000000" w:themeColor="text1"/>
          <w:sz w:val="24"/>
          <w:szCs w:val="24"/>
        </w:rPr>
        <w:footnoteReference w:id="8"/>
      </w:r>
      <w:r w:rsidR="00AC4F92" w:rsidRPr="004B2FDB">
        <w:rPr>
          <w:color w:val="000000" w:themeColor="text1"/>
          <w:sz w:val="24"/>
          <w:szCs w:val="24"/>
        </w:rPr>
        <w:t xml:space="preserve">. Supply of BCWs in the country constitutes a major part of total construction workers, a significant increase of workers of this sector influences total </w:t>
      </w:r>
      <w:proofErr w:type="spellStart"/>
      <w:r w:rsidR="00AC4F92" w:rsidRPr="004B2FDB">
        <w:rPr>
          <w:color w:val="000000" w:themeColor="text1"/>
          <w:sz w:val="24"/>
          <w:szCs w:val="24"/>
        </w:rPr>
        <w:t>labour</w:t>
      </w:r>
      <w:proofErr w:type="spellEnd"/>
      <w:r w:rsidR="00AC4F92" w:rsidRPr="004B2FDB">
        <w:rPr>
          <w:color w:val="000000" w:themeColor="text1"/>
          <w:sz w:val="24"/>
          <w:szCs w:val="24"/>
        </w:rPr>
        <w:t xml:space="preserve"> supply in a region.</w:t>
      </w:r>
    </w:p>
    <w:p w14:paraId="11FD56FB" w14:textId="77777777" w:rsidR="008B7EBB" w:rsidRPr="008F1604" w:rsidRDefault="00913191" w:rsidP="00A35E38">
      <w:pPr>
        <w:pBdr>
          <w:top w:val="nil"/>
          <w:left w:val="nil"/>
          <w:bottom w:val="nil"/>
          <w:right w:val="nil"/>
          <w:between w:val="nil"/>
        </w:pBdr>
        <w:spacing w:before="89" w:line="276" w:lineRule="auto"/>
        <w:ind w:left="180"/>
        <w:jc w:val="both"/>
        <w:rPr>
          <w:color w:val="000000"/>
          <w:sz w:val="24"/>
          <w:szCs w:val="24"/>
        </w:rPr>
      </w:pPr>
      <w:r>
        <w:rPr>
          <w:color w:val="000000"/>
          <w:sz w:val="24"/>
          <w:szCs w:val="24"/>
        </w:rPr>
        <w:lastRenderedPageBreak/>
        <w:t xml:space="preserve">         </w:t>
      </w:r>
      <w:r w:rsidR="008B7EBB" w:rsidRPr="008F1604">
        <w:rPr>
          <w:color w:val="000000"/>
          <w:sz w:val="24"/>
          <w:szCs w:val="24"/>
        </w:rPr>
        <w:t xml:space="preserve">Although the supply of BCWs in the </w:t>
      </w:r>
      <w:proofErr w:type="gramStart"/>
      <w:r w:rsidR="008B7EBB" w:rsidRPr="008F1604">
        <w:rPr>
          <w:color w:val="000000"/>
          <w:sz w:val="24"/>
          <w:szCs w:val="24"/>
        </w:rPr>
        <w:t>state</w:t>
      </w:r>
      <w:r w:rsidR="00A35E38">
        <w:rPr>
          <w:color w:val="000000"/>
          <w:sz w:val="24"/>
          <w:szCs w:val="24"/>
        </w:rPr>
        <w:t>(</w:t>
      </w:r>
      <w:proofErr w:type="gramEnd"/>
      <w:r w:rsidR="00A35E38">
        <w:rPr>
          <w:color w:val="000000"/>
          <w:sz w:val="24"/>
          <w:szCs w:val="24"/>
        </w:rPr>
        <w:t>Assam)</w:t>
      </w:r>
      <w:r w:rsidR="008B7EBB" w:rsidRPr="008F1604">
        <w:rPr>
          <w:color w:val="000000"/>
          <w:sz w:val="24"/>
          <w:szCs w:val="24"/>
        </w:rPr>
        <w:t xml:space="preserve"> is growing constantly</w:t>
      </w:r>
      <w:r w:rsidR="00970C17" w:rsidRPr="008F1604">
        <w:rPr>
          <w:rStyle w:val="FootnoteReference"/>
          <w:color w:val="000000"/>
          <w:sz w:val="24"/>
          <w:szCs w:val="24"/>
        </w:rPr>
        <w:footnoteReference w:id="9"/>
      </w:r>
      <w:r w:rsidR="008B7EBB" w:rsidRPr="008F1604">
        <w:rPr>
          <w:color w:val="000000"/>
          <w:sz w:val="24"/>
          <w:szCs w:val="24"/>
        </w:rPr>
        <w:t xml:space="preserve">, the employment opportunities for them are not increasing satisfactorily. However, the housing construction sector of the state is not able to absorb the increased </w:t>
      </w:r>
      <w:proofErr w:type="spellStart"/>
      <w:r w:rsidR="008B7EBB" w:rsidRPr="008F1604">
        <w:rPr>
          <w:color w:val="000000"/>
          <w:sz w:val="24"/>
          <w:szCs w:val="24"/>
        </w:rPr>
        <w:t>labour</w:t>
      </w:r>
      <w:proofErr w:type="spellEnd"/>
      <w:r w:rsidR="0042555E">
        <w:rPr>
          <w:color w:val="000000"/>
          <w:sz w:val="24"/>
          <w:szCs w:val="24"/>
        </w:rPr>
        <w:t xml:space="preserve"> </w:t>
      </w:r>
      <w:proofErr w:type="gramStart"/>
      <w:r w:rsidR="008B7EBB" w:rsidRPr="008F1604">
        <w:rPr>
          <w:color w:val="000000"/>
          <w:sz w:val="24"/>
          <w:szCs w:val="24"/>
        </w:rPr>
        <w:t>supply ,and</w:t>
      </w:r>
      <w:proofErr w:type="gramEnd"/>
      <w:r w:rsidR="008B7EBB" w:rsidRPr="008F1604">
        <w:rPr>
          <w:color w:val="000000"/>
          <w:sz w:val="24"/>
          <w:szCs w:val="24"/>
        </w:rPr>
        <w:t xml:space="preserve"> hence, generates an excess </w:t>
      </w:r>
      <w:proofErr w:type="spellStart"/>
      <w:r w:rsidR="008B7EBB" w:rsidRPr="008F1604">
        <w:rPr>
          <w:color w:val="000000"/>
          <w:sz w:val="24"/>
          <w:szCs w:val="24"/>
        </w:rPr>
        <w:t>labour</w:t>
      </w:r>
      <w:proofErr w:type="spellEnd"/>
      <w:r w:rsidR="008B7EBB" w:rsidRPr="008F1604">
        <w:rPr>
          <w:color w:val="000000"/>
          <w:sz w:val="24"/>
          <w:szCs w:val="24"/>
        </w:rPr>
        <w:t xml:space="preserve"> supply in </w:t>
      </w:r>
      <w:proofErr w:type="spellStart"/>
      <w:r w:rsidR="008B7EBB" w:rsidRPr="008F1604">
        <w:rPr>
          <w:color w:val="000000"/>
          <w:sz w:val="24"/>
          <w:szCs w:val="24"/>
        </w:rPr>
        <w:t>labour</w:t>
      </w:r>
      <w:proofErr w:type="spellEnd"/>
      <w:r w:rsidR="008B7EBB" w:rsidRPr="008F1604">
        <w:rPr>
          <w:color w:val="000000"/>
          <w:sz w:val="24"/>
          <w:szCs w:val="24"/>
        </w:rPr>
        <w:t xml:space="preserve"> market of this sector resulting in many of them remain unemployed. The root cause of it is the increased substitution of the machinery and capital equipment for </w:t>
      </w:r>
      <w:proofErr w:type="spellStart"/>
      <w:r w:rsidR="008B7EBB" w:rsidRPr="008F1604">
        <w:rPr>
          <w:color w:val="000000"/>
          <w:sz w:val="24"/>
          <w:szCs w:val="24"/>
        </w:rPr>
        <w:t>labourers</w:t>
      </w:r>
      <w:proofErr w:type="spellEnd"/>
      <w:r w:rsidR="008B7EBB" w:rsidRPr="008F1604">
        <w:rPr>
          <w:color w:val="000000"/>
          <w:sz w:val="24"/>
          <w:szCs w:val="24"/>
        </w:rPr>
        <w:t xml:space="preserve"> in the building construction sector of the state. Yet, human </w:t>
      </w:r>
      <w:proofErr w:type="spellStart"/>
      <w:r w:rsidR="008B7EBB" w:rsidRPr="008F1604">
        <w:rPr>
          <w:color w:val="000000"/>
          <w:sz w:val="24"/>
          <w:szCs w:val="24"/>
        </w:rPr>
        <w:t>labour</w:t>
      </w:r>
      <w:proofErr w:type="spellEnd"/>
      <w:r w:rsidR="008B7EBB" w:rsidRPr="008F1604">
        <w:rPr>
          <w:color w:val="000000"/>
          <w:sz w:val="24"/>
          <w:szCs w:val="24"/>
        </w:rPr>
        <w:t xml:space="preserve"> remains a sine-qua none in the building construction sector. Another </w:t>
      </w:r>
      <w:proofErr w:type="gramStart"/>
      <w:r w:rsidR="008B7EBB" w:rsidRPr="008F1604">
        <w:rPr>
          <w:color w:val="000000"/>
          <w:sz w:val="24"/>
          <w:szCs w:val="24"/>
        </w:rPr>
        <w:t>weaknesses</w:t>
      </w:r>
      <w:proofErr w:type="gramEnd"/>
      <w:r w:rsidR="008B7EBB" w:rsidRPr="008F1604">
        <w:rPr>
          <w:color w:val="000000"/>
          <w:sz w:val="24"/>
          <w:szCs w:val="24"/>
        </w:rPr>
        <w:t xml:space="preserve"> associated with the building construction sector is its seasonal nature.</w:t>
      </w:r>
      <w:r w:rsidR="0042555E">
        <w:rPr>
          <w:color w:val="000000"/>
          <w:sz w:val="24"/>
          <w:szCs w:val="24"/>
        </w:rPr>
        <w:t xml:space="preserve"> </w:t>
      </w:r>
      <w:r w:rsidR="008B7EBB" w:rsidRPr="008F1604">
        <w:rPr>
          <w:color w:val="000000"/>
          <w:sz w:val="24"/>
          <w:szCs w:val="24"/>
        </w:rPr>
        <w:t>The supply of the CWs of the urban housing sector has been observed to vary in the different seasons in a year.</w:t>
      </w:r>
    </w:p>
    <w:p w14:paraId="3EFE8ECF" w14:textId="77777777" w:rsidR="00935971" w:rsidRPr="008F1604" w:rsidRDefault="00A35E38" w:rsidP="00A35E38">
      <w:pPr>
        <w:pBdr>
          <w:top w:val="nil"/>
          <w:left w:val="nil"/>
          <w:bottom w:val="nil"/>
          <w:right w:val="nil"/>
          <w:between w:val="nil"/>
        </w:pBdr>
        <w:spacing w:before="106" w:line="276" w:lineRule="auto"/>
        <w:ind w:left="180"/>
        <w:jc w:val="both"/>
        <w:rPr>
          <w:sz w:val="24"/>
          <w:szCs w:val="24"/>
        </w:rPr>
      </w:pPr>
      <w:r>
        <w:rPr>
          <w:color w:val="000000"/>
          <w:sz w:val="24"/>
          <w:szCs w:val="24"/>
        </w:rPr>
        <w:t xml:space="preserve">           </w:t>
      </w:r>
      <w:r w:rsidR="008B7EBB" w:rsidRPr="008F1604">
        <w:rPr>
          <w:color w:val="000000"/>
          <w:sz w:val="24"/>
          <w:szCs w:val="24"/>
        </w:rPr>
        <w:t xml:space="preserve">So, for promoting a better living among this section of sweating </w:t>
      </w:r>
      <w:proofErr w:type="spellStart"/>
      <w:proofErr w:type="gramStart"/>
      <w:r w:rsidR="008B7EBB" w:rsidRPr="008F1604">
        <w:rPr>
          <w:color w:val="000000"/>
          <w:sz w:val="24"/>
          <w:szCs w:val="24"/>
        </w:rPr>
        <w:t>labourers</w:t>
      </w:r>
      <w:proofErr w:type="spellEnd"/>
      <w:r w:rsidR="008B7EBB" w:rsidRPr="008F1604">
        <w:rPr>
          <w:color w:val="000000"/>
          <w:sz w:val="24"/>
          <w:szCs w:val="24"/>
        </w:rPr>
        <w:t xml:space="preserve"> ,</w:t>
      </w:r>
      <w:proofErr w:type="gramEnd"/>
      <w:r w:rsidR="008B7EBB" w:rsidRPr="008F1604">
        <w:rPr>
          <w:color w:val="000000"/>
          <w:sz w:val="24"/>
          <w:szCs w:val="24"/>
        </w:rPr>
        <w:t xml:space="preserve"> a thorough ex</w:t>
      </w:r>
      <w:r w:rsidR="0042555E">
        <w:rPr>
          <w:color w:val="000000"/>
          <w:sz w:val="24"/>
          <w:szCs w:val="24"/>
        </w:rPr>
        <w:t>amination of their supply trend and variation in supply</w:t>
      </w:r>
      <w:r w:rsidR="008B7EBB" w:rsidRPr="008F1604">
        <w:rPr>
          <w:color w:val="000000"/>
          <w:sz w:val="24"/>
          <w:szCs w:val="24"/>
        </w:rPr>
        <w:t xml:space="preserve"> have been seen to be of academic importance for policy making and proper urban development.</w:t>
      </w:r>
      <w:r w:rsidR="00935971" w:rsidRPr="008F1604">
        <w:rPr>
          <w:noProof/>
          <w:sz w:val="24"/>
          <w:szCs w:val="24"/>
          <w:lang w:eastAsia="en-US"/>
        </w:rPr>
        <w:drawing>
          <wp:anchor distT="0" distB="0" distL="114300" distR="114300" simplePos="0" relativeHeight="251659264" behindDoc="0" locked="0" layoutInCell="1" allowOverlap="1" wp14:anchorId="66B261B4" wp14:editId="645B3624">
            <wp:simplePos x="0" y="0"/>
            <wp:positionH relativeFrom="column">
              <wp:posOffset>-495299</wp:posOffset>
            </wp:positionH>
            <wp:positionV relativeFrom="paragraph">
              <wp:posOffset>0</wp:posOffset>
            </wp:positionV>
            <wp:extent cx="22225" cy="22225"/>
            <wp:effectExtent l="0" t="0" r="0" b="0"/>
            <wp:wrapTopAndBottom distT="0" distB="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22225" cy="22225"/>
                    </a:xfrm>
                    <a:prstGeom prst="rect">
                      <a:avLst/>
                    </a:prstGeom>
                    <a:ln/>
                  </pic:spPr>
                </pic:pic>
              </a:graphicData>
            </a:graphic>
          </wp:anchor>
        </w:drawing>
      </w:r>
    </w:p>
    <w:p w14:paraId="46B97ACF" w14:textId="77777777" w:rsidR="008F1604" w:rsidRPr="00F52758" w:rsidRDefault="008F1604" w:rsidP="008F1604">
      <w:pPr>
        <w:pStyle w:val="Heading1"/>
        <w:spacing w:before="140"/>
        <w:ind w:left="54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LITERATURE REVIEW</w:t>
      </w:r>
    </w:p>
    <w:p w14:paraId="54A92858" w14:textId="77777777" w:rsidR="008F1604" w:rsidRPr="008F1604" w:rsidRDefault="008F1604" w:rsidP="008F1604">
      <w:pPr>
        <w:pBdr>
          <w:top w:val="nil"/>
          <w:left w:val="nil"/>
          <w:bottom w:val="nil"/>
          <w:right w:val="nil"/>
          <w:between w:val="nil"/>
        </w:pBdr>
        <w:spacing w:before="172"/>
        <w:ind w:left="540"/>
        <w:jc w:val="both"/>
        <w:rPr>
          <w:color w:val="000000"/>
          <w:sz w:val="24"/>
          <w:szCs w:val="24"/>
        </w:rPr>
      </w:pPr>
      <w:r w:rsidRPr="008F1604">
        <w:rPr>
          <w:color w:val="000000"/>
          <w:sz w:val="24"/>
          <w:szCs w:val="24"/>
        </w:rPr>
        <w:t>Several related literatures have been reviewed below classifying these in to six groups based on their subject of study.</w:t>
      </w:r>
    </w:p>
    <w:p w14:paraId="787DAD4E" w14:textId="77777777" w:rsidR="008F1604" w:rsidRDefault="007D3C62" w:rsidP="007D3C62">
      <w:pPr>
        <w:pStyle w:val="Heading1"/>
        <w:spacing w:before="146"/>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i.</w:t>
      </w:r>
      <w:r w:rsidR="008F1604" w:rsidRPr="00F52758">
        <w:rPr>
          <w:rFonts w:ascii="Times New Roman" w:hAnsi="Times New Roman" w:cs="Times New Roman"/>
          <w:color w:val="auto"/>
          <w:sz w:val="24"/>
          <w:szCs w:val="24"/>
        </w:rPr>
        <w:t>Literature</w:t>
      </w:r>
      <w:proofErr w:type="spellEnd"/>
      <w:r w:rsidR="008F1604" w:rsidRPr="00F52758">
        <w:rPr>
          <w:rFonts w:ascii="Times New Roman" w:hAnsi="Times New Roman" w:cs="Times New Roman"/>
          <w:color w:val="auto"/>
          <w:sz w:val="24"/>
          <w:szCs w:val="24"/>
        </w:rPr>
        <w:t xml:space="preserve"> dealing with the problems of construction workers:</w:t>
      </w:r>
    </w:p>
    <w:p w14:paraId="086E746A" w14:textId="77777777" w:rsidR="00913191" w:rsidRPr="00913191" w:rsidRDefault="001C4314" w:rsidP="007D3C62">
      <w:pPr>
        <w:pStyle w:val="ListParagraph"/>
        <w:tabs>
          <w:tab w:val="left" w:pos="720"/>
          <w:tab w:val="left" w:pos="9360"/>
        </w:tabs>
        <w:spacing w:before="120" w:line="276" w:lineRule="auto"/>
        <w:ind w:left="540"/>
        <w:jc w:val="both"/>
      </w:pPr>
      <w:r>
        <w:rPr>
          <w:sz w:val="24"/>
          <w:szCs w:val="24"/>
        </w:rPr>
        <w:t xml:space="preserve">        </w:t>
      </w:r>
      <w:r w:rsidR="00984EDD">
        <w:rPr>
          <w:sz w:val="24"/>
          <w:szCs w:val="24"/>
        </w:rPr>
        <w:t xml:space="preserve">     </w:t>
      </w:r>
      <w:r>
        <w:rPr>
          <w:sz w:val="24"/>
          <w:szCs w:val="24"/>
        </w:rPr>
        <w:t xml:space="preserve"> </w:t>
      </w:r>
      <w:r w:rsidR="00913191" w:rsidRPr="00913191">
        <w:rPr>
          <w:sz w:val="24"/>
          <w:szCs w:val="24"/>
        </w:rPr>
        <w:t xml:space="preserve">Hema Narayan in his doctoral dissertation has found that the CWs in </w:t>
      </w:r>
      <w:proofErr w:type="spellStart"/>
      <w:r w:rsidR="00913191" w:rsidRPr="00913191">
        <w:rPr>
          <w:sz w:val="24"/>
          <w:szCs w:val="24"/>
        </w:rPr>
        <w:t>Kanchipram</w:t>
      </w:r>
      <w:proofErr w:type="spellEnd"/>
      <w:r w:rsidR="00913191" w:rsidRPr="00913191">
        <w:rPr>
          <w:sz w:val="24"/>
          <w:szCs w:val="24"/>
        </w:rPr>
        <w:t xml:space="preserve"> District of Tamil Nadu have been experiencing many occupational stressors, arising out </w:t>
      </w:r>
      <w:r w:rsidR="007D3C62" w:rsidRPr="00913191">
        <w:rPr>
          <w:sz w:val="24"/>
          <w:szCs w:val="24"/>
        </w:rPr>
        <w:t>of a</w:t>
      </w:r>
      <w:r w:rsidR="00913191" w:rsidRPr="00913191">
        <w:rPr>
          <w:sz w:val="24"/>
          <w:szCs w:val="24"/>
        </w:rPr>
        <w:t xml:space="preserve"> </w:t>
      </w:r>
      <w:r w:rsidR="00634BBD">
        <w:rPr>
          <w:sz w:val="24"/>
          <w:szCs w:val="24"/>
        </w:rPr>
        <w:t xml:space="preserve">number of diverse </w:t>
      </w:r>
      <w:r w:rsidR="00A35E38">
        <w:rPr>
          <w:sz w:val="24"/>
          <w:szCs w:val="24"/>
        </w:rPr>
        <w:t>factors.</w:t>
      </w:r>
      <w:r w:rsidR="00A35E38" w:rsidRPr="00913191">
        <w:rPr>
          <w:sz w:val="24"/>
          <w:szCs w:val="24"/>
        </w:rPr>
        <w:t xml:space="preserve"> For</w:t>
      </w:r>
      <w:r w:rsidR="00913191" w:rsidRPr="00913191">
        <w:rPr>
          <w:sz w:val="24"/>
          <w:szCs w:val="24"/>
        </w:rPr>
        <w:t xml:space="preserve"> lessening the strength of stressors among </w:t>
      </w:r>
      <w:r w:rsidR="007D3C62" w:rsidRPr="00913191">
        <w:rPr>
          <w:sz w:val="24"/>
          <w:szCs w:val="24"/>
        </w:rPr>
        <w:t>CWs;</w:t>
      </w:r>
      <w:r w:rsidR="00913191" w:rsidRPr="00913191">
        <w:rPr>
          <w:sz w:val="24"/>
          <w:szCs w:val="24"/>
        </w:rPr>
        <w:t xml:space="preserve"> he has suggested skill building and safety training, and intervention in several aspects </w:t>
      </w:r>
      <w:sdt>
        <w:sdtPr>
          <w:id w:val="359646"/>
          <w:citation/>
        </w:sdtPr>
        <w:sdtEndPr/>
        <w:sdtContent>
          <w:r w:rsidR="00CC730B" w:rsidRPr="00913191">
            <w:rPr>
              <w:sz w:val="24"/>
              <w:szCs w:val="24"/>
            </w:rPr>
            <w:fldChar w:fldCharType="begin"/>
          </w:r>
          <w:r w:rsidR="00913191" w:rsidRPr="00913191">
            <w:rPr>
              <w:sz w:val="24"/>
              <w:szCs w:val="24"/>
            </w:rPr>
            <w:instrText xml:space="preserve"> CITATION Hem17 \l 1033  </w:instrText>
          </w:r>
          <w:r w:rsidR="00CC730B" w:rsidRPr="00913191">
            <w:rPr>
              <w:sz w:val="24"/>
              <w:szCs w:val="24"/>
            </w:rPr>
            <w:fldChar w:fldCharType="separate"/>
          </w:r>
          <w:r w:rsidR="00913191" w:rsidRPr="00913191">
            <w:rPr>
              <w:noProof/>
              <w:sz w:val="24"/>
              <w:szCs w:val="24"/>
            </w:rPr>
            <w:t xml:space="preserve"> (Narayan, 2017, pp.155)</w:t>
          </w:r>
          <w:r w:rsidR="00CC730B" w:rsidRPr="00913191">
            <w:rPr>
              <w:sz w:val="24"/>
              <w:szCs w:val="24"/>
            </w:rPr>
            <w:fldChar w:fldCharType="end"/>
          </w:r>
        </w:sdtContent>
      </w:sdt>
      <w:r w:rsidR="00913191" w:rsidRPr="00913191">
        <w:rPr>
          <w:sz w:val="24"/>
          <w:szCs w:val="24"/>
        </w:rPr>
        <w:t>.</w:t>
      </w:r>
    </w:p>
    <w:p w14:paraId="1074A95A" w14:textId="77777777" w:rsidR="008F1604" w:rsidRPr="008F1604" w:rsidRDefault="001C4314" w:rsidP="007D3C62">
      <w:pPr>
        <w:tabs>
          <w:tab w:val="left" w:pos="720"/>
          <w:tab w:val="left" w:pos="9360"/>
        </w:tabs>
        <w:spacing w:before="120" w:line="276" w:lineRule="auto"/>
        <w:ind w:left="540"/>
        <w:jc w:val="both"/>
        <w:rPr>
          <w:color w:val="000000"/>
          <w:sz w:val="24"/>
          <w:szCs w:val="24"/>
        </w:rPr>
      </w:pPr>
      <w:r>
        <w:rPr>
          <w:color w:val="000000"/>
          <w:sz w:val="24"/>
          <w:szCs w:val="24"/>
        </w:rPr>
        <w:t xml:space="preserve">        </w:t>
      </w:r>
      <w:r w:rsidR="00984EDD">
        <w:rPr>
          <w:color w:val="000000"/>
          <w:sz w:val="24"/>
          <w:szCs w:val="24"/>
        </w:rPr>
        <w:t xml:space="preserve">     </w:t>
      </w:r>
      <w:r>
        <w:rPr>
          <w:color w:val="000000"/>
          <w:sz w:val="24"/>
          <w:szCs w:val="24"/>
        </w:rPr>
        <w:t xml:space="preserve"> </w:t>
      </w:r>
      <w:r w:rsidR="007D3C62">
        <w:rPr>
          <w:color w:val="000000"/>
          <w:sz w:val="24"/>
          <w:szCs w:val="24"/>
        </w:rPr>
        <w:t xml:space="preserve">K </w:t>
      </w:r>
      <w:proofErr w:type="spellStart"/>
      <w:r w:rsidR="007D3C62">
        <w:rPr>
          <w:color w:val="000000"/>
          <w:sz w:val="24"/>
          <w:szCs w:val="24"/>
        </w:rPr>
        <w:t>Ponnaian</w:t>
      </w:r>
      <w:proofErr w:type="spellEnd"/>
      <w:r w:rsidR="002F0E4B">
        <w:rPr>
          <w:color w:val="000000"/>
          <w:sz w:val="24"/>
          <w:szCs w:val="24"/>
        </w:rPr>
        <w:t xml:space="preserve"> have</w:t>
      </w:r>
      <w:r w:rsidR="008F1604" w:rsidRPr="008F1604">
        <w:rPr>
          <w:color w:val="000000"/>
          <w:sz w:val="24"/>
          <w:szCs w:val="24"/>
        </w:rPr>
        <w:t xml:space="preserve"> </w:t>
      </w:r>
      <w:proofErr w:type="spellStart"/>
      <w:r w:rsidR="008F1604" w:rsidRPr="008F1604">
        <w:rPr>
          <w:color w:val="000000"/>
          <w:sz w:val="24"/>
          <w:szCs w:val="24"/>
        </w:rPr>
        <w:t>analysed</w:t>
      </w:r>
      <w:proofErr w:type="spellEnd"/>
      <w:r w:rsidR="008F1604" w:rsidRPr="008F1604">
        <w:rPr>
          <w:color w:val="000000"/>
          <w:sz w:val="24"/>
          <w:szCs w:val="24"/>
        </w:rPr>
        <w:t xml:space="preserve"> some problems of the construction workers such as casual employment, uncertain working hours and unsafe working environment, and suggested government interventions for eliminating such </w:t>
      </w:r>
      <w:r w:rsidR="00A35E38" w:rsidRPr="008F1604">
        <w:rPr>
          <w:color w:val="000000"/>
          <w:sz w:val="24"/>
          <w:szCs w:val="24"/>
        </w:rPr>
        <w:t xml:space="preserve">problems </w:t>
      </w:r>
      <w:sdt>
        <w:sdtPr>
          <w:rPr>
            <w:sz w:val="24"/>
            <w:szCs w:val="24"/>
          </w:rPr>
          <w:id w:val="-1976313549"/>
          <w:citation/>
        </w:sdtPr>
        <w:sdtEndPr/>
        <w:sdtContent>
          <w:r w:rsidR="00CC730B">
            <w:rPr>
              <w:sz w:val="24"/>
              <w:szCs w:val="24"/>
            </w:rPr>
            <w:fldChar w:fldCharType="begin"/>
          </w:r>
          <w:r w:rsidR="007D3C62">
            <w:rPr>
              <w:sz w:val="24"/>
              <w:szCs w:val="24"/>
            </w:rPr>
            <w:instrText xml:space="preserve"> CITATION KPo16 \l 1033  </w:instrText>
          </w:r>
          <w:r w:rsidR="00CC730B">
            <w:rPr>
              <w:sz w:val="24"/>
              <w:szCs w:val="24"/>
            </w:rPr>
            <w:fldChar w:fldCharType="separate"/>
          </w:r>
          <w:r w:rsidR="007D3C62" w:rsidRPr="00914E35">
            <w:rPr>
              <w:noProof/>
              <w:sz w:val="24"/>
              <w:szCs w:val="24"/>
            </w:rPr>
            <w:t>(Ponnaian, A StuA study on Building Construction Workers in Kanyakumari district of Tamil Nadu, Ph.D Thesis, 2016, p.216)</w:t>
          </w:r>
          <w:r w:rsidR="00CC730B">
            <w:rPr>
              <w:sz w:val="24"/>
              <w:szCs w:val="24"/>
            </w:rPr>
            <w:fldChar w:fldCharType="end"/>
          </w:r>
        </w:sdtContent>
      </w:sdt>
      <w:r w:rsidR="007D3C62" w:rsidRPr="00BB46C7">
        <w:rPr>
          <w:sz w:val="24"/>
          <w:szCs w:val="24"/>
        </w:rPr>
        <w:t xml:space="preserve">.  </w:t>
      </w:r>
    </w:p>
    <w:p w14:paraId="6691A6ED" w14:textId="77777777" w:rsidR="008F1604" w:rsidRDefault="001C4314" w:rsidP="008F1604">
      <w:pPr>
        <w:pBdr>
          <w:top w:val="nil"/>
          <w:left w:val="nil"/>
          <w:bottom w:val="nil"/>
          <w:right w:val="nil"/>
          <w:between w:val="nil"/>
        </w:pBdr>
        <w:tabs>
          <w:tab w:val="left" w:pos="9540"/>
        </w:tabs>
        <w:spacing w:before="102" w:line="273" w:lineRule="auto"/>
        <w:ind w:left="540"/>
        <w:jc w:val="both"/>
        <w:rPr>
          <w:sz w:val="24"/>
          <w:szCs w:val="24"/>
        </w:rPr>
      </w:pPr>
      <w:r>
        <w:rPr>
          <w:color w:val="000000"/>
          <w:sz w:val="24"/>
          <w:szCs w:val="24"/>
        </w:rPr>
        <w:t xml:space="preserve">        </w:t>
      </w:r>
      <w:r w:rsidR="00984EDD">
        <w:rPr>
          <w:color w:val="000000"/>
          <w:sz w:val="24"/>
          <w:szCs w:val="24"/>
        </w:rPr>
        <w:t xml:space="preserve">   </w:t>
      </w:r>
      <w:r>
        <w:rPr>
          <w:color w:val="000000"/>
          <w:sz w:val="24"/>
          <w:szCs w:val="24"/>
        </w:rPr>
        <w:t xml:space="preserve"> </w:t>
      </w:r>
      <w:r w:rsidR="007D3C62">
        <w:rPr>
          <w:color w:val="000000"/>
          <w:sz w:val="24"/>
          <w:szCs w:val="24"/>
        </w:rPr>
        <w:t xml:space="preserve">Dileep Kumar </w:t>
      </w:r>
      <w:proofErr w:type="gramStart"/>
      <w:r w:rsidR="007D3C62">
        <w:rPr>
          <w:color w:val="000000"/>
          <w:sz w:val="24"/>
          <w:szCs w:val="24"/>
        </w:rPr>
        <w:t xml:space="preserve">M </w:t>
      </w:r>
      <w:r w:rsidR="008F1604" w:rsidRPr="008F1604">
        <w:rPr>
          <w:color w:val="000000"/>
          <w:sz w:val="24"/>
          <w:szCs w:val="24"/>
        </w:rPr>
        <w:t xml:space="preserve"> has</w:t>
      </w:r>
      <w:proofErr w:type="gramEnd"/>
      <w:r w:rsidR="008F1604" w:rsidRPr="008F1604">
        <w:rPr>
          <w:color w:val="000000"/>
          <w:sz w:val="24"/>
          <w:szCs w:val="24"/>
        </w:rPr>
        <w:t xml:space="preserve"> examined the deplorable conditions of the construction workers in Pune highlighting their living status, social security benefits and occupational safety measures provided</w:t>
      </w:r>
      <w:r w:rsidR="007D3C62" w:rsidRPr="007D3C62">
        <w:rPr>
          <w:sz w:val="24"/>
          <w:szCs w:val="24"/>
        </w:rPr>
        <w:t xml:space="preserve"> </w:t>
      </w:r>
      <w:sdt>
        <w:sdtPr>
          <w:rPr>
            <w:sz w:val="24"/>
            <w:szCs w:val="24"/>
          </w:rPr>
          <w:id w:val="-1976313548"/>
          <w:citation/>
        </w:sdtPr>
        <w:sdtEndPr/>
        <w:sdtContent>
          <w:r w:rsidR="00CC730B">
            <w:rPr>
              <w:sz w:val="24"/>
              <w:szCs w:val="24"/>
            </w:rPr>
            <w:fldChar w:fldCharType="begin"/>
          </w:r>
          <w:r w:rsidR="007D3C62">
            <w:rPr>
              <w:sz w:val="24"/>
              <w:szCs w:val="24"/>
            </w:rPr>
            <w:instrText xml:space="preserve"> CITATION MDi13 \l 1033  </w:instrText>
          </w:r>
          <w:r w:rsidR="00CC730B">
            <w:rPr>
              <w:sz w:val="24"/>
              <w:szCs w:val="24"/>
            </w:rPr>
            <w:fldChar w:fldCharType="separate"/>
          </w:r>
          <w:r w:rsidR="007D3C62" w:rsidRPr="00914E35">
            <w:rPr>
              <w:noProof/>
              <w:sz w:val="24"/>
              <w:szCs w:val="24"/>
            </w:rPr>
            <w:t>(Kumar M. D., 2013, pp.43-52)</w:t>
          </w:r>
          <w:r w:rsidR="00CC730B">
            <w:rPr>
              <w:sz w:val="24"/>
              <w:szCs w:val="24"/>
            </w:rPr>
            <w:fldChar w:fldCharType="end"/>
          </w:r>
        </w:sdtContent>
      </w:sdt>
      <w:r w:rsidR="007D3C62" w:rsidRPr="00BB46C7">
        <w:rPr>
          <w:sz w:val="24"/>
          <w:szCs w:val="24"/>
        </w:rPr>
        <w:t>.</w:t>
      </w:r>
    </w:p>
    <w:p w14:paraId="7CBDCC01" w14:textId="77777777" w:rsidR="00566C03" w:rsidRPr="00566C03" w:rsidRDefault="00566C03" w:rsidP="00566C03">
      <w:pPr>
        <w:pBdr>
          <w:top w:val="nil"/>
          <w:left w:val="nil"/>
          <w:bottom w:val="nil"/>
          <w:right w:val="nil"/>
          <w:between w:val="nil"/>
        </w:pBdr>
        <w:spacing w:before="101" w:line="273" w:lineRule="auto"/>
        <w:ind w:left="540"/>
        <w:jc w:val="both"/>
        <w:rPr>
          <w:color w:val="000000"/>
          <w:sz w:val="24"/>
          <w:szCs w:val="24"/>
        </w:rPr>
      </w:pPr>
      <w:r>
        <w:rPr>
          <w:color w:val="000000"/>
          <w:sz w:val="24"/>
          <w:szCs w:val="24"/>
        </w:rPr>
        <w:t xml:space="preserve">            </w:t>
      </w:r>
      <w:r w:rsidRPr="00566C03">
        <w:rPr>
          <w:color w:val="000000"/>
          <w:sz w:val="24"/>
          <w:szCs w:val="24"/>
        </w:rPr>
        <w:t>Laad</w:t>
      </w:r>
      <w:r w:rsidRPr="00566C03">
        <w:rPr>
          <w:sz w:val="24"/>
          <w:szCs w:val="24"/>
        </w:rPr>
        <w:t xml:space="preserve"> et al.</w:t>
      </w:r>
      <w:r w:rsidRPr="00566C03">
        <w:rPr>
          <w:color w:val="000000"/>
          <w:sz w:val="24"/>
          <w:szCs w:val="24"/>
        </w:rPr>
        <w:t xml:space="preserve"> have found the prevalence of a higher degree use of intoxicants among the construction workers, mainly among </w:t>
      </w:r>
      <w:proofErr w:type="gramStart"/>
      <w:r w:rsidRPr="00566C03">
        <w:rPr>
          <w:color w:val="000000"/>
          <w:sz w:val="24"/>
          <w:szCs w:val="24"/>
        </w:rPr>
        <w:t>those workforce</w:t>
      </w:r>
      <w:proofErr w:type="gramEnd"/>
      <w:r w:rsidRPr="00566C03">
        <w:rPr>
          <w:color w:val="000000"/>
          <w:sz w:val="24"/>
          <w:szCs w:val="24"/>
        </w:rPr>
        <w:t xml:space="preserve"> who are young, married and in low educational status. The authors have suggested immediate intervention </w:t>
      </w:r>
      <w:proofErr w:type="spellStart"/>
      <w:r w:rsidRPr="00566C03">
        <w:rPr>
          <w:color w:val="000000"/>
          <w:sz w:val="24"/>
          <w:szCs w:val="24"/>
        </w:rPr>
        <w:t>programmes</w:t>
      </w:r>
      <w:proofErr w:type="spellEnd"/>
      <w:r w:rsidRPr="00566C03">
        <w:rPr>
          <w:color w:val="000000"/>
          <w:sz w:val="24"/>
          <w:szCs w:val="24"/>
        </w:rPr>
        <w:t xml:space="preserve"> to lessen the extent of the intoxicant use among the construction workforce</w:t>
      </w:r>
      <w:sdt>
        <w:sdtPr>
          <w:rPr>
            <w:color w:val="000000"/>
            <w:sz w:val="24"/>
            <w:szCs w:val="24"/>
          </w:rPr>
          <w:id w:val="31546740"/>
          <w:citation/>
        </w:sdtPr>
        <w:sdtEndPr/>
        <w:sdtContent>
          <w:r w:rsidR="00CC730B" w:rsidRPr="00566C03">
            <w:rPr>
              <w:color w:val="000000"/>
              <w:sz w:val="24"/>
              <w:szCs w:val="24"/>
            </w:rPr>
            <w:fldChar w:fldCharType="begin"/>
          </w:r>
          <w:r w:rsidRPr="00566C03">
            <w:rPr>
              <w:color w:val="000000"/>
              <w:sz w:val="24"/>
              <w:szCs w:val="24"/>
            </w:rPr>
            <w:instrText xml:space="preserve"> CITATION PSL83 \l 1033 </w:instrText>
          </w:r>
          <w:r w:rsidR="00CC730B" w:rsidRPr="00566C03">
            <w:rPr>
              <w:color w:val="000000"/>
              <w:sz w:val="24"/>
              <w:szCs w:val="24"/>
            </w:rPr>
            <w:fldChar w:fldCharType="separate"/>
          </w:r>
          <w:r w:rsidRPr="00566C03">
            <w:rPr>
              <w:noProof/>
              <w:color w:val="000000"/>
              <w:sz w:val="24"/>
              <w:szCs w:val="24"/>
            </w:rPr>
            <w:t xml:space="preserve"> (P S Laad, B B Adsul&amp; R M Chaturbedi, 2013,pp.280-283)</w:t>
          </w:r>
          <w:r w:rsidR="00CC730B" w:rsidRPr="00566C03">
            <w:rPr>
              <w:color w:val="000000"/>
              <w:sz w:val="24"/>
              <w:szCs w:val="24"/>
            </w:rPr>
            <w:fldChar w:fldCharType="end"/>
          </w:r>
        </w:sdtContent>
      </w:sdt>
      <w:r w:rsidRPr="00566C03">
        <w:rPr>
          <w:color w:val="000000"/>
          <w:sz w:val="24"/>
          <w:szCs w:val="24"/>
        </w:rPr>
        <w:t>.</w:t>
      </w:r>
      <w:r w:rsidRPr="00566C03">
        <w:rPr>
          <w:noProof/>
          <w:sz w:val="24"/>
          <w:szCs w:val="24"/>
          <w:lang w:eastAsia="en-US"/>
        </w:rPr>
        <w:drawing>
          <wp:anchor distT="0" distB="0" distL="114300" distR="114300" simplePos="0" relativeHeight="251673600" behindDoc="0" locked="0" layoutInCell="1" allowOverlap="1" wp14:anchorId="1A38F7AB" wp14:editId="168226E0">
            <wp:simplePos x="0" y="0"/>
            <wp:positionH relativeFrom="column">
              <wp:posOffset>-495299</wp:posOffset>
            </wp:positionH>
            <wp:positionV relativeFrom="paragraph">
              <wp:posOffset>0</wp:posOffset>
            </wp:positionV>
            <wp:extent cx="22225" cy="22225"/>
            <wp:effectExtent l="0" t="0" r="0" b="0"/>
            <wp:wrapTopAndBottom distT="0" dist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2225" cy="22225"/>
                    </a:xfrm>
                    <a:prstGeom prst="rect">
                      <a:avLst/>
                    </a:prstGeom>
                    <a:ln/>
                  </pic:spPr>
                </pic:pic>
              </a:graphicData>
            </a:graphic>
          </wp:anchor>
        </w:drawing>
      </w:r>
    </w:p>
    <w:p w14:paraId="18483083" w14:textId="77777777" w:rsidR="00566C03" w:rsidRDefault="001C4314" w:rsidP="00984EDD">
      <w:pPr>
        <w:pBdr>
          <w:top w:val="nil"/>
          <w:left w:val="nil"/>
          <w:bottom w:val="nil"/>
          <w:right w:val="nil"/>
          <w:between w:val="nil"/>
        </w:pBdr>
        <w:tabs>
          <w:tab w:val="left" w:pos="9540"/>
        </w:tabs>
        <w:spacing w:before="102" w:line="273" w:lineRule="auto"/>
        <w:ind w:left="540"/>
        <w:jc w:val="both"/>
        <w:rPr>
          <w:sz w:val="20"/>
          <w:szCs w:val="20"/>
        </w:rPr>
      </w:pPr>
      <w:r>
        <w:rPr>
          <w:sz w:val="24"/>
          <w:szCs w:val="24"/>
        </w:rPr>
        <w:lastRenderedPageBreak/>
        <w:t xml:space="preserve">        </w:t>
      </w:r>
      <w:r w:rsidR="007C0511" w:rsidRPr="007C0511">
        <w:rPr>
          <w:sz w:val="24"/>
          <w:szCs w:val="24"/>
        </w:rPr>
        <w:t xml:space="preserve">Munima </w:t>
      </w:r>
      <w:hyperlink w:anchor="_heading=h.3j2qqm3">
        <w:r w:rsidR="008F1604" w:rsidRPr="007C0511">
          <w:rPr>
            <w:sz w:val="24"/>
            <w:szCs w:val="24"/>
          </w:rPr>
          <w:t>Sultana</w:t>
        </w:r>
      </w:hyperlink>
      <w:r w:rsidR="008F1604" w:rsidRPr="008F1604">
        <w:rPr>
          <w:sz w:val="24"/>
          <w:szCs w:val="24"/>
        </w:rPr>
        <w:t xml:space="preserve"> </w:t>
      </w:r>
      <w:r w:rsidR="008F1604" w:rsidRPr="008F1604">
        <w:rPr>
          <w:color w:val="000000"/>
          <w:sz w:val="24"/>
          <w:szCs w:val="24"/>
        </w:rPr>
        <w:t>have examined the plights of construction workers in Dhaka, and has found the violence of extortion by the gangs and the workplace accidents to be the root causes of vulnerability</w:t>
      </w:r>
      <w:r w:rsidR="007C0511" w:rsidRPr="007C0511">
        <w:rPr>
          <w:sz w:val="24"/>
          <w:szCs w:val="24"/>
        </w:rPr>
        <w:t xml:space="preserve"> </w:t>
      </w:r>
      <w:sdt>
        <w:sdtPr>
          <w:rPr>
            <w:sz w:val="24"/>
            <w:szCs w:val="24"/>
          </w:rPr>
          <w:id w:val="1816282"/>
          <w:citation/>
        </w:sdtPr>
        <w:sdtEndPr/>
        <w:sdtContent>
          <w:r w:rsidR="00CC730B" w:rsidRPr="00BB46C7">
            <w:rPr>
              <w:sz w:val="24"/>
              <w:szCs w:val="24"/>
            </w:rPr>
            <w:fldChar w:fldCharType="begin"/>
          </w:r>
          <w:r w:rsidR="007C0511" w:rsidRPr="00BB46C7">
            <w:rPr>
              <w:sz w:val="24"/>
              <w:szCs w:val="24"/>
            </w:rPr>
            <w:instrText xml:space="preserve"> CITATION Gau12 \l 1033  </w:instrText>
          </w:r>
          <w:r w:rsidR="00CC730B" w:rsidRPr="00BB46C7">
            <w:rPr>
              <w:sz w:val="24"/>
              <w:szCs w:val="24"/>
            </w:rPr>
            <w:fldChar w:fldCharType="separate"/>
          </w:r>
          <w:r w:rsidR="007C0511" w:rsidRPr="00BB46C7">
            <w:rPr>
              <w:noProof/>
              <w:sz w:val="24"/>
              <w:szCs w:val="24"/>
            </w:rPr>
            <w:t>(Sultana, 2012)</w:t>
          </w:r>
          <w:r w:rsidR="00CC730B" w:rsidRPr="00BB46C7">
            <w:rPr>
              <w:sz w:val="24"/>
              <w:szCs w:val="24"/>
            </w:rPr>
            <w:fldChar w:fldCharType="end"/>
          </w:r>
        </w:sdtContent>
      </w:sdt>
      <w:r w:rsidR="007C0511" w:rsidRPr="00BB46C7">
        <w:rPr>
          <w:sz w:val="24"/>
          <w:szCs w:val="24"/>
        </w:rPr>
        <w:t>.</w:t>
      </w:r>
    </w:p>
    <w:p w14:paraId="2479C5AB" w14:textId="77777777" w:rsidR="008F1604" w:rsidRPr="008F1604" w:rsidRDefault="001C4314" w:rsidP="001C4314">
      <w:pPr>
        <w:tabs>
          <w:tab w:val="left" w:pos="720"/>
          <w:tab w:val="left" w:pos="9360"/>
        </w:tabs>
        <w:spacing w:before="120" w:line="276" w:lineRule="auto"/>
        <w:ind w:left="540"/>
        <w:jc w:val="both"/>
        <w:rPr>
          <w:color w:val="000000"/>
          <w:sz w:val="24"/>
          <w:szCs w:val="24"/>
        </w:rPr>
      </w:pPr>
      <w:bookmarkStart w:id="1" w:name="_heading=h.gjdgxs" w:colFirst="0" w:colLast="0"/>
      <w:bookmarkStart w:id="2" w:name="_heading=h.1fob9te" w:colFirst="0" w:colLast="0"/>
      <w:bookmarkEnd w:id="1"/>
      <w:bookmarkEnd w:id="2"/>
      <w:r>
        <w:rPr>
          <w:color w:val="000000"/>
          <w:sz w:val="24"/>
          <w:szCs w:val="24"/>
        </w:rPr>
        <w:t xml:space="preserve">         </w:t>
      </w:r>
      <w:proofErr w:type="spellStart"/>
      <w:r w:rsidR="007C0511">
        <w:rPr>
          <w:color w:val="000000"/>
          <w:sz w:val="24"/>
          <w:szCs w:val="24"/>
        </w:rPr>
        <w:t>Deshkal</w:t>
      </w:r>
      <w:proofErr w:type="spellEnd"/>
      <w:r w:rsidR="007C0511">
        <w:rPr>
          <w:color w:val="000000"/>
          <w:sz w:val="24"/>
          <w:szCs w:val="24"/>
        </w:rPr>
        <w:t xml:space="preserve"> </w:t>
      </w:r>
      <w:r w:rsidR="008F1604" w:rsidRPr="008F1604">
        <w:rPr>
          <w:color w:val="000000"/>
          <w:sz w:val="24"/>
          <w:szCs w:val="24"/>
        </w:rPr>
        <w:t xml:space="preserve">Society has examined the </w:t>
      </w:r>
      <w:r w:rsidR="00913191">
        <w:rPr>
          <w:color w:val="000000"/>
          <w:sz w:val="24"/>
          <w:szCs w:val="24"/>
        </w:rPr>
        <w:t>plight of the construction work</w:t>
      </w:r>
      <w:r w:rsidR="008F1604" w:rsidRPr="008F1604">
        <w:rPr>
          <w:color w:val="000000"/>
          <w:sz w:val="24"/>
          <w:szCs w:val="24"/>
        </w:rPr>
        <w:t>ers in the north-east region, and has found their working and living conditions to be much poor</w:t>
      </w:r>
      <w:r w:rsidR="007C0511" w:rsidRPr="007C0511">
        <w:rPr>
          <w:sz w:val="24"/>
          <w:szCs w:val="24"/>
        </w:rPr>
        <w:t xml:space="preserve"> </w:t>
      </w:r>
      <w:sdt>
        <w:sdtPr>
          <w:rPr>
            <w:sz w:val="24"/>
            <w:szCs w:val="24"/>
          </w:rPr>
          <w:id w:val="-1976313546"/>
          <w:citation/>
        </w:sdtPr>
        <w:sdtEndPr/>
        <w:sdtContent>
          <w:r w:rsidR="00CC730B">
            <w:rPr>
              <w:sz w:val="24"/>
              <w:szCs w:val="24"/>
            </w:rPr>
            <w:fldChar w:fldCharType="begin"/>
          </w:r>
          <w:r w:rsidR="007C0511">
            <w:rPr>
              <w:sz w:val="24"/>
              <w:szCs w:val="24"/>
            </w:rPr>
            <w:instrText xml:space="preserve"> CITATION Soc02 \l 1033  </w:instrText>
          </w:r>
          <w:r w:rsidR="00CC730B">
            <w:rPr>
              <w:sz w:val="24"/>
              <w:szCs w:val="24"/>
            </w:rPr>
            <w:fldChar w:fldCharType="separate"/>
          </w:r>
          <w:r w:rsidR="007C0511">
            <w:rPr>
              <w:noProof/>
              <w:sz w:val="24"/>
              <w:szCs w:val="24"/>
            </w:rPr>
            <w:t xml:space="preserve"> </w:t>
          </w:r>
          <w:r w:rsidR="007C0511" w:rsidRPr="00914E35">
            <w:rPr>
              <w:noProof/>
              <w:sz w:val="24"/>
              <w:szCs w:val="24"/>
            </w:rPr>
            <w:t>(Society, Plight of construction labourers in North-East India, 2002, p.42)</w:t>
          </w:r>
          <w:r w:rsidR="00CC730B">
            <w:rPr>
              <w:sz w:val="24"/>
              <w:szCs w:val="24"/>
            </w:rPr>
            <w:fldChar w:fldCharType="end"/>
          </w:r>
        </w:sdtContent>
      </w:sdt>
      <w:proofErr w:type="gramStart"/>
      <w:r w:rsidR="007C0511" w:rsidRPr="00BB46C7">
        <w:rPr>
          <w:sz w:val="24"/>
          <w:szCs w:val="24"/>
        </w:rPr>
        <w:t>.</w:t>
      </w:r>
      <w:r w:rsidR="007C0511" w:rsidRPr="00BB46C7">
        <w:rPr>
          <w:color w:val="C00000"/>
          <w:sz w:val="24"/>
          <w:szCs w:val="24"/>
        </w:rPr>
        <w:t xml:space="preserve"> </w:t>
      </w:r>
      <w:r w:rsidR="008F1604" w:rsidRPr="008F1604">
        <w:rPr>
          <w:color w:val="000000"/>
          <w:sz w:val="24"/>
          <w:szCs w:val="24"/>
        </w:rPr>
        <w:t>.</w:t>
      </w:r>
      <w:proofErr w:type="gramEnd"/>
    </w:p>
    <w:p w14:paraId="6EA0EDCF" w14:textId="77777777" w:rsidR="008F1604" w:rsidRPr="00F52758" w:rsidRDefault="008F1604" w:rsidP="008F1604">
      <w:pPr>
        <w:pStyle w:val="Heading1"/>
        <w:spacing w:before="114"/>
        <w:ind w:left="54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ii) Literature examining the socio-economic conditions of construction workers:</w:t>
      </w:r>
    </w:p>
    <w:p w14:paraId="2ED02359" w14:textId="77777777" w:rsidR="008F1604" w:rsidRPr="008F1604" w:rsidRDefault="001C4314" w:rsidP="001C4314">
      <w:pPr>
        <w:tabs>
          <w:tab w:val="left" w:pos="720"/>
          <w:tab w:val="left" w:pos="9360"/>
        </w:tabs>
        <w:spacing w:before="120" w:line="276" w:lineRule="auto"/>
        <w:ind w:left="540"/>
        <w:jc w:val="both"/>
        <w:rPr>
          <w:color w:val="000000"/>
          <w:sz w:val="24"/>
          <w:szCs w:val="24"/>
        </w:rPr>
      </w:pPr>
      <w:r>
        <w:rPr>
          <w:color w:val="000000"/>
          <w:sz w:val="24"/>
          <w:szCs w:val="24"/>
        </w:rPr>
        <w:t xml:space="preserve">           </w:t>
      </w:r>
      <w:r w:rsidR="007C0511">
        <w:rPr>
          <w:color w:val="000000"/>
          <w:sz w:val="24"/>
          <w:szCs w:val="24"/>
        </w:rPr>
        <w:t>Analyzing</w:t>
      </w:r>
      <w:r w:rsidR="008F1604" w:rsidRPr="008F1604">
        <w:rPr>
          <w:color w:val="000000"/>
          <w:sz w:val="24"/>
          <w:szCs w:val="24"/>
        </w:rPr>
        <w:t xml:space="preserve"> the socio-economic conditions of the construction workers in India, several authors/researchers have </w:t>
      </w:r>
      <w:r w:rsidR="00913191" w:rsidRPr="008F1604">
        <w:rPr>
          <w:color w:val="000000"/>
          <w:sz w:val="24"/>
          <w:szCs w:val="24"/>
        </w:rPr>
        <w:t>found a</w:t>
      </w:r>
      <w:r w:rsidR="008F1604" w:rsidRPr="008F1604">
        <w:rPr>
          <w:color w:val="000000"/>
          <w:sz w:val="24"/>
          <w:szCs w:val="24"/>
        </w:rPr>
        <w:t xml:space="preserve"> poor socio-economic status of the workers mainly due to a number of adverse circumstances in their occupational life.</w:t>
      </w:r>
      <w:r w:rsidR="00913191">
        <w:rPr>
          <w:color w:val="000000"/>
          <w:sz w:val="24"/>
          <w:szCs w:val="24"/>
        </w:rPr>
        <w:t xml:space="preserve"> </w:t>
      </w:r>
      <w:r w:rsidR="008F1604" w:rsidRPr="008F1604">
        <w:rPr>
          <w:color w:val="000000"/>
          <w:sz w:val="24"/>
          <w:szCs w:val="24"/>
        </w:rPr>
        <w:t>Among</w:t>
      </w:r>
      <w:r w:rsidR="00913191">
        <w:rPr>
          <w:color w:val="000000"/>
          <w:sz w:val="24"/>
          <w:szCs w:val="24"/>
        </w:rPr>
        <w:t xml:space="preserve"> </w:t>
      </w:r>
      <w:r w:rsidR="00913191" w:rsidRPr="008F1604">
        <w:rPr>
          <w:color w:val="000000"/>
          <w:sz w:val="24"/>
          <w:szCs w:val="24"/>
        </w:rPr>
        <w:t>many, the</w:t>
      </w:r>
      <w:r w:rsidR="008F1604" w:rsidRPr="008F1604">
        <w:rPr>
          <w:color w:val="000000"/>
          <w:sz w:val="24"/>
          <w:szCs w:val="24"/>
        </w:rPr>
        <w:t xml:space="preserve"> main responsible factors are insecurity of works, low wage rates, long working hours, exploitation by the contractors&amp; money lenders, non-</w:t>
      </w:r>
      <w:proofErr w:type="spellStart"/>
      <w:r w:rsidR="008F1604" w:rsidRPr="008F1604">
        <w:rPr>
          <w:color w:val="000000"/>
          <w:sz w:val="24"/>
          <w:szCs w:val="24"/>
        </w:rPr>
        <w:t>transferant</w:t>
      </w:r>
      <w:proofErr w:type="spellEnd"/>
      <w:r w:rsidR="008F1604" w:rsidRPr="008F1604">
        <w:rPr>
          <w:color w:val="000000"/>
          <w:sz w:val="24"/>
          <w:szCs w:val="24"/>
        </w:rPr>
        <w:t xml:space="preserve"> employee-employer relationship, anti-healthy working environment and conditions</w:t>
      </w:r>
      <w:r w:rsidRPr="001C4314">
        <w:rPr>
          <w:sz w:val="24"/>
          <w:szCs w:val="24"/>
          <w:shd w:val="clear" w:color="auto" w:fill="FFFFFF"/>
        </w:rPr>
        <w:t xml:space="preserve"> </w:t>
      </w:r>
      <w:sdt>
        <w:sdtPr>
          <w:rPr>
            <w:sz w:val="24"/>
            <w:szCs w:val="24"/>
            <w:shd w:val="clear" w:color="auto" w:fill="FFFFFF"/>
          </w:rPr>
          <w:id w:val="54634954"/>
          <w:citation/>
        </w:sdtPr>
        <w:sdtEndPr/>
        <w:sdtContent>
          <w:r w:rsidR="00CC730B" w:rsidRPr="00BB46C7">
            <w:rPr>
              <w:sz w:val="24"/>
              <w:szCs w:val="24"/>
              <w:shd w:val="clear" w:color="auto" w:fill="FFFFFF"/>
            </w:rPr>
            <w:fldChar w:fldCharType="begin"/>
          </w:r>
          <w:r w:rsidRPr="00BB46C7">
            <w:rPr>
              <w:sz w:val="24"/>
              <w:szCs w:val="24"/>
              <w:shd w:val="clear" w:color="auto" w:fill="FFFFFF"/>
            </w:rPr>
            <w:instrText xml:space="preserve"> CITATION Mon \l 1033  </w:instrText>
          </w:r>
          <w:r w:rsidR="00CC730B" w:rsidRPr="00BB46C7">
            <w:rPr>
              <w:sz w:val="24"/>
              <w:szCs w:val="24"/>
              <w:shd w:val="clear" w:color="auto" w:fill="FFFFFF"/>
            </w:rPr>
            <w:fldChar w:fldCharType="separate"/>
          </w:r>
          <w:r w:rsidRPr="00BB46C7">
            <w:rPr>
              <w:noProof/>
              <w:sz w:val="24"/>
              <w:szCs w:val="24"/>
              <w:shd w:val="clear" w:color="auto" w:fill="FFFFFF"/>
            </w:rPr>
            <w:t xml:space="preserve"> (Yadav, 2015)</w:t>
          </w:r>
          <w:r w:rsidR="00CC730B" w:rsidRPr="00BB46C7">
            <w:rPr>
              <w:sz w:val="24"/>
              <w:szCs w:val="24"/>
              <w:shd w:val="clear" w:color="auto" w:fill="FFFFFF"/>
            </w:rPr>
            <w:fldChar w:fldCharType="end"/>
          </w:r>
        </w:sdtContent>
      </w:sdt>
      <w:r>
        <w:rPr>
          <w:sz w:val="24"/>
          <w:szCs w:val="24"/>
          <w:shd w:val="clear" w:color="auto" w:fill="FFFFFF"/>
        </w:rPr>
        <w:t>,</w:t>
      </w:r>
      <w:r w:rsidRPr="001C4314">
        <w:rPr>
          <w:sz w:val="24"/>
          <w:szCs w:val="24"/>
        </w:rPr>
        <w:t xml:space="preserve"> </w:t>
      </w:r>
      <w:sdt>
        <w:sdtPr>
          <w:rPr>
            <w:sz w:val="24"/>
            <w:szCs w:val="24"/>
          </w:rPr>
          <w:id w:val="-1976313524"/>
          <w:citation/>
        </w:sdtPr>
        <w:sdtEndPr/>
        <w:sdtContent>
          <w:r w:rsidR="00CC730B">
            <w:rPr>
              <w:sz w:val="24"/>
              <w:szCs w:val="24"/>
            </w:rPr>
            <w:fldChar w:fldCharType="begin"/>
          </w:r>
          <w:r>
            <w:rPr>
              <w:sz w:val="24"/>
              <w:szCs w:val="24"/>
            </w:rPr>
            <w:instrText xml:space="preserve"> CITATION Placeholder1 \l 1033  </w:instrText>
          </w:r>
          <w:r w:rsidR="00CC730B">
            <w:rPr>
              <w:sz w:val="24"/>
              <w:szCs w:val="24"/>
            </w:rPr>
            <w:fldChar w:fldCharType="separate"/>
          </w:r>
          <w:r w:rsidRPr="00914E35">
            <w:rPr>
              <w:noProof/>
              <w:sz w:val="24"/>
              <w:szCs w:val="24"/>
            </w:rPr>
            <w:t>(G Tiwary &amp; et.al, 2013, pp.66-71)</w:t>
          </w:r>
          <w:r w:rsidR="00CC730B">
            <w:rPr>
              <w:sz w:val="24"/>
              <w:szCs w:val="24"/>
            </w:rPr>
            <w:fldChar w:fldCharType="end"/>
          </w:r>
        </w:sdtContent>
      </w:sdt>
      <w:r>
        <w:rPr>
          <w:sz w:val="24"/>
          <w:szCs w:val="24"/>
        </w:rPr>
        <w:t>&amp;</w:t>
      </w:r>
      <w:r w:rsidRPr="001C4314">
        <w:rPr>
          <w:sz w:val="24"/>
          <w:szCs w:val="24"/>
        </w:rPr>
        <w:t xml:space="preserve"> </w:t>
      </w:r>
      <w:sdt>
        <w:sdtPr>
          <w:rPr>
            <w:sz w:val="24"/>
            <w:szCs w:val="24"/>
          </w:rPr>
          <w:id w:val="-1976313517"/>
          <w:citation/>
        </w:sdtPr>
        <w:sdtEndPr/>
        <w:sdtContent>
          <w:r w:rsidR="00CC730B">
            <w:rPr>
              <w:sz w:val="24"/>
              <w:szCs w:val="24"/>
            </w:rPr>
            <w:fldChar w:fldCharType="begin"/>
          </w:r>
          <w:r>
            <w:rPr>
              <w:sz w:val="24"/>
              <w:szCs w:val="24"/>
            </w:rPr>
            <w:instrText xml:space="preserve"> CITATION Placeholder6 \l 1033  </w:instrText>
          </w:r>
          <w:r w:rsidR="00CC730B">
            <w:rPr>
              <w:sz w:val="24"/>
              <w:szCs w:val="24"/>
            </w:rPr>
            <w:fldChar w:fldCharType="separate"/>
          </w:r>
          <w:r w:rsidRPr="00755119">
            <w:rPr>
              <w:noProof/>
              <w:sz w:val="24"/>
              <w:szCs w:val="24"/>
            </w:rPr>
            <w:t>(Silvia,M ; Moronha,M, 1998, pp.766-772)</w:t>
          </w:r>
          <w:r w:rsidR="00CC730B">
            <w:rPr>
              <w:sz w:val="24"/>
              <w:szCs w:val="24"/>
            </w:rPr>
            <w:fldChar w:fldCharType="end"/>
          </w:r>
        </w:sdtContent>
      </w:sdt>
      <w:r w:rsidRPr="00BB46C7">
        <w:rPr>
          <w:sz w:val="24"/>
          <w:szCs w:val="24"/>
        </w:rPr>
        <w:t>.</w:t>
      </w:r>
      <w:r w:rsidR="008F1604" w:rsidRPr="008F1604">
        <w:rPr>
          <w:color w:val="000000"/>
          <w:sz w:val="24"/>
          <w:szCs w:val="24"/>
        </w:rPr>
        <w:t xml:space="preserve"> </w:t>
      </w:r>
    </w:p>
    <w:p w14:paraId="01E8DEA2" w14:textId="77777777" w:rsidR="008F1604" w:rsidRDefault="001C4314" w:rsidP="001C4314">
      <w:pPr>
        <w:pBdr>
          <w:top w:val="nil"/>
          <w:left w:val="nil"/>
          <w:bottom w:val="nil"/>
          <w:right w:val="nil"/>
          <w:between w:val="nil"/>
        </w:pBdr>
        <w:spacing w:before="105" w:line="273" w:lineRule="auto"/>
        <w:ind w:left="540" w:firstLine="540"/>
        <w:jc w:val="both"/>
        <w:rPr>
          <w:color w:val="000000"/>
          <w:sz w:val="24"/>
          <w:szCs w:val="24"/>
        </w:rPr>
      </w:pPr>
      <w:r>
        <w:rPr>
          <w:color w:val="000000"/>
          <w:sz w:val="24"/>
          <w:szCs w:val="24"/>
        </w:rPr>
        <w:t xml:space="preserve">B </w:t>
      </w:r>
      <w:proofErr w:type="spellStart"/>
      <w:r w:rsidR="008F1604" w:rsidRPr="008F1604">
        <w:rPr>
          <w:color w:val="000000"/>
          <w:sz w:val="24"/>
          <w:szCs w:val="24"/>
        </w:rPr>
        <w:t>Ponnuswamy</w:t>
      </w:r>
      <w:proofErr w:type="spellEnd"/>
      <w:r w:rsidR="008F1604" w:rsidRPr="008F1604">
        <w:rPr>
          <w:sz w:val="24"/>
          <w:szCs w:val="24"/>
        </w:rPr>
        <w:t xml:space="preserve"> </w:t>
      </w:r>
      <w:r w:rsidR="008F1604" w:rsidRPr="008F1604">
        <w:rPr>
          <w:color w:val="000000"/>
          <w:sz w:val="24"/>
          <w:szCs w:val="24"/>
        </w:rPr>
        <w:t>has examined the employment and working conditions of the CWs, and found the same to be much poor. He has suggested to cover all the construction workers under the state welfare board, to organize periodical training camps at the working sites for their skill up-gradation and to adopt minimum safety measures for their protection</w:t>
      </w:r>
      <w:r w:rsidRPr="001C4314">
        <w:rPr>
          <w:sz w:val="24"/>
          <w:szCs w:val="24"/>
        </w:rPr>
        <w:t xml:space="preserve"> </w:t>
      </w:r>
      <w:sdt>
        <w:sdtPr>
          <w:rPr>
            <w:sz w:val="24"/>
            <w:szCs w:val="24"/>
          </w:rPr>
          <w:id w:val="-1976313527"/>
          <w:citation/>
        </w:sdtPr>
        <w:sdtEndPr/>
        <w:sdtContent>
          <w:r w:rsidR="00CC730B">
            <w:rPr>
              <w:sz w:val="24"/>
              <w:szCs w:val="24"/>
            </w:rPr>
            <w:fldChar w:fldCharType="begin"/>
          </w:r>
          <w:r>
            <w:rPr>
              <w:sz w:val="24"/>
              <w:szCs w:val="24"/>
            </w:rPr>
            <w:instrText xml:space="preserve"> CITATION Placeholder3 \l 1033  </w:instrText>
          </w:r>
          <w:r w:rsidR="00CC730B">
            <w:rPr>
              <w:sz w:val="24"/>
              <w:szCs w:val="24"/>
            </w:rPr>
            <w:fldChar w:fldCharType="separate"/>
          </w:r>
          <w:r w:rsidRPr="00755119">
            <w:rPr>
              <w:noProof/>
              <w:sz w:val="24"/>
              <w:szCs w:val="24"/>
            </w:rPr>
            <w:t>(Ponnuswamy B. , 2013, pp.228-246)</w:t>
          </w:r>
          <w:r w:rsidR="00CC730B">
            <w:rPr>
              <w:sz w:val="24"/>
              <w:szCs w:val="24"/>
            </w:rPr>
            <w:fldChar w:fldCharType="end"/>
          </w:r>
        </w:sdtContent>
      </w:sdt>
      <w:r w:rsidR="008F1604" w:rsidRPr="008F1604">
        <w:rPr>
          <w:color w:val="000000"/>
          <w:sz w:val="24"/>
          <w:szCs w:val="24"/>
        </w:rPr>
        <w:t>.</w:t>
      </w:r>
    </w:p>
    <w:p w14:paraId="5DB1A366" w14:textId="77777777" w:rsidR="001C4314" w:rsidRDefault="001C4314" w:rsidP="001C4314">
      <w:pPr>
        <w:tabs>
          <w:tab w:val="left" w:pos="720"/>
          <w:tab w:val="left" w:pos="9360"/>
        </w:tabs>
        <w:spacing w:before="120" w:line="276" w:lineRule="auto"/>
        <w:ind w:left="540"/>
        <w:jc w:val="both"/>
        <w:rPr>
          <w:sz w:val="24"/>
          <w:szCs w:val="24"/>
        </w:rPr>
      </w:pPr>
      <w:r>
        <w:rPr>
          <w:sz w:val="24"/>
          <w:szCs w:val="24"/>
        </w:rPr>
        <w:t xml:space="preserve">          Another Ph. D researcher, Neha </w:t>
      </w:r>
      <w:r w:rsidRPr="00BB46C7">
        <w:rPr>
          <w:sz w:val="24"/>
          <w:szCs w:val="24"/>
        </w:rPr>
        <w:t>Singla has found significant gender discrimination in wage payment, monthly income and banking habits among the CWs in Punjab, most of whom are the migrant workers, largely from Bihar and Uttar Prades</w:t>
      </w:r>
      <w:r>
        <w:rPr>
          <w:sz w:val="24"/>
          <w:szCs w:val="24"/>
        </w:rPr>
        <w:t>h. Such migrant workers have had</w:t>
      </w:r>
      <w:r w:rsidRPr="00BB46C7">
        <w:rPr>
          <w:sz w:val="24"/>
          <w:szCs w:val="24"/>
        </w:rPr>
        <w:t xml:space="preserve"> a deplorable living at the temporary hutments in the workplace with a much poor sanitation facilities and other amenities required for a civic life</w:t>
      </w:r>
      <w:r>
        <w:rPr>
          <w:sz w:val="24"/>
          <w:szCs w:val="24"/>
        </w:rPr>
        <w:t>.</w:t>
      </w:r>
      <w:r w:rsidRPr="00BB46C7">
        <w:rPr>
          <w:sz w:val="24"/>
          <w:szCs w:val="24"/>
        </w:rPr>
        <w:t xml:space="preserve"> For lessening their harsh plight, he has suggested for the payment of minimum wage to the workers and insurance coverage under national health insurance schemes such as RSBY</w:t>
      </w:r>
      <w:sdt>
        <w:sdtPr>
          <w:rPr>
            <w:sz w:val="24"/>
            <w:szCs w:val="24"/>
          </w:rPr>
          <w:id w:val="44872438"/>
          <w:citation/>
        </w:sdtPr>
        <w:sdtEndPr/>
        <w:sdtContent>
          <w:r w:rsidR="00CC730B">
            <w:rPr>
              <w:sz w:val="24"/>
              <w:szCs w:val="24"/>
            </w:rPr>
            <w:fldChar w:fldCharType="begin"/>
          </w:r>
          <w:r>
            <w:rPr>
              <w:sz w:val="24"/>
              <w:szCs w:val="24"/>
            </w:rPr>
            <w:instrText xml:space="preserve"> CITATION Sin21 \l 1033  </w:instrText>
          </w:r>
          <w:r w:rsidR="00CC730B">
            <w:rPr>
              <w:sz w:val="24"/>
              <w:szCs w:val="24"/>
            </w:rPr>
            <w:fldChar w:fldCharType="separate"/>
          </w:r>
          <w:r>
            <w:rPr>
              <w:noProof/>
              <w:sz w:val="24"/>
              <w:szCs w:val="24"/>
            </w:rPr>
            <w:t xml:space="preserve"> </w:t>
          </w:r>
          <w:r w:rsidRPr="00755119">
            <w:rPr>
              <w:noProof/>
              <w:sz w:val="24"/>
              <w:szCs w:val="24"/>
            </w:rPr>
            <w:t>(Singla, 2015, pp.221)</w:t>
          </w:r>
          <w:r w:rsidR="00CC730B">
            <w:rPr>
              <w:sz w:val="24"/>
              <w:szCs w:val="24"/>
            </w:rPr>
            <w:fldChar w:fldCharType="end"/>
          </w:r>
        </w:sdtContent>
      </w:sdt>
      <w:r w:rsidRPr="00BB46C7">
        <w:rPr>
          <w:sz w:val="24"/>
          <w:szCs w:val="24"/>
        </w:rPr>
        <w:t xml:space="preserve">.        </w:t>
      </w:r>
      <w:r w:rsidRPr="00BB46C7">
        <w:rPr>
          <w:sz w:val="24"/>
          <w:szCs w:val="24"/>
          <w:shd w:val="clear" w:color="auto" w:fill="FEFEFE"/>
        </w:rPr>
        <w:t xml:space="preserve">  </w:t>
      </w:r>
    </w:p>
    <w:p w14:paraId="02D662E4" w14:textId="77777777" w:rsidR="008F1604" w:rsidRPr="00F52758" w:rsidRDefault="008F1604" w:rsidP="008F1604">
      <w:pPr>
        <w:pStyle w:val="Heading1"/>
        <w:spacing w:before="116"/>
        <w:ind w:left="54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iii) Literature on health and safety, pay-work condition, and wage rates and employment of construction workers:</w:t>
      </w:r>
    </w:p>
    <w:p w14:paraId="759C7F58" w14:textId="77777777" w:rsidR="008F1604" w:rsidRPr="008F1604" w:rsidRDefault="001C4314" w:rsidP="001C4314">
      <w:pPr>
        <w:tabs>
          <w:tab w:val="left" w:pos="720"/>
          <w:tab w:val="left" w:pos="9360"/>
        </w:tabs>
        <w:spacing w:before="120" w:line="276" w:lineRule="auto"/>
        <w:ind w:left="540" w:hanging="540"/>
        <w:jc w:val="both"/>
        <w:rPr>
          <w:color w:val="000000"/>
          <w:sz w:val="24"/>
          <w:szCs w:val="24"/>
        </w:rPr>
      </w:pPr>
      <w:r>
        <w:rPr>
          <w:color w:val="000000"/>
          <w:sz w:val="24"/>
          <w:szCs w:val="24"/>
        </w:rPr>
        <w:t xml:space="preserve">                  </w:t>
      </w:r>
      <w:r w:rsidR="00566C03">
        <w:rPr>
          <w:color w:val="000000"/>
          <w:sz w:val="24"/>
          <w:szCs w:val="24"/>
        </w:rPr>
        <w:t xml:space="preserve"> </w:t>
      </w:r>
      <w:r>
        <w:rPr>
          <w:color w:val="000000"/>
          <w:sz w:val="24"/>
          <w:szCs w:val="24"/>
        </w:rPr>
        <w:t xml:space="preserve">  </w:t>
      </w:r>
      <w:r w:rsidR="008F1604" w:rsidRPr="008F1604">
        <w:rPr>
          <w:color w:val="000000"/>
          <w:sz w:val="24"/>
          <w:szCs w:val="24"/>
        </w:rPr>
        <w:t xml:space="preserve">Mohammad </w:t>
      </w:r>
      <w:r w:rsidR="008F1604" w:rsidRPr="008F1604">
        <w:rPr>
          <w:sz w:val="24"/>
          <w:szCs w:val="24"/>
        </w:rPr>
        <w:t>et al.</w:t>
      </w:r>
      <w:r>
        <w:rPr>
          <w:color w:val="000000"/>
          <w:sz w:val="24"/>
          <w:szCs w:val="24"/>
        </w:rPr>
        <w:t xml:space="preserve"> </w:t>
      </w:r>
      <w:r w:rsidR="008F1604" w:rsidRPr="008F1604">
        <w:rPr>
          <w:color w:val="000000"/>
          <w:sz w:val="24"/>
          <w:szCs w:val="24"/>
        </w:rPr>
        <w:t xml:space="preserve">have examined the occupational health problems of construction workers in Kashmir. They have observed the prevalence of various health hazards, mainly of </w:t>
      </w:r>
      <w:proofErr w:type="spellStart"/>
      <w:r w:rsidR="008F1604" w:rsidRPr="008F1604">
        <w:rPr>
          <w:color w:val="000000"/>
          <w:sz w:val="24"/>
          <w:szCs w:val="24"/>
        </w:rPr>
        <w:t>musculo</w:t>
      </w:r>
      <w:proofErr w:type="spellEnd"/>
      <w:r w:rsidR="008F1604" w:rsidRPr="008F1604">
        <w:rPr>
          <w:color w:val="000000"/>
          <w:sz w:val="24"/>
          <w:szCs w:val="24"/>
        </w:rPr>
        <w:t xml:space="preserve">-skeletal disorder, respiratory and skin diseases and injury among the workers owing to little use of personal protective </w:t>
      </w:r>
      <w:proofErr w:type="spellStart"/>
      <w:r w:rsidR="008F1604" w:rsidRPr="008F1604">
        <w:rPr>
          <w:color w:val="000000"/>
          <w:sz w:val="24"/>
          <w:szCs w:val="24"/>
        </w:rPr>
        <w:t>equipments</w:t>
      </w:r>
      <w:proofErr w:type="spellEnd"/>
      <w:r w:rsidRPr="001C4314">
        <w:rPr>
          <w:sz w:val="24"/>
          <w:szCs w:val="24"/>
        </w:rPr>
        <w:t xml:space="preserve"> </w:t>
      </w:r>
      <w:sdt>
        <w:sdtPr>
          <w:rPr>
            <w:sz w:val="24"/>
            <w:szCs w:val="24"/>
          </w:rPr>
          <w:id w:val="-1976313514"/>
          <w:citation/>
        </w:sdtPr>
        <w:sdtEndPr/>
        <w:sdtContent>
          <w:r w:rsidR="00CC730B">
            <w:rPr>
              <w:sz w:val="24"/>
              <w:szCs w:val="24"/>
            </w:rPr>
            <w:fldChar w:fldCharType="begin"/>
          </w:r>
          <w:r>
            <w:rPr>
              <w:sz w:val="24"/>
              <w:szCs w:val="24"/>
            </w:rPr>
            <w:instrText xml:space="preserve"> CITATION Placeholder7 \l 1033  </w:instrText>
          </w:r>
          <w:r w:rsidR="00CC730B">
            <w:rPr>
              <w:sz w:val="24"/>
              <w:szCs w:val="24"/>
            </w:rPr>
            <w:fldChar w:fldCharType="separate"/>
          </w:r>
          <w:r w:rsidRPr="00C64EE5">
            <w:rPr>
              <w:noProof/>
              <w:sz w:val="24"/>
              <w:szCs w:val="24"/>
            </w:rPr>
            <w:t>(Mir, Mohammad Sarwar; Hamid, Ruksana; Azhar, Mohammad; Mustafa malik, Ghulam, 2018, p.308)</w:t>
          </w:r>
          <w:r w:rsidR="00CC730B">
            <w:rPr>
              <w:sz w:val="24"/>
              <w:szCs w:val="24"/>
            </w:rPr>
            <w:fldChar w:fldCharType="end"/>
          </w:r>
        </w:sdtContent>
      </w:sdt>
      <w:r w:rsidRPr="00BB46C7">
        <w:rPr>
          <w:sz w:val="24"/>
          <w:szCs w:val="24"/>
        </w:rPr>
        <w:t>.</w:t>
      </w:r>
    </w:p>
    <w:p w14:paraId="0FCE4DDB" w14:textId="77777777" w:rsidR="008F1604" w:rsidRDefault="00566C03" w:rsidP="008F1604">
      <w:pPr>
        <w:pBdr>
          <w:top w:val="nil"/>
          <w:left w:val="nil"/>
          <w:bottom w:val="nil"/>
          <w:right w:val="nil"/>
          <w:between w:val="nil"/>
        </w:pBdr>
        <w:spacing w:before="104" w:line="273" w:lineRule="auto"/>
        <w:ind w:left="540"/>
        <w:jc w:val="both"/>
        <w:rPr>
          <w:color w:val="000000"/>
          <w:sz w:val="24"/>
          <w:szCs w:val="24"/>
        </w:rPr>
      </w:pPr>
      <w:r>
        <w:rPr>
          <w:sz w:val="24"/>
          <w:szCs w:val="24"/>
        </w:rPr>
        <w:t xml:space="preserve">          </w:t>
      </w:r>
      <w:r w:rsidR="00D014E9">
        <w:rPr>
          <w:sz w:val="24"/>
          <w:szCs w:val="24"/>
        </w:rPr>
        <w:t xml:space="preserve">T. Jayakrishnan </w:t>
      </w:r>
      <w:r w:rsidR="00D014E9" w:rsidRPr="00BB46C7">
        <w:rPr>
          <w:sz w:val="24"/>
          <w:szCs w:val="24"/>
        </w:rPr>
        <w:t>et al</w:t>
      </w:r>
      <w:r w:rsidR="009E60FC">
        <w:rPr>
          <w:sz w:val="24"/>
          <w:szCs w:val="24"/>
        </w:rPr>
        <w:t>.</w:t>
      </w:r>
      <w:r w:rsidR="00D014E9" w:rsidRPr="00BB46C7">
        <w:rPr>
          <w:sz w:val="24"/>
          <w:szCs w:val="24"/>
        </w:rPr>
        <w:t xml:space="preserve"> in a </w:t>
      </w:r>
      <w:proofErr w:type="gramStart"/>
      <w:r w:rsidR="00D014E9" w:rsidRPr="00BB46C7">
        <w:rPr>
          <w:sz w:val="24"/>
          <w:szCs w:val="24"/>
        </w:rPr>
        <w:t>cross sectional</w:t>
      </w:r>
      <w:proofErr w:type="gramEnd"/>
      <w:r w:rsidR="00D014E9" w:rsidRPr="00BB46C7">
        <w:rPr>
          <w:sz w:val="24"/>
          <w:szCs w:val="24"/>
        </w:rPr>
        <w:t xml:space="preserve"> study of 387 sample CWs in Kerala examined the prevalence of various occupational health diseases between two groups of workers, viz: construction workers and civil </w:t>
      </w:r>
      <w:r w:rsidR="0074498E" w:rsidRPr="00BB46C7">
        <w:rPr>
          <w:sz w:val="24"/>
          <w:szCs w:val="24"/>
        </w:rPr>
        <w:t xml:space="preserve">workers </w:t>
      </w:r>
      <w:sdt>
        <w:sdtPr>
          <w:rPr>
            <w:sz w:val="24"/>
            <w:szCs w:val="24"/>
          </w:rPr>
          <w:id w:val="818521"/>
          <w:citation/>
        </w:sdtPr>
        <w:sdtEndPr/>
        <w:sdtContent>
          <w:r w:rsidR="00CC730B">
            <w:rPr>
              <w:sz w:val="24"/>
              <w:szCs w:val="24"/>
            </w:rPr>
            <w:fldChar w:fldCharType="begin"/>
          </w:r>
          <w:r w:rsidR="00D014E9">
            <w:rPr>
              <w:sz w:val="24"/>
              <w:szCs w:val="24"/>
            </w:rPr>
            <w:instrText xml:space="preserve"> CITATION Placeholder9 \l 1033  </w:instrText>
          </w:r>
          <w:r w:rsidR="00CC730B">
            <w:rPr>
              <w:sz w:val="24"/>
              <w:szCs w:val="24"/>
            </w:rPr>
            <w:fldChar w:fldCharType="separate"/>
          </w:r>
          <w:r w:rsidR="00D014E9" w:rsidRPr="00C64EE5">
            <w:rPr>
              <w:noProof/>
              <w:sz w:val="24"/>
              <w:szCs w:val="24"/>
            </w:rPr>
            <w:t>(Jayakrishnan, Thomas, Rao, &amp; George, 2013, pp.227-229)</w:t>
          </w:r>
          <w:r w:rsidR="00CC730B">
            <w:rPr>
              <w:sz w:val="24"/>
              <w:szCs w:val="24"/>
            </w:rPr>
            <w:fldChar w:fldCharType="end"/>
          </w:r>
        </w:sdtContent>
      </w:sdt>
      <w:r w:rsidR="008F1604" w:rsidRPr="008F1604">
        <w:rPr>
          <w:color w:val="000000"/>
          <w:sz w:val="24"/>
          <w:szCs w:val="24"/>
        </w:rPr>
        <w:t>.</w:t>
      </w:r>
    </w:p>
    <w:p w14:paraId="788D90EA" w14:textId="77777777" w:rsidR="00984EDD" w:rsidRPr="00984EDD" w:rsidRDefault="00984EDD" w:rsidP="00984EDD">
      <w:pPr>
        <w:pBdr>
          <w:top w:val="nil"/>
          <w:left w:val="nil"/>
          <w:bottom w:val="nil"/>
          <w:right w:val="nil"/>
          <w:between w:val="nil"/>
        </w:pBdr>
        <w:spacing w:before="102" w:line="273" w:lineRule="auto"/>
        <w:ind w:left="540"/>
        <w:jc w:val="both"/>
        <w:rPr>
          <w:color w:val="000000"/>
          <w:sz w:val="24"/>
          <w:szCs w:val="24"/>
        </w:rPr>
      </w:pPr>
      <w:r>
        <w:rPr>
          <w:sz w:val="24"/>
          <w:szCs w:val="24"/>
        </w:rPr>
        <w:t xml:space="preserve">           </w:t>
      </w:r>
      <w:r w:rsidRPr="00984EDD">
        <w:rPr>
          <w:sz w:val="24"/>
          <w:szCs w:val="24"/>
        </w:rPr>
        <w:t>P</w:t>
      </w:r>
      <w:r w:rsidRPr="00984EDD">
        <w:rPr>
          <w:color w:val="000000"/>
          <w:sz w:val="24"/>
          <w:szCs w:val="24"/>
        </w:rPr>
        <w:t>atel</w:t>
      </w:r>
      <w:r w:rsidRPr="00984EDD">
        <w:rPr>
          <w:sz w:val="24"/>
          <w:szCs w:val="24"/>
        </w:rPr>
        <w:t xml:space="preserve"> </w:t>
      </w:r>
      <w:proofErr w:type="gramStart"/>
      <w:r w:rsidRPr="00984EDD">
        <w:rPr>
          <w:sz w:val="24"/>
          <w:szCs w:val="24"/>
        </w:rPr>
        <w:t xml:space="preserve">et </w:t>
      </w:r>
      <w:proofErr w:type="spellStart"/>
      <w:r w:rsidRPr="00984EDD">
        <w:rPr>
          <w:sz w:val="24"/>
          <w:szCs w:val="24"/>
        </w:rPr>
        <w:t>al.</w:t>
      </w:r>
      <w:r w:rsidRPr="00984EDD">
        <w:rPr>
          <w:color w:val="000000"/>
          <w:sz w:val="24"/>
          <w:szCs w:val="24"/>
        </w:rPr>
        <w:t>,examining</w:t>
      </w:r>
      <w:proofErr w:type="spellEnd"/>
      <w:proofErr w:type="gramEnd"/>
      <w:r w:rsidRPr="00984EDD">
        <w:rPr>
          <w:color w:val="000000"/>
          <w:sz w:val="24"/>
          <w:szCs w:val="24"/>
        </w:rPr>
        <w:t xml:space="preserve"> the impact of working conditions on the life of the male </w:t>
      </w:r>
      <w:r w:rsidRPr="00984EDD">
        <w:rPr>
          <w:color w:val="000000"/>
          <w:sz w:val="24"/>
          <w:szCs w:val="24"/>
        </w:rPr>
        <w:lastRenderedPageBreak/>
        <w:t>construction workers, have found a significant association between the skill category workers and morbidity status</w:t>
      </w:r>
      <w:sdt>
        <w:sdtPr>
          <w:rPr>
            <w:color w:val="000000"/>
            <w:sz w:val="24"/>
            <w:szCs w:val="24"/>
          </w:rPr>
          <w:id w:val="31546742"/>
          <w:citation/>
        </w:sdtPr>
        <w:sdtEndPr/>
        <w:sdtContent>
          <w:r w:rsidR="00CC730B" w:rsidRPr="00984EDD">
            <w:rPr>
              <w:color w:val="000000"/>
              <w:sz w:val="24"/>
              <w:szCs w:val="24"/>
            </w:rPr>
            <w:fldChar w:fldCharType="begin"/>
          </w:r>
          <w:r w:rsidRPr="00984EDD">
            <w:rPr>
              <w:color w:val="000000"/>
              <w:sz w:val="24"/>
              <w:szCs w:val="24"/>
            </w:rPr>
            <w:instrText xml:space="preserve"> CITATION MHC56 \l 1033 </w:instrText>
          </w:r>
          <w:r w:rsidR="00CC730B" w:rsidRPr="00984EDD">
            <w:rPr>
              <w:color w:val="000000"/>
              <w:sz w:val="24"/>
              <w:szCs w:val="24"/>
            </w:rPr>
            <w:fldChar w:fldCharType="separate"/>
          </w:r>
          <w:r w:rsidRPr="00984EDD">
            <w:rPr>
              <w:noProof/>
              <w:color w:val="000000"/>
              <w:sz w:val="24"/>
              <w:szCs w:val="24"/>
            </w:rPr>
            <w:t xml:space="preserve"> (M. H. C. Patel; Mohmmedirtan Moitra, Momin H.&amp; Kanharia, 2012,pp.652-656)</w:t>
          </w:r>
          <w:r w:rsidR="00CC730B" w:rsidRPr="00984EDD">
            <w:rPr>
              <w:color w:val="000000"/>
              <w:sz w:val="24"/>
              <w:szCs w:val="24"/>
            </w:rPr>
            <w:fldChar w:fldCharType="end"/>
          </w:r>
        </w:sdtContent>
      </w:sdt>
      <w:r w:rsidRPr="00984EDD">
        <w:rPr>
          <w:color w:val="000000"/>
          <w:sz w:val="24"/>
          <w:szCs w:val="24"/>
        </w:rPr>
        <w:t>.</w:t>
      </w:r>
    </w:p>
    <w:p w14:paraId="69FD5059" w14:textId="77777777" w:rsidR="00F17764" w:rsidRDefault="00566C03" w:rsidP="00F17764">
      <w:pPr>
        <w:pBdr>
          <w:top w:val="nil"/>
          <w:left w:val="nil"/>
          <w:bottom w:val="nil"/>
          <w:right w:val="nil"/>
          <w:between w:val="nil"/>
        </w:pBdr>
        <w:spacing w:before="103" w:line="273" w:lineRule="auto"/>
        <w:ind w:left="540"/>
        <w:jc w:val="both"/>
        <w:rPr>
          <w:color w:val="000000"/>
          <w:sz w:val="24"/>
          <w:szCs w:val="24"/>
        </w:rPr>
      </w:pPr>
      <w:r>
        <w:rPr>
          <w:color w:val="000000"/>
          <w:sz w:val="24"/>
          <w:szCs w:val="24"/>
        </w:rPr>
        <w:t xml:space="preserve">          </w:t>
      </w:r>
      <w:proofErr w:type="spellStart"/>
      <w:r w:rsidR="00F17764" w:rsidRPr="00F17764">
        <w:rPr>
          <w:color w:val="000000"/>
          <w:sz w:val="24"/>
          <w:szCs w:val="24"/>
        </w:rPr>
        <w:t>Prasad</w:t>
      </w:r>
      <w:r w:rsidR="00F17764" w:rsidRPr="00F17764">
        <w:rPr>
          <w:sz w:val="24"/>
          <w:szCs w:val="24"/>
        </w:rPr>
        <w:t>&amp;Reghunath</w:t>
      </w:r>
      <w:proofErr w:type="spellEnd"/>
      <w:r w:rsidR="00F17764" w:rsidRPr="00F17764">
        <w:rPr>
          <w:color w:val="000000"/>
          <w:sz w:val="24"/>
          <w:szCs w:val="24"/>
        </w:rPr>
        <w:t xml:space="preserve"> have outlined a proactive approach –an approach of providing essential feedback on performance before incidents by conducting safety sampling survey and overall safety performance to eliminate any action/condition having the potentiality of causing injuries and accidents</w:t>
      </w:r>
      <w:sdt>
        <w:sdtPr>
          <w:rPr>
            <w:color w:val="000000"/>
            <w:sz w:val="24"/>
            <w:szCs w:val="24"/>
          </w:rPr>
          <w:id w:val="31546739"/>
          <w:citation/>
        </w:sdtPr>
        <w:sdtEndPr/>
        <w:sdtContent>
          <w:r w:rsidR="00CC730B">
            <w:rPr>
              <w:color w:val="000000"/>
              <w:sz w:val="24"/>
              <w:szCs w:val="24"/>
            </w:rPr>
            <w:fldChar w:fldCharType="begin"/>
          </w:r>
          <w:r>
            <w:rPr>
              <w:color w:val="000000"/>
              <w:sz w:val="24"/>
              <w:szCs w:val="24"/>
            </w:rPr>
            <w:instrText xml:space="preserve"> CITATION SVS16 \l 1033 </w:instrText>
          </w:r>
          <w:r w:rsidR="00CC730B">
            <w:rPr>
              <w:color w:val="000000"/>
              <w:sz w:val="24"/>
              <w:szCs w:val="24"/>
            </w:rPr>
            <w:fldChar w:fldCharType="separate"/>
          </w:r>
          <w:r>
            <w:rPr>
              <w:noProof/>
              <w:color w:val="000000"/>
              <w:sz w:val="24"/>
              <w:szCs w:val="24"/>
            </w:rPr>
            <w:t xml:space="preserve"> </w:t>
          </w:r>
          <w:r w:rsidRPr="00566C03">
            <w:rPr>
              <w:noProof/>
              <w:color w:val="000000"/>
              <w:sz w:val="24"/>
              <w:szCs w:val="24"/>
            </w:rPr>
            <w:t>(S V S R Prasad&amp; K P Reghunath, 2011,pp.1-6)</w:t>
          </w:r>
          <w:r w:rsidR="00CC730B">
            <w:rPr>
              <w:color w:val="000000"/>
              <w:sz w:val="24"/>
              <w:szCs w:val="24"/>
            </w:rPr>
            <w:fldChar w:fldCharType="end"/>
          </w:r>
        </w:sdtContent>
      </w:sdt>
      <w:r w:rsidR="00F17764" w:rsidRPr="00F17764">
        <w:rPr>
          <w:color w:val="000000"/>
          <w:sz w:val="24"/>
          <w:szCs w:val="24"/>
        </w:rPr>
        <w:t>.</w:t>
      </w:r>
    </w:p>
    <w:p w14:paraId="3600638A" w14:textId="77777777" w:rsidR="008F1604" w:rsidRPr="008F1604" w:rsidRDefault="009E60FC" w:rsidP="009E60FC">
      <w:pPr>
        <w:tabs>
          <w:tab w:val="left" w:pos="720"/>
          <w:tab w:val="left" w:pos="9360"/>
        </w:tabs>
        <w:spacing w:before="120" w:line="276" w:lineRule="auto"/>
        <w:ind w:left="540" w:hanging="540"/>
        <w:jc w:val="both"/>
        <w:rPr>
          <w:color w:val="000000"/>
          <w:sz w:val="24"/>
          <w:szCs w:val="24"/>
        </w:rPr>
      </w:pPr>
      <w:r>
        <w:rPr>
          <w:color w:val="000000"/>
          <w:sz w:val="24"/>
          <w:szCs w:val="24"/>
        </w:rPr>
        <w:t xml:space="preserve">                </w:t>
      </w:r>
      <w:r w:rsidR="00566C03">
        <w:rPr>
          <w:color w:val="000000"/>
          <w:sz w:val="24"/>
          <w:szCs w:val="24"/>
        </w:rPr>
        <w:t xml:space="preserve">   </w:t>
      </w:r>
      <w:proofErr w:type="spellStart"/>
      <w:r w:rsidR="008F1604" w:rsidRPr="008F1604">
        <w:rPr>
          <w:color w:val="000000"/>
          <w:sz w:val="24"/>
          <w:szCs w:val="24"/>
        </w:rPr>
        <w:t>Thakurta</w:t>
      </w:r>
      <w:proofErr w:type="spellEnd"/>
      <w:r w:rsidR="008F1604" w:rsidRPr="008F1604">
        <w:rPr>
          <w:color w:val="000000"/>
          <w:sz w:val="24"/>
          <w:szCs w:val="24"/>
        </w:rPr>
        <w:t xml:space="preserve"> has examined the wages of the unskilled male workers engaged in the road and building construction projects in the union territory of Tripura, and found it rigid relative to the change in the food prices, due to much weak unionism among them</w:t>
      </w:r>
      <w:sdt>
        <w:sdtPr>
          <w:rPr>
            <w:sz w:val="24"/>
            <w:szCs w:val="24"/>
          </w:rPr>
          <w:id w:val="-1972332889"/>
          <w:citation/>
        </w:sdtPr>
        <w:sdtEndPr/>
        <w:sdtContent>
          <w:r w:rsidR="00CC730B">
            <w:rPr>
              <w:sz w:val="24"/>
              <w:szCs w:val="24"/>
            </w:rPr>
            <w:fldChar w:fldCharType="begin"/>
          </w:r>
          <w:r>
            <w:rPr>
              <w:sz w:val="24"/>
              <w:szCs w:val="24"/>
            </w:rPr>
            <w:instrText xml:space="preserve"> CITATION Placeholder10 \l 1033  </w:instrText>
          </w:r>
          <w:r w:rsidR="00CC730B">
            <w:rPr>
              <w:sz w:val="24"/>
              <w:szCs w:val="24"/>
            </w:rPr>
            <w:fldChar w:fldCharType="separate"/>
          </w:r>
          <w:r>
            <w:rPr>
              <w:noProof/>
              <w:sz w:val="24"/>
              <w:szCs w:val="24"/>
            </w:rPr>
            <w:t xml:space="preserve"> </w:t>
          </w:r>
          <w:r w:rsidRPr="00C64EE5">
            <w:rPr>
              <w:noProof/>
              <w:sz w:val="24"/>
              <w:szCs w:val="24"/>
            </w:rPr>
            <w:t>(Thakurta S. N., 1971, pp.2211-2215)</w:t>
          </w:r>
          <w:r w:rsidR="00CC730B">
            <w:rPr>
              <w:sz w:val="24"/>
              <w:szCs w:val="24"/>
            </w:rPr>
            <w:fldChar w:fldCharType="end"/>
          </w:r>
        </w:sdtContent>
      </w:sdt>
      <w:r w:rsidRPr="00BB46C7">
        <w:rPr>
          <w:sz w:val="24"/>
          <w:szCs w:val="24"/>
        </w:rPr>
        <w:t>.</w:t>
      </w:r>
    </w:p>
    <w:p w14:paraId="47F76C9D" w14:textId="77777777" w:rsidR="008F1604" w:rsidRPr="00F52758" w:rsidRDefault="008F1604" w:rsidP="008F1604">
      <w:pPr>
        <w:pStyle w:val="Heading1"/>
        <w:spacing w:before="115"/>
        <w:ind w:left="54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iv) Literature relating to the issues of the female construction workers:</w:t>
      </w:r>
    </w:p>
    <w:p w14:paraId="7A0EA7CF" w14:textId="77777777" w:rsidR="009E60FC" w:rsidRPr="00BB46C7" w:rsidRDefault="009E60FC" w:rsidP="009E60FC">
      <w:pPr>
        <w:tabs>
          <w:tab w:val="left" w:pos="720"/>
          <w:tab w:val="left" w:pos="9360"/>
        </w:tabs>
        <w:spacing w:before="120" w:line="276" w:lineRule="auto"/>
        <w:ind w:left="540"/>
        <w:jc w:val="both"/>
        <w:rPr>
          <w:sz w:val="24"/>
          <w:szCs w:val="24"/>
        </w:rPr>
      </w:pPr>
      <w:r>
        <w:rPr>
          <w:color w:val="000000"/>
          <w:sz w:val="24"/>
          <w:szCs w:val="24"/>
        </w:rPr>
        <w:t xml:space="preserve">          </w:t>
      </w:r>
      <w:r w:rsidR="00566C03">
        <w:rPr>
          <w:color w:val="000000"/>
          <w:sz w:val="24"/>
          <w:szCs w:val="24"/>
        </w:rPr>
        <w:t xml:space="preserve">    </w:t>
      </w:r>
      <w:r w:rsidR="008F1604" w:rsidRPr="008F1604">
        <w:rPr>
          <w:color w:val="000000"/>
          <w:sz w:val="24"/>
          <w:szCs w:val="24"/>
        </w:rPr>
        <w:t>Examining the issues of women workers in construction sector in various states of India, the authors/researchers have- found</w:t>
      </w:r>
      <w:r>
        <w:rPr>
          <w:color w:val="000000"/>
          <w:sz w:val="24"/>
          <w:szCs w:val="24"/>
        </w:rPr>
        <w:t xml:space="preserve"> </w:t>
      </w:r>
      <w:r w:rsidR="008F1604" w:rsidRPr="008F1604">
        <w:rPr>
          <w:color w:val="000000"/>
          <w:sz w:val="24"/>
          <w:szCs w:val="24"/>
        </w:rPr>
        <w:t>pathetic conditions of women workers and outlined</w:t>
      </w:r>
      <w:r>
        <w:rPr>
          <w:color w:val="000000"/>
          <w:sz w:val="24"/>
          <w:szCs w:val="24"/>
        </w:rPr>
        <w:t xml:space="preserve"> </w:t>
      </w:r>
      <w:r w:rsidR="008F1604" w:rsidRPr="008F1604">
        <w:rPr>
          <w:color w:val="000000"/>
          <w:sz w:val="24"/>
          <w:szCs w:val="24"/>
        </w:rPr>
        <w:t>many</w:t>
      </w:r>
      <w:r>
        <w:rPr>
          <w:color w:val="000000"/>
          <w:sz w:val="24"/>
          <w:szCs w:val="24"/>
        </w:rPr>
        <w:t xml:space="preserve"> </w:t>
      </w:r>
      <w:r w:rsidR="008F1604" w:rsidRPr="008F1604">
        <w:rPr>
          <w:color w:val="000000"/>
          <w:sz w:val="24"/>
          <w:szCs w:val="24"/>
        </w:rPr>
        <w:t xml:space="preserve">of their </w:t>
      </w:r>
      <w:proofErr w:type="gramStart"/>
      <w:r w:rsidR="008F1604" w:rsidRPr="008F1604">
        <w:rPr>
          <w:color w:val="000000"/>
          <w:sz w:val="24"/>
          <w:szCs w:val="24"/>
        </w:rPr>
        <w:t>work related</w:t>
      </w:r>
      <w:proofErr w:type="gramEnd"/>
      <w:r w:rsidR="008F1604" w:rsidRPr="008F1604">
        <w:rPr>
          <w:color w:val="000000"/>
          <w:sz w:val="24"/>
          <w:szCs w:val="24"/>
        </w:rPr>
        <w:t xml:space="preserve"> problems. These are as follows- wage discrimination, sexual harassment ,health and financial hardship, occupational </w:t>
      </w:r>
      <w:r w:rsidRPr="008F1604">
        <w:rPr>
          <w:color w:val="000000"/>
          <w:sz w:val="24"/>
          <w:szCs w:val="24"/>
        </w:rPr>
        <w:t>insecurity, deficiency</w:t>
      </w:r>
      <w:r w:rsidR="008F1604" w:rsidRPr="008F1604">
        <w:rPr>
          <w:color w:val="000000"/>
          <w:sz w:val="24"/>
          <w:szCs w:val="24"/>
        </w:rPr>
        <w:t xml:space="preserve"> in sanitary and drinking water facilities at working </w:t>
      </w:r>
      <w:r w:rsidRPr="008F1604">
        <w:rPr>
          <w:color w:val="000000"/>
          <w:sz w:val="24"/>
          <w:szCs w:val="24"/>
        </w:rPr>
        <w:t>sites, unsafe</w:t>
      </w:r>
      <w:r w:rsidR="008F1604" w:rsidRPr="008F1604">
        <w:rPr>
          <w:color w:val="000000"/>
          <w:sz w:val="24"/>
          <w:szCs w:val="24"/>
        </w:rPr>
        <w:t xml:space="preserve"> environment with adverse working conditions,</w:t>
      </w:r>
      <w:r>
        <w:rPr>
          <w:color w:val="000000"/>
          <w:sz w:val="24"/>
          <w:szCs w:val="24"/>
        </w:rPr>
        <w:t xml:space="preserve"> unhealthy job relationship</w:t>
      </w:r>
      <w:sdt>
        <w:sdtPr>
          <w:rPr>
            <w:sz w:val="24"/>
            <w:szCs w:val="24"/>
          </w:rPr>
          <w:id w:val="818525"/>
          <w:citation/>
        </w:sdtPr>
        <w:sdtEndPr/>
        <w:sdtContent>
          <w:r w:rsidR="00CC730B">
            <w:rPr>
              <w:sz w:val="24"/>
              <w:szCs w:val="24"/>
            </w:rPr>
            <w:fldChar w:fldCharType="begin"/>
          </w:r>
          <w:r>
            <w:rPr>
              <w:sz w:val="24"/>
              <w:szCs w:val="24"/>
            </w:rPr>
            <w:instrText xml:space="preserve"> CITATION San16 \l 1033  </w:instrText>
          </w:r>
          <w:r w:rsidR="00CC730B">
            <w:rPr>
              <w:sz w:val="24"/>
              <w:szCs w:val="24"/>
            </w:rPr>
            <w:fldChar w:fldCharType="separate"/>
          </w:r>
          <w:r w:rsidRPr="00C64EE5">
            <w:rPr>
              <w:noProof/>
              <w:sz w:val="24"/>
              <w:szCs w:val="24"/>
            </w:rPr>
            <w:t>(Achrya &amp; Sunita, 2016, pp.1-20)</w:t>
          </w:r>
          <w:r w:rsidR="00CC730B">
            <w:rPr>
              <w:sz w:val="24"/>
              <w:szCs w:val="24"/>
            </w:rPr>
            <w:fldChar w:fldCharType="end"/>
          </w:r>
        </w:sdtContent>
      </w:sdt>
      <w:r>
        <w:rPr>
          <w:sz w:val="24"/>
          <w:szCs w:val="24"/>
        </w:rPr>
        <w:t>;</w:t>
      </w:r>
      <w:r w:rsidRPr="009E60FC">
        <w:rPr>
          <w:sz w:val="24"/>
          <w:szCs w:val="24"/>
        </w:rPr>
        <w:t xml:space="preserve"> </w:t>
      </w:r>
      <w:sdt>
        <w:sdtPr>
          <w:rPr>
            <w:sz w:val="24"/>
            <w:szCs w:val="24"/>
          </w:rPr>
          <w:id w:val="1816285"/>
          <w:citation/>
        </w:sdtPr>
        <w:sdtEndPr/>
        <w:sdtContent>
          <w:r w:rsidR="00CC730B">
            <w:rPr>
              <w:sz w:val="24"/>
              <w:szCs w:val="24"/>
            </w:rPr>
            <w:fldChar w:fldCharType="begin"/>
          </w:r>
          <w:r>
            <w:rPr>
              <w:sz w:val="24"/>
              <w:szCs w:val="24"/>
            </w:rPr>
            <w:instrText xml:space="preserve"> CITATION Kal13 \l 1033  </w:instrText>
          </w:r>
          <w:r w:rsidR="00CC730B">
            <w:rPr>
              <w:sz w:val="24"/>
              <w:szCs w:val="24"/>
            </w:rPr>
            <w:fldChar w:fldCharType="separate"/>
          </w:r>
          <w:r w:rsidRPr="00C64EE5">
            <w:rPr>
              <w:noProof/>
              <w:sz w:val="24"/>
              <w:szCs w:val="24"/>
            </w:rPr>
            <w:t>(Devi,K;Kiran,U V., 2013, pp.27-30)</w:t>
          </w:r>
          <w:r w:rsidR="00CC730B">
            <w:rPr>
              <w:sz w:val="24"/>
              <w:szCs w:val="24"/>
            </w:rPr>
            <w:fldChar w:fldCharType="end"/>
          </w:r>
        </w:sdtContent>
      </w:sdt>
      <w:r>
        <w:rPr>
          <w:sz w:val="24"/>
          <w:szCs w:val="24"/>
        </w:rPr>
        <w:t>&amp;</w:t>
      </w:r>
      <w:sdt>
        <w:sdtPr>
          <w:rPr>
            <w:sz w:val="24"/>
            <w:szCs w:val="24"/>
          </w:rPr>
          <w:id w:val="1816287"/>
          <w:citation/>
        </w:sdtPr>
        <w:sdtEndPr/>
        <w:sdtContent>
          <w:r w:rsidR="00CC730B">
            <w:rPr>
              <w:sz w:val="24"/>
              <w:szCs w:val="24"/>
            </w:rPr>
            <w:fldChar w:fldCharType="begin"/>
          </w:r>
          <w:r>
            <w:rPr>
              <w:sz w:val="24"/>
              <w:szCs w:val="24"/>
            </w:rPr>
            <w:instrText xml:space="preserve"> CITATION Poo12 \l 1033  </w:instrText>
          </w:r>
          <w:r w:rsidR="00CC730B">
            <w:rPr>
              <w:sz w:val="24"/>
              <w:szCs w:val="24"/>
            </w:rPr>
            <w:fldChar w:fldCharType="separate"/>
          </w:r>
          <w:r w:rsidRPr="00C64EE5">
            <w:rPr>
              <w:noProof/>
              <w:sz w:val="24"/>
              <w:szCs w:val="24"/>
            </w:rPr>
            <w:t>(Poongodi, 2012, pp.9-11)</w:t>
          </w:r>
          <w:r w:rsidR="00CC730B">
            <w:rPr>
              <w:sz w:val="24"/>
              <w:szCs w:val="24"/>
            </w:rPr>
            <w:fldChar w:fldCharType="end"/>
          </w:r>
        </w:sdtContent>
      </w:sdt>
      <w:r w:rsidRPr="00BB46C7">
        <w:rPr>
          <w:sz w:val="24"/>
          <w:szCs w:val="24"/>
        </w:rPr>
        <w:t>.</w:t>
      </w:r>
    </w:p>
    <w:p w14:paraId="1F48BC2B" w14:textId="77777777" w:rsidR="008F1604" w:rsidRPr="008F1604" w:rsidRDefault="00566C03" w:rsidP="008F1604">
      <w:pPr>
        <w:pBdr>
          <w:top w:val="nil"/>
          <w:left w:val="nil"/>
          <w:bottom w:val="nil"/>
          <w:right w:val="nil"/>
          <w:between w:val="nil"/>
        </w:pBdr>
        <w:spacing w:before="105" w:line="273" w:lineRule="auto"/>
        <w:ind w:left="540"/>
        <w:jc w:val="both"/>
        <w:rPr>
          <w:color w:val="000000"/>
          <w:sz w:val="24"/>
          <w:szCs w:val="24"/>
        </w:rPr>
      </w:pPr>
      <w:r>
        <w:rPr>
          <w:color w:val="000000"/>
          <w:sz w:val="24"/>
          <w:szCs w:val="24"/>
        </w:rPr>
        <w:t xml:space="preserve">             </w:t>
      </w:r>
      <w:r w:rsidR="008F1604" w:rsidRPr="008F1604">
        <w:rPr>
          <w:color w:val="000000"/>
          <w:sz w:val="24"/>
          <w:szCs w:val="24"/>
        </w:rPr>
        <w:t>Chitra</w:t>
      </w:r>
      <w:r w:rsidR="00365B33">
        <w:rPr>
          <w:sz w:val="24"/>
          <w:szCs w:val="24"/>
        </w:rPr>
        <w:t xml:space="preserve"> </w:t>
      </w:r>
      <w:r w:rsidR="008F1604" w:rsidRPr="008F1604">
        <w:rPr>
          <w:color w:val="000000"/>
          <w:sz w:val="24"/>
          <w:szCs w:val="24"/>
        </w:rPr>
        <w:t>has studied the family, occupational and personal problems of women construction workers in Tiruchirappalli. She has found a significant association between the type of the house of the women workers and their social and occupational problems, and between the age and the level of family problems</w:t>
      </w:r>
      <w:r w:rsidR="00365B33" w:rsidRPr="00365B33">
        <w:rPr>
          <w:sz w:val="24"/>
          <w:szCs w:val="24"/>
        </w:rPr>
        <w:t xml:space="preserve"> </w:t>
      </w:r>
      <w:sdt>
        <w:sdtPr>
          <w:rPr>
            <w:sz w:val="24"/>
            <w:szCs w:val="24"/>
          </w:rPr>
          <w:id w:val="1816284"/>
          <w:citation/>
        </w:sdtPr>
        <w:sdtEndPr/>
        <w:sdtContent>
          <w:r w:rsidR="00CC730B">
            <w:rPr>
              <w:sz w:val="24"/>
              <w:szCs w:val="24"/>
            </w:rPr>
            <w:fldChar w:fldCharType="begin"/>
          </w:r>
          <w:r w:rsidR="00365B33">
            <w:rPr>
              <w:sz w:val="24"/>
              <w:szCs w:val="24"/>
            </w:rPr>
            <w:instrText xml:space="preserve"> CITATION Chi15 \l 1033  </w:instrText>
          </w:r>
          <w:r w:rsidR="00CC730B">
            <w:rPr>
              <w:sz w:val="24"/>
              <w:szCs w:val="24"/>
            </w:rPr>
            <w:fldChar w:fldCharType="separate"/>
          </w:r>
          <w:r w:rsidR="00365B33" w:rsidRPr="00C64EE5">
            <w:rPr>
              <w:noProof/>
              <w:sz w:val="24"/>
              <w:szCs w:val="24"/>
            </w:rPr>
            <w:t>(Chitra, 2016, pp.46-52)</w:t>
          </w:r>
          <w:r w:rsidR="00CC730B">
            <w:rPr>
              <w:sz w:val="24"/>
              <w:szCs w:val="24"/>
            </w:rPr>
            <w:fldChar w:fldCharType="end"/>
          </w:r>
        </w:sdtContent>
      </w:sdt>
      <w:r w:rsidR="008F1604" w:rsidRPr="008F1604">
        <w:rPr>
          <w:color w:val="000000"/>
          <w:sz w:val="24"/>
          <w:szCs w:val="24"/>
        </w:rPr>
        <w:t>.</w:t>
      </w:r>
    </w:p>
    <w:p w14:paraId="44677CC9" w14:textId="77777777" w:rsidR="00984EDD" w:rsidRDefault="00566C03" w:rsidP="008F1604">
      <w:pPr>
        <w:pBdr>
          <w:top w:val="nil"/>
          <w:left w:val="nil"/>
          <w:bottom w:val="nil"/>
          <w:right w:val="nil"/>
          <w:between w:val="nil"/>
        </w:pBdr>
        <w:spacing w:before="103" w:line="273" w:lineRule="auto"/>
        <w:ind w:left="540"/>
        <w:jc w:val="both"/>
        <w:rPr>
          <w:sz w:val="24"/>
          <w:szCs w:val="24"/>
        </w:rPr>
      </w:pPr>
      <w:r>
        <w:rPr>
          <w:color w:val="000000"/>
          <w:sz w:val="24"/>
          <w:szCs w:val="24"/>
        </w:rPr>
        <w:t xml:space="preserve">             </w:t>
      </w:r>
      <w:r w:rsidR="008F1604" w:rsidRPr="008F1604">
        <w:rPr>
          <w:color w:val="000000"/>
          <w:sz w:val="24"/>
          <w:szCs w:val="24"/>
        </w:rPr>
        <w:t>Sultana</w:t>
      </w:r>
      <w:r w:rsidR="008F1604" w:rsidRPr="008F1604">
        <w:rPr>
          <w:sz w:val="24"/>
          <w:szCs w:val="24"/>
        </w:rPr>
        <w:t xml:space="preserve"> et al.</w:t>
      </w:r>
      <w:r w:rsidR="008F1604" w:rsidRPr="008F1604">
        <w:rPr>
          <w:color w:val="000000"/>
          <w:sz w:val="24"/>
          <w:szCs w:val="24"/>
        </w:rPr>
        <w:t xml:space="preserve">in studying the health problems amongst the female BCWs in Dhaka city, they have found that due to the improper use of personal protective </w:t>
      </w:r>
      <w:proofErr w:type="spellStart"/>
      <w:r w:rsidR="008F1604" w:rsidRPr="008F1604">
        <w:rPr>
          <w:color w:val="000000"/>
          <w:sz w:val="24"/>
          <w:szCs w:val="24"/>
        </w:rPr>
        <w:t>equipments</w:t>
      </w:r>
      <w:proofErr w:type="spellEnd"/>
      <w:r w:rsidR="008F1604" w:rsidRPr="008F1604">
        <w:rPr>
          <w:color w:val="000000"/>
          <w:sz w:val="24"/>
          <w:szCs w:val="24"/>
        </w:rPr>
        <w:t xml:space="preserve"> and unawareness of working environments, the workers are victims of </w:t>
      </w:r>
      <w:proofErr w:type="spellStart"/>
      <w:r w:rsidR="008F1604" w:rsidRPr="008F1604">
        <w:rPr>
          <w:color w:val="000000"/>
          <w:sz w:val="24"/>
          <w:szCs w:val="24"/>
        </w:rPr>
        <w:t>musculo-sketal</w:t>
      </w:r>
      <w:proofErr w:type="spellEnd"/>
      <w:r w:rsidR="008F1604" w:rsidRPr="008F1604">
        <w:rPr>
          <w:color w:val="000000"/>
          <w:sz w:val="24"/>
          <w:szCs w:val="24"/>
        </w:rPr>
        <w:t xml:space="preserve"> injuries, body pain and respiratory disorders</w:t>
      </w:r>
      <w:r w:rsidR="00365B33" w:rsidRPr="00365B33">
        <w:rPr>
          <w:sz w:val="24"/>
          <w:szCs w:val="24"/>
        </w:rPr>
        <w:t xml:space="preserve"> </w:t>
      </w:r>
      <w:sdt>
        <w:sdtPr>
          <w:rPr>
            <w:sz w:val="24"/>
            <w:szCs w:val="24"/>
          </w:rPr>
          <w:id w:val="818520"/>
          <w:citation/>
        </w:sdtPr>
        <w:sdtEndPr/>
        <w:sdtContent>
          <w:r w:rsidR="00CC730B">
            <w:rPr>
              <w:sz w:val="24"/>
              <w:szCs w:val="24"/>
            </w:rPr>
            <w:fldChar w:fldCharType="begin"/>
          </w:r>
          <w:r w:rsidR="00365B33">
            <w:rPr>
              <w:sz w:val="24"/>
              <w:szCs w:val="24"/>
            </w:rPr>
            <w:instrText xml:space="preserve"> CITATION Nah14 \l 1033  </w:instrText>
          </w:r>
          <w:r w:rsidR="00CC730B">
            <w:rPr>
              <w:sz w:val="24"/>
              <w:szCs w:val="24"/>
            </w:rPr>
            <w:fldChar w:fldCharType="separate"/>
          </w:r>
          <w:r w:rsidR="00365B33" w:rsidRPr="00C64EE5">
            <w:rPr>
              <w:noProof/>
              <w:sz w:val="24"/>
              <w:szCs w:val="24"/>
            </w:rPr>
            <w:t>(Sultana, Nahid; Ferdousi,J;Shaidullah, Mdl, 2014, pp.658-661)</w:t>
          </w:r>
          <w:r w:rsidR="00CC730B">
            <w:rPr>
              <w:sz w:val="24"/>
              <w:szCs w:val="24"/>
            </w:rPr>
            <w:fldChar w:fldCharType="end"/>
          </w:r>
        </w:sdtContent>
      </w:sdt>
      <w:r w:rsidR="00365B33">
        <w:rPr>
          <w:sz w:val="24"/>
          <w:szCs w:val="24"/>
        </w:rPr>
        <w:t>.</w:t>
      </w:r>
    </w:p>
    <w:p w14:paraId="512B0994" w14:textId="77777777" w:rsidR="00984EDD" w:rsidRPr="006B17B9" w:rsidRDefault="006B17B9" w:rsidP="00984EDD">
      <w:pPr>
        <w:pBdr>
          <w:top w:val="nil"/>
          <w:left w:val="nil"/>
          <w:bottom w:val="nil"/>
          <w:right w:val="nil"/>
          <w:between w:val="nil"/>
        </w:pBdr>
        <w:spacing w:before="102" w:line="273" w:lineRule="auto"/>
        <w:ind w:left="540" w:right="-90"/>
        <w:jc w:val="both"/>
        <w:rPr>
          <w:color w:val="000000"/>
          <w:sz w:val="24"/>
          <w:szCs w:val="24"/>
        </w:rPr>
      </w:pPr>
      <w:r>
        <w:rPr>
          <w:color w:val="000000"/>
          <w:sz w:val="24"/>
          <w:szCs w:val="24"/>
        </w:rPr>
        <w:t xml:space="preserve">           R. Lakhani has</w:t>
      </w:r>
      <w:r w:rsidR="00984EDD" w:rsidRPr="006B17B9">
        <w:rPr>
          <w:color w:val="000000"/>
          <w:sz w:val="24"/>
          <w:szCs w:val="24"/>
        </w:rPr>
        <w:t xml:space="preserve"> examined the occupational health status of women workers in the construction industry. The authors have found the prevalence of various kinds of diseases and injuries amongst</w:t>
      </w:r>
      <w:r>
        <w:rPr>
          <w:color w:val="000000"/>
          <w:sz w:val="24"/>
          <w:szCs w:val="24"/>
        </w:rPr>
        <w:t xml:space="preserve"> </w:t>
      </w:r>
      <w:r w:rsidR="00984EDD" w:rsidRPr="006B17B9">
        <w:rPr>
          <w:color w:val="000000"/>
          <w:sz w:val="24"/>
          <w:szCs w:val="24"/>
        </w:rPr>
        <w:t>women workers for being the exposure of adverse working conditions and unsafe environment</w:t>
      </w:r>
      <w:sdt>
        <w:sdtPr>
          <w:rPr>
            <w:color w:val="000000"/>
            <w:sz w:val="24"/>
            <w:szCs w:val="24"/>
          </w:rPr>
          <w:id w:val="31546744"/>
          <w:citation/>
        </w:sdtPr>
        <w:sdtEndPr/>
        <w:sdtContent>
          <w:r w:rsidR="00CC730B">
            <w:rPr>
              <w:color w:val="000000"/>
              <w:sz w:val="24"/>
              <w:szCs w:val="24"/>
            </w:rPr>
            <w:fldChar w:fldCharType="begin"/>
          </w:r>
          <w:r>
            <w:rPr>
              <w:color w:val="000000"/>
              <w:sz w:val="24"/>
              <w:szCs w:val="24"/>
            </w:rPr>
            <w:instrText xml:space="preserve"> CITATION RLa44 \l 1033 </w:instrText>
          </w:r>
          <w:r w:rsidR="00CC730B">
            <w:rPr>
              <w:color w:val="000000"/>
              <w:sz w:val="24"/>
              <w:szCs w:val="24"/>
            </w:rPr>
            <w:fldChar w:fldCharType="separate"/>
          </w:r>
          <w:r>
            <w:rPr>
              <w:noProof/>
              <w:color w:val="000000"/>
              <w:sz w:val="24"/>
              <w:szCs w:val="24"/>
            </w:rPr>
            <w:t xml:space="preserve"> </w:t>
          </w:r>
          <w:r w:rsidRPr="006B17B9">
            <w:rPr>
              <w:noProof/>
              <w:color w:val="000000"/>
              <w:sz w:val="24"/>
              <w:szCs w:val="24"/>
            </w:rPr>
            <w:t>(Lakhani, 2014,pp.40-44)</w:t>
          </w:r>
          <w:r w:rsidR="00CC730B">
            <w:rPr>
              <w:color w:val="000000"/>
              <w:sz w:val="24"/>
              <w:szCs w:val="24"/>
            </w:rPr>
            <w:fldChar w:fldCharType="end"/>
          </w:r>
        </w:sdtContent>
      </w:sdt>
      <w:r w:rsidR="00984EDD" w:rsidRPr="006B17B9">
        <w:rPr>
          <w:color w:val="000000"/>
          <w:sz w:val="24"/>
          <w:szCs w:val="24"/>
        </w:rPr>
        <w:t>.</w:t>
      </w:r>
    </w:p>
    <w:p w14:paraId="7B1B5571" w14:textId="77777777" w:rsidR="00984EDD" w:rsidRPr="006B17B9" w:rsidRDefault="006B17B9" w:rsidP="006B17B9">
      <w:pPr>
        <w:pBdr>
          <w:top w:val="nil"/>
          <w:left w:val="nil"/>
          <w:bottom w:val="nil"/>
          <w:right w:val="nil"/>
          <w:between w:val="nil"/>
        </w:pBdr>
        <w:spacing w:before="132" w:line="273" w:lineRule="auto"/>
        <w:ind w:left="540" w:right="-90"/>
        <w:jc w:val="both"/>
        <w:rPr>
          <w:color w:val="000000"/>
          <w:sz w:val="24"/>
          <w:szCs w:val="24"/>
        </w:rPr>
      </w:pPr>
      <w:r>
        <w:rPr>
          <w:color w:val="000000"/>
          <w:sz w:val="24"/>
          <w:szCs w:val="24"/>
        </w:rPr>
        <w:t xml:space="preserve">         A.J. Dalmia </w:t>
      </w:r>
      <w:r w:rsidR="00984EDD" w:rsidRPr="006B17B9">
        <w:rPr>
          <w:color w:val="000000"/>
          <w:sz w:val="24"/>
          <w:szCs w:val="24"/>
        </w:rPr>
        <w:t xml:space="preserve">has outlined how women construction workers in Delhi become vulnerable in the absence of </w:t>
      </w:r>
      <w:r w:rsidRPr="006B17B9">
        <w:rPr>
          <w:color w:val="000000"/>
          <w:sz w:val="24"/>
          <w:szCs w:val="24"/>
        </w:rPr>
        <w:t>the</w:t>
      </w:r>
      <w:r w:rsidR="00984EDD" w:rsidRPr="006B17B9">
        <w:rPr>
          <w:color w:val="000000"/>
          <w:sz w:val="24"/>
          <w:szCs w:val="24"/>
        </w:rPr>
        <w:t xml:space="preserve"> financial control and the knowledge pertaining their rights, despite being an earning member of the family</w:t>
      </w:r>
      <w:sdt>
        <w:sdtPr>
          <w:rPr>
            <w:color w:val="000000"/>
            <w:sz w:val="24"/>
            <w:szCs w:val="24"/>
          </w:rPr>
          <w:id w:val="31546745"/>
          <w:citation/>
        </w:sdtPr>
        <w:sdtEndPr/>
        <w:sdtContent>
          <w:r w:rsidR="00CC730B">
            <w:rPr>
              <w:color w:val="000000"/>
              <w:sz w:val="24"/>
              <w:szCs w:val="24"/>
            </w:rPr>
            <w:fldChar w:fldCharType="begin"/>
          </w:r>
          <w:r>
            <w:rPr>
              <w:color w:val="000000"/>
              <w:sz w:val="24"/>
              <w:szCs w:val="24"/>
            </w:rPr>
            <w:instrText xml:space="preserve"> CITATION AJD61 \l 1033 </w:instrText>
          </w:r>
          <w:r w:rsidR="00CC730B">
            <w:rPr>
              <w:color w:val="000000"/>
              <w:sz w:val="24"/>
              <w:szCs w:val="24"/>
            </w:rPr>
            <w:fldChar w:fldCharType="separate"/>
          </w:r>
          <w:r>
            <w:rPr>
              <w:noProof/>
              <w:color w:val="000000"/>
              <w:sz w:val="24"/>
              <w:szCs w:val="24"/>
            </w:rPr>
            <w:t xml:space="preserve"> </w:t>
          </w:r>
          <w:r w:rsidRPr="006B17B9">
            <w:rPr>
              <w:noProof/>
              <w:color w:val="000000"/>
              <w:sz w:val="24"/>
              <w:szCs w:val="24"/>
            </w:rPr>
            <w:t>(Dalmia, 2012,pp.249-261)</w:t>
          </w:r>
          <w:r w:rsidR="00CC730B">
            <w:rPr>
              <w:color w:val="000000"/>
              <w:sz w:val="24"/>
              <w:szCs w:val="24"/>
            </w:rPr>
            <w:fldChar w:fldCharType="end"/>
          </w:r>
        </w:sdtContent>
      </w:sdt>
      <w:r w:rsidR="00984EDD" w:rsidRPr="006B17B9">
        <w:rPr>
          <w:color w:val="000000"/>
          <w:sz w:val="24"/>
          <w:szCs w:val="24"/>
        </w:rPr>
        <w:t>.</w:t>
      </w:r>
    </w:p>
    <w:p w14:paraId="62A9D8B8" w14:textId="77777777" w:rsidR="006B17B9" w:rsidRDefault="006B17B9" w:rsidP="006B17B9">
      <w:pPr>
        <w:spacing w:before="133" w:line="273" w:lineRule="auto"/>
        <w:ind w:left="540" w:right="-90"/>
        <w:jc w:val="both"/>
        <w:rPr>
          <w:sz w:val="20"/>
          <w:szCs w:val="20"/>
        </w:rPr>
      </w:pPr>
      <w:r>
        <w:rPr>
          <w:color w:val="000000"/>
          <w:sz w:val="24"/>
          <w:szCs w:val="24"/>
        </w:rPr>
        <w:t xml:space="preserve">        </w:t>
      </w:r>
      <w:r w:rsidR="00566C03">
        <w:rPr>
          <w:color w:val="000000"/>
          <w:sz w:val="24"/>
          <w:szCs w:val="24"/>
        </w:rPr>
        <w:t xml:space="preserve"> </w:t>
      </w:r>
      <w:r w:rsidR="008F1604" w:rsidRPr="008F1604">
        <w:rPr>
          <w:color w:val="000000"/>
          <w:sz w:val="24"/>
          <w:szCs w:val="24"/>
        </w:rPr>
        <w:t>SEWA</w:t>
      </w:r>
      <w:r w:rsidR="008F1604" w:rsidRPr="008F1604">
        <w:rPr>
          <w:sz w:val="24"/>
          <w:szCs w:val="24"/>
        </w:rPr>
        <w:t xml:space="preserve"> </w:t>
      </w:r>
      <w:r w:rsidR="008F1604" w:rsidRPr="008F1604">
        <w:rPr>
          <w:color w:val="000000"/>
          <w:sz w:val="24"/>
          <w:szCs w:val="24"/>
        </w:rPr>
        <w:t xml:space="preserve">had examined the living and working status of the women construction workers in Ahmadabad. The Association has observed that almost all the women workers have been engaged in unskilled jobs at a substantially lower daily wage rate and a little social security </w:t>
      </w:r>
      <w:r w:rsidR="008F1604" w:rsidRPr="008F1604">
        <w:rPr>
          <w:color w:val="000000"/>
          <w:sz w:val="24"/>
          <w:szCs w:val="24"/>
        </w:rPr>
        <w:lastRenderedPageBreak/>
        <w:t>benefits are extended to them</w:t>
      </w:r>
      <w:r w:rsidR="00365B33" w:rsidRPr="00365B33">
        <w:rPr>
          <w:sz w:val="24"/>
          <w:szCs w:val="24"/>
        </w:rPr>
        <w:t xml:space="preserve"> </w:t>
      </w:r>
      <w:sdt>
        <w:sdtPr>
          <w:rPr>
            <w:sz w:val="24"/>
            <w:szCs w:val="24"/>
          </w:rPr>
          <w:id w:val="818516"/>
          <w:citation/>
        </w:sdtPr>
        <w:sdtEndPr/>
        <w:sdtContent>
          <w:r w:rsidR="00CC730B">
            <w:rPr>
              <w:sz w:val="24"/>
              <w:szCs w:val="24"/>
            </w:rPr>
            <w:fldChar w:fldCharType="begin"/>
          </w:r>
          <w:r w:rsidR="00365B33">
            <w:rPr>
              <w:sz w:val="24"/>
              <w:szCs w:val="24"/>
            </w:rPr>
            <w:instrText xml:space="preserve"> CITATION SEW00 \l 1033  </w:instrText>
          </w:r>
          <w:r w:rsidR="00CC730B">
            <w:rPr>
              <w:sz w:val="24"/>
              <w:szCs w:val="24"/>
            </w:rPr>
            <w:fldChar w:fldCharType="separate"/>
          </w:r>
          <w:r w:rsidR="00365B33" w:rsidRPr="00C64EE5">
            <w:rPr>
              <w:noProof/>
              <w:sz w:val="24"/>
              <w:szCs w:val="24"/>
            </w:rPr>
            <w:t>(SEWA, 2000, pp.3-6)</w:t>
          </w:r>
          <w:r w:rsidR="00CC730B">
            <w:rPr>
              <w:sz w:val="24"/>
              <w:szCs w:val="24"/>
            </w:rPr>
            <w:fldChar w:fldCharType="end"/>
          </w:r>
        </w:sdtContent>
      </w:sdt>
      <w:r w:rsidR="008F1604" w:rsidRPr="008F1604">
        <w:rPr>
          <w:color w:val="000000"/>
          <w:sz w:val="24"/>
          <w:szCs w:val="24"/>
        </w:rPr>
        <w:t>.</w:t>
      </w:r>
      <w:r w:rsidRPr="006B17B9">
        <w:rPr>
          <w:sz w:val="20"/>
          <w:szCs w:val="20"/>
        </w:rPr>
        <w:t xml:space="preserve"> </w:t>
      </w:r>
    </w:p>
    <w:p w14:paraId="28EBF0AC" w14:textId="77777777" w:rsidR="008F1604" w:rsidRPr="00F52758" w:rsidRDefault="008F1604" w:rsidP="008F1604">
      <w:pPr>
        <w:pStyle w:val="Heading1"/>
        <w:spacing w:before="115"/>
        <w:ind w:left="540" w:right="-60" w:firstLine="12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v) Literature examining the wage differentials:</w:t>
      </w:r>
    </w:p>
    <w:p w14:paraId="7E7CCA8D" w14:textId="77777777" w:rsidR="008F1604" w:rsidRPr="008F1604" w:rsidRDefault="00566C03" w:rsidP="008F1604">
      <w:pPr>
        <w:pBdr>
          <w:top w:val="nil"/>
          <w:left w:val="nil"/>
          <w:bottom w:val="nil"/>
          <w:right w:val="nil"/>
          <w:between w:val="nil"/>
        </w:pBdr>
        <w:spacing w:before="146" w:line="273" w:lineRule="auto"/>
        <w:ind w:left="540" w:right="-60"/>
        <w:jc w:val="both"/>
        <w:rPr>
          <w:color w:val="000000"/>
          <w:sz w:val="24"/>
          <w:szCs w:val="24"/>
        </w:rPr>
      </w:pPr>
      <w:r>
        <w:rPr>
          <w:color w:val="000000"/>
          <w:sz w:val="24"/>
          <w:szCs w:val="24"/>
        </w:rPr>
        <w:t xml:space="preserve">             </w:t>
      </w:r>
      <w:proofErr w:type="spellStart"/>
      <w:r w:rsidR="008F1604" w:rsidRPr="008F1604">
        <w:rPr>
          <w:color w:val="000000"/>
          <w:sz w:val="24"/>
          <w:szCs w:val="24"/>
        </w:rPr>
        <w:t>Solanki</w:t>
      </w:r>
      <w:r w:rsidR="008F1604" w:rsidRPr="008F1604">
        <w:rPr>
          <w:sz w:val="24"/>
          <w:szCs w:val="24"/>
        </w:rPr>
        <w:t>&amp;</w:t>
      </w:r>
      <w:r w:rsidR="008F1604" w:rsidRPr="008F1604">
        <w:rPr>
          <w:color w:val="000000"/>
          <w:sz w:val="24"/>
          <w:szCs w:val="24"/>
        </w:rPr>
        <w:t>Zankharia</w:t>
      </w:r>
      <w:proofErr w:type="spellEnd"/>
      <w:r w:rsidR="008F1604" w:rsidRPr="008F1604">
        <w:rPr>
          <w:sz w:val="24"/>
          <w:szCs w:val="24"/>
        </w:rPr>
        <w:t xml:space="preserve"> </w:t>
      </w:r>
      <w:r w:rsidR="008F1604" w:rsidRPr="008F1604">
        <w:rPr>
          <w:color w:val="000000"/>
          <w:sz w:val="24"/>
          <w:szCs w:val="24"/>
        </w:rPr>
        <w:t>have found wage differentials among the migrant workers in Surat city in terms of gender, types of workers (</w:t>
      </w:r>
      <w:proofErr w:type="spellStart"/>
      <w:r w:rsidR="008F1604" w:rsidRPr="008F1604">
        <w:rPr>
          <w:color w:val="000000"/>
          <w:sz w:val="24"/>
          <w:szCs w:val="24"/>
        </w:rPr>
        <w:t>naka</w:t>
      </w:r>
      <w:proofErr w:type="spellEnd"/>
      <w:r w:rsidR="008F1604" w:rsidRPr="008F1604">
        <w:rPr>
          <w:color w:val="000000"/>
          <w:sz w:val="24"/>
          <w:szCs w:val="24"/>
        </w:rPr>
        <w:t xml:space="preserve"> and non-</w:t>
      </w:r>
      <w:proofErr w:type="spellStart"/>
      <w:r w:rsidR="008F1604" w:rsidRPr="008F1604">
        <w:rPr>
          <w:color w:val="000000"/>
          <w:sz w:val="24"/>
          <w:szCs w:val="24"/>
        </w:rPr>
        <w:t>naka</w:t>
      </w:r>
      <w:proofErr w:type="spellEnd"/>
      <w:r w:rsidR="008F1604" w:rsidRPr="008F1604">
        <w:rPr>
          <w:color w:val="000000"/>
          <w:sz w:val="24"/>
          <w:szCs w:val="24"/>
        </w:rPr>
        <w:t>) and sectors (organized and unorganized) as statistically significant</w:t>
      </w:r>
      <w:r w:rsidR="00365B33" w:rsidRPr="00365B33">
        <w:rPr>
          <w:sz w:val="24"/>
          <w:szCs w:val="24"/>
        </w:rPr>
        <w:t xml:space="preserve"> </w:t>
      </w:r>
      <w:sdt>
        <w:sdtPr>
          <w:rPr>
            <w:sz w:val="24"/>
            <w:szCs w:val="24"/>
          </w:rPr>
          <w:id w:val="818526"/>
          <w:citation/>
        </w:sdtPr>
        <w:sdtEndPr/>
        <w:sdtContent>
          <w:r w:rsidR="00CC730B">
            <w:rPr>
              <w:sz w:val="24"/>
              <w:szCs w:val="24"/>
            </w:rPr>
            <w:fldChar w:fldCharType="begin"/>
          </w:r>
          <w:r w:rsidR="00365B33">
            <w:rPr>
              <w:sz w:val="24"/>
              <w:szCs w:val="24"/>
            </w:rPr>
            <w:instrText xml:space="preserve"> CITATION Aru14 \l 1033  </w:instrText>
          </w:r>
          <w:r w:rsidR="00CC730B">
            <w:rPr>
              <w:sz w:val="24"/>
              <w:szCs w:val="24"/>
            </w:rPr>
            <w:fldChar w:fldCharType="separate"/>
          </w:r>
          <w:r w:rsidR="00365B33" w:rsidRPr="00C64EE5">
            <w:rPr>
              <w:noProof/>
              <w:sz w:val="24"/>
              <w:szCs w:val="24"/>
            </w:rPr>
            <w:t>(Solanki, A; Zankharia, Kirit., 2014, pp.21-30)</w:t>
          </w:r>
          <w:r w:rsidR="00CC730B">
            <w:rPr>
              <w:sz w:val="24"/>
              <w:szCs w:val="24"/>
            </w:rPr>
            <w:fldChar w:fldCharType="end"/>
          </w:r>
        </w:sdtContent>
      </w:sdt>
      <w:r w:rsidR="008F1604" w:rsidRPr="008F1604">
        <w:rPr>
          <w:color w:val="000000"/>
          <w:sz w:val="24"/>
          <w:szCs w:val="24"/>
        </w:rPr>
        <w:t>.</w:t>
      </w:r>
    </w:p>
    <w:p w14:paraId="14737BC9" w14:textId="77777777" w:rsidR="008F1604" w:rsidRPr="008F1604" w:rsidRDefault="00566C03" w:rsidP="00365B33">
      <w:pPr>
        <w:tabs>
          <w:tab w:val="left" w:pos="720"/>
          <w:tab w:val="left" w:pos="9360"/>
        </w:tabs>
        <w:spacing w:before="120" w:line="276" w:lineRule="auto"/>
        <w:ind w:left="540"/>
        <w:jc w:val="both"/>
        <w:rPr>
          <w:color w:val="000000"/>
          <w:sz w:val="24"/>
          <w:szCs w:val="24"/>
        </w:rPr>
      </w:pPr>
      <w:r>
        <w:rPr>
          <w:color w:val="000000"/>
          <w:sz w:val="24"/>
          <w:szCs w:val="24"/>
        </w:rPr>
        <w:t xml:space="preserve">              </w:t>
      </w:r>
      <w:r w:rsidR="00365B33">
        <w:rPr>
          <w:color w:val="000000"/>
          <w:sz w:val="24"/>
          <w:szCs w:val="24"/>
        </w:rPr>
        <w:t>Ravi Kumar B</w:t>
      </w:r>
      <w:r w:rsidR="008F1604" w:rsidRPr="008F1604">
        <w:rPr>
          <w:color w:val="000000"/>
          <w:sz w:val="24"/>
          <w:szCs w:val="24"/>
        </w:rPr>
        <w:t>. has examined the harassment confronted by the women construction workers at the workplaces and the discrimination in terms of wages and promotion, and the author has identified a few means for empowering women workers to reduce the discrimination against them</w:t>
      </w:r>
      <w:r w:rsidR="00365B33" w:rsidRPr="00365B33">
        <w:rPr>
          <w:sz w:val="24"/>
          <w:szCs w:val="24"/>
        </w:rPr>
        <w:t xml:space="preserve"> </w:t>
      </w:r>
      <w:sdt>
        <w:sdtPr>
          <w:rPr>
            <w:sz w:val="24"/>
            <w:szCs w:val="24"/>
          </w:rPr>
          <w:id w:val="818522"/>
          <w:citation/>
        </w:sdtPr>
        <w:sdtEndPr/>
        <w:sdtContent>
          <w:r w:rsidR="00CC730B">
            <w:rPr>
              <w:sz w:val="24"/>
              <w:szCs w:val="24"/>
            </w:rPr>
            <w:fldChar w:fldCharType="begin"/>
          </w:r>
          <w:r w:rsidR="00365B33">
            <w:rPr>
              <w:sz w:val="24"/>
              <w:szCs w:val="24"/>
            </w:rPr>
            <w:instrText xml:space="preserve"> CITATION Placeholder11 \l 1033  </w:instrText>
          </w:r>
          <w:r w:rsidR="00CC730B">
            <w:rPr>
              <w:sz w:val="24"/>
              <w:szCs w:val="24"/>
            </w:rPr>
            <w:fldChar w:fldCharType="separate"/>
          </w:r>
          <w:r w:rsidR="00365B33" w:rsidRPr="00C64EE5">
            <w:rPr>
              <w:noProof/>
              <w:sz w:val="24"/>
              <w:szCs w:val="24"/>
            </w:rPr>
            <w:t>(Kumar B. R., 2013, pp.42-53)</w:t>
          </w:r>
          <w:r w:rsidR="00CC730B">
            <w:rPr>
              <w:sz w:val="24"/>
              <w:szCs w:val="24"/>
            </w:rPr>
            <w:fldChar w:fldCharType="end"/>
          </w:r>
        </w:sdtContent>
      </w:sdt>
      <w:r w:rsidR="00365B33" w:rsidRPr="00BB46C7">
        <w:rPr>
          <w:sz w:val="24"/>
          <w:szCs w:val="24"/>
        </w:rPr>
        <w:t xml:space="preserve">.  </w:t>
      </w:r>
      <w:r w:rsidR="008F1604" w:rsidRPr="008F1604">
        <w:rPr>
          <w:color w:val="000000"/>
          <w:sz w:val="24"/>
          <w:szCs w:val="24"/>
        </w:rPr>
        <w:t>.</w:t>
      </w:r>
    </w:p>
    <w:p w14:paraId="2D608B8A" w14:textId="77777777" w:rsidR="008F1604" w:rsidRPr="00F52758" w:rsidRDefault="008F1604" w:rsidP="008F1604">
      <w:pPr>
        <w:pStyle w:val="Heading1"/>
        <w:spacing w:before="116"/>
        <w:ind w:left="540" w:right="-60" w:firstLine="12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vi) Literature relating to the unionism among the workers-</w:t>
      </w:r>
    </w:p>
    <w:p w14:paraId="6BD5E57A" w14:textId="77777777" w:rsidR="008F1604" w:rsidRPr="008F1604" w:rsidRDefault="00566C03" w:rsidP="008F1604">
      <w:pPr>
        <w:pBdr>
          <w:top w:val="nil"/>
          <w:left w:val="nil"/>
          <w:bottom w:val="nil"/>
          <w:right w:val="nil"/>
          <w:between w:val="nil"/>
        </w:pBdr>
        <w:spacing w:before="146" w:line="273" w:lineRule="auto"/>
        <w:ind w:left="540" w:right="-60"/>
        <w:jc w:val="both"/>
        <w:rPr>
          <w:color w:val="000000"/>
          <w:sz w:val="24"/>
          <w:szCs w:val="24"/>
        </w:rPr>
      </w:pPr>
      <w:r>
        <w:rPr>
          <w:color w:val="000000"/>
          <w:sz w:val="24"/>
          <w:szCs w:val="24"/>
        </w:rPr>
        <w:t xml:space="preserve">               </w:t>
      </w:r>
      <w:proofErr w:type="spellStart"/>
      <w:r w:rsidR="008F1604" w:rsidRPr="008F1604">
        <w:rPr>
          <w:color w:val="000000"/>
          <w:sz w:val="24"/>
          <w:szCs w:val="24"/>
        </w:rPr>
        <w:t>Prasanna&amp;Bhardwaj</w:t>
      </w:r>
      <w:proofErr w:type="spellEnd"/>
      <w:r w:rsidR="008F1604" w:rsidRPr="008F1604">
        <w:rPr>
          <w:color w:val="000000"/>
          <w:sz w:val="24"/>
          <w:szCs w:val="24"/>
        </w:rPr>
        <w:t xml:space="preserve"> (2016) in their study have outlined some challenges such as casual nature of works, ignorance, illiteracy, poverty and non-cooperation as confronted by the construction workers in their organizing strategies</w:t>
      </w:r>
      <w:sdt>
        <w:sdtPr>
          <w:rPr>
            <w:color w:val="000000"/>
            <w:sz w:val="24"/>
            <w:szCs w:val="24"/>
          </w:rPr>
          <w:id w:val="31546738"/>
          <w:citation/>
        </w:sdtPr>
        <w:sdtEndPr/>
        <w:sdtContent>
          <w:r w:rsidR="00CC730B">
            <w:rPr>
              <w:color w:val="000000"/>
              <w:sz w:val="24"/>
              <w:szCs w:val="24"/>
            </w:rPr>
            <w:fldChar w:fldCharType="begin"/>
          </w:r>
          <w:r w:rsidR="00F17764">
            <w:rPr>
              <w:color w:val="000000"/>
              <w:sz w:val="24"/>
              <w:szCs w:val="24"/>
            </w:rPr>
            <w:instrText xml:space="preserve"> CITATION Pra381 \l 1033 </w:instrText>
          </w:r>
          <w:r w:rsidR="00CC730B">
            <w:rPr>
              <w:color w:val="000000"/>
              <w:sz w:val="24"/>
              <w:szCs w:val="24"/>
            </w:rPr>
            <w:fldChar w:fldCharType="separate"/>
          </w:r>
          <w:r w:rsidR="00F17764">
            <w:rPr>
              <w:noProof/>
              <w:color w:val="000000"/>
              <w:sz w:val="24"/>
              <w:szCs w:val="24"/>
            </w:rPr>
            <w:t xml:space="preserve"> </w:t>
          </w:r>
          <w:r w:rsidR="00F17764" w:rsidRPr="00F17764">
            <w:rPr>
              <w:noProof/>
              <w:color w:val="000000"/>
              <w:sz w:val="24"/>
              <w:szCs w:val="24"/>
            </w:rPr>
            <w:t>(Prasanna &amp; A. Bhardwaj, 2016,pp.34-38)</w:t>
          </w:r>
          <w:r w:rsidR="00CC730B">
            <w:rPr>
              <w:color w:val="000000"/>
              <w:sz w:val="24"/>
              <w:szCs w:val="24"/>
            </w:rPr>
            <w:fldChar w:fldCharType="end"/>
          </w:r>
        </w:sdtContent>
      </w:sdt>
      <w:r w:rsidR="008F1604" w:rsidRPr="008F1604">
        <w:rPr>
          <w:color w:val="000000"/>
          <w:sz w:val="24"/>
          <w:szCs w:val="24"/>
        </w:rPr>
        <w:t>.</w:t>
      </w:r>
    </w:p>
    <w:p w14:paraId="07D169F1" w14:textId="77777777" w:rsidR="00F17764" w:rsidRPr="00BB46C7" w:rsidRDefault="00566C03" w:rsidP="00F17764">
      <w:pPr>
        <w:spacing w:before="120" w:line="276" w:lineRule="auto"/>
        <w:ind w:left="540"/>
        <w:jc w:val="both"/>
        <w:rPr>
          <w:sz w:val="24"/>
          <w:szCs w:val="24"/>
        </w:rPr>
      </w:pPr>
      <w:r>
        <w:rPr>
          <w:color w:val="000000"/>
          <w:sz w:val="24"/>
          <w:szCs w:val="24"/>
        </w:rPr>
        <w:t xml:space="preserve">             </w:t>
      </w:r>
      <w:r w:rsidR="008F1604" w:rsidRPr="008F1604">
        <w:rPr>
          <w:color w:val="000000"/>
          <w:sz w:val="24"/>
          <w:szCs w:val="24"/>
        </w:rPr>
        <w:t xml:space="preserve">Wells </w:t>
      </w:r>
      <w:r w:rsidR="008F1604" w:rsidRPr="008F1604">
        <w:rPr>
          <w:sz w:val="24"/>
          <w:szCs w:val="24"/>
        </w:rPr>
        <w:t>&amp;</w:t>
      </w:r>
      <w:r w:rsidR="008F1604" w:rsidRPr="008F1604">
        <w:rPr>
          <w:color w:val="000000"/>
          <w:sz w:val="24"/>
          <w:szCs w:val="24"/>
        </w:rPr>
        <w:t xml:space="preserve">Jason has stated that the employment relationships in the informal construction sector become diverse and complex due to the expansion of self-employment, casual </w:t>
      </w:r>
      <w:proofErr w:type="spellStart"/>
      <w:r w:rsidR="008F1604" w:rsidRPr="008F1604">
        <w:rPr>
          <w:color w:val="000000"/>
          <w:sz w:val="24"/>
          <w:szCs w:val="24"/>
        </w:rPr>
        <w:t>labour</w:t>
      </w:r>
      <w:proofErr w:type="spellEnd"/>
      <w:r w:rsidR="008F1604" w:rsidRPr="008F1604">
        <w:rPr>
          <w:color w:val="000000"/>
          <w:sz w:val="24"/>
          <w:szCs w:val="24"/>
        </w:rPr>
        <w:t xml:space="preserve">, outsourcing and growing involvement of </w:t>
      </w:r>
      <w:proofErr w:type="spellStart"/>
      <w:r w:rsidR="008F1604" w:rsidRPr="008F1604">
        <w:rPr>
          <w:color w:val="000000"/>
          <w:sz w:val="24"/>
          <w:szCs w:val="24"/>
        </w:rPr>
        <w:t>labour</w:t>
      </w:r>
      <w:proofErr w:type="spellEnd"/>
      <w:r w:rsidR="008F1604" w:rsidRPr="008F1604">
        <w:rPr>
          <w:color w:val="000000"/>
          <w:sz w:val="24"/>
          <w:szCs w:val="24"/>
        </w:rPr>
        <w:t xml:space="preserve"> recruiting </w:t>
      </w:r>
      <w:r w:rsidR="00365B33" w:rsidRPr="008F1604">
        <w:rPr>
          <w:color w:val="000000"/>
          <w:sz w:val="24"/>
          <w:szCs w:val="24"/>
        </w:rPr>
        <w:t xml:space="preserve">intermediaries. </w:t>
      </w:r>
      <w:r w:rsidR="008F1604" w:rsidRPr="008F1604">
        <w:rPr>
          <w:color w:val="000000"/>
          <w:sz w:val="24"/>
          <w:szCs w:val="24"/>
        </w:rPr>
        <w:t>This stands as a strong hindrance against the unionism among the workers</w:t>
      </w:r>
      <w:r w:rsidR="00F17764" w:rsidRPr="00F17764">
        <w:rPr>
          <w:sz w:val="24"/>
          <w:szCs w:val="24"/>
        </w:rPr>
        <w:t xml:space="preserve"> </w:t>
      </w:r>
      <w:sdt>
        <w:sdtPr>
          <w:rPr>
            <w:sz w:val="24"/>
            <w:szCs w:val="24"/>
          </w:rPr>
          <w:id w:val="1816286"/>
          <w:citation/>
        </w:sdtPr>
        <w:sdtEndPr/>
        <w:sdtContent>
          <w:r w:rsidR="00CC730B">
            <w:rPr>
              <w:sz w:val="24"/>
              <w:szCs w:val="24"/>
            </w:rPr>
            <w:fldChar w:fldCharType="begin"/>
          </w:r>
          <w:r w:rsidR="00F17764">
            <w:rPr>
              <w:sz w:val="24"/>
              <w:szCs w:val="24"/>
            </w:rPr>
            <w:instrText xml:space="preserve"> CITATION Placeholder12 \l 1033  </w:instrText>
          </w:r>
          <w:r w:rsidR="00CC730B">
            <w:rPr>
              <w:sz w:val="24"/>
              <w:szCs w:val="24"/>
            </w:rPr>
            <w:fldChar w:fldCharType="separate"/>
          </w:r>
          <w:r w:rsidR="00F17764" w:rsidRPr="00C64EE5">
            <w:rPr>
              <w:noProof/>
              <w:sz w:val="24"/>
              <w:szCs w:val="24"/>
            </w:rPr>
            <w:t>(Wells,J ;Jason,A., 2010, pp.107-124)</w:t>
          </w:r>
          <w:r w:rsidR="00CC730B">
            <w:rPr>
              <w:sz w:val="24"/>
              <w:szCs w:val="24"/>
            </w:rPr>
            <w:fldChar w:fldCharType="end"/>
          </w:r>
        </w:sdtContent>
      </w:sdt>
      <w:r w:rsidR="00F17764" w:rsidRPr="00BB46C7">
        <w:rPr>
          <w:sz w:val="24"/>
          <w:szCs w:val="24"/>
        </w:rPr>
        <w:t>.</w:t>
      </w:r>
    </w:p>
    <w:p w14:paraId="07D9F654" w14:textId="77777777" w:rsidR="008F1604" w:rsidRPr="008F1604" w:rsidRDefault="00566C03" w:rsidP="008F1604">
      <w:pPr>
        <w:pBdr>
          <w:top w:val="nil"/>
          <w:left w:val="nil"/>
          <w:bottom w:val="nil"/>
          <w:right w:val="nil"/>
          <w:between w:val="nil"/>
        </w:pBdr>
        <w:spacing w:before="102" w:line="273" w:lineRule="auto"/>
        <w:ind w:left="540" w:right="-60"/>
        <w:jc w:val="both"/>
        <w:rPr>
          <w:color w:val="000000"/>
          <w:sz w:val="24"/>
          <w:szCs w:val="24"/>
        </w:rPr>
      </w:pPr>
      <w:r>
        <w:rPr>
          <w:color w:val="000000"/>
          <w:sz w:val="24"/>
          <w:szCs w:val="24"/>
        </w:rPr>
        <w:t xml:space="preserve">          </w:t>
      </w:r>
      <w:r w:rsidR="006B17B9">
        <w:rPr>
          <w:color w:val="000000"/>
          <w:sz w:val="24"/>
          <w:szCs w:val="24"/>
        </w:rPr>
        <w:t>S.G.</w:t>
      </w:r>
      <w:r>
        <w:rPr>
          <w:color w:val="000000"/>
          <w:sz w:val="24"/>
          <w:szCs w:val="24"/>
        </w:rPr>
        <w:t xml:space="preserve"> </w:t>
      </w:r>
      <w:r w:rsidR="006B17B9">
        <w:rPr>
          <w:color w:val="000000"/>
          <w:sz w:val="24"/>
          <w:szCs w:val="24"/>
        </w:rPr>
        <w:t>Allen,</w:t>
      </w:r>
      <w:r w:rsidR="008F1604" w:rsidRPr="008F1604">
        <w:rPr>
          <w:color w:val="000000"/>
          <w:sz w:val="24"/>
          <w:szCs w:val="24"/>
        </w:rPr>
        <w:t xml:space="preserve"> examining the forces behind the decline of unionization in the construction industry of USA during 1966-84, had found the following factors to be the root causes of the fact-sharp decline in the market share of union contractors due to the rising share of union members working for nonunion contractors, increase in the union-non-union wage gap and the decline in the productivity advantage of union contractors. Again, the author had found no association between the decline in unionism in construction and the variables such as change in worker characteristics, change in the mix and the location of construction activities</w:t>
      </w:r>
      <w:r w:rsidR="00F17764" w:rsidRPr="00F17764">
        <w:rPr>
          <w:sz w:val="24"/>
          <w:szCs w:val="24"/>
        </w:rPr>
        <w:t xml:space="preserve"> </w:t>
      </w:r>
      <w:sdt>
        <w:sdtPr>
          <w:rPr>
            <w:sz w:val="24"/>
            <w:szCs w:val="24"/>
          </w:rPr>
          <w:id w:val="261665501"/>
          <w:citation/>
        </w:sdtPr>
        <w:sdtEndPr/>
        <w:sdtContent>
          <w:r w:rsidR="00CC730B">
            <w:rPr>
              <w:sz w:val="24"/>
              <w:szCs w:val="24"/>
            </w:rPr>
            <w:fldChar w:fldCharType="begin"/>
          </w:r>
          <w:r w:rsidR="00F17764">
            <w:rPr>
              <w:sz w:val="24"/>
              <w:szCs w:val="24"/>
            </w:rPr>
            <w:instrText xml:space="preserve"> CITATION SGA39 \l 1033  </w:instrText>
          </w:r>
          <w:r w:rsidR="00CC730B">
            <w:rPr>
              <w:sz w:val="24"/>
              <w:szCs w:val="24"/>
            </w:rPr>
            <w:fldChar w:fldCharType="separate"/>
          </w:r>
          <w:r w:rsidR="00F17764" w:rsidRPr="00C64EE5">
            <w:rPr>
              <w:noProof/>
              <w:sz w:val="24"/>
              <w:szCs w:val="24"/>
            </w:rPr>
            <w:t>(Allen, 1987, pp.1-39)</w:t>
          </w:r>
          <w:r w:rsidR="00CC730B">
            <w:rPr>
              <w:sz w:val="24"/>
              <w:szCs w:val="24"/>
            </w:rPr>
            <w:fldChar w:fldCharType="end"/>
          </w:r>
        </w:sdtContent>
      </w:sdt>
      <w:r w:rsidR="00F17764" w:rsidRPr="00BB46C7">
        <w:rPr>
          <w:color w:val="000000"/>
          <w:sz w:val="24"/>
          <w:szCs w:val="24"/>
        </w:rPr>
        <w:t>.</w:t>
      </w:r>
    </w:p>
    <w:p w14:paraId="4FCBBBB2" w14:textId="77777777" w:rsidR="006B17B9" w:rsidRPr="006B17B9" w:rsidRDefault="006B17B9" w:rsidP="006B17B9">
      <w:pPr>
        <w:spacing w:before="102"/>
        <w:ind w:left="540"/>
        <w:rPr>
          <w:b/>
          <w:color w:val="000000"/>
          <w:sz w:val="24"/>
          <w:szCs w:val="24"/>
        </w:rPr>
      </w:pPr>
      <w:r w:rsidRPr="006B17B9">
        <w:rPr>
          <w:b/>
          <w:color w:val="000000"/>
          <w:sz w:val="24"/>
          <w:szCs w:val="24"/>
        </w:rPr>
        <w:t>Research Gap:</w:t>
      </w:r>
    </w:p>
    <w:p w14:paraId="55EC8AEE" w14:textId="77777777" w:rsidR="008F1604" w:rsidRDefault="00EE0AFA" w:rsidP="00EE0AFA">
      <w:pPr>
        <w:spacing w:before="102"/>
        <w:ind w:left="540"/>
        <w:jc w:val="both"/>
        <w:rPr>
          <w:sz w:val="20"/>
          <w:szCs w:val="20"/>
        </w:rPr>
      </w:pPr>
      <w:r>
        <w:rPr>
          <w:color w:val="000000"/>
          <w:sz w:val="24"/>
          <w:szCs w:val="24"/>
        </w:rPr>
        <w:t>T</w:t>
      </w:r>
      <w:r w:rsidR="006B17B9" w:rsidRPr="008F1604">
        <w:rPr>
          <w:color w:val="000000"/>
          <w:sz w:val="24"/>
          <w:szCs w:val="24"/>
        </w:rPr>
        <w:t>he</w:t>
      </w:r>
      <w:r w:rsidR="008F1604" w:rsidRPr="008F1604">
        <w:rPr>
          <w:color w:val="000000"/>
          <w:sz w:val="24"/>
          <w:szCs w:val="24"/>
        </w:rPr>
        <w:t xml:space="preserve"> earlier studies have avoided the inquiry into an important issue of construction </w:t>
      </w:r>
      <w:proofErr w:type="spellStart"/>
      <w:r w:rsidR="008F1604" w:rsidRPr="008F1604">
        <w:rPr>
          <w:color w:val="000000"/>
          <w:sz w:val="24"/>
          <w:szCs w:val="24"/>
        </w:rPr>
        <w:t>work</w:t>
      </w:r>
      <w:r w:rsidR="006B17B9">
        <w:rPr>
          <w:color w:val="000000"/>
          <w:sz w:val="24"/>
          <w:szCs w:val="24"/>
        </w:rPr>
        <w:t>ers</w:t>
      </w:r>
      <w:r>
        <w:rPr>
          <w:color w:val="000000"/>
          <w:sz w:val="24"/>
          <w:szCs w:val="24"/>
        </w:rPr>
        <w:t>.</w:t>
      </w:r>
      <w:proofErr w:type="gramStart"/>
      <w:r w:rsidR="006B17B9">
        <w:rPr>
          <w:color w:val="000000"/>
          <w:sz w:val="24"/>
          <w:szCs w:val="24"/>
        </w:rPr>
        <w:t>i.e</w:t>
      </w:r>
      <w:proofErr w:type="spellEnd"/>
      <w:proofErr w:type="gramEnd"/>
      <w:r w:rsidR="006B17B9">
        <w:rPr>
          <w:color w:val="000000"/>
          <w:sz w:val="24"/>
          <w:szCs w:val="24"/>
        </w:rPr>
        <w:t xml:space="preserve"> the supply trend and variation in supply</w:t>
      </w:r>
      <w:r w:rsidR="008F1604" w:rsidRPr="008F1604">
        <w:rPr>
          <w:color w:val="000000"/>
          <w:sz w:val="24"/>
          <w:szCs w:val="24"/>
        </w:rPr>
        <w:t>. Further, as regards the</w:t>
      </w:r>
      <w:r w:rsidR="006B17B9">
        <w:rPr>
          <w:color w:val="000000"/>
          <w:sz w:val="24"/>
          <w:szCs w:val="24"/>
        </w:rPr>
        <w:t xml:space="preserve">se aspects of the supply </w:t>
      </w:r>
      <w:r w:rsidR="006B17B9" w:rsidRPr="008F1604">
        <w:rPr>
          <w:color w:val="000000"/>
          <w:sz w:val="24"/>
          <w:szCs w:val="24"/>
        </w:rPr>
        <w:t>of</w:t>
      </w:r>
      <w:r w:rsidR="008F1604" w:rsidRPr="008F1604">
        <w:rPr>
          <w:color w:val="000000"/>
          <w:sz w:val="24"/>
          <w:szCs w:val="24"/>
        </w:rPr>
        <w:t xml:space="preserve"> construction works in the housing sector, such study has not so far been done in the state. So, this study would add to the existing literature.</w:t>
      </w:r>
      <w:r w:rsidR="00F17764" w:rsidRPr="00F17764">
        <w:rPr>
          <w:sz w:val="20"/>
          <w:szCs w:val="20"/>
        </w:rPr>
        <w:t xml:space="preserve"> </w:t>
      </w:r>
    </w:p>
    <w:p w14:paraId="6E9AC28C" w14:textId="77777777" w:rsidR="00EE0AFA" w:rsidRPr="00EE0AFA" w:rsidRDefault="00EE0AFA" w:rsidP="00EE0AFA">
      <w:pPr>
        <w:spacing w:before="102"/>
        <w:ind w:left="540"/>
        <w:jc w:val="both"/>
        <w:rPr>
          <w:b/>
          <w:color w:val="000000"/>
          <w:sz w:val="24"/>
          <w:szCs w:val="24"/>
        </w:rPr>
      </w:pPr>
      <w:r w:rsidRPr="00EE0AFA">
        <w:rPr>
          <w:b/>
          <w:sz w:val="24"/>
          <w:szCs w:val="24"/>
        </w:rPr>
        <w:t>Research Questions:</w:t>
      </w:r>
    </w:p>
    <w:p w14:paraId="422658E4" w14:textId="77777777" w:rsidR="008F1604" w:rsidRPr="008F1604" w:rsidRDefault="008F1604" w:rsidP="008F1604">
      <w:pPr>
        <w:pBdr>
          <w:top w:val="nil"/>
          <w:left w:val="nil"/>
          <w:bottom w:val="nil"/>
          <w:right w:val="nil"/>
          <w:between w:val="nil"/>
        </w:pBdr>
        <w:spacing w:before="102" w:line="273" w:lineRule="auto"/>
        <w:ind w:left="540" w:right="-60"/>
        <w:jc w:val="both"/>
        <w:rPr>
          <w:color w:val="000000"/>
          <w:sz w:val="24"/>
          <w:szCs w:val="24"/>
        </w:rPr>
      </w:pPr>
      <w:r w:rsidRPr="008F1604">
        <w:rPr>
          <w:color w:val="000000"/>
          <w:sz w:val="24"/>
          <w:szCs w:val="24"/>
        </w:rPr>
        <w:t>For systematic study of the proposed work, the following research questions have been designed and these have been examined in course of this study to achieve the objective and deduce logistic conclusion</w:t>
      </w:r>
    </w:p>
    <w:p w14:paraId="542CE92F" w14:textId="77777777" w:rsidR="008F1604" w:rsidRPr="008F1604" w:rsidRDefault="00EE0AFA" w:rsidP="008F1604">
      <w:pPr>
        <w:numPr>
          <w:ilvl w:val="0"/>
          <w:numId w:val="1"/>
        </w:numPr>
        <w:pBdr>
          <w:top w:val="nil"/>
          <w:left w:val="nil"/>
          <w:bottom w:val="nil"/>
          <w:right w:val="nil"/>
          <w:between w:val="nil"/>
        </w:pBdr>
        <w:tabs>
          <w:tab w:val="left" w:pos="299"/>
        </w:tabs>
        <w:spacing w:before="101" w:line="379" w:lineRule="auto"/>
        <w:ind w:left="540" w:right="-60" w:firstLine="0"/>
        <w:rPr>
          <w:color w:val="000000"/>
          <w:sz w:val="24"/>
          <w:szCs w:val="24"/>
        </w:rPr>
      </w:pPr>
      <w:r>
        <w:rPr>
          <w:color w:val="000000"/>
          <w:sz w:val="24"/>
          <w:szCs w:val="24"/>
        </w:rPr>
        <w:t>Is the supply</w:t>
      </w:r>
      <w:r w:rsidR="008F1604" w:rsidRPr="008F1604">
        <w:rPr>
          <w:color w:val="000000"/>
          <w:sz w:val="24"/>
          <w:szCs w:val="24"/>
        </w:rPr>
        <w:t xml:space="preserve"> of BCWs in </w:t>
      </w:r>
      <w:r>
        <w:rPr>
          <w:color w:val="000000"/>
          <w:sz w:val="24"/>
          <w:szCs w:val="24"/>
        </w:rPr>
        <w:t xml:space="preserve">the state and in the </w:t>
      </w:r>
      <w:r w:rsidR="008F1604" w:rsidRPr="008F1604">
        <w:rPr>
          <w:color w:val="000000"/>
          <w:sz w:val="24"/>
          <w:szCs w:val="24"/>
        </w:rPr>
        <w:t>sample urban areas growing at a high</w:t>
      </w:r>
      <w:r>
        <w:rPr>
          <w:color w:val="000000"/>
          <w:sz w:val="24"/>
          <w:szCs w:val="24"/>
        </w:rPr>
        <w:t xml:space="preserve">er rate </w:t>
      </w:r>
      <w:r>
        <w:rPr>
          <w:color w:val="000000"/>
          <w:sz w:val="24"/>
          <w:szCs w:val="24"/>
        </w:rPr>
        <w:lastRenderedPageBreak/>
        <w:t xml:space="preserve">than the rates of increase in </w:t>
      </w:r>
      <w:r w:rsidRPr="008F1604">
        <w:rPr>
          <w:color w:val="000000"/>
          <w:sz w:val="24"/>
          <w:szCs w:val="24"/>
        </w:rPr>
        <w:t>the</w:t>
      </w:r>
      <w:r w:rsidR="008F1604" w:rsidRPr="008F1604">
        <w:rPr>
          <w:color w:val="000000"/>
          <w:sz w:val="24"/>
          <w:szCs w:val="24"/>
        </w:rPr>
        <w:t xml:space="preserve"> </w:t>
      </w:r>
      <w:r>
        <w:rPr>
          <w:color w:val="000000"/>
          <w:sz w:val="24"/>
          <w:szCs w:val="24"/>
        </w:rPr>
        <w:t xml:space="preserve">supply </w:t>
      </w:r>
      <w:r w:rsidR="008F1604" w:rsidRPr="008F1604">
        <w:rPr>
          <w:color w:val="000000"/>
          <w:sz w:val="24"/>
          <w:szCs w:val="24"/>
        </w:rPr>
        <w:t xml:space="preserve">construction workers and the total </w:t>
      </w:r>
      <w:proofErr w:type="spellStart"/>
      <w:r w:rsidR="008F1604" w:rsidRPr="008F1604">
        <w:rPr>
          <w:color w:val="000000"/>
          <w:sz w:val="24"/>
          <w:szCs w:val="24"/>
        </w:rPr>
        <w:t>labour</w:t>
      </w:r>
      <w:proofErr w:type="spellEnd"/>
      <w:r w:rsidR="008F1604" w:rsidRPr="008F1604">
        <w:rPr>
          <w:color w:val="000000"/>
          <w:sz w:val="24"/>
          <w:szCs w:val="24"/>
        </w:rPr>
        <w:t xml:space="preserve"> supply in the state?</w:t>
      </w:r>
    </w:p>
    <w:p w14:paraId="59FA9F6B" w14:textId="77777777" w:rsidR="008F1604" w:rsidRPr="00822614" w:rsidRDefault="008F1604" w:rsidP="008F1604">
      <w:pPr>
        <w:numPr>
          <w:ilvl w:val="0"/>
          <w:numId w:val="1"/>
        </w:numPr>
        <w:pBdr>
          <w:top w:val="nil"/>
          <w:left w:val="nil"/>
          <w:bottom w:val="nil"/>
          <w:right w:val="nil"/>
          <w:between w:val="nil"/>
        </w:pBdr>
        <w:tabs>
          <w:tab w:val="left" w:pos="403"/>
        </w:tabs>
        <w:spacing w:before="102" w:line="273" w:lineRule="auto"/>
        <w:ind w:left="540" w:right="-60" w:hanging="90"/>
        <w:jc w:val="both"/>
        <w:rPr>
          <w:color w:val="000000"/>
          <w:sz w:val="24"/>
          <w:szCs w:val="24"/>
        </w:rPr>
      </w:pPr>
      <w:r w:rsidRPr="00822614">
        <w:rPr>
          <w:color w:val="000000"/>
          <w:sz w:val="24"/>
          <w:szCs w:val="24"/>
        </w:rPr>
        <w:t xml:space="preserve">Is there any sizeable </w:t>
      </w:r>
      <w:r w:rsidR="00EE0AFA">
        <w:rPr>
          <w:color w:val="000000"/>
          <w:sz w:val="24"/>
          <w:szCs w:val="24"/>
        </w:rPr>
        <w:t xml:space="preserve">seasonal </w:t>
      </w:r>
      <w:r w:rsidRPr="00822614">
        <w:rPr>
          <w:color w:val="000000"/>
          <w:sz w:val="24"/>
          <w:szCs w:val="24"/>
        </w:rPr>
        <w:t>variation in the supply of BCWs in the sample survey areas?</w:t>
      </w:r>
    </w:p>
    <w:p w14:paraId="7EC2A28F" w14:textId="77777777" w:rsidR="00822614" w:rsidRDefault="00822614" w:rsidP="00634BBD">
      <w:pPr>
        <w:pStyle w:val="Heading1"/>
        <w:spacing w:before="172"/>
        <w:ind w:left="360" w:right="30" w:hanging="180"/>
        <w:jc w:val="both"/>
        <w:rPr>
          <w:rFonts w:ascii="Times New Roman" w:hAnsi="Times New Roman" w:cs="Times New Roman"/>
          <w:color w:val="auto"/>
          <w:sz w:val="24"/>
          <w:szCs w:val="24"/>
        </w:rPr>
      </w:pPr>
      <w:r w:rsidRPr="00F52758">
        <w:rPr>
          <w:rFonts w:ascii="Times New Roman" w:hAnsi="Times New Roman" w:cs="Times New Roman"/>
          <w:color w:val="auto"/>
          <w:sz w:val="24"/>
          <w:szCs w:val="24"/>
        </w:rPr>
        <w:t>METHODOLOGY</w:t>
      </w:r>
      <w:r w:rsidR="00F52758">
        <w:rPr>
          <w:rFonts w:ascii="Times New Roman" w:hAnsi="Times New Roman" w:cs="Times New Roman"/>
          <w:color w:val="auto"/>
          <w:sz w:val="24"/>
          <w:szCs w:val="24"/>
        </w:rPr>
        <w:t>:</w:t>
      </w:r>
    </w:p>
    <w:p w14:paraId="0BE34E39" w14:textId="77777777" w:rsidR="00634BBD" w:rsidRPr="00634BBD" w:rsidRDefault="00634BBD" w:rsidP="00634BBD"/>
    <w:p w14:paraId="2A3CA75E" w14:textId="77777777" w:rsidR="00CB2911" w:rsidRDefault="00822614" w:rsidP="00634BBD">
      <w:pPr>
        <w:pBdr>
          <w:top w:val="nil"/>
          <w:left w:val="nil"/>
          <w:bottom w:val="nil"/>
          <w:right w:val="nil"/>
          <w:between w:val="nil"/>
        </w:pBdr>
        <w:spacing w:line="273" w:lineRule="auto"/>
        <w:ind w:left="180" w:right="210" w:firstLine="270"/>
        <w:jc w:val="both"/>
        <w:rPr>
          <w:color w:val="000000"/>
          <w:sz w:val="24"/>
          <w:szCs w:val="24"/>
        </w:rPr>
      </w:pPr>
      <w:r w:rsidRPr="00822614">
        <w:rPr>
          <w:color w:val="000000"/>
          <w:sz w:val="24"/>
          <w:szCs w:val="24"/>
        </w:rPr>
        <w:t xml:space="preserve">In this study, both the descriptive and analytical research methods have been </w:t>
      </w:r>
      <w:r w:rsidR="00EE0AFA" w:rsidRPr="00822614">
        <w:rPr>
          <w:color w:val="000000"/>
          <w:sz w:val="24"/>
          <w:szCs w:val="24"/>
        </w:rPr>
        <w:t xml:space="preserve">used. </w:t>
      </w:r>
      <w:r w:rsidR="00634BBD">
        <w:rPr>
          <w:color w:val="000000"/>
          <w:sz w:val="24"/>
          <w:szCs w:val="24"/>
        </w:rPr>
        <w:t>The</w:t>
      </w:r>
      <w:r w:rsidR="00B512AB">
        <w:rPr>
          <w:color w:val="000000"/>
          <w:sz w:val="24"/>
          <w:szCs w:val="24"/>
        </w:rPr>
        <w:t xml:space="preserve"> data on the B</w:t>
      </w:r>
      <w:r w:rsidR="002561F1">
        <w:rPr>
          <w:color w:val="000000"/>
          <w:sz w:val="24"/>
          <w:szCs w:val="24"/>
        </w:rPr>
        <w:t>CWs in the sample</w:t>
      </w:r>
      <w:r w:rsidR="00737C54">
        <w:rPr>
          <w:color w:val="000000"/>
          <w:sz w:val="24"/>
          <w:szCs w:val="24"/>
        </w:rPr>
        <w:t xml:space="preserve"> urban</w:t>
      </w:r>
      <w:r w:rsidR="002561F1">
        <w:rPr>
          <w:color w:val="000000"/>
          <w:sz w:val="24"/>
          <w:szCs w:val="24"/>
        </w:rPr>
        <w:t xml:space="preserve"> areas have been collected from </w:t>
      </w:r>
      <w:r w:rsidR="00737C54">
        <w:rPr>
          <w:color w:val="000000"/>
          <w:sz w:val="24"/>
          <w:szCs w:val="24"/>
        </w:rPr>
        <w:t>the contractors/ builders currently undertaking building construction works</w:t>
      </w:r>
      <w:r w:rsidR="002561F1">
        <w:rPr>
          <w:color w:val="000000"/>
          <w:sz w:val="24"/>
          <w:szCs w:val="24"/>
        </w:rPr>
        <w:t xml:space="preserve"> in the different urban areas of the state (Assam</w:t>
      </w:r>
      <w:proofErr w:type="gramStart"/>
      <w:r w:rsidR="002561F1">
        <w:rPr>
          <w:color w:val="000000"/>
          <w:sz w:val="24"/>
          <w:szCs w:val="24"/>
        </w:rPr>
        <w:t>).</w:t>
      </w:r>
      <w:r w:rsidR="004407C7" w:rsidRPr="004407C7">
        <w:rPr>
          <w:color w:val="000000"/>
          <w:sz w:val="24"/>
          <w:szCs w:val="24"/>
        </w:rPr>
        <w:t>Urban</w:t>
      </w:r>
      <w:proofErr w:type="gramEnd"/>
      <w:r w:rsidR="004407C7" w:rsidRPr="004407C7">
        <w:rPr>
          <w:color w:val="000000"/>
          <w:sz w:val="24"/>
          <w:szCs w:val="24"/>
        </w:rPr>
        <w:t xml:space="preserve"> areas of the state had been stratified into six categories as per 1971 census classification of towns based on </w:t>
      </w:r>
      <w:r w:rsidR="002561F1">
        <w:rPr>
          <w:color w:val="000000"/>
          <w:sz w:val="24"/>
          <w:szCs w:val="24"/>
        </w:rPr>
        <w:t>the size of population</w:t>
      </w:r>
      <w:r w:rsidR="004407C7" w:rsidRPr="004407C7">
        <w:rPr>
          <w:color w:val="000000"/>
          <w:sz w:val="24"/>
          <w:szCs w:val="24"/>
        </w:rPr>
        <w:t xml:space="preserve">. </w:t>
      </w:r>
      <w:r w:rsidR="002561F1">
        <w:rPr>
          <w:color w:val="000000" w:themeColor="text1"/>
          <w:sz w:val="24"/>
          <w:szCs w:val="24"/>
        </w:rPr>
        <w:t>T</w:t>
      </w:r>
      <w:r w:rsidR="002561F1" w:rsidRPr="008D1E8A">
        <w:rPr>
          <w:color w:val="000000" w:themeColor="text1"/>
          <w:sz w:val="24"/>
          <w:szCs w:val="24"/>
        </w:rPr>
        <w:t xml:space="preserve">he urban Assam is comprised of 214 </w:t>
      </w:r>
      <w:proofErr w:type="spellStart"/>
      <w:r w:rsidR="002561F1" w:rsidRPr="008D1E8A">
        <w:rPr>
          <w:color w:val="000000" w:themeColor="text1"/>
          <w:sz w:val="24"/>
          <w:szCs w:val="24"/>
        </w:rPr>
        <w:t>nos</w:t>
      </w:r>
      <w:proofErr w:type="spellEnd"/>
      <w:r w:rsidR="002561F1" w:rsidRPr="008D1E8A">
        <w:rPr>
          <w:color w:val="000000" w:themeColor="text1"/>
          <w:sz w:val="24"/>
          <w:szCs w:val="24"/>
        </w:rPr>
        <w:t xml:space="preserve"> of towns of various categories as per the census </w:t>
      </w:r>
      <w:r w:rsidR="00634BBD">
        <w:rPr>
          <w:color w:val="000000" w:themeColor="text1"/>
          <w:sz w:val="24"/>
          <w:szCs w:val="24"/>
        </w:rPr>
        <w:t>report,</w:t>
      </w:r>
      <w:r w:rsidR="00634BBD" w:rsidRPr="008D1E8A">
        <w:rPr>
          <w:color w:val="000000" w:themeColor="text1"/>
          <w:sz w:val="24"/>
          <w:szCs w:val="24"/>
        </w:rPr>
        <w:t xml:space="preserve"> 2011</w:t>
      </w:r>
      <w:r w:rsidR="002561F1">
        <w:rPr>
          <w:color w:val="000000"/>
          <w:sz w:val="24"/>
          <w:szCs w:val="24"/>
        </w:rPr>
        <w:t>.</w:t>
      </w:r>
      <w:r w:rsidR="00634BBD">
        <w:rPr>
          <w:color w:val="000000"/>
          <w:sz w:val="24"/>
          <w:szCs w:val="24"/>
        </w:rPr>
        <w:t xml:space="preserve"> </w:t>
      </w:r>
      <w:r w:rsidR="00737C54">
        <w:rPr>
          <w:color w:val="000000"/>
          <w:sz w:val="24"/>
          <w:szCs w:val="24"/>
        </w:rPr>
        <w:t xml:space="preserve">Out of 214 </w:t>
      </w:r>
      <w:proofErr w:type="spellStart"/>
      <w:r w:rsidR="00737C54">
        <w:rPr>
          <w:color w:val="000000"/>
          <w:sz w:val="24"/>
          <w:szCs w:val="24"/>
        </w:rPr>
        <w:t>nos</w:t>
      </w:r>
      <w:proofErr w:type="spellEnd"/>
      <w:r w:rsidR="00737C54">
        <w:rPr>
          <w:color w:val="000000"/>
          <w:sz w:val="24"/>
          <w:szCs w:val="24"/>
        </w:rPr>
        <w:t xml:space="preserve">, in total 12 towns </w:t>
      </w:r>
      <w:proofErr w:type="gramStart"/>
      <w:r w:rsidR="00737C54">
        <w:rPr>
          <w:color w:val="000000"/>
          <w:sz w:val="24"/>
          <w:szCs w:val="24"/>
        </w:rPr>
        <w:t>has</w:t>
      </w:r>
      <w:proofErr w:type="gramEnd"/>
      <w:r w:rsidR="00737C54">
        <w:rPr>
          <w:color w:val="000000"/>
          <w:sz w:val="24"/>
          <w:szCs w:val="24"/>
        </w:rPr>
        <w:t xml:space="preserve"> been selected taking 5% from each categor</w:t>
      </w:r>
      <w:r w:rsidR="00634BBD">
        <w:rPr>
          <w:color w:val="000000"/>
          <w:sz w:val="24"/>
          <w:szCs w:val="24"/>
        </w:rPr>
        <w:t>y of towns in the state as shown in table-1.</w:t>
      </w:r>
      <w:r w:rsidR="00737C54">
        <w:rPr>
          <w:color w:val="000000"/>
          <w:sz w:val="24"/>
          <w:szCs w:val="24"/>
        </w:rPr>
        <w:t xml:space="preserve"> </w:t>
      </w:r>
    </w:p>
    <w:p w14:paraId="73ED7FA3" w14:textId="77777777" w:rsidR="0049585E" w:rsidRPr="00634BBD" w:rsidRDefault="0049585E" w:rsidP="00634BBD">
      <w:pPr>
        <w:pBdr>
          <w:top w:val="nil"/>
          <w:left w:val="nil"/>
          <w:bottom w:val="nil"/>
          <w:right w:val="nil"/>
          <w:between w:val="nil"/>
        </w:pBdr>
        <w:spacing w:before="101" w:line="276" w:lineRule="auto"/>
        <w:ind w:left="540" w:right="210"/>
        <w:jc w:val="both"/>
        <w:rPr>
          <w:b/>
        </w:rPr>
      </w:pPr>
      <w:r>
        <w:rPr>
          <w:color w:val="000000"/>
          <w:sz w:val="24"/>
          <w:szCs w:val="24"/>
        </w:rPr>
        <w:t xml:space="preserve">           </w:t>
      </w:r>
      <w:r>
        <w:t xml:space="preserve">       </w:t>
      </w:r>
      <w:r w:rsidR="00634BBD" w:rsidRPr="00634BBD">
        <w:rPr>
          <w:b/>
        </w:rPr>
        <w:t>Table-1</w:t>
      </w:r>
      <w:r w:rsidRPr="00634BBD">
        <w:rPr>
          <w:b/>
        </w:rPr>
        <w:t xml:space="preserve">: Sample Towns in </w:t>
      </w:r>
      <w:r w:rsidR="00737C54" w:rsidRPr="00634BBD">
        <w:rPr>
          <w:b/>
        </w:rPr>
        <w:t>the Brahmaputra valley (Total=12</w:t>
      </w:r>
      <w:r w:rsidRPr="00634BBD">
        <w:rPr>
          <w:b/>
        </w:rPr>
        <w:t>nos):</w:t>
      </w:r>
    </w:p>
    <w:tbl>
      <w:tblPr>
        <w:tblW w:w="9389" w:type="dxa"/>
        <w:tblInd w:w="128" w:type="dxa"/>
        <w:tblBorders>
          <w:top w:val="nil"/>
          <w:left w:val="nil"/>
          <w:bottom w:val="nil"/>
          <w:right w:val="nil"/>
          <w:insideH w:val="nil"/>
          <w:insideV w:val="nil"/>
        </w:tblBorders>
        <w:tblLayout w:type="fixed"/>
        <w:tblLook w:val="0000" w:firstRow="0" w:lastRow="0" w:firstColumn="0" w:lastColumn="0" w:noHBand="0" w:noVBand="0"/>
      </w:tblPr>
      <w:tblGrid>
        <w:gridCol w:w="1227"/>
        <w:gridCol w:w="1786"/>
        <w:gridCol w:w="2054"/>
        <w:gridCol w:w="4322"/>
      </w:tblGrid>
      <w:tr w:rsidR="0049585E" w:rsidRPr="00E73CCD" w14:paraId="7AE19277" w14:textId="77777777" w:rsidTr="00737C54">
        <w:trPr>
          <w:trHeight w:val="496"/>
        </w:trPr>
        <w:tc>
          <w:tcPr>
            <w:tcW w:w="1227" w:type="dxa"/>
            <w:tcBorders>
              <w:top w:val="single" w:sz="4" w:space="0" w:color="000000"/>
              <w:bottom w:val="single" w:sz="4" w:space="0" w:color="auto"/>
            </w:tcBorders>
          </w:tcPr>
          <w:p w14:paraId="79467CC8" w14:textId="77777777" w:rsidR="0049585E" w:rsidRPr="00E73CCD" w:rsidRDefault="0049585E" w:rsidP="00076795">
            <w:pPr>
              <w:pBdr>
                <w:top w:val="nil"/>
                <w:left w:val="nil"/>
                <w:bottom w:val="nil"/>
                <w:right w:val="nil"/>
                <w:between w:val="nil"/>
              </w:pBdr>
              <w:ind w:left="119"/>
              <w:rPr>
                <w:color w:val="000000"/>
              </w:rPr>
            </w:pPr>
            <w:r w:rsidRPr="00E73CCD">
              <w:rPr>
                <w:color w:val="000000"/>
              </w:rPr>
              <w:t>Category of Town</w:t>
            </w:r>
          </w:p>
        </w:tc>
        <w:tc>
          <w:tcPr>
            <w:tcW w:w="1786" w:type="dxa"/>
            <w:tcBorders>
              <w:top w:val="single" w:sz="4" w:space="0" w:color="000000"/>
              <w:bottom w:val="single" w:sz="4" w:space="0" w:color="auto"/>
            </w:tcBorders>
          </w:tcPr>
          <w:p w14:paraId="202E0C81" w14:textId="77777777" w:rsidR="0049585E" w:rsidRPr="00E73CCD" w:rsidRDefault="0049585E" w:rsidP="00076795">
            <w:pPr>
              <w:pBdr>
                <w:top w:val="nil"/>
                <w:left w:val="nil"/>
                <w:bottom w:val="nil"/>
                <w:right w:val="nil"/>
                <w:between w:val="nil"/>
              </w:pBdr>
              <w:ind w:left="261"/>
              <w:rPr>
                <w:color w:val="000000"/>
              </w:rPr>
            </w:pPr>
            <w:r w:rsidRPr="00E73CCD">
              <w:rPr>
                <w:color w:val="000000"/>
              </w:rPr>
              <w:t xml:space="preserve">Total Towns in </w:t>
            </w:r>
            <w:r w:rsidR="002561F1">
              <w:rPr>
                <w:color w:val="000000"/>
              </w:rPr>
              <w:t>Assam</w:t>
            </w:r>
          </w:p>
        </w:tc>
        <w:tc>
          <w:tcPr>
            <w:tcW w:w="2054" w:type="dxa"/>
            <w:tcBorders>
              <w:top w:val="single" w:sz="4" w:space="0" w:color="000000"/>
              <w:bottom w:val="single" w:sz="4" w:space="0" w:color="auto"/>
            </w:tcBorders>
          </w:tcPr>
          <w:p w14:paraId="21A2707B" w14:textId="77777777" w:rsidR="0049585E" w:rsidRPr="00E73CCD" w:rsidRDefault="0049585E" w:rsidP="00E73CCD">
            <w:pPr>
              <w:pBdr>
                <w:top w:val="nil"/>
                <w:left w:val="nil"/>
                <w:bottom w:val="nil"/>
                <w:right w:val="nil"/>
                <w:between w:val="nil"/>
              </w:pBdr>
              <w:ind w:left="252" w:right="315"/>
              <w:rPr>
                <w:color w:val="000000"/>
              </w:rPr>
            </w:pPr>
            <w:r w:rsidRPr="00E73CCD">
              <w:rPr>
                <w:color w:val="000000"/>
              </w:rPr>
              <w:t xml:space="preserve">No. of </w:t>
            </w:r>
            <w:r w:rsidR="00E73CCD">
              <w:rPr>
                <w:color w:val="000000"/>
              </w:rPr>
              <w:t>t</w:t>
            </w:r>
            <w:r w:rsidRPr="00E73CCD">
              <w:rPr>
                <w:color w:val="000000"/>
              </w:rPr>
              <w:t>owns selected</w:t>
            </w:r>
          </w:p>
        </w:tc>
        <w:tc>
          <w:tcPr>
            <w:tcW w:w="4322" w:type="dxa"/>
            <w:tcBorders>
              <w:top w:val="single" w:sz="4" w:space="0" w:color="000000"/>
              <w:bottom w:val="single" w:sz="4" w:space="0" w:color="auto"/>
            </w:tcBorders>
          </w:tcPr>
          <w:p w14:paraId="6FC1DA53" w14:textId="77777777" w:rsidR="0049585E" w:rsidRPr="00E73CCD" w:rsidRDefault="00E73CCD" w:rsidP="00076795">
            <w:pPr>
              <w:pBdr>
                <w:top w:val="nil"/>
                <w:left w:val="nil"/>
                <w:bottom w:val="nil"/>
                <w:right w:val="nil"/>
                <w:between w:val="nil"/>
              </w:pBdr>
              <w:ind w:left="140"/>
              <w:rPr>
                <w:color w:val="000000"/>
              </w:rPr>
            </w:pPr>
            <w:r>
              <w:rPr>
                <w:color w:val="000000"/>
              </w:rPr>
              <w:t xml:space="preserve">                   </w:t>
            </w:r>
            <w:r w:rsidR="0049585E" w:rsidRPr="00E73CCD">
              <w:rPr>
                <w:color w:val="000000"/>
              </w:rPr>
              <w:t>Selected sample towns</w:t>
            </w:r>
          </w:p>
        </w:tc>
      </w:tr>
      <w:tr w:rsidR="0049585E" w:rsidRPr="00E73CCD" w14:paraId="5D979666" w14:textId="77777777" w:rsidTr="00737C54">
        <w:trPr>
          <w:trHeight w:val="222"/>
        </w:trPr>
        <w:tc>
          <w:tcPr>
            <w:tcW w:w="1227" w:type="dxa"/>
            <w:tcBorders>
              <w:top w:val="single" w:sz="4" w:space="0" w:color="auto"/>
            </w:tcBorders>
          </w:tcPr>
          <w:p w14:paraId="3ABCEA39" w14:textId="77777777" w:rsidR="0049585E" w:rsidRPr="00E73CCD" w:rsidRDefault="0049585E" w:rsidP="00076795">
            <w:pPr>
              <w:pBdr>
                <w:top w:val="nil"/>
                <w:left w:val="nil"/>
                <w:bottom w:val="nil"/>
                <w:right w:val="nil"/>
                <w:between w:val="nil"/>
              </w:pBdr>
              <w:ind w:left="119"/>
              <w:rPr>
                <w:color w:val="000000"/>
              </w:rPr>
            </w:pPr>
            <w:r w:rsidRPr="00E73CCD">
              <w:rPr>
                <w:color w:val="000000"/>
              </w:rPr>
              <w:t>Class-I</w:t>
            </w:r>
          </w:p>
        </w:tc>
        <w:tc>
          <w:tcPr>
            <w:tcW w:w="1786" w:type="dxa"/>
            <w:tcBorders>
              <w:top w:val="single" w:sz="4" w:space="0" w:color="auto"/>
            </w:tcBorders>
          </w:tcPr>
          <w:p w14:paraId="7C726472" w14:textId="77777777" w:rsidR="0049585E" w:rsidRPr="00E73CCD" w:rsidRDefault="0049585E" w:rsidP="00076795">
            <w:pPr>
              <w:pBdr>
                <w:top w:val="nil"/>
                <w:left w:val="nil"/>
                <w:bottom w:val="nil"/>
                <w:right w:val="nil"/>
                <w:between w:val="nil"/>
              </w:pBdr>
              <w:ind w:left="261"/>
              <w:rPr>
                <w:color w:val="000000"/>
              </w:rPr>
            </w:pPr>
            <w:r w:rsidRPr="00E73CCD">
              <w:rPr>
                <w:color w:val="000000"/>
              </w:rPr>
              <w:t>0</w:t>
            </w:r>
            <w:r w:rsidR="002561F1">
              <w:rPr>
                <w:color w:val="000000"/>
              </w:rPr>
              <w:t>4</w:t>
            </w:r>
          </w:p>
        </w:tc>
        <w:tc>
          <w:tcPr>
            <w:tcW w:w="2054" w:type="dxa"/>
            <w:tcBorders>
              <w:top w:val="single" w:sz="4" w:space="0" w:color="auto"/>
            </w:tcBorders>
          </w:tcPr>
          <w:p w14:paraId="4B845E27" w14:textId="77777777" w:rsidR="0049585E" w:rsidRPr="00E73CCD" w:rsidRDefault="00C90475" w:rsidP="00E73CCD">
            <w:pPr>
              <w:pBdr>
                <w:top w:val="nil"/>
                <w:left w:val="nil"/>
                <w:bottom w:val="nil"/>
                <w:right w:val="nil"/>
                <w:between w:val="nil"/>
              </w:pBdr>
              <w:rPr>
                <w:color w:val="000000"/>
              </w:rPr>
            </w:pPr>
            <w:r>
              <w:rPr>
                <w:color w:val="000000"/>
              </w:rPr>
              <w:t xml:space="preserve">4x 5% =0.2  </w:t>
            </w:r>
            <w:r w:rsidR="0049585E" w:rsidRPr="00E73CCD">
              <w:rPr>
                <w:color w:val="000000"/>
              </w:rPr>
              <w:t xml:space="preserve"> </w:t>
            </w:r>
            <w:r w:rsidR="00737C54">
              <w:rPr>
                <w:color w:val="000000"/>
              </w:rPr>
              <w:t xml:space="preserve"> </w:t>
            </w:r>
            <w:r w:rsidR="0049585E" w:rsidRPr="00E73CCD">
              <w:rPr>
                <w:color w:val="000000"/>
              </w:rPr>
              <w:t>=01</w:t>
            </w:r>
          </w:p>
        </w:tc>
        <w:tc>
          <w:tcPr>
            <w:tcW w:w="4322" w:type="dxa"/>
            <w:tcBorders>
              <w:top w:val="single" w:sz="4" w:space="0" w:color="auto"/>
            </w:tcBorders>
          </w:tcPr>
          <w:p w14:paraId="301CD802" w14:textId="77777777" w:rsidR="0049585E" w:rsidRPr="00E73CCD" w:rsidRDefault="0049585E" w:rsidP="00076795">
            <w:pPr>
              <w:pBdr>
                <w:top w:val="nil"/>
                <w:left w:val="nil"/>
                <w:bottom w:val="nil"/>
                <w:right w:val="nil"/>
                <w:between w:val="nil"/>
              </w:pBdr>
              <w:ind w:left="140"/>
              <w:rPr>
                <w:color w:val="000000"/>
              </w:rPr>
            </w:pPr>
            <w:r w:rsidRPr="00E73CCD">
              <w:rPr>
                <w:color w:val="000000"/>
              </w:rPr>
              <w:t xml:space="preserve">Guwahati </w:t>
            </w:r>
            <w:proofErr w:type="spellStart"/>
            <w:r w:rsidRPr="00E73CCD">
              <w:rPr>
                <w:color w:val="000000"/>
              </w:rPr>
              <w:t>Municipalty</w:t>
            </w:r>
            <w:proofErr w:type="spellEnd"/>
            <w:r w:rsidRPr="00E73CCD">
              <w:rPr>
                <w:color w:val="000000"/>
              </w:rPr>
              <w:t xml:space="preserve"> </w:t>
            </w:r>
            <w:proofErr w:type="gramStart"/>
            <w:r w:rsidRPr="00E73CCD">
              <w:rPr>
                <w:color w:val="000000"/>
              </w:rPr>
              <w:t>Corporation(</w:t>
            </w:r>
            <w:proofErr w:type="gramEnd"/>
            <w:r w:rsidRPr="00E73CCD">
              <w:rPr>
                <w:color w:val="000000"/>
              </w:rPr>
              <w:t>GMC)</w:t>
            </w:r>
          </w:p>
        </w:tc>
      </w:tr>
      <w:tr w:rsidR="0049585E" w:rsidRPr="00E73CCD" w14:paraId="1F32A050" w14:textId="77777777" w:rsidTr="00737C54">
        <w:trPr>
          <w:trHeight w:val="243"/>
        </w:trPr>
        <w:tc>
          <w:tcPr>
            <w:tcW w:w="1227" w:type="dxa"/>
          </w:tcPr>
          <w:p w14:paraId="1B71A072" w14:textId="77777777" w:rsidR="0049585E" w:rsidRPr="00E73CCD" w:rsidRDefault="0049585E" w:rsidP="00076795">
            <w:pPr>
              <w:pBdr>
                <w:top w:val="nil"/>
                <w:left w:val="nil"/>
                <w:bottom w:val="nil"/>
                <w:right w:val="nil"/>
                <w:between w:val="nil"/>
              </w:pBdr>
              <w:ind w:left="119"/>
              <w:rPr>
                <w:color w:val="000000"/>
              </w:rPr>
            </w:pPr>
            <w:r w:rsidRPr="00E73CCD">
              <w:rPr>
                <w:color w:val="000000"/>
              </w:rPr>
              <w:t>Class-II</w:t>
            </w:r>
          </w:p>
        </w:tc>
        <w:tc>
          <w:tcPr>
            <w:tcW w:w="1786" w:type="dxa"/>
          </w:tcPr>
          <w:p w14:paraId="712503A3" w14:textId="77777777" w:rsidR="0049585E" w:rsidRPr="00E73CCD" w:rsidRDefault="0049585E" w:rsidP="00076795">
            <w:pPr>
              <w:pBdr>
                <w:top w:val="nil"/>
                <w:left w:val="nil"/>
                <w:bottom w:val="nil"/>
                <w:right w:val="nil"/>
                <w:between w:val="nil"/>
              </w:pBdr>
              <w:ind w:left="261"/>
              <w:rPr>
                <w:color w:val="000000"/>
              </w:rPr>
            </w:pPr>
            <w:r w:rsidRPr="00E73CCD">
              <w:rPr>
                <w:color w:val="000000"/>
              </w:rPr>
              <w:t>1</w:t>
            </w:r>
            <w:r w:rsidR="002561F1">
              <w:rPr>
                <w:color w:val="000000"/>
              </w:rPr>
              <w:t>2</w:t>
            </w:r>
          </w:p>
        </w:tc>
        <w:tc>
          <w:tcPr>
            <w:tcW w:w="2054" w:type="dxa"/>
          </w:tcPr>
          <w:p w14:paraId="34097655" w14:textId="77777777" w:rsidR="0049585E" w:rsidRPr="00E73CCD" w:rsidRDefault="00C90475" w:rsidP="00E73CCD">
            <w:pPr>
              <w:pBdr>
                <w:top w:val="nil"/>
                <w:left w:val="nil"/>
                <w:bottom w:val="nil"/>
                <w:right w:val="nil"/>
                <w:between w:val="nil"/>
              </w:pBdr>
              <w:rPr>
                <w:color w:val="000000"/>
              </w:rPr>
            </w:pPr>
            <w:r>
              <w:rPr>
                <w:color w:val="000000"/>
              </w:rPr>
              <w:t xml:space="preserve">12x5% =0.6 </w:t>
            </w:r>
            <w:r w:rsidR="0049585E" w:rsidRPr="00E73CCD">
              <w:rPr>
                <w:color w:val="000000"/>
              </w:rPr>
              <w:t xml:space="preserve"> </w:t>
            </w:r>
            <w:r w:rsidR="00737C54">
              <w:rPr>
                <w:color w:val="000000"/>
              </w:rPr>
              <w:t xml:space="preserve"> </w:t>
            </w:r>
            <w:r w:rsidR="0049585E" w:rsidRPr="00E73CCD">
              <w:rPr>
                <w:color w:val="000000"/>
              </w:rPr>
              <w:t>=01</w:t>
            </w:r>
          </w:p>
        </w:tc>
        <w:tc>
          <w:tcPr>
            <w:tcW w:w="4322" w:type="dxa"/>
          </w:tcPr>
          <w:p w14:paraId="6A0D66EE" w14:textId="77777777" w:rsidR="0049585E" w:rsidRPr="00E73CCD" w:rsidRDefault="0049585E" w:rsidP="00076795">
            <w:pPr>
              <w:pBdr>
                <w:top w:val="nil"/>
                <w:left w:val="nil"/>
                <w:bottom w:val="nil"/>
                <w:right w:val="nil"/>
                <w:between w:val="nil"/>
              </w:pBdr>
              <w:ind w:left="140"/>
              <w:rPr>
                <w:color w:val="000000"/>
              </w:rPr>
            </w:pPr>
            <w:r w:rsidRPr="00E73CCD">
              <w:rPr>
                <w:color w:val="000000"/>
              </w:rPr>
              <w:t>Jorhat MB</w:t>
            </w:r>
          </w:p>
        </w:tc>
      </w:tr>
      <w:tr w:rsidR="0049585E" w:rsidRPr="00E73CCD" w14:paraId="42A6D1CB" w14:textId="77777777" w:rsidTr="00737C54">
        <w:trPr>
          <w:trHeight w:val="263"/>
        </w:trPr>
        <w:tc>
          <w:tcPr>
            <w:tcW w:w="1227" w:type="dxa"/>
          </w:tcPr>
          <w:p w14:paraId="743CED75" w14:textId="77777777" w:rsidR="0049585E" w:rsidRPr="00E73CCD" w:rsidRDefault="0049585E" w:rsidP="00076795">
            <w:pPr>
              <w:pBdr>
                <w:top w:val="nil"/>
                <w:left w:val="nil"/>
                <w:bottom w:val="nil"/>
                <w:right w:val="nil"/>
                <w:between w:val="nil"/>
              </w:pBdr>
              <w:ind w:left="119"/>
              <w:rPr>
                <w:color w:val="000000"/>
              </w:rPr>
            </w:pPr>
            <w:r w:rsidRPr="00E73CCD">
              <w:rPr>
                <w:color w:val="000000"/>
              </w:rPr>
              <w:t>Class-III</w:t>
            </w:r>
          </w:p>
        </w:tc>
        <w:tc>
          <w:tcPr>
            <w:tcW w:w="1786" w:type="dxa"/>
          </w:tcPr>
          <w:p w14:paraId="606E9DE2" w14:textId="77777777" w:rsidR="0049585E" w:rsidRPr="00E73CCD" w:rsidRDefault="0049585E" w:rsidP="00076795">
            <w:pPr>
              <w:pBdr>
                <w:top w:val="nil"/>
                <w:left w:val="nil"/>
                <w:bottom w:val="nil"/>
                <w:right w:val="nil"/>
                <w:between w:val="nil"/>
              </w:pBdr>
              <w:ind w:left="261"/>
              <w:rPr>
                <w:color w:val="000000"/>
              </w:rPr>
            </w:pPr>
            <w:r w:rsidRPr="00E73CCD">
              <w:rPr>
                <w:color w:val="000000"/>
              </w:rPr>
              <w:t>2</w:t>
            </w:r>
            <w:r w:rsidR="002561F1">
              <w:rPr>
                <w:color w:val="000000"/>
              </w:rPr>
              <w:t>6</w:t>
            </w:r>
          </w:p>
        </w:tc>
        <w:tc>
          <w:tcPr>
            <w:tcW w:w="2054" w:type="dxa"/>
          </w:tcPr>
          <w:p w14:paraId="0EABD506" w14:textId="77777777" w:rsidR="0049585E" w:rsidRPr="00E73CCD" w:rsidRDefault="00C90475" w:rsidP="00E73CCD">
            <w:pPr>
              <w:pBdr>
                <w:top w:val="nil"/>
                <w:left w:val="nil"/>
                <w:bottom w:val="nil"/>
                <w:right w:val="nil"/>
                <w:between w:val="nil"/>
              </w:pBdr>
              <w:rPr>
                <w:color w:val="000000"/>
              </w:rPr>
            </w:pPr>
            <w:r>
              <w:rPr>
                <w:color w:val="000000"/>
              </w:rPr>
              <w:t xml:space="preserve">26x5% =1.3 </w:t>
            </w:r>
            <w:r w:rsidR="00737C54">
              <w:rPr>
                <w:color w:val="000000"/>
              </w:rPr>
              <w:t xml:space="preserve"> </w:t>
            </w:r>
            <w:r w:rsidR="0049585E" w:rsidRPr="00E73CCD">
              <w:rPr>
                <w:color w:val="000000"/>
              </w:rPr>
              <w:t xml:space="preserve"> =01</w:t>
            </w:r>
          </w:p>
        </w:tc>
        <w:tc>
          <w:tcPr>
            <w:tcW w:w="4322" w:type="dxa"/>
          </w:tcPr>
          <w:p w14:paraId="71180C90" w14:textId="77777777" w:rsidR="0049585E" w:rsidRPr="00E73CCD" w:rsidRDefault="0049585E" w:rsidP="00076795">
            <w:pPr>
              <w:pBdr>
                <w:top w:val="nil"/>
                <w:left w:val="nil"/>
                <w:bottom w:val="nil"/>
                <w:right w:val="nil"/>
                <w:between w:val="nil"/>
              </w:pBdr>
              <w:ind w:left="140"/>
              <w:rPr>
                <w:color w:val="000000"/>
              </w:rPr>
            </w:pPr>
            <w:proofErr w:type="spellStart"/>
            <w:r w:rsidRPr="00E73CCD">
              <w:rPr>
                <w:color w:val="000000"/>
              </w:rPr>
              <w:t>Golaghat</w:t>
            </w:r>
            <w:proofErr w:type="spellEnd"/>
            <w:r w:rsidRPr="00E73CCD">
              <w:rPr>
                <w:color w:val="000000"/>
              </w:rPr>
              <w:t xml:space="preserve"> MB</w:t>
            </w:r>
          </w:p>
        </w:tc>
      </w:tr>
      <w:tr w:rsidR="0049585E" w:rsidRPr="00E73CCD" w14:paraId="3B1B3EF0" w14:textId="77777777" w:rsidTr="00737C54">
        <w:trPr>
          <w:trHeight w:val="263"/>
        </w:trPr>
        <w:tc>
          <w:tcPr>
            <w:tcW w:w="1227" w:type="dxa"/>
          </w:tcPr>
          <w:p w14:paraId="14CB3EBA" w14:textId="77777777" w:rsidR="0049585E" w:rsidRPr="00E73CCD" w:rsidRDefault="0049585E" w:rsidP="00076795">
            <w:pPr>
              <w:pBdr>
                <w:top w:val="nil"/>
                <w:left w:val="nil"/>
                <w:bottom w:val="nil"/>
                <w:right w:val="nil"/>
                <w:between w:val="nil"/>
              </w:pBdr>
              <w:ind w:left="119"/>
              <w:rPr>
                <w:color w:val="000000"/>
              </w:rPr>
            </w:pPr>
            <w:r w:rsidRPr="00E73CCD">
              <w:rPr>
                <w:color w:val="000000"/>
              </w:rPr>
              <w:t>Class-IV</w:t>
            </w:r>
          </w:p>
        </w:tc>
        <w:tc>
          <w:tcPr>
            <w:tcW w:w="1786" w:type="dxa"/>
          </w:tcPr>
          <w:p w14:paraId="54322136" w14:textId="77777777" w:rsidR="0049585E" w:rsidRPr="00E73CCD" w:rsidRDefault="002561F1" w:rsidP="00076795">
            <w:pPr>
              <w:pBdr>
                <w:top w:val="nil"/>
                <w:left w:val="nil"/>
                <w:bottom w:val="nil"/>
                <w:right w:val="nil"/>
                <w:between w:val="nil"/>
              </w:pBdr>
              <w:ind w:left="261"/>
              <w:rPr>
                <w:color w:val="000000"/>
              </w:rPr>
            </w:pPr>
            <w:r>
              <w:rPr>
                <w:color w:val="000000"/>
              </w:rPr>
              <w:t>45</w:t>
            </w:r>
          </w:p>
        </w:tc>
        <w:tc>
          <w:tcPr>
            <w:tcW w:w="2054" w:type="dxa"/>
          </w:tcPr>
          <w:p w14:paraId="223104F0" w14:textId="77777777" w:rsidR="0049585E" w:rsidRPr="00E73CCD" w:rsidRDefault="00C90475" w:rsidP="00C90475">
            <w:pPr>
              <w:pBdr>
                <w:top w:val="nil"/>
                <w:left w:val="nil"/>
                <w:bottom w:val="nil"/>
                <w:right w:val="nil"/>
                <w:between w:val="nil"/>
              </w:pBdr>
              <w:rPr>
                <w:color w:val="000000"/>
              </w:rPr>
            </w:pPr>
            <w:r>
              <w:rPr>
                <w:color w:val="000000"/>
              </w:rPr>
              <w:t>45x5% =2</w:t>
            </w:r>
            <w:r w:rsidR="0049585E" w:rsidRPr="00E73CCD">
              <w:rPr>
                <w:color w:val="000000"/>
              </w:rPr>
              <w:t>.</w:t>
            </w:r>
            <w:r>
              <w:rPr>
                <w:color w:val="000000"/>
              </w:rPr>
              <w:t>25</w:t>
            </w:r>
            <w:r w:rsidR="0049585E" w:rsidRPr="00E73CCD">
              <w:rPr>
                <w:color w:val="000000"/>
              </w:rPr>
              <w:t xml:space="preserve"> =02</w:t>
            </w:r>
          </w:p>
        </w:tc>
        <w:tc>
          <w:tcPr>
            <w:tcW w:w="4322" w:type="dxa"/>
          </w:tcPr>
          <w:p w14:paraId="4D972961" w14:textId="77777777" w:rsidR="0049585E" w:rsidRPr="00E73CCD" w:rsidRDefault="0049585E" w:rsidP="00076795">
            <w:pPr>
              <w:pBdr>
                <w:top w:val="nil"/>
                <w:left w:val="nil"/>
                <w:bottom w:val="nil"/>
                <w:right w:val="nil"/>
                <w:between w:val="nil"/>
              </w:pBdr>
              <w:ind w:left="140"/>
              <w:rPr>
                <w:color w:val="000000"/>
              </w:rPr>
            </w:pPr>
            <w:proofErr w:type="spellStart"/>
            <w:r w:rsidRPr="00E73CCD">
              <w:rPr>
                <w:color w:val="000000"/>
              </w:rPr>
              <w:t>BokakhatTC&amp;Titabor</w:t>
            </w:r>
            <w:proofErr w:type="spellEnd"/>
            <w:r w:rsidRPr="00E73CCD">
              <w:rPr>
                <w:color w:val="000000"/>
              </w:rPr>
              <w:t xml:space="preserve"> T C</w:t>
            </w:r>
          </w:p>
        </w:tc>
      </w:tr>
      <w:tr w:rsidR="0049585E" w:rsidRPr="00E73CCD" w14:paraId="2F6E3CAD" w14:textId="77777777" w:rsidTr="00737C54">
        <w:trPr>
          <w:trHeight w:val="508"/>
        </w:trPr>
        <w:tc>
          <w:tcPr>
            <w:tcW w:w="1227" w:type="dxa"/>
          </w:tcPr>
          <w:p w14:paraId="1F4A48B8" w14:textId="77777777" w:rsidR="0049585E" w:rsidRPr="00E73CCD" w:rsidRDefault="0049585E" w:rsidP="00076795">
            <w:pPr>
              <w:pBdr>
                <w:top w:val="nil"/>
                <w:left w:val="nil"/>
                <w:bottom w:val="nil"/>
                <w:right w:val="nil"/>
                <w:between w:val="nil"/>
              </w:pBdr>
              <w:ind w:left="119"/>
              <w:rPr>
                <w:color w:val="000000"/>
              </w:rPr>
            </w:pPr>
            <w:r w:rsidRPr="00E73CCD">
              <w:rPr>
                <w:color w:val="000000"/>
              </w:rPr>
              <w:t>Class-V</w:t>
            </w:r>
          </w:p>
        </w:tc>
        <w:tc>
          <w:tcPr>
            <w:tcW w:w="1786" w:type="dxa"/>
          </w:tcPr>
          <w:p w14:paraId="7FD471EA" w14:textId="77777777" w:rsidR="0049585E" w:rsidRPr="00E73CCD" w:rsidRDefault="002561F1" w:rsidP="00076795">
            <w:pPr>
              <w:pBdr>
                <w:top w:val="nil"/>
                <w:left w:val="nil"/>
                <w:bottom w:val="nil"/>
                <w:right w:val="nil"/>
                <w:between w:val="nil"/>
              </w:pBdr>
              <w:ind w:left="261"/>
              <w:rPr>
                <w:color w:val="000000"/>
              </w:rPr>
            </w:pPr>
            <w:r>
              <w:rPr>
                <w:color w:val="000000"/>
              </w:rPr>
              <w:t>90</w:t>
            </w:r>
          </w:p>
        </w:tc>
        <w:tc>
          <w:tcPr>
            <w:tcW w:w="2054" w:type="dxa"/>
          </w:tcPr>
          <w:p w14:paraId="14230B42" w14:textId="77777777" w:rsidR="0049585E" w:rsidRPr="00E73CCD" w:rsidRDefault="00C90475" w:rsidP="00E73CCD">
            <w:pPr>
              <w:pBdr>
                <w:top w:val="nil"/>
                <w:left w:val="nil"/>
                <w:bottom w:val="nil"/>
                <w:right w:val="nil"/>
                <w:between w:val="nil"/>
              </w:pBdr>
              <w:rPr>
                <w:color w:val="000000"/>
              </w:rPr>
            </w:pPr>
            <w:r>
              <w:rPr>
                <w:color w:val="000000"/>
              </w:rPr>
              <w:t>90x5% =4.5   =05</w:t>
            </w:r>
          </w:p>
        </w:tc>
        <w:tc>
          <w:tcPr>
            <w:tcW w:w="4322" w:type="dxa"/>
          </w:tcPr>
          <w:p w14:paraId="1F739029" w14:textId="77777777" w:rsidR="0049585E" w:rsidRPr="00E73CCD" w:rsidRDefault="0049585E" w:rsidP="00076795">
            <w:pPr>
              <w:pBdr>
                <w:top w:val="nil"/>
                <w:left w:val="nil"/>
                <w:bottom w:val="nil"/>
                <w:right w:val="nil"/>
                <w:between w:val="nil"/>
              </w:pBdr>
              <w:ind w:left="140"/>
              <w:rPr>
                <w:color w:val="000000"/>
              </w:rPr>
            </w:pPr>
            <w:proofErr w:type="spellStart"/>
            <w:r w:rsidRPr="00E73CCD">
              <w:rPr>
                <w:color w:val="000000"/>
              </w:rPr>
              <w:t>AmguriTC</w:t>
            </w:r>
            <w:proofErr w:type="spellEnd"/>
            <w:r w:rsidRPr="00E73CCD">
              <w:rPr>
                <w:color w:val="000000"/>
              </w:rPr>
              <w:t xml:space="preserve">, </w:t>
            </w:r>
            <w:proofErr w:type="spellStart"/>
            <w:r w:rsidRPr="00E73CCD">
              <w:rPr>
                <w:color w:val="000000"/>
              </w:rPr>
              <w:t>Chabua</w:t>
            </w:r>
            <w:proofErr w:type="spellEnd"/>
            <w:r w:rsidRPr="00E73CCD">
              <w:rPr>
                <w:color w:val="000000"/>
              </w:rPr>
              <w:t xml:space="preserve"> </w:t>
            </w:r>
            <w:proofErr w:type="gramStart"/>
            <w:r w:rsidRPr="00E73CCD">
              <w:rPr>
                <w:color w:val="000000"/>
              </w:rPr>
              <w:t xml:space="preserve">TC, </w:t>
            </w:r>
            <w:r w:rsidR="00C90475">
              <w:rPr>
                <w:color w:val="000000"/>
              </w:rPr>
              <w:t xml:space="preserve"> </w:t>
            </w:r>
            <w:proofErr w:type="spellStart"/>
            <w:r w:rsidR="00C90475">
              <w:rPr>
                <w:color w:val="000000"/>
              </w:rPr>
              <w:t>Demow</w:t>
            </w:r>
            <w:proofErr w:type="spellEnd"/>
            <w:proofErr w:type="gramEnd"/>
            <w:r w:rsidR="00C90475">
              <w:rPr>
                <w:color w:val="000000"/>
              </w:rPr>
              <w:t xml:space="preserve"> </w:t>
            </w:r>
            <w:proofErr w:type="spellStart"/>
            <w:r w:rsidR="00C90475">
              <w:rPr>
                <w:color w:val="000000"/>
              </w:rPr>
              <w:t>TC,</w:t>
            </w:r>
            <w:r w:rsidRPr="00E73CCD">
              <w:rPr>
                <w:color w:val="000000"/>
              </w:rPr>
              <w:t>Dokmoka</w:t>
            </w:r>
            <w:proofErr w:type="spellEnd"/>
            <w:r w:rsidRPr="00E73CCD">
              <w:rPr>
                <w:color w:val="000000"/>
              </w:rPr>
              <w:t xml:space="preserve"> TC(</w:t>
            </w:r>
            <w:proofErr w:type="spellStart"/>
            <w:r w:rsidRPr="00E73CCD">
              <w:rPr>
                <w:color w:val="000000"/>
              </w:rPr>
              <w:t>KarbiAnlong</w:t>
            </w:r>
            <w:proofErr w:type="spellEnd"/>
            <w:r w:rsidRPr="00E73CCD">
              <w:rPr>
                <w:color w:val="000000"/>
              </w:rPr>
              <w:t>) &amp;</w:t>
            </w:r>
            <w:proofErr w:type="spellStart"/>
            <w:r w:rsidRPr="00E73CCD">
              <w:rPr>
                <w:color w:val="000000"/>
              </w:rPr>
              <w:t>Teok</w:t>
            </w:r>
            <w:proofErr w:type="spellEnd"/>
            <w:r w:rsidRPr="00E73CCD">
              <w:rPr>
                <w:color w:val="000000"/>
              </w:rPr>
              <w:t xml:space="preserve"> TC</w:t>
            </w:r>
          </w:p>
        </w:tc>
      </w:tr>
      <w:tr w:rsidR="0049585E" w:rsidRPr="00E73CCD" w14:paraId="5FCFEC99" w14:textId="77777777" w:rsidTr="00737C54">
        <w:trPr>
          <w:trHeight w:val="243"/>
        </w:trPr>
        <w:tc>
          <w:tcPr>
            <w:tcW w:w="1227" w:type="dxa"/>
          </w:tcPr>
          <w:p w14:paraId="331A9323" w14:textId="77777777" w:rsidR="0049585E" w:rsidRPr="00E73CCD" w:rsidRDefault="0049585E" w:rsidP="00076795">
            <w:pPr>
              <w:pBdr>
                <w:top w:val="nil"/>
                <w:left w:val="nil"/>
                <w:bottom w:val="nil"/>
                <w:right w:val="nil"/>
                <w:between w:val="nil"/>
              </w:pBdr>
              <w:ind w:left="119"/>
              <w:rPr>
                <w:color w:val="000000"/>
              </w:rPr>
            </w:pPr>
            <w:r w:rsidRPr="00E73CCD">
              <w:rPr>
                <w:color w:val="000000"/>
              </w:rPr>
              <w:t>Class-VI</w:t>
            </w:r>
          </w:p>
        </w:tc>
        <w:tc>
          <w:tcPr>
            <w:tcW w:w="1786" w:type="dxa"/>
          </w:tcPr>
          <w:p w14:paraId="1D8B7AD6" w14:textId="77777777" w:rsidR="0049585E" w:rsidRPr="00E73CCD" w:rsidRDefault="002561F1" w:rsidP="00076795">
            <w:pPr>
              <w:pBdr>
                <w:top w:val="nil"/>
                <w:left w:val="nil"/>
                <w:bottom w:val="nil"/>
                <w:right w:val="nil"/>
                <w:between w:val="nil"/>
              </w:pBdr>
              <w:ind w:left="261"/>
              <w:rPr>
                <w:color w:val="000000"/>
              </w:rPr>
            </w:pPr>
            <w:r>
              <w:rPr>
                <w:color w:val="000000"/>
              </w:rPr>
              <w:t>37</w:t>
            </w:r>
          </w:p>
        </w:tc>
        <w:tc>
          <w:tcPr>
            <w:tcW w:w="2054" w:type="dxa"/>
          </w:tcPr>
          <w:p w14:paraId="0AF42469" w14:textId="77777777" w:rsidR="0049585E" w:rsidRPr="00E73CCD" w:rsidRDefault="00C90475" w:rsidP="00E73CCD">
            <w:pPr>
              <w:pBdr>
                <w:top w:val="nil"/>
                <w:left w:val="nil"/>
                <w:bottom w:val="nil"/>
                <w:right w:val="nil"/>
                <w:between w:val="nil"/>
              </w:pBdr>
              <w:rPr>
                <w:color w:val="000000"/>
              </w:rPr>
            </w:pPr>
            <w:r>
              <w:rPr>
                <w:color w:val="000000"/>
              </w:rPr>
              <w:t>37x5% =1.85 =02</w:t>
            </w:r>
          </w:p>
        </w:tc>
        <w:tc>
          <w:tcPr>
            <w:tcW w:w="4322" w:type="dxa"/>
          </w:tcPr>
          <w:p w14:paraId="53257A41" w14:textId="77777777" w:rsidR="0049585E" w:rsidRPr="00E73CCD" w:rsidRDefault="0049585E" w:rsidP="00076795">
            <w:pPr>
              <w:pBdr>
                <w:top w:val="nil"/>
                <w:left w:val="nil"/>
                <w:bottom w:val="nil"/>
                <w:right w:val="nil"/>
                <w:between w:val="nil"/>
              </w:pBdr>
              <w:ind w:left="140"/>
              <w:rPr>
                <w:color w:val="000000"/>
              </w:rPr>
            </w:pPr>
            <w:proofErr w:type="spellStart"/>
            <w:r w:rsidRPr="00E73CCD">
              <w:rPr>
                <w:color w:val="000000"/>
              </w:rPr>
              <w:t>Kamalabari</w:t>
            </w:r>
            <w:proofErr w:type="spellEnd"/>
            <w:r w:rsidRPr="00E73CCD">
              <w:rPr>
                <w:color w:val="000000"/>
              </w:rPr>
              <w:t xml:space="preserve"> </w:t>
            </w:r>
            <w:proofErr w:type="gramStart"/>
            <w:r w:rsidRPr="00E73CCD">
              <w:rPr>
                <w:color w:val="000000"/>
              </w:rPr>
              <w:t xml:space="preserve">( </w:t>
            </w:r>
            <w:proofErr w:type="spellStart"/>
            <w:r w:rsidRPr="00E73CCD">
              <w:rPr>
                <w:color w:val="000000"/>
              </w:rPr>
              <w:t>Majuli</w:t>
            </w:r>
            <w:proofErr w:type="spellEnd"/>
            <w:proofErr w:type="gramEnd"/>
            <w:r w:rsidRPr="00E73CCD">
              <w:rPr>
                <w:color w:val="000000"/>
              </w:rPr>
              <w:t>)</w:t>
            </w:r>
            <w:r w:rsidR="00C90475">
              <w:rPr>
                <w:color w:val="000000"/>
              </w:rPr>
              <w:t xml:space="preserve">&amp; </w:t>
            </w:r>
            <w:proofErr w:type="spellStart"/>
            <w:r w:rsidR="00C90475">
              <w:rPr>
                <w:color w:val="000000"/>
              </w:rPr>
              <w:t>DekhargoraCT</w:t>
            </w:r>
            <w:proofErr w:type="spellEnd"/>
          </w:p>
        </w:tc>
      </w:tr>
      <w:tr w:rsidR="0049585E" w:rsidRPr="00E73CCD" w14:paraId="41E73F77" w14:textId="77777777" w:rsidTr="00737C54">
        <w:trPr>
          <w:trHeight w:val="155"/>
        </w:trPr>
        <w:tc>
          <w:tcPr>
            <w:tcW w:w="1227" w:type="dxa"/>
            <w:tcBorders>
              <w:bottom w:val="single" w:sz="4" w:space="0" w:color="000000"/>
            </w:tcBorders>
          </w:tcPr>
          <w:p w14:paraId="46B49361" w14:textId="77777777" w:rsidR="0049585E" w:rsidRPr="00E73CCD" w:rsidRDefault="0049585E" w:rsidP="00076795">
            <w:pPr>
              <w:pBdr>
                <w:top w:val="nil"/>
                <w:left w:val="nil"/>
                <w:bottom w:val="nil"/>
                <w:right w:val="nil"/>
                <w:between w:val="nil"/>
              </w:pBdr>
              <w:ind w:left="119"/>
              <w:rPr>
                <w:color w:val="000000"/>
              </w:rPr>
            </w:pPr>
            <w:r w:rsidRPr="00E73CCD">
              <w:rPr>
                <w:color w:val="000000"/>
              </w:rPr>
              <w:t>Total</w:t>
            </w:r>
          </w:p>
        </w:tc>
        <w:tc>
          <w:tcPr>
            <w:tcW w:w="1786" w:type="dxa"/>
            <w:tcBorders>
              <w:bottom w:val="single" w:sz="4" w:space="0" w:color="000000"/>
            </w:tcBorders>
          </w:tcPr>
          <w:p w14:paraId="1886DC5D" w14:textId="77777777" w:rsidR="0049585E" w:rsidRPr="00E73CCD" w:rsidRDefault="002561F1" w:rsidP="00737C54">
            <w:pPr>
              <w:pBdr>
                <w:top w:val="nil"/>
                <w:left w:val="nil"/>
                <w:bottom w:val="nil"/>
                <w:right w:val="nil"/>
                <w:between w:val="nil"/>
              </w:pBdr>
              <w:rPr>
                <w:color w:val="000000"/>
              </w:rPr>
            </w:pPr>
            <w:r>
              <w:rPr>
                <w:color w:val="000000"/>
              </w:rPr>
              <w:t>214</w:t>
            </w:r>
            <w:r w:rsidR="0049585E" w:rsidRPr="00E73CCD">
              <w:rPr>
                <w:color w:val="000000"/>
              </w:rPr>
              <w:t xml:space="preserve"> </w:t>
            </w:r>
            <w:proofErr w:type="spellStart"/>
            <w:r w:rsidR="0049585E" w:rsidRPr="00E73CCD">
              <w:rPr>
                <w:color w:val="000000"/>
              </w:rPr>
              <w:t>nos</w:t>
            </w:r>
            <w:proofErr w:type="spellEnd"/>
          </w:p>
        </w:tc>
        <w:tc>
          <w:tcPr>
            <w:tcW w:w="2054" w:type="dxa"/>
            <w:tcBorders>
              <w:bottom w:val="single" w:sz="4" w:space="0" w:color="000000"/>
            </w:tcBorders>
          </w:tcPr>
          <w:p w14:paraId="08C09363" w14:textId="77777777" w:rsidR="0049585E" w:rsidRPr="00E73CCD" w:rsidRDefault="00737C54" w:rsidP="00076795">
            <w:pPr>
              <w:pBdr>
                <w:top w:val="nil"/>
                <w:left w:val="nil"/>
                <w:bottom w:val="nil"/>
                <w:right w:val="nil"/>
                <w:between w:val="nil"/>
              </w:pBdr>
              <w:ind w:left="252"/>
              <w:rPr>
                <w:color w:val="000000"/>
              </w:rPr>
            </w:pPr>
            <w:r>
              <w:rPr>
                <w:color w:val="000000"/>
              </w:rPr>
              <w:t xml:space="preserve">              </w:t>
            </w:r>
            <w:r w:rsidR="00C90475">
              <w:rPr>
                <w:color w:val="000000"/>
              </w:rPr>
              <w:t>12</w:t>
            </w:r>
            <w:r w:rsidR="0049585E" w:rsidRPr="00E73CCD">
              <w:rPr>
                <w:color w:val="000000"/>
              </w:rPr>
              <w:t xml:space="preserve"> </w:t>
            </w:r>
            <w:proofErr w:type="spellStart"/>
            <w:r w:rsidR="0049585E" w:rsidRPr="00E73CCD">
              <w:rPr>
                <w:color w:val="000000"/>
              </w:rPr>
              <w:t>nos</w:t>
            </w:r>
            <w:proofErr w:type="spellEnd"/>
          </w:p>
        </w:tc>
        <w:tc>
          <w:tcPr>
            <w:tcW w:w="4322" w:type="dxa"/>
            <w:tcBorders>
              <w:bottom w:val="single" w:sz="4" w:space="0" w:color="000000"/>
            </w:tcBorders>
          </w:tcPr>
          <w:p w14:paraId="5EE2E7E6" w14:textId="77777777" w:rsidR="0049585E" w:rsidRPr="00E73CCD" w:rsidRDefault="0049585E" w:rsidP="00076795">
            <w:pPr>
              <w:pBdr>
                <w:top w:val="nil"/>
                <w:left w:val="nil"/>
                <w:bottom w:val="nil"/>
                <w:right w:val="nil"/>
                <w:between w:val="nil"/>
              </w:pBdr>
              <w:rPr>
                <w:color w:val="000000"/>
              </w:rPr>
            </w:pPr>
          </w:p>
        </w:tc>
      </w:tr>
    </w:tbl>
    <w:p w14:paraId="5F7A9B0F" w14:textId="77777777" w:rsidR="0049585E" w:rsidRDefault="0049585E" w:rsidP="0049585E">
      <w:pPr>
        <w:pBdr>
          <w:top w:val="nil"/>
          <w:left w:val="nil"/>
          <w:bottom w:val="nil"/>
          <w:right w:val="nil"/>
          <w:between w:val="nil"/>
        </w:pBdr>
        <w:rPr>
          <w:b/>
          <w:color w:val="000000"/>
        </w:rPr>
      </w:pPr>
    </w:p>
    <w:p w14:paraId="7D9B7EB0" w14:textId="77777777" w:rsidR="0049585E" w:rsidRPr="0049585E" w:rsidRDefault="0049585E" w:rsidP="00E73CCD">
      <w:pPr>
        <w:pBdr>
          <w:top w:val="nil"/>
          <w:left w:val="nil"/>
          <w:bottom w:val="nil"/>
          <w:right w:val="nil"/>
          <w:between w:val="nil"/>
        </w:pBdr>
        <w:spacing w:line="276" w:lineRule="auto"/>
        <w:ind w:left="270" w:right="390"/>
        <w:jc w:val="both"/>
        <w:rPr>
          <w:color w:val="000000"/>
          <w:sz w:val="24"/>
          <w:szCs w:val="24"/>
        </w:rPr>
      </w:pPr>
      <w:r w:rsidRPr="0049585E">
        <w:rPr>
          <w:color w:val="000000"/>
          <w:sz w:val="24"/>
          <w:szCs w:val="24"/>
        </w:rPr>
        <w:t>Giving relatively more weight to highe</w:t>
      </w:r>
      <w:r w:rsidR="00737C54">
        <w:rPr>
          <w:color w:val="000000"/>
          <w:sz w:val="24"/>
          <w:szCs w:val="24"/>
        </w:rPr>
        <w:t>r category of towns, in total 33 sample contractors/builders</w:t>
      </w:r>
      <w:r w:rsidRPr="0049585E">
        <w:rPr>
          <w:color w:val="000000"/>
          <w:sz w:val="24"/>
          <w:szCs w:val="24"/>
        </w:rPr>
        <w:t xml:space="preserve"> have been selected </w:t>
      </w:r>
      <w:r w:rsidR="00EE0AFA" w:rsidRPr="0049585E">
        <w:rPr>
          <w:color w:val="000000"/>
          <w:sz w:val="24"/>
          <w:szCs w:val="24"/>
        </w:rPr>
        <w:t>disproportionately</w:t>
      </w:r>
      <w:r w:rsidR="00737C54">
        <w:rPr>
          <w:color w:val="000000"/>
          <w:sz w:val="24"/>
          <w:szCs w:val="24"/>
        </w:rPr>
        <w:t xml:space="preserve"> from 12</w:t>
      </w:r>
      <w:r w:rsidRPr="0049585E">
        <w:rPr>
          <w:color w:val="000000"/>
          <w:sz w:val="24"/>
          <w:szCs w:val="24"/>
        </w:rPr>
        <w:t xml:space="preserve"> </w:t>
      </w:r>
      <w:proofErr w:type="spellStart"/>
      <w:r w:rsidRPr="0049585E">
        <w:rPr>
          <w:color w:val="000000"/>
          <w:sz w:val="24"/>
          <w:szCs w:val="24"/>
        </w:rPr>
        <w:t>nos</w:t>
      </w:r>
      <w:proofErr w:type="spellEnd"/>
      <w:r w:rsidRPr="0049585E">
        <w:rPr>
          <w:color w:val="000000"/>
          <w:sz w:val="24"/>
          <w:szCs w:val="24"/>
        </w:rPr>
        <w:t xml:space="preserve"> sample towns of different categories as shown in table-3.</w:t>
      </w:r>
    </w:p>
    <w:p w14:paraId="515829E3" w14:textId="77777777" w:rsidR="00E73CCD" w:rsidRPr="00737C54" w:rsidRDefault="00634BBD" w:rsidP="00E73CCD">
      <w:pPr>
        <w:pStyle w:val="Heading1"/>
        <w:spacing w:before="0"/>
        <w:ind w:left="360"/>
        <w:rPr>
          <w:rFonts w:ascii="Times New Roman" w:hAnsi="Times New Roman" w:cs="Times New Roman"/>
          <w:color w:val="auto"/>
          <w:sz w:val="22"/>
          <w:szCs w:val="22"/>
        </w:rPr>
      </w:pPr>
      <w:r>
        <w:rPr>
          <w:rFonts w:ascii="Times New Roman" w:hAnsi="Times New Roman" w:cs="Times New Roman"/>
          <w:color w:val="auto"/>
          <w:sz w:val="22"/>
          <w:szCs w:val="22"/>
        </w:rPr>
        <w:t>Table -2: Nos of Sample</w:t>
      </w:r>
      <w:r w:rsidR="00E73CCD" w:rsidRPr="00737C54">
        <w:rPr>
          <w:rFonts w:ascii="Times New Roman" w:hAnsi="Times New Roman" w:cs="Times New Roman"/>
          <w:color w:val="auto"/>
          <w:sz w:val="22"/>
          <w:szCs w:val="22"/>
        </w:rPr>
        <w:t xml:space="preserve"> Contractors/Builders selected for the study:</w:t>
      </w:r>
    </w:p>
    <w:p w14:paraId="3E4BBE5C" w14:textId="77777777" w:rsidR="00E73CCD" w:rsidRPr="00F52758" w:rsidRDefault="00E73CCD" w:rsidP="00E73CCD">
      <w:pPr>
        <w:pBdr>
          <w:top w:val="nil"/>
          <w:left w:val="nil"/>
          <w:bottom w:val="nil"/>
          <w:right w:val="nil"/>
          <w:between w:val="nil"/>
        </w:pBdr>
        <w:rPr>
          <w:b/>
          <w:sz w:val="6"/>
          <w:szCs w:val="6"/>
        </w:rPr>
      </w:pPr>
    </w:p>
    <w:tbl>
      <w:tblPr>
        <w:tblW w:w="9094" w:type="dxa"/>
        <w:tblInd w:w="127" w:type="dxa"/>
        <w:tblBorders>
          <w:top w:val="nil"/>
          <w:left w:val="nil"/>
          <w:bottom w:val="nil"/>
          <w:right w:val="nil"/>
          <w:insideH w:val="nil"/>
          <w:insideV w:val="nil"/>
        </w:tblBorders>
        <w:tblLayout w:type="fixed"/>
        <w:tblLook w:val="0000" w:firstRow="0" w:lastRow="0" w:firstColumn="0" w:lastColumn="0" w:noHBand="0" w:noVBand="0"/>
      </w:tblPr>
      <w:tblGrid>
        <w:gridCol w:w="1781"/>
        <w:gridCol w:w="3524"/>
        <w:gridCol w:w="976"/>
        <w:gridCol w:w="236"/>
        <w:gridCol w:w="2577"/>
      </w:tblGrid>
      <w:tr w:rsidR="00E73CCD" w14:paraId="2C4ED787" w14:textId="77777777" w:rsidTr="00737C54">
        <w:trPr>
          <w:trHeight w:val="576"/>
        </w:trPr>
        <w:tc>
          <w:tcPr>
            <w:tcW w:w="1781" w:type="dxa"/>
            <w:tcBorders>
              <w:top w:val="single" w:sz="4" w:space="0" w:color="000000"/>
              <w:bottom w:val="single" w:sz="4" w:space="0" w:color="auto"/>
            </w:tcBorders>
          </w:tcPr>
          <w:p w14:paraId="7AD2A18A" w14:textId="77777777" w:rsidR="00E73CCD" w:rsidRDefault="00E73CCD" w:rsidP="00E73CCD">
            <w:pPr>
              <w:pBdr>
                <w:top w:val="nil"/>
                <w:left w:val="nil"/>
                <w:bottom w:val="nil"/>
                <w:right w:val="nil"/>
                <w:between w:val="nil"/>
              </w:pBdr>
              <w:ind w:left="119" w:right="48"/>
              <w:rPr>
                <w:color w:val="000000"/>
                <w:sz w:val="20"/>
                <w:szCs w:val="20"/>
              </w:rPr>
            </w:pPr>
            <w:r>
              <w:rPr>
                <w:color w:val="000000"/>
                <w:sz w:val="20"/>
                <w:szCs w:val="20"/>
              </w:rPr>
              <w:t>Category of towns</w:t>
            </w:r>
          </w:p>
        </w:tc>
        <w:tc>
          <w:tcPr>
            <w:tcW w:w="3524" w:type="dxa"/>
            <w:tcBorders>
              <w:top w:val="single" w:sz="4" w:space="0" w:color="000000"/>
              <w:bottom w:val="single" w:sz="4" w:space="0" w:color="auto"/>
            </w:tcBorders>
          </w:tcPr>
          <w:p w14:paraId="7D8C2E54" w14:textId="77777777" w:rsidR="00E73CCD" w:rsidRDefault="00E73CCD" w:rsidP="00737C54">
            <w:pPr>
              <w:pBdr>
                <w:top w:val="nil"/>
                <w:left w:val="nil"/>
                <w:bottom w:val="nil"/>
                <w:right w:val="nil"/>
                <w:between w:val="nil"/>
              </w:pBdr>
              <w:ind w:left="1166"/>
              <w:rPr>
                <w:color w:val="000000"/>
                <w:sz w:val="20"/>
                <w:szCs w:val="20"/>
              </w:rPr>
            </w:pPr>
            <w:r>
              <w:rPr>
                <w:color w:val="000000"/>
                <w:sz w:val="20"/>
                <w:szCs w:val="20"/>
              </w:rPr>
              <w:t>Sample Towns selected for field visit</w:t>
            </w:r>
          </w:p>
        </w:tc>
        <w:tc>
          <w:tcPr>
            <w:tcW w:w="976" w:type="dxa"/>
            <w:tcBorders>
              <w:top w:val="single" w:sz="4" w:space="0" w:color="000000"/>
              <w:bottom w:val="single" w:sz="4" w:space="0" w:color="auto"/>
            </w:tcBorders>
          </w:tcPr>
          <w:p w14:paraId="05DA4ED2" w14:textId="77777777" w:rsidR="00E73CCD" w:rsidRDefault="00E73CCD" w:rsidP="00E73CCD">
            <w:pPr>
              <w:pBdr>
                <w:top w:val="nil"/>
                <w:left w:val="nil"/>
                <w:bottom w:val="nil"/>
                <w:right w:val="nil"/>
                <w:between w:val="nil"/>
              </w:pBdr>
              <w:ind w:left="192"/>
              <w:rPr>
                <w:color w:val="000000"/>
                <w:sz w:val="20"/>
                <w:szCs w:val="20"/>
              </w:rPr>
            </w:pPr>
          </w:p>
        </w:tc>
        <w:tc>
          <w:tcPr>
            <w:tcW w:w="236" w:type="dxa"/>
            <w:tcBorders>
              <w:top w:val="single" w:sz="4" w:space="0" w:color="000000"/>
              <w:bottom w:val="single" w:sz="4" w:space="0" w:color="auto"/>
            </w:tcBorders>
          </w:tcPr>
          <w:p w14:paraId="230E7CF9" w14:textId="77777777" w:rsidR="00E73CCD" w:rsidRDefault="00E73CCD" w:rsidP="00E73CCD">
            <w:pPr>
              <w:pBdr>
                <w:top w:val="nil"/>
                <w:left w:val="nil"/>
                <w:bottom w:val="nil"/>
                <w:right w:val="nil"/>
                <w:between w:val="nil"/>
              </w:pBdr>
              <w:ind w:left="213"/>
              <w:rPr>
                <w:color w:val="000000"/>
                <w:sz w:val="20"/>
                <w:szCs w:val="20"/>
              </w:rPr>
            </w:pPr>
          </w:p>
        </w:tc>
        <w:tc>
          <w:tcPr>
            <w:tcW w:w="2577" w:type="dxa"/>
            <w:tcBorders>
              <w:top w:val="single" w:sz="4" w:space="0" w:color="000000"/>
              <w:bottom w:val="single" w:sz="4" w:space="0" w:color="auto"/>
            </w:tcBorders>
          </w:tcPr>
          <w:p w14:paraId="7DDD1626" w14:textId="77777777" w:rsidR="00E73CCD" w:rsidRDefault="00E73CCD" w:rsidP="00E73CCD">
            <w:pPr>
              <w:pBdr>
                <w:top w:val="nil"/>
                <w:left w:val="nil"/>
                <w:bottom w:val="nil"/>
                <w:right w:val="nil"/>
                <w:between w:val="nil"/>
              </w:pBdr>
              <w:ind w:left="265"/>
              <w:rPr>
                <w:color w:val="000000"/>
                <w:sz w:val="20"/>
                <w:szCs w:val="20"/>
              </w:rPr>
            </w:pPr>
            <w:r>
              <w:rPr>
                <w:color w:val="000000"/>
                <w:sz w:val="20"/>
                <w:szCs w:val="20"/>
              </w:rPr>
              <w:t>Contractors/ Builders</w:t>
            </w:r>
          </w:p>
          <w:p w14:paraId="25A7AAC4" w14:textId="77777777" w:rsidR="00737C54" w:rsidRDefault="00737C54" w:rsidP="00E73CCD">
            <w:pPr>
              <w:pBdr>
                <w:top w:val="nil"/>
                <w:left w:val="nil"/>
                <w:bottom w:val="nil"/>
                <w:right w:val="nil"/>
                <w:between w:val="nil"/>
              </w:pBdr>
              <w:ind w:left="265"/>
              <w:rPr>
                <w:color w:val="000000"/>
                <w:sz w:val="20"/>
                <w:szCs w:val="20"/>
              </w:rPr>
            </w:pPr>
            <w:r>
              <w:rPr>
                <w:color w:val="000000"/>
                <w:sz w:val="20"/>
                <w:szCs w:val="20"/>
              </w:rPr>
              <w:t>interviewed</w:t>
            </w:r>
          </w:p>
        </w:tc>
      </w:tr>
      <w:tr w:rsidR="00E73CCD" w14:paraId="77CDB31B" w14:textId="77777777" w:rsidTr="00737C54">
        <w:trPr>
          <w:trHeight w:val="186"/>
        </w:trPr>
        <w:tc>
          <w:tcPr>
            <w:tcW w:w="1781" w:type="dxa"/>
            <w:tcBorders>
              <w:top w:val="single" w:sz="4" w:space="0" w:color="auto"/>
            </w:tcBorders>
          </w:tcPr>
          <w:p w14:paraId="67AF23F7" w14:textId="77777777" w:rsidR="00E73CCD" w:rsidRDefault="00E73CCD" w:rsidP="00E73CCD">
            <w:pPr>
              <w:pBdr>
                <w:top w:val="nil"/>
                <w:left w:val="nil"/>
                <w:bottom w:val="nil"/>
                <w:right w:val="nil"/>
                <w:between w:val="nil"/>
              </w:pBdr>
              <w:ind w:left="119"/>
              <w:rPr>
                <w:color w:val="000000"/>
                <w:sz w:val="20"/>
                <w:szCs w:val="20"/>
              </w:rPr>
            </w:pPr>
            <w:r>
              <w:rPr>
                <w:color w:val="000000"/>
                <w:sz w:val="20"/>
                <w:szCs w:val="20"/>
              </w:rPr>
              <w:t>Class-I</w:t>
            </w:r>
          </w:p>
        </w:tc>
        <w:tc>
          <w:tcPr>
            <w:tcW w:w="3524" w:type="dxa"/>
            <w:tcBorders>
              <w:top w:val="single" w:sz="4" w:space="0" w:color="auto"/>
            </w:tcBorders>
          </w:tcPr>
          <w:p w14:paraId="4503B756" w14:textId="77777777" w:rsidR="00E73CCD" w:rsidRDefault="00E73CCD" w:rsidP="00737C54">
            <w:pPr>
              <w:pBdr>
                <w:top w:val="nil"/>
                <w:left w:val="nil"/>
                <w:bottom w:val="nil"/>
                <w:right w:val="nil"/>
                <w:between w:val="nil"/>
              </w:pBdr>
              <w:ind w:left="1166"/>
              <w:rPr>
                <w:color w:val="000000"/>
                <w:sz w:val="20"/>
                <w:szCs w:val="20"/>
              </w:rPr>
            </w:pPr>
            <w:r>
              <w:rPr>
                <w:color w:val="000000"/>
                <w:sz w:val="20"/>
                <w:szCs w:val="20"/>
              </w:rPr>
              <w:t>GMC</w:t>
            </w:r>
          </w:p>
        </w:tc>
        <w:tc>
          <w:tcPr>
            <w:tcW w:w="976" w:type="dxa"/>
            <w:tcBorders>
              <w:top w:val="single" w:sz="4" w:space="0" w:color="auto"/>
            </w:tcBorders>
          </w:tcPr>
          <w:p w14:paraId="3A9D3AB4" w14:textId="77777777" w:rsidR="00E73CCD" w:rsidRDefault="00E73CCD" w:rsidP="00E73CCD">
            <w:pPr>
              <w:pBdr>
                <w:top w:val="nil"/>
                <w:left w:val="nil"/>
                <w:bottom w:val="nil"/>
                <w:right w:val="nil"/>
                <w:between w:val="nil"/>
              </w:pBdr>
              <w:ind w:left="192"/>
              <w:rPr>
                <w:color w:val="000000"/>
                <w:sz w:val="20"/>
                <w:szCs w:val="20"/>
              </w:rPr>
            </w:pPr>
          </w:p>
        </w:tc>
        <w:tc>
          <w:tcPr>
            <w:tcW w:w="236" w:type="dxa"/>
            <w:tcBorders>
              <w:top w:val="single" w:sz="4" w:space="0" w:color="auto"/>
            </w:tcBorders>
          </w:tcPr>
          <w:p w14:paraId="3CE1EAC6" w14:textId="77777777" w:rsidR="00E73CCD" w:rsidRDefault="00E73CCD" w:rsidP="00E73CCD">
            <w:pPr>
              <w:pBdr>
                <w:top w:val="nil"/>
                <w:left w:val="nil"/>
                <w:bottom w:val="nil"/>
                <w:right w:val="nil"/>
                <w:between w:val="nil"/>
              </w:pBdr>
              <w:ind w:left="213"/>
              <w:rPr>
                <w:color w:val="000000"/>
                <w:sz w:val="20"/>
                <w:szCs w:val="20"/>
              </w:rPr>
            </w:pPr>
          </w:p>
        </w:tc>
        <w:tc>
          <w:tcPr>
            <w:tcW w:w="2577" w:type="dxa"/>
            <w:tcBorders>
              <w:top w:val="single" w:sz="4" w:space="0" w:color="auto"/>
            </w:tcBorders>
          </w:tcPr>
          <w:p w14:paraId="41F89089" w14:textId="77777777" w:rsidR="00E73CCD" w:rsidRDefault="00737C54" w:rsidP="00E73CCD">
            <w:pPr>
              <w:pBdr>
                <w:top w:val="nil"/>
                <w:left w:val="nil"/>
                <w:bottom w:val="nil"/>
                <w:right w:val="nil"/>
                <w:between w:val="nil"/>
              </w:pBdr>
              <w:ind w:left="265"/>
              <w:rPr>
                <w:color w:val="000000"/>
                <w:sz w:val="20"/>
                <w:szCs w:val="20"/>
              </w:rPr>
            </w:pPr>
            <w:r>
              <w:rPr>
                <w:color w:val="000000"/>
                <w:sz w:val="20"/>
                <w:szCs w:val="20"/>
              </w:rPr>
              <w:t xml:space="preserve">     </w:t>
            </w:r>
            <w:r w:rsidR="00E73CCD">
              <w:rPr>
                <w:color w:val="000000"/>
                <w:sz w:val="20"/>
                <w:szCs w:val="20"/>
              </w:rPr>
              <w:t>06</w:t>
            </w:r>
          </w:p>
        </w:tc>
      </w:tr>
      <w:tr w:rsidR="00E73CCD" w14:paraId="1CB1A617" w14:textId="77777777" w:rsidTr="00737C54">
        <w:trPr>
          <w:trHeight w:val="196"/>
        </w:trPr>
        <w:tc>
          <w:tcPr>
            <w:tcW w:w="1781" w:type="dxa"/>
          </w:tcPr>
          <w:p w14:paraId="295CFCC2" w14:textId="77777777" w:rsidR="00E73CCD" w:rsidRDefault="00E73CCD" w:rsidP="00E73CCD">
            <w:pPr>
              <w:pBdr>
                <w:top w:val="nil"/>
                <w:left w:val="nil"/>
                <w:bottom w:val="nil"/>
                <w:right w:val="nil"/>
                <w:between w:val="nil"/>
              </w:pBdr>
              <w:ind w:left="119"/>
              <w:rPr>
                <w:color w:val="000000"/>
                <w:sz w:val="20"/>
                <w:szCs w:val="20"/>
              </w:rPr>
            </w:pPr>
            <w:r>
              <w:rPr>
                <w:color w:val="000000"/>
                <w:sz w:val="20"/>
                <w:szCs w:val="20"/>
              </w:rPr>
              <w:t>Class-II</w:t>
            </w:r>
          </w:p>
        </w:tc>
        <w:tc>
          <w:tcPr>
            <w:tcW w:w="3524" w:type="dxa"/>
          </w:tcPr>
          <w:p w14:paraId="6F597252" w14:textId="77777777" w:rsidR="00E73CCD" w:rsidRDefault="00E73CCD" w:rsidP="00737C54">
            <w:pPr>
              <w:pBdr>
                <w:top w:val="nil"/>
                <w:left w:val="nil"/>
                <w:bottom w:val="nil"/>
                <w:right w:val="nil"/>
                <w:between w:val="nil"/>
              </w:pBdr>
              <w:ind w:left="1166"/>
              <w:rPr>
                <w:color w:val="000000"/>
                <w:sz w:val="20"/>
                <w:szCs w:val="20"/>
              </w:rPr>
            </w:pPr>
            <w:r>
              <w:rPr>
                <w:color w:val="000000"/>
                <w:sz w:val="20"/>
                <w:szCs w:val="20"/>
              </w:rPr>
              <w:t>Jorhat MB</w:t>
            </w:r>
          </w:p>
        </w:tc>
        <w:tc>
          <w:tcPr>
            <w:tcW w:w="976" w:type="dxa"/>
          </w:tcPr>
          <w:p w14:paraId="55839771" w14:textId="77777777" w:rsidR="00E73CCD" w:rsidRDefault="00E73CCD" w:rsidP="00E73CCD">
            <w:pPr>
              <w:pBdr>
                <w:top w:val="nil"/>
                <w:left w:val="nil"/>
                <w:bottom w:val="nil"/>
                <w:right w:val="nil"/>
                <w:between w:val="nil"/>
              </w:pBdr>
              <w:ind w:left="192"/>
              <w:rPr>
                <w:color w:val="000000"/>
                <w:sz w:val="20"/>
                <w:szCs w:val="20"/>
              </w:rPr>
            </w:pPr>
          </w:p>
        </w:tc>
        <w:tc>
          <w:tcPr>
            <w:tcW w:w="236" w:type="dxa"/>
          </w:tcPr>
          <w:p w14:paraId="3455BA5F" w14:textId="77777777" w:rsidR="00E73CCD" w:rsidRDefault="00E73CCD" w:rsidP="00E73CCD">
            <w:pPr>
              <w:pBdr>
                <w:top w:val="nil"/>
                <w:left w:val="nil"/>
                <w:bottom w:val="nil"/>
                <w:right w:val="nil"/>
                <w:between w:val="nil"/>
              </w:pBdr>
              <w:ind w:left="213"/>
              <w:rPr>
                <w:color w:val="000000"/>
                <w:sz w:val="20"/>
                <w:szCs w:val="20"/>
              </w:rPr>
            </w:pPr>
          </w:p>
        </w:tc>
        <w:tc>
          <w:tcPr>
            <w:tcW w:w="2577" w:type="dxa"/>
          </w:tcPr>
          <w:p w14:paraId="57DB8CB3" w14:textId="77777777" w:rsidR="00E73CCD" w:rsidRDefault="00737C54" w:rsidP="00E73CCD">
            <w:pPr>
              <w:pBdr>
                <w:top w:val="nil"/>
                <w:left w:val="nil"/>
                <w:bottom w:val="nil"/>
                <w:right w:val="nil"/>
                <w:between w:val="nil"/>
              </w:pBdr>
              <w:ind w:left="265"/>
              <w:rPr>
                <w:color w:val="000000"/>
                <w:sz w:val="20"/>
                <w:szCs w:val="20"/>
              </w:rPr>
            </w:pPr>
            <w:r>
              <w:rPr>
                <w:color w:val="000000"/>
                <w:sz w:val="20"/>
                <w:szCs w:val="20"/>
              </w:rPr>
              <w:t xml:space="preserve">     </w:t>
            </w:r>
            <w:r w:rsidR="00E73CCD">
              <w:rPr>
                <w:color w:val="000000"/>
                <w:sz w:val="20"/>
                <w:szCs w:val="20"/>
              </w:rPr>
              <w:t>05</w:t>
            </w:r>
          </w:p>
        </w:tc>
      </w:tr>
      <w:tr w:rsidR="00E73CCD" w14:paraId="3D50822A" w14:textId="77777777" w:rsidTr="00737C54">
        <w:trPr>
          <w:trHeight w:val="187"/>
        </w:trPr>
        <w:tc>
          <w:tcPr>
            <w:tcW w:w="1781" w:type="dxa"/>
          </w:tcPr>
          <w:p w14:paraId="663D8BE2" w14:textId="77777777" w:rsidR="00E73CCD" w:rsidRDefault="00E73CCD" w:rsidP="00E73CCD">
            <w:pPr>
              <w:pBdr>
                <w:top w:val="nil"/>
                <w:left w:val="nil"/>
                <w:bottom w:val="nil"/>
                <w:right w:val="nil"/>
                <w:between w:val="nil"/>
              </w:pBdr>
              <w:ind w:left="119"/>
              <w:rPr>
                <w:color w:val="000000"/>
                <w:sz w:val="20"/>
                <w:szCs w:val="20"/>
              </w:rPr>
            </w:pPr>
            <w:r>
              <w:rPr>
                <w:color w:val="000000"/>
                <w:sz w:val="20"/>
                <w:szCs w:val="20"/>
              </w:rPr>
              <w:t>Class-III</w:t>
            </w:r>
          </w:p>
        </w:tc>
        <w:tc>
          <w:tcPr>
            <w:tcW w:w="3524" w:type="dxa"/>
          </w:tcPr>
          <w:p w14:paraId="622C3A89" w14:textId="77777777"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Golaghat</w:t>
            </w:r>
            <w:proofErr w:type="spellEnd"/>
            <w:r>
              <w:rPr>
                <w:color w:val="000000"/>
                <w:sz w:val="20"/>
                <w:szCs w:val="20"/>
              </w:rPr>
              <w:t xml:space="preserve"> MB</w:t>
            </w:r>
          </w:p>
        </w:tc>
        <w:tc>
          <w:tcPr>
            <w:tcW w:w="976" w:type="dxa"/>
          </w:tcPr>
          <w:p w14:paraId="55CE8704" w14:textId="77777777" w:rsidR="00E73CCD" w:rsidRDefault="00E73CCD" w:rsidP="00E73CCD">
            <w:pPr>
              <w:pBdr>
                <w:top w:val="nil"/>
                <w:left w:val="nil"/>
                <w:bottom w:val="nil"/>
                <w:right w:val="nil"/>
                <w:between w:val="nil"/>
              </w:pBdr>
              <w:ind w:left="192"/>
              <w:rPr>
                <w:color w:val="000000"/>
                <w:sz w:val="20"/>
                <w:szCs w:val="20"/>
              </w:rPr>
            </w:pPr>
          </w:p>
        </w:tc>
        <w:tc>
          <w:tcPr>
            <w:tcW w:w="236" w:type="dxa"/>
          </w:tcPr>
          <w:p w14:paraId="6F1E77D9" w14:textId="77777777" w:rsidR="00E73CCD" w:rsidRDefault="00E73CCD" w:rsidP="00E73CCD">
            <w:pPr>
              <w:pBdr>
                <w:top w:val="nil"/>
                <w:left w:val="nil"/>
                <w:bottom w:val="nil"/>
                <w:right w:val="nil"/>
                <w:between w:val="nil"/>
              </w:pBdr>
              <w:ind w:left="213"/>
              <w:rPr>
                <w:color w:val="000000"/>
                <w:sz w:val="20"/>
                <w:szCs w:val="20"/>
              </w:rPr>
            </w:pPr>
          </w:p>
        </w:tc>
        <w:tc>
          <w:tcPr>
            <w:tcW w:w="2577" w:type="dxa"/>
          </w:tcPr>
          <w:p w14:paraId="7EE8A009" w14:textId="77777777" w:rsidR="00E73CCD" w:rsidRDefault="00737C54" w:rsidP="00E73CCD">
            <w:pPr>
              <w:pBdr>
                <w:top w:val="nil"/>
                <w:left w:val="nil"/>
                <w:bottom w:val="nil"/>
                <w:right w:val="nil"/>
                <w:between w:val="nil"/>
              </w:pBdr>
              <w:ind w:left="265"/>
              <w:rPr>
                <w:color w:val="000000"/>
                <w:sz w:val="20"/>
                <w:szCs w:val="20"/>
              </w:rPr>
            </w:pPr>
            <w:r>
              <w:rPr>
                <w:color w:val="000000"/>
                <w:sz w:val="20"/>
                <w:szCs w:val="20"/>
              </w:rPr>
              <w:t xml:space="preserve">     </w:t>
            </w:r>
            <w:r w:rsidR="00E73CCD">
              <w:rPr>
                <w:color w:val="000000"/>
                <w:sz w:val="20"/>
                <w:szCs w:val="20"/>
              </w:rPr>
              <w:t>04</w:t>
            </w:r>
          </w:p>
        </w:tc>
      </w:tr>
      <w:tr w:rsidR="00E73CCD" w14:paraId="1B5E0EFF" w14:textId="77777777" w:rsidTr="00737C54">
        <w:trPr>
          <w:trHeight w:val="315"/>
        </w:trPr>
        <w:tc>
          <w:tcPr>
            <w:tcW w:w="1781" w:type="dxa"/>
          </w:tcPr>
          <w:p w14:paraId="549E59B3" w14:textId="77777777" w:rsidR="00E73CCD" w:rsidRDefault="00E73CCD" w:rsidP="00E73CCD">
            <w:pPr>
              <w:pBdr>
                <w:top w:val="nil"/>
                <w:left w:val="nil"/>
                <w:bottom w:val="nil"/>
                <w:right w:val="nil"/>
                <w:between w:val="nil"/>
              </w:pBdr>
              <w:ind w:left="119"/>
              <w:rPr>
                <w:color w:val="000000"/>
                <w:sz w:val="20"/>
                <w:szCs w:val="20"/>
              </w:rPr>
            </w:pPr>
            <w:r>
              <w:rPr>
                <w:color w:val="000000"/>
                <w:sz w:val="20"/>
                <w:szCs w:val="20"/>
              </w:rPr>
              <w:t>Class-IV</w:t>
            </w:r>
          </w:p>
        </w:tc>
        <w:tc>
          <w:tcPr>
            <w:tcW w:w="3524" w:type="dxa"/>
          </w:tcPr>
          <w:p w14:paraId="59E41D10" w14:textId="77777777"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Bokakhat</w:t>
            </w:r>
            <w:proofErr w:type="spellEnd"/>
            <w:r>
              <w:rPr>
                <w:color w:val="000000"/>
                <w:sz w:val="20"/>
                <w:szCs w:val="20"/>
              </w:rPr>
              <w:t xml:space="preserve"> TC </w:t>
            </w:r>
          </w:p>
          <w:p w14:paraId="1F3BE461" w14:textId="77777777"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Titabor</w:t>
            </w:r>
            <w:proofErr w:type="spellEnd"/>
            <w:r>
              <w:rPr>
                <w:color w:val="000000"/>
                <w:sz w:val="20"/>
                <w:szCs w:val="20"/>
              </w:rPr>
              <w:t xml:space="preserve"> TC</w:t>
            </w:r>
          </w:p>
        </w:tc>
        <w:tc>
          <w:tcPr>
            <w:tcW w:w="976" w:type="dxa"/>
          </w:tcPr>
          <w:p w14:paraId="57B5107D" w14:textId="77777777" w:rsidR="00E73CCD" w:rsidRDefault="00E73CCD" w:rsidP="00E73CCD">
            <w:pPr>
              <w:pBdr>
                <w:top w:val="nil"/>
                <w:left w:val="nil"/>
                <w:bottom w:val="nil"/>
                <w:right w:val="nil"/>
                <w:between w:val="nil"/>
              </w:pBdr>
              <w:ind w:left="192"/>
              <w:rPr>
                <w:color w:val="000000"/>
                <w:sz w:val="20"/>
                <w:szCs w:val="20"/>
              </w:rPr>
            </w:pPr>
          </w:p>
        </w:tc>
        <w:tc>
          <w:tcPr>
            <w:tcW w:w="236" w:type="dxa"/>
          </w:tcPr>
          <w:p w14:paraId="58466E8A" w14:textId="77777777" w:rsidR="00E73CCD" w:rsidRDefault="00E73CCD" w:rsidP="00E73CCD">
            <w:pPr>
              <w:pBdr>
                <w:top w:val="nil"/>
                <w:left w:val="nil"/>
                <w:bottom w:val="nil"/>
                <w:right w:val="nil"/>
                <w:between w:val="nil"/>
              </w:pBdr>
              <w:ind w:left="213"/>
              <w:rPr>
                <w:color w:val="000000"/>
                <w:sz w:val="20"/>
                <w:szCs w:val="20"/>
              </w:rPr>
            </w:pPr>
          </w:p>
        </w:tc>
        <w:tc>
          <w:tcPr>
            <w:tcW w:w="2577" w:type="dxa"/>
          </w:tcPr>
          <w:p w14:paraId="210B89E3" w14:textId="77777777" w:rsidR="00E73CCD" w:rsidRDefault="00737C54" w:rsidP="00E73CCD">
            <w:pPr>
              <w:pBdr>
                <w:top w:val="nil"/>
                <w:left w:val="nil"/>
                <w:bottom w:val="nil"/>
                <w:right w:val="nil"/>
                <w:between w:val="nil"/>
              </w:pBdr>
              <w:ind w:left="265"/>
              <w:rPr>
                <w:color w:val="000000"/>
                <w:sz w:val="20"/>
                <w:szCs w:val="20"/>
              </w:rPr>
            </w:pPr>
            <w:r>
              <w:rPr>
                <w:color w:val="000000"/>
                <w:sz w:val="20"/>
                <w:szCs w:val="20"/>
              </w:rPr>
              <w:t xml:space="preserve">     </w:t>
            </w:r>
            <w:r w:rsidR="00E73CCD">
              <w:rPr>
                <w:color w:val="000000"/>
                <w:sz w:val="20"/>
                <w:szCs w:val="20"/>
              </w:rPr>
              <w:t xml:space="preserve">03 </w:t>
            </w:r>
          </w:p>
          <w:p w14:paraId="52B59691" w14:textId="77777777" w:rsidR="00E73CCD" w:rsidRDefault="00737C54" w:rsidP="00E73CCD">
            <w:pPr>
              <w:pBdr>
                <w:top w:val="nil"/>
                <w:left w:val="nil"/>
                <w:bottom w:val="nil"/>
                <w:right w:val="nil"/>
                <w:between w:val="nil"/>
              </w:pBdr>
              <w:ind w:left="265"/>
              <w:rPr>
                <w:color w:val="000000"/>
                <w:sz w:val="20"/>
                <w:szCs w:val="20"/>
              </w:rPr>
            </w:pPr>
            <w:r>
              <w:rPr>
                <w:color w:val="000000"/>
                <w:sz w:val="20"/>
                <w:szCs w:val="20"/>
              </w:rPr>
              <w:t xml:space="preserve">     </w:t>
            </w:r>
            <w:r w:rsidR="00E73CCD">
              <w:rPr>
                <w:color w:val="000000"/>
                <w:sz w:val="20"/>
                <w:szCs w:val="20"/>
              </w:rPr>
              <w:t>03</w:t>
            </w:r>
          </w:p>
        </w:tc>
      </w:tr>
      <w:tr w:rsidR="00E73CCD" w14:paraId="42BFB2AE" w14:textId="77777777" w:rsidTr="00737C54">
        <w:trPr>
          <w:trHeight w:val="578"/>
        </w:trPr>
        <w:tc>
          <w:tcPr>
            <w:tcW w:w="1781" w:type="dxa"/>
          </w:tcPr>
          <w:p w14:paraId="027209B5" w14:textId="77777777" w:rsidR="00E73CCD" w:rsidRDefault="00E73CCD" w:rsidP="00E73CCD">
            <w:pPr>
              <w:pBdr>
                <w:top w:val="nil"/>
                <w:left w:val="nil"/>
                <w:bottom w:val="nil"/>
                <w:right w:val="nil"/>
                <w:between w:val="nil"/>
              </w:pBdr>
              <w:ind w:left="119"/>
              <w:rPr>
                <w:color w:val="000000"/>
                <w:sz w:val="20"/>
                <w:szCs w:val="20"/>
              </w:rPr>
            </w:pPr>
            <w:r>
              <w:rPr>
                <w:color w:val="000000"/>
                <w:sz w:val="20"/>
                <w:szCs w:val="20"/>
              </w:rPr>
              <w:t>Class-V</w:t>
            </w:r>
          </w:p>
        </w:tc>
        <w:tc>
          <w:tcPr>
            <w:tcW w:w="3524" w:type="dxa"/>
          </w:tcPr>
          <w:p w14:paraId="6BEB19A7" w14:textId="77777777"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Amguri</w:t>
            </w:r>
            <w:proofErr w:type="spellEnd"/>
            <w:r>
              <w:rPr>
                <w:color w:val="000000"/>
                <w:sz w:val="20"/>
                <w:szCs w:val="20"/>
              </w:rPr>
              <w:t xml:space="preserve"> TC </w:t>
            </w:r>
          </w:p>
          <w:p w14:paraId="3543FEA7" w14:textId="77777777" w:rsidR="00C90475"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Chabua</w:t>
            </w:r>
            <w:proofErr w:type="spellEnd"/>
            <w:r>
              <w:rPr>
                <w:color w:val="000000"/>
                <w:sz w:val="20"/>
                <w:szCs w:val="20"/>
              </w:rPr>
              <w:t xml:space="preserve"> TC</w:t>
            </w:r>
          </w:p>
          <w:p w14:paraId="0C8D1521" w14:textId="77777777" w:rsidR="00E73CCD" w:rsidRDefault="00C90475" w:rsidP="00737C54">
            <w:pPr>
              <w:pBdr>
                <w:top w:val="nil"/>
                <w:left w:val="nil"/>
                <w:bottom w:val="nil"/>
                <w:right w:val="nil"/>
                <w:between w:val="nil"/>
              </w:pBdr>
              <w:ind w:left="1166"/>
              <w:rPr>
                <w:color w:val="000000"/>
                <w:sz w:val="20"/>
                <w:szCs w:val="20"/>
              </w:rPr>
            </w:pPr>
            <w:proofErr w:type="spellStart"/>
            <w:r>
              <w:rPr>
                <w:color w:val="000000"/>
                <w:sz w:val="20"/>
                <w:szCs w:val="20"/>
              </w:rPr>
              <w:t>Demow</w:t>
            </w:r>
            <w:proofErr w:type="spellEnd"/>
            <w:r>
              <w:rPr>
                <w:color w:val="000000"/>
                <w:sz w:val="20"/>
                <w:szCs w:val="20"/>
              </w:rPr>
              <w:t xml:space="preserve"> TC</w:t>
            </w:r>
            <w:r w:rsidR="00E73CCD">
              <w:rPr>
                <w:color w:val="000000"/>
                <w:sz w:val="20"/>
                <w:szCs w:val="20"/>
              </w:rPr>
              <w:t xml:space="preserve"> </w:t>
            </w:r>
          </w:p>
          <w:p w14:paraId="1B7038E8" w14:textId="77777777"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Dokmoka</w:t>
            </w:r>
            <w:proofErr w:type="spellEnd"/>
            <w:r>
              <w:rPr>
                <w:color w:val="000000"/>
                <w:sz w:val="20"/>
                <w:szCs w:val="20"/>
              </w:rPr>
              <w:t xml:space="preserve"> TC </w:t>
            </w:r>
          </w:p>
          <w:p w14:paraId="3B43CC50" w14:textId="77777777"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Teok</w:t>
            </w:r>
            <w:proofErr w:type="spellEnd"/>
            <w:r>
              <w:rPr>
                <w:color w:val="000000"/>
                <w:sz w:val="20"/>
                <w:szCs w:val="20"/>
              </w:rPr>
              <w:t xml:space="preserve"> TC</w:t>
            </w:r>
          </w:p>
        </w:tc>
        <w:tc>
          <w:tcPr>
            <w:tcW w:w="976" w:type="dxa"/>
          </w:tcPr>
          <w:p w14:paraId="3301DD19" w14:textId="77777777" w:rsidR="00C90475" w:rsidRDefault="00C90475" w:rsidP="00E73CCD">
            <w:pPr>
              <w:pBdr>
                <w:top w:val="nil"/>
                <w:left w:val="nil"/>
                <w:bottom w:val="nil"/>
                <w:right w:val="nil"/>
                <w:between w:val="nil"/>
              </w:pBdr>
              <w:ind w:left="192"/>
              <w:rPr>
                <w:color w:val="000000"/>
                <w:sz w:val="20"/>
                <w:szCs w:val="20"/>
              </w:rPr>
            </w:pPr>
          </w:p>
        </w:tc>
        <w:tc>
          <w:tcPr>
            <w:tcW w:w="236" w:type="dxa"/>
          </w:tcPr>
          <w:p w14:paraId="698BDF39" w14:textId="77777777" w:rsidR="00E73CCD" w:rsidRDefault="00E73CCD" w:rsidP="00E73CCD">
            <w:pPr>
              <w:pBdr>
                <w:top w:val="nil"/>
                <w:left w:val="nil"/>
                <w:bottom w:val="nil"/>
                <w:right w:val="nil"/>
                <w:between w:val="nil"/>
              </w:pBdr>
              <w:ind w:left="213"/>
              <w:rPr>
                <w:color w:val="000000"/>
                <w:sz w:val="20"/>
                <w:szCs w:val="20"/>
              </w:rPr>
            </w:pPr>
          </w:p>
        </w:tc>
        <w:tc>
          <w:tcPr>
            <w:tcW w:w="2577" w:type="dxa"/>
          </w:tcPr>
          <w:p w14:paraId="35FF7110" w14:textId="77777777" w:rsidR="00E73CCD" w:rsidRDefault="00737C54" w:rsidP="00E73CCD">
            <w:pPr>
              <w:pBdr>
                <w:top w:val="nil"/>
                <w:left w:val="nil"/>
                <w:bottom w:val="nil"/>
                <w:right w:val="nil"/>
                <w:between w:val="nil"/>
              </w:pBdr>
              <w:ind w:left="265"/>
              <w:rPr>
                <w:color w:val="000000"/>
                <w:sz w:val="20"/>
                <w:szCs w:val="20"/>
              </w:rPr>
            </w:pPr>
            <w:r>
              <w:rPr>
                <w:color w:val="000000"/>
                <w:sz w:val="20"/>
                <w:szCs w:val="20"/>
              </w:rPr>
              <w:t xml:space="preserve">     </w:t>
            </w:r>
            <w:r w:rsidR="00E73CCD">
              <w:rPr>
                <w:color w:val="000000"/>
                <w:sz w:val="20"/>
                <w:szCs w:val="20"/>
              </w:rPr>
              <w:t xml:space="preserve">02 </w:t>
            </w:r>
          </w:p>
          <w:p w14:paraId="23A1471C" w14:textId="77777777" w:rsidR="00E73CCD" w:rsidRDefault="00737C54" w:rsidP="00E73CCD">
            <w:pPr>
              <w:pBdr>
                <w:top w:val="nil"/>
                <w:left w:val="nil"/>
                <w:bottom w:val="nil"/>
                <w:right w:val="nil"/>
                <w:between w:val="nil"/>
              </w:pBdr>
              <w:ind w:left="265"/>
              <w:rPr>
                <w:color w:val="000000"/>
                <w:sz w:val="20"/>
                <w:szCs w:val="20"/>
              </w:rPr>
            </w:pPr>
            <w:r>
              <w:rPr>
                <w:color w:val="000000"/>
                <w:sz w:val="20"/>
                <w:szCs w:val="20"/>
              </w:rPr>
              <w:t xml:space="preserve">     </w:t>
            </w:r>
            <w:r w:rsidR="00E73CCD">
              <w:rPr>
                <w:color w:val="000000"/>
                <w:sz w:val="20"/>
                <w:szCs w:val="20"/>
              </w:rPr>
              <w:t>02</w:t>
            </w:r>
          </w:p>
          <w:p w14:paraId="7D31BDE8" w14:textId="77777777" w:rsidR="00E73CCD" w:rsidRDefault="00737C54" w:rsidP="00E73CCD">
            <w:pPr>
              <w:pBdr>
                <w:top w:val="nil"/>
                <w:left w:val="nil"/>
                <w:bottom w:val="nil"/>
                <w:right w:val="nil"/>
                <w:between w:val="nil"/>
              </w:pBdr>
              <w:ind w:left="265"/>
              <w:rPr>
                <w:color w:val="000000"/>
                <w:sz w:val="20"/>
                <w:szCs w:val="20"/>
              </w:rPr>
            </w:pPr>
            <w:r>
              <w:rPr>
                <w:color w:val="000000"/>
                <w:sz w:val="20"/>
                <w:szCs w:val="20"/>
              </w:rPr>
              <w:t xml:space="preserve">     </w:t>
            </w:r>
            <w:r w:rsidR="00E73CCD">
              <w:rPr>
                <w:color w:val="000000"/>
                <w:sz w:val="20"/>
                <w:szCs w:val="20"/>
              </w:rPr>
              <w:t xml:space="preserve">02 </w:t>
            </w:r>
          </w:p>
          <w:p w14:paraId="784F6B15" w14:textId="77777777" w:rsidR="00E73CCD" w:rsidRDefault="00737C54" w:rsidP="00E73CCD">
            <w:pPr>
              <w:pBdr>
                <w:top w:val="nil"/>
                <w:left w:val="nil"/>
                <w:bottom w:val="nil"/>
                <w:right w:val="nil"/>
                <w:between w:val="nil"/>
              </w:pBdr>
              <w:ind w:left="265"/>
              <w:rPr>
                <w:color w:val="000000"/>
                <w:sz w:val="20"/>
                <w:szCs w:val="20"/>
              </w:rPr>
            </w:pPr>
            <w:r>
              <w:rPr>
                <w:color w:val="000000"/>
                <w:sz w:val="20"/>
                <w:szCs w:val="20"/>
              </w:rPr>
              <w:t xml:space="preserve">     </w:t>
            </w:r>
            <w:r w:rsidR="00E73CCD">
              <w:rPr>
                <w:color w:val="000000"/>
                <w:sz w:val="20"/>
                <w:szCs w:val="20"/>
              </w:rPr>
              <w:t>02</w:t>
            </w:r>
          </w:p>
          <w:p w14:paraId="19CC03EF" w14:textId="77777777" w:rsidR="00737C54" w:rsidRDefault="00737C54" w:rsidP="00E73CCD">
            <w:pPr>
              <w:pBdr>
                <w:top w:val="nil"/>
                <w:left w:val="nil"/>
                <w:bottom w:val="nil"/>
                <w:right w:val="nil"/>
                <w:between w:val="nil"/>
              </w:pBdr>
              <w:ind w:left="265"/>
              <w:rPr>
                <w:color w:val="000000"/>
                <w:sz w:val="20"/>
                <w:szCs w:val="20"/>
              </w:rPr>
            </w:pPr>
            <w:r>
              <w:rPr>
                <w:color w:val="000000"/>
                <w:sz w:val="20"/>
                <w:szCs w:val="20"/>
              </w:rPr>
              <w:t xml:space="preserve">     02</w:t>
            </w:r>
          </w:p>
        </w:tc>
      </w:tr>
      <w:tr w:rsidR="00E73CCD" w14:paraId="18DDC90E" w14:textId="77777777" w:rsidTr="00737C54">
        <w:trPr>
          <w:trHeight w:val="205"/>
        </w:trPr>
        <w:tc>
          <w:tcPr>
            <w:tcW w:w="1781" w:type="dxa"/>
          </w:tcPr>
          <w:p w14:paraId="4F36824B" w14:textId="77777777" w:rsidR="00E73CCD" w:rsidRDefault="00E73CCD" w:rsidP="00E73CCD">
            <w:pPr>
              <w:pBdr>
                <w:top w:val="nil"/>
                <w:left w:val="nil"/>
                <w:bottom w:val="nil"/>
                <w:right w:val="nil"/>
                <w:between w:val="nil"/>
              </w:pBdr>
              <w:ind w:left="119"/>
              <w:rPr>
                <w:color w:val="000000"/>
                <w:sz w:val="20"/>
                <w:szCs w:val="20"/>
              </w:rPr>
            </w:pPr>
            <w:r>
              <w:rPr>
                <w:color w:val="000000"/>
                <w:sz w:val="20"/>
                <w:szCs w:val="20"/>
              </w:rPr>
              <w:t>Class-VI</w:t>
            </w:r>
          </w:p>
        </w:tc>
        <w:tc>
          <w:tcPr>
            <w:tcW w:w="3524" w:type="dxa"/>
          </w:tcPr>
          <w:p w14:paraId="79316337" w14:textId="77777777" w:rsidR="00E73CCD" w:rsidRDefault="00E73CCD" w:rsidP="00737C54">
            <w:pPr>
              <w:pBdr>
                <w:top w:val="nil"/>
                <w:left w:val="nil"/>
                <w:bottom w:val="nil"/>
                <w:right w:val="nil"/>
                <w:between w:val="nil"/>
              </w:pBdr>
              <w:ind w:left="1166"/>
              <w:rPr>
                <w:color w:val="000000"/>
                <w:sz w:val="20"/>
                <w:szCs w:val="20"/>
              </w:rPr>
            </w:pPr>
            <w:proofErr w:type="spellStart"/>
            <w:r>
              <w:rPr>
                <w:color w:val="000000"/>
                <w:sz w:val="20"/>
                <w:szCs w:val="20"/>
              </w:rPr>
              <w:t>Kamalabari</w:t>
            </w:r>
            <w:proofErr w:type="spellEnd"/>
            <w:r>
              <w:rPr>
                <w:color w:val="000000"/>
                <w:sz w:val="20"/>
                <w:szCs w:val="20"/>
              </w:rPr>
              <w:t xml:space="preserve"> CT</w:t>
            </w:r>
          </w:p>
          <w:p w14:paraId="76B82B5D" w14:textId="77777777" w:rsidR="00C90475" w:rsidRDefault="00C90475" w:rsidP="00737C54">
            <w:pPr>
              <w:pBdr>
                <w:top w:val="nil"/>
                <w:left w:val="nil"/>
                <w:bottom w:val="nil"/>
                <w:right w:val="nil"/>
                <w:between w:val="nil"/>
              </w:pBdr>
              <w:ind w:left="1166"/>
              <w:rPr>
                <w:color w:val="000000"/>
                <w:sz w:val="20"/>
                <w:szCs w:val="20"/>
              </w:rPr>
            </w:pPr>
            <w:proofErr w:type="spellStart"/>
            <w:r>
              <w:rPr>
                <w:color w:val="000000"/>
                <w:sz w:val="20"/>
                <w:szCs w:val="20"/>
              </w:rPr>
              <w:t>Dekhargora</w:t>
            </w:r>
            <w:proofErr w:type="spellEnd"/>
            <w:r>
              <w:rPr>
                <w:color w:val="000000"/>
                <w:sz w:val="20"/>
                <w:szCs w:val="20"/>
              </w:rPr>
              <w:t xml:space="preserve"> CT</w:t>
            </w:r>
          </w:p>
        </w:tc>
        <w:tc>
          <w:tcPr>
            <w:tcW w:w="976" w:type="dxa"/>
          </w:tcPr>
          <w:p w14:paraId="12648EB1" w14:textId="77777777" w:rsidR="00E73CCD" w:rsidRDefault="00E73CCD" w:rsidP="00E73CCD">
            <w:pPr>
              <w:pBdr>
                <w:top w:val="nil"/>
                <w:left w:val="nil"/>
                <w:bottom w:val="nil"/>
                <w:right w:val="nil"/>
                <w:between w:val="nil"/>
              </w:pBdr>
              <w:ind w:left="192"/>
              <w:rPr>
                <w:color w:val="000000"/>
                <w:sz w:val="20"/>
                <w:szCs w:val="20"/>
              </w:rPr>
            </w:pPr>
          </w:p>
        </w:tc>
        <w:tc>
          <w:tcPr>
            <w:tcW w:w="236" w:type="dxa"/>
          </w:tcPr>
          <w:p w14:paraId="36C2D22D" w14:textId="77777777" w:rsidR="00E73CCD" w:rsidRDefault="00E73CCD" w:rsidP="00E73CCD">
            <w:pPr>
              <w:pBdr>
                <w:top w:val="nil"/>
                <w:left w:val="nil"/>
                <w:bottom w:val="nil"/>
                <w:right w:val="nil"/>
                <w:between w:val="nil"/>
              </w:pBdr>
              <w:ind w:left="213"/>
              <w:rPr>
                <w:color w:val="000000"/>
                <w:sz w:val="20"/>
                <w:szCs w:val="20"/>
              </w:rPr>
            </w:pPr>
          </w:p>
        </w:tc>
        <w:tc>
          <w:tcPr>
            <w:tcW w:w="2577" w:type="dxa"/>
          </w:tcPr>
          <w:p w14:paraId="6B05D2D3" w14:textId="77777777" w:rsidR="00E73CCD" w:rsidRDefault="00737C54" w:rsidP="00E73CCD">
            <w:pPr>
              <w:pBdr>
                <w:top w:val="nil"/>
                <w:left w:val="nil"/>
                <w:bottom w:val="nil"/>
                <w:right w:val="nil"/>
                <w:between w:val="nil"/>
              </w:pBdr>
              <w:ind w:left="265"/>
              <w:rPr>
                <w:color w:val="000000"/>
                <w:sz w:val="20"/>
                <w:szCs w:val="20"/>
              </w:rPr>
            </w:pPr>
            <w:r>
              <w:rPr>
                <w:color w:val="000000"/>
                <w:sz w:val="20"/>
                <w:szCs w:val="20"/>
              </w:rPr>
              <w:t xml:space="preserve">     </w:t>
            </w:r>
            <w:r w:rsidR="00E73CCD">
              <w:rPr>
                <w:color w:val="000000"/>
                <w:sz w:val="20"/>
                <w:szCs w:val="20"/>
              </w:rPr>
              <w:t>01</w:t>
            </w:r>
          </w:p>
          <w:p w14:paraId="5975D79F" w14:textId="77777777" w:rsidR="00737C54" w:rsidRDefault="00737C54" w:rsidP="00E73CCD">
            <w:pPr>
              <w:pBdr>
                <w:top w:val="nil"/>
                <w:left w:val="nil"/>
                <w:bottom w:val="nil"/>
                <w:right w:val="nil"/>
                <w:between w:val="nil"/>
              </w:pBdr>
              <w:ind w:left="265"/>
              <w:rPr>
                <w:color w:val="000000"/>
                <w:sz w:val="20"/>
                <w:szCs w:val="20"/>
              </w:rPr>
            </w:pPr>
            <w:r>
              <w:rPr>
                <w:color w:val="000000"/>
                <w:sz w:val="20"/>
                <w:szCs w:val="20"/>
              </w:rPr>
              <w:t xml:space="preserve">     01</w:t>
            </w:r>
          </w:p>
        </w:tc>
      </w:tr>
      <w:tr w:rsidR="00E73CCD" w14:paraId="1EF74037" w14:textId="77777777" w:rsidTr="00737C54">
        <w:trPr>
          <w:trHeight w:val="142"/>
        </w:trPr>
        <w:tc>
          <w:tcPr>
            <w:tcW w:w="1781" w:type="dxa"/>
            <w:tcBorders>
              <w:bottom w:val="single" w:sz="4" w:space="0" w:color="000000"/>
            </w:tcBorders>
          </w:tcPr>
          <w:p w14:paraId="0F76CCD8" w14:textId="77777777" w:rsidR="00E73CCD" w:rsidRDefault="00E73CCD" w:rsidP="00E73CCD">
            <w:pPr>
              <w:pBdr>
                <w:top w:val="nil"/>
                <w:left w:val="nil"/>
                <w:bottom w:val="nil"/>
                <w:right w:val="nil"/>
                <w:between w:val="nil"/>
              </w:pBdr>
              <w:ind w:left="119"/>
              <w:rPr>
                <w:color w:val="000000"/>
                <w:sz w:val="20"/>
                <w:szCs w:val="20"/>
              </w:rPr>
            </w:pPr>
            <w:r>
              <w:rPr>
                <w:color w:val="000000"/>
                <w:sz w:val="20"/>
                <w:szCs w:val="20"/>
              </w:rPr>
              <w:t>Total</w:t>
            </w:r>
          </w:p>
        </w:tc>
        <w:tc>
          <w:tcPr>
            <w:tcW w:w="3524" w:type="dxa"/>
            <w:tcBorders>
              <w:bottom w:val="single" w:sz="4" w:space="0" w:color="000000"/>
            </w:tcBorders>
          </w:tcPr>
          <w:p w14:paraId="5B9D3B21" w14:textId="77777777" w:rsidR="00E73CCD" w:rsidRDefault="00E73CCD" w:rsidP="00737C54">
            <w:pPr>
              <w:pBdr>
                <w:top w:val="nil"/>
                <w:left w:val="nil"/>
                <w:bottom w:val="nil"/>
                <w:right w:val="nil"/>
                <w:between w:val="nil"/>
              </w:pBdr>
              <w:ind w:left="1166"/>
              <w:rPr>
                <w:color w:val="000000"/>
                <w:sz w:val="20"/>
                <w:szCs w:val="20"/>
              </w:rPr>
            </w:pPr>
            <w:r>
              <w:rPr>
                <w:color w:val="000000"/>
                <w:sz w:val="20"/>
                <w:szCs w:val="20"/>
              </w:rPr>
              <w:t>1</w:t>
            </w:r>
            <w:r w:rsidR="00C90475">
              <w:rPr>
                <w:color w:val="000000"/>
                <w:sz w:val="20"/>
                <w:szCs w:val="20"/>
              </w:rPr>
              <w:t>2</w:t>
            </w:r>
            <w:r>
              <w:rPr>
                <w:color w:val="000000"/>
                <w:sz w:val="20"/>
                <w:szCs w:val="20"/>
              </w:rPr>
              <w:t>nos</w:t>
            </w:r>
          </w:p>
        </w:tc>
        <w:tc>
          <w:tcPr>
            <w:tcW w:w="976" w:type="dxa"/>
            <w:tcBorders>
              <w:bottom w:val="single" w:sz="4" w:space="0" w:color="000000"/>
            </w:tcBorders>
          </w:tcPr>
          <w:p w14:paraId="39F257D3" w14:textId="77777777" w:rsidR="00E73CCD" w:rsidRDefault="00E73CCD" w:rsidP="00E73CCD">
            <w:pPr>
              <w:pBdr>
                <w:top w:val="nil"/>
                <w:left w:val="nil"/>
                <w:bottom w:val="nil"/>
                <w:right w:val="nil"/>
                <w:between w:val="nil"/>
              </w:pBdr>
              <w:ind w:left="192"/>
              <w:rPr>
                <w:color w:val="000000"/>
                <w:sz w:val="20"/>
                <w:szCs w:val="20"/>
              </w:rPr>
            </w:pPr>
          </w:p>
        </w:tc>
        <w:tc>
          <w:tcPr>
            <w:tcW w:w="236" w:type="dxa"/>
            <w:tcBorders>
              <w:bottom w:val="single" w:sz="4" w:space="0" w:color="000000"/>
            </w:tcBorders>
          </w:tcPr>
          <w:p w14:paraId="212016A4" w14:textId="77777777" w:rsidR="00E73CCD" w:rsidRDefault="00E73CCD" w:rsidP="00E73CCD">
            <w:pPr>
              <w:pBdr>
                <w:top w:val="nil"/>
                <w:left w:val="nil"/>
                <w:bottom w:val="nil"/>
                <w:right w:val="nil"/>
                <w:between w:val="nil"/>
              </w:pBdr>
              <w:ind w:left="213"/>
              <w:rPr>
                <w:color w:val="000000"/>
                <w:sz w:val="20"/>
                <w:szCs w:val="20"/>
              </w:rPr>
            </w:pPr>
          </w:p>
        </w:tc>
        <w:tc>
          <w:tcPr>
            <w:tcW w:w="2577" w:type="dxa"/>
            <w:tcBorders>
              <w:bottom w:val="single" w:sz="4" w:space="0" w:color="000000"/>
            </w:tcBorders>
          </w:tcPr>
          <w:p w14:paraId="67115503" w14:textId="77777777" w:rsidR="00E73CCD" w:rsidRDefault="00737C54" w:rsidP="00E73CCD">
            <w:pPr>
              <w:pBdr>
                <w:top w:val="nil"/>
                <w:left w:val="nil"/>
                <w:bottom w:val="nil"/>
                <w:right w:val="nil"/>
                <w:between w:val="nil"/>
              </w:pBdr>
              <w:ind w:left="265"/>
              <w:rPr>
                <w:color w:val="000000"/>
                <w:sz w:val="20"/>
                <w:szCs w:val="20"/>
              </w:rPr>
            </w:pPr>
            <w:r>
              <w:rPr>
                <w:color w:val="000000"/>
                <w:sz w:val="20"/>
                <w:szCs w:val="20"/>
              </w:rPr>
              <w:t>33</w:t>
            </w:r>
            <w:r w:rsidR="00E73CCD">
              <w:rPr>
                <w:color w:val="000000"/>
                <w:sz w:val="20"/>
                <w:szCs w:val="20"/>
              </w:rPr>
              <w:t xml:space="preserve"> </w:t>
            </w:r>
            <w:proofErr w:type="spellStart"/>
            <w:r w:rsidR="00E73CCD">
              <w:rPr>
                <w:color w:val="000000"/>
                <w:sz w:val="20"/>
                <w:szCs w:val="20"/>
              </w:rPr>
              <w:t>nos</w:t>
            </w:r>
            <w:proofErr w:type="spellEnd"/>
          </w:p>
        </w:tc>
      </w:tr>
    </w:tbl>
    <w:p w14:paraId="0E673595" w14:textId="77777777" w:rsidR="00F52758" w:rsidRDefault="00C16345" w:rsidP="00C16345">
      <w:pPr>
        <w:pBdr>
          <w:top w:val="nil"/>
          <w:left w:val="nil"/>
          <w:bottom w:val="nil"/>
          <w:right w:val="nil"/>
          <w:between w:val="nil"/>
        </w:pBdr>
        <w:spacing w:line="273" w:lineRule="auto"/>
        <w:ind w:left="450" w:right="210"/>
        <w:jc w:val="both"/>
        <w:rPr>
          <w:color w:val="000000"/>
          <w:sz w:val="24"/>
          <w:szCs w:val="24"/>
        </w:rPr>
      </w:pPr>
      <w:r w:rsidRPr="00C16345">
        <w:rPr>
          <w:color w:val="000000"/>
          <w:sz w:val="24"/>
          <w:szCs w:val="24"/>
        </w:rPr>
        <w:t xml:space="preserve">           </w:t>
      </w:r>
    </w:p>
    <w:p w14:paraId="287F4011" w14:textId="77777777" w:rsidR="00634BBD" w:rsidRDefault="00634BBD" w:rsidP="00634BBD">
      <w:pPr>
        <w:pBdr>
          <w:top w:val="nil"/>
          <w:left w:val="nil"/>
          <w:bottom w:val="nil"/>
          <w:right w:val="nil"/>
          <w:between w:val="nil"/>
        </w:pBdr>
        <w:spacing w:line="273" w:lineRule="auto"/>
        <w:ind w:left="180" w:right="210" w:firstLine="270"/>
        <w:jc w:val="both"/>
        <w:rPr>
          <w:color w:val="000000"/>
          <w:sz w:val="24"/>
          <w:szCs w:val="24"/>
        </w:rPr>
      </w:pPr>
      <w:r>
        <w:rPr>
          <w:color w:val="000000"/>
          <w:sz w:val="24"/>
          <w:szCs w:val="24"/>
        </w:rPr>
        <w:lastRenderedPageBreak/>
        <w:t xml:space="preserve">      The secondary data on </w:t>
      </w:r>
      <w:proofErr w:type="spellStart"/>
      <w:r>
        <w:rPr>
          <w:color w:val="000000"/>
          <w:sz w:val="24"/>
          <w:szCs w:val="24"/>
        </w:rPr>
        <w:t>labour</w:t>
      </w:r>
      <w:proofErr w:type="spellEnd"/>
      <w:r>
        <w:rPr>
          <w:color w:val="000000"/>
          <w:sz w:val="24"/>
          <w:szCs w:val="24"/>
        </w:rPr>
        <w:t xml:space="preserve"> force participation rate, working age population size, size of the construction workers and the size of the building construction workers of the state for the period of 1991-2019 have been collected from the </w:t>
      </w:r>
      <w:r w:rsidR="0082111F">
        <w:rPr>
          <w:color w:val="000000"/>
          <w:sz w:val="24"/>
          <w:szCs w:val="24"/>
        </w:rPr>
        <w:t>following sources</w:t>
      </w:r>
      <w:r>
        <w:rPr>
          <w:color w:val="000000"/>
          <w:sz w:val="24"/>
          <w:szCs w:val="24"/>
        </w:rPr>
        <w:t xml:space="preserve">- </w:t>
      </w:r>
    </w:p>
    <w:p w14:paraId="34C982B9" w14:textId="77777777" w:rsidR="00F23704" w:rsidRDefault="00634BBD" w:rsidP="00F52758">
      <w:pPr>
        <w:pBdr>
          <w:top w:val="nil"/>
          <w:left w:val="nil"/>
          <w:bottom w:val="nil"/>
          <w:right w:val="nil"/>
          <w:between w:val="nil"/>
        </w:pBdr>
        <w:spacing w:line="273" w:lineRule="auto"/>
        <w:ind w:left="180" w:right="210" w:firstLine="270"/>
        <w:jc w:val="both"/>
        <w:rPr>
          <w:color w:val="000000"/>
          <w:sz w:val="24"/>
          <w:szCs w:val="24"/>
        </w:rPr>
      </w:pPr>
      <w:r>
        <w:rPr>
          <w:color w:val="000000"/>
          <w:sz w:val="24"/>
          <w:szCs w:val="24"/>
        </w:rPr>
        <w:t xml:space="preserve">   </w:t>
      </w:r>
      <w:r w:rsidRPr="00C16345">
        <w:rPr>
          <w:color w:val="000000"/>
          <w:sz w:val="24"/>
          <w:szCs w:val="24"/>
        </w:rPr>
        <w:t xml:space="preserve"> </w:t>
      </w:r>
      <w:proofErr w:type="spellStart"/>
      <w:r w:rsidRPr="00C16345">
        <w:rPr>
          <w:color w:val="000000"/>
          <w:sz w:val="24"/>
          <w:szCs w:val="24"/>
        </w:rPr>
        <w:t>i</w:t>
      </w:r>
      <w:proofErr w:type="spellEnd"/>
      <w:r w:rsidRPr="00C16345">
        <w:rPr>
          <w:color w:val="000000"/>
          <w:sz w:val="24"/>
          <w:szCs w:val="24"/>
        </w:rPr>
        <w:t xml:space="preserve">) Office of the Registrar General of India, Guwahati; ii) NSSO, Guwahati; iii) Directorate of Economics and Statistics, Govt. of Assam; </w:t>
      </w:r>
      <w:r>
        <w:rPr>
          <w:color w:val="000000"/>
          <w:sz w:val="24"/>
          <w:szCs w:val="24"/>
        </w:rPr>
        <w:t>i</w:t>
      </w:r>
      <w:r w:rsidRPr="00C16345">
        <w:rPr>
          <w:color w:val="000000"/>
          <w:sz w:val="24"/>
          <w:szCs w:val="24"/>
        </w:rPr>
        <w:t>v) Economic surveys of Assam</w:t>
      </w:r>
      <w:r>
        <w:rPr>
          <w:color w:val="000000"/>
          <w:sz w:val="24"/>
          <w:szCs w:val="24"/>
        </w:rPr>
        <w:t>, v)</w:t>
      </w:r>
      <w:r w:rsidRPr="00B512AB">
        <w:rPr>
          <w:color w:val="000000" w:themeColor="text1"/>
          <w:sz w:val="20"/>
          <w:szCs w:val="20"/>
        </w:rPr>
        <w:t xml:space="preserve"> </w:t>
      </w:r>
      <w:r>
        <w:rPr>
          <w:color w:val="000000" w:themeColor="text1"/>
          <w:sz w:val="24"/>
          <w:szCs w:val="24"/>
        </w:rPr>
        <w:t>A</w:t>
      </w:r>
      <w:r w:rsidRPr="00B512AB">
        <w:rPr>
          <w:color w:val="000000" w:themeColor="text1"/>
          <w:sz w:val="24"/>
          <w:szCs w:val="24"/>
        </w:rPr>
        <w:t xml:space="preserve">nnual employment-unemployment survey, </w:t>
      </w:r>
      <w:proofErr w:type="spellStart"/>
      <w:r w:rsidRPr="00B512AB">
        <w:rPr>
          <w:color w:val="000000" w:themeColor="text1"/>
          <w:sz w:val="24"/>
          <w:szCs w:val="24"/>
        </w:rPr>
        <w:t>Labour</w:t>
      </w:r>
      <w:proofErr w:type="spellEnd"/>
      <w:r w:rsidRPr="00B512AB">
        <w:rPr>
          <w:color w:val="000000" w:themeColor="text1"/>
          <w:sz w:val="24"/>
          <w:szCs w:val="24"/>
        </w:rPr>
        <w:t xml:space="preserve"> Bureau, Ministry</w:t>
      </w:r>
      <w:r>
        <w:rPr>
          <w:color w:val="000000" w:themeColor="text1"/>
          <w:sz w:val="24"/>
          <w:szCs w:val="24"/>
        </w:rPr>
        <w:t xml:space="preserve"> of </w:t>
      </w:r>
      <w:proofErr w:type="spellStart"/>
      <w:r>
        <w:rPr>
          <w:color w:val="000000" w:themeColor="text1"/>
          <w:sz w:val="24"/>
          <w:szCs w:val="24"/>
        </w:rPr>
        <w:t>Labour</w:t>
      </w:r>
      <w:proofErr w:type="spellEnd"/>
      <w:r>
        <w:rPr>
          <w:color w:val="000000" w:themeColor="text1"/>
          <w:sz w:val="24"/>
          <w:szCs w:val="24"/>
        </w:rPr>
        <w:t xml:space="preserve"> &amp; employment</w:t>
      </w:r>
      <w:r w:rsidRPr="00B512AB">
        <w:rPr>
          <w:color w:val="000000" w:themeColor="text1"/>
          <w:sz w:val="24"/>
          <w:szCs w:val="24"/>
        </w:rPr>
        <w:t>;</w:t>
      </w:r>
      <w:r w:rsidRPr="00B512AB">
        <w:rPr>
          <w:color w:val="000000"/>
          <w:sz w:val="20"/>
          <w:szCs w:val="20"/>
        </w:rPr>
        <w:t xml:space="preserve"> </w:t>
      </w:r>
      <w:proofErr w:type="gramStart"/>
      <w:r>
        <w:rPr>
          <w:color w:val="000000"/>
          <w:sz w:val="24"/>
          <w:szCs w:val="24"/>
        </w:rPr>
        <w:t>vi</w:t>
      </w:r>
      <w:r w:rsidRPr="00B512AB">
        <w:rPr>
          <w:color w:val="000000"/>
          <w:sz w:val="24"/>
          <w:szCs w:val="24"/>
        </w:rPr>
        <w:t>)Annual</w:t>
      </w:r>
      <w:proofErr w:type="gramEnd"/>
      <w:r w:rsidRPr="00B512AB">
        <w:rPr>
          <w:color w:val="000000"/>
          <w:sz w:val="24"/>
          <w:szCs w:val="24"/>
        </w:rPr>
        <w:t xml:space="preserve"> reports of Building &amp; Other Construction Workers’ Welfare Board(BOCWWB), Assam</w:t>
      </w:r>
      <w:r>
        <w:rPr>
          <w:color w:val="000000"/>
          <w:sz w:val="24"/>
          <w:szCs w:val="24"/>
        </w:rPr>
        <w:t>.</w:t>
      </w:r>
    </w:p>
    <w:p w14:paraId="31A8D60A" w14:textId="77777777" w:rsidR="00267E6C" w:rsidRDefault="00267E6C" w:rsidP="00893AE2">
      <w:pPr>
        <w:pBdr>
          <w:top w:val="nil"/>
          <w:left w:val="nil"/>
          <w:bottom w:val="nil"/>
          <w:right w:val="nil"/>
          <w:between w:val="nil"/>
        </w:pBdr>
        <w:spacing w:line="273" w:lineRule="auto"/>
        <w:ind w:right="210"/>
        <w:jc w:val="both"/>
        <w:rPr>
          <w:b/>
          <w:color w:val="000000"/>
          <w:sz w:val="24"/>
          <w:szCs w:val="24"/>
        </w:rPr>
      </w:pPr>
    </w:p>
    <w:p w14:paraId="35280783" w14:textId="77777777" w:rsidR="00F23704" w:rsidRDefault="00F23704" w:rsidP="00893AE2">
      <w:pPr>
        <w:pBdr>
          <w:top w:val="nil"/>
          <w:left w:val="nil"/>
          <w:bottom w:val="nil"/>
          <w:right w:val="nil"/>
          <w:between w:val="nil"/>
        </w:pBdr>
        <w:spacing w:line="273" w:lineRule="auto"/>
        <w:ind w:right="210"/>
        <w:jc w:val="both"/>
        <w:rPr>
          <w:b/>
          <w:color w:val="000000"/>
          <w:sz w:val="24"/>
          <w:szCs w:val="24"/>
        </w:rPr>
      </w:pPr>
      <w:r w:rsidRPr="00F23704">
        <w:rPr>
          <w:b/>
          <w:color w:val="000000"/>
          <w:sz w:val="24"/>
          <w:szCs w:val="24"/>
        </w:rPr>
        <w:t>Trend</w:t>
      </w:r>
      <w:r w:rsidR="00EB3D62">
        <w:rPr>
          <w:b/>
          <w:color w:val="000000"/>
          <w:sz w:val="24"/>
          <w:szCs w:val="24"/>
        </w:rPr>
        <w:t xml:space="preserve"> and short-run v</w:t>
      </w:r>
      <w:r w:rsidR="00D30766">
        <w:rPr>
          <w:b/>
          <w:color w:val="000000"/>
          <w:sz w:val="24"/>
          <w:szCs w:val="24"/>
        </w:rPr>
        <w:t>ariation in Supply</w:t>
      </w:r>
      <w:r w:rsidRPr="00F23704">
        <w:rPr>
          <w:b/>
          <w:color w:val="000000"/>
          <w:sz w:val="24"/>
          <w:szCs w:val="24"/>
        </w:rPr>
        <w:t>:</w:t>
      </w:r>
    </w:p>
    <w:p w14:paraId="5BB50A2D" w14:textId="77777777" w:rsidR="002A50D0" w:rsidRPr="00D30766" w:rsidRDefault="00457D86" w:rsidP="00EB3D62">
      <w:pPr>
        <w:pStyle w:val="Heading1"/>
        <w:numPr>
          <w:ilvl w:val="0"/>
          <w:numId w:val="7"/>
        </w:numPr>
        <w:tabs>
          <w:tab w:val="left" w:pos="343"/>
        </w:tabs>
        <w:spacing w:before="132"/>
        <w:rPr>
          <w:rFonts w:ascii="Times New Roman" w:hAnsi="Times New Roman" w:cs="Times New Roman"/>
          <w:color w:val="auto"/>
          <w:sz w:val="24"/>
          <w:szCs w:val="24"/>
        </w:rPr>
      </w:pPr>
      <w:r>
        <w:rPr>
          <w:rFonts w:ascii="Times New Roman" w:hAnsi="Times New Roman" w:cs="Times New Roman"/>
          <w:color w:val="000000"/>
          <w:sz w:val="24"/>
          <w:szCs w:val="24"/>
        </w:rPr>
        <w:t xml:space="preserve">For </w:t>
      </w:r>
      <w:r>
        <w:rPr>
          <w:rFonts w:ascii="Times New Roman" w:hAnsi="Times New Roman" w:cs="Times New Roman"/>
          <w:color w:val="auto"/>
          <w:sz w:val="24"/>
          <w:szCs w:val="24"/>
        </w:rPr>
        <w:t>Total</w:t>
      </w:r>
      <w:r w:rsidR="003460FB">
        <w:rPr>
          <w:rFonts w:ascii="Times New Roman" w:hAnsi="Times New Roman" w:cs="Times New Roman"/>
          <w:color w:val="auto"/>
          <w:sz w:val="24"/>
          <w:szCs w:val="24"/>
        </w:rPr>
        <w:t xml:space="preserve"> </w:t>
      </w:r>
      <w:proofErr w:type="spellStart"/>
      <w:r w:rsidR="003460FB">
        <w:rPr>
          <w:rFonts w:ascii="Times New Roman" w:hAnsi="Times New Roman" w:cs="Times New Roman"/>
          <w:color w:val="auto"/>
          <w:sz w:val="24"/>
          <w:szCs w:val="24"/>
        </w:rPr>
        <w:t>Labour</w:t>
      </w:r>
      <w:proofErr w:type="spellEnd"/>
      <w:r w:rsidR="003460FB">
        <w:rPr>
          <w:rFonts w:ascii="Times New Roman" w:hAnsi="Times New Roman" w:cs="Times New Roman"/>
          <w:color w:val="auto"/>
          <w:sz w:val="24"/>
          <w:szCs w:val="24"/>
        </w:rPr>
        <w:t xml:space="preserve"> Supply</w:t>
      </w:r>
      <w:r w:rsidR="00D30766" w:rsidRPr="00D30766">
        <w:rPr>
          <w:rFonts w:ascii="Times New Roman" w:hAnsi="Times New Roman" w:cs="Times New Roman"/>
          <w:color w:val="auto"/>
          <w:sz w:val="24"/>
          <w:szCs w:val="24"/>
        </w:rPr>
        <w:t xml:space="preserve"> in the state:</w:t>
      </w:r>
    </w:p>
    <w:p w14:paraId="4B54352B" w14:textId="77777777" w:rsidR="00267E6C" w:rsidRPr="00D30766" w:rsidRDefault="00267E6C" w:rsidP="00267E6C">
      <w:pPr>
        <w:rPr>
          <w:b/>
        </w:rPr>
      </w:pPr>
    </w:p>
    <w:p w14:paraId="78887DC5" w14:textId="77777777" w:rsidR="00267E6C" w:rsidRDefault="00267E6C" w:rsidP="00267E6C">
      <w:pPr>
        <w:autoSpaceDE w:val="0"/>
        <w:autoSpaceDN w:val="0"/>
        <w:adjustRightInd w:val="0"/>
        <w:spacing w:before="120" w:line="276" w:lineRule="auto"/>
        <w:ind w:firstLine="720"/>
        <w:jc w:val="both"/>
        <w:rPr>
          <w:color w:val="000000" w:themeColor="text1"/>
          <w:sz w:val="24"/>
          <w:szCs w:val="24"/>
        </w:rPr>
      </w:pPr>
      <w:r w:rsidRPr="004B2FDB">
        <w:rPr>
          <w:color w:val="000000" w:themeColor="text1"/>
          <w:sz w:val="24"/>
          <w:szCs w:val="24"/>
        </w:rPr>
        <w:t xml:space="preserve">Supply trend of total </w:t>
      </w:r>
      <w:proofErr w:type="spellStart"/>
      <w:r w:rsidRPr="004B2FDB">
        <w:rPr>
          <w:color w:val="000000" w:themeColor="text1"/>
          <w:sz w:val="24"/>
          <w:szCs w:val="24"/>
        </w:rPr>
        <w:t>labourforce</w:t>
      </w:r>
      <w:proofErr w:type="spellEnd"/>
      <w:r w:rsidRPr="004B2FDB">
        <w:rPr>
          <w:color w:val="000000" w:themeColor="text1"/>
          <w:sz w:val="24"/>
          <w:szCs w:val="24"/>
        </w:rPr>
        <w:t xml:space="preserve"> for the state (Assam) has been estimated </w:t>
      </w:r>
      <w:r w:rsidR="00EB3D62">
        <w:rPr>
          <w:color w:val="000000" w:themeColor="text1"/>
          <w:sz w:val="24"/>
          <w:szCs w:val="24"/>
        </w:rPr>
        <w:t xml:space="preserve">based on </w:t>
      </w:r>
      <w:r w:rsidRPr="004B2FDB">
        <w:rPr>
          <w:color w:val="000000" w:themeColor="text1"/>
          <w:sz w:val="24"/>
          <w:szCs w:val="24"/>
        </w:rPr>
        <w:t xml:space="preserve">the population size in the working age and the </w:t>
      </w:r>
      <w:proofErr w:type="spellStart"/>
      <w:r w:rsidRPr="004B2FDB">
        <w:rPr>
          <w:color w:val="000000" w:themeColor="text1"/>
          <w:sz w:val="24"/>
          <w:szCs w:val="24"/>
        </w:rPr>
        <w:t>labourforce</w:t>
      </w:r>
      <w:proofErr w:type="spellEnd"/>
      <w:r w:rsidRPr="004B2FDB">
        <w:rPr>
          <w:color w:val="000000" w:themeColor="text1"/>
          <w:sz w:val="24"/>
          <w:szCs w:val="24"/>
        </w:rPr>
        <w:t xml:space="preserve"> participation rate (LFPR)</w:t>
      </w:r>
      <w:r>
        <w:rPr>
          <w:rStyle w:val="FootnoteReference"/>
          <w:color w:val="000000" w:themeColor="text1"/>
          <w:sz w:val="24"/>
          <w:szCs w:val="24"/>
        </w:rPr>
        <w:footnoteReference w:id="10"/>
      </w:r>
      <w:r w:rsidRPr="004B2FDB">
        <w:rPr>
          <w:color w:val="000000" w:themeColor="text1"/>
          <w:sz w:val="24"/>
          <w:szCs w:val="24"/>
        </w:rPr>
        <w:t xml:space="preserve"> in the state as </w:t>
      </w:r>
      <w:r w:rsidR="00EB3D62">
        <w:rPr>
          <w:color w:val="000000" w:themeColor="text1"/>
          <w:sz w:val="24"/>
          <w:szCs w:val="24"/>
        </w:rPr>
        <w:t>shown in table-3</w:t>
      </w:r>
      <w:r w:rsidRPr="004B2FDB">
        <w:rPr>
          <w:color w:val="000000" w:themeColor="text1"/>
          <w:sz w:val="24"/>
          <w:szCs w:val="24"/>
        </w:rPr>
        <w:t xml:space="preserve">. It is estimated as a percentage of the working age population participating in total </w:t>
      </w:r>
      <w:proofErr w:type="spellStart"/>
      <w:r w:rsidRPr="004B2FDB">
        <w:rPr>
          <w:color w:val="000000" w:themeColor="text1"/>
          <w:sz w:val="24"/>
          <w:szCs w:val="24"/>
        </w:rPr>
        <w:t>labourforce</w:t>
      </w:r>
      <w:proofErr w:type="spellEnd"/>
      <w:r w:rsidRPr="004B2FDB">
        <w:rPr>
          <w:color w:val="000000" w:themeColor="text1"/>
          <w:sz w:val="24"/>
          <w:szCs w:val="24"/>
        </w:rPr>
        <w:t xml:space="preserve"> in a region. The total </w:t>
      </w:r>
      <w:proofErr w:type="spellStart"/>
      <w:r w:rsidRPr="004B2FDB">
        <w:rPr>
          <w:color w:val="000000" w:themeColor="text1"/>
          <w:sz w:val="24"/>
          <w:szCs w:val="24"/>
        </w:rPr>
        <w:t>labourforce</w:t>
      </w:r>
      <w:proofErr w:type="spellEnd"/>
      <w:r w:rsidRPr="004B2FDB">
        <w:rPr>
          <w:color w:val="000000" w:themeColor="text1"/>
          <w:sz w:val="24"/>
          <w:szCs w:val="24"/>
        </w:rPr>
        <w:t xml:space="preserve"> in a region constitutes of the persons currently working, i.e. employed persons and the persons looking for works, i.e. those who are the unemployed workers</w:t>
      </w:r>
      <w:r w:rsidRPr="004B2FDB">
        <w:rPr>
          <w:rStyle w:val="FootnoteReference"/>
          <w:color w:val="000000" w:themeColor="text1"/>
          <w:sz w:val="24"/>
          <w:szCs w:val="24"/>
        </w:rPr>
        <w:footnoteReference w:id="11"/>
      </w:r>
      <w:r w:rsidRPr="004B2FDB">
        <w:rPr>
          <w:color w:val="000000" w:themeColor="text1"/>
          <w:sz w:val="24"/>
          <w:szCs w:val="24"/>
        </w:rPr>
        <w:t xml:space="preserve">. Hence, the total </w:t>
      </w:r>
      <w:proofErr w:type="spellStart"/>
      <w:r w:rsidRPr="004B2FDB">
        <w:rPr>
          <w:color w:val="000000" w:themeColor="text1"/>
          <w:sz w:val="24"/>
          <w:szCs w:val="24"/>
        </w:rPr>
        <w:t>labourforce</w:t>
      </w:r>
      <w:proofErr w:type="spellEnd"/>
      <w:r w:rsidRPr="004B2FDB">
        <w:rPr>
          <w:color w:val="000000" w:themeColor="text1"/>
          <w:sz w:val="24"/>
          <w:szCs w:val="24"/>
        </w:rPr>
        <w:t xml:space="preserve"> in a region is the sum total of employed and unemployed persons. The total </w:t>
      </w:r>
      <w:proofErr w:type="spellStart"/>
      <w:r w:rsidRPr="004B2FDB">
        <w:rPr>
          <w:color w:val="000000" w:themeColor="text1"/>
          <w:sz w:val="24"/>
          <w:szCs w:val="24"/>
        </w:rPr>
        <w:t>labourforce</w:t>
      </w:r>
      <w:proofErr w:type="spellEnd"/>
      <w:r w:rsidRPr="004B2FDB">
        <w:rPr>
          <w:color w:val="000000" w:themeColor="text1"/>
          <w:sz w:val="24"/>
          <w:szCs w:val="24"/>
        </w:rPr>
        <w:t xml:space="preserve">, termed as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has been estimated for the state (Assam) using the formula as follows:</w:t>
      </w:r>
    </w:p>
    <w:p w14:paraId="274DF5E4" w14:textId="77777777" w:rsidR="00267E6C" w:rsidRPr="004B2FDB" w:rsidRDefault="00267E6C" w:rsidP="00267E6C">
      <w:pPr>
        <w:autoSpaceDE w:val="0"/>
        <w:autoSpaceDN w:val="0"/>
        <w:adjustRightInd w:val="0"/>
        <w:spacing w:before="120" w:line="276" w:lineRule="auto"/>
        <w:ind w:firstLine="720"/>
        <w:jc w:val="both"/>
        <w:rPr>
          <w:color w:val="000000" w:themeColor="text1"/>
          <w:sz w:val="24"/>
          <w:szCs w:val="24"/>
        </w:rPr>
      </w:pPr>
    </w:p>
    <w:p w14:paraId="74DEE119" w14:textId="77777777" w:rsidR="002A50D0" w:rsidRPr="00AC4F92" w:rsidRDefault="00F52758" w:rsidP="002A50D0">
      <w:pPr>
        <w:pBdr>
          <w:top w:val="nil"/>
          <w:left w:val="nil"/>
          <w:bottom w:val="nil"/>
          <w:right w:val="nil"/>
          <w:between w:val="nil"/>
        </w:pBdr>
        <w:spacing w:before="109"/>
        <w:ind w:left="120"/>
        <w:rPr>
          <w:b/>
          <w:sz w:val="24"/>
          <w:szCs w:val="24"/>
        </w:rPr>
      </w:pPr>
      <w:r>
        <w:rPr>
          <w:sz w:val="28"/>
          <w:szCs w:val="28"/>
        </w:rPr>
        <w:t xml:space="preserve">              </w:t>
      </w:r>
      <m:oMath>
        <m:r>
          <w:rPr>
            <w:rFonts w:ascii="Cambria Math" w:eastAsia="Cambria Math" w:hAnsi="Cambria Math"/>
            <w:sz w:val="28"/>
            <w:szCs w:val="28"/>
          </w:rPr>
          <m:t>LFPR</m:t>
        </m:r>
        <m:r>
          <w:rPr>
            <w:rFonts w:ascii="Cambria Math" w:eastAsia="Cambria Math"/>
            <w:sz w:val="28"/>
            <w:szCs w:val="28"/>
          </w:rPr>
          <m:t>=</m:t>
        </m:r>
        <m:f>
          <m:fPr>
            <m:ctrlPr>
              <w:rPr>
                <w:rFonts w:ascii="Cambria Math" w:eastAsia="Cambria Math" w:hAnsi="Cambria Math"/>
                <w:b/>
                <w:sz w:val="28"/>
                <w:szCs w:val="28"/>
              </w:rPr>
            </m:ctrlPr>
          </m:fPr>
          <m:num>
            <m:r>
              <m:rPr>
                <m:sty m:val="bi"/>
              </m:rPr>
              <w:rPr>
                <w:rFonts w:ascii="Cambria Math" w:eastAsia="Cambria Math" w:hAnsi="Cambria Math"/>
                <w:sz w:val="28"/>
                <w:szCs w:val="28"/>
              </w:rPr>
              <m:t>LabourForce</m:t>
            </m:r>
            <m:r>
              <m:rPr>
                <m:sty m:val="bi"/>
              </m:rPr>
              <w:rPr>
                <w:rFonts w:ascii="Cambria Math" w:eastAsia="Cambria Math"/>
                <w:sz w:val="28"/>
                <w:szCs w:val="28"/>
              </w:rPr>
              <m:t xml:space="preserve"> (</m:t>
            </m:r>
            <m:r>
              <m:rPr>
                <m:sty m:val="bi"/>
              </m:rPr>
              <w:rPr>
                <w:rFonts w:ascii="Cambria Math" w:eastAsia="Cambria Math" w:hAnsi="Cambria Math"/>
                <w:sz w:val="28"/>
                <w:szCs w:val="28"/>
              </w:rPr>
              <m:t>employed</m:t>
            </m:r>
            <m:r>
              <m:rPr>
                <m:sty m:val="bi"/>
              </m:rPr>
              <w:rPr>
                <w:rFonts w:ascii="Cambria Math" w:eastAsia="Cambria Math"/>
                <w:sz w:val="28"/>
                <w:szCs w:val="28"/>
              </w:rPr>
              <m:t xml:space="preserve"> +</m:t>
            </m:r>
            <m:r>
              <m:rPr>
                <m:sty m:val="bi"/>
              </m:rPr>
              <w:rPr>
                <w:rFonts w:ascii="Cambria Math" w:eastAsia="Cambria Math" w:hAnsi="Cambria Math"/>
                <w:sz w:val="28"/>
                <w:szCs w:val="28"/>
              </w:rPr>
              <m:t>unemployedpersons</m:t>
            </m:r>
            <m:r>
              <m:rPr>
                <m:sty m:val="bi"/>
              </m:rPr>
              <w:rPr>
                <w:rFonts w:ascii="Cambria Math" w:eastAsia="Cambria Math"/>
                <w:sz w:val="28"/>
                <w:szCs w:val="28"/>
              </w:rPr>
              <m:t>)</m:t>
            </m:r>
          </m:num>
          <m:den>
            <m:r>
              <m:rPr>
                <m:sty m:val="bi"/>
              </m:rPr>
              <w:rPr>
                <w:rFonts w:ascii="Cambria Math" w:eastAsia="Cambria Math" w:hAnsi="Cambria Math"/>
                <w:sz w:val="28"/>
                <w:szCs w:val="28"/>
              </w:rPr>
              <m:t>Workingagepopulation</m:t>
            </m:r>
          </m:den>
        </m:f>
      </m:oMath>
      <w:r w:rsidR="002A50D0" w:rsidRPr="002A50D0">
        <w:rPr>
          <w:sz w:val="28"/>
          <w:szCs w:val="28"/>
        </w:rPr>
        <w:t>x 100</w:t>
      </w:r>
      <w:r w:rsidR="002A50D0" w:rsidRPr="00AC4F92">
        <w:rPr>
          <w:b/>
          <w:sz w:val="24"/>
          <w:szCs w:val="24"/>
        </w:rPr>
        <w:t>.</w:t>
      </w:r>
      <w:r w:rsidR="002A50D0" w:rsidRPr="00AC4F92">
        <w:rPr>
          <w:b/>
          <w:noProof/>
          <w:sz w:val="24"/>
          <w:szCs w:val="24"/>
          <w:lang w:eastAsia="en-US"/>
        </w:rPr>
        <w:drawing>
          <wp:anchor distT="0" distB="0" distL="114300" distR="114300" simplePos="0" relativeHeight="251667456" behindDoc="0" locked="0" layoutInCell="1" allowOverlap="1" wp14:anchorId="1A1A2B5B" wp14:editId="78FDFC93">
            <wp:simplePos x="0" y="0"/>
            <wp:positionH relativeFrom="column">
              <wp:posOffset>-495299</wp:posOffset>
            </wp:positionH>
            <wp:positionV relativeFrom="paragraph">
              <wp:posOffset>0</wp:posOffset>
            </wp:positionV>
            <wp:extent cx="22225" cy="22225"/>
            <wp:effectExtent l="0" t="0" r="0" b="0"/>
            <wp:wrapTopAndBottom distT="0" dist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22225" cy="22225"/>
                    </a:xfrm>
                    <a:prstGeom prst="rect">
                      <a:avLst/>
                    </a:prstGeom>
                    <a:ln/>
                  </pic:spPr>
                </pic:pic>
              </a:graphicData>
            </a:graphic>
          </wp:anchor>
        </w:drawing>
      </w:r>
      <w:r w:rsidR="00AC4F92" w:rsidRPr="00AC4F92">
        <w:rPr>
          <w:b/>
          <w:sz w:val="24"/>
          <w:szCs w:val="24"/>
        </w:rPr>
        <w:t>(Equation-1)</w:t>
      </w:r>
    </w:p>
    <w:p w14:paraId="256E81E8" w14:textId="77777777" w:rsidR="00267E6C" w:rsidRDefault="00267E6C" w:rsidP="00267E6C">
      <w:pPr>
        <w:spacing w:before="109" w:line="276" w:lineRule="auto"/>
        <w:ind w:left="120"/>
        <w:rPr>
          <w:sz w:val="24"/>
          <w:szCs w:val="24"/>
        </w:rPr>
      </w:pPr>
    </w:p>
    <w:p w14:paraId="1B7A64A5" w14:textId="77777777" w:rsidR="002A50D0" w:rsidRDefault="002A50D0" w:rsidP="00267E6C">
      <w:pPr>
        <w:spacing w:before="109" w:line="276" w:lineRule="auto"/>
        <w:ind w:left="120"/>
        <w:rPr>
          <w:sz w:val="24"/>
          <w:szCs w:val="24"/>
        </w:rPr>
      </w:pPr>
      <w:r w:rsidRPr="002A50D0">
        <w:rPr>
          <w:sz w:val="24"/>
          <w:szCs w:val="24"/>
        </w:rPr>
        <w:t xml:space="preserve">The trend line of the supply of </w:t>
      </w:r>
      <w:proofErr w:type="spellStart"/>
      <w:r w:rsidRPr="002A50D0">
        <w:rPr>
          <w:sz w:val="24"/>
          <w:szCs w:val="24"/>
        </w:rPr>
        <w:t>labour</w:t>
      </w:r>
      <w:proofErr w:type="spellEnd"/>
      <w:r w:rsidRPr="002A50D0">
        <w:rPr>
          <w:sz w:val="24"/>
          <w:szCs w:val="24"/>
        </w:rPr>
        <w:t xml:space="preserve"> in </w:t>
      </w:r>
      <w:r w:rsidR="00A67F38">
        <w:rPr>
          <w:sz w:val="24"/>
          <w:szCs w:val="24"/>
        </w:rPr>
        <w:t>the state for the period of 1991</w:t>
      </w:r>
      <w:r w:rsidR="00EB3D62">
        <w:rPr>
          <w:sz w:val="24"/>
          <w:szCs w:val="24"/>
        </w:rPr>
        <w:t>-2019 is estimated</w:t>
      </w:r>
      <w:r w:rsidRPr="002A50D0">
        <w:rPr>
          <w:sz w:val="24"/>
          <w:szCs w:val="24"/>
        </w:rPr>
        <w:t xml:space="preserve"> as follows:</w:t>
      </w:r>
      <w:r w:rsidRPr="002A50D0">
        <w:rPr>
          <w:noProof/>
          <w:sz w:val="24"/>
          <w:szCs w:val="24"/>
          <w:lang w:eastAsia="en-US"/>
        </w:rPr>
        <w:drawing>
          <wp:anchor distT="0" distB="0" distL="114300" distR="114300" simplePos="0" relativeHeight="251668480" behindDoc="0" locked="0" layoutInCell="1" allowOverlap="1" wp14:anchorId="42CF8E49" wp14:editId="2F925C2A">
            <wp:simplePos x="0" y="0"/>
            <wp:positionH relativeFrom="column">
              <wp:posOffset>-495299</wp:posOffset>
            </wp:positionH>
            <wp:positionV relativeFrom="paragraph">
              <wp:posOffset>0</wp:posOffset>
            </wp:positionV>
            <wp:extent cx="22225" cy="22225"/>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225" cy="22225"/>
                    </a:xfrm>
                    <a:prstGeom prst="rect">
                      <a:avLst/>
                    </a:prstGeom>
                    <a:ln/>
                  </pic:spPr>
                </pic:pic>
              </a:graphicData>
            </a:graphic>
          </wp:anchor>
        </w:drawing>
      </w:r>
      <w:bookmarkStart w:id="3" w:name="_heading=h.2s8eyo1" w:colFirst="0" w:colLast="0"/>
      <w:bookmarkEnd w:id="3"/>
    </w:p>
    <w:p w14:paraId="4173CCBB" w14:textId="77777777" w:rsidR="00267E6C" w:rsidRPr="004B2FDB" w:rsidRDefault="00267E6C" w:rsidP="00267E6C">
      <w:pPr>
        <w:pStyle w:val="FootnoteText"/>
        <w:spacing w:before="120" w:line="276" w:lineRule="auto"/>
        <w:ind w:left="86" w:hanging="180"/>
        <w:jc w:val="both"/>
        <w:rPr>
          <w:color w:val="000000" w:themeColor="text1"/>
          <w:sz w:val="24"/>
          <w:szCs w:val="24"/>
        </w:rPr>
      </w:pPr>
      <w:r w:rsidRPr="004B2FDB">
        <w:rPr>
          <w:color w:val="000000" w:themeColor="text1"/>
          <w:sz w:val="24"/>
          <w:szCs w:val="24"/>
        </w:rPr>
        <w:t xml:space="preserve">                                </w:t>
      </w:r>
      <w:r w:rsidRPr="004B2FDB">
        <w:rPr>
          <w:b/>
          <w:color w:val="000000" w:themeColor="text1"/>
          <w:sz w:val="24"/>
          <w:szCs w:val="24"/>
        </w:rPr>
        <w:t>Y</w:t>
      </w:r>
      <w:r w:rsidRPr="004B2FDB">
        <w:rPr>
          <w:b/>
          <w:color w:val="000000" w:themeColor="text1"/>
          <w:sz w:val="24"/>
          <w:szCs w:val="24"/>
          <w:vertAlign w:val="subscript"/>
        </w:rPr>
        <w:t>e</w:t>
      </w:r>
      <w:r w:rsidR="00EB3D62">
        <w:rPr>
          <w:b/>
          <w:color w:val="000000" w:themeColor="text1"/>
          <w:sz w:val="24"/>
          <w:szCs w:val="24"/>
        </w:rPr>
        <w:t>=7983448 +278993x (Equation-2</w:t>
      </w:r>
      <w:r w:rsidRPr="004B2FDB">
        <w:rPr>
          <w:b/>
          <w:color w:val="000000" w:themeColor="text1"/>
          <w:sz w:val="24"/>
          <w:szCs w:val="24"/>
        </w:rPr>
        <w:t>)</w:t>
      </w:r>
      <w:r w:rsidR="00EB3D62">
        <w:rPr>
          <w:color w:val="000000" w:themeColor="text1"/>
          <w:sz w:val="24"/>
          <w:szCs w:val="24"/>
        </w:rPr>
        <w:t xml:space="preserve"> (table-3</w:t>
      </w:r>
      <w:r w:rsidRPr="004B2FDB">
        <w:rPr>
          <w:color w:val="000000" w:themeColor="text1"/>
          <w:sz w:val="24"/>
          <w:szCs w:val="24"/>
        </w:rPr>
        <w:t xml:space="preserve">) </w:t>
      </w:r>
    </w:p>
    <w:p w14:paraId="12820405" w14:textId="77777777" w:rsidR="00267E6C" w:rsidRPr="004B2FDB" w:rsidRDefault="00267E6C" w:rsidP="00267E6C">
      <w:pPr>
        <w:pStyle w:val="FootnoteText"/>
        <w:spacing w:before="120" w:line="276" w:lineRule="auto"/>
        <w:ind w:left="86" w:hanging="180"/>
        <w:jc w:val="both"/>
        <w:rPr>
          <w:color w:val="000000" w:themeColor="text1"/>
          <w:sz w:val="24"/>
          <w:szCs w:val="24"/>
        </w:rPr>
      </w:pPr>
      <w:r w:rsidRPr="004B2FDB">
        <w:rPr>
          <w:color w:val="000000" w:themeColor="text1"/>
          <w:sz w:val="24"/>
          <w:szCs w:val="24"/>
        </w:rPr>
        <w:t xml:space="preserve">      Where, Ye</w:t>
      </w:r>
      <w:proofErr w:type="gramStart"/>
      <w:r w:rsidRPr="004B2FDB">
        <w:rPr>
          <w:color w:val="000000" w:themeColor="text1"/>
          <w:sz w:val="24"/>
          <w:szCs w:val="24"/>
        </w:rPr>
        <w:t>=</w:t>
      </w:r>
      <w:r w:rsidRPr="004B2FDB">
        <w:rPr>
          <w:color w:val="000000" w:themeColor="text1"/>
          <w:sz w:val="24"/>
          <w:szCs w:val="24"/>
          <w:vertAlign w:val="subscript"/>
        </w:rPr>
        <w:t xml:space="preserve"> </w:t>
      </w:r>
      <w:r w:rsidRPr="004B2FDB">
        <w:rPr>
          <w:color w:val="000000" w:themeColor="text1"/>
          <w:sz w:val="24"/>
          <w:szCs w:val="24"/>
        </w:rPr>
        <w:t xml:space="preserve"> the</w:t>
      </w:r>
      <w:proofErr w:type="gramEnd"/>
      <w:r w:rsidRPr="004B2FDB">
        <w:rPr>
          <w:color w:val="000000" w:themeColor="text1"/>
          <w:sz w:val="24"/>
          <w:szCs w:val="24"/>
        </w:rPr>
        <w:t xml:space="preserve">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in the state and x = for time period.</w:t>
      </w:r>
    </w:p>
    <w:p w14:paraId="20E0DE61" w14:textId="77777777" w:rsidR="00893AE2" w:rsidRDefault="00267E6C" w:rsidP="00AA2E8D">
      <w:pPr>
        <w:pStyle w:val="noindent"/>
        <w:shd w:val="clear" w:color="auto" w:fill="FFFFFF"/>
        <w:spacing w:before="120" w:beforeAutospacing="0" w:after="0" w:afterAutospacing="0" w:line="276" w:lineRule="auto"/>
        <w:ind w:left="86" w:right="225" w:hanging="180"/>
        <w:jc w:val="both"/>
        <w:rPr>
          <w:sz w:val="20"/>
          <w:szCs w:val="20"/>
        </w:rPr>
      </w:pPr>
      <w:r w:rsidRPr="004B2FDB">
        <w:rPr>
          <w:bCs/>
          <w:color w:val="000000" w:themeColor="text1"/>
        </w:rPr>
        <w:t xml:space="preserve">            The coefficient of independent variable (time), </w:t>
      </w:r>
      <w:proofErr w:type="spellStart"/>
      <w:r w:rsidRPr="004B2FDB">
        <w:rPr>
          <w:bCs/>
          <w:color w:val="000000" w:themeColor="text1"/>
        </w:rPr>
        <w:t>i.e</w:t>
      </w:r>
      <w:proofErr w:type="spellEnd"/>
      <w:r w:rsidRPr="004B2FDB">
        <w:rPr>
          <w:bCs/>
          <w:color w:val="000000" w:themeColor="text1"/>
        </w:rPr>
        <w:t xml:space="preserve"> the regression coefficient (ß=278993) indicates that on an annual average, the total labour supply in the state increa</w:t>
      </w:r>
      <w:r w:rsidR="00EB3D62">
        <w:rPr>
          <w:bCs/>
          <w:color w:val="000000" w:themeColor="text1"/>
        </w:rPr>
        <w:t>ses by 278993 numbers during 199</w:t>
      </w:r>
      <w:r w:rsidRPr="004B2FDB">
        <w:rPr>
          <w:bCs/>
          <w:color w:val="000000" w:themeColor="text1"/>
        </w:rPr>
        <w:t xml:space="preserve">1-2019. </w:t>
      </w:r>
      <w:r w:rsidR="00893AE2" w:rsidRPr="00893AE2">
        <w:rPr>
          <w:sz w:val="20"/>
          <w:szCs w:val="20"/>
        </w:rPr>
        <w:t xml:space="preserve">  </w:t>
      </w:r>
    </w:p>
    <w:p w14:paraId="4B0F7E9C" w14:textId="77777777" w:rsidR="005261F6" w:rsidRDefault="005261F6" w:rsidP="00AA2E8D">
      <w:pPr>
        <w:pStyle w:val="noindent"/>
        <w:shd w:val="clear" w:color="auto" w:fill="FFFFFF"/>
        <w:spacing w:before="120" w:beforeAutospacing="0" w:after="0" w:afterAutospacing="0" w:line="276" w:lineRule="auto"/>
        <w:ind w:left="86" w:right="225" w:hanging="180"/>
        <w:jc w:val="both"/>
        <w:rPr>
          <w:sz w:val="20"/>
          <w:szCs w:val="20"/>
        </w:rPr>
      </w:pPr>
    </w:p>
    <w:p w14:paraId="3C3A4F0D" w14:textId="77777777" w:rsidR="005261F6" w:rsidRDefault="005261F6" w:rsidP="00AA2E8D">
      <w:pPr>
        <w:pStyle w:val="noindent"/>
        <w:shd w:val="clear" w:color="auto" w:fill="FFFFFF"/>
        <w:spacing w:before="120" w:beforeAutospacing="0" w:after="0" w:afterAutospacing="0" w:line="276" w:lineRule="auto"/>
        <w:ind w:left="86" w:right="225" w:hanging="180"/>
        <w:jc w:val="both"/>
        <w:rPr>
          <w:sz w:val="20"/>
          <w:szCs w:val="20"/>
        </w:rPr>
      </w:pPr>
    </w:p>
    <w:p w14:paraId="68614EEE" w14:textId="0DC5F6BA" w:rsidR="005261F6" w:rsidRPr="004776F3" w:rsidRDefault="005261F6" w:rsidP="00AA2E8D">
      <w:pPr>
        <w:pStyle w:val="noindent"/>
        <w:shd w:val="clear" w:color="auto" w:fill="FFFFFF"/>
        <w:spacing w:before="120" w:beforeAutospacing="0" w:after="0" w:afterAutospacing="0" w:line="276" w:lineRule="auto"/>
        <w:ind w:left="86" w:right="225" w:hanging="180"/>
        <w:jc w:val="both"/>
        <w:rPr>
          <w:b/>
          <w:bCs/>
        </w:rPr>
      </w:pPr>
      <w:r w:rsidRPr="004776F3">
        <w:rPr>
          <w:b/>
          <w:bCs/>
        </w:rPr>
        <w:t>Result &amp; Discussion</w:t>
      </w:r>
    </w:p>
    <w:p w14:paraId="6DBFE94E" w14:textId="77777777" w:rsidR="00EB3D62" w:rsidRPr="004B2FDB" w:rsidRDefault="00EB3D62" w:rsidP="00EB3D62">
      <w:pPr>
        <w:pStyle w:val="FootnoteText"/>
        <w:spacing w:before="120" w:line="276" w:lineRule="auto"/>
        <w:ind w:left="86"/>
        <w:jc w:val="both"/>
        <w:rPr>
          <w:color w:val="000000" w:themeColor="text1"/>
          <w:sz w:val="24"/>
          <w:szCs w:val="24"/>
        </w:rPr>
      </w:pPr>
      <w:r>
        <w:rPr>
          <w:color w:val="000000" w:themeColor="text1"/>
          <w:sz w:val="24"/>
          <w:szCs w:val="24"/>
        </w:rPr>
        <w:t xml:space="preserve">            Again, </w:t>
      </w:r>
      <w:r w:rsidRPr="004B2FDB">
        <w:rPr>
          <w:color w:val="000000" w:themeColor="text1"/>
          <w:sz w:val="24"/>
          <w:szCs w:val="24"/>
        </w:rPr>
        <w:t xml:space="preserve">with fluctuations, the </w:t>
      </w:r>
      <w:proofErr w:type="spellStart"/>
      <w:r w:rsidRPr="004B2FDB">
        <w:rPr>
          <w:color w:val="000000" w:themeColor="text1"/>
          <w:sz w:val="24"/>
          <w:szCs w:val="24"/>
        </w:rPr>
        <w:t>labour</w:t>
      </w:r>
      <w:proofErr w:type="spellEnd"/>
      <w:r w:rsidRPr="004B2FDB">
        <w:rPr>
          <w:color w:val="000000" w:themeColor="text1"/>
          <w:sz w:val="24"/>
          <w:szCs w:val="24"/>
        </w:rPr>
        <w:t xml:space="preserve"> supply in the state has been found increasing during 1991–2019 on an average</w:t>
      </w:r>
      <w:r>
        <w:rPr>
          <w:color w:val="000000" w:themeColor="text1"/>
          <w:sz w:val="24"/>
          <w:szCs w:val="24"/>
        </w:rPr>
        <w:t xml:space="preserve"> rate of 3.73%</w:t>
      </w:r>
      <w:r w:rsidRPr="004B2FDB">
        <w:rPr>
          <w:color w:val="000000" w:themeColor="text1"/>
          <w:sz w:val="24"/>
          <w:szCs w:val="24"/>
        </w:rPr>
        <w:t xml:space="preserve"> per year, while during 2013-2019, its size has increased by </w:t>
      </w:r>
      <w:r>
        <w:rPr>
          <w:color w:val="000000" w:themeColor="text1"/>
          <w:sz w:val="24"/>
          <w:szCs w:val="24"/>
        </w:rPr>
        <w:t>3.59% per year (table-3).</w:t>
      </w:r>
    </w:p>
    <w:p w14:paraId="76664CC5" w14:textId="77777777" w:rsidR="00EB3D62" w:rsidRPr="00893AE2" w:rsidRDefault="00EB3D62" w:rsidP="00833F6F">
      <w:pPr>
        <w:autoSpaceDE w:val="0"/>
        <w:autoSpaceDN w:val="0"/>
        <w:adjustRightInd w:val="0"/>
        <w:spacing w:before="120" w:line="276" w:lineRule="auto"/>
        <w:ind w:left="86" w:firstLine="180"/>
        <w:jc w:val="both"/>
        <w:rPr>
          <w:sz w:val="20"/>
          <w:szCs w:val="20"/>
        </w:rPr>
      </w:pPr>
      <w:r w:rsidRPr="004B2FDB">
        <w:rPr>
          <w:color w:val="000000" w:themeColor="text1"/>
          <w:sz w:val="24"/>
          <w:szCs w:val="24"/>
        </w:rPr>
        <w:t xml:space="preserve">   The gap between the trend line of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(red line) and the line of actual data of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represents the short-run fluctuation (variation) in the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of the state during1991-2019, which has b</w:t>
      </w:r>
      <w:r w:rsidR="00457D86">
        <w:rPr>
          <w:color w:val="000000" w:themeColor="text1"/>
          <w:sz w:val="24"/>
          <w:szCs w:val="24"/>
        </w:rPr>
        <w:t>een found to be moderate (Fig-</w:t>
      </w:r>
      <w:r w:rsidRPr="004B2FDB">
        <w:rPr>
          <w:color w:val="000000" w:themeColor="text1"/>
          <w:sz w:val="24"/>
          <w:szCs w:val="24"/>
        </w:rPr>
        <w:t xml:space="preserve">1). Taking the absolute figures, the short-run variation has been estimated to be 185714.29 </w:t>
      </w:r>
      <w:proofErr w:type="spellStart"/>
      <w:proofErr w:type="gramStart"/>
      <w:r w:rsidRPr="004B2FDB">
        <w:rPr>
          <w:color w:val="000000" w:themeColor="text1"/>
          <w:sz w:val="24"/>
          <w:szCs w:val="24"/>
        </w:rPr>
        <w:t>nos</w:t>
      </w:r>
      <w:proofErr w:type="spellEnd"/>
      <w:r w:rsidRPr="004B2FDB">
        <w:rPr>
          <w:color w:val="000000" w:themeColor="text1"/>
          <w:sz w:val="24"/>
          <w:szCs w:val="24"/>
        </w:rPr>
        <w:t>(</w:t>
      </w:r>
      <w:proofErr w:type="gramEnd"/>
      <w:r w:rsidRPr="004B2FDB">
        <w:rPr>
          <w:color w:val="000000" w:themeColor="text1"/>
          <w:sz w:val="24"/>
          <w:szCs w:val="24"/>
        </w:rPr>
        <w:t xml:space="preserve">185.71429 x1000) per year, on an annual average during the period, 1991-2019 </w:t>
      </w:r>
      <w:r w:rsidR="00457D86">
        <w:rPr>
          <w:color w:val="000000" w:themeColor="text1"/>
          <w:sz w:val="24"/>
          <w:szCs w:val="24"/>
        </w:rPr>
        <w:t>(table-3</w:t>
      </w:r>
      <w:r w:rsidRPr="004B2FDB">
        <w:rPr>
          <w:color w:val="000000" w:themeColor="text1"/>
          <w:sz w:val="24"/>
          <w:szCs w:val="24"/>
        </w:rPr>
        <w:t xml:space="preserve">).   </w:t>
      </w:r>
    </w:p>
    <w:p w14:paraId="4D9C1016" w14:textId="77777777" w:rsidR="00457D86" w:rsidRDefault="00EB3D62" w:rsidP="00457D86">
      <w:pPr>
        <w:autoSpaceDE w:val="0"/>
        <w:autoSpaceDN w:val="0"/>
        <w:adjustRightInd w:val="0"/>
        <w:jc w:val="both"/>
        <w:rPr>
          <w:b/>
          <w:color w:val="000000" w:themeColor="text1"/>
        </w:rPr>
      </w:pPr>
      <w:r>
        <w:rPr>
          <w:b/>
          <w:color w:val="000000" w:themeColor="text1"/>
          <w:sz w:val="24"/>
          <w:szCs w:val="24"/>
        </w:rPr>
        <w:t>Table-3</w:t>
      </w:r>
      <w:r w:rsidR="008419C8">
        <w:rPr>
          <w:b/>
          <w:color w:val="000000" w:themeColor="text1"/>
          <w:sz w:val="24"/>
          <w:szCs w:val="24"/>
        </w:rPr>
        <w:t>:</w:t>
      </w:r>
      <w:r w:rsidR="00457D86">
        <w:rPr>
          <w:b/>
          <w:color w:val="000000" w:themeColor="text1"/>
        </w:rPr>
        <w:t xml:space="preserve"> Trend and short-run v</w:t>
      </w:r>
      <w:r w:rsidR="008419C8" w:rsidRPr="00A67F38">
        <w:rPr>
          <w:b/>
          <w:color w:val="000000" w:themeColor="text1"/>
        </w:rPr>
        <w:t xml:space="preserve">ariation in Total </w:t>
      </w:r>
      <w:proofErr w:type="spellStart"/>
      <w:r w:rsidR="008419C8" w:rsidRPr="00A67F38">
        <w:rPr>
          <w:b/>
          <w:color w:val="000000" w:themeColor="text1"/>
        </w:rPr>
        <w:t>Labour</w:t>
      </w:r>
      <w:proofErr w:type="spellEnd"/>
      <w:r w:rsidR="008419C8" w:rsidRPr="00A67F38">
        <w:rPr>
          <w:b/>
          <w:color w:val="000000" w:themeColor="text1"/>
        </w:rPr>
        <w:t xml:space="preserve"> Supply</w:t>
      </w:r>
      <w:r w:rsidR="008419C8" w:rsidRPr="008419C8">
        <w:rPr>
          <w:b/>
          <w:color w:val="000000" w:themeColor="text1"/>
          <w:sz w:val="24"/>
          <w:szCs w:val="24"/>
        </w:rPr>
        <w:t xml:space="preserve"> </w:t>
      </w:r>
      <w:r w:rsidR="008419C8">
        <w:rPr>
          <w:b/>
          <w:color w:val="000000" w:themeColor="text1"/>
          <w:sz w:val="24"/>
          <w:szCs w:val="24"/>
        </w:rPr>
        <w:t>in the state during 1991</w:t>
      </w:r>
      <w:r w:rsidR="008419C8" w:rsidRPr="004B2FDB">
        <w:rPr>
          <w:b/>
          <w:color w:val="000000" w:themeColor="text1"/>
          <w:sz w:val="24"/>
          <w:szCs w:val="24"/>
        </w:rPr>
        <w:t>-2019</w:t>
      </w:r>
      <w:r w:rsidR="008419C8" w:rsidRPr="00A67F38">
        <w:rPr>
          <w:b/>
          <w:color w:val="000000" w:themeColor="text1"/>
        </w:rPr>
        <w:t xml:space="preserve"> </w:t>
      </w:r>
    </w:p>
    <w:p w14:paraId="7721F2D5" w14:textId="77777777" w:rsidR="00A67F38" w:rsidRPr="004B2FDB" w:rsidRDefault="00457D86" w:rsidP="00457D86">
      <w:pPr>
        <w:autoSpaceDE w:val="0"/>
        <w:autoSpaceDN w:val="0"/>
        <w:adjustRightInd w:val="0"/>
        <w:jc w:val="both"/>
        <w:rPr>
          <w:b/>
          <w:color w:val="000000" w:themeColor="text1"/>
          <w:sz w:val="24"/>
          <w:szCs w:val="24"/>
        </w:rPr>
      </w:pPr>
      <w:r>
        <w:rPr>
          <w:b/>
          <w:color w:val="000000" w:themeColor="text1"/>
        </w:rPr>
        <w:t xml:space="preserve">                </w:t>
      </w:r>
      <w:r w:rsidR="008419C8" w:rsidRPr="00A67F38">
        <w:rPr>
          <w:b/>
          <w:color w:val="000000" w:themeColor="text1"/>
        </w:rPr>
        <w:t>through Moving Average Method:</w:t>
      </w:r>
    </w:p>
    <w:tbl>
      <w:tblPr>
        <w:tblW w:w="9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891"/>
        <w:gridCol w:w="1336"/>
        <w:gridCol w:w="1381"/>
        <w:gridCol w:w="1651"/>
        <w:gridCol w:w="1604"/>
        <w:gridCol w:w="535"/>
        <w:gridCol w:w="1596"/>
      </w:tblGrid>
      <w:tr w:rsidR="00887568" w:rsidRPr="00A67F38" w14:paraId="11C995B7" w14:textId="77777777" w:rsidTr="0082111F">
        <w:trPr>
          <w:trHeight w:val="615"/>
        </w:trPr>
        <w:tc>
          <w:tcPr>
            <w:tcW w:w="802" w:type="dxa"/>
            <w:tcBorders>
              <w:bottom w:val="single" w:sz="4" w:space="0" w:color="auto"/>
            </w:tcBorders>
          </w:tcPr>
          <w:p w14:paraId="6C6DC339"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Year</w:t>
            </w:r>
          </w:p>
        </w:tc>
        <w:tc>
          <w:tcPr>
            <w:tcW w:w="891" w:type="dxa"/>
            <w:tcBorders>
              <w:bottom w:val="single" w:sz="4" w:space="0" w:color="auto"/>
            </w:tcBorders>
          </w:tcPr>
          <w:p w14:paraId="49E746A3"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LFPR (%)</w:t>
            </w:r>
          </w:p>
        </w:tc>
        <w:tc>
          <w:tcPr>
            <w:tcW w:w="1336" w:type="dxa"/>
            <w:tcBorders>
              <w:bottom w:val="single" w:sz="4" w:space="0" w:color="auto"/>
            </w:tcBorders>
          </w:tcPr>
          <w:p w14:paraId="488DA877" w14:textId="77777777" w:rsidR="006B6AD8" w:rsidRPr="00A67F38" w:rsidRDefault="008419C8" w:rsidP="0082111F">
            <w:pPr>
              <w:autoSpaceDE w:val="0"/>
              <w:autoSpaceDN w:val="0"/>
              <w:adjustRightInd w:val="0"/>
              <w:jc w:val="center"/>
              <w:rPr>
                <w:color w:val="000000" w:themeColor="text1"/>
                <w:sz w:val="20"/>
                <w:szCs w:val="20"/>
              </w:rPr>
            </w:pPr>
            <w:r>
              <w:rPr>
                <w:color w:val="000000" w:themeColor="text1"/>
                <w:sz w:val="20"/>
                <w:szCs w:val="20"/>
              </w:rPr>
              <w:t xml:space="preserve">Population </w:t>
            </w:r>
            <w:r w:rsidR="00D30766">
              <w:rPr>
                <w:color w:val="000000" w:themeColor="text1"/>
                <w:sz w:val="20"/>
                <w:szCs w:val="20"/>
              </w:rPr>
              <w:t>in</w:t>
            </w:r>
            <w:r w:rsidR="00D30766" w:rsidRPr="00A67F38">
              <w:rPr>
                <w:color w:val="000000" w:themeColor="text1"/>
                <w:sz w:val="20"/>
                <w:szCs w:val="20"/>
              </w:rPr>
              <w:t xml:space="preserve"> Working</w:t>
            </w:r>
            <w:r w:rsidR="006B6AD8" w:rsidRPr="00A67F38">
              <w:rPr>
                <w:color w:val="000000" w:themeColor="text1"/>
                <w:sz w:val="20"/>
                <w:szCs w:val="20"/>
              </w:rPr>
              <w:t xml:space="preserve"> </w:t>
            </w:r>
            <w:proofErr w:type="gramStart"/>
            <w:r w:rsidR="006B6AD8" w:rsidRPr="00A67F38">
              <w:rPr>
                <w:color w:val="000000" w:themeColor="text1"/>
                <w:sz w:val="20"/>
                <w:szCs w:val="20"/>
              </w:rPr>
              <w:t>Age(</w:t>
            </w:r>
            <w:proofErr w:type="gramEnd"/>
            <w:r w:rsidR="006B6AD8" w:rsidRPr="00A67F38">
              <w:rPr>
                <w:color w:val="000000" w:themeColor="text1"/>
                <w:sz w:val="20"/>
                <w:szCs w:val="20"/>
              </w:rPr>
              <w:t>,000)</w:t>
            </w:r>
          </w:p>
        </w:tc>
        <w:tc>
          <w:tcPr>
            <w:tcW w:w="1381" w:type="dxa"/>
            <w:tcBorders>
              <w:bottom w:val="single" w:sz="4" w:space="0" w:color="auto"/>
              <w:right w:val="single" w:sz="4" w:space="0" w:color="auto"/>
            </w:tcBorders>
          </w:tcPr>
          <w:p w14:paraId="7D84C17B" w14:textId="77777777" w:rsidR="00457D86" w:rsidRDefault="006B6AD8" w:rsidP="0082111F">
            <w:pPr>
              <w:autoSpaceDE w:val="0"/>
              <w:autoSpaceDN w:val="0"/>
              <w:adjustRightInd w:val="0"/>
              <w:rPr>
                <w:color w:val="000000" w:themeColor="text1"/>
                <w:sz w:val="20"/>
                <w:szCs w:val="20"/>
              </w:rPr>
            </w:pPr>
            <w:r w:rsidRPr="00A67F38">
              <w:rPr>
                <w:color w:val="000000" w:themeColor="text1"/>
                <w:sz w:val="20"/>
                <w:szCs w:val="20"/>
              </w:rPr>
              <w:t xml:space="preserve">Total </w:t>
            </w:r>
            <w:proofErr w:type="spellStart"/>
            <w:r w:rsidRPr="00A67F38">
              <w:rPr>
                <w:color w:val="000000" w:themeColor="text1"/>
                <w:sz w:val="20"/>
                <w:szCs w:val="20"/>
              </w:rPr>
              <w:t>Labo</w:t>
            </w:r>
            <w:r w:rsidR="00457D86">
              <w:rPr>
                <w:color w:val="000000" w:themeColor="text1"/>
                <w:sz w:val="20"/>
                <w:szCs w:val="20"/>
              </w:rPr>
              <w:t>ur</w:t>
            </w:r>
            <w:proofErr w:type="spellEnd"/>
            <w:r w:rsidR="00457D86">
              <w:rPr>
                <w:color w:val="000000" w:themeColor="text1"/>
                <w:sz w:val="20"/>
                <w:szCs w:val="20"/>
              </w:rPr>
              <w:t xml:space="preserve"> </w:t>
            </w:r>
            <w:proofErr w:type="gramStart"/>
            <w:r w:rsidR="00457D86">
              <w:rPr>
                <w:color w:val="000000" w:themeColor="text1"/>
                <w:sz w:val="20"/>
                <w:szCs w:val="20"/>
              </w:rPr>
              <w:t>Force(</w:t>
            </w:r>
            <w:proofErr w:type="gramEnd"/>
            <w:r w:rsidR="00457D86">
              <w:rPr>
                <w:color w:val="000000" w:themeColor="text1"/>
                <w:sz w:val="20"/>
                <w:szCs w:val="20"/>
              </w:rPr>
              <w:t>TLF)</w:t>
            </w:r>
          </w:p>
          <w:p w14:paraId="68FF8D3C" w14:textId="77777777" w:rsidR="006B6AD8" w:rsidRPr="00A67F38" w:rsidRDefault="006B6AD8" w:rsidP="0082111F">
            <w:pPr>
              <w:autoSpaceDE w:val="0"/>
              <w:autoSpaceDN w:val="0"/>
              <w:adjustRightInd w:val="0"/>
              <w:rPr>
                <w:color w:val="000000" w:themeColor="text1"/>
                <w:sz w:val="20"/>
                <w:szCs w:val="20"/>
              </w:rPr>
            </w:pPr>
            <w:r w:rsidRPr="00A67F38">
              <w:rPr>
                <w:color w:val="000000" w:themeColor="text1"/>
                <w:sz w:val="20"/>
                <w:szCs w:val="20"/>
              </w:rPr>
              <w:t>(,000)</w:t>
            </w:r>
          </w:p>
        </w:tc>
        <w:tc>
          <w:tcPr>
            <w:tcW w:w="1651" w:type="dxa"/>
            <w:tcBorders>
              <w:left w:val="single" w:sz="4" w:space="0" w:color="auto"/>
              <w:bottom w:val="single" w:sz="4" w:space="0" w:color="auto"/>
              <w:right w:val="single" w:sz="4" w:space="0" w:color="auto"/>
            </w:tcBorders>
          </w:tcPr>
          <w:p w14:paraId="2EDA12E3" w14:textId="77777777" w:rsidR="006B6AD8" w:rsidRDefault="006B6AD8" w:rsidP="0082111F">
            <w:pPr>
              <w:autoSpaceDE w:val="0"/>
              <w:autoSpaceDN w:val="0"/>
              <w:adjustRightInd w:val="0"/>
              <w:rPr>
                <w:color w:val="000000" w:themeColor="text1"/>
                <w:sz w:val="20"/>
                <w:szCs w:val="20"/>
              </w:rPr>
            </w:pPr>
            <w:r w:rsidRPr="00A67F38">
              <w:rPr>
                <w:color w:val="000000" w:themeColor="text1"/>
                <w:sz w:val="20"/>
                <w:szCs w:val="20"/>
              </w:rPr>
              <w:t xml:space="preserve">%increase in TLF </w:t>
            </w:r>
          </w:p>
          <w:p w14:paraId="7F134B01" w14:textId="77777777" w:rsidR="006B6AD8" w:rsidRPr="00A67F38" w:rsidRDefault="006B6AD8" w:rsidP="0082111F">
            <w:pPr>
              <w:autoSpaceDE w:val="0"/>
              <w:autoSpaceDN w:val="0"/>
              <w:adjustRightInd w:val="0"/>
              <w:rPr>
                <w:color w:val="000000" w:themeColor="text1"/>
                <w:sz w:val="20"/>
                <w:szCs w:val="20"/>
              </w:rPr>
            </w:pPr>
            <w:r w:rsidRPr="00A67F38">
              <w:rPr>
                <w:color w:val="000000" w:themeColor="text1"/>
                <w:sz w:val="20"/>
                <w:szCs w:val="20"/>
              </w:rPr>
              <w:t>over the previous year</w:t>
            </w:r>
          </w:p>
        </w:tc>
        <w:tc>
          <w:tcPr>
            <w:tcW w:w="2139" w:type="dxa"/>
            <w:gridSpan w:val="2"/>
            <w:tcBorders>
              <w:left w:val="single" w:sz="4" w:space="0" w:color="auto"/>
              <w:bottom w:val="single" w:sz="4" w:space="0" w:color="auto"/>
              <w:right w:val="single" w:sz="4" w:space="0" w:color="auto"/>
            </w:tcBorders>
          </w:tcPr>
          <w:p w14:paraId="22315C94" w14:textId="77777777" w:rsidR="006B6AD8" w:rsidRPr="00A67F38" w:rsidRDefault="006B6AD8" w:rsidP="0082111F">
            <w:pPr>
              <w:widowControl/>
              <w:rPr>
                <w:color w:val="000000" w:themeColor="text1"/>
                <w:sz w:val="20"/>
                <w:szCs w:val="20"/>
              </w:rPr>
            </w:pPr>
            <w:r w:rsidRPr="00A67F38">
              <w:rPr>
                <w:color w:val="000000" w:themeColor="text1"/>
                <w:sz w:val="20"/>
                <w:szCs w:val="20"/>
              </w:rPr>
              <w:t xml:space="preserve">9-Yearly Moving </w:t>
            </w:r>
            <w:proofErr w:type="gramStart"/>
            <w:r w:rsidRPr="00A67F38">
              <w:rPr>
                <w:color w:val="000000" w:themeColor="text1"/>
                <w:sz w:val="20"/>
                <w:szCs w:val="20"/>
              </w:rPr>
              <w:t>Average(</w:t>
            </w:r>
            <w:proofErr w:type="gramEnd"/>
            <w:r w:rsidRPr="00A67F38">
              <w:rPr>
                <w:color w:val="000000" w:themeColor="text1"/>
                <w:sz w:val="20"/>
                <w:szCs w:val="20"/>
              </w:rPr>
              <w:t>,000</w:t>
            </w:r>
            <w:r w:rsidR="008419C8">
              <w:rPr>
                <w:color w:val="000000" w:themeColor="text1"/>
                <w:sz w:val="20"/>
                <w:szCs w:val="20"/>
              </w:rPr>
              <w:t xml:space="preserve">) </w:t>
            </w:r>
          </w:p>
        </w:tc>
        <w:tc>
          <w:tcPr>
            <w:tcW w:w="1596" w:type="dxa"/>
            <w:tcBorders>
              <w:left w:val="single" w:sz="4" w:space="0" w:color="auto"/>
              <w:bottom w:val="single" w:sz="4" w:space="0" w:color="auto"/>
            </w:tcBorders>
          </w:tcPr>
          <w:p w14:paraId="5AB94CF1" w14:textId="77777777" w:rsidR="006B6AD8" w:rsidRPr="00A67F38" w:rsidRDefault="006B6AD8" w:rsidP="0082111F">
            <w:pPr>
              <w:autoSpaceDE w:val="0"/>
              <w:autoSpaceDN w:val="0"/>
              <w:adjustRightInd w:val="0"/>
              <w:rPr>
                <w:color w:val="000000" w:themeColor="text1"/>
                <w:sz w:val="20"/>
                <w:szCs w:val="20"/>
              </w:rPr>
            </w:pPr>
            <w:r w:rsidRPr="00A67F38">
              <w:rPr>
                <w:color w:val="000000" w:themeColor="text1"/>
                <w:sz w:val="20"/>
                <w:szCs w:val="20"/>
              </w:rPr>
              <w:t xml:space="preserve">Short-run </w:t>
            </w:r>
            <w:proofErr w:type="gramStart"/>
            <w:r w:rsidRPr="00A67F38">
              <w:rPr>
                <w:color w:val="000000" w:themeColor="text1"/>
                <w:sz w:val="20"/>
                <w:szCs w:val="20"/>
              </w:rPr>
              <w:t>Fluctuations(</w:t>
            </w:r>
            <w:proofErr w:type="gramEnd"/>
            <w:r w:rsidRPr="00A67F38">
              <w:rPr>
                <w:color w:val="000000" w:themeColor="text1"/>
                <w:sz w:val="20"/>
                <w:szCs w:val="20"/>
              </w:rPr>
              <w:t>,000)</w:t>
            </w:r>
          </w:p>
        </w:tc>
      </w:tr>
      <w:tr w:rsidR="00887568" w:rsidRPr="00A67F38" w14:paraId="7F30AA0B" w14:textId="77777777" w:rsidTr="0082111F">
        <w:trPr>
          <w:trHeight w:val="146"/>
        </w:trPr>
        <w:tc>
          <w:tcPr>
            <w:tcW w:w="802" w:type="dxa"/>
            <w:tcBorders>
              <w:top w:val="single" w:sz="4" w:space="0" w:color="auto"/>
            </w:tcBorders>
          </w:tcPr>
          <w:p w14:paraId="7D8150FD"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w:t>
            </w:r>
          </w:p>
        </w:tc>
        <w:tc>
          <w:tcPr>
            <w:tcW w:w="891" w:type="dxa"/>
            <w:tcBorders>
              <w:top w:val="single" w:sz="4" w:space="0" w:color="auto"/>
            </w:tcBorders>
          </w:tcPr>
          <w:p w14:paraId="650CED00"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w:t>
            </w:r>
          </w:p>
        </w:tc>
        <w:tc>
          <w:tcPr>
            <w:tcW w:w="1336" w:type="dxa"/>
            <w:tcBorders>
              <w:top w:val="single" w:sz="4" w:space="0" w:color="auto"/>
            </w:tcBorders>
          </w:tcPr>
          <w:p w14:paraId="3BECF2D7"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w:t>
            </w:r>
          </w:p>
        </w:tc>
        <w:tc>
          <w:tcPr>
            <w:tcW w:w="1381" w:type="dxa"/>
            <w:tcBorders>
              <w:top w:val="single" w:sz="4" w:space="0" w:color="auto"/>
              <w:right w:val="single" w:sz="4" w:space="0" w:color="auto"/>
            </w:tcBorders>
          </w:tcPr>
          <w:p w14:paraId="0C2CF3C8"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w:t>
            </w:r>
            <w:proofErr w:type="gramStart"/>
            <w:r w:rsidRPr="00A67F38">
              <w:rPr>
                <w:color w:val="000000" w:themeColor="text1"/>
                <w:sz w:val="20"/>
                <w:szCs w:val="20"/>
              </w:rPr>
              <w:t>4)=</w:t>
            </w:r>
            <w:proofErr w:type="gramEnd"/>
            <w:r w:rsidRPr="00A67F38">
              <w:rPr>
                <w:color w:val="000000" w:themeColor="text1"/>
                <w:sz w:val="20"/>
                <w:szCs w:val="20"/>
              </w:rPr>
              <w:t>(2) x (3)</w:t>
            </w:r>
          </w:p>
        </w:tc>
        <w:tc>
          <w:tcPr>
            <w:tcW w:w="1651" w:type="dxa"/>
            <w:tcBorders>
              <w:top w:val="single" w:sz="4" w:space="0" w:color="auto"/>
              <w:left w:val="single" w:sz="4" w:space="0" w:color="auto"/>
              <w:right w:val="single" w:sz="4" w:space="0" w:color="auto"/>
            </w:tcBorders>
          </w:tcPr>
          <w:p w14:paraId="3390F2AF" w14:textId="77777777" w:rsidR="006B6AD8" w:rsidRPr="00A67F38" w:rsidRDefault="006B6AD8" w:rsidP="0082111F">
            <w:pPr>
              <w:autoSpaceDE w:val="0"/>
              <w:autoSpaceDN w:val="0"/>
              <w:adjustRightInd w:val="0"/>
              <w:rPr>
                <w:color w:val="000000" w:themeColor="text1"/>
                <w:sz w:val="20"/>
                <w:szCs w:val="20"/>
              </w:rPr>
            </w:pPr>
            <w:r>
              <w:rPr>
                <w:color w:val="000000" w:themeColor="text1"/>
                <w:sz w:val="20"/>
                <w:szCs w:val="20"/>
              </w:rPr>
              <w:t xml:space="preserve">              </w:t>
            </w:r>
            <w:r w:rsidRPr="00A67F38">
              <w:rPr>
                <w:color w:val="000000" w:themeColor="text1"/>
                <w:sz w:val="20"/>
                <w:szCs w:val="20"/>
              </w:rPr>
              <w:t>(5)</w:t>
            </w:r>
          </w:p>
        </w:tc>
        <w:tc>
          <w:tcPr>
            <w:tcW w:w="2139" w:type="dxa"/>
            <w:gridSpan w:val="2"/>
            <w:tcBorders>
              <w:top w:val="single" w:sz="4" w:space="0" w:color="auto"/>
              <w:left w:val="single" w:sz="4" w:space="0" w:color="auto"/>
              <w:right w:val="single" w:sz="4" w:space="0" w:color="auto"/>
            </w:tcBorders>
          </w:tcPr>
          <w:p w14:paraId="5ABAF1CC" w14:textId="77777777" w:rsidR="006B6AD8" w:rsidRPr="00A67F38" w:rsidRDefault="008419C8" w:rsidP="0082111F">
            <w:pPr>
              <w:autoSpaceDE w:val="0"/>
              <w:autoSpaceDN w:val="0"/>
              <w:adjustRightInd w:val="0"/>
              <w:rPr>
                <w:color w:val="000000" w:themeColor="text1"/>
                <w:sz w:val="20"/>
                <w:szCs w:val="20"/>
              </w:rPr>
            </w:pPr>
            <w:r>
              <w:rPr>
                <w:color w:val="000000" w:themeColor="text1"/>
                <w:sz w:val="20"/>
                <w:szCs w:val="20"/>
              </w:rPr>
              <w:t xml:space="preserve"> (</w:t>
            </w:r>
            <w:proofErr w:type="gramStart"/>
            <w:r>
              <w:rPr>
                <w:color w:val="000000" w:themeColor="text1"/>
                <w:sz w:val="20"/>
                <w:szCs w:val="20"/>
              </w:rPr>
              <w:t>6)</w:t>
            </w:r>
            <w:r w:rsidR="00EB3D62">
              <w:rPr>
                <w:color w:val="000000" w:themeColor="text1"/>
                <w:sz w:val="20"/>
                <w:szCs w:val="20"/>
              </w:rPr>
              <w:t>(</w:t>
            </w:r>
            <w:proofErr w:type="gramEnd"/>
            <w:r w:rsidR="00EB3D62">
              <w:rPr>
                <w:color w:val="000000" w:themeColor="text1"/>
                <w:sz w:val="20"/>
                <w:szCs w:val="20"/>
              </w:rPr>
              <w:t>from col.4)</w:t>
            </w:r>
          </w:p>
        </w:tc>
        <w:tc>
          <w:tcPr>
            <w:tcW w:w="1596" w:type="dxa"/>
            <w:tcBorders>
              <w:top w:val="single" w:sz="4" w:space="0" w:color="auto"/>
              <w:left w:val="single" w:sz="4" w:space="0" w:color="auto"/>
            </w:tcBorders>
          </w:tcPr>
          <w:p w14:paraId="50DB1139" w14:textId="77777777" w:rsidR="006B6AD8" w:rsidRPr="00A67F38" w:rsidRDefault="008419C8" w:rsidP="0082111F">
            <w:pPr>
              <w:autoSpaceDE w:val="0"/>
              <w:autoSpaceDN w:val="0"/>
              <w:adjustRightInd w:val="0"/>
              <w:rPr>
                <w:color w:val="000000" w:themeColor="text1"/>
                <w:sz w:val="20"/>
                <w:szCs w:val="20"/>
              </w:rPr>
            </w:pPr>
            <w:r>
              <w:rPr>
                <w:color w:val="000000" w:themeColor="text1"/>
                <w:sz w:val="20"/>
                <w:szCs w:val="20"/>
              </w:rPr>
              <w:t>(</w:t>
            </w:r>
            <w:proofErr w:type="gramStart"/>
            <w:r>
              <w:rPr>
                <w:color w:val="000000" w:themeColor="text1"/>
                <w:sz w:val="20"/>
                <w:szCs w:val="20"/>
              </w:rPr>
              <w:t>7)</w:t>
            </w:r>
            <w:r w:rsidR="00457D86">
              <w:rPr>
                <w:color w:val="000000" w:themeColor="text1"/>
                <w:sz w:val="20"/>
                <w:szCs w:val="20"/>
              </w:rPr>
              <w:t>(</w:t>
            </w:r>
            <w:proofErr w:type="gramEnd"/>
            <w:r w:rsidR="00457D86">
              <w:rPr>
                <w:color w:val="000000" w:themeColor="text1"/>
                <w:sz w:val="20"/>
                <w:szCs w:val="20"/>
              </w:rPr>
              <w:t>from col.6)</w:t>
            </w:r>
          </w:p>
        </w:tc>
      </w:tr>
      <w:tr w:rsidR="00887568" w:rsidRPr="00A67F38" w14:paraId="4A046162" w14:textId="77777777" w:rsidTr="0082111F">
        <w:trPr>
          <w:trHeight w:val="209"/>
        </w:trPr>
        <w:tc>
          <w:tcPr>
            <w:tcW w:w="802" w:type="dxa"/>
            <w:tcBorders>
              <w:bottom w:val="single" w:sz="4" w:space="0" w:color="auto"/>
            </w:tcBorders>
          </w:tcPr>
          <w:p w14:paraId="08F86F3F"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1991</w:t>
            </w:r>
          </w:p>
        </w:tc>
        <w:tc>
          <w:tcPr>
            <w:tcW w:w="891" w:type="dxa"/>
            <w:tcBorders>
              <w:bottom w:val="single" w:sz="4" w:space="0" w:color="auto"/>
            </w:tcBorders>
          </w:tcPr>
          <w:p w14:paraId="3DD0721E"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37.37</w:t>
            </w:r>
          </w:p>
        </w:tc>
        <w:tc>
          <w:tcPr>
            <w:tcW w:w="1336" w:type="dxa"/>
            <w:tcBorders>
              <w:bottom w:val="single" w:sz="4" w:space="0" w:color="auto"/>
            </w:tcBorders>
          </w:tcPr>
          <w:p w14:paraId="00B6C584"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12121</w:t>
            </w:r>
          </w:p>
        </w:tc>
        <w:tc>
          <w:tcPr>
            <w:tcW w:w="1381" w:type="dxa"/>
            <w:tcBorders>
              <w:bottom w:val="single" w:sz="4" w:space="0" w:color="auto"/>
              <w:right w:val="single" w:sz="4" w:space="0" w:color="auto"/>
            </w:tcBorders>
          </w:tcPr>
          <w:p w14:paraId="7EC3F98B"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4530</w:t>
            </w:r>
          </w:p>
        </w:tc>
        <w:tc>
          <w:tcPr>
            <w:tcW w:w="1651" w:type="dxa"/>
            <w:tcBorders>
              <w:left w:val="single" w:sz="4" w:space="0" w:color="auto"/>
              <w:bottom w:val="single" w:sz="4" w:space="0" w:color="auto"/>
              <w:right w:val="nil"/>
            </w:tcBorders>
          </w:tcPr>
          <w:p w14:paraId="3F494A39" w14:textId="77777777" w:rsidR="006B6AD8" w:rsidRPr="00A67F38" w:rsidRDefault="006B6AD8" w:rsidP="0082111F">
            <w:pPr>
              <w:autoSpaceDE w:val="0"/>
              <w:autoSpaceDN w:val="0"/>
              <w:adjustRightInd w:val="0"/>
              <w:rPr>
                <w:color w:val="000000" w:themeColor="text1"/>
                <w:sz w:val="20"/>
                <w:szCs w:val="20"/>
              </w:rPr>
            </w:pPr>
            <w:r w:rsidRPr="00A67F38">
              <w:rPr>
                <w:color w:val="000000" w:themeColor="text1"/>
                <w:sz w:val="20"/>
                <w:szCs w:val="20"/>
              </w:rPr>
              <w:t>-</w:t>
            </w:r>
          </w:p>
        </w:tc>
        <w:tc>
          <w:tcPr>
            <w:tcW w:w="1604" w:type="dxa"/>
            <w:tcBorders>
              <w:left w:val="single" w:sz="4" w:space="0" w:color="auto"/>
              <w:bottom w:val="single" w:sz="4" w:space="0" w:color="auto"/>
              <w:right w:val="nil"/>
            </w:tcBorders>
          </w:tcPr>
          <w:p w14:paraId="79B15454" w14:textId="77777777" w:rsidR="006B6AD8" w:rsidRPr="00A67F38" w:rsidRDefault="006B6AD8" w:rsidP="0082111F">
            <w:pPr>
              <w:autoSpaceDE w:val="0"/>
              <w:autoSpaceDN w:val="0"/>
              <w:adjustRightInd w:val="0"/>
              <w:rPr>
                <w:color w:val="000000" w:themeColor="text1"/>
                <w:sz w:val="20"/>
                <w:szCs w:val="20"/>
              </w:rPr>
            </w:pPr>
          </w:p>
        </w:tc>
        <w:tc>
          <w:tcPr>
            <w:tcW w:w="535" w:type="dxa"/>
            <w:tcBorders>
              <w:left w:val="nil"/>
              <w:bottom w:val="single" w:sz="4" w:space="0" w:color="auto"/>
              <w:right w:val="single" w:sz="4" w:space="0" w:color="auto"/>
            </w:tcBorders>
          </w:tcPr>
          <w:p w14:paraId="22FD22BD" w14:textId="77777777" w:rsidR="006B6AD8" w:rsidRPr="00A67F38" w:rsidRDefault="006B6AD8" w:rsidP="0082111F">
            <w:pPr>
              <w:autoSpaceDE w:val="0"/>
              <w:autoSpaceDN w:val="0"/>
              <w:adjustRightInd w:val="0"/>
              <w:rPr>
                <w:color w:val="000000" w:themeColor="text1"/>
                <w:sz w:val="20"/>
                <w:szCs w:val="20"/>
              </w:rPr>
            </w:pPr>
          </w:p>
        </w:tc>
        <w:tc>
          <w:tcPr>
            <w:tcW w:w="1596" w:type="dxa"/>
            <w:tcBorders>
              <w:left w:val="single" w:sz="4" w:space="0" w:color="auto"/>
              <w:bottom w:val="single" w:sz="4" w:space="0" w:color="auto"/>
            </w:tcBorders>
          </w:tcPr>
          <w:p w14:paraId="642A68D3" w14:textId="77777777" w:rsidR="006B6AD8" w:rsidRPr="00A67F38" w:rsidRDefault="006B6AD8" w:rsidP="0082111F">
            <w:pPr>
              <w:autoSpaceDE w:val="0"/>
              <w:autoSpaceDN w:val="0"/>
              <w:adjustRightInd w:val="0"/>
              <w:rPr>
                <w:color w:val="000000" w:themeColor="text1"/>
                <w:sz w:val="20"/>
                <w:szCs w:val="20"/>
              </w:rPr>
            </w:pPr>
          </w:p>
        </w:tc>
      </w:tr>
      <w:tr w:rsidR="00887568" w:rsidRPr="00A67F38" w14:paraId="085246E8" w14:textId="77777777" w:rsidTr="0082111F">
        <w:trPr>
          <w:trHeight w:val="139"/>
        </w:trPr>
        <w:tc>
          <w:tcPr>
            <w:tcW w:w="802" w:type="dxa"/>
            <w:tcBorders>
              <w:bottom w:val="single" w:sz="4" w:space="0" w:color="auto"/>
            </w:tcBorders>
          </w:tcPr>
          <w:p w14:paraId="2518DAAC"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1992</w:t>
            </w:r>
          </w:p>
        </w:tc>
        <w:tc>
          <w:tcPr>
            <w:tcW w:w="891" w:type="dxa"/>
            <w:tcBorders>
              <w:bottom w:val="single" w:sz="4" w:space="0" w:color="auto"/>
            </w:tcBorders>
          </w:tcPr>
          <w:p w14:paraId="4589CBCE"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39.2</w:t>
            </w:r>
          </w:p>
        </w:tc>
        <w:tc>
          <w:tcPr>
            <w:tcW w:w="1336" w:type="dxa"/>
            <w:tcBorders>
              <w:bottom w:val="single" w:sz="4" w:space="0" w:color="auto"/>
            </w:tcBorders>
          </w:tcPr>
          <w:p w14:paraId="525C7713"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12480</w:t>
            </w:r>
          </w:p>
        </w:tc>
        <w:tc>
          <w:tcPr>
            <w:tcW w:w="1381" w:type="dxa"/>
            <w:tcBorders>
              <w:bottom w:val="single" w:sz="4" w:space="0" w:color="auto"/>
              <w:right w:val="single" w:sz="4" w:space="0" w:color="auto"/>
            </w:tcBorders>
          </w:tcPr>
          <w:p w14:paraId="4050FA8E"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4892</w:t>
            </w:r>
          </w:p>
        </w:tc>
        <w:tc>
          <w:tcPr>
            <w:tcW w:w="1651" w:type="dxa"/>
            <w:tcBorders>
              <w:left w:val="single" w:sz="4" w:space="0" w:color="auto"/>
              <w:bottom w:val="single" w:sz="4" w:space="0" w:color="auto"/>
              <w:right w:val="nil"/>
            </w:tcBorders>
          </w:tcPr>
          <w:p w14:paraId="7DA8ED94"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7.99</w:t>
            </w:r>
          </w:p>
        </w:tc>
        <w:tc>
          <w:tcPr>
            <w:tcW w:w="1604" w:type="dxa"/>
            <w:tcBorders>
              <w:left w:val="single" w:sz="4" w:space="0" w:color="auto"/>
              <w:bottom w:val="single" w:sz="4" w:space="0" w:color="auto"/>
              <w:right w:val="nil"/>
            </w:tcBorders>
          </w:tcPr>
          <w:p w14:paraId="54AF385B" w14:textId="77777777" w:rsidR="006B6AD8" w:rsidRPr="00A67F38" w:rsidRDefault="006B6AD8" w:rsidP="0082111F">
            <w:pPr>
              <w:autoSpaceDE w:val="0"/>
              <w:autoSpaceDN w:val="0"/>
              <w:adjustRightInd w:val="0"/>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14:paraId="6111E2FC" w14:textId="77777777" w:rsidR="006B6AD8" w:rsidRPr="00A67F38" w:rsidRDefault="006B6AD8"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14:paraId="063DB4EB" w14:textId="77777777" w:rsidR="006B6AD8" w:rsidRPr="00A67F38" w:rsidRDefault="006B6AD8" w:rsidP="0082111F">
            <w:pPr>
              <w:autoSpaceDE w:val="0"/>
              <w:autoSpaceDN w:val="0"/>
              <w:adjustRightInd w:val="0"/>
              <w:rPr>
                <w:color w:val="000000" w:themeColor="text1"/>
                <w:sz w:val="20"/>
                <w:szCs w:val="20"/>
              </w:rPr>
            </w:pPr>
          </w:p>
        </w:tc>
      </w:tr>
      <w:tr w:rsidR="00887568" w:rsidRPr="00A67F38" w14:paraId="1B30023E" w14:textId="77777777" w:rsidTr="0082111F">
        <w:trPr>
          <w:trHeight w:val="139"/>
        </w:trPr>
        <w:tc>
          <w:tcPr>
            <w:tcW w:w="802" w:type="dxa"/>
            <w:tcBorders>
              <w:bottom w:val="single" w:sz="4" w:space="0" w:color="auto"/>
            </w:tcBorders>
          </w:tcPr>
          <w:p w14:paraId="5776FA36"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1993</w:t>
            </w:r>
          </w:p>
        </w:tc>
        <w:tc>
          <w:tcPr>
            <w:tcW w:w="891" w:type="dxa"/>
            <w:tcBorders>
              <w:bottom w:val="single" w:sz="4" w:space="0" w:color="auto"/>
            </w:tcBorders>
          </w:tcPr>
          <w:p w14:paraId="0A69D1D9"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39.15</w:t>
            </w:r>
          </w:p>
        </w:tc>
        <w:tc>
          <w:tcPr>
            <w:tcW w:w="1336" w:type="dxa"/>
            <w:tcBorders>
              <w:bottom w:val="single" w:sz="4" w:space="0" w:color="auto"/>
            </w:tcBorders>
          </w:tcPr>
          <w:p w14:paraId="18A41859"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12800</w:t>
            </w:r>
          </w:p>
        </w:tc>
        <w:tc>
          <w:tcPr>
            <w:tcW w:w="1381" w:type="dxa"/>
            <w:tcBorders>
              <w:bottom w:val="single" w:sz="4" w:space="0" w:color="auto"/>
              <w:right w:val="single" w:sz="4" w:space="0" w:color="auto"/>
            </w:tcBorders>
          </w:tcPr>
          <w:p w14:paraId="6A46CFBE"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5011</w:t>
            </w:r>
          </w:p>
        </w:tc>
        <w:tc>
          <w:tcPr>
            <w:tcW w:w="1651" w:type="dxa"/>
            <w:tcBorders>
              <w:left w:val="single" w:sz="4" w:space="0" w:color="auto"/>
              <w:bottom w:val="single" w:sz="4" w:space="0" w:color="auto"/>
              <w:right w:val="nil"/>
            </w:tcBorders>
          </w:tcPr>
          <w:p w14:paraId="399C9BD1"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2.43</w:t>
            </w:r>
          </w:p>
        </w:tc>
        <w:tc>
          <w:tcPr>
            <w:tcW w:w="1604" w:type="dxa"/>
            <w:tcBorders>
              <w:left w:val="single" w:sz="4" w:space="0" w:color="auto"/>
              <w:bottom w:val="single" w:sz="4" w:space="0" w:color="auto"/>
              <w:right w:val="nil"/>
            </w:tcBorders>
          </w:tcPr>
          <w:p w14:paraId="48127B10" w14:textId="77777777" w:rsidR="006B6AD8" w:rsidRPr="00A67F38" w:rsidRDefault="006B6AD8" w:rsidP="0082111F">
            <w:pPr>
              <w:autoSpaceDE w:val="0"/>
              <w:autoSpaceDN w:val="0"/>
              <w:adjustRightInd w:val="0"/>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14:paraId="0808025D" w14:textId="77777777" w:rsidR="006B6AD8" w:rsidRPr="00A67F38" w:rsidRDefault="006B6AD8"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14:paraId="364F4C54" w14:textId="77777777" w:rsidR="006B6AD8" w:rsidRPr="00A67F38" w:rsidRDefault="006B6AD8" w:rsidP="0082111F">
            <w:pPr>
              <w:autoSpaceDE w:val="0"/>
              <w:autoSpaceDN w:val="0"/>
              <w:adjustRightInd w:val="0"/>
              <w:rPr>
                <w:color w:val="000000" w:themeColor="text1"/>
                <w:sz w:val="20"/>
                <w:szCs w:val="20"/>
              </w:rPr>
            </w:pPr>
          </w:p>
        </w:tc>
      </w:tr>
      <w:tr w:rsidR="00887568" w:rsidRPr="00A67F38" w14:paraId="6A90D3D5" w14:textId="77777777" w:rsidTr="0082111F">
        <w:trPr>
          <w:trHeight w:val="139"/>
        </w:trPr>
        <w:tc>
          <w:tcPr>
            <w:tcW w:w="802" w:type="dxa"/>
            <w:tcBorders>
              <w:bottom w:val="single" w:sz="4" w:space="0" w:color="auto"/>
            </w:tcBorders>
          </w:tcPr>
          <w:p w14:paraId="1BD2C231"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1994</w:t>
            </w:r>
          </w:p>
        </w:tc>
        <w:tc>
          <w:tcPr>
            <w:tcW w:w="891" w:type="dxa"/>
            <w:tcBorders>
              <w:bottom w:val="single" w:sz="4" w:space="0" w:color="auto"/>
            </w:tcBorders>
          </w:tcPr>
          <w:p w14:paraId="7F709814"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40.25</w:t>
            </w:r>
          </w:p>
        </w:tc>
        <w:tc>
          <w:tcPr>
            <w:tcW w:w="1336" w:type="dxa"/>
            <w:tcBorders>
              <w:bottom w:val="single" w:sz="4" w:space="0" w:color="auto"/>
            </w:tcBorders>
          </w:tcPr>
          <w:p w14:paraId="1D874602"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13090</w:t>
            </w:r>
          </w:p>
        </w:tc>
        <w:tc>
          <w:tcPr>
            <w:tcW w:w="1381" w:type="dxa"/>
            <w:tcBorders>
              <w:bottom w:val="single" w:sz="4" w:space="0" w:color="auto"/>
              <w:right w:val="single" w:sz="4" w:space="0" w:color="auto"/>
            </w:tcBorders>
          </w:tcPr>
          <w:p w14:paraId="69956F40"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5269</w:t>
            </w:r>
          </w:p>
        </w:tc>
        <w:tc>
          <w:tcPr>
            <w:tcW w:w="1651" w:type="dxa"/>
            <w:tcBorders>
              <w:left w:val="single" w:sz="4" w:space="0" w:color="auto"/>
              <w:bottom w:val="single" w:sz="4" w:space="0" w:color="auto"/>
              <w:right w:val="nil"/>
            </w:tcBorders>
          </w:tcPr>
          <w:p w14:paraId="24D9D0C1"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1.42</w:t>
            </w:r>
          </w:p>
        </w:tc>
        <w:tc>
          <w:tcPr>
            <w:tcW w:w="1604" w:type="dxa"/>
            <w:tcBorders>
              <w:left w:val="single" w:sz="4" w:space="0" w:color="auto"/>
              <w:bottom w:val="single" w:sz="4" w:space="0" w:color="auto"/>
              <w:right w:val="nil"/>
            </w:tcBorders>
          </w:tcPr>
          <w:p w14:paraId="532A422C" w14:textId="77777777" w:rsidR="006B6AD8" w:rsidRPr="00A67F38" w:rsidRDefault="006B6AD8" w:rsidP="0082111F">
            <w:pPr>
              <w:autoSpaceDE w:val="0"/>
              <w:autoSpaceDN w:val="0"/>
              <w:adjustRightInd w:val="0"/>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14:paraId="17396575" w14:textId="77777777" w:rsidR="006B6AD8" w:rsidRPr="00A67F38" w:rsidRDefault="006B6AD8"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14:paraId="0FF5FA52" w14:textId="77777777" w:rsidR="006B6AD8" w:rsidRPr="00A67F38" w:rsidRDefault="006B6AD8" w:rsidP="0082111F">
            <w:pPr>
              <w:autoSpaceDE w:val="0"/>
              <w:autoSpaceDN w:val="0"/>
              <w:adjustRightInd w:val="0"/>
              <w:rPr>
                <w:color w:val="000000" w:themeColor="text1"/>
                <w:sz w:val="20"/>
                <w:szCs w:val="20"/>
              </w:rPr>
            </w:pPr>
          </w:p>
        </w:tc>
      </w:tr>
      <w:tr w:rsidR="00887568" w:rsidRPr="00A67F38" w14:paraId="3C3281C0" w14:textId="77777777" w:rsidTr="0082111F">
        <w:trPr>
          <w:trHeight w:val="139"/>
        </w:trPr>
        <w:tc>
          <w:tcPr>
            <w:tcW w:w="802" w:type="dxa"/>
            <w:tcBorders>
              <w:bottom w:val="single" w:sz="4" w:space="0" w:color="auto"/>
            </w:tcBorders>
          </w:tcPr>
          <w:p w14:paraId="511B8D7C"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1995</w:t>
            </w:r>
          </w:p>
        </w:tc>
        <w:tc>
          <w:tcPr>
            <w:tcW w:w="891" w:type="dxa"/>
            <w:tcBorders>
              <w:bottom w:val="single" w:sz="4" w:space="0" w:color="auto"/>
            </w:tcBorders>
          </w:tcPr>
          <w:p w14:paraId="290FB899"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39.88</w:t>
            </w:r>
          </w:p>
        </w:tc>
        <w:tc>
          <w:tcPr>
            <w:tcW w:w="1336" w:type="dxa"/>
            <w:tcBorders>
              <w:bottom w:val="single" w:sz="4" w:space="0" w:color="auto"/>
            </w:tcBorders>
          </w:tcPr>
          <w:p w14:paraId="5B29844C"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13400</w:t>
            </w:r>
          </w:p>
        </w:tc>
        <w:tc>
          <w:tcPr>
            <w:tcW w:w="1381" w:type="dxa"/>
            <w:tcBorders>
              <w:bottom w:val="single" w:sz="4" w:space="0" w:color="auto"/>
              <w:right w:val="single" w:sz="4" w:space="0" w:color="auto"/>
            </w:tcBorders>
          </w:tcPr>
          <w:p w14:paraId="62C532B8"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5344</w:t>
            </w:r>
          </w:p>
        </w:tc>
        <w:tc>
          <w:tcPr>
            <w:tcW w:w="1651" w:type="dxa"/>
            <w:tcBorders>
              <w:left w:val="single" w:sz="4" w:space="0" w:color="auto"/>
              <w:bottom w:val="single" w:sz="4" w:space="0" w:color="auto"/>
              <w:right w:val="nil"/>
            </w:tcBorders>
          </w:tcPr>
          <w:p w14:paraId="4237B840"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3.48</w:t>
            </w:r>
          </w:p>
        </w:tc>
        <w:tc>
          <w:tcPr>
            <w:tcW w:w="1604" w:type="dxa"/>
            <w:tcBorders>
              <w:left w:val="single" w:sz="4" w:space="0" w:color="auto"/>
              <w:bottom w:val="single" w:sz="4" w:space="0" w:color="auto"/>
              <w:right w:val="nil"/>
            </w:tcBorders>
          </w:tcPr>
          <w:p w14:paraId="6EA44F4E" w14:textId="77777777" w:rsidR="006B6AD8" w:rsidRPr="00A67F38" w:rsidRDefault="006B6AD8" w:rsidP="0082111F">
            <w:pPr>
              <w:jc w:val="center"/>
              <w:rPr>
                <w:color w:val="000000" w:themeColor="text1"/>
                <w:sz w:val="20"/>
                <w:szCs w:val="20"/>
              </w:rPr>
            </w:pPr>
            <w:r w:rsidRPr="00A67F38">
              <w:rPr>
                <w:color w:val="000000" w:themeColor="text1"/>
                <w:sz w:val="20"/>
                <w:szCs w:val="20"/>
              </w:rPr>
              <w:t>5318.67</w:t>
            </w:r>
          </w:p>
        </w:tc>
        <w:tc>
          <w:tcPr>
            <w:tcW w:w="535" w:type="dxa"/>
            <w:tcBorders>
              <w:top w:val="single" w:sz="4" w:space="0" w:color="auto"/>
              <w:left w:val="nil"/>
              <w:bottom w:val="single" w:sz="4" w:space="0" w:color="auto"/>
              <w:right w:val="single" w:sz="4" w:space="0" w:color="auto"/>
            </w:tcBorders>
          </w:tcPr>
          <w:p w14:paraId="30835E4B"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3AC53FEF" w14:textId="77777777" w:rsidR="006B6AD8" w:rsidRPr="00A67F38" w:rsidRDefault="006B6AD8" w:rsidP="0082111F">
            <w:pPr>
              <w:jc w:val="center"/>
              <w:rPr>
                <w:color w:val="000000" w:themeColor="text1"/>
                <w:sz w:val="20"/>
                <w:szCs w:val="20"/>
              </w:rPr>
            </w:pPr>
            <w:r w:rsidRPr="00A67F38">
              <w:rPr>
                <w:color w:val="000000" w:themeColor="text1"/>
                <w:sz w:val="20"/>
                <w:szCs w:val="20"/>
              </w:rPr>
              <w:t>25.33</w:t>
            </w:r>
          </w:p>
        </w:tc>
      </w:tr>
      <w:tr w:rsidR="00887568" w:rsidRPr="00A67F38" w14:paraId="465CD4B7" w14:textId="77777777" w:rsidTr="0082111F">
        <w:trPr>
          <w:trHeight w:val="139"/>
        </w:trPr>
        <w:tc>
          <w:tcPr>
            <w:tcW w:w="802" w:type="dxa"/>
            <w:tcBorders>
              <w:bottom w:val="single" w:sz="4" w:space="0" w:color="auto"/>
            </w:tcBorders>
          </w:tcPr>
          <w:p w14:paraId="78A878FD"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1996</w:t>
            </w:r>
          </w:p>
        </w:tc>
        <w:tc>
          <w:tcPr>
            <w:tcW w:w="891" w:type="dxa"/>
            <w:tcBorders>
              <w:bottom w:val="single" w:sz="4" w:space="0" w:color="auto"/>
            </w:tcBorders>
          </w:tcPr>
          <w:p w14:paraId="723684BB"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40.07</w:t>
            </w:r>
          </w:p>
        </w:tc>
        <w:tc>
          <w:tcPr>
            <w:tcW w:w="1336" w:type="dxa"/>
            <w:tcBorders>
              <w:bottom w:val="single" w:sz="4" w:space="0" w:color="auto"/>
            </w:tcBorders>
          </w:tcPr>
          <w:p w14:paraId="308EFFD5"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13800</w:t>
            </w:r>
          </w:p>
        </w:tc>
        <w:tc>
          <w:tcPr>
            <w:tcW w:w="1381" w:type="dxa"/>
            <w:tcBorders>
              <w:bottom w:val="single" w:sz="4" w:space="0" w:color="auto"/>
              <w:right w:val="single" w:sz="4" w:space="0" w:color="auto"/>
            </w:tcBorders>
          </w:tcPr>
          <w:p w14:paraId="78F958A1"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5530</w:t>
            </w:r>
          </w:p>
        </w:tc>
        <w:tc>
          <w:tcPr>
            <w:tcW w:w="1651" w:type="dxa"/>
            <w:tcBorders>
              <w:left w:val="single" w:sz="4" w:space="0" w:color="auto"/>
              <w:bottom w:val="single" w:sz="4" w:space="0" w:color="auto"/>
              <w:right w:val="nil"/>
            </w:tcBorders>
          </w:tcPr>
          <w:p w14:paraId="10CA18EB"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1.37</w:t>
            </w:r>
          </w:p>
        </w:tc>
        <w:tc>
          <w:tcPr>
            <w:tcW w:w="1604" w:type="dxa"/>
            <w:tcBorders>
              <w:left w:val="single" w:sz="4" w:space="0" w:color="auto"/>
              <w:bottom w:val="single" w:sz="4" w:space="0" w:color="auto"/>
              <w:right w:val="nil"/>
            </w:tcBorders>
          </w:tcPr>
          <w:p w14:paraId="342AAFBC" w14:textId="77777777" w:rsidR="006B6AD8" w:rsidRPr="00A67F38" w:rsidRDefault="006B6AD8" w:rsidP="0082111F">
            <w:pPr>
              <w:jc w:val="center"/>
              <w:rPr>
                <w:color w:val="000000" w:themeColor="text1"/>
                <w:sz w:val="20"/>
                <w:szCs w:val="20"/>
              </w:rPr>
            </w:pPr>
            <w:r w:rsidRPr="00A67F38">
              <w:rPr>
                <w:color w:val="000000" w:themeColor="text1"/>
                <w:sz w:val="20"/>
                <w:szCs w:val="20"/>
              </w:rPr>
              <w:t>5478.44</w:t>
            </w:r>
          </w:p>
        </w:tc>
        <w:tc>
          <w:tcPr>
            <w:tcW w:w="535" w:type="dxa"/>
            <w:tcBorders>
              <w:top w:val="single" w:sz="4" w:space="0" w:color="auto"/>
              <w:left w:val="nil"/>
              <w:bottom w:val="single" w:sz="4" w:space="0" w:color="auto"/>
              <w:right w:val="single" w:sz="4" w:space="0" w:color="auto"/>
            </w:tcBorders>
          </w:tcPr>
          <w:p w14:paraId="64A49A42"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19BEC373" w14:textId="77777777" w:rsidR="006B6AD8" w:rsidRPr="00A67F38" w:rsidRDefault="006B6AD8" w:rsidP="0082111F">
            <w:pPr>
              <w:jc w:val="center"/>
              <w:rPr>
                <w:color w:val="000000" w:themeColor="text1"/>
                <w:sz w:val="20"/>
                <w:szCs w:val="20"/>
              </w:rPr>
            </w:pPr>
            <w:r w:rsidRPr="00A67F38">
              <w:rPr>
                <w:color w:val="000000" w:themeColor="text1"/>
                <w:sz w:val="20"/>
                <w:szCs w:val="20"/>
              </w:rPr>
              <w:t>51.56</w:t>
            </w:r>
          </w:p>
        </w:tc>
      </w:tr>
      <w:tr w:rsidR="00887568" w:rsidRPr="00A67F38" w14:paraId="4C8B62A0" w14:textId="77777777" w:rsidTr="0082111F">
        <w:trPr>
          <w:trHeight w:val="139"/>
        </w:trPr>
        <w:tc>
          <w:tcPr>
            <w:tcW w:w="802" w:type="dxa"/>
            <w:tcBorders>
              <w:bottom w:val="single" w:sz="4" w:space="0" w:color="auto"/>
            </w:tcBorders>
          </w:tcPr>
          <w:p w14:paraId="72594453"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1997</w:t>
            </w:r>
          </w:p>
        </w:tc>
        <w:tc>
          <w:tcPr>
            <w:tcW w:w="891" w:type="dxa"/>
            <w:tcBorders>
              <w:bottom w:val="single" w:sz="4" w:space="0" w:color="auto"/>
            </w:tcBorders>
          </w:tcPr>
          <w:p w14:paraId="659F07CE"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39.95</w:t>
            </w:r>
          </w:p>
        </w:tc>
        <w:tc>
          <w:tcPr>
            <w:tcW w:w="1336" w:type="dxa"/>
            <w:tcBorders>
              <w:bottom w:val="single" w:sz="4" w:space="0" w:color="auto"/>
            </w:tcBorders>
          </w:tcPr>
          <w:p w14:paraId="20FB5A28"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14040</w:t>
            </w:r>
          </w:p>
        </w:tc>
        <w:tc>
          <w:tcPr>
            <w:tcW w:w="1381" w:type="dxa"/>
            <w:tcBorders>
              <w:bottom w:val="single" w:sz="4" w:space="0" w:color="auto"/>
              <w:right w:val="single" w:sz="4" w:space="0" w:color="auto"/>
            </w:tcBorders>
          </w:tcPr>
          <w:p w14:paraId="65BE6EB8"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5609</w:t>
            </w:r>
          </w:p>
        </w:tc>
        <w:tc>
          <w:tcPr>
            <w:tcW w:w="1651" w:type="dxa"/>
            <w:tcBorders>
              <w:left w:val="single" w:sz="4" w:space="0" w:color="auto"/>
              <w:bottom w:val="single" w:sz="4" w:space="0" w:color="auto"/>
              <w:right w:val="nil"/>
            </w:tcBorders>
          </w:tcPr>
          <w:p w14:paraId="55AA7FE7"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3.39</w:t>
            </w:r>
          </w:p>
        </w:tc>
        <w:tc>
          <w:tcPr>
            <w:tcW w:w="1604" w:type="dxa"/>
            <w:tcBorders>
              <w:left w:val="single" w:sz="4" w:space="0" w:color="auto"/>
              <w:bottom w:val="single" w:sz="4" w:space="0" w:color="auto"/>
              <w:right w:val="nil"/>
            </w:tcBorders>
          </w:tcPr>
          <w:p w14:paraId="08F9B2D0" w14:textId="77777777" w:rsidR="006B6AD8" w:rsidRPr="00A67F38" w:rsidRDefault="008419C8" w:rsidP="0082111F">
            <w:pPr>
              <w:jc w:val="center"/>
              <w:rPr>
                <w:color w:val="000000" w:themeColor="text1"/>
                <w:sz w:val="20"/>
                <w:szCs w:val="20"/>
              </w:rPr>
            </w:pPr>
            <w:r>
              <w:rPr>
                <w:color w:val="000000" w:themeColor="text1"/>
                <w:sz w:val="20"/>
                <w:szCs w:val="20"/>
              </w:rPr>
              <w:t>5609.22</w:t>
            </w:r>
          </w:p>
        </w:tc>
        <w:tc>
          <w:tcPr>
            <w:tcW w:w="535" w:type="dxa"/>
            <w:tcBorders>
              <w:top w:val="single" w:sz="4" w:space="0" w:color="auto"/>
              <w:left w:val="nil"/>
              <w:bottom w:val="single" w:sz="4" w:space="0" w:color="auto"/>
              <w:right w:val="single" w:sz="4" w:space="0" w:color="auto"/>
            </w:tcBorders>
          </w:tcPr>
          <w:p w14:paraId="6E4D8CA2"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30191019" w14:textId="77777777" w:rsidR="006B6AD8" w:rsidRPr="00A67F38" w:rsidRDefault="006B6AD8" w:rsidP="0082111F">
            <w:pPr>
              <w:jc w:val="center"/>
              <w:rPr>
                <w:color w:val="000000" w:themeColor="text1"/>
                <w:sz w:val="20"/>
                <w:szCs w:val="20"/>
              </w:rPr>
            </w:pPr>
            <w:r w:rsidRPr="00A67F38">
              <w:rPr>
                <w:color w:val="000000" w:themeColor="text1"/>
                <w:sz w:val="20"/>
                <w:szCs w:val="20"/>
              </w:rPr>
              <w:t>-0.22</w:t>
            </w:r>
          </w:p>
        </w:tc>
      </w:tr>
      <w:tr w:rsidR="00887568" w:rsidRPr="00A67F38" w14:paraId="4F8197FA" w14:textId="77777777" w:rsidTr="0082111F">
        <w:trPr>
          <w:trHeight w:val="139"/>
        </w:trPr>
        <w:tc>
          <w:tcPr>
            <w:tcW w:w="802" w:type="dxa"/>
            <w:tcBorders>
              <w:bottom w:val="single" w:sz="4" w:space="0" w:color="auto"/>
            </w:tcBorders>
          </w:tcPr>
          <w:p w14:paraId="1A538246"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1998</w:t>
            </w:r>
          </w:p>
        </w:tc>
        <w:tc>
          <w:tcPr>
            <w:tcW w:w="891" w:type="dxa"/>
            <w:tcBorders>
              <w:bottom w:val="single" w:sz="4" w:space="0" w:color="auto"/>
            </w:tcBorders>
          </w:tcPr>
          <w:p w14:paraId="10B96B5C"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40.38</w:t>
            </w:r>
          </w:p>
        </w:tc>
        <w:tc>
          <w:tcPr>
            <w:tcW w:w="1336" w:type="dxa"/>
            <w:tcBorders>
              <w:bottom w:val="single" w:sz="4" w:space="0" w:color="auto"/>
            </w:tcBorders>
          </w:tcPr>
          <w:p w14:paraId="3458572E"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14360</w:t>
            </w:r>
          </w:p>
        </w:tc>
        <w:tc>
          <w:tcPr>
            <w:tcW w:w="1381" w:type="dxa"/>
            <w:tcBorders>
              <w:bottom w:val="single" w:sz="4" w:space="0" w:color="auto"/>
              <w:right w:val="single" w:sz="4" w:space="0" w:color="auto"/>
            </w:tcBorders>
          </w:tcPr>
          <w:p w14:paraId="3C154060"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5799</w:t>
            </w:r>
          </w:p>
        </w:tc>
        <w:tc>
          <w:tcPr>
            <w:tcW w:w="1651" w:type="dxa"/>
            <w:tcBorders>
              <w:left w:val="single" w:sz="4" w:space="0" w:color="auto"/>
              <w:bottom w:val="single" w:sz="4" w:space="0" w:color="auto"/>
              <w:right w:val="nil"/>
            </w:tcBorders>
          </w:tcPr>
          <w:p w14:paraId="1653735A"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1.47</w:t>
            </w:r>
          </w:p>
        </w:tc>
        <w:tc>
          <w:tcPr>
            <w:tcW w:w="1604" w:type="dxa"/>
            <w:tcBorders>
              <w:left w:val="single" w:sz="4" w:space="0" w:color="auto"/>
              <w:bottom w:val="single" w:sz="4" w:space="0" w:color="auto"/>
              <w:right w:val="nil"/>
            </w:tcBorders>
          </w:tcPr>
          <w:p w14:paraId="1A7CFA52" w14:textId="77777777" w:rsidR="006B6AD8" w:rsidRPr="00A67F38" w:rsidRDefault="008419C8" w:rsidP="0082111F">
            <w:pPr>
              <w:jc w:val="center"/>
              <w:rPr>
                <w:color w:val="000000" w:themeColor="text1"/>
                <w:sz w:val="20"/>
                <w:szCs w:val="20"/>
              </w:rPr>
            </w:pPr>
            <w:r>
              <w:rPr>
                <w:color w:val="000000" w:themeColor="text1"/>
                <w:sz w:val="20"/>
                <w:szCs w:val="20"/>
              </w:rPr>
              <w:t>5753.78</w:t>
            </w:r>
          </w:p>
        </w:tc>
        <w:tc>
          <w:tcPr>
            <w:tcW w:w="535" w:type="dxa"/>
            <w:tcBorders>
              <w:top w:val="single" w:sz="4" w:space="0" w:color="auto"/>
              <w:left w:val="nil"/>
              <w:bottom w:val="single" w:sz="4" w:space="0" w:color="auto"/>
              <w:right w:val="single" w:sz="4" w:space="0" w:color="auto"/>
            </w:tcBorders>
          </w:tcPr>
          <w:p w14:paraId="479BDF39"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41CF79D4" w14:textId="77777777" w:rsidR="006B6AD8" w:rsidRPr="00A67F38" w:rsidRDefault="006B6AD8" w:rsidP="0082111F">
            <w:pPr>
              <w:jc w:val="center"/>
              <w:rPr>
                <w:color w:val="000000" w:themeColor="text1"/>
                <w:sz w:val="20"/>
                <w:szCs w:val="20"/>
              </w:rPr>
            </w:pPr>
            <w:r w:rsidRPr="00A67F38">
              <w:rPr>
                <w:color w:val="000000" w:themeColor="text1"/>
                <w:sz w:val="20"/>
                <w:szCs w:val="20"/>
              </w:rPr>
              <w:t>45.22</w:t>
            </w:r>
          </w:p>
        </w:tc>
      </w:tr>
      <w:tr w:rsidR="00887568" w:rsidRPr="00A67F38" w14:paraId="33540B5E" w14:textId="77777777" w:rsidTr="0082111F">
        <w:trPr>
          <w:trHeight w:val="139"/>
        </w:trPr>
        <w:tc>
          <w:tcPr>
            <w:tcW w:w="802" w:type="dxa"/>
            <w:tcBorders>
              <w:bottom w:val="single" w:sz="4" w:space="0" w:color="auto"/>
            </w:tcBorders>
          </w:tcPr>
          <w:p w14:paraId="39B0231E"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1999</w:t>
            </w:r>
          </w:p>
        </w:tc>
        <w:tc>
          <w:tcPr>
            <w:tcW w:w="891" w:type="dxa"/>
            <w:tcBorders>
              <w:bottom w:val="single" w:sz="4" w:space="0" w:color="auto"/>
            </w:tcBorders>
          </w:tcPr>
          <w:p w14:paraId="354012CF"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40.3</w:t>
            </w:r>
          </w:p>
        </w:tc>
        <w:tc>
          <w:tcPr>
            <w:tcW w:w="1336" w:type="dxa"/>
            <w:tcBorders>
              <w:bottom w:val="single" w:sz="4" w:space="0" w:color="auto"/>
            </w:tcBorders>
          </w:tcPr>
          <w:p w14:paraId="761E7207"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14600</w:t>
            </w:r>
          </w:p>
        </w:tc>
        <w:tc>
          <w:tcPr>
            <w:tcW w:w="1381" w:type="dxa"/>
            <w:tcBorders>
              <w:bottom w:val="single" w:sz="4" w:space="0" w:color="auto"/>
              <w:right w:val="single" w:sz="4" w:space="0" w:color="auto"/>
            </w:tcBorders>
          </w:tcPr>
          <w:p w14:paraId="090966CA"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5884</w:t>
            </w:r>
          </w:p>
        </w:tc>
        <w:tc>
          <w:tcPr>
            <w:tcW w:w="1651" w:type="dxa"/>
            <w:tcBorders>
              <w:left w:val="single" w:sz="4" w:space="0" w:color="auto"/>
              <w:bottom w:val="single" w:sz="4" w:space="0" w:color="auto"/>
              <w:right w:val="nil"/>
            </w:tcBorders>
          </w:tcPr>
          <w:p w14:paraId="48B90AC1"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1.43</w:t>
            </w:r>
          </w:p>
        </w:tc>
        <w:tc>
          <w:tcPr>
            <w:tcW w:w="1604" w:type="dxa"/>
            <w:tcBorders>
              <w:left w:val="single" w:sz="4" w:space="0" w:color="auto"/>
              <w:bottom w:val="single" w:sz="4" w:space="0" w:color="auto"/>
              <w:right w:val="nil"/>
            </w:tcBorders>
          </w:tcPr>
          <w:p w14:paraId="7DDE70DE" w14:textId="77777777" w:rsidR="006B6AD8" w:rsidRPr="00A67F38" w:rsidRDefault="008419C8" w:rsidP="0082111F">
            <w:pPr>
              <w:jc w:val="center"/>
              <w:rPr>
                <w:color w:val="000000" w:themeColor="text1"/>
                <w:sz w:val="20"/>
                <w:szCs w:val="20"/>
              </w:rPr>
            </w:pPr>
            <w:r>
              <w:rPr>
                <w:color w:val="000000" w:themeColor="text1"/>
                <w:sz w:val="20"/>
                <w:szCs w:val="20"/>
              </w:rPr>
              <w:t>5974.67</w:t>
            </w:r>
          </w:p>
        </w:tc>
        <w:tc>
          <w:tcPr>
            <w:tcW w:w="535" w:type="dxa"/>
            <w:tcBorders>
              <w:top w:val="single" w:sz="4" w:space="0" w:color="auto"/>
              <w:left w:val="nil"/>
              <w:bottom w:val="single" w:sz="4" w:space="0" w:color="auto"/>
              <w:right w:val="single" w:sz="4" w:space="0" w:color="auto"/>
            </w:tcBorders>
          </w:tcPr>
          <w:p w14:paraId="599CDDEC"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71FA8883" w14:textId="77777777" w:rsidR="006B6AD8" w:rsidRPr="00A67F38" w:rsidRDefault="006B6AD8" w:rsidP="0082111F">
            <w:pPr>
              <w:jc w:val="center"/>
              <w:rPr>
                <w:color w:val="000000" w:themeColor="text1"/>
                <w:sz w:val="20"/>
                <w:szCs w:val="20"/>
              </w:rPr>
            </w:pPr>
            <w:r w:rsidRPr="00A67F38">
              <w:rPr>
                <w:color w:val="000000" w:themeColor="text1"/>
                <w:sz w:val="20"/>
                <w:szCs w:val="20"/>
              </w:rPr>
              <w:t>-90.67</w:t>
            </w:r>
          </w:p>
        </w:tc>
      </w:tr>
      <w:tr w:rsidR="00887568" w:rsidRPr="00A67F38" w14:paraId="545EADB0" w14:textId="77777777" w:rsidTr="0082111F">
        <w:trPr>
          <w:trHeight w:val="139"/>
        </w:trPr>
        <w:tc>
          <w:tcPr>
            <w:tcW w:w="802" w:type="dxa"/>
            <w:tcBorders>
              <w:bottom w:val="single" w:sz="4" w:space="0" w:color="auto"/>
            </w:tcBorders>
          </w:tcPr>
          <w:p w14:paraId="3A44DFB4"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2000</w:t>
            </w:r>
          </w:p>
        </w:tc>
        <w:tc>
          <w:tcPr>
            <w:tcW w:w="891" w:type="dxa"/>
            <w:tcBorders>
              <w:bottom w:val="single" w:sz="4" w:space="0" w:color="auto"/>
            </w:tcBorders>
          </w:tcPr>
          <w:p w14:paraId="7F46CBF6"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39.84</w:t>
            </w:r>
          </w:p>
        </w:tc>
        <w:tc>
          <w:tcPr>
            <w:tcW w:w="1336" w:type="dxa"/>
            <w:tcBorders>
              <w:bottom w:val="single" w:sz="4" w:space="0" w:color="auto"/>
            </w:tcBorders>
          </w:tcPr>
          <w:p w14:paraId="5A0B98D2"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14980</w:t>
            </w:r>
          </w:p>
        </w:tc>
        <w:tc>
          <w:tcPr>
            <w:tcW w:w="1381" w:type="dxa"/>
            <w:tcBorders>
              <w:bottom w:val="single" w:sz="4" w:space="0" w:color="auto"/>
              <w:right w:val="single" w:sz="4" w:space="0" w:color="auto"/>
            </w:tcBorders>
          </w:tcPr>
          <w:p w14:paraId="09F2A541"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5968</w:t>
            </w:r>
          </w:p>
        </w:tc>
        <w:tc>
          <w:tcPr>
            <w:tcW w:w="1651" w:type="dxa"/>
            <w:tcBorders>
              <w:left w:val="single" w:sz="4" w:space="0" w:color="auto"/>
              <w:bottom w:val="single" w:sz="4" w:space="0" w:color="auto"/>
              <w:right w:val="nil"/>
            </w:tcBorders>
          </w:tcPr>
          <w:p w14:paraId="3CBA76D8"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1.69</w:t>
            </w:r>
          </w:p>
        </w:tc>
        <w:tc>
          <w:tcPr>
            <w:tcW w:w="1604" w:type="dxa"/>
            <w:tcBorders>
              <w:left w:val="single" w:sz="4" w:space="0" w:color="auto"/>
              <w:bottom w:val="single" w:sz="4" w:space="0" w:color="auto"/>
              <w:right w:val="nil"/>
            </w:tcBorders>
          </w:tcPr>
          <w:p w14:paraId="586E1A34" w14:textId="77777777" w:rsidR="006B6AD8" w:rsidRPr="00A67F38" w:rsidRDefault="008419C8" w:rsidP="0082111F">
            <w:pPr>
              <w:jc w:val="center"/>
              <w:rPr>
                <w:color w:val="000000" w:themeColor="text1"/>
                <w:sz w:val="20"/>
                <w:szCs w:val="20"/>
              </w:rPr>
            </w:pPr>
            <w:r>
              <w:rPr>
                <w:color w:val="000000" w:themeColor="text1"/>
                <w:sz w:val="20"/>
                <w:szCs w:val="20"/>
              </w:rPr>
              <w:t>6262.33</w:t>
            </w:r>
          </w:p>
        </w:tc>
        <w:tc>
          <w:tcPr>
            <w:tcW w:w="535" w:type="dxa"/>
            <w:tcBorders>
              <w:top w:val="single" w:sz="4" w:space="0" w:color="auto"/>
              <w:left w:val="nil"/>
              <w:bottom w:val="single" w:sz="4" w:space="0" w:color="auto"/>
              <w:right w:val="single" w:sz="4" w:space="0" w:color="auto"/>
            </w:tcBorders>
          </w:tcPr>
          <w:p w14:paraId="12F01FA6"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20FAE638" w14:textId="77777777" w:rsidR="006B6AD8" w:rsidRPr="00A67F38" w:rsidRDefault="006B6AD8" w:rsidP="0082111F">
            <w:pPr>
              <w:jc w:val="center"/>
              <w:rPr>
                <w:color w:val="000000" w:themeColor="text1"/>
                <w:sz w:val="20"/>
                <w:szCs w:val="20"/>
              </w:rPr>
            </w:pPr>
            <w:r w:rsidRPr="00A67F38">
              <w:rPr>
                <w:color w:val="000000" w:themeColor="text1"/>
                <w:sz w:val="20"/>
                <w:szCs w:val="20"/>
              </w:rPr>
              <w:t>-294.33</w:t>
            </w:r>
          </w:p>
        </w:tc>
      </w:tr>
      <w:tr w:rsidR="00887568" w:rsidRPr="00A67F38" w14:paraId="7D979196" w14:textId="77777777" w:rsidTr="0082111F">
        <w:trPr>
          <w:trHeight w:val="199"/>
        </w:trPr>
        <w:tc>
          <w:tcPr>
            <w:tcW w:w="802" w:type="dxa"/>
            <w:tcBorders>
              <w:top w:val="single" w:sz="4" w:space="0" w:color="auto"/>
              <w:bottom w:val="single" w:sz="4" w:space="0" w:color="auto"/>
            </w:tcBorders>
          </w:tcPr>
          <w:p w14:paraId="4F3A0D62"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2001</w:t>
            </w:r>
          </w:p>
        </w:tc>
        <w:tc>
          <w:tcPr>
            <w:tcW w:w="891" w:type="dxa"/>
            <w:tcBorders>
              <w:top w:val="single" w:sz="4" w:space="0" w:color="auto"/>
              <w:bottom w:val="single" w:sz="4" w:space="0" w:color="auto"/>
            </w:tcBorders>
          </w:tcPr>
          <w:p w14:paraId="01203748"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39.7</w:t>
            </w:r>
          </w:p>
        </w:tc>
        <w:tc>
          <w:tcPr>
            <w:tcW w:w="1336" w:type="dxa"/>
            <w:tcBorders>
              <w:top w:val="single" w:sz="4" w:space="0" w:color="auto"/>
              <w:bottom w:val="single" w:sz="4" w:space="0" w:color="auto"/>
            </w:tcBorders>
          </w:tcPr>
          <w:p w14:paraId="4BF56DFE"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15287</w:t>
            </w:r>
          </w:p>
        </w:tc>
        <w:tc>
          <w:tcPr>
            <w:tcW w:w="1381" w:type="dxa"/>
            <w:tcBorders>
              <w:top w:val="single" w:sz="4" w:space="0" w:color="auto"/>
              <w:bottom w:val="single" w:sz="4" w:space="0" w:color="auto"/>
              <w:right w:val="single" w:sz="4" w:space="0" w:color="auto"/>
            </w:tcBorders>
          </w:tcPr>
          <w:p w14:paraId="218982E4"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6069</w:t>
            </w:r>
          </w:p>
        </w:tc>
        <w:tc>
          <w:tcPr>
            <w:tcW w:w="1651" w:type="dxa"/>
            <w:tcBorders>
              <w:top w:val="single" w:sz="4" w:space="0" w:color="auto"/>
              <w:left w:val="single" w:sz="4" w:space="0" w:color="auto"/>
              <w:bottom w:val="single" w:sz="4" w:space="0" w:color="auto"/>
              <w:right w:val="nil"/>
            </w:tcBorders>
          </w:tcPr>
          <w:p w14:paraId="336F2D0F"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4</w:t>
            </w:r>
          </w:p>
        </w:tc>
        <w:tc>
          <w:tcPr>
            <w:tcW w:w="1604" w:type="dxa"/>
            <w:tcBorders>
              <w:top w:val="single" w:sz="4" w:space="0" w:color="auto"/>
              <w:left w:val="single" w:sz="4" w:space="0" w:color="auto"/>
              <w:bottom w:val="single" w:sz="4" w:space="0" w:color="auto"/>
              <w:right w:val="nil"/>
            </w:tcBorders>
          </w:tcPr>
          <w:p w14:paraId="4B20762F" w14:textId="77777777" w:rsidR="006B6AD8" w:rsidRPr="00A67F38" w:rsidRDefault="008419C8" w:rsidP="0082111F">
            <w:pPr>
              <w:jc w:val="center"/>
              <w:rPr>
                <w:color w:val="000000" w:themeColor="text1"/>
                <w:sz w:val="20"/>
                <w:szCs w:val="20"/>
              </w:rPr>
            </w:pPr>
            <w:r>
              <w:rPr>
                <w:color w:val="000000" w:themeColor="text1"/>
                <w:sz w:val="20"/>
                <w:szCs w:val="20"/>
              </w:rPr>
              <w:t>6560.11</w:t>
            </w:r>
          </w:p>
        </w:tc>
        <w:tc>
          <w:tcPr>
            <w:tcW w:w="535" w:type="dxa"/>
            <w:tcBorders>
              <w:top w:val="single" w:sz="4" w:space="0" w:color="auto"/>
              <w:left w:val="nil"/>
              <w:bottom w:val="single" w:sz="4" w:space="0" w:color="auto"/>
              <w:right w:val="single" w:sz="4" w:space="0" w:color="auto"/>
            </w:tcBorders>
          </w:tcPr>
          <w:p w14:paraId="3762CBD5"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64326D4A" w14:textId="77777777" w:rsidR="006B6AD8" w:rsidRPr="00A67F38" w:rsidRDefault="006B6AD8" w:rsidP="0082111F">
            <w:pPr>
              <w:jc w:val="center"/>
              <w:rPr>
                <w:color w:val="000000" w:themeColor="text1"/>
                <w:sz w:val="20"/>
                <w:szCs w:val="20"/>
              </w:rPr>
            </w:pPr>
            <w:r w:rsidRPr="00A67F38">
              <w:rPr>
                <w:color w:val="000000" w:themeColor="text1"/>
                <w:sz w:val="20"/>
                <w:szCs w:val="20"/>
              </w:rPr>
              <w:t>-491.11</w:t>
            </w:r>
          </w:p>
        </w:tc>
      </w:tr>
      <w:tr w:rsidR="00887568" w:rsidRPr="00A67F38" w14:paraId="72987CA9" w14:textId="77777777" w:rsidTr="0082111F">
        <w:trPr>
          <w:trHeight w:val="212"/>
        </w:trPr>
        <w:tc>
          <w:tcPr>
            <w:tcW w:w="802" w:type="dxa"/>
            <w:tcBorders>
              <w:top w:val="single" w:sz="4" w:space="0" w:color="auto"/>
              <w:bottom w:val="single" w:sz="4" w:space="0" w:color="auto"/>
            </w:tcBorders>
          </w:tcPr>
          <w:p w14:paraId="3AB9224D"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2002</w:t>
            </w:r>
          </w:p>
        </w:tc>
        <w:tc>
          <w:tcPr>
            <w:tcW w:w="891" w:type="dxa"/>
            <w:tcBorders>
              <w:top w:val="single" w:sz="4" w:space="0" w:color="auto"/>
              <w:bottom w:val="single" w:sz="4" w:space="0" w:color="auto"/>
            </w:tcBorders>
          </w:tcPr>
          <w:p w14:paraId="6B65B2B8"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40.15</w:t>
            </w:r>
          </w:p>
        </w:tc>
        <w:tc>
          <w:tcPr>
            <w:tcW w:w="1336" w:type="dxa"/>
            <w:tcBorders>
              <w:top w:val="single" w:sz="4" w:space="0" w:color="auto"/>
              <w:bottom w:val="single" w:sz="4" w:space="0" w:color="auto"/>
            </w:tcBorders>
          </w:tcPr>
          <w:p w14:paraId="37863960"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15720</w:t>
            </w:r>
          </w:p>
        </w:tc>
        <w:tc>
          <w:tcPr>
            <w:tcW w:w="1381" w:type="dxa"/>
            <w:tcBorders>
              <w:top w:val="single" w:sz="4" w:space="0" w:color="auto"/>
              <w:bottom w:val="single" w:sz="4" w:space="0" w:color="auto"/>
              <w:right w:val="single" w:sz="4" w:space="0" w:color="auto"/>
            </w:tcBorders>
          </w:tcPr>
          <w:p w14:paraId="3353ED85"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6312</w:t>
            </w:r>
          </w:p>
        </w:tc>
        <w:tc>
          <w:tcPr>
            <w:tcW w:w="1651" w:type="dxa"/>
            <w:tcBorders>
              <w:top w:val="single" w:sz="4" w:space="0" w:color="auto"/>
              <w:left w:val="single" w:sz="4" w:space="0" w:color="auto"/>
              <w:bottom w:val="single" w:sz="4" w:space="0" w:color="auto"/>
              <w:right w:val="nil"/>
            </w:tcBorders>
          </w:tcPr>
          <w:p w14:paraId="35CBD265"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4</w:t>
            </w:r>
          </w:p>
        </w:tc>
        <w:tc>
          <w:tcPr>
            <w:tcW w:w="1604" w:type="dxa"/>
            <w:tcBorders>
              <w:top w:val="single" w:sz="4" w:space="0" w:color="auto"/>
              <w:left w:val="single" w:sz="4" w:space="0" w:color="auto"/>
              <w:bottom w:val="single" w:sz="4" w:space="0" w:color="auto"/>
              <w:right w:val="nil"/>
            </w:tcBorders>
          </w:tcPr>
          <w:p w14:paraId="675346AE" w14:textId="77777777" w:rsidR="006B6AD8" w:rsidRPr="00A67F38" w:rsidRDefault="008419C8" w:rsidP="0082111F">
            <w:pPr>
              <w:jc w:val="center"/>
              <w:rPr>
                <w:color w:val="000000" w:themeColor="text1"/>
                <w:sz w:val="20"/>
                <w:szCs w:val="20"/>
              </w:rPr>
            </w:pPr>
            <w:r>
              <w:rPr>
                <w:color w:val="000000" w:themeColor="text1"/>
                <w:sz w:val="20"/>
                <w:szCs w:val="20"/>
              </w:rPr>
              <w:t>6884.67</w:t>
            </w:r>
          </w:p>
        </w:tc>
        <w:tc>
          <w:tcPr>
            <w:tcW w:w="535" w:type="dxa"/>
            <w:tcBorders>
              <w:top w:val="single" w:sz="4" w:space="0" w:color="auto"/>
              <w:left w:val="nil"/>
              <w:bottom w:val="single" w:sz="4" w:space="0" w:color="auto"/>
              <w:right w:val="single" w:sz="4" w:space="0" w:color="auto"/>
            </w:tcBorders>
          </w:tcPr>
          <w:p w14:paraId="00CB60D3"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154E2970" w14:textId="77777777" w:rsidR="006B6AD8" w:rsidRPr="00A67F38" w:rsidRDefault="006B6AD8" w:rsidP="0082111F">
            <w:pPr>
              <w:jc w:val="center"/>
              <w:rPr>
                <w:color w:val="000000" w:themeColor="text1"/>
                <w:sz w:val="20"/>
                <w:szCs w:val="20"/>
              </w:rPr>
            </w:pPr>
            <w:r w:rsidRPr="00A67F38">
              <w:rPr>
                <w:color w:val="000000" w:themeColor="text1"/>
                <w:sz w:val="20"/>
                <w:szCs w:val="20"/>
              </w:rPr>
              <w:t>-572.67</w:t>
            </w:r>
          </w:p>
        </w:tc>
      </w:tr>
      <w:tr w:rsidR="00887568" w:rsidRPr="00A67F38" w14:paraId="36EA2603" w14:textId="77777777" w:rsidTr="0082111F">
        <w:trPr>
          <w:trHeight w:val="200"/>
        </w:trPr>
        <w:tc>
          <w:tcPr>
            <w:tcW w:w="802" w:type="dxa"/>
            <w:tcBorders>
              <w:top w:val="single" w:sz="4" w:space="0" w:color="auto"/>
              <w:bottom w:val="single" w:sz="4" w:space="0" w:color="auto"/>
            </w:tcBorders>
          </w:tcPr>
          <w:p w14:paraId="5EF355F8"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2003</w:t>
            </w:r>
          </w:p>
        </w:tc>
        <w:tc>
          <w:tcPr>
            <w:tcW w:w="891" w:type="dxa"/>
            <w:tcBorders>
              <w:top w:val="single" w:sz="4" w:space="0" w:color="auto"/>
              <w:bottom w:val="single" w:sz="4" w:space="0" w:color="auto"/>
            </w:tcBorders>
          </w:tcPr>
          <w:p w14:paraId="3835E2FC"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44.88</w:t>
            </w:r>
          </w:p>
        </w:tc>
        <w:tc>
          <w:tcPr>
            <w:tcW w:w="1336" w:type="dxa"/>
            <w:tcBorders>
              <w:top w:val="single" w:sz="4" w:space="0" w:color="auto"/>
              <w:bottom w:val="single" w:sz="4" w:space="0" w:color="auto"/>
            </w:tcBorders>
          </w:tcPr>
          <w:p w14:paraId="0651B9DD"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16170</w:t>
            </w:r>
          </w:p>
        </w:tc>
        <w:tc>
          <w:tcPr>
            <w:tcW w:w="1381" w:type="dxa"/>
            <w:tcBorders>
              <w:top w:val="single" w:sz="4" w:space="0" w:color="auto"/>
              <w:bottom w:val="single" w:sz="4" w:space="0" w:color="auto"/>
              <w:right w:val="single" w:sz="4" w:space="0" w:color="auto"/>
            </w:tcBorders>
          </w:tcPr>
          <w:p w14:paraId="0853FE5F"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7257</w:t>
            </w:r>
          </w:p>
        </w:tc>
        <w:tc>
          <w:tcPr>
            <w:tcW w:w="1651" w:type="dxa"/>
            <w:tcBorders>
              <w:top w:val="single" w:sz="4" w:space="0" w:color="auto"/>
              <w:left w:val="single" w:sz="4" w:space="0" w:color="auto"/>
              <w:bottom w:val="single" w:sz="4" w:space="0" w:color="auto"/>
              <w:right w:val="nil"/>
            </w:tcBorders>
          </w:tcPr>
          <w:p w14:paraId="19524700"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14.97</w:t>
            </w:r>
          </w:p>
        </w:tc>
        <w:tc>
          <w:tcPr>
            <w:tcW w:w="1604" w:type="dxa"/>
            <w:tcBorders>
              <w:top w:val="single" w:sz="4" w:space="0" w:color="auto"/>
              <w:left w:val="single" w:sz="4" w:space="0" w:color="auto"/>
              <w:bottom w:val="single" w:sz="4" w:space="0" w:color="auto"/>
              <w:right w:val="nil"/>
            </w:tcBorders>
          </w:tcPr>
          <w:p w14:paraId="047A7F3B" w14:textId="77777777" w:rsidR="006B6AD8" w:rsidRPr="00A67F38" w:rsidRDefault="008419C8" w:rsidP="0082111F">
            <w:pPr>
              <w:jc w:val="center"/>
              <w:rPr>
                <w:color w:val="000000" w:themeColor="text1"/>
                <w:sz w:val="20"/>
                <w:szCs w:val="20"/>
              </w:rPr>
            </w:pPr>
            <w:r>
              <w:rPr>
                <w:color w:val="000000" w:themeColor="text1"/>
                <w:sz w:val="20"/>
                <w:szCs w:val="20"/>
              </w:rPr>
              <w:t>7229.22</w:t>
            </w:r>
          </w:p>
        </w:tc>
        <w:tc>
          <w:tcPr>
            <w:tcW w:w="535" w:type="dxa"/>
            <w:tcBorders>
              <w:top w:val="single" w:sz="4" w:space="0" w:color="auto"/>
              <w:left w:val="nil"/>
              <w:bottom w:val="single" w:sz="4" w:space="0" w:color="auto"/>
              <w:right w:val="single" w:sz="4" w:space="0" w:color="auto"/>
            </w:tcBorders>
          </w:tcPr>
          <w:p w14:paraId="6A6F9EB2"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57280F92" w14:textId="77777777" w:rsidR="006B6AD8" w:rsidRPr="00A67F38" w:rsidRDefault="006B6AD8" w:rsidP="0082111F">
            <w:pPr>
              <w:jc w:val="center"/>
              <w:rPr>
                <w:color w:val="000000" w:themeColor="text1"/>
                <w:sz w:val="20"/>
                <w:szCs w:val="20"/>
              </w:rPr>
            </w:pPr>
            <w:r w:rsidRPr="00A67F38">
              <w:rPr>
                <w:color w:val="000000" w:themeColor="text1"/>
                <w:sz w:val="20"/>
                <w:szCs w:val="20"/>
              </w:rPr>
              <w:t>27.78</w:t>
            </w:r>
          </w:p>
        </w:tc>
      </w:tr>
      <w:tr w:rsidR="00887568" w:rsidRPr="00A67F38" w14:paraId="4EFB557E" w14:textId="77777777" w:rsidTr="0082111F">
        <w:trPr>
          <w:trHeight w:val="212"/>
        </w:trPr>
        <w:tc>
          <w:tcPr>
            <w:tcW w:w="802" w:type="dxa"/>
            <w:tcBorders>
              <w:top w:val="single" w:sz="4" w:space="0" w:color="auto"/>
              <w:bottom w:val="single" w:sz="4" w:space="0" w:color="auto"/>
            </w:tcBorders>
          </w:tcPr>
          <w:p w14:paraId="4FC10FFD"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2004</w:t>
            </w:r>
          </w:p>
        </w:tc>
        <w:tc>
          <w:tcPr>
            <w:tcW w:w="891" w:type="dxa"/>
            <w:tcBorders>
              <w:top w:val="single" w:sz="4" w:space="0" w:color="auto"/>
              <w:bottom w:val="single" w:sz="4" w:space="0" w:color="auto"/>
            </w:tcBorders>
          </w:tcPr>
          <w:p w14:paraId="3C8F4104"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47.40</w:t>
            </w:r>
          </w:p>
        </w:tc>
        <w:tc>
          <w:tcPr>
            <w:tcW w:w="1336" w:type="dxa"/>
            <w:tcBorders>
              <w:top w:val="single" w:sz="4" w:space="0" w:color="auto"/>
              <w:bottom w:val="single" w:sz="4" w:space="0" w:color="auto"/>
            </w:tcBorders>
          </w:tcPr>
          <w:p w14:paraId="5EBE03B4"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16630</w:t>
            </w:r>
          </w:p>
        </w:tc>
        <w:tc>
          <w:tcPr>
            <w:tcW w:w="1381" w:type="dxa"/>
            <w:tcBorders>
              <w:top w:val="single" w:sz="4" w:space="0" w:color="auto"/>
              <w:bottom w:val="single" w:sz="4" w:space="0" w:color="auto"/>
              <w:right w:val="single" w:sz="4" w:space="0" w:color="auto"/>
            </w:tcBorders>
          </w:tcPr>
          <w:p w14:paraId="3AA0F4A5"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7933</w:t>
            </w:r>
          </w:p>
        </w:tc>
        <w:tc>
          <w:tcPr>
            <w:tcW w:w="1651" w:type="dxa"/>
            <w:tcBorders>
              <w:top w:val="single" w:sz="4" w:space="0" w:color="auto"/>
              <w:left w:val="single" w:sz="4" w:space="0" w:color="auto"/>
              <w:bottom w:val="single" w:sz="4" w:space="0" w:color="auto"/>
              <w:right w:val="nil"/>
            </w:tcBorders>
          </w:tcPr>
          <w:p w14:paraId="4BD63921"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9.32</w:t>
            </w:r>
          </w:p>
        </w:tc>
        <w:tc>
          <w:tcPr>
            <w:tcW w:w="1604" w:type="dxa"/>
            <w:tcBorders>
              <w:top w:val="single" w:sz="4" w:space="0" w:color="auto"/>
              <w:left w:val="single" w:sz="4" w:space="0" w:color="auto"/>
              <w:bottom w:val="single" w:sz="4" w:space="0" w:color="auto"/>
              <w:right w:val="nil"/>
            </w:tcBorders>
          </w:tcPr>
          <w:p w14:paraId="745A82FF" w14:textId="77777777" w:rsidR="006B6AD8" w:rsidRPr="00A67F38" w:rsidRDefault="008419C8" w:rsidP="0082111F">
            <w:pPr>
              <w:jc w:val="center"/>
              <w:rPr>
                <w:color w:val="000000" w:themeColor="text1"/>
                <w:sz w:val="20"/>
                <w:szCs w:val="20"/>
              </w:rPr>
            </w:pPr>
            <w:r>
              <w:rPr>
                <w:color w:val="000000" w:themeColor="text1"/>
                <w:sz w:val="20"/>
                <w:szCs w:val="20"/>
              </w:rPr>
              <w:t>7569.89</w:t>
            </w:r>
          </w:p>
        </w:tc>
        <w:tc>
          <w:tcPr>
            <w:tcW w:w="535" w:type="dxa"/>
            <w:tcBorders>
              <w:top w:val="single" w:sz="4" w:space="0" w:color="auto"/>
              <w:left w:val="nil"/>
              <w:bottom w:val="single" w:sz="4" w:space="0" w:color="auto"/>
              <w:right w:val="single" w:sz="4" w:space="0" w:color="auto"/>
            </w:tcBorders>
          </w:tcPr>
          <w:p w14:paraId="4F6072F0"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4226363B" w14:textId="77777777" w:rsidR="006B6AD8" w:rsidRPr="00A67F38" w:rsidRDefault="006B6AD8" w:rsidP="0082111F">
            <w:pPr>
              <w:jc w:val="center"/>
              <w:rPr>
                <w:color w:val="000000" w:themeColor="text1"/>
                <w:sz w:val="20"/>
                <w:szCs w:val="20"/>
              </w:rPr>
            </w:pPr>
            <w:r w:rsidRPr="00A67F38">
              <w:rPr>
                <w:color w:val="000000" w:themeColor="text1"/>
                <w:sz w:val="20"/>
                <w:szCs w:val="20"/>
              </w:rPr>
              <w:t>363.11</w:t>
            </w:r>
          </w:p>
        </w:tc>
      </w:tr>
      <w:tr w:rsidR="00887568" w:rsidRPr="00A67F38" w14:paraId="0BF73585" w14:textId="77777777" w:rsidTr="0082111F">
        <w:trPr>
          <w:trHeight w:val="196"/>
        </w:trPr>
        <w:tc>
          <w:tcPr>
            <w:tcW w:w="802" w:type="dxa"/>
            <w:tcBorders>
              <w:top w:val="single" w:sz="4" w:space="0" w:color="auto"/>
              <w:bottom w:val="single" w:sz="4" w:space="0" w:color="auto"/>
            </w:tcBorders>
          </w:tcPr>
          <w:p w14:paraId="1B0B975F"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2005</w:t>
            </w:r>
          </w:p>
        </w:tc>
        <w:tc>
          <w:tcPr>
            <w:tcW w:w="891" w:type="dxa"/>
            <w:tcBorders>
              <w:top w:val="single" w:sz="4" w:space="0" w:color="auto"/>
              <w:bottom w:val="single" w:sz="4" w:space="0" w:color="auto"/>
            </w:tcBorders>
          </w:tcPr>
          <w:p w14:paraId="26BACDC3"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48.19</w:t>
            </w:r>
          </w:p>
        </w:tc>
        <w:tc>
          <w:tcPr>
            <w:tcW w:w="1336" w:type="dxa"/>
            <w:tcBorders>
              <w:top w:val="single" w:sz="4" w:space="0" w:color="auto"/>
              <w:bottom w:val="single" w:sz="4" w:space="0" w:color="auto"/>
            </w:tcBorders>
          </w:tcPr>
          <w:p w14:paraId="677478CB"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17050</w:t>
            </w:r>
          </w:p>
        </w:tc>
        <w:tc>
          <w:tcPr>
            <w:tcW w:w="1381" w:type="dxa"/>
            <w:tcBorders>
              <w:top w:val="single" w:sz="4" w:space="0" w:color="auto"/>
              <w:bottom w:val="single" w:sz="4" w:space="0" w:color="auto"/>
              <w:right w:val="single" w:sz="4" w:space="0" w:color="auto"/>
            </w:tcBorders>
          </w:tcPr>
          <w:p w14:paraId="7A4B0478"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8210</w:t>
            </w:r>
          </w:p>
        </w:tc>
        <w:tc>
          <w:tcPr>
            <w:tcW w:w="1651" w:type="dxa"/>
            <w:tcBorders>
              <w:top w:val="single" w:sz="4" w:space="0" w:color="auto"/>
              <w:left w:val="single" w:sz="4" w:space="0" w:color="auto"/>
              <w:bottom w:val="single" w:sz="4" w:space="0" w:color="auto"/>
              <w:right w:val="nil"/>
            </w:tcBorders>
          </w:tcPr>
          <w:p w14:paraId="2AF7720C"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3.49</w:t>
            </w:r>
          </w:p>
        </w:tc>
        <w:tc>
          <w:tcPr>
            <w:tcW w:w="1604" w:type="dxa"/>
            <w:tcBorders>
              <w:top w:val="single" w:sz="4" w:space="0" w:color="auto"/>
              <w:left w:val="single" w:sz="4" w:space="0" w:color="auto"/>
              <w:bottom w:val="single" w:sz="4" w:space="0" w:color="auto"/>
              <w:right w:val="nil"/>
            </w:tcBorders>
          </w:tcPr>
          <w:p w14:paraId="71DEF2F9" w14:textId="77777777" w:rsidR="006B6AD8" w:rsidRPr="00A67F38" w:rsidRDefault="008419C8" w:rsidP="0082111F">
            <w:pPr>
              <w:jc w:val="center"/>
              <w:rPr>
                <w:color w:val="000000" w:themeColor="text1"/>
                <w:sz w:val="20"/>
                <w:szCs w:val="20"/>
              </w:rPr>
            </w:pPr>
            <w:r>
              <w:rPr>
                <w:color w:val="000000" w:themeColor="text1"/>
                <w:sz w:val="20"/>
                <w:szCs w:val="20"/>
              </w:rPr>
              <w:t>7927.56</w:t>
            </w:r>
          </w:p>
        </w:tc>
        <w:tc>
          <w:tcPr>
            <w:tcW w:w="535" w:type="dxa"/>
            <w:tcBorders>
              <w:top w:val="single" w:sz="4" w:space="0" w:color="auto"/>
              <w:left w:val="nil"/>
              <w:bottom w:val="single" w:sz="4" w:space="0" w:color="auto"/>
              <w:right w:val="single" w:sz="4" w:space="0" w:color="auto"/>
            </w:tcBorders>
          </w:tcPr>
          <w:p w14:paraId="111C38A4"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02B59A90" w14:textId="77777777" w:rsidR="006B6AD8" w:rsidRPr="00A67F38" w:rsidRDefault="006B6AD8" w:rsidP="0082111F">
            <w:pPr>
              <w:jc w:val="center"/>
              <w:rPr>
                <w:color w:val="000000" w:themeColor="text1"/>
                <w:sz w:val="20"/>
                <w:szCs w:val="20"/>
              </w:rPr>
            </w:pPr>
            <w:r w:rsidRPr="00A67F38">
              <w:rPr>
                <w:color w:val="000000" w:themeColor="text1"/>
                <w:sz w:val="20"/>
                <w:szCs w:val="20"/>
              </w:rPr>
              <w:t>282.44</w:t>
            </w:r>
          </w:p>
        </w:tc>
      </w:tr>
      <w:tr w:rsidR="00887568" w:rsidRPr="00A67F38" w14:paraId="1F631876" w14:textId="77777777" w:rsidTr="0082111F">
        <w:trPr>
          <w:trHeight w:val="160"/>
        </w:trPr>
        <w:tc>
          <w:tcPr>
            <w:tcW w:w="802" w:type="dxa"/>
            <w:tcBorders>
              <w:top w:val="single" w:sz="4" w:space="0" w:color="auto"/>
              <w:bottom w:val="single" w:sz="4" w:space="0" w:color="auto"/>
            </w:tcBorders>
          </w:tcPr>
          <w:p w14:paraId="25CCF36E"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2006</w:t>
            </w:r>
          </w:p>
        </w:tc>
        <w:tc>
          <w:tcPr>
            <w:tcW w:w="891" w:type="dxa"/>
            <w:tcBorders>
              <w:top w:val="single" w:sz="4" w:space="0" w:color="auto"/>
              <w:bottom w:val="single" w:sz="4" w:space="0" w:color="auto"/>
            </w:tcBorders>
          </w:tcPr>
          <w:p w14:paraId="42A391B4"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47.92</w:t>
            </w:r>
          </w:p>
        </w:tc>
        <w:tc>
          <w:tcPr>
            <w:tcW w:w="1336" w:type="dxa"/>
            <w:tcBorders>
              <w:top w:val="single" w:sz="4" w:space="0" w:color="auto"/>
              <w:bottom w:val="single" w:sz="4" w:space="0" w:color="auto"/>
            </w:tcBorders>
          </w:tcPr>
          <w:p w14:paraId="18196D50"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17363</w:t>
            </w:r>
          </w:p>
        </w:tc>
        <w:tc>
          <w:tcPr>
            <w:tcW w:w="1381" w:type="dxa"/>
            <w:tcBorders>
              <w:top w:val="single" w:sz="4" w:space="0" w:color="auto"/>
              <w:bottom w:val="single" w:sz="4" w:space="0" w:color="auto"/>
              <w:right w:val="single" w:sz="4" w:space="0" w:color="auto"/>
            </w:tcBorders>
          </w:tcPr>
          <w:p w14:paraId="228359CD"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8530</w:t>
            </w:r>
          </w:p>
        </w:tc>
        <w:tc>
          <w:tcPr>
            <w:tcW w:w="1651" w:type="dxa"/>
            <w:tcBorders>
              <w:top w:val="single" w:sz="4" w:space="0" w:color="auto"/>
              <w:left w:val="single" w:sz="4" w:space="0" w:color="auto"/>
              <w:bottom w:val="single" w:sz="4" w:space="0" w:color="auto"/>
              <w:right w:val="nil"/>
            </w:tcBorders>
          </w:tcPr>
          <w:p w14:paraId="2418C8BE"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3.9</w:t>
            </w:r>
          </w:p>
        </w:tc>
        <w:tc>
          <w:tcPr>
            <w:tcW w:w="1604" w:type="dxa"/>
            <w:tcBorders>
              <w:top w:val="single" w:sz="4" w:space="0" w:color="auto"/>
              <w:left w:val="single" w:sz="4" w:space="0" w:color="auto"/>
              <w:bottom w:val="single" w:sz="4" w:space="0" w:color="auto"/>
              <w:right w:val="nil"/>
            </w:tcBorders>
          </w:tcPr>
          <w:p w14:paraId="65D9EE7F" w14:textId="77777777" w:rsidR="006B6AD8" w:rsidRPr="00A67F38" w:rsidRDefault="008419C8" w:rsidP="0082111F">
            <w:pPr>
              <w:jc w:val="center"/>
              <w:rPr>
                <w:color w:val="000000" w:themeColor="text1"/>
                <w:sz w:val="20"/>
                <w:szCs w:val="20"/>
              </w:rPr>
            </w:pPr>
            <w:r>
              <w:rPr>
                <w:color w:val="000000" w:themeColor="text1"/>
                <w:sz w:val="20"/>
                <w:szCs w:val="20"/>
              </w:rPr>
              <w:t>8279.56</w:t>
            </w:r>
          </w:p>
        </w:tc>
        <w:tc>
          <w:tcPr>
            <w:tcW w:w="535" w:type="dxa"/>
            <w:tcBorders>
              <w:top w:val="single" w:sz="4" w:space="0" w:color="auto"/>
              <w:left w:val="nil"/>
              <w:bottom w:val="single" w:sz="4" w:space="0" w:color="auto"/>
              <w:right w:val="single" w:sz="4" w:space="0" w:color="auto"/>
            </w:tcBorders>
          </w:tcPr>
          <w:p w14:paraId="749F774B"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24B06D70" w14:textId="77777777" w:rsidR="006B6AD8" w:rsidRPr="00A67F38" w:rsidRDefault="006B6AD8" w:rsidP="0082111F">
            <w:pPr>
              <w:jc w:val="center"/>
              <w:rPr>
                <w:color w:val="000000" w:themeColor="text1"/>
                <w:sz w:val="20"/>
                <w:szCs w:val="20"/>
              </w:rPr>
            </w:pPr>
            <w:r w:rsidRPr="00A67F38">
              <w:rPr>
                <w:color w:val="000000" w:themeColor="text1"/>
                <w:sz w:val="20"/>
                <w:szCs w:val="20"/>
              </w:rPr>
              <w:t>250.44</w:t>
            </w:r>
          </w:p>
        </w:tc>
      </w:tr>
      <w:tr w:rsidR="00887568" w:rsidRPr="00A67F38" w14:paraId="28BE5F82" w14:textId="77777777" w:rsidTr="0082111F">
        <w:trPr>
          <w:trHeight w:val="147"/>
        </w:trPr>
        <w:tc>
          <w:tcPr>
            <w:tcW w:w="802" w:type="dxa"/>
            <w:tcBorders>
              <w:top w:val="single" w:sz="4" w:space="0" w:color="auto"/>
              <w:bottom w:val="single" w:sz="4" w:space="0" w:color="auto"/>
            </w:tcBorders>
          </w:tcPr>
          <w:p w14:paraId="37AE383D"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2007</w:t>
            </w:r>
          </w:p>
        </w:tc>
        <w:tc>
          <w:tcPr>
            <w:tcW w:w="891" w:type="dxa"/>
            <w:tcBorders>
              <w:top w:val="single" w:sz="4" w:space="0" w:color="auto"/>
              <w:bottom w:val="single" w:sz="4" w:space="0" w:color="auto"/>
            </w:tcBorders>
          </w:tcPr>
          <w:p w14:paraId="31B0600A"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50</w:t>
            </w:r>
          </w:p>
        </w:tc>
        <w:tc>
          <w:tcPr>
            <w:tcW w:w="1336" w:type="dxa"/>
            <w:tcBorders>
              <w:top w:val="single" w:sz="4" w:space="0" w:color="auto"/>
              <w:bottom w:val="single" w:sz="4" w:space="0" w:color="auto"/>
            </w:tcBorders>
          </w:tcPr>
          <w:p w14:paraId="56613E57"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17800</w:t>
            </w:r>
          </w:p>
        </w:tc>
        <w:tc>
          <w:tcPr>
            <w:tcW w:w="1381" w:type="dxa"/>
            <w:tcBorders>
              <w:top w:val="single" w:sz="4" w:space="0" w:color="auto"/>
              <w:bottom w:val="single" w:sz="4" w:space="0" w:color="auto"/>
              <w:right w:val="single" w:sz="4" w:space="0" w:color="auto"/>
            </w:tcBorders>
          </w:tcPr>
          <w:p w14:paraId="6BA18038"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8900</w:t>
            </w:r>
          </w:p>
        </w:tc>
        <w:tc>
          <w:tcPr>
            <w:tcW w:w="1651" w:type="dxa"/>
            <w:tcBorders>
              <w:top w:val="single" w:sz="4" w:space="0" w:color="auto"/>
              <w:left w:val="single" w:sz="4" w:space="0" w:color="auto"/>
              <w:bottom w:val="single" w:sz="4" w:space="0" w:color="auto"/>
              <w:right w:val="nil"/>
            </w:tcBorders>
          </w:tcPr>
          <w:p w14:paraId="2DC0E4C6"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4.92</w:t>
            </w:r>
          </w:p>
        </w:tc>
        <w:tc>
          <w:tcPr>
            <w:tcW w:w="1604" w:type="dxa"/>
            <w:tcBorders>
              <w:top w:val="single" w:sz="4" w:space="0" w:color="auto"/>
              <w:left w:val="single" w:sz="4" w:space="0" w:color="auto"/>
              <w:bottom w:val="single" w:sz="4" w:space="0" w:color="auto"/>
              <w:right w:val="nil"/>
            </w:tcBorders>
          </w:tcPr>
          <w:p w14:paraId="5C15404B" w14:textId="77777777" w:rsidR="006B6AD8" w:rsidRPr="00A67F38" w:rsidRDefault="008419C8" w:rsidP="0082111F">
            <w:pPr>
              <w:jc w:val="center"/>
              <w:rPr>
                <w:color w:val="000000" w:themeColor="text1"/>
                <w:sz w:val="20"/>
                <w:szCs w:val="20"/>
              </w:rPr>
            </w:pPr>
            <w:r>
              <w:rPr>
                <w:color w:val="000000" w:themeColor="text1"/>
                <w:sz w:val="20"/>
                <w:szCs w:val="20"/>
              </w:rPr>
              <w:t>8615.67</w:t>
            </w:r>
          </w:p>
        </w:tc>
        <w:tc>
          <w:tcPr>
            <w:tcW w:w="535" w:type="dxa"/>
            <w:tcBorders>
              <w:top w:val="single" w:sz="4" w:space="0" w:color="auto"/>
              <w:left w:val="nil"/>
              <w:bottom w:val="single" w:sz="4" w:space="0" w:color="auto"/>
              <w:right w:val="single" w:sz="4" w:space="0" w:color="auto"/>
            </w:tcBorders>
          </w:tcPr>
          <w:p w14:paraId="36505836"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4354D6B9" w14:textId="77777777" w:rsidR="006B6AD8" w:rsidRPr="00A67F38" w:rsidRDefault="006B6AD8" w:rsidP="0082111F">
            <w:pPr>
              <w:jc w:val="center"/>
              <w:rPr>
                <w:color w:val="000000" w:themeColor="text1"/>
                <w:sz w:val="20"/>
                <w:szCs w:val="20"/>
              </w:rPr>
            </w:pPr>
            <w:r w:rsidRPr="00A67F38">
              <w:rPr>
                <w:color w:val="000000" w:themeColor="text1"/>
                <w:sz w:val="20"/>
                <w:szCs w:val="20"/>
              </w:rPr>
              <w:t>284.33</w:t>
            </w:r>
          </w:p>
        </w:tc>
      </w:tr>
      <w:tr w:rsidR="00887568" w:rsidRPr="00A67F38" w14:paraId="0C642F4B" w14:textId="77777777" w:rsidTr="0082111F">
        <w:trPr>
          <w:trHeight w:val="147"/>
        </w:trPr>
        <w:tc>
          <w:tcPr>
            <w:tcW w:w="802" w:type="dxa"/>
            <w:tcBorders>
              <w:top w:val="single" w:sz="4" w:space="0" w:color="auto"/>
              <w:bottom w:val="single" w:sz="4" w:space="0" w:color="auto"/>
            </w:tcBorders>
          </w:tcPr>
          <w:p w14:paraId="2A62D213"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2008</w:t>
            </w:r>
          </w:p>
        </w:tc>
        <w:tc>
          <w:tcPr>
            <w:tcW w:w="891" w:type="dxa"/>
            <w:tcBorders>
              <w:top w:val="single" w:sz="4" w:space="0" w:color="auto"/>
              <w:bottom w:val="single" w:sz="4" w:space="0" w:color="auto"/>
            </w:tcBorders>
          </w:tcPr>
          <w:p w14:paraId="2C21E032"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49.31</w:t>
            </w:r>
          </w:p>
        </w:tc>
        <w:tc>
          <w:tcPr>
            <w:tcW w:w="1336" w:type="dxa"/>
            <w:tcBorders>
              <w:top w:val="single" w:sz="4" w:space="0" w:color="auto"/>
              <w:bottom w:val="single" w:sz="4" w:space="0" w:color="auto"/>
            </w:tcBorders>
          </w:tcPr>
          <w:p w14:paraId="2AA2A7F8"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18150</w:t>
            </w:r>
          </w:p>
        </w:tc>
        <w:tc>
          <w:tcPr>
            <w:tcW w:w="1381" w:type="dxa"/>
            <w:tcBorders>
              <w:top w:val="single" w:sz="4" w:space="0" w:color="auto"/>
              <w:bottom w:val="single" w:sz="4" w:space="0" w:color="auto"/>
              <w:right w:val="single" w:sz="4" w:space="0" w:color="auto"/>
            </w:tcBorders>
          </w:tcPr>
          <w:p w14:paraId="3D12ABB6"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8950</w:t>
            </w:r>
          </w:p>
        </w:tc>
        <w:tc>
          <w:tcPr>
            <w:tcW w:w="1651" w:type="dxa"/>
            <w:tcBorders>
              <w:top w:val="single" w:sz="4" w:space="0" w:color="auto"/>
              <w:left w:val="single" w:sz="4" w:space="0" w:color="auto"/>
              <w:bottom w:val="single" w:sz="4" w:space="0" w:color="auto"/>
              <w:right w:val="nil"/>
            </w:tcBorders>
          </w:tcPr>
          <w:p w14:paraId="10523E0F"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0.56</w:t>
            </w:r>
          </w:p>
        </w:tc>
        <w:tc>
          <w:tcPr>
            <w:tcW w:w="1604" w:type="dxa"/>
            <w:tcBorders>
              <w:top w:val="single" w:sz="4" w:space="0" w:color="auto"/>
              <w:left w:val="single" w:sz="4" w:space="0" w:color="auto"/>
              <w:bottom w:val="single" w:sz="4" w:space="0" w:color="auto"/>
              <w:right w:val="nil"/>
            </w:tcBorders>
          </w:tcPr>
          <w:p w14:paraId="3E23903A" w14:textId="77777777" w:rsidR="006B6AD8" w:rsidRPr="00A67F38" w:rsidRDefault="008419C8" w:rsidP="0082111F">
            <w:pPr>
              <w:jc w:val="center"/>
              <w:rPr>
                <w:color w:val="000000" w:themeColor="text1"/>
                <w:sz w:val="20"/>
                <w:szCs w:val="20"/>
              </w:rPr>
            </w:pPr>
            <w:r>
              <w:rPr>
                <w:color w:val="000000" w:themeColor="text1"/>
                <w:sz w:val="20"/>
                <w:szCs w:val="20"/>
              </w:rPr>
              <w:t>8900.56</w:t>
            </w:r>
          </w:p>
        </w:tc>
        <w:tc>
          <w:tcPr>
            <w:tcW w:w="535" w:type="dxa"/>
            <w:tcBorders>
              <w:top w:val="single" w:sz="4" w:space="0" w:color="auto"/>
              <w:left w:val="nil"/>
              <w:bottom w:val="single" w:sz="4" w:space="0" w:color="auto"/>
              <w:right w:val="single" w:sz="4" w:space="0" w:color="auto"/>
            </w:tcBorders>
          </w:tcPr>
          <w:p w14:paraId="7560E58C"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21531BF4" w14:textId="77777777" w:rsidR="006B6AD8" w:rsidRPr="00A67F38" w:rsidRDefault="006B6AD8" w:rsidP="0082111F">
            <w:pPr>
              <w:jc w:val="center"/>
              <w:rPr>
                <w:color w:val="000000" w:themeColor="text1"/>
                <w:sz w:val="20"/>
                <w:szCs w:val="20"/>
              </w:rPr>
            </w:pPr>
            <w:r w:rsidRPr="00A67F38">
              <w:rPr>
                <w:color w:val="000000" w:themeColor="text1"/>
                <w:sz w:val="20"/>
                <w:szCs w:val="20"/>
              </w:rPr>
              <w:t>49.44</w:t>
            </w:r>
          </w:p>
        </w:tc>
      </w:tr>
      <w:tr w:rsidR="00887568" w:rsidRPr="00A67F38" w14:paraId="42427B63" w14:textId="77777777" w:rsidTr="0082111F">
        <w:trPr>
          <w:trHeight w:val="187"/>
        </w:trPr>
        <w:tc>
          <w:tcPr>
            <w:tcW w:w="802" w:type="dxa"/>
            <w:tcBorders>
              <w:top w:val="single" w:sz="4" w:space="0" w:color="auto"/>
              <w:bottom w:val="single" w:sz="4" w:space="0" w:color="auto"/>
            </w:tcBorders>
          </w:tcPr>
          <w:p w14:paraId="7A7706F1"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2009</w:t>
            </w:r>
          </w:p>
        </w:tc>
        <w:tc>
          <w:tcPr>
            <w:tcW w:w="891" w:type="dxa"/>
            <w:tcBorders>
              <w:top w:val="single" w:sz="4" w:space="0" w:color="auto"/>
              <w:bottom w:val="single" w:sz="4" w:space="0" w:color="auto"/>
            </w:tcBorders>
          </w:tcPr>
          <w:p w14:paraId="43523C51"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50.12</w:t>
            </w:r>
          </w:p>
        </w:tc>
        <w:tc>
          <w:tcPr>
            <w:tcW w:w="1336" w:type="dxa"/>
            <w:tcBorders>
              <w:top w:val="single" w:sz="4" w:space="0" w:color="auto"/>
              <w:bottom w:val="single" w:sz="4" w:space="0" w:color="auto"/>
            </w:tcBorders>
          </w:tcPr>
          <w:p w14:paraId="44E0D780"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18330</w:t>
            </w:r>
          </w:p>
        </w:tc>
        <w:tc>
          <w:tcPr>
            <w:tcW w:w="1381" w:type="dxa"/>
            <w:tcBorders>
              <w:top w:val="single" w:sz="4" w:space="0" w:color="auto"/>
              <w:bottom w:val="single" w:sz="4" w:space="0" w:color="auto"/>
              <w:right w:val="single" w:sz="4" w:space="0" w:color="auto"/>
            </w:tcBorders>
          </w:tcPr>
          <w:p w14:paraId="00B82ECF"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9187</w:t>
            </w:r>
          </w:p>
        </w:tc>
        <w:tc>
          <w:tcPr>
            <w:tcW w:w="1651" w:type="dxa"/>
            <w:tcBorders>
              <w:top w:val="single" w:sz="4" w:space="0" w:color="auto"/>
              <w:left w:val="single" w:sz="4" w:space="0" w:color="auto"/>
              <w:bottom w:val="single" w:sz="4" w:space="0" w:color="auto"/>
              <w:right w:val="nil"/>
            </w:tcBorders>
          </w:tcPr>
          <w:p w14:paraId="34E85E7E"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2.65</w:t>
            </w:r>
          </w:p>
        </w:tc>
        <w:tc>
          <w:tcPr>
            <w:tcW w:w="1604" w:type="dxa"/>
            <w:tcBorders>
              <w:top w:val="single" w:sz="4" w:space="0" w:color="auto"/>
              <w:left w:val="single" w:sz="4" w:space="0" w:color="auto"/>
              <w:bottom w:val="single" w:sz="4" w:space="0" w:color="auto"/>
              <w:right w:val="nil"/>
            </w:tcBorders>
          </w:tcPr>
          <w:p w14:paraId="517DD074" w14:textId="77777777" w:rsidR="006B6AD8" w:rsidRPr="00A67F38" w:rsidRDefault="008419C8" w:rsidP="0082111F">
            <w:pPr>
              <w:jc w:val="center"/>
              <w:rPr>
                <w:color w:val="000000" w:themeColor="text1"/>
                <w:sz w:val="20"/>
                <w:szCs w:val="20"/>
              </w:rPr>
            </w:pPr>
            <w:r>
              <w:rPr>
                <w:color w:val="000000" w:themeColor="text1"/>
                <w:sz w:val="20"/>
                <w:szCs w:val="20"/>
              </w:rPr>
              <w:t>9132.22</w:t>
            </w:r>
          </w:p>
        </w:tc>
        <w:tc>
          <w:tcPr>
            <w:tcW w:w="535" w:type="dxa"/>
            <w:tcBorders>
              <w:top w:val="single" w:sz="4" w:space="0" w:color="auto"/>
              <w:left w:val="nil"/>
              <w:bottom w:val="single" w:sz="4" w:space="0" w:color="auto"/>
              <w:right w:val="single" w:sz="4" w:space="0" w:color="auto"/>
            </w:tcBorders>
          </w:tcPr>
          <w:p w14:paraId="62B2DED3"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031B1D5F" w14:textId="77777777" w:rsidR="006B6AD8" w:rsidRPr="00A67F38" w:rsidRDefault="006B6AD8" w:rsidP="0082111F">
            <w:pPr>
              <w:jc w:val="center"/>
              <w:rPr>
                <w:color w:val="000000" w:themeColor="text1"/>
                <w:sz w:val="20"/>
                <w:szCs w:val="20"/>
              </w:rPr>
            </w:pPr>
            <w:r w:rsidRPr="00A67F38">
              <w:rPr>
                <w:color w:val="000000" w:themeColor="text1"/>
                <w:sz w:val="20"/>
                <w:szCs w:val="20"/>
              </w:rPr>
              <w:t>54.78</w:t>
            </w:r>
          </w:p>
        </w:tc>
      </w:tr>
      <w:tr w:rsidR="00887568" w:rsidRPr="00A67F38" w14:paraId="0FC899CD" w14:textId="77777777" w:rsidTr="0082111F">
        <w:trPr>
          <w:trHeight w:val="212"/>
        </w:trPr>
        <w:tc>
          <w:tcPr>
            <w:tcW w:w="802" w:type="dxa"/>
            <w:tcBorders>
              <w:top w:val="single" w:sz="4" w:space="0" w:color="auto"/>
              <w:bottom w:val="single" w:sz="4" w:space="0" w:color="auto"/>
            </w:tcBorders>
          </w:tcPr>
          <w:p w14:paraId="0B844F73"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2010</w:t>
            </w:r>
          </w:p>
        </w:tc>
        <w:tc>
          <w:tcPr>
            <w:tcW w:w="891" w:type="dxa"/>
            <w:tcBorders>
              <w:top w:val="single" w:sz="4" w:space="0" w:color="auto"/>
              <w:bottom w:val="single" w:sz="4" w:space="0" w:color="auto"/>
            </w:tcBorders>
          </w:tcPr>
          <w:p w14:paraId="6DE8A805"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49.61</w:t>
            </w:r>
          </w:p>
        </w:tc>
        <w:tc>
          <w:tcPr>
            <w:tcW w:w="1336" w:type="dxa"/>
            <w:tcBorders>
              <w:top w:val="single" w:sz="4" w:space="0" w:color="auto"/>
              <w:bottom w:val="single" w:sz="4" w:space="0" w:color="auto"/>
            </w:tcBorders>
          </w:tcPr>
          <w:p w14:paraId="1182BF55" w14:textId="77777777" w:rsidR="006B6AD8" w:rsidRPr="00A67F38" w:rsidRDefault="006B6AD8" w:rsidP="0082111F">
            <w:pPr>
              <w:autoSpaceDE w:val="0"/>
              <w:autoSpaceDN w:val="0"/>
              <w:adjustRightInd w:val="0"/>
              <w:jc w:val="center"/>
              <w:rPr>
                <w:bCs/>
                <w:color w:val="000000" w:themeColor="text1"/>
                <w:sz w:val="20"/>
                <w:szCs w:val="20"/>
              </w:rPr>
            </w:pPr>
            <w:r w:rsidRPr="00A67F38">
              <w:rPr>
                <w:bCs/>
                <w:color w:val="000000" w:themeColor="text1"/>
                <w:sz w:val="20"/>
                <w:szCs w:val="20"/>
              </w:rPr>
              <w:t>18620</w:t>
            </w:r>
          </w:p>
        </w:tc>
        <w:tc>
          <w:tcPr>
            <w:tcW w:w="1381" w:type="dxa"/>
            <w:tcBorders>
              <w:top w:val="single" w:sz="4" w:space="0" w:color="auto"/>
              <w:bottom w:val="single" w:sz="4" w:space="0" w:color="auto"/>
              <w:right w:val="single" w:sz="4" w:space="0" w:color="auto"/>
            </w:tcBorders>
          </w:tcPr>
          <w:p w14:paraId="5FF2C890"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9237</w:t>
            </w:r>
          </w:p>
        </w:tc>
        <w:tc>
          <w:tcPr>
            <w:tcW w:w="1651" w:type="dxa"/>
            <w:tcBorders>
              <w:top w:val="single" w:sz="4" w:space="0" w:color="auto"/>
              <w:left w:val="single" w:sz="4" w:space="0" w:color="auto"/>
              <w:bottom w:val="single" w:sz="4" w:space="0" w:color="auto"/>
              <w:right w:val="nil"/>
            </w:tcBorders>
          </w:tcPr>
          <w:p w14:paraId="00052E5C"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0.54</w:t>
            </w:r>
          </w:p>
        </w:tc>
        <w:tc>
          <w:tcPr>
            <w:tcW w:w="1604" w:type="dxa"/>
            <w:tcBorders>
              <w:top w:val="single" w:sz="4" w:space="0" w:color="auto"/>
              <w:left w:val="single" w:sz="4" w:space="0" w:color="auto"/>
              <w:bottom w:val="single" w:sz="4" w:space="0" w:color="auto"/>
              <w:right w:val="nil"/>
            </w:tcBorders>
          </w:tcPr>
          <w:p w14:paraId="61D01E11" w14:textId="77777777" w:rsidR="006B6AD8" w:rsidRPr="00A67F38" w:rsidRDefault="008419C8" w:rsidP="0082111F">
            <w:pPr>
              <w:jc w:val="center"/>
              <w:rPr>
                <w:color w:val="000000" w:themeColor="text1"/>
                <w:sz w:val="20"/>
                <w:szCs w:val="20"/>
              </w:rPr>
            </w:pPr>
            <w:r>
              <w:rPr>
                <w:color w:val="000000" w:themeColor="text1"/>
                <w:sz w:val="20"/>
                <w:szCs w:val="20"/>
              </w:rPr>
              <w:t>9337.22</w:t>
            </w:r>
          </w:p>
        </w:tc>
        <w:tc>
          <w:tcPr>
            <w:tcW w:w="535" w:type="dxa"/>
            <w:tcBorders>
              <w:top w:val="single" w:sz="4" w:space="0" w:color="auto"/>
              <w:left w:val="nil"/>
              <w:bottom w:val="single" w:sz="4" w:space="0" w:color="auto"/>
              <w:right w:val="single" w:sz="4" w:space="0" w:color="auto"/>
            </w:tcBorders>
          </w:tcPr>
          <w:p w14:paraId="081E572F"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0F0361B8" w14:textId="77777777" w:rsidR="006B6AD8" w:rsidRPr="00A67F38" w:rsidRDefault="006B6AD8" w:rsidP="0082111F">
            <w:pPr>
              <w:jc w:val="center"/>
              <w:rPr>
                <w:color w:val="000000" w:themeColor="text1"/>
                <w:sz w:val="20"/>
                <w:szCs w:val="20"/>
              </w:rPr>
            </w:pPr>
            <w:r w:rsidRPr="00A67F38">
              <w:rPr>
                <w:color w:val="000000" w:themeColor="text1"/>
                <w:sz w:val="20"/>
                <w:szCs w:val="20"/>
              </w:rPr>
              <w:t>-100.22</w:t>
            </w:r>
          </w:p>
        </w:tc>
      </w:tr>
      <w:tr w:rsidR="00887568" w:rsidRPr="00A67F38" w14:paraId="5A98C256" w14:textId="77777777" w:rsidTr="0082111F">
        <w:trPr>
          <w:trHeight w:val="132"/>
        </w:trPr>
        <w:tc>
          <w:tcPr>
            <w:tcW w:w="802" w:type="dxa"/>
            <w:tcBorders>
              <w:top w:val="single" w:sz="4" w:space="0" w:color="auto"/>
              <w:bottom w:val="single" w:sz="4" w:space="0" w:color="auto"/>
            </w:tcBorders>
          </w:tcPr>
          <w:p w14:paraId="1DC10BAA"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2011</w:t>
            </w:r>
          </w:p>
        </w:tc>
        <w:tc>
          <w:tcPr>
            <w:tcW w:w="891" w:type="dxa"/>
            <w:tcBorders>
              <w:top w:val="single" w:sz="4" w:space="0" w:color="auto"/>
              <w:bottom w:val="single" w:sz="4" w:space="0" w:color="auto"/>
            </w:tcBorders>
          </w:tcPr>
          <w:p w14:paraId="11E94975"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50.8</w:t>
            </w:r>
          </w:p>
        </w:tc>
        <w:tc>
          <w:tcPr>
            <w:tcW w:w="1336" w:type="dxa"/>
            <w:tcBorders>
              <w:top w:val="single" w:sz="4" w:space="0" w:color="auto"/>
              <w:bottom w:val="single" w:sz="4" w:space="0" w:color="auto"/>
            </w:tcBorders>
          </w:tcPr>
          <w:p w14:paraId="3DB3D908"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18459</w:t>
            </w:r>
          </w:p>
        </w:tc>
        <w:tc>
          <w:tcPr>
            <w:tcW w:w="1381" w:type="dxa"/>
            <w:tcBorders>
              <w:top w:val="single" w:sz="4" w:space="0" w:color="auto"/>
              <w:bottom w:val="single" w:sz="4" w:space="0" w:color="auto"/>
              <w:right w:val="single" w:sz="4" w:space="0" w:color="auto"/>
            </w:tcBorders>
          </w:tcPr>
          <w:p w14:paraId="3799E558"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9337</w:t>
            </w:r>
          </w:p>
        </w:tc>
        <w:tc>
          <w:tcPr>
            <w:tcW w:w="1651" w:type="dxa"/>
            <w:tcBorders>
              <w:top w:val="single" w:sz="4" w:space="0" w:color="auto"/>
              <w:left w:val="single" w:sz="4" w:space="0" w:color="auto"/>
              <w:bottom w:val="single" w:sz="4" w:space="0" w:color="auto"/>
              <w:right w:val="nil"/>
            </w:tcBorders>
          </w:tcPr>
          <w:p w14:paraId="260027DA"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1.08</w:t>
            </w:r>
          </w:p>
        </w:tc>
        <w:tc>
          <w:tcPr>
            <w:tcW w:w="1604" w:type="dxa"/>
            <w:tcBorders>
              <w:top w:val="single" w:sz="4" w:space="0" w:color="auto"/>
              <w:left w:val="single" w:sz="4" w:space="0" w:color="auto"/>
              <w:bottom w:val="single" w:sz="4" w:space="0" w:color="auto"/>
              <w:right w:val="nil"/>
            </w:tcBorders>
          </w:tcPr>
          <w:p w14:paraId="6F05A997" w14:textId="77777777" w:rsidR="006B6AD8" w:rsidRPr="00A67F38" w:rsidRDefault="008419C8" w:rsidP="0082111F">
            <w:pPr>
              <w:jc w:val="center"/>
              <w:rPr>
                <w:color w:val="000000" w:themeColor="text1"/>
                <w:sz w:val="20"/>
                <w:szCs w:val="20"/>
              </w:rPr>
            </w:pPr>
            <w:r>
              <w:rPr>
                <w:color w:val="000000" w:themeColor="text1"/>
                <w:sz w:val="20"/>
                <w:szCs w:val="20"/>
              </w:rPr>
              <w:t>9561.67</w:t>
            </w:r>
          </w:p>
        </w:tc>
        <w:tc>
          <w:tcPr>
            <w:tcW w:w="535" w:type="dxa"/>
            <w:tcBorders>
              <w:top w:val="single" w:sz="4" w:space="0" w:color="auto"/>
              <w:left w:val="nil"/>
              <w:bottom w:val="single" w:sz="4" w:space="0" w:color="auto"/>
              <w:right w:val="single" w:sz="4" w:space="0" w:color="auto"/>
            </w:tcBorders>
          </w:tcPr>
          <w:p w14:paraId="4747E610"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2C51D658" w14:textId="77777777" w:rsidR="006B6AD8" w:rsidRPr="00A67F38" w:rsidRDefault="006B6AD8" w:rsidP="0082111F">
            <w:pPr>
              <w:jc w:val="center"/>
              <w:rPr>
                <w:color w:val="000000" w:themeColor="text1"/>
                <w:sz w:val="20"/>
                <w:szCs w:val="20"/>
              </w:rPr>
            </w:pPr>
            <w:r w:rsidRPr="00A67F38">
              <w:rPr>
                <w:color w:val="000000" w:themeColor="text1"/>
                <w:sz w:val="20"/>
                <w:szCs w:val="20"/>
              </w:rPr>
              <w:t>-224.67</w:t>
            </w:r>
          </w:p>
        </w:tc>
      </w:tr>
      <w:tr w:rsidR="00887568" w:rsidRPr="00A67F38" w14:paraId="3ED1615C" w14:textId="77777777" w:rsidTr="0082111F">
        <w:trPr>
          <w:trHeight w:val="187"/>
        </w:trPr>
        <w:tc>
          <w:tcPr>
            <w:tcW w:w="802" w:type="dxa"/>
            <w:tcBorders>
              <w:top w:val="single" w:sz="4" w:space="0" w:color="auto"/>
            </w:tcBorders>
          </w:tcPr>
          <w:p w14:paraId="31644B50"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2012</w:t>
            </w:r>
          </w:p>
        </w:tc>
        <w:tc>
          <w:tcPr>
            <w:tcW w:w="891" w:type="dxa"/>
            <w:tcBorders>
              <w:top w:val="single" w:sz="4" w:space="0" w:color="auto"/>
            </w:tcBorders>
          </w:tcPr>
          <w:p w14:paraId="6FAA0F61"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51.42</w:t>
            </w:r>
          </w:p>
        </w:tc>
        <w:tc>
          <w:tcPr>
            <w:tcW w:w="1336" w:type="dxa"/>
            <w:tcBorders>
              <w:top w:val="single" w:sz="4" w:space="0" w:color="auto"/>
            </w:tcBorders>
          </w:tcPr>
          <w:p w14:paraId="6A1CFBD7" w14:textId="77777777" w:rsidR="006B6AD8" w:rsidRPr="00A67F38" w:rsidRDefault="006B6AD8" w:rsidP="0082111F">
            <w:pPr>
              <w:autoSpaceDE w:val="0"/>
              <w:autoSpaceDN w:val="0"/>
              <w:adjustRightInd w:val="0"/>
              <w:jc w:val="center"/>
              <w:rPr>
                <w:color w:val="000000" w:themeColor="text1"/>
                <w:sz w:val="20"/>
                <w:szCs w:val="20"/>
              </w:rPr>
            </w:pPr>
            <w:r w:rsidRPr="00A67F38">
              <w:rPr>
                <w:bCs/>
                <w:color w:val="000000" w:themeColor="text1"/>
                <w:sz w:val="20"/>
                <w:szCs w:val="20"/>
              </w:rPr>
              <w:t>19100</w:t>
            </w:r>
          </w:p>
        </w:tc>
        <w:tc>
          <w:tcPr>
            <w:tcW w:w="1381" w:type="dxa"/>
            <w:tcBorders>
              <w:top w:val="single" w:sz="4" w:space="0" w:color="auto"/>
              <w:right w:val="single" w:sz="4" w:space="0" w:color="auto"/>
            </w:tcBorders>
          </w:tcPr>
          <w:p w14:paraId="74F64DD4"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9821</w:t>
            </w:r>
          </w:p>
        </w:tc>
        <w:tc>
          <w:tcPr>
            <w:tcW w:w="1651" w:type="dxa"/>
            <w:tcBorders>
              <w:top w:val="single" w:sz="4" w:space="0" w:color="auto"/>
              <w:left w:val="single" w:sz="4" w:space="0" w:color="auto"/>
              <w:right w:val="nil"/>
            </w:tcBorders>
          </w:tcPr>
          <w:p w14:paraId="2814BF58"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5.18</w:t>
            </w:r>
          </w:p>
        </w:tc>
        <w:tc>
          <w:tcPr>
            <w:tcW w:w="1604" w:type="dxa"/>
            <w:tcBorders>
              <w:top w:val="single" w:sz="4" w:space="0" w:color="auto"/>
              <w:left w:val="single" w:sz="4" w:space="0" w:color="auto"/>
              <w:right w:val="nil"/>
            </w:tcBorders>
          </w:tcPr>
          <w:p w14:paraId="3EFD5A3A" w14:textId="77777777" w:rsidR="006B6AD8" w:rsidRPr="00A67F38" w:rsidRDefault="008419C8" w:rsidP="0082111F">
            <w:pPr>
              <w:jc w:val="center"/>
              <w:rPr>
                <w:color w:val="000000" w:themeColor="text1"/>
                <w:sz w:val="20"/>
                <w:szCs w:val="20"/>
              </w:rPr>
            </w:pPr>
            <w:r>
              <w:rPr>
                <w:color w:val="000000" w:themeColor="text1"/>
                <w:sz w:val="20"/>
                <w:szCs w:val="20"/>
              </w:rPr>
              <w:t>9809.22</w:t>
            </w:r>
          </w:p>
        </w:tc>
        <w:tc>
          <w:tcPr>
            <w:tcW w:w="535" w:type="dxa"/>
            <w:tcBorders>
              <w:top w:val="single" w:sz="4" w:space="0" w:color="auto"/>
              <w:left w:val="nil"/>
              <w:bottom w:val="single" w:sz="4" w:space="0" w:color="auto"/>
              <w:right w:val="single" w:sz="4" w:space="0" w:color="auto"/>
            </w:tcBorders>
          </w:tcPr>
          <w:p w14:paraId="187B32F2"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495E3984" w14:textId="77777777" w:rsidR="006B6AD8" w:rsidRPr="00A67F38" w:rsidRDefault="006B6AD8" w:rsidP="0082111F">
            <w:pPr>
              <w:jc w:val="center"/>
              <w:rPr>
                <w:color w:val="000000" w:themeColor="text1"/>
                <w:sz w:val="20"/>
                <w:szCs w:val="20"/>
              </w:rPr>
            </w:pPr>
            <w:r w:rsidRPr="00A67F38">
              <w:rPr>
                <w:color w:val="000000" w:themeColor="text1"/>
                <w:sz w:val="20"/>
                <w:szCs w:val="20"/>
              </w:rPr>
              <w:t>11.78</w:t>
            </w:r>
          </w:p>
        </w:tc>
      </w:tr>
      <w:tr w:rsidR="00887568" w:rsidRPr="00A67F38" w14:paraId="588866A7" w14:textId="77777777" w:rsidTr="0082111F">
        <w:trPr>
          <w:trHeight w:val="233"/>
        </w:trPr>
        <w:tc>
          <w:tcPr>
            <w:tcW w:w="802" w:type="dxa"/>
          </w:tcPr>
          <w:p w14:paraId="0190C930"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2013</w:t>
            </w:r>
          </w:p>
        </w:tc>
        <w:tc>
          <w:tcPr>
            <w:tcW w:w="891" w:type="dxa"/>
          </w:tcPr>
          <w:p w14:paraId="2A82E3D8"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53.5</w:t>
            </w:r>
          </w:p>
        </w:tc>
        <w:tc>
          <w:tcPr>
            <w:tcW w:w="1336" w:type="dxa"/>
          </w:tcPr>
          <w:p w14:paraId="7A6BB227"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18725</w:t>
            </w:r>
          </w:p>
        </w:tc>
        <w:tc>
          <w:tcPr>
            <w:tcW w:w="1381" w:type="dxa"/>
            <w:tcBorders>
              <w:right w:val="single" w:sz="4" w:space="0" w:color="auto"/>
            </w:tcBorders>
          </w:tcPr>
          <w:p w14:paraId="109E81F6"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10018</w:t>
            </w:r>
          </w:p>
        </w:tc>
        <w:tc>
          <w:tcPr>
            <w:tcW w:w="1651" w:type="dxa"/>
            <w:tcBorders>
              <w:left w:val="single" w:sz="4" w:space="0" w:color="auto"/>
              <w:right w:val="nil"/>
            </w:tcBorders>
          </w:tcPr>
          <w:p w14:paraId="2BEC78EF"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2</w:t>
            </w:r>
          </w:p>
        </w:tc>
        <w:tc>
          <w:tcPr>
            <w:tcW w:w="1604" w:type="dxa"/>
            <w:tcBorders>
              <w:left w:val="single" w:sz="4" w:space="0" w:color="auto"/>
              <w:right w:val="nil"/>
            </w:tcBorders>
          </w:tcPr>
          <w:p w14:paraId="29E83601" w14:textId="77777777" w:rsidR="006B6AD8" w:rsidRPr="00A67F38" w:rsidRDefault="006B6AD8" w:rsidP="0082111F">
            <w:pPr>
              <w:jc w:val="center"/>
              <w:rPr>
                <w:color w:val="000000" w:themeColor="text1"/>
                <w:sz w:val="20"/>
                <w:szCs w:val="20"/>
              </w:rPr>
            </w:pPr>
            <w:r w:rsidRPr="00A67F38">
              <w:rPr>
                <w:color w:val="000000" w:themeColor="text1"/>
                <w:sz w:val="20"/>
                <w:szCs w:val="20"/>
              </w:rPr>
              <w:t>10094.5</w:t>
            </w:r>
            <w:r w:rsidR="008419C8">
              <w:rPr>
                <w:color w:val="000000" w:themeColor="text1"/>
                <w:sz w:val="20"/>
                <w:szCs w:val="20"/>
              </w:rPr>
              <w:t>6</w:t>
            </w:r>
          </w:p>
        </w:tc>
        <w:tc>
          <w:tcPr>
            <w:tcW w:w="535" w:type="dxa"/>
            <w:tcBorders>
              <w:top w:val="single" w:sz="4" w:space="0" w:color="auto"/>
              <w:left w:val="nil"/>
              <w:bottom w:val="single" w:sz="4" w:space="0" w:color="auto"/>
              <w:right w:val="single" w:sz="4" w:space="0" w:color="auto"/>
            </w:tcBorders>
          </w:tcPr>
          <w:p w14:paraId="4C6C7B49"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78C27ED3" w14:textId="77777777" w:rsidR="006B6AD8" w:rsidRPr="00A67F38" w:rsidRDefault="006B6AD8" w:rsidP="0082111F">
            <w:pPr>
              <w:jc w:val="center"/>
              <w:rPr>
                <w:color w:val="000000" w:themeColor="text1"/>
                <w:sz w:val="20"/>
                <w:szCs w:val="20"/>
              </w:rPr>
            </w:pPr>
            <w:r w:rsidRPr="00A67F38">
              <w:rPr>
                <w:color w:val="000000" w:themeColor="text1"/>
                <w:sz w:val="20"/>
                <w:szCs w:val="20"/>
              </w:rPr>
              <w:t>-76.56</w:t>
            </w:r>
          </w:p>
        </w:tc>
      </w:tr>
      <w:tr w:rsidR="00887568" w:rsidRPr="00A67F38" w14:paraId="07CD66EA" w14:textId="77777777" w:rsidTr="0082111F">
        <w:trPr>
          <w:trHeight w:val="240"/>
        </w:trPr>
        <w:tc>
          <w:tcPr>
            <w:tcW w:w="802" w:type="dxa"/>
          </w:tcPr>
          <w:p w14:paraId="03D6F435"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2014</w:t>
            </w:r>
          </w:p>
        </w:tc>
        <w:tc>
          <w:tcPr>
            <w:tcW w:w="891" w:type="dxa"/>
          </w:tcPr>
          <w:p w14:paraId="68633911"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51.3</w:t>
            </w:r>
          </w:p>
        </w:tc>
        <w:tc>
          <w:tcPr>
            <w:tcW w:w="1336" w:type="dxa"/>
          </w:tcPr>
          <w:p w14:paraId="41913AA3"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19600</w:t>
            </w:r>
          </w:p>
        </w:tc>
        <w:tc>
          <w:tcPr>
            <w:tcW w:w="1381" w:type="dxa"/>
            <w:tcBorders>
              <w:right w:val="single" w:sz="4" w:space="0" w:color="auto"/>
            </w:tcBorders>
          </w:tcPr>
          <w:p w14:paraId="7B83438C"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10055</w:t>
            </w:r>
          </w:p>
        </w:tc>
        <w:tc>
          <w:tcPr>
            <w:tcW w:w="1651" w:type="dxa"/>
            <w:tcBorders>
              <w:left w:val="single" w:sz="4" w:space="0" w:color="auto"/>
              <w:right w:val="nil"/>
            </w:tcBorders>
          </w:tcPr>
          <w:p w14:paraId="75C344DF"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0.37</w:t>
            </w:r>
          </w:p>
        </w:tc>
        <w:tc>
          <w:tcPr>
            <w:tcW w:w="1604" w:type="dxa"/>
            <w:tcBorders>
              <w:left w:val="single" w:sz="4" w:space="0" w:color="auto"/>
              <w:right w:val="nil"/>
            </w:tcBorders>
          </w:tcPr>
          <w:p w14:paraId="5F361852" w14:textId="77777777" w:rsidR="006B6AD8" w:rsidRPr="00A67F38" w:rsidRDefault="008419C8" w:rsidP="0082111F">
            <w:pPr>
              <w:jc w:val="center"/>
              <w:rPr>
                <w:color w:val="000000" w:themeColor="text1"/>
                <w:sz w:val="20"/>
                <w:szCs w:val="20"/>
              </w:rPr>
            </w:pPr>
            <w:r>
              <w:rPr>
                <w:color w:val="000000" w:themeColor="text1"/>
                <w:sz w:val="20"/>
                <w:szCs w:val="20"/>
              </w:rPr>
              <w:t>10419.56</w:t>
            </w:r>
          </w:p>
        </w:tc>
        <w:tc>
          <w:tcPr>
            <w:tcW w:w="535" w:type="dxa"/>
            <w:tcBorders>
              <w:top w:val="single" w:sz="4" w:space="0" w:color="auto"/>
              <w:left w:val="nil"/>
              <w:bottom w:val="single" w:sz="4" w:space="0" w:color="auto"/>
              <w:right w:val="single" w:sz="4" w:space="0" w:color="auto"/>
            </w:tcBorders>
          </w:tcPr>
          <w:p w14:paraId="394FDEA0"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481C7BFD" w14:textId="77777777" w:rsidR="006B6AD8" w:rsidRPr="00A67F38" w:rsidRDefault="006B6AD8" w:rsidP="0082111F">
            <w:pPr>
              <w:jc w:val="center"/>
              <w:rPr>
                <w:color w:val="000000" w:themeColor="text1"/>
                <w:sz w:val="20"/>
                <w:szCs w:val="20"/>
              </w:rPr>
            </w:pPr>
            <w:r w:rsidRPr="00A67F38">
              <w:rPr>
                <w:color w:val="000000" w:themeColor="text1"/>
                <w:sz w:val="20"/>
                <w:szCs w:val="20"/>
              </w:rPr>
              <w:t>-364.56</w:t>
            </w:r>
          </w:p>
        </w:tc>
      </w:tr>
      <w:tr w:rsidR="00887568" w:rsidRPr="00A67F38" w14:paraId="47ED7622" w14:textId="77777777" w:rsidTr="0082111F">
        <w:trPr>
          <w:trHeight w:val="227"/>
        </w:trPr>
        <w:tc>
          <w:tcPr>
            <w:tcW w:w="802" w:type="dxa"/>
          </w:tcPr>
          <w:p w14:paraId="6DF1D5DA"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2015</w:t>
            </w:r>
          </w:p>
        </w:tc>
        <w:tc>
          <w:tcPr>
            <w:tcW w:w="891" w:type="dxa"/>
          </w:tcPr>
          <w:p w14:paraId="71A60AE5"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52.1</w:t>
            </w:r>
          </w:p>
        </w:tc>
        <w:tc>
          <w:tcPr>
            <w:tcW w:w="1336" w:type="dxa"/>
          </w:tcPr>
          <w:p w14:paraId="09FCF964"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20250</w:t>
            </w:r>
          </w:p>
        </w:tc>
        <w:tc>
          <w:tcPr>
            <w:tcW w:w="1381" w:type="dxa"/>
            <w:tcBorders>
              <w:right w:val="single" w:sz="4" w:space="0" w:color="auto"/>
            </w:tcBorders>
          </w:tcPr>
          <w:p w14:paraId="48F83118"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10550</w:t>
            </w:r>
          </w:p>
        </w:tc>
        <w:tc>
          <w:tcPr>
            <w:tcW w:w="1651" w:type="dxa"/>
            <w:tcBorders>
              <w:left w:val="single" w:sz="4" w:space="0" w:color="auto"/>
              <w:right w:val="nil"/>
            </w:tcBorders>
          </w:tcPr>
          <w:p w14:paraId="74802F4C"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4.92</w:t>
            </w:r>
          </w:p>
        </w:tc>
        <w:tc>
          <w:tcPr>
            <w:tcW w:w="1604" w:type="dxa"/>
            <w:tcBorders>
              <w:left w:val="single" w:sz="4" w:space="0" w:color="auto"/>
              <w:right w:val="nil"/>
            </w:tcBorders>
          </w:tcPr>
          <w:p w14:paraId="74A35EAF" w14:textId="77777777" w:rsidR="006B6AD8" w:rsidRPr="00A67F38" w:rsidRDefault="008419C8" w:rsidP="0082111F">
            <w:pPr>
              <w:jc w:val="center"/>
              <w:rPr>
                <w:color w:val="000000" w:themeColor="text1"/>
                <w:sz w:val="20"/>
                <w:szCs w:val="20"/>
              </w:rPr>
            </w:pPr>
            <w:r>
              <w:rPr>
                <w:color w:val="000000" w:themeColor="text1"/>
                <w:sz w:val="20"/>
                <w:szCs w:val="20"/>
              </w:rPr>
              <w:t>10788.78</w:t>
            </w:r>
          </w:p>
        </w:tc>
        <w:tc>
          <w:tcPr>
            <w:tcW w:w="535" w:type="dxa"/>
            <w:tcBorders>
              <w:top w:val="single" w:sz="4" w:space="0" w:color="auto"/>
              <w:left w:val="nil"/>
              <w:bottom w:val="single" w:sz="4" w:space="0" w:color="auto"/>
              <w:right w:val="single" w:sz="4" w:space="0" w:color="auto"/>
            </w:tcBorders>
          </w:tcPr>
          <w:p w14:paraId="3A7444F4"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19861557" w14:textId="77777777" w:rsidR="006B6AD8" w:rsidRPr="00A67F38" w:rsidRDefault="006B6AD8" w:rsidP="0082111F">
            <w:pPr>
              <w:jc w:val="center"/>
              <w:rPr>
                <w:color w:val="000000" w:themeColor="text1"/>
                <w:sz w:val="20"/>
                <w:szCs w:val="20"/>
              </w:rPr>
            </w:pPr>
            <w:r w:rsidRPr="00A67F38">
              <w:rPr>
                <w:color w:val="000000" w:themeColor="text1"/>
                <w:sz w:val="20"/>
                <w:szCs w:val="20"/>
              </w:rPr>
              <w:t>-238.78</w:t>
            </w:r>
          </w:p>
        </w:tc>
      </w:tr>
      <w:tr w:rsidR="00887568" w:rsidRPr="00A67F38" w14:paraId="405244E6" w14:textId="77777777" w:rsidTr="0082111F">
        <w:trPr>
          <w:trHeight w:val="227"/>
        </w:trPr>
        <w:tc>
          <w:tcPr>
            <w:tcW w:w="802" w:type="dxa"/>
          </w:tcPr>
          <w:p w14:paraId="7BD9D3C9"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2016</w:t>
            </w:r>
          </w:p>
        </w:tc>
        <w:tc>
          <w:tcPr>
            <w:tcW w:w="891" w:type="dxa"/>
          </w:tcPr>
          <w:p w14:paraId="6E9EB343"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52.7</w:t>
            </w:r>
          </w:p>
        </w:tc>
        <w:tc>
          <w:tcPr>
            <w:tcW w:w="1336" w:type="dxa"/>
          </w:tcPr>
          <w:p w14:paraId="59500B3F"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21116</w:t>
            </w:r>
          </w:p>
        </w:tc>
        <w:tc>
          <w:tcPr>
            <w:tcW w:w="1381" w:type="dxa"/>
            <w:tcBorders>
              <w:right w:val="single" w:sz="4" w:space="0" w:color="auto"/>
            </w:tcBorders>
          </w:tcPr>
          <w:p w14:paraId="6ECC5E1B"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11128</w:t>
            </w:r>
          </w:p>
        </w:tc>
        <w:tc>
          <w:tcPr>
            <w:tcW w:w="1651" w:type="dxa"/>
            <w:tcBorders>
              <w:left w:val="single" w:sz="4" w:space="0" w:color="auto"/>
              <w:right w:val="nil"/>
            </w:tcBorders>
          </w:tcPr>
          <w:p w14:paraId="31431311"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5.48</w:t>
            </w:r>
          </w:p>
        </w:tc>
        <w:tc>
          <w:tcPr>
            <w:tcW w:w="1604" w:type="dxa"/>
            <w:tcBorders>
              <w:left w:val="single" w:sz="4" w:space="0" w:color="auto"/>
              <w:right w:val="nil"/>
            </w:tcBorders>
          </w:tcPr>
          <w:p w14:paraId="753F4452" w14:textId="77777777" w:rsidR="006B6AD8" w:rsidRPr="00A67F38" w:rsidRDefault="006B6AD8" w:rsidP="0082111F">
            <w:pPr>
              <w:jc w:val="center"/>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14:paraId="172CF321"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3277FDD9" w14:textId="77777777" w:rsidR="006B6AD8" w:rsidRPr="00A67F38" w:rsidRDefault="006B6AD8" w:rsidP="0082111F">
            <w:pPr>
              <w:jc w:val="center"/>
              <w:rPr>
                <w:color w:val="000000" w:themeColor="text1"/>
                <w:sz w:val="20"/>
                <w:szCs w:val="20"/>
              </w:rPr>
            </w:pPr>
          </w:p>
        </w:tc>
      </w:tr>
      <w:tr w:rsidR="00887568" w:rsidRPr="00A67F38" w14:paraId="2BDF28FA" w14:textId="77777777" w:rsidTr="0082111F">
        <w:trPr>
          <w:trHeight w:val="156"/>
        </w:trPr>
        <w:tc>
          <w:tcPr>
            <w:tcW w:w="802" w:type="dxa"/>
            <w:tcBorders>
              <w:bottom w:val="single" w:sz="4" w:space="0" w:color="auto"/>
            </w:tcBorders>
          </w:tcPr>
          <w:p w14:paraId="2F2A07F1"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2017</w:t>
            </w:r>
          </w:p>
        </w:tc>
        <w:tc>
          <w:tcPr>
            <w:tcW w:w="891" w:type="dxa"/>
            <w:tcBorders>
              <w:bottom w:val="single" w:sz="4" w:space="0" w:color="auto"/>
            </w:tcBorders>
          </w:tcPr>
          <w:p w14:paraId="7A7F80F7"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53.2</w:t>
            </w:r>
          </w:p>
        </w:tc>
        <w:tc>
          <w:tcPr>
            <w:tcW w:w="1336" w:type="dxa"/>
            <w:tcBorders>
              <w:bottom w:val="single" w:sz="4" w:space="0" w:color="auto"/>
            </w:tcBorders>
          </w:tcPr>
          <w:p w14:paraId="08836A76" w14:textId="77777777" w:rsidR="006B6AD8" w:rsidRPr="00A67F38" w:rsidRDefault="006B6AD8" w:rsidP="0082111F">
            <w:pPr>
              <w:autoSpaceDE w:val="0"/>
              <w:autoSpaceDN w:val="0"/>
              <w:adjustRightInd w:val="0"/>
              <w:jc w:val="center"/>
              <w:rPr>
                <w:color w:val="000000" w:themeColor="text1"/>
                <w:sz w:val="20"/>
                <w:szCs w:val="20"/>
              </w:rPr>
            </w:pPr>
            <w:r w:rsidRPr="00A67F38">
              <w:rPr>
                <w:color w:val="000000" w:themeColor="text1"/>
                <w:sz w:val="20"/>
                <w:szCs w:val="20"/>
              </w:rPr>
              <w:t>21650</w:t>
            </w:r>
          </w:p>
        </w:tc>
        <w:tc>
          <w:tcPr>
            <w:tcW w:w="1381" w:type="dxa"/>
            <w:tcBorders>
              <w:bottom w:val="single" w:sz="4" w:space="0" w:color="auto"/>
              <w:right w:val="single" w:sz="4" w:space="0" w:color="auto"/>
            </w:tcBorders>
          </w:tcPr>
          <w:p w14:paraId="3497E58B" w14:textId="77777777" w:rsidR="006B6AD8" w:rsidRPr="00A67F38" w:rsidRDefault="006B6AD8" w:rsidP="0082111F">
            <w:pPr>
              <w:autoSpaceDE w:val="0"/>
              <w:autoSpaceDN w:val="0"/>
              <w:adjustRightInd w:val="0"/>
              <w:ind w:left="540"/>
              <w:jc w:val="center"/>
              <w:rPr>
                <w:color w:val="000000" w:themeColor="text1"/>
                <w:sz w:val="20"/>
                <w:szCs w:val="20"/>
              </w:rPr>
            </w:pPr>
            <w:r w:rsidRPr="00A67F38">
              <w:rPr>
                <w:color w:val="000000" w:themeColor="text1"/>
                <w:sz w:val="20"/>
                <w:szCs w:val="20"/>
              </w:rPr>
              <w:t>11518</w:t>
            </w:r>
          </w:p>
        </w:tc>
        <w:tc>
          <w:tcPr>
            <w:tcW w:w="1651" w:type="dxa"/>
            <w:tcBorders>
              <w:left w:val="single" w:sz="4" w:space="0" w:color="auto"/>
              <w:bottom w:val="single" w:sz="4" w:space="0" w:color="auto"/>
              <w:right w:val="nil"/>
            </w:tcBorders>
          </w:tcPr>
          <w:p w14:paraId="424DD392" w14:textId="77777777" w:rsidR="006B6AD8" w:rsidRPr="00A67F38" w:rsidRDefault="006B6AD8" w:rsidP="0082111F">
            <w:pPr>
              <w:autoSpaceDE w:val="0"/>
              <w:autoSpaceDN w:val="0"/>
              <w:adjustRightInd w:val="0"/>
              <w:ind w:left="540"/>
              <w:rPr>
                <w:color w:val="000000" w:themeColor="text1"/>
                <w:sz w:val="20"/>
                <w:szCs w:val="20"/>
              </w:rPr>
            </w:pPr>
            <w:r w:rsidRPr="00A67F38">
              <w:rPr>
                <w:color w:val="000000" w:themeColor="text1"/>
                <w:sz w:val="20"/>
                <w:szCs w:val="20"/>
              </w:rPr>
              <w:t>3.50</w:t>
            </w:r>
          </w:p>
        </w:tc>
        <w:tc>
          <w:tcPr>
            <w:tcW w:w="1604" w:type="dxa"/>
            <w:tcBorders>
              <w:left w:val="single" w:sz="4" w:space="0" w:color="auto"/>
              <w:bottom w:val="single" w:sz="4" w:space="0" w:color="auto"/>
              <w:right w:val="nil"/>
            </w:tcBorders>
          </w:tcPr>
          <w:p w14:paraId="3EBA6C38" w14:textId="77777777" w:rsidR="006B6AD8" w:rsidRPr="00A67F38" w:rsidRDefault="006B6AD8" w:rsidP="0082111F">
            <w:pPr>
              <w:jc w:val="center"/>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14:paraId="10D67491" w14:textId="77777777" w:rsidR="006B6AD8" w:rsidRPr="00A67F38" w:rsidRDefault="006B6AD8"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0E429873" w14:textId="77777777" w:rsidR="006B6AD8" w:rsidRPr="00A67F38" w:rsidRDefault="006B6AD8" w:rsidP="0082111F">
            <w:pPr>
              <w:jc w:val="center"/>
              <w:rPr>
                <w:color w:val="000000" w:themeColor="text1"/>
                <w:sz w:val="20"/>
                <w:szCs w:val="20"/>
              </w:rPr>
            </w:pPr>
          </w:p>
        </w:tc>
      </w:tr>
      <w:tr w:rsidR="00887568" w:rsidRPr="00A67F38" w14:paraId="3AB21967" w14:textId="77777777" w:rsidTr="0082111F">
        <w:trPr>
          <w:trHeight w:val="187"/>
        </w:trPr>
        <w:tc>
          <w:tcPr>
            <w:tcW w:w="802" w:type="dxa"/>
            <w:tcBorders>
              <w:top w:val="single" w:sz="4" w:space="0" w:color="auto"/>
              <w:bottom w:val="single" w:sz="4" w:space="0" w:color="auto"/>
            </w:tcBorders>
          </w:tcPr>
          <w:p w14:paraId="2B33D750" w14:textId="77777777"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2018</w:t>
            </w:r>
          </w:p>
        </w:tc>
        <w:tc>
          <w:tcPr>
            <w:tcW w:w="891" w:type="dxa"/>
            <w:tcBorders>
              <w:top w:val="single" w:sz="4" w:space="0" w:color="auto"/>
              <w:bottom w:val="single" w:sz="4" w:space="0" w:color="auto"/>
            </w:tcBorders>
          </w:tcPr>
          <w:p w14:paraId="7ED7DF64" w14:textId="77777777"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54.4</w:t>
            </w:r>
          </w:p>
        </w:tc>
        <w:tc>
          <w:tcPr>
            <w:tcW w:w="1336" w:type="dxa"/>
            <w:tcBorders>
              <w:top w:val="single" w:sz="4" w:space="0" w:color="auto"/>
              <w:bottom w:val="single" w:sz="4" w:space="0" w:color="auto"/>
            </w:tcBorders>
          </w:tcPr>
          <w:p w14:paraId="3AA1FC89" w14:textId="77777777"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22265</w:t>
            </w:r>
          </w:p>
        </w:tc>
        <w:tc>
          <w:tcPr>
            <w:tcW w:w="1381" w:type="dxa"/>
            <w:tcBorders>
              <w:top w:val="single" w:sz="4" w:space="0" w:color="auto"/>
              <w:bottom w:val="single" w:sz="4" w:space="0" w:color="auto"/>
              <w:right w:val="single" w:sz="4" w:space="0" w:color="auto"/>
            </w:tcBorders>
          </w:tcPr>
          <w:p w14:paraId="7361DB53" w14:textId="77777777" w:rsidR="00457D86" w:rsidRPr="00A67F38" w:rsidRDefault="00457D86" w:rsidP="0082111F">
            <w:pPr>
              <w:autoSpaceDE w:val="0"/>
              <w:autoSpaceDN w:val="0"/>
              <w:adjustRightInd w:val="0"/>
              <w:ind w:left="540"/>
              <w:jc w:val="center"/>
              <w:rPr>
                <w:color w:val="000000" w:themeColor="text1"/>
                <w:sz w:val="20"/>
                <w:szCs w:val="20"/>
              </w:rPr>
            </w:pPr>
            <w:r w:rsidRPr="00A67F38">
              <w:rPr>
                <w:color w:val="000000" w:themeColor="text1"/>
                <w:sz w:val="20"/>
                <w:szCs w:val="20"/>
              </w:rPr>
              <w:t>12112</w:t>
            </w:r>
          </w:p>
        </w:tc>
        <w:tc>
          <w:tcPr>
            <w:tcW w:w="1651" w:type="dxa"/>
            <w:tcBorders>
              <w:top w:val="single" w:sz="4" w:space="0" w:color="auto"/>
              <w:left w:val="single" w:sz="4" w:space="0" w:color="auto"/>
              <w:bottom w:val="single" w:sz="4" w:space="0" w:color="auto"/>
              <w:right w:val="nil"/>
            </w:tcBorders>
          </w:tcPr>
          <w:p w14:paraId="0C27EAE7" w14:textId="77777777" w:rsidR="00457D86" w:rsidRPr="00A67F38" w:rsidRDefault="00457D86" w:rsidP="0082111F">
            <w:pPr>
              <w:autoSpaceDE w:val="0"/>
              <w:autoSpaceDN w:val="0"/>
              <w:adjustRightInd w:val="0"/>
              <w:ind w:left="540"/>
              <w:rPr>
                <w:color w:val="000000" w:themeColor="text1"/>
                <w:sz w:val="20"/>
                <w:szCs w:val="20"/>
              </w:rPr>
            </w:pPr>
            <w:r w:rsidRPr="00A67F38">
              <w:rPr>
                <w:color w:val="000000" w:themeColor="text1"/>
                <w:sz w:val="20"/>
                <w:szCs w:val="20"/>
              </w:rPr>
              <w:t>5.16</w:t>
            </w:r>
          </w:p>
        </w:tc>
        <w:tc>
          <w:tcPr>
            <w:tcW w:w="1604" w:type="dxa"/>
            <w:tcBorders>
              <w:top w:val="single" w:sz="4" w:space="0" w:color="auto"/>
              <w:left w:val="single" w:sz="4" w:space="0" w:color="auto"/>
              <w:bottom w:val="single" w:sz="4" w:space="0" w:color="auto"/>
              <w:right w:val="nil"/>
            </w:tcBorders>
          </w:tcPr>
          <w:p w14:paraId="726B5B2F" w14:textId="77777777" w:rsidR="00457D86" w:rsidRPr="00A67F38" w:rsidRDefault="00457D86" w:rsidP="0082111F">
            <w:pPr>
              <w:jc w:val="center"/>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14:paraId="1B960DEA" w14:textId="77777777" w:rsidR="00457D86" w:rsidRPr="00A67F38" w:rsidRDefault="00457D86" w:rsidP="0082111F">
            <w:pPr>
              <w:jc w:val="center"/>
              <w:rPr>
                <w:color w:val="000000" w:themeColor="text1"/>
                <w:sz w:val="20"/>
                <w:szCs w:val="20"/>
              </w:rPr>
            </w:pPr>
          </w:p>
        </w:tc>
        <w:tc>
          <w:tcPr>
            <w:tcW w:w="1596" w:type="dxa"/>
            <w:tcBorders>
              <w:top w:val="single" w:sz="4" w:space="0" w:color="auto"/>
              <w:left w:val="single" w:sz="4" w:space="0" w:color="auto"/>
              <w:bottom w:val="single" w:sz="4" w:space="0" w:color="auto"/>
            </w:tcBorders>
          </w:tcPr>
          <w:p w14:paraId="66A09CF4" w14:textId="77777777" w:rsidR="00457D86" w:rsidRPr="00A67F38" w:rsidRDefault="00457D86" w:rsidP="0082111F">
            <w:pPr>
              <w:jc w:val="center"/>
              <w:rPr>
                <w:color w:val="000000" w:themeColor="text1"/>
                <w:sz w:val="20"/>
                <w:szCs w:val="20"/>
              </w:rPr>
            </w:pPr>
          </w:p>
        </w:tc>
      </w:tr>
      <w:tr w:rsidR="00887568" w:rsidRPr="00A67F38" w14:paraId="41717D6D" w14:textId="77777777" w:rsidTr="0082111F">
        <w:trPr>
          <w:trHeight w:val="225"/>
        </w:trPr>
        <w:tc>
          <w:tcPr>
            <w:tcW w:w="802" w:type="dxa"/>
            <w:tcBorders>
              <w:top w:val="single" w:sz="4" w:space="0" w:color="auto"/>
              <w:bottom w:val="single" w:sz="4" w:space="0" w:color="auto"/>
            </w:tcBorders>
          </w:tcPr>
          <w:p w14:paraId="5D85594F" w14:textId="77777777"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2019</w:t>
            </w:r>
          </w:p>
        </w:tc>
        <w:tc>
          <w:tcPr>
            <w:tcW w:w="891" w:type="dxa"/>
            <w:tcBorders>
              <w:top w:val="single" w:sz="4" w:space="0" w:color="auto"/>
              <w:bottom w:val="single" w:sz="4" w:space="0" w:color="auto"/>
            </w:tcBorders>
          </w:tcPr>
          <w:p w14:paraId="5FC0242F" w14:textId="77777777"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52.68</w:t>
            </w:r>
          </w:p>
        </w:tc>
        <w:tc>
          <w:tcPr>
            <w:tcW w:w="1336" w:type="dxa"/>
            <w:tcBorders>
              <w:top w:val="single" w:sz="4" w:space="0" w:color="auto"/>
              <w:bottom w:val="single" w:sz="4" w:space="0" w:color="auto"/>
            </w:tcBorders>
          </w:tcPr>
          <w:p w14:paraId="6938FBE8" w14:textId="77777777" w:rsidR="00457D86" w:rsidRPr="00A67F38" w:rsidRDefault="00457D86" w:rsidP="0082111F">
            <w:pPr>
              <w:autoSpaceDE w:val="0"/>
              <w:autoSpaceDN w:val="0"/>
              <w:adjustRightInd w:val="0"/>
              <w:jc w:val="center"/>
              <w:rPr>
                <w:color w:val="000000" w:themeColor="text1"/>
                <w:sz w:val="20"/>
                <w:szCs w:val="20"/>
              </w:rPr>
            </w:pPr>
            <w:r w:rsidRPr="00A67F38">
              <w:rPr>
                <w:color w:val="000000" w:themeColor="text1"/>
                <w:sz w:val="20"/>
                <w:szCs w:val="20"/>
              </w:rPr>
              <w:t>23840</w:t>
            </w:r>
          </w:p>
        </w:tc>
        <w:tc>
          <w:tcPr>
            <w:tcW w:w="1381" w:type="dxa"/>
            <w:tcBorders>
              <w:top w:val="single" w:sz="4" w:space="0" w:color="auto"/>
              <w:bottom w:val="single" w:sz="4" w:space="0" w:color="auto"/>
              <w:right w:val="single" w:sz="4" w:space="0" w:color="auto"/>
            </w:tcBorders>
          </w:tcPr>
          <w:p w14:paraId="4A24F582" w14:textId="77777777" w:rsidR="00457D86" w:rsidRPr="00A67F38" w:rsidRDefault="00457D86" w:rsidP="0082111F">
            <w:pPr>
              <w:autoSpaceDE w:val="0"/>
              <w:autoSpaceDN w:val="0"/>
              <w:adjustRightInd w:val="0"/>
              <w:ind w:left="540"/>
              <w:jc w:val="center"/>
              <w:rPr>
                <w:color w:val="000000" w:themeColor="text1"/>
                <w:sz w:val="20"/>
                <w:szCs w:val="20"/>
              </w:rPr>
            </w:pPr>
            <w:r w:rsidRPr="00A67F38">
              <w:rPr>
                <w:color w:val="000000" w:themeColor="text1"/>
                <w:sz w:val="20"/>
                <w:szCs w:val="20"/>
              </w:rPr>
              <w:t>12560</w:t>
            </w:r>
          </w:p>
        </w:tc>
        <w:tc>
          <w:tcPr>
            <w:tcW w:w="1651" w:type="dxa"/>
            <w:tcBorders>
              <w:top w:val="single" w:sz="4" w:space="0" w:color="auto"/>
              <w:left w:val="single" w:sz="4" w:space="0" w:color="auto"/>
              <w:bottom w:val="single" w:sz="4" w:space="0" w:color="auto"/>
              <w:right w:val="nil"/>
            </w:tcBorders>
          </w:tcPr>
          <w:p w14:paraId="06EB4A3B" w14:textId="77777777" w:rsidR="00457D86" w:rsidRPr="00A67F38" w:rsidRDefault="00457D86" w:rsidP="0082111F">
            <w:pPr>
              <w:autoSpaceDE w:val="0"/>
              <w:autoSpaceDN w:val="0"/>
              <w:adjustRightInd w:val="0"/>
              <w:ind w:left="540"/>
              <w:rPr>
                <w:color w:val="000000" w:themeColor="text1"/>
                <w:sz w:val="20"/>
                <w:szCs w:val="20"/>
              </w:rPr>
            </w:pPr>
            <w:r w:rsidRPr="00A67F38">
              <w:rPr>
                <w:color w:val="000000" w:themeColor="text1"/>
                <w:sz w:val="20"/>
                <w:szCs w:val="20"/>
              </w:rPr>
              <w:t>3.70</w:t>
            </w:r>
          </w:p>
        </w:tc>
        <w:tc>
          <w:tcPr>
            <w:tcW w:w="1604" w:type="dxa"/>
            <w:tcBorders>
              <w:top w:val="single" w:sz="4" w:space="0" w:color="auto"/>
              <w:left w:val="single" w:sz="4" w:space="0" w:color="auto"/>
              <w:bottom w:val="single" w:sz="4" w:space="0" w:color="auto"/>
              <w:right w:val="nil"/>
            </w:tcBorders>
          </w:tcPr>
          <w:p w14:paraId="0B8B7049" w14:textId="77777777" w:rsidR="00457D86" w:rsidRPr="00A67F38" w:rsidRDefault="00457D86" w:rsidP="0082111F">
            <w:pPr>
              <w:jc w:val="center"/>
              <w:rPr>
                <w:color w:val="000000" w:themeColor="text1"/>
                <w:sz w:val="20"/>
                <w:szCs w:val="20"/>
              </w:rPr>
            </w:pPr>
          </w:p>
        </w:tc>
        <w:tc>
          <w:tcPr>
            <w:tcW w:w="535" w:type="dxa"/>
            <w:tcBorders>
              <w:top w:val="single" w:sz="4" w:space="0" w:color="auto"/>
              <w:left w:val="nil"/>
              <w:bottom w:val="single" w:sz="4" w:space="0" w:color="auto"/>
              <w:right w:val="single" w:sz="4" w:space="0" w:color="auto"/>
            </w:tcBorders>
          </w:tcPr>
          <w:p w14:paraId="7F5F527E" w14:textId="77777777" w:rsidR="00457D86" w:rsidRPr="00A67F38" w:rsidRDefault="00457D86" w:rsidP="0082111F">
            <w:pPr>
              <w:autoSpaceDE w:val="0"/>
              <w:autoSpaceDN w:val="0"/>
              <w:adjustRightInd w:val="0"/>
              <w:rPr>
                <w:color w:val="000000" w:themeColor="text1"/>
                <w:sz w:val="20"/>
                <w:szCs w:val="20"/>
              </w:rPr>
            </w:pPr>
          </w:p>
        </w:tc>
        <w:tc>
          <w:tcPr>
            <w:tcW w:w="1596" w:type="dxa"/>
            <w:tcBorders>
              <w:top w:val="single" w:sz="4" w:space="0" w:color="auto"/>
              <w:left w:val="single" w:sz="4" w:space="0" w:color="auto"/>
              <w:bottom w:val="single" w:sz="4" w:space="0" w:color="auto"/>
            </w:tcBorders>
          </w:tcPr>
          <w:p w14:paraId="06ECB1E6" w14:textId="77777777" w:rsidR="00457D86" w:rsidRPr="00A67F38" w:rsidRDefault="00457D86" w:rsidP="0082111F">
            <w:pPr>
              <w:autoSpaceDE w:val="0"/>
              <w:autoSpaceDN w:val="0"/>
              <w:adjustRightInd w:val="0"/>
              <w:rPr>
                <w:color w:val="000000" w:themeColor="text1"/>
                <w:sz w:val="20"/>
                <w:szCs w:val="20"/>
              </w:rPr>
            </w:pPr>
          </w:p>
        </w:tc>
      </w:tr>
      <w:tr w:rsidR="00887568" w:rsidRPr="00A67F38" w14:paraId="1B6F2C05" w14:textId="77777777" w:rsidTr="0082111F">
        <w:trPr>
          <w:trHeight w:val="449"/>
        </w:trPr>
        <w:tc>
          <w:tcPr>
            <w:tcW w:w="4410" w:type="dxa"/>
            <w:gridSpan w:val="4"/>
            <w:tcBorders>
              <w:top w:val="single" w:sz="4" w:space="0" w:color="auto"/>
              <w:bottom w:val="single" w:sz="4" w:space="0" w:color="auto"/>
              <w:right w:val="single" w:sz="4" w:space="0" w:color="auto"/>
            </w:tcBorders>
          </w:tcPr>
          <w:p w14:paraId="39E59344" w14:textId="77777777" w:rsidR="00887568" w:rsidRPr="00A67F38" w:rsidRDefault="00887568" w:rsidP="0082111F">
            <w:pPr>
              <w:autoSpaceDE w:val="0"/>
              <w:autoSpaceDN w:val="0"/>
              <w:adjustRightInd w:val="0"/>
              <w:rPr>
                <w:color w:val="000000" w:themeColor="text1"/>
                <w:sz w:val="20"/>
                <w:szCs w:val="20"/>
              </w:rPr>
            </w:pPr>
            <w:r>
              <w:rPr>
                <w:color w:val="000000" w:themeColor="text1"/>
                <w:sz w:val="20"/>
                <w:szCs w:val="20"/>
              </w:rPr>
              <w:t>Average Annual Increase for the period 1991-2019</w:t>
            </w:r>
          </w:p>
        </w:tc>
        <w:tc>
          <w:tcPr>
            <w:tcW w:w="1651" w:type="dxa"/>
            <w:tcBorders>
              <w:top w:val="single" w:sz="4" w:space="0" w:color="auto"/>
              <w:bottom w:val="single" w:sz="4" w:space="0" w:color="auto"/>
              <w:right w:val="single" w:sz="4" w:space="0" w:color="auto"/>
            </w:tcBorders>
          </w:tcPr>
          <w:p w14:paraId="374F7B49" w14:textId="77777777" w:rsidR="00887568" w:rsidRPr="00A67F38" w:rsidRDefault="00887568" w:rsidP="0082111F">
            <w:pPr>
              <w:autoSpaceDE w:val="0"/>
              <w:autoSpaceDN w:val="0"/>
              <w:adjustRightInd w:val="0"/>
              <w:ind w:left="540"/>
              <w:rPr>
                <w:color w:val="000000" w:themeColor="text1"/>
                <w:sz w:val="20"/>
                <w:szCs w:val="20"/>
              </w:rPr>
            </w:pPr>
            <w:r>
              <w:rPr>
                <w:color w:val="000000" w:themeColor="text1"/>
                <w:sz w:val="20"/>
                <w:szCs w:val="20"/>
              </w:rPr>
              <w:t>3.73</w:t>
            </w:r>
          </w:p>
        </w:tc>
        <w:tc>
          <w:tcPr>
            <w:tcW w:w="1604" w:type="dxa"/>
            <w:vMerge w:val="restart"/>
            <w:tcBorders>
              <w:top w:val="single" w:sz="4" w:space="0" w:color="auto"/>
              <w:left w:val="single" w:sz="4" w:space="0" w:color="auto"/>
              <w:right w:val="nil"/>
            </w:tcBorders>
          </w:tcPr>
          <w:p w14:paraId="7F39625A" w14:textId="77777777" w:rsidR="00887568" w:rsidRPr="00887568" w:rsidRDefault="00887568" w:rsidP="0082111F">
            <w:pPr>
              <w:jc w:val="center"/>
              <w:rPr>
                <w:color w:val="000000" w:themeColor="text1"/>
                <w:sz w:val="20"/>
                <w:szCs w:val="20"/>
              </w:rPr>
            </w:pPr>
            <w:r w:rsidRPr="00887568">
              <w:rPr>
                <w:color w:val="000000" w:themeColor="text1"/>
                <w:sz w:val="20"/>
                <w:szCs w:val="20"/>
              </w:rPr>
              <w:t xml:space="preserve">Annual Average </w:t>
            </w:r>
            <w:r w:rsidRPr="00887568">
              <w:rPr>
                <w:color w:val="000000" w:themeColor="text1"/>
                <w:sz w:val="20"/>
                <w:szCs w:val="20"/>
              </w:rPr>
              <w:lastRenderedPageBreak/>
              <w:t xml:space="preserve">short-run </w:t>
            </w:r>
            <w:proofErr w:type="gramStart"/>
            <w:r w:rsidRPr="00887568">
              <w:rPr>
                <w:color w:val="000000" w:themeColor="text1"/>
                <w:sz w:val="20"/>
                <w:szCs w:val="20"/>
              </w:rPr>
              <w:t>variation(</w:t>
            </w:r>
            <w:proofErr w:type="gramEnd"/>
            <w:r w:rsidRPr="00887568">
              <w:rPr>
                <w:color w:val="000000" w:themeColor="text1"/>
                <w:sz w:val="20"/>
                <w:szCs w:val="20"/>
              </w:rPr>
              <w:t>+&amp; - signs are ignored)</w:t>
            </w:r>
          </w:p>
        </w:tc>
        <w:tc>
          <w:tcPr>
            <w:tcW w:w="535" w:type="dxa"/>
            <w:vMerge w:val="restart"/>
            <w:tcBorders>
              <w:top w:val="single" w:sz="4" w:space="0" w:color="auto"/>
              <w:left w:val="nil"/>
              <w:right w:val="single" w:sz="4" w:space="0" w:color="auto"/>
            </w:tcBorders>
          </w:tcPr>
          <w:p w14:paraId="577F17CC" w14:textId="77777777" w:rsidR="00887568" w:rsidRPr="00887568" w:rsidRDefault="00887568" w:rsidP="0082111F">
            <w:pPr>
              <w:autoSpaceDE w:val="0"/>
              <w:autoSpaceDN w:val="0"/>
              <w:adjustRightInd w:val="0"/>
              <w:rPr>
                <w:color w:val="000000" w:themeColor="text1"/>
                <w:sz w:val="20"/>
                <w:szCs w:val="20"/>
              </w:rPr>
            </w:pPr>
          </w:p>
        </w:tc>
        <w:tc>
          <w:tcPr>
            <w:tcW w:w="1596" w:type="dxa"/>
            <w:vMerge w:val="restart"/>
            <w:tcBorders>
              <w:top w:val="single" w:sz="4" w:space="0" w:color="auto"/>
              <w:left w:val="single" w:sz="4" w:space="0" w:color="auto"/>
            </w:tcBorders>
          </w:tcPr>
          <w:p w14:paraId="41C0C5C0" w14:textId="77777777" w:rsidR="00887568" w:rsidRPr="00887568" w:rsidRDefault="00887568" w:rsidP="0082111F">
            <w:pPr>
              <w:autoSpaceDE w:val="0"/>
              <w:autoSpaceDN w:val="0"/>
              <w:adjustRightInd w:val="0"/>
              <w:rPr>
                <w:color w:val="000000" w:themeColor="text1"/>
                <w:sz w:val="20"/>
                <w:szCs w:val="20"/>
              </w:rPr>
            </w:pPr>
            <w:r w:rsidRPr="00887568">
              <w:rPr>
                <w:color w:val="000000" w:themeColor="text1"/>
                <w:sz w:val="20"/>
                <w:szCs w:val="20"/>
              </w:rPr>
              <w:t xml:space="preserve">         185.71</w:t>
            </w:r>
          </w:p>
        </w:tc>
      </w:tr>
      <w:tr w:rsidR="00887568" w:rsidRPr="00A67F38" w14:paraId="6FAAAD91" w14:textId="77777777" w:rsidTr="0082111F">
        <w:trPr>
          <w:trHeight w:val="656"/>
        </w:trPr>
        <w:tc>
          <w:tcPr>
            <w:tcW w:w="4410" w:type="dxa"/>
            <w:gridSpan w:val="4"/>
            <w:tcBorders>
              <w:top w:val="single" w:sz="4" w:space="0" w:color="auto"/>
              <w:bottom w:val="nil"/>
              <w:right w:val="single" w:sz="4" w:space="0" w:color="auto"/>
            </w:tcBorders>
          </w:tcPr>
          <w:p w14:paraId="12F88A6B" w14:textId="77777777" w:rsidR="00887568" w:rsidRPr="00A67F38" w:rsidRDefault="00887568" w:rsidP="0082111F">
            <w:pPr>
              <w:autoSpaceDE w:val="0"/>
              <w:autoSpaceDN w:val="0"/>
              <w:adjustRightInd w:val="0"/>
              <w:rPr>
                <w:color w:val="000000" w:themeColor="text1"/>
                <w:sz w:val="20"/>
                <w:szCs w:val="20"/>
              </w:rPr>
            </w:pPr>
            <w:r w:rsidRPr="00A67F38">
              <w:rPr>
                <w:color w:val="000000" w:themeColor="text1"/>
                <w:sz w:val="20"/>
                <w:szCs w:val="20"/>
              </w:rPr>
              <w:lastRenderedPageBreak/>
              <w:t>Average Annual Increase for the period 2013-2019</w:t>
            </w:r>
          </w:p>
        </w:tc>
        <w:tc>
          <w:tcPr>
            <w:tcW w:w="1651" w:type="dxa"/>
            <w:tcBorders>
              <w:top w:val="single" w:sz="4" w:space="0" w:color="auto"/>
              <w:bottom w:val="nil"/>
              <w:right w:val="single" w:sz="4" w:space="0" w:color="auto"/>
            </w:tcBorders>
          </w:tcPr>
          <w:p w14:paraId="63E2F31A" w14:textId="77777777" w:rsidR="00887568" w:rsidRPr="00A67F38" w:rsidRDefault="00887568" w:rsidP="0082111F">
            <w:pPr>
              <w:autoSpaceDE w:val="0"/>
              <w:autoSpaceDN w:val="0"/>
              <w:adjustRightInd w:val="0"/>
              <w:rPr>
                <w:color w:val="000000" w:themeColor="text1"/>
                <w:sz w:val="20"/>
                <w:szCs w:val="20"/>
              </w:rPr>
            </w:pPr>
            <w:r>
              <w:rPr>
                <w:color w:val="000000" w:themeColor="text1"/>
                <w:sz w:val="20"/>
                <w:szCs w:val="20"/>
              </w:rPr>
              <w:t xml:space="preserve">           3.59</w:t>
            </w:r>
          </w:p>
        </w:tc>
        <w:tc>
          <w:tcPr>
            <w:tcW w:w="1604" w:type="dxa"/>
            <w:vMerge/>
            <w:tcBorders>
              <w:left w:val="single" w:sz="4" w:space="0" w:color="auto"/>
              <w:bottom w:val="nil"/>
              <w:right w:val="nil"/>
            </w:tcBorders>
          </w:tcPr>
          <w:p w14:paraId="14950A2F" w14:textId="77777777" w:rsidR="00887568" w:rsidRPr="00887568" w:rsidRDefault="00887568" w:rsidP="0082111F">
            <w:pPr>
              <w:jc w:val="center"/>
              <w:rPr>
                <w:color w:val="000000" w:themeColor="text1"/>
                <w:sz w:val="20"/>
                <w:szCs w:val="20"/>
              </w:rPr>
            </w:pPr>
          </w:p>
        </w:tc>
        <w:tc>
          <w:tcPr>
            <w:tcW w:w="535" w:type="dxa"/>
            <w:vMerge/>
            <w:tcBorders>
              <w:left w:val="nil"/>
              <w:bottom w:val="nil"/>
              <w:right w:val="single" w:sz="4" w:space="0" w:color="auto"/>
            </w:tcBorders>
          </w:tcPr>
          <w:p w14:paraId="34B46978" w14:textId="77777777" w:rsidR="00887568" w:rsidRPr="00887568" w:rsidRDefault="00887568" w:rsidP="0082111F">
            <w:pPr>
              <w:autoSpaceDE w:val="0"/>
              <w:autoSpaceDN w:val="0"/>
              <w:adjustRightInd w:val="0"/>
              <w:rPr>
                <w:color w:val="000000" w:themeColor="text1"/>
                <w:sz w:val="20"/>
                <w:szCs w:val="20"/>
              </w:rPr>
            </w:pPr>
          </w:p>
        </w:tc>
        <w:tc>
          <w:tcPr>
            <w:tcW w:w="1596" w:type="dxa"/>
            <w:vMerge/>
            <w:tcBorders>
              <w:top w:val="single" w:sz="4" w:space="0" w:color="auto"/>
              <w:left w:val="single" w:sz="4" w:space="0" w:color="auto"/>
            </w:tcBorders>
          </w:tcPr>
          <w:p w14:paraId="083EE382" w14:textId="77777777" w:rsidR="00887568" w:rsidRDefault="00887568" w:rsidP="0082111F">
            <w:pPr>
              <w:autoSpaceDE w:val="0"/>
              <w:autoSpaceDN w:val="0"/>
              <w:adjustRightInd w:val="0"/>
              <w:rPr>
                <w:color w:val="000000" w:themeColor="text1"/>
              </w:rPr>
            </w:pPr>
          </w:p>
        </w:tc>
      </w:tr>
      <w:tr w:rsidR="00887568" w:rsidRPr="00A67F38" w14:paraId="1D0FC653" w14:textId="77777777" w:rsidTr="0082111F">
        <w:trPr>
          <w:trHeight w:val="65"/>
        </w:trPr>
        <w:tc>
          <w:tcPr>
            <w:tcW w:w="4410" w:type="dxa"/>
            <w:gridSpan w:val="4"/>
            <w:tcBorders>
              <w:top w:val="nil"/>
              <w:right w:val="single" w:sz="4" w:space="0" w:color="auto"/>
            </w:tcBorders>
          </w:tcPr>
          <w:p w14:paraId="01D18E7D" w14:textId="77777777" w:rsidR="00887568" w:rsidRPr="00A67F38" w:rsidRDefault="00887568" w:rsidP="0082111F">
            <w:pPr>
              <w:autoSpaceDE w:val="0"/>
              <w:autoSpaceDN w:val="0"/>
              <w:adjustRightInd w:val="0"/>
              <w:jc w:val="center"/>
              <w:rPr>
                <w:color w:val="000000" w:themeColor="text1"/>
                <w:sz w:val="20"/>
                <w:szCs w:val="20"/>
              </w:rPr>
            </w:pPr>
          </w:p>
        </w:tc>
        <w:tc>
          <w:tcPr>
            <w:tcW w:w="1651" w:type="dxa"/>
            <w:tcBorders>
              <w:top w:val="nil"/>
              <w:left w:val="single" w:sz="4" w:space="0" w:color="auto"/>
              <w:right w:val="single" w:sz="4" w:space="0" w:color="auto"/>
            </w:tcBorders>
          </w:tcPr>
          <w:p w14:paraId="5F53F9CC" w14:textId="77777777" w:rsidR="00887568" w:rsidRPr="00A67F38" w:rsidRDefault="00887568" w:rsidP="0082111F">
            <w:pPr>
              <w:rPr>
                <w:color w:val="000000" w:themeColor="text1"/>
                <w:sz w:val="20"/>
                <w:szCs w:val="20"/>
              </w:rPr>
            </w:pPr>
          </w:p>
        </w:tc>
        <w:tc>
          <w:tcPr>
            <w:tcW w:w="2139" w:type="dxa"/>
            <w:gridSpan w:val="2"/>
            <w:tcBorders>
              <w:top w:val="nil"/>
              <w:left w:val="single" w:sz="4" w:space="0" w:color="auto"/>
              <w:right w:val="single" w:sz="4" w:space="0" w:color="auto"/>
            </w:tcBorders>
          </w:tcPr>
          <w:p w14:paraId="33A2DD48" w14:textId="77777777" w:rsidR="00887568" w:rsidRPr="00887568" w:rsidRDefault="00887568" w:rsidP="0082111F">
            <w:pPr>
              <w:autoSpaceDE w:val="0"/>
              <w:autoSpaceDN w:val="0"/>
              <w:adjustRightInd w:val="0"/>
              <w:rPr>
                <w:color w:val="000000" w:themeColor="text1"/>
                <w:sz w:val="20"/>
                <w:szCs w:val="20"/>
              </w:rPr>
            </w:pPr>
          </w:p>
        </w:tc>
        <w:tc>
          <w:tcPr>
            <w:tcW w:w="1596" w:type="dxa"/>
            <w:vMerge/>
            <w:tcBorders>
              <w:left w:val="single" w:sz="4" w:space="0" w:color="auto"/>
            </w:tcBorders>
          </w:tcPr>
          <w:p w14:paraId="0A0FD94B" w14:textId="77777777" w:rsidR="00887568" w:rsidRPr="00A67F38" w:rsidRDefault="00887568" w:rsidP="0082111F">
            <w:pPr>
              <w:autoSpaceDE w:val="0"/>
              <w:autoSpaceDN w:val="0"/>
              <w:adjustRightInd w:val="0"/>
              <w:rPr>
                <w:color w:val="000000" w:themeColor="text1"/>
                <w:sz w:val="20"/>
                <w:szCs w:val="20"/>
              </w:rPr>
            </w:pPr>
          </w:p>
        </w:tc>
      </w:tr>
    </w:tbl>
    <w:p w14:paraId="01381AD9" w14:textId="77777777" w:rsidR="00A67F38" w:rsidRDefault="00A67F38" w:rsidP="0082111F">
      <w:pPr>
        <w:autoSpaceDE w:val="0"/>
        <w:autoSpaceDN w:val="0"/>
        <w:adjustRightInd w:val="0"/>
        <w:ind w:left="360" w:hanging="360"/>
        <w:jc w:val="both"/>
        <w:rPr>
          <w:color w:val="000000" w:themeColor="text1"/>
          <w:sz w:val="20"/>
          <w:szCs w:val="20"/>
        </w:rPr>
      </w:pPr>
      <w:r w:rsidRPr="004B2FDB">
        <w:rPr>
          <w:color w:val="000000" w:themeColor="text1"/>
          <w:sz w:val="24"/>
          <w:szCs w:val="24"/>
        </w:rPr>
        <w:t xml:space="preserve">      </w:t>
      </w:r>
      <w:r w:rsidRPr="004B2FDB">
        <w:rPr>
          <w:color w:val="000000" w:themeColor="text1"/>
          <w:sz w:val="20"/>
          <w:szCs w:val="20"/>
        </w:rPr>
        <w:t>Sources: (</w:t>
      </w:r>
      <w:proofErr w:type="spellStart"/>
      <w:r w:rsidRPr="004B2FDB">
        <w:rPr>
          <w:color w:val="000000" w:themeColor="text1"/>
          <w:sz w:val="20"/>
          <w:szCs w:val="20"/>
        </w:rPr>
        <w:t>i</w:t>
      </w:r>
      <w:proofErr w:type="spellEnd"/>
      <w:r w:rsidRPr="004B2FDB">
        <w:rPr>
          <w:color w:val="000000" w:themeColor="text1"/>
          <w:sz w:val="20"/>
          <w:szCs w:val="20"/>
        </w:rPr>
        <w:t>) NSSO, Report2012, 2014, 2015 &amp;2016; (ii) Assam, HDR, 2013: Managing Diversities, Achieving Human Development; (iii) Directorate of Economics&amp; Statistics, Government of Assam; (iv) 5</w:t>
      </w:r>
      <w:r w:rsidRPr="004B2FDB">
        <w:rPr>
          <w:color w:val="000000" w:themeColor="text1"/>
          <w:sz w:val="20"/>
          <w:szCs w:val="20"/>
          <w:vertAlign w:val="superscript"/>
        </w:rPr>
        <w:t>th</w:t>
      </w:r>
      <w:r w:rsidRPr="004B2FDB">
        <w:rPr>
          <w:color w:val="000000" w:themeColor="text1"/>
          <w:sz w:val="20"/>
          <w:szCs w:val="20"/>
        </w:rPr>
        <w:t xml:space="preserve"> annual employment-unemployment survey, </w:t>
      </w:r>
      <w:proofErr w:type="spellStart"/>
      <w:r w:rsidRPr="004B2FDB">
        <w:rPr>
          <w:color w:val="000000" w:themeColor="text1"/>
          <w:sz w:val="20"/>
          <w:szCs w:val="20"/>
        </w:rPr>
        <w:t>Labour</w:t>
      </w:r>
      <w:proofErr w:type="spellEnd"/>
      <w:r w:rsidRPr="004B2FDB">
        <w:rPr>
          <w:color w:val="000000" w:themeColor="text1"/>
          <w:sz w:val="20"/>
          <w:szCs w:val="20"/>
        </w:rPr>
        <w:t xml:space="preserve"> Bureau, Ministry of </w:t>
      </w:r>
      <w:proofErr w:type="spellStart"/>
      <w:r w:rsidRPr="004B2FDB">
        <w:rPr>
          <w:color w:val="000000" w:themeColor="text1"/>
          <w:sz w:val="20"/>
          <w:szCs w:val="20"/>
        </w:rPr>
        <w:t>Labour</w:t>
      </w:r>
      <w:proofErr w:type="spellEnd"/>
      <w:r w:rsidRPr="004B2FDB">
        <w:rPr>
          <w:color w:val="000000" w:themeColor="text1"/>
          <w:sz w:val="20"/>
          <w:szCs w:val="20"/>
        </w:rPr>
        <w:t xml:space="preserve"> &amp; employment, 2015-16; And (v)Population census, 2001, office of Registrar general of India. </w:t>
      </w:r>
    </w:p>
    <w:p w14:paraId="606AAF40" w14:textId="77777777" w:rsidR="00457D86" w:rsidRDefault="00457D86" w:rsidP="00A67F38">
      <w:pPr>
        <w:autoSpaceDE w:val="0"/>
        <w:autoSpaceDN w:val="0"/>
        <w:adjustRightInd w:val="0"/>
        <w:spacing w:before="120"/>
        <w:ind w:left="360" w:hanging="360"/>
        <w:jc w:val="both"/>
        <w:rPr>
          <w:color w:val="000000" w:themeColor="text1"/>
          <w:sz w:val="20"/>
          <w:szCs w:val="20"/>
        </w:rPr>
      </w:pPr>
    </w:p>
    <w:p w14:paraId="77D221D5" w14:textId="77777777" w:rsidR="00457D86" w:rsidRDefault="00457D86" w:rsidP="00A67F38">
      <w:pPr>
        <w:autoSpaceDE w:val="0"/>
        <w:autoSpaceDN w:val="0"/>
        <w:adjustRightInd w:val="0"/>
        <w:spacing w:before="120"/>
        <w:ind w:left="360" w:hanging="360"/>
        <w:jc w:val="both"/>
        <w:rPr>
          <w:color w:val="000000" w:themeColor="text1"/>
          <w:sz w:val="20"/>
          <w:szCs w:val="20"/>
        </w:rPr>
      </w:pPr>
    </w:p>
    <w:p w14:paraId="5368F026" w14:textId="77777777" w:rsidR="00457D86" w:rsidRDefault="00457D86" w:rsidP="00A67F38">
      <w:pPr>
        <w:autoSpaceDE w:val="0"/>
        <w:autoSpaceDN w:val="0"/>
        <w:adjustRightInd w:val="0"/>
        <w:spacing w:before="120"/>
        <w:ind w:left="360" w:hanging="360"/>
        <w:jc w:val="both"/>
        <w:rPr>
          <w:color w:val="000000" w:themeColor="text1"/>
          <w:sz w:val="20"/>
          <w:szCs w:val="20"/>
        </w:rPr>
      </w:pPr>
    </w:p>
    <w:p w14:paraId="7BD1C0BC" w14:textId="77777777" w:rsidR="00457D86" w:rsidRPr="004B2FDB" w:rsidRDefault="00457D86" w:rsidP="00A67F38">
      <w:pPr>
        <w:autoSpaceDE w:val="0"/>
        <w:autoSpaceDN w:val="0"/>
        <w:adjustRightInd w:val="0"/>
        <w:spacing w:before="120"/>
        <w:ind w:left="360" w:hanging="360"/>
        <w:jc w:val="both"/>
        <w:rPr>
          <w:color w:val="000000" w:themeColor="text1"/>
          <w:sz w:val="20"/>
          <w:szCs w:val="20"/>
        </w:rPr>
      </w:pPr>
    </w:p>
    <w:p w14:paraId="38DBF1D2" w14:textId="1D32F890" w:rsidR="00AA2E8D" w:rsidRPr="004B2FDB" w:rsidRDefault="00AA2E8D" w:rsidP="00AA2E8D">
      <w:pPr>
        <w:autoSpaceDE w:val="0"/>
        <w:autoSpaceDN w:val="0"/>
        <w:adjustRightInd w:val="0"/>
        <w:jc w:val="both"/>
        <w:rPr>
          <w:b/>
          <w:noProof/>
          <w:color w:val="000000" w:themeColor="text1"/>
          <w:sz w:val="24"/>
          <w:szCs w:val="24"/>
        </w:rPr>
      </w:pPr>
      <w:r>
        <w:rPr>
          <w:b/>
          <w:color w:val="000000" w:themeColor="text1"/>
          <w:sz w:val="24"/>
          <w:szCs w:val="24"/>
        </w:rPr>
        <w:t xml:space="preserve">      </w:t>
      </w:r>
      <w:r w:rsidRPr="004B2FDB">
        <w:rPr>
          <w:b/>
          <w:color w:val="000000" w:themeColor="text1"/>
          <w:sz w:val="24"/>
          <w:szCs w:val="24"/>
        </w:rPr>
        <w:t>Fig</w:t>
      </w:r>
      <w:r w:rsidR="005F1A08">
        <w:rPr>
          <w:b/>
          <w:color w:val="000000" w:themeColor="text1"/>
          <w:sz w:val="24"/>
          <w:szCs w:val="24"/>
        </w:rPr>
        <w:t xml:space="preserve"> </w:t>
      </w:r>
      <w:r w:rsidRPr="004B2FDB">
        <w:rPr>
          <w:b/>
          <w:color w:val="000000" w:themeColor="text1"/>
          <w:sz w:val="24"/>
          <w:szCs w:val="24"/>
        </w:rPr>
        <w:t xml:space="preserve">1: Trend Line of total </w:t>
      </w:r>
      <w:proofErr w:type="spellStart"/>
      <w:r w:rsidRPr="004B2FDB">
        <w:rPr>
          <w:b/>
          <w:color w:val="000000" w:themeColor="text1"/>
          <w:sz w:val="24"/>
          <w:szCs w:val="24"/>
        </w:rPr>
        <w:t>labour</w:t>
      </w:r>
      <w:proofErr w:type="spellEnd"/>
      <w:r w:rsidRPr="004B2FDB">
        <w:rPr>
          <w:b/>
          <w:color w:val="000000" w:themeColor="text1"/>
          <w:sz w:val="24"/>
          <w:szCs w:val="24"/>
        </w:rPr>
        <w:t xml:space="preserve"> supply of Assam during1991-2019:</w:t>
      </w:r>
      <w:r w:rsidRPr="004B2FDB">
        <w:rPr>
          <w:b/>
          <w:noProof/>
          <w:color w:val="000000" w:themeColor="text1"/>
          <w:sz w:val="24"/>
          <w:szCs w:val="24"/>
        </w:rPr>
        <w:t xml:space="preserve"> </w:t>
      </w:r>
    </w:p>
    <w:p w14:paraId="68D8D323" w14:textId="77777777" w:rsidR="00A67F38" w:rsidRDefault="00AA2E8D" w:rsidP="00AA2E8D">
      <w:pPr>
        <w:pBdr>
          <w:top w:val="nil"/>
          <w:left w:val="nil"/>
          <w:bottom w:val="nil"/>
          <w:right w:val="nil"/>
          <w:between w:val="nil"/>
        </w:pBdr>
        <w:ind w:right="210"/>
        <w:jc w:val="both"/>
        <w:rPr>
          <w:b/>
          <w:color w:val="000000"/>
          <w:sz w:val="20"/>
          <w:szCs w:val="20"/>
        </w:rPr>
      </w:pPr>
      <w:r w:rsidRPr="00AA2E8D">
        <w:rPr>
          <w:b/>
          <w:noProof/>
          <w:color w:val="000000"/>
          <w:sz w:val="20"/>
          <w:szCs w:val="20"/>
          <w:lang w:eastAsia="en-US"/>
        </w:rPr>
        <w:drawing>
          <wp:inline distT="0" distB="0" distL="0" distR="0" wp14:anchorId="1CE68257" wp14:editId="5222F73B">
            <wp:extent cx="6126773" cy="2375731"/>
            <wp:effectExtent l="19050" t="0" r="26377" b="5519"/>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28DB5A" w14:textId="77777777" w:rsidR="00AA2E8D" w:rsidRPr="004B2FDB" w:rsidRDefault="00AA2E8D" w:rsidP="00AA2E8D">
      <w:pPr>
        <w:pStyle w:val="FootnoteText"/>
        <w:spacing w:before="120" w:line="360" w:lineRule="auto"/>
        <w:jc w:val="both"/>
        <w:rPr>
          <w:color w:val="000000" w:themeColor="text1"/>
          <w:sz w:val="24"/>
          <w:szCs w:val="24"/>
        </w:rPr>
      </w:pPr>
      <w:r w:rsidRPr="004B2FDB">
        <w:rPr>
          <w:color w:val="000000" w:themeColor="text1"/>
          <w:sz w:val="24"/>
          <w:szCs w:val="24"/>
        </w:rPr>
        <w:t xml:space="preserve">Data source: Size of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in the state for 1991-2019 as shown </w:t>
      </w:r>
      <w:r w:rsidR="00E96CEE" w:rsidRPr="004B2FDB">
        <w:rPr>
          <w:color w:val="000000" w:themeColor="text1"/>
          <w:sz w:val="24"/>
          <w:szCs w:val="24"/>
        </w:rPr>
        <w:t>in</w:t>
      </w:r>
      <w:r w:rsidR="00E96CEE">
        <w:rPr>
          <w:color w:val="000000" w:themeColor="text1"/>
          <w:sz w:val="24"/>
          <w:szCs w:val="24"/>
        </w:rPr>
        <w:t xml:space="preserve"> table</w:t>
      </w:r>
      <w:r w:rsidR="00D51A07">
        <w:rPr>
          <w:color w:val="000000" w:themeColor="text1"/>
          <w:sz w:val="24"/>
          <w:szCs w:val="24"/>
        </w:rPr>
        <w:t>-3</w:t>
      </w:r>
    </w:p>
    <w:p w14:paraId="7773EC46" w14:textId="77777777" w:rsidR="00A67F38" w:rsidRDefault="00A67F38" w:rsidP="00AA2E8D">
      <w:pPr>
        <w:pBdr>
          <w:top w:val="nil"/>
          <w:left w:val="nil"/>
          <w:bottom w:val="nil"/>
          <w:right w:val="nil"/>
          <w:between w:val="nil"/>
        </w:pBdr>
        <w:ind w:left="450" w:right="-450"/>
        <w:jc w:val="both"/>
        <w:rPr>
          <w:b/>
          <w:color w:val="000000"/>
          <w:sz w:val="20"/>
          <w:szCs w:val="20"/>
        </w:rPr>
      </w:pPr>
    </w:p>
    <w:p w14:paraId="353C3ECE" w14:textId="77777777" w:rsidR="00643105" w:rsidRPr="00643105" w:rsidRDefault="00643105" w:rsidP="00643105">
      <w:pPr>
        <w:pStyle w:val="ListParagraph"/>
        <w:numPr>
          <w:ilvl w:val="0"/>
          <w:numId w:val="7"/>
        </w:numPr>
        <w:pBdr>
          <w:top w:val="nil"/>
          <w:left w:val="nil"/>
          <w:bottom w:val="nil"/>
          <w:right w:val="nil"/>
          <w:between w:val="nil"/>
        </w:pBdr>
        <w:spacing w:before="146"/>
        <w:jc w:val="both"/>
        <w:rPr>
          <w:b/>
          <w:color w:val="000000"/>
          <w:sz w:val="24"/>
          <w:szCs w:val="24"/>
        </w:rPr>
      </w:pPr>
      <w:proofErr w:type="gramStart"/>
      <w:r w:rsidRPr="00643105">
        <w:rPr>
          <w:b/>
          <w:color w:val="000000"/>
          <w:sz w:val="24"/>
          <w:szCs w:val="24"/>
        </w:rPr>
        <w:t xml:space="preserve">For </w:t>
      </w:r>
      <w:r w:rsidR="00F23704" w:rsidRPr="00643105">
        <w:rPr>
          <w:b/>
          <w:color w:val="000000"/>
          <w:sz w:val="24"/>
          <w:szCs w:val="24"/>
        </w:rPr>
        <w:t xml:space="preserve"> C</w:t>
      </w:r>
      <w:r w:rsidRPr="00643105">
        <w:rPr>
          <w:b/>
          <w:color w:val="000000"/>
          <w:sz w:val="24"/>
          <w:szCs w:val="24"/>
        </w:rPr>
        <w:t>onstruction</w:t>
      </w:r>
      <w:proofErr w:type="gramEnd"/>
      <w:r w:rsidRPr="00643105">
        <w:rPr>
          <w:b/>
          <w:color w:val="000000"/>
          <w:sz w:val="24"/>
          <w:szCs w:val="24"/>
        </w:rPr>
        <w:t xml:space="preserve"> </w:t>
      </w:r>
      <w:r w:rsidR="00F23704" w:rsidRPr="00643105">
        <w:rPr>
          <w:b/>
          <w:color w:val="000000"/>
          <w:sz w:val="24"/>
          <w:szCs w:val="24"/>
        </w:rPr>
        <w:t>W</w:t>
      </w:r>
      <w:r w:rsidRPr="00643105">
        <w:rPr>
          <w:b/>
          <w:color w:val="000000"/>
          <w:sz w:val="24"/>
          <w:szCs w:val="24"/>
        </w:rPr>
        <w:t>orker</w:t>
      </w:r>
      <w:r w:rsidR="00F23704" w:rsidRPr="00643105">
        <w:rPr>
          <w:b/>
          <w:color w:val="000000"/>
          <w:sz w:val="24"/>
          <w:szCs w:val="24"/>
        </w:rPr>
        <w:t>s in the state:</w:t>
      </w:r>
    </w:p>
    <w:p w14:paraId="63422499" w14:textId="77777777" w:rsidR="00643105" w:rsidRPr="004B2FDB" w:rsidRDefault="00643105" w:rsidP="00643105">
      <w:pPr>
        <w:pStyle w:val="noindent"/>
        <w:shd w:val="clear" w:color="auto" w:fill="FFFFFF"/>
        <w:spacing w:before="120" w:beforeAutospacing="0" w:after="0" w:afterAutospacing="0" w:line="276" w:lineRule="auto"/>
        <w:ind w:firstLine="720"/>
        <w:jc w:val="both"/>
        <w:rPr>
          <w:color w:val="000000" w:themeColor="text1"/>
        </w:rPr>
      </w:pPr>
      <w:r w:rsidRPr="004B2FDB">
        <w:rPr>
          <w:color w:val="000000" w:themeColor="text1"/>
        </w:rPr>
        <w:t xml:space="preserve">The construction workforce (CWs) is a part of the total labour supply of the state. From the evidence of many studies, it has been found that the workforce in the unorganized/informal sectors contributes more than 90% to the total </w:t>
      </w:r>
      <w:proofErr w:type="spellStart"/>
      <w:r w:rsidRPr="004B2FDB">
        <w:rPr>
          <w:color w:val="000000" w:themeColor="text1"/>
        </w:rPr>
        <w:t>labourforce</w:t>
      </w:r>
      <w:proofErr w:type="spellEnd"/>
      <w:r w:rsidRPr="004B2FDB">
        <w:rPr>
          <w:color w:val="000000" w:themeColor="text1"/>
        </w:rPr>
        <w:t xml:space="preserve"> in our country</w:t>
      </w:r>
      <w:r>
        <w:rPr>
          <w:color w:val="000000" w:themeColor="text1"/>
        </w:rPr>
        <w:t xml:space="preserve">. </w:t>
      </w:r>
      <w:r w:rsidRPr="004B2FDB">
        <w:rPr>
          <w:color w:val="000000" w:themeColor="text1"/>
        </w:rPr>
        <w:t>The construction sector absorbs a large number of such workforces next to the agriculture sector in the country. In 2009-10, the total workforce employed in different sectors of Indian economy was 46.5crore, out of which around 2.8 crore (6.02%) was employed in organized sector and 43.7 crore (93.98%) was in unorganized sector.</w:t>
      </w:r>
    </w:p>
    <w:p w14:paraId="7B82F186" w14:textId="77777777" w:rsidR="00643105" w:rsidRDefault="00643105" w:rsidP="00643105">
      <w:pPr>
        <w:pStyle w:val="noindent"/>
        <w:shd w:val="clear" w:color="auto" w:fill="FFFFFF"/>
        <w:spacing w:before="120" w:beforeAutospacing="0" w:after="0" w:afterAutospacing="0" w:line="276" w:lineRule="auto"/>
        <w:ind w:firstLine="720"/>
        <w:jc w:val="both"/>
        <w:rPr>
          <w:b/>
          <w:color w:val="000000"/>
        </w:rPr>
      </w:pPr>
      <w:r w:rsidRPr="004B2FDB">
        <w:rPr>
          <w:color w:val="000000" w:themeColor="text1"/>
        </w:rPr>
        <w:t xml:space="preserve">Out of 43.7 crore workers engaged in unorganized sector, the largest number of such workers (24.6 crore in 56.29%) was employed in agricultural sector. Next to it, around 4.4 </w:t>
      </w:r>
      <w:proofErr w:type="gramStart"/>
      <w:r w:rsidRPr="004B2FDB">
        <w:rPr>
          <w:color w:val="000000" w:themeColor="text1"/>
        </w:rPr>
        <w:t>crore(</w:t>
      </w:r>
      <w:proofErr w:type="gramEnd"/>
      <w:r w:rsidRPr="004B2FDB">
        <w:rPr>
          <w:color w:val="000000" w:themeColor="text1"/>
        </w:rPr>
        <w:t>10.07%) was in construction sector, and the remaining 14.7 crore (33.64%) in manufacturing and service sectors</w:t>
      </w:r>
      <w:r w:rsidRPr="004B2FDB">
        <w:rPr>
          <w:rStyle w:val="FootnoteReference"/>
          <w:color w:val="000000" w:themeColor="text1"/>
        </w:rPr>
        <w:footnoteReference w:id="12"/>
      </w:r>
      <w:r w:rsidRPr="004B2FDB">
        <w:rPr>
          <w:color w:val="000000" w:themeColor="text1"/>
        </w:rPr>
        <w:t xml:space="preserve">. In India, the total workforce engaged in informal sector was </w:t>
      </w:r>
      <w:r w:rsidRPr="004B2FDB">
        <w:rPr>
          <w:color w:val="000000" w:themeColor="text1"/>
        </w:rPr>
        <w:lastRenderedPageBreak/>
        <w:t>7.6% in 2011-12, which has increased to 9.3% in 2017-18.  Contrary to it, NSSO has observed that the share of the total workforce engaged in informal sector in the country was 92.4% in 2011-12, which has decreased slightly to 90.7% in 2017-18</w:t>
      </w:r>
      <w:sdt>
        <w:sdtPr>
          <w:rPr>
            <w:color w:val="000000" w:themeColor="text1"/>
          </w:rPr>
          <w:id w:val="98317204"/>
          <w:citation/>
        </w:sdtPr>
        <w:sdtEndPr/>
        <w:sdtContent>
          <w:r w:rsidR="00CC730B" w:rsidRPr="004B2FDB">
            <w:rPr>
              <w:color w:val="000000" w:themeColor="text1"/>
            </w:rPr>
            <w:fldChar w:fldCharType="begin"/>
          </w:r>
          <w:r w:rsidRPr="004B2FDB">
            <w:rPr>
              <w:color w:val="000000" w:themeColor="text1"/>
              <w:lang w:val="en-US"/>
            </w:rPr>
            <w:instrText xml:space="preserve"> CITATION NSS14 \l 1033 </w:instrText>
          </w:r>
          <w:r w:rsidR="00CC730B" w:rsidRPr="004B2FDB">
            <w:rPr>
              <w:color w:val="000000" w:themeColor="text1"/>
            </w:rPr>
            <w:fldChar w:fldCharType="separate"/>
          </w:r>
          <w:r w:rsidRPr="004B2FDB">
            <w:rPr>
              <w:noProof/>
              <w:color w:val="000000" w:themeColor="text1"/>
              <w:lang w:val="en-US"/>
            </w:rPr>
            <w:t xml:space="preserve"> (NSSO, 2014)</w:t>
          </w:r>
          <w:r w:rsidR="00CC730B" w:rsidRPr="004B2FDB">
            <w:rPr>
              <w:color w:val="000000" w:themeColor="text1"/>
            </w:rPr>
            <w:fldChar w:fldCharType="end"/>
          </w:r>
        </w:sdtContent>
      </w:sdt>
      <w:sdt>
        <w:sdtPr>
          <w:rPr>
            <w:color w:val="000000" w:themeColor="text1"/>
          </w:rPr>
          <w:id w:val="98317205"/>
          <w:citation/>
        </w:sdtPr>
        <w:sdtEndPr/>
        <w:sdtContent>
          <w:r w:rsidR="00CC730B" w:rsidRPr="004B2FDB">
            <w:rPr>
              <w:color w:val="000000" w:themeColor="text1"/>
            </w:rPr>
            <w:fldChar w:fldCharType="begin"/>
          </w:r>
          <w:r w:rsidRPr="004B2FDB">
            <w:rPr>
              <w:color w:val="000000" w:themeColor="text1"/>
              <w:lang w:val="en-US"/>
            </w:rPr>
            <w:instrText xml:space="preserve"> CITATION NSO19 \l 1033 </w:instrText>
          </w:r>
          <w:r w:rsidR="00CC730B" w:rsidRPr="004B2FDB">
            <w:rPr>
              <w:color w:val="000000" w:themeColor="text1"/>
            </w:rPr>
            <w:fldChar w:fldCharType="separate"/>
          </w:r>
          <w:r w:rsidRPr="004B2FDB">
            <w:rPr>
              <w:noProof/>
              <w:color w:val="000000" w:themeColor="text1"/>
              <w:lang w:val="en-US"/>
            </w:rPr>
            <w:t xml:space="preserve"> (NSO, 2019)</w:t>
          </w:r>
          <w:r w:rsidR="00CC730B" w:rsidRPr="004B2FDB">
            <w:rPr>
              <w:color w:val="000000" w:themeColor="text1"/>
            </w:rPr>
            <w:fldChar w:fldCharType="end"/>
          </w:r>
        </w:sdtContent>
      </w:sdt>
      <w:r w:rsidRPr="004B2FDB">
        <w:rPr>
          <w:color w:val="000000" w:themeColor="text1"/>
        </w:rPr>
        <w:t>.</w:t>
      </w:r>
    </w:p>
    <w:p w14:paraId="697889C1" w14:textId="77777777" w:rsidR="00643105" w:rsidRPr="004B2FDB" w:rsidRDefault="00643105" w:rsidP="00643105">
      <w:pPr>
        <w:autoSpaceDE w:val="0"/>
        <w:autoSpaceDN w:val="0"/>
        <w:adjustRightInd w:val="0"/>
        <w:spacing w:before="120" w:line="276" w:lineRule="auto"/>
        <w:ind w:left="270" w:firstLine="270"/>
        <w:jc w:val="both"/>
        <w:rPr>
          <w:bCs/>
          <w:color w:val="000000" w:themeColor="text1"/>
          <w:sz w:val="24"/>
          <w:szCs w:val="24"/>
        </w:rPr>
      </w:pPr>
      <w:r w:rsidRPr="004B2FDB">
        <w:rPr>
          <w:bCs/>
          <w:color w:val="000000" w:themeColor="text1"/>
          <w:sz w:val="24"/>
          <w:szCs w:val="24"/>
        </w:rPr>
        <w:t xml:space="preserve">   Based on the data of construction workers (</w:t>
      </w:r>
      <w:r w:rsidRPr="004B2FDB">
        <w:rPr>
          <w:color w:val="000000" w:themeColor="text1"/>
          <w:sz w:val="24"/>
          <w:szCs w:val="24"/>
        </w:rPr>
        <w:t xml:space="preserve">CWs) </w:t>
      </w:r>
      <w:r w:rsidRPr="004B2FDB">
        <w:rPr>
          <w:bCs/>
          <w:color w:val="000000" w:themeColor="text1"/>
          <w:sz w:val="24"/>
          <w:szCs w:val="24"/>
        </w:rPr>
        <w:t xml:space="preserve">in </w:t>
      </w:r>
      <w:r>
        <w:rPr>
          <w:bCs/>
          <w:color w:val="000000" w:themeColor="text1"/>
          <w:sz w:val="24"/>
          <w:szCs w:val="24"/>
        </w:rPr>
        <w:t>the state for the period of 1991</w:t>
      </w:r>
      <w:r w:rsidRPr="004B2FDB">
        <w:rPr>
          <w:bCs/>
          <w:color w:val="000000" w:themeColor="text1"/>
          <w:sz w:val="24"/>
          <w:szCs w:val="24"/>
        </w:rPr>
        <w:t>-2019,</w:t>
      </w:r>
      <w:r w:rsidRPr="004B2FDB">
        <w:rPr>
          <w:b/>
          <w:bCs/>
          <w:color w:val="000000" w:themeColor="text1"/>
          <w:sz w:val="24"/>
          <w:szCs w:val="24"/>
        </w:rPr>
        <w:t xml:space="preserve"> </w:t>
      </w:r>
      <w:r w:rsidRPr="004B2FDB">
        <w:rPr>
          <w:bCs/>
          <w:color w:val="000000" w:themeColor="text1"/>
          <w:sz w:val="24"/>
          <w:szCs w:val="24"/>
        </w:rPr>
        <w:t>the supply trend of CWs in the state has been estimate</w:t>
      </w:r>
      <w:r>
        <w:rPr>
          <w:bCs/>
          <w:color w:val="000000" w:themeColor="text1"/>
          <w:sz w:val="24"/>
          <w:szCs w:val="24"/>
        </w:rPr>
        <w:t>d as follows-</w:t>
      </w:r>
    </w:p>
    <w:p w14:paraId="5049967E" w14:textId="77777777" w:rsidR="00643105" w:rsidRPr="004B2FDB" w:rsidRDefault="00643105" w:rsidP="00643105">
      <w:pPr>
        <w:autoSpaceDE w:val="0"/>
        <w:autoSpaceDN w:val="0"/>
        <w:adjustRightInd w:val="0"/>
        <w:spacing w:before="120" w:line="276" w:lineRule="auto"/>
        <w:ind w:left="540"/>
        <w:jc w:val="both"/>
        <w:rPr>
          <w:bCs/>
          <w:color w:val="000000" w:themeColor="text1"/>
          <w:sz w:val="24"/>
          <w:szCs w:val="24"/>
        </w:rPr>
      </w:pPr>
      <w:r w:rsidRPr="004B2FDB">
        <w:rPr>
          <w:bCs/>
          <w:color w:val="000000" w:themeColor="text1"/>
          <w:sz w:val="24"/>
          <w:szCs w:val="24"/>
        </w:rPr>
        <w:t xml:space="preserve">                    </w:t>
      </w:r>
      <w:r w:rsidRPr="004B2FDB">
        <w:rPr>
          <w:b/>
          <w:bCs/>
          <w:color w:val="000000" w:themeColor="text1"/>
          <w:sz w:val="24"/>
          <w:szCs w:val="24"/>
        </w:rPr>
        <w:t>Y</w:t>
      </w:r>
      <w:r w:rsidRPr="004B2FDB">
        <w:rPr>
          <w:b/>
          <w:bCs/>
          <w:color w:val="000000" w:themeColor="text1"/>
          <w:sz w:val="24"/>
          <w:szCs w:val="24"/>
          <w:vertAlign w:val="subscript"/>
        </w:rPr>
        <w:t>e</w:t>
      </w:r>
      <w:r w:rsidRPr="004B2FDB">
        <w:rPr>
          <w:b/>
          <w:bCs/>
          <w:color w:val="000000" w:themeColor="text1"/>
          <w:sz w:val="24"/>
          <w:szCs w:val="24"/>
        </w:rPr>
        <w:t xml:space="preserve">= </w:t>
      </w:r>
      <w:r w:rsidRPr="004B2FDB">
        <w:rPr>
          <w:rFonts w:eastAsiaTheme="minorHAnsi"/>
          <w:b/>
          <w:color w:val="000000" w:themeColor="text1"/>
          <w:sz w:val="24"/>
          <w:szCs w:val="24"/>
        </w:rPr>
        <w:t>517034</w:t>
      </w:r>
      <w:r w:rsidRPr="004B2FDB">
        <w:rPr>
          <w:b/>
          <w:bCs/>
          <w:color w:val="000000" w:themeColor="text1"/>
          <w:sz w:val="24"/>
          <w:szCs w:val="24"/>
        </w:rPr>
        <w:t xml:space="preserve">+ </w:t>
      </w:r>
      <w:r w:rsidRPr="004B2FDB">
        <w:rPr>
          <w:rFonts w:eastAsiaTheme="minorHAnsi"/>
          <w:b/>
          <w:color w:val="000000" w:themeColor="text1"/>
          <w:sz w:val="24"/>
          <w:szCs w:val="24"/>
        </w:rPr>
        <w:t>29173x</w:t>
      </w:r>
      <w:r w:rsidR="00E96CEE">
        <w:rPr>
          <w:b/>
          <w:bCs/>
          <w:color w:val="000000" w:themeColor="text1"/>
          <w:sz w:val="24"/>
          <w:szCs w:val="24"/>
        </w:rPr>
        <w:t xml:space="preserve"> (Equation-</w:t>
      </w:r>
      <w:r w:rsidRPr="004B2FDB">
        <w:rPr>
          <w:b/>
          <w:bCs/>
          <w:color w:val="000000" w:themeColor="text1"/>
          <w:sz w:val="24"/>
          <w:szCs w:val="24"/>
        </w:rPr>
        <w:t>3</w:t>
      </w:r>
      <w:r w:rsidR="00E96CEE">
        <w:rPr>
          <w:bCs/>
          <w:color w:val="000000" w:themeColor="text1"/>
          <w:sz w:val="24"/>
          <w:szCs w:val="24"/>
        </w:rPr>
        <w:t>) (table-4</w:t>
      </w:r>
      <w:r w:rsidRPr="004B2FDB">
        <w:rPr>
          <w:bCs/>
          <w:color w:val="000000" w:themeColor="text1"/>
          <w:sz w:val="24"/>
          <w:szCs w:val="24"/>
        </w:rPr>
        <w:t xml:space="preserve">) </w:t>
      </w:r>
    </w:p>
    <w:p w14:paraId="321F3066" w14:textId="77777777" w:rsidR="00643105" w:rsidRPr="004B2FDB" w:rsidRDefault="00643105" w:rsidP="00643105">
      <w:pPr>
        <w:autoSpaceDE w:val="0"/>
        <w:autoSpaceDN w:val="0"/>
        <w:adjustRightInd w:val="0"/>
        <w:spacing w:before="120" w:line="276" w:lineRule="auto"/>
        <w:ind w:firstLine="540"/>
        <w:jc w:val="both"/>
        <w:rPr>
          <w:bCs/>
          <w:color w:val="000000" w:themeColor="text1"/>
          <w:sz w:val="24"/>
          <w:szCs w:val="24"/>
        </w:rPr>
      </w:pPr>
      <w:r w:rsidRPr="004B2FDB">
        <w:rPr>
          <w:bCs/>
          <w:color w:val="000000" w:themeColor="text1"/>
          <w:sz w:val="24"/>
          <w:szCs w:val="24"/>
        </w:rPr>
        <w:t>Where, Y</w:t>
      </w:r>
      <w:r w:rsidRPr="004B2FDB">
        <w:rPr>
          <w:bCs/>
          <w:color w:val="000000" w:themeColor="text1"/>
          <w:sz w:val="24"/>
          <w:szCs w:val="24"/>
          <w:vertAlign w:val="subscript"/>
        </w:rPr>
        <w:t>e</w:t>
      </w:r>
      <w:r w:rsidRPr="004B2FDB">
        <w:rPr>
          <w:bCs/>
          <w:color w:val="000000" w:themeColor="text1"/>
          <w:sz w:val="24"/>
          <w:szCs w:val="24"/>
        </w:rPr>
        <w:t xml:space="preserve"> = the size of CWs in the state, and x= for time period.</w:t>
      </w:r>
    </w:p>
    <w:p w14:paraId="71907D9D" w14:textId="77777777" w:rsidR="00643105" w:rsidRDefault="00643105" w:rsidP="00643105">
      <w:pPr>
        <w:autoSpaceDE w:val="0"/>
        <w:autoSpaceDN w:val="0"/>
        <w:adjustRightInd w:val="0"/>
        <w:spacing w:before="120" w:line="276" w:lineRule="auto"/>
        <w:ind w:firstLine="720"/>
        <w:jc w:val="both"/>
        <w:rPr>
          <w:bCs/>
          <w:color w:val="000000" w:themeColor="text1"/>
          <w:sz w:val="24"/>
          <w:szCs w:val="24"/>
        </w:rPr>
      </w:pPr>
      <w:r w:rsidRPr="004B2FDB">
        <w:rPr>
          <w:bCs/>
          <w:color w:val="000000" w:themeColor="text1"/>
          <w:sz w:val="24"/>
          <w:szCs w:val="24"/>
        </w:rPr>
        <w:t>This indicates that the supply of CWs in the state increases by 29173 numbers per year on an average during the period of 1991-2019.</w:t>
      </w:r>
    </w:p>
    <w:p w14:paraId="4F2FD197" w14:textId="77777777" w:rsidR="00643105" w:rsidRDefault="00643105" w:rsidP="00D51A07">
      <w:pPr>
        <w:autoSpaceDE w:val="0"/>
        <w:autoSpaceDN w:val="0"/>
        <w:adjustRightInd w:val="0"/>
        <w:spacing w:before="120" w:line="276" w:lineRule="auto"/>
        <w:jc w:val="both"/>
        <w:rPr>
          <w:bCs/>
          <w:color w:val="000000" w:themeColor="text1"/>
          <w:sz w:val="24"/>
          <w:szCs w:val="24"/>
        </w:rPr>
      </w:pPr>
      <w:r w:rsidRPr="004B2FDB">
        <w:rPr>
          <w:bCs/>
          <w:color w:val="000000" w:themeColor="text1"/>
          <w:sz w:val="24"/>
          <w:szCs w:val="24"/>
        </w:rPr>
        <w:t xml:space="preserve">     </w:t>
      </w:r>
      <w:r w:rsidR="00D51A07">
        <w:rPr>
          <w:bCs/>
          <w:color w:val="000000" w:themeColor="text1"/>
          <w:sz w:val="24"/>
          <w:szCs w:val="24"/>
        </w:rPr>
        <w:t xml:space="preserve">     D</w:t>
      </w:r>
      <w:r w:rsidRPr="004B2FDB">
        <w:rPr>
          <w:bCs/>
          <w:color w:val="000000" w:themeColor="text1"/>
          <w:sz w:val="24"/>
          <w:szCs w:val="24"/>
        </w:rPr>
        <w:t>uring 1991-2019 with fluctuations, the supply of construction workers in the state has increased at 4.85% on an annual average. However, during 2013-2019</w:t>
      </w:r>
      <w:r w:rsidR="00D51A07">
        <w:rPr>
          <w:bCs/>
          <w:color w:val="000000" w:themeColor="text1"/>
          <w:sz w:val="24"/>
          <w:szCs w:val="24"/>
        </w:rPr>
        <w:t>,</w:t>
      </w:r>
      <w:r w:rsidRPr="004B2FDB">
        <w:rPr>
          <w:bCs/>
          <w:color w:val="000000" w:themeColor="text1"/>
          <w:sz w:val="24"/>
          <w:szCs w:val="24"/>
        </w:rPr>
        <w:t xml:space="preserve"> the supply of the construction workers in the state has been increasing at 4.53% per year</w:t>
      </w:r>
      <w:r w:rsidR="00D51A07">
        <w:rPr>
          <w:bCs/>
          <w:color w:val="000000" w:themeColor="text1"/>
          <w:sz w:val="24"/>
          <w:szCs w:val="24"/>
        </w:rPr>
        <w:t xml:space="preserve"> (table-3</w:t>
      </w:r>
      <w:r w:rsidRPr="004B2FDB">
        <w:rPr>
          <w:bCs/>
          <w:color w:val="000000" w:themeColor="text1"/>
          <w:sz w:val="24"/>
          <w:szCs w:val="24"/>
        </w:rPr>
        <w:t>).</w:t>
      </w:r>
    </w:p>
    <w:p w14:paraId="78887ADF" w14:textId="2E7A4E5E" w:rsidR="00643105" w:rsidRDefault="00643105" w:rsidP="00D51A07">
      <w:pPr>
        <w:pBdr>
          <w:top w:val="nil"/>
          <w:left w:val="nil"/>
          <w:bottom w:val="nil"/>
          <w:right w:val="nil"/>
          <w:between w:val="nil"/>
        </w:pBdr>
        <w:spacing w:before="120" w:line="276" w:lineRule="auto"/>
        <w:jc w:val="both"/>
        <w:rPr>
          <w:color w:val="000000" w:themeColor="text1"/>
          <w:sz w:val="24"/>
          <w:szCs w:val="24"/>
        </w:rPr>
      </w:pPr>
      <w:r w:rsidRPr="004B2FDB">
        <w:rPr>
          <w:color w:val="000000" w:themeColor="text1"/>
          <w:sz w:val="24"/>
          <w:szCs w:val="24"/>
        </w:rPr>
        <w:t xml:space="preserve">             The vertical distance between the trend line for the supply  of  CWs  (red line) and the line of actual data of  supply of CWs represents the short-run fluctuations (variation) in the supply of CWs in the state during1991-2019, whic</w:t>
      </w:r>
      <w:r w:rsidR="00D51A07">
        <w:rPr>
          <w:color w:val="000000" w:themeColor="text1"/>
          <w:sz w:val="24"/>
          <w:szCs w:val="24"/>
        </w:rPr>
        <w:t>h is found to be moderate (Fig-</w:t>
      </w:r>
      <w:r w:rsidRPr="004B2FDB">
        <w:rPr>
          <w:color w:val="000000" w:themeColor="text1"/>
          <w:sz w:val="24"/>
          <w:szCs w:val="24"/>
        </w:rPr>
        <w:t>2)</w:t>
      </w:r>
      <w:sdt>
        <w:sdtPr>
          <w:rPr>
            <w:color w:val="000000" w:themeColor="text1"/>
            <w:sz w:val="24"/>
            <w:szCs w:val="24"/>
          </w:rPr>
          <w:id w:val="156891329"/>
          <w:citation/>
        </w:sdtPr>
        <w:sdtEndPr/>
        <w:sdtContent>
          <w:r w:rsidR="00CC730B" w:rsidRPr="004B2FDB">
            <w:rPr>
              <w:color w:val="000000" w:themeColor="text1"/>
              <w:sz w:val="24"/>
              <w:szCs w:val="24"/>
            </w:rPr>
            <w:fldChar w:fldCharType="begin"/>
          </w:r>
          <w:r w:rsidRPr="004B2FDB">
            <w:rPr>
              <w:color w:val="000000" w:themeColor="text1"/>
              <w:sz w:val="24"/>
              <w:szCs w:val="24"/>
            </w:rPr>
            <w:instrText xml:space="preserve"> CITATION Gup11 \l 1033 </w:instrText>
          </w:r>
          <w:r w:rsidR="00CC730B" w:rsidRPr="004B2FDB">
            <w:rPr>
              <w:color w:val="000000" w:themeColor="text1"/>
              <w:sz w:val="24"/>
              <w:szCs w:val="24"/>
            </w:rPr>
            <w:fldChar w:fldCharType="separate"/>
          </w:r>
          <w:r w:rsidRPr="004B2FDB">
            <w:rPr>
              <w:noProof/>
              <w:color w:val="000000" w:themeColor="text1"/>
              <w:sz w:val="24"/>
              <w:szCs w:val="24"/>
            </w:rPr>
            <w:t xml:space="preserve"> (Gupta S. P., 2011)</w:t>
          </w:r>
          <w:r w:rsidR="00CC730B" w:rsidRPr="004B2FDB">
            <w:rPr>
              <w:color w:val="000000" w:themeColor="text1"/>
              <w:sz w:val="24"/>
              <w:szCs w:val="24"/>
            </w:rPr>
            <w:fldChar w:fldCharType="end"/>
          </w:r>
        </w:sdtContent>
      </w:sdt>
      <w:r w:rsidRPr="004B2FDB">
        <w:rPr>
          <w:color w:val="000000" w:themeColor="text1"/>
          <w:sz w:val="24"/>
          <w:szCs w:val="24"/>
        </w:rPr>
        <w:t xml:space="preserve">. This short-run variation has been estimated to be 8750.24 nos.  per year on </w:t>
      </w:r>
      <w:proofErr w:type="gramStart"/>
      <w:r w:rsidRPr="004B2FDB">
        <w:rPr>
          <w:color w:val="000000" w:themeColor="text1"/>
          <w:sz w:val="24"/>
          <w:szCs w:val="24"/>
        </w:rPr>
        <w:t>an  average</w:t>
      </w:r>
      <w:proofErr w:type="gramEnd"/>
      <w:r w:rsidRPr="004B2FDB">
        <w:rPr>
          <w:color w:val="000000" w:themeColor="text1"/>
          <w:sz w:val="24"/>
          <w:szCs w:val="24"/>
        </w:rPr>
        <w:t xml:space="preserve"> during this period  of 1991-2019(estimated from table-</w:t>
      </w:r>
      <w:r w:rsidR="005F1A08">
        <w:rPr>
          <w:color w:val="000000" w:themeColor="text1"/>
          <w:sz w:val="24"/>
          <w:szCs w:val="24"/>
        </w:rPr>
        <w:t>4</w:t>
      </w:r>
      <w:r w:rsidRPr="004B2FDB">
        <w:rPr>
          <w:color w:val="000000" w:themeColor="text1"/>
          <w:sz w:val="24"/>
          <w:szCs w:val="24"/>
        </w:rPr>
        <w:t>). The upward sloping trend line of the supply of CWs in the state is implying the gradual increase in supply of CWs in th</w:t>
      </w:r>
      <w:r w:rsidR="00D51A07">
        <w:rPr>
          <w:color w:val="000000" w:themeColor="text1"/>
          <w:sz w:val="24"/>
          <w:szCs w:val="24"/>
        </w:rPr>
        <w:t>e state during 1991-2019 (Fig-2</w:t>
      </w:r>
      <w:r w:rsidRPr="004B2FDB">
        <w:rPr>
          <w:color w:val="000000" w:themeColor="text1"/>
          <w:sz w:val="24"/>
          <w:szCs w:val="24"/>
        </w:rPr>
        <w:t>).</w:t>
      </w:r>
    </w:p>
    <w:p w14:paraId="26DEC83B" w14:textId="77777777" w:rsidR="00D51A07" w:rsidRDefault="00643105" w:rsidP="00643105">
      <w:pPr>
        <w:autoSpaceDE w:val="0"/>
        <w:autoSpaceDN w:val="0"/>
        <w:adjustRightInd w:val="0"/>
        <w:jc w:val="both"/>
        <w:rPr>
          <w:b/>
          <w:bCs/>
          <w:color w:val="000000" w:themeColor="text1"/>
        </w:rPr>
      </w:pPr>
      <w:r>
        <w:rPr>
          <w:b/>
          <w:bCs/>
          <w:color w:val="000000" w:themeColor="text1"/>
        </w:rPr>
        <w:t xml:space="preserve">     </w:t>
      </w:r>
      <w:r w:rsidR="00677B6A">
        <w:rPr>
          <w:b/>
          <w:bCs/>
          <w:color w:val="000000" w:themeColor="text1"/>
        </w:rPr>
        <w:t>Table-4</w:t>
      </w:r>
      <w:r w:rsidR="00D51A07">
        <w:rPr>
          <w:b/>
          <w:bCs/>
          <w:color w:val="000000" w:themeColor="text1"/>
        </w:rPr>
        <w:t>:</w:t>
      </w:r>
      <w:r w:rsidR="00D51A07" w:rsidRPr="00643105">
        <w:rPr>
          <w:b/>
          <w:bCs/>
          <w:color w:val="000000" w:themeColor="text1"/>
        </w:rPr>
        <w:t xml:space="preserve"> Trend</w:t>
      </w:r>
      <w:r w:rsidR="00677B6A" w:rsidRPr="00643105">
        <w:rPr>
          <w:b/>
          <w:bCs/>
          <w:color w:val="000000" w:themeColor="text1"/>
        </w:rPr>
        <w:t xml:space="preserve"> and </w:t>
      </w:r>
      <w:r w:rsidR="00D51A07">
        <w:rPr>
          <w:b/>
          <w:bCs/>
          <w:color w:val="000000" w:themeColor="text1"/>
        </w:rPr>
        <w:t xml:space="preserve">Short-run </w:t>
      </w:r>
      <w:r w:rsidR="00677B6A" w:rsidRPr="00643105">
        <w:rPr>
          <w:b/>
          <w:bCs/>
          <w:color w:val="000000" w:themeColor="text1"/>
        </w:rPr>
        <w:t>variation in Supply of Construction Workers of Assa</w:t>
      </w:r>
      <w:r w:rsidR="00677B6A">
        <w:rPr>
          <w:b/>
          <w:bCs/>
          <w:color w:val="000000" w:themeColor="text1"/>
        </w:rPr>
        <w:t>m during</w:t>
      </w:r>
    </w:p>
    <w:p w14:paraId="4BB445CA" w14:textId="77777777" w:rsidR="00643105" w:rsidRPr="00643105" w:rsidRDefault="00D51A07" w:rsidP="00643105">
      <w:pPr>
        <w:autoSpaceDE w:val="0"/>
        <w:autoSpaceDN w:val="0"/>
        <w:adjustRightInd w:val="0"/>
        <w:jc w:val="both"/>
        <w:rPr>
          <w:b/>
          <w:bCs/>
          <w:color w:val="000000" w:themeColor="text1"/>
        </w:rPr>
      </w:pPr>
      <w:r>
        <w:rPr>
          <w:b/>
          <w:bCs/>
          <w:color w:val="000000" w:themeColor="text1"/>
        </w:rPr>
        <w:t xml:space="preserve">                 </w:t>
      </w:r>
      <w:r w:rsidR="00677B6A">
        <w:rPr>
          <w:b/>
          <w:bCs/>
          <w:color w:val="000000" w:themeColor="text1"/>
        </w:rPr>
        <w:t xml:space="preserve"> 1991-2019:</w:t>
      </w:r>
    </w:p>
    <w:tbl>
      <w:tblPr>
        <w:tblW w:w="93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1439"/>
        <w:gridCol w:w="1890"/>
        <w:gridCol w:w="2700"/>
        <w:gridCol w:w="1942"/>
      </w:tblGrid>
      <w:tr w:rsidR="00677B6A" w:rsidRPr="00643105" w14:paraId="414377EC" w14:textId="77777777" w:rsidTr="00677B6A">
        <w:trPr>
          <w:trHeight w:val="568"/>
          <w:jc w:val="center"/>
        </w:trPr>
        <w:tc>
          <w:tcPr>
            <w:tcW w:w="1403" w:type="dxa"/>
            <w:tcBorders>
              <w:bottom w:val="single" w:sz="4" w:space="0" w:color="auto"/>
            </w:tcBorders>
          </w:tcPr>
          <w:p w14:paraId="5DE645BA"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Year</w:t>
            </w:r>
          </w:p>
        </w:tc>
        <w:tc>
          <w:tcPr>
            <w:tcW w:w="1439" w:type="dxa"/>
            <w:tcBorders>
              <w:bottom w:val="single" w:sz="4" w:space="0" w:color="auto"/>
            </w:tcBorders>
          </w:tcPr>
          <w:p w14:paraId="660DC743"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Size of CWs (,000)</w:t>
            </w:r>
          </w:p>
        </w:tc>
        <w:tc>
          <w:tcPr>
            <w:tcW w:w="1890" w:type="dxa"/>
            <w:tcBorders>
              <w:bottom w:val="single" w:sz="4" w:space="0" w:color="auto"/>
            </w:tcBorders>
          </w:tcPr>
          <w:p w14:paraId="39A23540"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 increase over previous year</w:t>
            </w:r>
          </w:p>
        </w:tc>
        <w:tc>
          <w:tcPr>
            <w:tcW w:w="2700" w:type="dxa"/>
            <w:tcBorders>
              <w:bottom w:val="single" w:sz="4" w:space="0" w:color="auto"/>
              <w:right w:val="single" w:sz="4" w:space="0" w:color="auto"/>
            </w:tcBorders>
          </w:tcPr>
          <w:p w14:paraId="1EE19EE9" w14:textId="77777777" w:rsidR="00677B6A" w:rsidRPr="00677B6A" w:rsidRDefault="00677B6A" w:rsidP="00677B6A">
            <w:pPr>
              <w:autoSpaceDE w:val="0"/>
              <w:autoSpaceDN w:val="0"/>
              <w:adjustRightInd w:val="0"/>
              <w:jc w:val="center"/>
              <w:rPr>
                <w:bCs/>
                <w:color w:val="000000" w:themeColor="text1"/>
              </w:rPr>
            </w:pPr>
            <w:r w:rsidRPr="00643105">
              <w:rPr>
                <w:color w:val="000000" w:themeColor="text1"/>
              </w:rPr>
              <w:t xml:space="preserve">9-Yearly Moving </w:t>
            </w:r>
            <w:proofErr w:type="gramStart"/>
            <w:r w:rsidRPr="00643105">
              <w:rPr>
                <w:color w:val="000000" w:themeColor="text1"/>
              </w:rPr>
              <w:t>Average(</w:t>
            </w:r>
            <w:proofErr w:type="gramEnd"/>
            <w:r w:rsidRPr="00643105">
              <w:rPr>
                <w:color w:val="000000" w:themeColor="text1"/>
              </w:rPr>
              <w:t>,000</w:t>
            </w:r>
            <w:r>
              <w:rPr>
                <w:color w:val="000000" w:themeColor="text1"/>
              </w:rPr>
              <w:t>)</w:t>
            </w:r>
          </w:p>
        </w:tc>
        <w:tc>
          <w:tcPr>
            <w:tcW w:w="1942" w:type="dxa"/>
            <w:tcBorders>
              <w:left w:val="single" w:sz="4" w:space="0" w:color="auto"/>
              <w:bottom w:val="single" w:sz="4" w:space="0" w:color="auto"/>
            </w:tcBorders>
          </w:tcPr>
          <w:p w14:paraId="509A0F22" w14:textId="77777777" w:rsidR="00677B6A" w:rsidRPr="00643105" w:rsidRDefault="00677B6A" w:rsidP="00643105">
            <w:pPr>
              <w:autoSpaceDE w:val="0"/>
              <w:autoSpaceDN w:val="0"/>
              <w:adjustRightInd w:val="0"/>
              <w:jc w:val="center"/>
              <w:rPr>
                <w:bCs/>
                <w:color w:val="000000" w:themeColor="text1"/>
              </w:rPr>
            </w:pPr>
            <w:r w:rsidRPr="00643105">
              <w:rPr>
                <w:color w:val="000000" w:themeColor="text1"/>
              </w:rPr>
              <w:t xml:space="preserve">Short-run </w:t>
            </w:r>
            <w:proofErr w:type="gramStart"/>
            <w:r w:rsidRPr="00643105">
              <w:rPr>
                <w:color w:val="000000" w:themeColor="text1"/>
              </w:rPr>
              <w:t>Fluctuations(</w:t>
            </w:r>
            <w:proofErr w:type="gramEnd"/>
            <w:r w:rsidRPr="00643105">
              <w:rPr>
                <w:color w:val="000000" w:themeColor="text1"/>
              </w:rPr>
              <w:t>,000)</w:t>
            </w:r>
          </w:p>
        </w:tc>
      </w:tr>
      <w:tr w:rsidR="00677B6A" w:rsidRPr="00643105" w14:paraId="7AE5346C" w14:textId="77777777" w:rsidTr="00677B6A">
        <w:trPr>
          <w:trHeight w:val="235"/>
          <w:jc w:val="center"/>
        </w:trPr>
        <w:tc>
          <w:tcPr>
            <w:tcW w:w="1403" w:type="dxa"/>
            <w:tcBorders>
              <w:top w:val="single" w:sz="4" w:space="0" w:color="auto"/>
            </w:tcBorders>
          </w:tcPr>
          <w:p w14:paraId="545C7A24" w14:textId="77777777" w:rsidR="00677B6A" w:rsidRPr="00643105" w:rsidRDefault="00677B6A" w:rsidP="00643105">
            <w:pPr>
              <w:autoSpaceDE w:val="0"/>
              <w:autoSpaceDN w:val="0"/>
              <w:adjustRightInd w:val="0"/>
              <w:jc w:val="center"/>
              <w:rPr>
                <w:bCs/>
                <w:color w:val="000000" w:themeColor="text1"/>
              </w:rPr>
            </w:pPr>
            <w:r>
              <w:rPr>
                <w:bCs/>
                <w:color w:val="000000" w:themeColor="text1"/>
              </w:rPr>
              <w:t>(1)</w:t>
            </w:r>
          </w:p>
        </w:tc>
        <w:tc>
          <w:tcPr>
            <w:tcW w:w="1439" w:type="dxa"/>
            <w:tcBorders>
              <w:top w:val="single" w:sz="4" w:space="0" w:color="auto"/>
            </w:tcBorders>
          </w:tcPr>
          <w:p w14:paraId="7AC69602" w14:textId="77777777" w:rsidR="00677B6A" w:rsidRPr="00643105" w:rsidRDefault="00677B6A" w:rsidP="00643105">
            <w:pPr>
              <w:autoSpaceDE w:val="0"/>
              <w:autoSpaceDN w:val="0"/>
              <w:adjustRightInd w:val="0"/>
              <w:jc w:val="center"/>
              <w:rPr>
                <w:bCs/>
                <w:color w:val="000000" w:themeColor="text1"/>
              </w:rPr>
            </w:pPr>
            <w:r>
              <w:rPr>
                <w:bCs/>
                <w:color w:val="000000" w:themeColor="text1"/>
              </w:rPr>
              <w:t>(2)</w:t>
            </w:r>
          </w:p>
        </w:tc>
        <w:tc>
          <w:tcPr>
            <w:tcW w:w="1890" w:type="dxa"/>
            <w:tcBorders>
              <w:top w:val="single" w:sz="4" w:space="0" w:color="auto"/>
            </w:tcBorders>
          </w:tcPr>
          <w:p w14:paraId="2F75D040"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(3)</w:t>
            </w:r>
          </w:p>
        </w:tc>
        <w:tc>
          <w:tcPr>
            <w:tcW w:w="2700" w:type="dxa"/>
            <w:tcBorders>
              <w:top w:val="single" w:sz="4" w:space="0" w:color="auto"/>
              <w:right w:val="single" w:sz="4" w:space="0" w:color="auto"/>
            </w:tcBorders>
          </w:tcPr>
          <w:p w14:paraId="55C2F519" w14:textId="77777777"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tcBorders>
          </w:tcPr>
          <w:p w14:paraId="3341B5B8" w14:textId="77777777" w:rsidR="00677B6A" w:rsidRPr="00643105" w:rsidRDefault="00677B6A" w:rsidP="00643105">
            <w:pPr>
              <w:autoSpaceDE w:val="0"/>
              <w:autoSpaceDN w:val="0"/>
              <w:adjustRightInd w:val="0"/>
              <w:jc w:val="center"/>
              <w:rPr>
                <w:bCs/>
                <w:color w:val="000000" w:themeColor="text1"/>
              </w:rPr>
            </w:pPr>
          </w:p>
        </w:tc>
      </w:tr>
      <w:tr w:rsidR="00677B6A" w:rsidRPr="00643105" w14:paraId="56893C3C" w14:textId="77777777" w:rsidTr="00677B6A">
        <w:trPr>
          <w:jc w:val="center"/>
        </w:trPr>
        <w:tc>
          <w:tcPr>
            <w:tcW w:w="1403" w:type="dxa"/>
          </w:tcPr>
          <w:p w14:paraId="4619189B" w14:textId="77777777" w:rsidR="00677B6A" w:rsidRPr="00643105" w:rsidRDefault="00677B6A" w:rsidP="00677B6A">
            <w:pPr>
              <w:autoSpaceDE w:val="0"/>
              <w:autoSpaceDN w:val="0"/>
              <w:adjustRightInd w:val="0"/>
              <w:jc w:val="center"/>
              <w:rPr>
                <w:bCs/>
                <w:color w:val="000000" w:themeColor="text1"/>
              </w:rPr>
            </w:pPr>
            <w:r w:rsidRPr="00643105">
              <w:rPr>
                <w:bCs/>
                <w:color w:val="000000" w:themeColor="text1"/>
              </w:rPr>
              <w:t>1991</w:t>
            </w:r>
          </w:p>
        </w:tc>
        <w:tc>
          <w:tcPr>
            <w:tcW w:w="1439" w:type="dxa"/>
          </w:tcPr>
          <w:p w14:paraId="4BD1D86F"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185</w:t>
            </w:r>
          </w:p>
        </w:tc>
        <w:tc>
          <w:tcPr>
            <w:tcW w:w="1890" w:type="dxa"/>
            <w:tcBorders>
              <w:right w:val="single" w:sz="4" w:space="0" w:color="auto"/>
            </w:tcBorders>
          </w:tcPr>
          <w:p w14:paraId="4C690A44"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w:t>
            </w:r>
          </w:p>
        </w:tc>
        <w:tc>
          <w:tcPr>
            <w:tcW w:w="2700" w:type="dxa"/>
            <w:tcBorders>
              <w:left w:val="single" w:sz="4" w:space="0" w:color="auto"/>
              <w:bottom w:val="single" w:sz="4" w:space="0" w:color="auto"/>
              <w:right w:val="single" w:sz="4" w:space="0" w:color="auto"/>
            </w:tcBorders>
          </w:tcPr>
          <w:p w14:paraId="74BBBAC7" w14:textId="77777777" w:rsidR="00677B6A" w:rsidRPr="00677B6A" w:rsidRDefault="00677B6A" w:rsidP="00677B6A">
            <w:pPr>
              <w:autoSpaceDE w:val="0"/>
              <w:autoSpaceDN w:val="0"/>
              <w:adjustRightInd w:val="0"/>
              <w:jc w:val="center"/>
              <w:rPr>
                <w:bCs/>
                <w:color w:val="000000" w:themeColor="text1"/>
              </w:rPr>
            </w:pPr>
          </w:p>
        </w:tc>
        <w:tc>
          <w:tcPr>
            <w:tcW w:w="1942" w:type="dxa"/>
            <w:tcBorders>
              <w:left w:val="single" w:sz="4" w:space="0" w:color="auto"/>
              <w:bottom w:val="single" w:sz="4" w:space="0" w:color="auto"/>
            </w:tcBorders>
          </w:tcPr>
          <w:p w14:paraId="60F94998" w14:textId="77777777" w:rsidR="00677B6A" w:rsidRPr="00643105" w:rsidRDefault="00677B6A" w:rsidP="00643105">
            <w:pPr>
              <w:autoSpaceDE w:val="0"/>
              <w:autoSpaceDN w:val="0"/>
              <w:adjustRightInd w:val="0"/>
              <w:jc w:val="center"/>
              <w:rPr>
                <w:bCs/>
                <w:color w:val="000000" w:themeColor="text1"/>
              </w:rPr>
            </w:pPr>
          </w:p>
        </w:tc>
      </w:tr>
      <w:tr w:rsidR="00677B6A" w:rsidRPr="00643105" w14:paraId="17ED1D6F" w14:textId="77777777" w:rsidTr="00677B6A">
        <w:trPr>
          <w:jc w:val="center"/>
        </w:trPr>
        <w:tc>
          <w:tcPr>
            <w:tcW w:w="1403" w:type="dxa"/>
          </w:tcPr>
          <w:p w14:paraId="69D8B8D7"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1992</w:t>
            </w:r>
          </w:p>
        </w:tc>
        <w:tc>
          <w:tcPr>
            <w:tcW w:w="1439" w:type="dxa"/>
          </w:tcPr>
          <w:p w14:paraId="3A37F14A"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194</w:t>
            </w:r>
          </w:p>
        </w:tc>
        <w:tc>
          <w:tcPr>
            <w:tcW w:w="1890" w:type="dxa"/>
            <w:tcBorders>
              <w:right w:val="single" w:sz="4" w:space="0" w:color="auto"/>
            </w:tcBorders>
          </w:tcPr>
          <w:p w14:paraId="0F306DEA"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4.86</w:t>
            </w:r>
          </w:p>
        </w:tc>
        <w:tc>
          <w:tcPr>
            <w:tcW w:w="2700" w:type="dxa"/>
            <w:tcBorders>
              <w:top w:val="single" w:sz="4" w:space="0" w:color="auto"/>
              <w:left w:val="single" w:sz="4" w:space="0" w:color="auto"/>
              <w:bottom w:val="single" w:sz="4" w:space="0" w:color="auto"/>
              <w:right w:val="single" w:sz="4" w:space="0" w:color="auto"/>
            </w:tcBorders>
          </w:tcPr>
          <w:p w14:paraId="4FF56F2A" w14:textId="77777777"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14:paraId="15B69133" w14:textId="77777777" w:rsidR="00677B6A" w:rsidRPr="00643105" w:rsidRDefault="00677B6A" w:rsidP="00643105">
            <w:pPr>
              <w:autoSpaceDE w:val="0"/>
              <w:autoSpaceDN w:val="0"/>
              <w:adjustRightInd w:val="0"/>
              <w:jc w:val="center"/>
              <w:rPr>
                <w:bCs/>
                <w:color w:val="000000" w:themeColor="text1"/>
              </w:rPr>
            </w:pPr>
          </w:p>
        </w:tc>
      </w:tr>
      <w:tr w:rsidR="00677B6A" w:rsidRPr="00643105" w14:paraId="3B4757E6" w14:textId="77777777" w:rsidTr="00677B6A">
        <w:trPr>
          <w:jc w:val="center"/>
        </w:trPr>
        <w:tc>
          <w:tcPr>
            <w:tcW w:w="1403" w:type="dxa"/>
          </w:tcPr>
          <w:p w14:paraId="7E8EDEDF"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1993</w:t>
            </w:r>
          </w:p>
        </w:tc>
        <w:tc>
          <w:tcPr>
            <w:tcW w:w="1439" w:type="dxa"/>
          </w:tcPr>
          <w:p w14:paraId="4A091004"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208</w:t>
            </w:r>
          </w:p>
        </w:tc>
        <w:tc>
          <w:tcPr>
            <w:tcW w:w="1890" w:type="dxa"/>
            <w:tcBorders>
              <w:right w:val="single" w:sz="4" w:space="0" w:color="auto"/>
            </w:tcBorders>
          </w:tcPr>
          <w:p w14:paraId="58B83ECC"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7.72</w:t>
            </w:r>
          </w:p>
        </w:tc>
        <w:tc>
          <w:tcPr>
            <w:tcW w:w="2700" w:type="dxa"/>
            <w:tcBorders>
              <w:top w:val="single" w:sz="4" w:space="0" w:color="auto"/>
              <w:left w:val="single" w:sz="4" w:space="0" w:color="auto"/>
              <w:bottom w:val="single" w:sz="4" w:space="0" w:color="auto"/>
              <w:right w:val="single" w:sz="4" w:space="0" w:color="auto"/>
            </w:tcBorders>
          </w:tcPr>
          <w:p w14:paraId="2F4DEDAE" w14:textId="77777777"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14:paraId="5BA3F052" w14:textId="77777777" w:rsidR="00677B6A" w:rsidRPr="00643105" w:rsidRDefault="00677B6A" w:rsidP="00643105">
            <w:pPr>
              <w:autoSpaceDE w:val="0"/>
              <w:autoSpaceDN w:val="0"/>
              <w:adjustRightInd w:val="0"/>
              <w:jc w:val="center"/>
              <w:rPr>
                <w:bCs/>
                <w:color w:val="000000" w:themeColor="text1"/>
              </w:rPr>
            </w:pPr>
          </w:p>
        </w:tc>
      </w:tr>
      <w:tr w:rsidR="00677B6A" w:rsidRPr="00643105" w14:paraId="1000CBC7" w14:textId="77777777" w:rsidTr="00677B6A">
        <w:trPr>
          <w:jc w:val="center"/>
        </w:trPr>
        <w:tc>
          <w:tcPr>
            <w:tcW w:w="1403" w:type="dxa"/>
          </w:tcPr>
          <w:p w14:paraId="3B03F1CA"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1994</w:t>
            </w:r>
          </w:p>
        </w:tc>
        <w:tc>
          <w:tcPr>
            <w:tcW w:w="1439" w:type="dxa"/>
          </w:tcPr>
          <w:p w14:paraId="215FA70E"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220</w:t>
            </w:r>
          </w:p>
        </w:tc>
        <w:tc>
          <w:tcPr>
            <w:tcW w:w="1890" w:type="dxa"/>
            <w:tcBorders>
              <w:right w:val="single" w:sz="4" w:space="0" w:color="auto"/>
            </w:tcBorders>
          </w:tcPr>
          <w:p w14:paraId="6D98814D"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5.77</w:t>
            </w:r>
          </w:p>
        </w:tc>
        <w:tc>
          <w:tcPr>
            <w:tcW w:w="2700" w:type="dxa"/>
            <w:tcBorders>
              <w:top w:val="single" w:sz="4" w:space="0" w:color="auto"/>
              <w:left w:val="single" w:sz="4" w:space="0" w:color="auto"/>
              <w:bottom w:val="single" w:sz="4" w:space="0" w:color="auto"/>
              <w:right w:val="single" w:sz="4" w:space="0" w:color="auto"/>
            </w:tcBorders>
          </w:tcPr>
          <w:p w14:paraId="0EA5502D" w14:textId="77777777"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14:paraId="770182B8" w14:textId="77777777" w:rsidR="00677B6A" w:rsidRPr="00643105" w:rsidRDefault="00677B6A" w:rsidP="00643105">
            <w:pPr>
              <w:autoSpaceDE w:val="0"/>
              <w:autoSpaceDN w:val="0"/>
              <w:adjustRightInd w:val="0"/>
              <w:jc w:val="center"/>
              <w:rPr>
                <w:bCs/>
                <w:color w:val="000000" w:themeColor="text1"/>
              </w:rPr>
            </w:pPr>
          </w:p>
        </w:tc>
      </w:tr>
      <w:tr w:rsidR="00677B6A" w:rsidRPr="00643105" w14:paraId="5E28919A" w14:textId="77777777" w:rsidTr="00677B6A">
        <w:trPr>
          <w:jc w:val="center"/>
        </w:trPr>
        <w:tc>
          <w:tcPr>
            <w:tcW w:w="1403" w:type="dxa"/>
          </w:tcPr>
          <w:p w14:paraId="09963962"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1995</w:t>
            </w:r>
          </w:p>
        </w:tc>
        <w:tc>
          <w:tcPr>
            <w:tcW w:w="1439" w:type="dxa"/>
          </w:tcPr>
          <w:p w14:paraId="63241EE5"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233</w:t>
            </w:r>
          </w:p>
        </w:tc>
        <w:tc>
          <w:tcPr>
            <w:tcW w:w="1890" w:type="dxa"/>
            <w:tcBorders>
              <w:right w:val="single" w:sz="4" w:space="0" w:color="auto"/>
            </w:tcBorders>
          </w:tcPr>
          <w:p w14:paraId="7BC21D2A"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5.91</w:t>
            </w:r>
          </w:p>
        </w:tc>
        <w:tc>
          <w:tcPr>
            <w:tcW w:w="2700" w:type="dxa"/>
            <w:tcBorders>
              <w:top w:val="single" w:sz="4" w:space="0" w:color="auto"/>
              <w:left w:val="single" w:sz="4" w:space="0" w:color="auto"/>
              <w:bottom w:val="single" w:sz="4" w:space="0" w:color="auto"/>
              <w:right w:val="single" w:sz="4" w:space="0" w:color="auto"/>
            </w:tcBorders>
          </w:tcPr>
          <w:p w14:paraId="60E5DCA0" w14:textId="77777777" w:rsidR="00677B6A" w:rsidRPr="00643105" w:rsidRDefault="00677B6A" w:rsidP="00D91E5B">
            <w:pPr>
              <w:jc w:val="center"/>
              <w:rPr>
                <w:color w:val="000000" w:themeColor="text1"/>
              </w:rPr>
            </w:pPr>
            <w:r w:rsidRPr="00643105">
              <w:rPr>
                <w:color w:val="000000" w:themeColor="text1"/>
              </w:rPr>
              <w:t>233.44</w:t>
            </w:r>
          </w:p>
        </w:tc>
        <w:tc>
          <w:tcPr>
            <w:tcW w:w="1942" w:type="dxa"/>
            <w:tcBorders>
              <w:top w:val="single" w:sz="4" w:space="0" w:color="auto"/>
              <w:left w:val="single" w:sz="4" w:space="0" w:color="auto"/>
              <w:bottom w:val="single" w:sz="4" w:space="0" w:color="auto"/>
            </w:tcBorders>
          </w:tcPr>
          <w:p w14:paraId="6D4DD671" w14:textId="77777777" w:rsidR="00677B6A" w:rsidRPr="00643105" w:rsidRDefault="00677B6A" w:rsidP="00D91E5B">
            <w:pPr>
              <w:jc w:val="center"/>
              <w:rPr>
                <w:color w:val="000000" w:themeColor="text1"/>
              </w:rPr>
            </w:pPr>
            <w:r w:rsidRPr="00643105">
              <w:rPr>
                <w:color w:val="000000" w:themeColor="text1"/>
              </w:rPr>
              <w:t>-0.44</w:t>
            </w:r>
          </w:p>
        </w:tc>
      </w:tr>
      <w:tr w:rsidR="00677B6A" w:rsidRPr="00643105" w14:paraId="61395069" w14:textId="77777777" w:rsidTr="00677B6A">
        <w:trPr>
          <w:jc w:val="center"/>
        </w:trPr>
        <w:tc>
          <w:tcPr>
            <w:tcW w:w="1403" w:type="dxa"/>
          </w:tcPr>
          <w:p w14:paraId="5566B828"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1996</w:t>
            </w:r>
          </w:p>
        </w:tc>
        <w:tc>
          <w:tcPr>
            <w:tcW w:w="1439" w:type="dxa"/>
          </w:tcPr>
          <w:p w14:paraId="60B3AFFE"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246</w:t>
            </w:r>
          </w:p>
        </w:tc>
        <w:tc>
          <w:tcPr>
            <w:tcW w:w="1890" w:type="dxa"/>
            <w:tcBorders>
              <w:right w:val="single" w:sz="4" w:space="0" w:color="auto"/>
            </w:tcBorders>
          </w:tcPr>
          <w:p w14:paraId="68739ED4"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5.58</w:t>
            </w:r>
          </w:p>
        </w:tc>
        <w:tc>
          <w:tcPr>
            <w:tcW w:w="2700" w:type="dxa"/>
            <w:tcBorders>
              <w:top w:val="single" w:sz="4" w:space="0" w:color="auto"/>
              <w:left w:val="single" w:sz="4" w:space="0" w:color="auto"/>
              <w:bottom w:val="single" w:sz="4" w:space="0" w:color="auto"/>
              <w:right w:val="single" w:sz="4" w:space="0" w:color="auto"/>
            </w:tcBorders>
          </w:tcPr>
          <w:p w14:paraId="36A11903" w14:textId="77777777" w:rsidR="00677B6A" w:rsidRPr="00643105" w:rsidRDefault="00677B6A" w:rsidP="00D91E5B">
            <w:pPr>
              <w:jc w:val="center"/>
              <w:rPr>
                <w:color w:val="000000" w:themeColor="text1"/>
              </w:rPr>
            </w:pPr>
            <w:r w:rsidRPr="00643105">
              <w:rPr>
                <w:color w:val="000000" w:themeColor="text1"/>
              </w:rPr>
              <w:t>248.7777778</w:t>
            </w:r>
          </w:p>
        </w:tc>
        <w:tc>
          <w:tcPr>
            <w:tcW w:w="1942" w:type="dxa"/>
            <w:tcBorders>
              <w:top w:val="single" w:sz="4" w:space="0" w:color="auto"/>
              <w:left w:val="single" w:sz="4" w:space="0" w:color="auto"/>
              <w:bottom w:val="single" w:sz="4" w:space="0" w:color="auto"/>
            </w:tcBorders>
          </w:tcPr>
          <w:p w14:paraId="5D495471" w14:textId="77777777" w:rsidR="00677B6A" w:rsidRPr="00643105" w:rsidRDefault="00677B6A" w:rsidP="00D91E5B">
            <w:pPr>
              <w:jc w:val="center"/>
              <w:rPr>
                <w:color w:val="000000" w:themeColor="text1"/>
              </w:rPr>
            </w:pPr>
            <w:r w:rsidRPr="00643105">
              <w:rPr>
                <w:color w:val="000000" w:themeColor="text1"/>
              </w:rPr>
              <w:t>-2.78</w:t>
            </w:r>
          </w:p>
        </w:tc>
      </w:tr>
      <w:tr w:rsidR="00677B6A" w:rsidRPr="00643105" w14:paraId="742811C5" w14:textId="77777777" w:rsidTr="00677B6A">
        <w:trPr>
          <w:jc w:val="center"/>
        </w:trPr>
        <w:tc>
          <w:tcPr>
            <w:tcW w:w="1403" w:type="dxa"/>
          </w:tcPr>
          <w:p w14:paraId="6ECEB26B"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1997</w:t>
            </w:r>
          </w:p>
        </w:tc>
        <w:tc>
          <w:tcPr>
            <w:tcW w:w="1439" w:type="dxa"/>
          </w:tcPr>
          <w:p w14:paraId="0A9FB0C1"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259</w:t>
            </w:r>
          </w:p>
        </w:tc>
        <w:tc>
          <w:tcPr>
            <w:tcW w:w="1890" w:type="dxa"/>
            <w:tcBorders>
              <w:right w:val="single" w:sz="4" w:space="0" w:color="auto"/>
            </w:tcBorders>
          </w:tcPr>
          <w:p w14:paraId="2B4C9596"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5.28</w:t>
            </w:r>
          </w:p>
        </w:tc>
        <w:tc>
          <w:tcPr>
            <w:tcW w:w="2700" w:type="dxa"/>
            <w:tcBorders>
              <w:top w:val="single" w:sz="4" w:space="0" w:color="auto"/>
              <w:left w:val="single" w:sz="4" w:space="0" w:color="auto"/>
              <w:bottom w:val="single" w:sz="4" w:space="0" w:color="auto"/>
              <w:right w:val="single" w:sz="4" w:space="0" w:color="auto"/>
            </w:tcBorders>
          </w:tcPr>
          <w:p w14:paraId="34135B2F" w14:textId="77777777" w:rsidR="00677B6A" w:rsidRPr="00643105" w:rsidRDefault="00677B6A" w:rsidP="00D91E5B">
            <w:pPr>
              <w:jc w:val="center"/>
              <w:rPr>
                <w:color w:val="000000" w:themeColor="text1"/>
              </w:rPr>
            </w:pPr>
            <w:r w:rsidRPr="00643105">
              <w:rPr>
                <w:color w:val="000000" w:themeColor="text1"/>
              </w:rPr>
              <w:t>267.2222222</w:t>
            </w:r>
          </w:p>
        </w:tc>
        <w:tc>
          <w:tcPr>
            <w:tcW w:w="1942" w:type="dxa"/>
            <w:tcBorders>
              <w:top w:val="single" w:sz="4" w:space="0" w:color="auto"/>
              <w:left w:val="single" w:sz="4" w:space="0" w:color="auto"/>
              <w:bottom w:val="single" w:sz="4" w:space="0" w:color="auto"/>
            </w:tcBorders>
          </w:tcPr>
          <w:p w14:paraId="659DDCAF" w14:textId="77777777" w:rsidR="00677B6A" w:rsidRPr="00643105" w:rsidRDefault="00677B6A" w:rsidP="00D91E5B">
            <w:pPr>
              <w:jc w:val="center"/>
              <w:rPr>
                <w:color w:val="000000" w:themeColor="text1"/>
              </w:rPr>
            </w:pPr>
            <w:r w:rsidRPr="00643105">
              <w:rPr>
                <w:color w:val="000000" w:themeColor="text1"/>
              </w:rPr>
              <w:t>-8.22</w:t>
            </w:r>
          </w:p>
        </w:tc>
      </w:tr>
      <w:tr w:rsidR="00677B6A" w:rsidRPr="00643105" w14:paraId="7ED2B6AD" w14:textId="77777777" w:rsidTr="00677B6A">
        <w:trPr>
          <w:jc w:val="center"/>
        </w:trPr>
        <w:tc>
          <w:tcPr>
            <w:tcW w:w="1403" w:type="dxa"/>
          </w:tcPr>
          <w:p w14:paraId="403E977F"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1998</w:t>
            </w:r>
          </w:p>
        </w:tc>
        <w:tc>
          <w:tcPr>
            <w:tcW w:w="1439" w:type="dxa"/>
          </w:tcPr>
          <w:p w14:paraId="3C46B063"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272</w:t>
            </w:r>
          </w:p>
        </w:tc>
        <w:tc>
          <w:tcPr>
            <w:tcW w:w="1890" w:type="dxa"/>
            <w:tcBorders>
              <w:right w:val="single" w:sz="4" w:space="0" w:color="auto"/>
            </w:tcBorders>
          </w:tcPr>
          <w:p w14:paraId="7EE9AA37"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5.02</w:t>
            </w:r>
          </w:p>
        </w:tc>
        <w:tc>
          <w:tcPr>
            <w:tcW w:w="2700" w:type="dxa"/>
            <w:tcBorders>
              <w:top w:val="single" w:sz="4" w:space="0" w:color="auto"/>
              <w:left w:val="single" w:sz="4" w:space="0" w:color="auto"/>
              <w:bottom w:val="single" w:sz="4" w:space="0" w:color="auto"/>
              <w:right w:val="single" w:sz="4" w:space="0" w:color="auto"/>
            </w:tcBorders>
          </w:tcPr>
          <w:p w14:paraId="65340188" w14:textId="77777777" w:rsidR="00677B6A" w:rsidRPr="00643105" w:rsidRDefault="00677B6A" w:rsidP="00D91E5B">
            <w:pPr>
              <w:jc w:val="center"/>
              <w:rPr>
                <w:color w:val="000000" w:themeColor="text1"/>
              </w:rPr>
            </w:pPr>
            <w:r w:rsidRPr="00643105">
              <w:rPr>
                <w:color w:val="000000" w:themeColor="text1"/>
              </w:rPr>
              <w:t>288.1111111</w:t>
            </w:r>
          </w:p>
        </w:tc>
        <w:tc>
          <w:tcPr>
            <w:tcW w:w="1942" w:type="dxa"/>
            <w:tcBorders>
              <w:top w:val="single" w:sz="4" w:space="0" w:color="auto"/>
              <w:left w:val="single" w:sz="4" w:space="0" w:color="auto"/>
              <w:bottom w:val="single" w:sz="4" w:space="0" w:color="auto"/>
            </w:tcBorders>
          </w:tcPr>
          <w:p w14:paraId="172B9A7F" w14:textId="77777777" w:rsidR="00677B6A" w:rsidRPr="00643105" w:rsidRDefault="00677B6A" w:rsidP="00D91E5B">
            <w:pPr>
              <w:jc w:val="center"/>
              <w:rPr>
                <w:color w:val="000000" w:themeColor="text1"/>
              </w:rPr>
            </w:pPr>
            <w:r w:rsidRPr="00643105">
              <w:rPr>
                <w:color w:val="000000" w:themeColor="text1"/>
              </w:rPr>
              <w:t>-16.11</w:t>
            </w:r>
          </w:p>
        </w:tc>
      </w:tr>
      <w:tr w:rsidR="00677B6A" w:rsidRPr="00643105" w14:paraId="40C84695" w14:textId="77777777" w:rsidTr="00677B6A">
        <w:trPr>
          <w:jc w:val="center"/>
        </w:trPr>
        <w:tc>
          <w:tcPr>
            <w:tcW w:w="1403" w:type="dxa"/>
          </w:tcPr>
          <w:p w14:paraId="74B7020E"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1999</w:t>
            </w:r>
          </w:p>
        </w:tc>
        <w:tc>
          <w:tcPr>
            <w:tcW w:w="1439" w:type="dxa"/>
          </w:tcPr>
          <w:p w14:paraId="2BD6D2FD"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284</w:t>
            </w:r>
          </w:p>
        </w:tc>
        <w:tc>
          <w:tcPr>
            <w:tcW w:w="1890" w:type="dxa"/>
            <w:tcBorders>
              <w:right w:val="single" w:sz="4" w:space="0" w:color="auto"/>
            </w:tcBorders>
          </w:tcPr>
          <w:p w14:paraId="6B691025"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4.41</w:t>
            </w:r>
          </w:p>
        </w:tc>
        <w:tc>
          <w:tcPr>
            <w:tcW w:w="2700" w:type="dxa"/>
            <w:tcBorders>
              <w:top w:val="single" w:sz="4" w:space="0" w:color="auto"/>
              <w:left w:val="single" w:sz="4" w:space="0" w:color="auto"/>
              <w:bottom w:val="single" w:sz="4" w:space="0" w:color="auto"/>
              <w:right w:val="single" w:sz="4" w:space="0" w:color="auto"/>
            </w:tcBorders>
          </w:tcPr>
          <w:p w14:paraId="389D4C49" w14:textId="77777777" w:rsidR="00677B6A" w:rsidRPr="00643105" w:rsidRDefault="00677B6A" w:rsidP="00D91E5B">
            <w:pPr>
              <w:jc w:val="center"/>
              <w:rPr>
                <w:color w:val="000000" w:themeColor="text1"/>
              </w:rPr>
            </w:pPr>
            <w:r w:rsidRPr="00643105">
              <w:rPr>
                <w:color w:val="000000" w:themeColor="text1"/>
              </w:rPr>
              <w:t>311.6666667</w:t>
            </w:r>
          </w:p>
        </w:tc>
        <w:tc>
          <w:tcPr>
            <w:tcW w:w="1942" w:type="dxa"/>
            <w:tcBorders>
              <w:top w:val="single" w:sz="4" w:space="0" w:color="auto"/>
              <w:left w:val="single" w:sz="4" w:space="0" w:color="auto"/>
              <w:bottom w:val="single" w:sz="4" w:space="0" w:color="auto"/>
            </w:tcBorders>
          </w:tcPr>
          <w:p w14:paraId="05845547" w14:textId="77777777" w:rsidR="00677B6A" w:rsidRPr="00643105" w:rsidRDefault="00677B6A" w:rsidP="00D91E5B">
            <w:pPr>
              <w:jc w:val="center"/>
              <w:rPr>
                <w:color w:val="000000" w:themeColor="text1"/>
              </w:rPr>
            </w:pPr>
            <w:r w:rsidRPr="00643105">
              <w:rPr>
                <w:color w:val="000000" w:themeColor="text1"/>
              </w:rPr>
              <w:t>-27.67</w:t>
            </w:r>
          </w:p>
        </w:tc>
      </w:tr>
      <w:tr w:rsidR="00677B6A" w:rsidRPr="00643105" w14:paraId="396CF47C" w14:textId="77777777" w:rsidTr="00677B6A">
        <w:trPr>
          <w:jc w:val="center"/>
        </w:trPr>
        <w:tc>
          <w:tcPr>
            <w:tcW w:w="1403" w:type="dxa"/>
          </w:tcPr>
          <w:p w14:paraId="5E488809"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2000</w:t>
            </w:r>
          </w:p>
        </w:tc>
        <w:tc>
          <w:tcPr>
            <w:tcW w:w="1439" w:type="dxa"/>
          </w:tcPr>
          <w:p w14:paraId="1F97AD2B"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323</w:t>
            </w:r>
          </w:p>
        </w:tc>
        <w:tc>
          <w:tcPr>
            <w:tcW w:w="1890" w:type="dxa"/>
            <w:tcBorders>
              <w:right w:val="single" w:sz="4" w:space="0" w:color="auto"/>
            </w:tcBorders>
          </w:tcPr>
          <w:p w14:paraId="18DB13AE"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13.73</w:t>
            </w:r>
          </w:p>
        </w:tc>
        <w:tc>
          <w:tcPr>
            <w:tcW w:w="2700" w:type="dxa"/>
            <w:tcBorders>
              <w:top w:val="single" w:sz="4" w:space="0" w:color="auto"/>
              <w:left w:val="single" w:sz="4" w:space="0" w:color="auto"/>
              <w:right w:val="single" w:sz="4" w:space="0" w:color="auto"/>
            </w:tcBorders>
          </w:tcPr>
          <w:p w14:paraId="278EB183" w14:textId="77777777" w:rsidR="00677B6A" w:rsidRPr="00643105" w:rsidRDefault="00677B6A" w:rsidP="00D91E5B">
            <w:pPr>
              <w:jc w:val="center"/>
              <w:rPr>
                <w:color w:val="000000" w:themeColor="text1"/>
              </w:rPr>
            </w:pPr>
            <w:r w:rsidRPr="00643105">
              <w:rPr>
                <w:color w:val="000000" w:themeColor="text1"/>
              </w:rPr>
              <w:t>337.6666667</w:t>
            </w:r>
          </w:p>
        </w:tc>
        <w:tc>
          <w:tcPr>
            <w:tcW w:w="1942" w:type="dxa"/>
            <w:tcBorders>
              <w:top w:val="single" w:sz="4" w:space="0" w:color="auto"/>
              <w:left w:val="single" w:sz="4" w:space="0" w:color="auto"/>
            </w:tcBorders>
          </w:tcPr>
          <w:p w14:paraId="283CA404" w14:textId="77777777" w:rsidR="00677B6A" w:rsidRPr="00643105" w:rsidRDefault="00677B6A" w:rsidP="00D91E5B">
            <w:pPr>
              <w:jc w:val="center"/>
              <w:rPr>
                <w:color w:val="000000" w:themeColor="text1"/>
              </w:rPr>
            </w:pPr>
            <w:r w:rsidRPr="00643105">
              <w:rPr>
                <w:color w:val="000000" w:themeColor="text1"/>
              </w:rPr>
              <w:t>-14.67</w:t>
            </w:r>
          </w:p>
        </w:tc>
      </w:tr>
      <w:tr w:rsidR="00677B6A" w:rsidRPr="00643105" w14:paraId="3E0447E0" w14:textId="77777777" w:rsidTr="00677B6A">
        <w:trPr>
          <w:jc w:val="center"/>
        </w:trPr>
        <w:tc>
          <w:tcPr>
            <w:tcW w:w="1403" w:type="dxa"/>
          </w:tcPr>
          <w:p w14:paraId="23EC1A61"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2001</w:t>
            </w:r>
          </w:p>
        </w:tc>
        <w:tc>
          <w:tcPr>
            <w:tcW w:w="1439" w:type="dxa"/>
          </w:tcPr>
          <w:p w14:paraId="33BCD335"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360</w:t>
            </w:r>
          </w:p>
        </w:tc>
        <w:tc>
          <w:tcPr>
            <w:tcW w:w="1890" w:type="dxa"/>
          </w:tcPr>
          <w:p w14:paraId="6DFF552B"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11.46</w:t>
            </w:r>
          </w:p>
        </w:tc>
        <w:tc>
          <w:tcPr>
            <w:tcW w:w="2700" w:type="dxa"/>
            <w:tcBorders>
              <w:bottom w:val="single" w:sz="4" w:space="0" w:color="auto"/>
              <w:right w:val="single" w:sz="4" w:space="0" w:color="auto"/>
            </w:tcBorders>
          </w:tcPr>
          <w:p w14:paraId="7773464F" w14:textId="77777777" w:rsidR="00677B6A" w:rsidRPr="00643105" w:rsidRDefault="00677B6A" w:rsidP="00D91E5B">
            <w:pPr>
              <w:jc w:val="center"/>
              <w:rPr>
                <w:color w:val="000000" w:themeColor="text1"/>
              </w:rPr>
            </w:pPr>
            <w:r w:rsidRPr="00643105">
              <w:rPr>
                <w:color w:val="000000" w:themeColor="text1"/>
              </w:rPr>
              <w:t>366.3333333</w:t>
            </w:r>
          </w:p>
        </w:tc>
        <w:tc>
          <w:tcPr>
            <w:tcW w:w="1942" w:type="dxa"/>
            <w:tcBorders>
              <w:left w:val="single" w:sz="4" w:space="0" w:color="auto"/>
              <w:bottom w:val="single" w:sz="4" w:space="0" w:color="auto"/>
            </w:tcBorders>
          </w:tcPr>
          <w:p w14:paraId="1C5D2FED" w14:textId="77777777" w:rsidR="00677B6A" w:rsidRPr="00643105" w:rsidRDefault="00677B6A" w:rsidP="00D91E5B">
            <w:pPr>
              <w:jc w:val="center"/>
              <w:rPr>
                <w:color w:val="000000" w:themeColor="text1"/>
              </w:rPr>
            </w:pPr>
            <w:r w:rsidRPr="00643105">
              <w:rPr>
                <w:color w:val="000000" w:themeColor="text1"/>
              </w:rPr>
              <w:t>-6.33</w:t>
            </w:r>
          </w:p>
        </w:tc>
      </w:tr>
      <w:tr w:rsidR="00677B6A" w:rsidRPr="00643105" w14:paraId="4A49BB31" w14:textId="77777777" w:rsidTr="00677B6A">
        <w:trPr>
          <w:jc w:val="center"/>
        </w:trPr>
        <w:tc>
          <w:tcPr>
            <w:tcW w:w="1403" w:type="dxa"/>
          </w:tcPr>
          <w:p w14:paraId="45463FBB"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2002</w:t>
            </w:r>
          </w:p>
        </w:tc>
        <w:tc>
          <w:tcPr>
            <w:tcW w:w="1439" w:type="dxa"/>
          </w:tcPr>
          <w:p w14:paraId="3307BD3B"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396</w:t>
            </w:r>
          </w:p>
        </w:tc>
        <w:tc>
          <w:tcPr>
            <w:tcW w:w="1890" w:type="dxa"/>
          </w:tcPr>
          <w:p w14:paraId="4AF3412C"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10</w:t>
            </w:r>
          </w:p>
        </w:tc>
        <w:tc>
          <w:tcPr>
            <w:tcW w:w="2700" w:type="dxa"/>
            <w:tcBorders>
              <w:top w:val="single" w:sz="4" w:space="0" w:color="auto"/>
              <w:bottom w:val="single" w:sz="4" w:space="0" w:color="auto"/>
              <w:right w:val="single" w:sz="4" w:space="0" w:color="auto"/>
            </w:tcBorders>
          </w:tcPr>
          <w:p w14:paraId="71180C6C" w14:textId="77777777" w:rsidR="00677B6A" w:rsidRPr="00643105" w:rsidRDefault="00677B6A" w:rsidP="00D91E5B">
            <w:pPr>
              <w:jc w:val="center"/>
              <w:rPr>
                <w:color w:val="000000" w:themeColor="text1"/>
              </w:rPr>
            </w:pPr>
            <w:r w:rsidRPr="00643105">
              <w:rPr>
                <w:color w:val="000000" w:themeColor="text1"/>
              </w:rPr>
              <w:t>398</w:t>
            </w:r>
          </w:p>
        </w:tc>
        <w:tc>
          <w:tcPr>
            <w:tcW w:w="1942" w:type="dxa"/>
            <w:tcBorders>
              <w:top w:val="single" w:sz="4" w:space="0" w:color="auto"/>
              <w:left w:val="single" w:sz="4" w:space="0" w:color="auto"/>
              <w:bottom w:val="single" w:sz="4" w:space="0" w:color="auto"/>
            </w:tcBorders>
          </w:tcPr>
          <w:p w14:paraId="42A18A76" w14:textId="77777777" w:rsidR="00677B6A" w:rsidRPr="00643105" w:rsidRDefault="00677B6A" w:rsidP="00D91E5B">
            <w:pPr>
              <w:jc w:val="center"/>
              <w:rPr>
                <w:color w:val="000000" w:themeColor="text1"/>
              </w:rPr>
            </w:pPr>
            <w:r w:rsidRPr="00643105">
              <w:rPr>
                <w:color w:val="000000" w:themeColor="text1"/>
              </w:rPr>
              <w:t>-2</w:t>
            </w:r>
          </w:p>
        </w:tc>
      </w:tr>
      <w:tr w:rsidR="00677B6A" w:rsidRPr="00643105" w14:paraId="7995E5E6" w14:textId="77777777" w:rsidTr="00677B6A">
        <w:trPr>
          <w:jc w:val="center"/>
        </w:trPr>
        <w:tc>
          <w:tcPr>
            <w:tcW w:w="1403" w:type="dxa"/>
          </w:tcPr>
          <w:p w14:paraId="099F16FA"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2003</w:t>
            </w:r>
          </w:p>
        </w:tc>
        <w:tc>
          <w:tcPr>
            <w:tcW w:w="1439" w:type="dxa"/>
          </w:tcPr>
          <w:p w14:paraId="374135EF"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432</w:t>
            </w:r>
          </w:p>
        </w:tc>
        <w:tc>
          <w:tcPr>
            <w:tcW w:w="1890" w:type="dxa"/>
          </w:tcPr>
          <w:p w14:paraId="5BBEE5BE"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9.09</w:t>
            </w:r>
          </w:p>
        </w:tc>
        <w:tc>
          <w:tcPr>
            <w:tcW w:w="2700" w:type="dxa"/>
            <w:tcBorders>
              <w:top w:val="single" w:sz="4" w:space="0" w:color="auto"/>
              <w:bottom w:val="single" w:sz="4" w:space="0" w:color="auto"/>
              <w:right w:val="single" w:sz="4" w:space="0" w:color="auto"/>
            </w:tcBorders>
          </w:tcPr>
          <w:p w14:paraId="458094A5" w14:textId="77777777" w:rsidR="00677B6A" w:rsidRPr="00643105" w:rsidRDefault="00677B6A" w:rsidP="00D91E5B">
            <w:pPr>
              <w:jc w:val="center"/>
              <w:rPr>
                <w:color w:val="000000" w:themeColor="text1"/>
              </w:rPr>
            </w:pPr>
            <w:r w:rsidRPr="00643105">
              <w:rPr>
                <w:color w:val="000000" w:themeColor="text1"/>
              </w:rPr>
              <w:t>432.2222222</w:t>
            </w:r>
          </w:p>
        </w:tc>
        <w:tc>
          <w:tcPr>
            <w:tcW w:w="1942" w:type="dxa"/>
            <w:tcBorders>
              <w:top w:val="single" w:sz="4" w:space="0" w:color="auto"/>
              <w:left w:val="single" w:sz="4" w:space="0" w:color="auto"/>
              <w:bottom w:val="single" w:sz="4" w:space="0" w:color="auto"/>
            </w:tcBorders>
          </w:tcPr>
          <w:p w14:paraId="70D369FC" w14:textId="77777777" w:rsidR="00677B6A" w:rsidRPr="00643105" w:rsidRDefault="00677B6A" w:rsidP="00D91E5B">
            <w:pPr>
              <w:jc w:val="center"/>
              <w:rPr>
                <w:color w:val="000000" w:themeColor="text1"/>
              </w:rPr>
            </w:pPr>
            <w:r w:rsidRPr="00643105">
              <w:rPr>
                <w:color w:val="000000" w:themeColor="text1"/>
              </w:rPr>
              <w:t>-0.22</w:t>
            </w:r>
          </w:p>
        </w:tc>
      </w:tr>
      <w:tr w:rsidR="00677B6A" w:rsidRPr="00643105" w14:paraId="51B7CFB3" w14:textId="77777777" w:rsidTr="00677B6A">
        <w:trPr>
          <w:trHeight w:val="168"/>
          <w:jc w:val="center"/>
        </w:trPr>
        <w:tc>
          <w:tcPr>
            <w:tcW w:w="1403" w:type="dxa"/>
            <w:tcBorders>
              <w:bottom w:val="single" w:sz="4" w:space="0" w:color="auto"/>
            </w:tcBorders>
          </w:tcPr>
          <w:p w14:paraId="06A1A46A"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2004</w:t>
            </w:r>
          </w:p>
        </w:tc>
        <w:tc>
          <w:tcPr>
            <w:tcW w:w="1439" w:type="dxa"/>
            <w:tcBorders>
              <w:bottom w:val="single" w:sz="4" w:space="0" w:color="auto"/>
            </w:tcBorders>
          </w:tcPr>
          <w:p w14:paraId="022D33BA"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467</w:t>
            </w:r>
          </w:p>
        </w:tc>
        <w:tc>
          <w:tcPr>
            <w:tcW w:w="1890" w:type="dxa"/>
            <w:tcBorders>
              <w:bottom w:val="single" w:sz="4" w:space="0" w:color="auto"/>
            </w:tcBorders>
          </w:tcPr>
          <w:p w14:paraId="1B262969"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8.10</w:t>
            </w:r>
          </w:p>
        </w:tc>
        <w:tc>
          <w:tcPr>
            <w:tcW w:w="2700" w:type="dxa"/>
            <w:tcBorders>
              <w:top w:val="single" w:sz="4" w:space="0" w:color="auto"/>
              <w:bottom w:val="single" w:sz="4" w:space="0" w:color="auto"/>
              <w:right w:val="single" w:sz="4" w:space="0" w:color="auto"/>
            </w:tcBorders>
          </w:tcPr>
          <w:p w14:paraId="220F5586" w14:textId="77777777" w:rsidR="00677B6A" w:rsidRPr="00643105" w:rsidRDefault="00677B6A" w:rsidP="00D91E5B">
            <w:pPr>
              <w:jc w:val="center"/>
              <w:rPr>
                <w:color w:val="000000" w:themeColor="text1"/>
              </w:rPr>
            </w:pPr>
            <w:r w:rsidRPr="00643105">
              <w:rPr>
                <w:color w:val="000000" w:themeColor="text1"/>
              </w:rPr>
              <w:t>469.1111111</w:t>
            </w:r>
          </w:p>
        </w:tc>
        <w:tc>
          <w:tcPr>
            <w:tcW w:w="1942" w:type="dxa"/>
            <w:tcBorders>
              <w:top w:val="single" w:sz="4" w:space="0" w:color="auto"/>
              <w:left w:val="single" w:sz="4" w:space="0" w:color="auto"/>
              <w:bottom w:val="single" w:sz="4" w:space="0" w:color="auto"/>
            </w:tcBorders>
          </w:tcPr>
          <w:p w14:paraId="4150BEE3" w14:textId="77777777" w:rsidR="00677B6A" w:rsidRPr="00643105" w:rsidRDefault="00677B6A" w:rsidP="00D91E5B">
            <w:pPr>
              <w:jc w:val="center"/>
              <w:rPr>
                <w:color w:val="000000" w:themeColor="text1"/>
              </w:rPr>
            </w:pPr>
            <w:r w:rsidRPr="00643105">
              <w:rPr>
                <w:color w:val="000000" w:themeColor="text1"/>
              </w:rPr>
              <w:t>-2.11</w:t>
            </w:r>
          </w:p>
        </w:tc>
      </w:tr>
      <w:tr w:rsidR="00677B6A" w:rsidRPr="00643105" w14:paraId="1D834964" w14:textId="77777777" w:rsidTr="00677B6A">
        <w:trPr>
          <w:trHeight w:val="188"/>
          <w:jc w:val="center"/>
        </w:trPr>
        <w:tc>
          <w:tcPr>
            <w:tcW w:w="1403" w:type="dxa"/>
            <w:tcBorders>
              <w:top w:val="single" w:sz="4" w:space="0" w:color="auto"/>
              <w:bottom w:val="single" w:sz="4" w:space="0" w:color="auto"/>
            </w:tcBorders>
          </w:tcPr>
          <w:p w14:paraId="13A7D993"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2005</w:t>
            </w:r>
          </w:p>
        </w:tc>
        <w:tc>
          <w:tcPr>
            <w:tcW w:w="1439" w:type="dxa"/>
            <w:tcBorders>
              <w:top w:val="single" w:sz="4" w:space="0" w:color="auto"/>
              <w:bottom w:val="single" w:sz="4" w:space="0" w:color="auto"/>
            </w:tcBorders>
          </w:tcPr>
          <w:p w14:paraId="2952A42F"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504</w:t>
            </w:r>
          </w:p>
        </w:tc>
        <w:tc>
          <w:tcPr>
            <w:tcW w:w="1890" w:type="dxa"/>
            <w:tcBorders>
              <w:top w:val="single" w:sz="4" w:space="0" w:color="auto"/>
              <w:bottom w:val="single" w:sz="4" w:space="0" w:color="auto"/>
            </w:tcBorders>
          </w:tcPr>
          <w:p w14:paraId="6271795C"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7.92</w:t>
            </w:r>
          </w:p>
        </w:tc>
        <w:tc>
          <w:tcPr>
            <w:tcW w:w="2700" w:type="dxa"/>
            <w:tcBorders>
              <w:top w:val="single" w:sz="4" w:space="0" w:color="auto"/>
              <w:bottom w:val="single" w:sz="4" w:space="0" w:color="auto"/>
              <w:right w:val="single" w:sz="4" w:space="0" w:color="auto"/>
            </w:tcBorders>
          </w:tcPr>
          <w:p w14:paraId="3649B9E8" w14:textId="77777777" w:rsidR="00677B6A" w:rsidRPr="00643105" w:rsidRDefault="00677B6A" w:rsidP="00D91E5B">
            <w:pPr>
              <w:jc w:val="center"/>
              <w:rPr>
                <w:color w:val="000000" w:themeColor="text1"/>
              </w:rPr>
            </w:pPr>
            <w:r w:rsidRPr="00643105">
              <w:rPr>
                <w:color w:val="000000" w:themeColor="text1"/>
              </w:rPr>
              <w:t>506.7777778</w:t>
            </w:r>
          </w:p>
        </w:tc>
        <w:tc>
          <w:tcPr>
            <w:tcW w:w="1942" w:type="dxa"/>
            <w:tcBorders>
              <w:top w:val="single" w:sz="4" w:space="0" w:color="auto"/>
              <w:left w:val="single" w:sz="4" w:space="0" w:color="auto"/>
              <w:bottom w:val="single" w:sz="4" w:space="0" w:color="auto"/>
            </w:tcBorders>
          </w:tcPr>
          <w:p w14:paraId="456DB9F2" w14:textId="77777777" w:rsidR="00677B6A" w:rsidRPr="00643105" w:rsidRDefault="00677B6A" w:rsidP="00D91E5B">
            <w:pPr>
              <w:jc w:val="center"/>
              <w:rPr>
                <w:color w:val="000000" w:themeColor="text1"/>
              </w:rPr>
            </w:pPr>
            <w:r w:rsidRPr="00643105">
              <w:rPr>
                <w:color w:val="000000" w:themeColor="text1"/>
              </w:rPr>
              <w:t>-2.78</w:t>
            </w:r>
          </w:p>
        </w:tc>
      </w:tr>
      <w:tr w:rsidR="00677B6A" w:rsidRPr="00643105" w14:paraId="720619C9" w14:textId="77777777" w:rsidTr="00677B6A">
        <w:trPr>
          <w:trHeight w:val="85"/>
          <w:jc w:val="center"/>
        </w:trPr>
        <w:tc>
          <w:tcPr>
            <w:tcW w:w="1403" w:type="dxa"/>
            <w:tcBorders>
              <w:top w:val="single" w:sz="4" w:space="0" w:color="auto"/>
              <w:bottom w:val="single" w:sz="4" w:space="0" w:color="auto"/>
            </w:tcBorders>
          </w:tcPr>
          <w:p w14:paraId="50A337F3"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2006</w:t>
            </w:r>
          </w:p>
        </w:tc>
        <w:tc>
          <w:tcPr>
            <w:tcW w:w="1439" w:type="dxa"/>
            <w:tcBorders>
              <w:top w:val="single" w:sz="4" w:space="0" w:color="auto"/>
              <w:bottom w:val="single" w:sz="4" w:space="0" w:color="auto"/>
            </w:tcBorders>
          </w:tcPr>
          <w:p w14:paraId="20A64F14"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544</w:t>
            </w:r>
          </w:p>
        </w:tc>
        <w:tc>
          <w:tcPr>
            <w:tcW w:w="1890" w:type="dxa"/>
            <w:tcBorders>
              <w:top w:val="single" w:sz="4" w:space="0" w:color="auto"/>
              <w:bottom w:val="single" w:sz="4" w:space="0" w:color="auto"/>
            </w:tcBorders>
          </w:tcPr>
          <w:p w14:paraId="27347807"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7.94</w:t>
            </w:r>
          </w:p>
        </w:tc>
        <w:tc>
          <w:tcPr>
            <w:tcW w:w="2700" w:type="dxa"/>
            <w:tcBorders>
              <w:top w:val="single" w:sz="4" w:space="0" w:color="auto"/>
              <w:bottom w:val="single" w:sz="4" w:space="0" w:color="auto"/>
              <w:right w:val="single" w:sz="4" w:space="0" w:color="auto"/>
            </w:tcBorders>
          </w:tcPr>
          <w:p w14:paraId="22ED5C24" w14:textId="77777777" w:rsidR="00677B6A" w:rsidRPr="00643105" w:rsidRDefault="00677B6A" w:rsidP="00D91E5B">
            <w:pPr>
              <w:jc w:val="center"/>
              <w:rPr>
                <w:color w:val="000000" w:themeColor="text1"/>
              </w:rPr>
            </w:pPr>
            <w:r w:rsidRPr="00643105">
              <w:rPr>
                <w:color w:val="000000" w:themeColor="text1"/>
              </w:rPr>
              <w:t>525.125</w:t>
            </w:r>
          </w:p>
        </w:tc>
        <w:tc>
          <w:tcPr>
            <w:tcW w:w="1942" w:type="dxa"/>
            <w:tcBorders>
              <w:top w:val="single" w:sz="4" w:space="0" w:color="auto"/>
              <w:left w:val="single" w:sz="4" w:space="0" w:color="auto"/>
              <w:bottom w:val="single" w:sz="4" w:space="0" w:color="auto"/>
            </w:tcBorders>
          </w:tcPr>
          <w:p w14:paraId="06F4A261" w14:textId="77777777" w:rsidR="00677B6A" w:rsidRPr="00643105" w:rsidRDefault="00677B6A" w:rsidP="00D91E5B">
            <w:pPr>
              <w:jc w:val="center"/>
              <w:rPr>
                <w:color w:val="000000" w:themeColor="text1"/>
              </w:rPr>
            </w:pPr>
            <w:r w:rsidRPr="00643105">
              <w:rPr>
                <w:color w:val="000000" w:themeColor="text1"/>
              </w:rPr>
              <w:t>18.875</w:t>
            </w:r>
          </w:p>
        </w:tc>
      </w:tr>
      <w:tr w:rsidR="00677B6A" w:rsidRPr="00643105" w14:paraId="2232DE07" w14:textId="77777777" w:rsidTr="00677B6A">
        <w:trPr>
          <w:trHeight w:val="157"/>
          <w:jc w:val="center"/>
        </w:trPr>
        <w:tc>
          <w:tcPr>
            <w:tcW w:w="1403" w:type="dxa"/>
            <w:tcBorders>
              <w:top w:val="single" w:sz="4" w:space="0" w:color="auto"/>
              <w:bottom w:val="single" w:sz="4" w:space="0" w:color="auto"/>
            </w:tcBorders>
          </w:tcPr>
          <w:p w14:paraId="6F1816D9"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lastRenderedPageBreak/>
              <w:t>2007</w:t>
            </w:r>
          </w:p>
        </w:tc>
        <w:tc>
          <w:tcPr>
            <w:tcW w:w="1439" w:type="dxa"/>
            <w:tcBorders>
              <w:top w:val="single" w:sz="4" w:space="0" w:color="auto"/>
              <w:bottom w:val="single" w:sz="4" w:space="0" w:color="auto"/>
            </w:tcBorders>
          </w:tcPr>
          <w:p w14:paraId="0A317327"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580</w:t>
            </w:r>
          </w:p>
        </w:tc>
        <w:tc>
          <w:tcPr>
            <w:tcW w:w="1890" w:type="dxa"/>
            <w:tcBorders>
              <w:top w:val="single" w:sz="4" w:space="0" w:color="auto"/>
              <w:bottom w:val="single" w:sz="4" w:space="0" w:color="auto"/>
            </w:tcBorders>
          </w:tcPr>
          <w:p w14:paraId="261B5D6F"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6.62</w:t>
            </w:r>
          </w:p>
        </w:tc>
        <w:tc>
          <w:tcPr>
            <w:tcW w:w="2700" w:type="dxa"/>
            <w:tcBorders>
              <w:top w:val="single" w:sz="4" w:space="0" w:color="auto"/>
              <w:bottom w:val="single" w:sz="4" w:space="0" w:color="auto"/>
              <w:right w:val="single" w:sz="4" w:space="0" w:color="auto"/>
            </w:tcBorders>
          </w:tcPr>
          <w:p w14:paraId="02DC42FF" w14:textId="77777777" w:rsidR="00677B6A" w:rsidRPr="00643105" w:rsidRDefault="00677B6A" w:rsidP="00D91E5B">
            <w:pPr>
              <w:jc w:val="center"/>
              <w:rPr>
                <w:color w:val="000000" w:themeColor="text1"/>
              </w:rPr>
            </w:pPr>
            <w:r w:rsidRPr="00643105">
              <w:rPr>
                <w:color w:val="000000" w:themeColor="text1"/>
              </w:rPr>
              <w:t>575.6666667</w:t>
            </w:r>
          </w:p>
        </w:tc>
        <w:tc>
          <w:tcPr>
            <w:tcW w:w="1942" w:type="dxa"/>
            <w:tcBorders>
              <w:top w:val="single" w:sz="4" w:space="0" w:color="auto"/>
              <w:left w:val="single" w:sz="4" w:space="0" w:color="auto"/>
              <w:bottom w:val="single" w:sz="4" w:space="0" w:color="auto"/>
            </w:tcBorders>
          </w:tcPr>
          <w:p w14:paraId="5702D1AE" w14:textId="77777777" w:rsidR="00677B6A" w:rsidRPr="00643105" w:rsidRDefault="00677B6A" w:rsidP="00D91E5B">
            <w:pPr>
              <w:jc w:val="center"/>
              <w:rPr>
                <w:color w:val="000000" w:themeColor="text1"/>
              </w:rPr>
            </w:pPr>
            <w:r w:rsidRPr="00643105">
              <w:rPr>
                <w:color w:val="000000" w:themeColor="text1"/>
              </w:rPr>
              <w:t>4.33</w:t>
            </w:r>
          </w:p>
        </w:tc>
      </w:tr>
      <w:tr w:rsidR="00677B6A" w:rsidRPr="00643105" w14:paraId="46A6C7D9" w14:textId="77777777" w:rsidTr="00677B6A">
        <w:trPr>
          <w:trHeight w:val="107"/>
          <w:jc w:val="center"/>
        </w:trPr>
        <w:tc>
          <w:tcPr>
            <w:tcW w:w="1403" w:type="dxa"/>
            <w:tcBorders>
              <w:top w:val="single" w:sz="4" w:space="0" w:color="auto"/>
              <w:bottom w:val="single" w:sz="4" w:space="0" w:color="auto"/>
            </w:tcBorders>
          </w:tcPr>
          <w:p w14:paraId="147C668C"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2008</w:t>
            </w:r>
          </w:p>
        </w:tc>
        <w:tc>
          <w:tcPr>
            <w:tcW w:w="1439" w:type="dxa"/>
            <w:tcBorders>
              <w:top w:val="single" w:sz="4" w:space="0" w:color="auto"/>
              <w:bottom w:val="single" w:sz="4" w:space="0" w:color="auto"/>
            </w:tcBorders>
          </w:tcPr>
          <w:p w14:paraId="0376BE96"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616</w:t>
            </w:r>
          </w:p>
        </w:tc>
        <w:tc>
          <w:tcPr>
            <w:tcW w:w="1890" w:type="dxa"/>
            <w:tcBorders>
              <w:top w:val="single" w:sz="4" w:space="0" w:color="auto"/>
              <w:bottom w:val="single" w:sz="4" w:space="0" w:color="auto"/>
            </w:tcBorders>
          </w:tcPr>
          <w:p w14:paraId="7D7A3D08"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6.21</w:t>
            </w:r>
          </w:p>
        </w:tc>
        <w:tc>
          <w:tcPr>
            <w:tcW w:w="2700" w:type="dxa"/>
            <w:tcBorders>
              <w:top w:val="single" w:sz="4" w:space="0" w:color="auto"/>
              <w:bottom w:val="single" w:sz="4" w:space="0" w:color="auto"/>
              <w:right w:val="single" w:sz="4" w:space="0" w:color="auto"/>
            </w:tcBorders>
          </w:tcPr>
          <w:p w14:paraId="5584531E" w14:textId="77777777" w:rsidR="00677B6A" w:rsidRPr="00643105" w:rsidRDefault="00677B6A" w:rsidP="00D91E5B">
            <w:pPr>
              <w:jc w:val="center"/>
              <w:rPr>
                <w:color w:val="000000" w:themeColor="text1"/>
              </w:rPr>
            </w:pPr>
            <w:r w:rsidRPr="00643105">
              <w:rPr>
                <w:color w:val="000000" w:themeColor="text1"/>
              </w:rPr>
              <w:t>608</w:t>
            </w:r>
          </w:p>
        </w:tc>
        <w:tc>
          <w:tcPr>
            <w:tcW w:w="1942" w:type="dxa"/>
            <w:tcBorders>
              <w:top w:val="single" w:sz="4" w:space="0" w:color="auto"/>
              <w:left w:val="single" w:sz="4" w:space="0" w:color="auto"/>
              <w:bottom w:val="single" w:sz="4" w:space="0" w:color="auto"/>
            </w:tcBorders>
          </w:tcPr>
          <w:p w14:paraId="50757F70" w14:textId="77777777" w:rsidR="00677B6A" w:rsidRPr="00643105" w:rsidRDefault="00677B6A" w:rsidP="00D91E5B">
            <w:pPr>
              <w:jc w:val="center"/>
              <w:rPr>
                <w:color w:val="000000" w:themeColor="text1"/>
              </w:rPr>
            </w:pPr>
            <w:r w:rsidRPr="00643105">
              <w:rPr>
                <w:color w:val="000000" w:themeColor="text1"/>
              </w:rPr>
              <w:t>8</w:t>
            </w:r>
          </w:p>
        </w:tc>
      </w:tr>
      <w:tr w:rsidR="00677B6A" w:rsidRPr="00643105" w14:paraId="2D404738" w14:textId="77777777" w:rsidTr="00677B6A">
        <w:trPr>
          <w:trHeight w:val="121"/>
          <w:jc w:val="center"/>
        </w:trPr>
        <w:tc>
          <w:tcPr>
            <w:tcW w:w="1403" w:type="dxa"/>
            <w:tcBorders>
              <w:top w:val="single" w:sz="4" w:space="0" w:color="auto"/>
              <w:bottom w:val="single" w:sz="4" w:space="0" w:color="auto"/>
            </w:tcBorders>
          </w:tcPr>
          <w:p w14:paraId="074DB9B6"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2009</w:t>
            </w:r>
          </w:p>
        </w:tc>
        <w:tc>
          <w:tcPr>
            <w:tcW w:w="1439" w:type="dxa"/>
            <w:tcBorders>
              <w:top w:val="single" w:sz="4" w:space="0" w:color="auto"/>
              <w:bottom w:val="single" w:sz="4" w:space="0" w:color="auto"/>
            </w:tcBorders>
          </w:tcPr>
          <w:p w14:paraId="4BDA217B"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662</w:t>
            </w:r>
          </w:p>
        </w:tc>
        <w:tc>
          <w:tcPr>
            <w:tcW w:w="1890" w:type="dxa"/>
            <w:tcBorders>
              <w:top w:val="single" w:sz="4" w:space="0" w:color="auto"/>
              <w:bottom w:val="single" w:sz="4" w:space="0" w:color="auto"/>
            </w:tcBorders>
          </w:tcPr>
          <w:p w14:paraId="0A434587"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7.47</w:t>
            </w:r>
          </w:p>
        </w:tc>
        <w:tc>
          <w:tcPr>
            <w:tcW w:w="2700" w:type="dxa"/>
            <w:tcBorders>
              <w:top w:val="single" w:sz="4" w:space="0" w:color="auto"/>
              <w:bottom w:val="single" w:sz="4" w:space="0" w:color="auto"/>
              <w:right w:val="single" w:sz="4" w:space="0" w:color="auto"/>
            </w:tcBorders>
          </w:tcPr>
          <w:p w14:paraId="51CEF75A" w14:textId="77777777" w:rsidR="00677B6A" w:rsidRPr="00643105" w:rsidRDefault="00677B6A" w:rsidP="00D91E5B">
            <w:pPr>
              <w:jc w:val="center"/>
              <w:rPr>
                <w:color w:val="000000" w:themeColor="text1"/>
              </w:rPr>
            </w:pPr>
            <w:r w:rsidRPr="00643105">
              <w:rPr>
                <w:color w:val="000000" w:themeColor="text1"/>
              </w:rPr>
              <w:t>638.7777778</w:t>
            </w:r>
          </w:p>
        </w:tc>
        <w:tc>
          <w:tcPr>
            <w:tcW w:w="1942" w:type="dxa"/>
            <w:tcBorders>
              <w:top w:val="single" w:sz="4" w:space="0" w:color="auto"/>
              <w:left w:val="single" w:sz="4" w:space="0" w:color="auto"/>
              <w:bottom w:val="single" w:sz="4" w:space="0" w:color="auto"/>
            </w:tcBorders>
          </w:tcPr>
          <w:p w14:paraId="0BF41117" w14:textId="77777777" w:rsidR="00677B6A" w:rsidRPr="00643105" w:rsidRDefault="00677B6A" w:rsidP="00D91E5B">
            <w:pPr>
              <w:jc w:val="center"/>
              <w:rPr>
                <w:color w:val="000000" w:themeColor="text1"/>
              </w:rPr>
            </w:pPr>
            <w:r w:rsidRPr="00643105">
              <w:rPr>
                <w:color w:val="000000" w:themeColor="text1"/>
              </w:rPr>
              <w:t>23.22</w:t>
            </w:r>
          </w:p>
        </w:tc>
      </w:tr>
      <w:tr w:rsidR="00677B6A" w:rsidRPr="00643105" w14:paraId="1980D71C" w14:textId="77777777" w:rsidTr="00677B6A">
        <w:trPr>
          <w:trHeight w:val="157"/>
          <w:jc w:val="center"/>
        </w:trPr>
        <w:tc>
          <w:tcPr>
            <w:tcW w:w="1403" w:type="dxa"/>
            <w:tcBorders>
              <w:top w:val="single" w:sz="4" w:space="0" w:color="auto"/>
              <w:bottom w:val="single" w:sz="4" w:space="0" w:color="auto"/>
            </w:tcBorders>
          </w:tcPr>
          <w:p w14:paraId="15F8FB19"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2010</w:t>
            </w:r>
          </w:p>
        </w:tc>
        <w:tc>
          <w:tcPr>
            <w:tcW w:w="1439" w:type="dxa"/>
            <w:tcBorders>
              <w:top w:val="single" w:sz="4" w:space="0" w:color="auto"/>
              <w:bottom w:val="single" w:sz="4" w:space="0" w:color="auto"/>
            </w:tcBorders>
          </w:tcPr>
          <w:p w14:paraId="0BC5BA10"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676</w:t>
            </w:r>
          </w:p>
        </w:tc>
        <w:tc>
          <w:tcPr>
            <w:tcW w:w="1890" w:type="dxa"/>
            <w:tcBorders>
              <w:top w:val="single" w:sz="4" w:space="0" w:color="auto"/>
              <w:bottom w:val="single" w:sz="4" w:space="0" w:color="auto"/>
            </w:tcBorders>
          </w:tcPr>
          <w:p w14:paraId="3B7FB255"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2.11</w:t>
            </w:r>
          </w:p>
        </w:tc>
        <w:tc>
          <w:tcPr>
            <w:tcW w:w="2700" w:type="dxa"/>
            <w:tcBorders>
              <w:top w:val="single" w:sz="4" w:space="0" w:color="auto"/>
              <w:bottom w:val="single" w:sz="4" w:space="0" w:color="auto"/>
              <w:right w:val="single" w:sz="4" w:space="0" w:color="auto"/>
            </w:tcBorders>
          </w:tcPr>
          <w:p w14:paraId="2CE93B66" w14:textId="77777777" w:rsidR="00677B6A" w:rsidRPr="00643105" w:rsidRDefault="00677B6A" w:rsidP="00D91E5B">
            <w:pPr>
              <w:jc w:val="center"/>
              <w:rPr>
                <w:color w:val="000000" w:themeColor="text1"/>
              </w:rPr>
            </w:pPr>
            <w:r w:rsidRPr="00643105">
              <w:rPr>
                <w:color w:val="000000" w:themeColor="text1"/>
              </w:rPr>
              <w:t>667.8888889</w:t>
            </w:r>
          </w:p>
        </w:tc>
        <w:tc>
          <w:tcPr>
            <w:tcW w:w="1942" w:type="dxa"/>
            <w:tcBorders>
              <w:top w:val="single" w:sz="4" w:space="0" w:color="auto"/>
              <w:left w:val="single" w:sz="4" w:space="0" w:color="auto"/>
              <w:bottom w:val="single" w:sz="4" w:space="0" w:color="auto"/>
            </w:tcBorders>
          </w:tcPr>
          <w:p w14:paraId="0A988DB4" w14:textId="77777777" w:rsidR="00677B6A" w:rsidRPr="00643105" w:rsidRDefault="00677B6A" w:rsidP="00D91E5B">
            <w:pPr>
              <w:jc w:val="center"/>
              <w:rPr>
                <w:color w:val="000000" w:themeColor="text1"/>
              </w:rPr>
            </w:pPr>
            <w:r w:rsidRPr="00643105">
              <w:rPr>
                <w:color w:val="000000" w:themeColor="text1"/>
              </w:rPr>
              <w:t>0.89</w:t>
            </w:r>
          </w:p>
        </w:tc>
      </w:tr>
      <w:tr w:rsidR="00677B6A" w:rsidRPr="00643105" w14:paraId="03B3E3AC" w14:textId="77777777" w:rsidTr="00677B6A">
        <w:trPr>
          <w:trHeight w:val="266"/>
          <w:jc w:val="center"/>
        </w:trPr>
        <w:tc>
          <w:tcPr>
            <w:tcW w:w="1403" w:type="dxa"/>
            <w:tcBorders>
              <w:top w:val="single" w:sz="4" w:space="0" w:color="auto"/>
              <w:bottom w:val="single" w:sz="4" w:space="0" w:color="auto"/>
            </w:tcBorders>
          </w:tcPr>
          <w:p w14:paraId="7EC900CB"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2011</w:t>
            </w:r>
          </w:p>
        </w:tc>
        <w:tc>
          <w:tcPr>
            <w:tcW w:w="1439" w:type="dxa"/>
            <w:tcBorders>
              <w:top w:val="single" w:sz="4" w:space="0" w:color="auto"/>
              <w:bottom w:val="single" w:sz="4" w:space="0" w:color="auto"/>
            </w:tcBorders>
          </w:tcPr>
          <w:p w14:paraId="003071B9"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700</w:t>
            </w:r>
          </w:p>
        </w:tc>
        <w:tc>
          <w:tcPr>
            <w:tcW w:w="1890" w:type="dxa"/>
            <w:tcBorders>
              <w:top w:val="single" w:sz="4" w:space="0" w:color="auto"/>
              <w:bottom w:val="single" w:sz="4" w:space="0" w:color="auto"/>
            </w:tcBorders>
          </w:tcPr>
          <w:p w14:paraId="5D8770FD"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3.55</w:t>
            </w:r>
          </w:p>
        </w:tc>
        <w:tc>
          <w:tcPr>
            <w:tcW w:w="2700" w:type="dxa"/>
            <w:tcBorders>
              <w:top w:val="single" w:sz="4" w:space="0" w:color="auto"/>
              <w:bottom w:val="single" w:sz="4" w:space="0" w:color="auto"/>
              <w:right w:val="single" w:sz="4" w:space="0" w:color="auto"/>
            </w:tcBorders>
          </w:tcPr>
          <w:p w14:paraId="30068F40" w14:textId="77777777" w:rsidR="00677B6A" w:rsidRPr="00643105" w:rsidRDefault="00677B6A" w:rsidP="00D91E5B">
            <w:pPr>
              <w:jc w:val="center"/>
              <w:rPr>
                <w:color w:val="000000" w:themeColor="text1"/>
              </w:rPr>
            </w:pPr>
            <w:r w:rsidRPr="00643105">
              <w:rPr>
                <w:color w:val="000000" w:themeColor="text1"/>
              </w:rPr>
              <w:t>695.5555556</w:t>
            </w:r>
          </w:p>
        </w:tc>
        <w:tc>
          <w:tcPr>
            <w:tcW w:w="1942" w:type="dxa"/>
            <w:tcBorders>
              <w:top w:val="single" w:sz="4" w:space="0" w:color="auto"/>
              <w:left w:val="single" w:sz="4" w:space="0" w:color="auto"/>
              <w:bottom w:val="single" w:sz="4" w:space="0" w:color="auto"/>
            </w:tcBorders>
          </w:tcPr>
          <w:p w14:paraId="06B25D59" w14:textId="77777777" w:rsidR="00677B6A" w:rsidRPr="00643105" w:rsidRDefault="00677B6A" w:rsidP="00D91E5B">
            <w:pPr>
              <w:jc w:val="center"/>
              <w:rPr>
                <w:color w:val="000000" w:themeColor="text1"/>
              </w:rPr>
            </w:pPr>
            <w:r w:rsidRPr="00643105">
              <w:rPr>
                <w:color w:val="000000" w:themeColor="text1"/>
              </w:rPr>
              <w:t>4.44</w:t>
            </w:r>
          </w:p>
        </w:tc>
      </w:tr>
      <w:tr w:rsidR="00677B6A" w:rsidRPr="00643105" w14:paraId="4A72B14A" w14:textId="77777777" w:rsidTr="00677B6A">
        <w:trPr>
          <w:trHeight w:val="107"/>
          <w:jc w:val="center"/>
        </w:trPr>
        <w:tc>
          <w:tcPr>
            <w:tcW w:w="1403" w:type="dxa"/>
            <w:tcBorders>
              <w:top w:val="single" w:sz="4" w:space="0" w:color="auto"/>
              <w:bottom w:val="single" w:sz="4" w:space="0" w:color="auto"/>
            </w:tcBorders>
          </w:tcPr>
          <w:p w14:paraId="2731E3C6"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2012</w:t>
            </w:r>
          </w:p>
        </w:tc>
        <w:tc>
          <w:tcPr>
            <w:tcW w:w="1439" w:type="dxa"/>
            <w:tcBorders>
              <w:top w:val="single" w:sz="4" w:space="0" w:color="auto"/>
              <w:bottom w:val="single" w:sz="4" w:space="0" w:color="auto"/>
            </w:tcBorders>
          </w:tcPr>
          <w:p w14:paraId="3FFBF5CD"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723</w:t>
            </w:r>
          </w:p>
        </w:tc>
        <w:tc>
          <w:tcPr>
            <w:tcW w:w="1890" w:type="dxa"/>
            <w:tcBorders>
              <w:top w:val="single" w:sz="4" w:space="0" w:color="auto"/>
              <w:bottom w:val="single" w:sz="4" w:space="0" w:color="auto"/>
            </w:tcBorders>
          </w:tcPr>
          <w:p w14:paraId="40118F44"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3.29</w:t>
            </w:r>
          </w:p>
        </w:tc>
        <w:tc>
          <w:tcPr>
            <w:tcW w:w="2700" w:type="dxa"/>
            <w:tcBorders>
              <w:top w:val="single" w:sz="4" w:space="0" w:color="auto"/>
              <w:bottom w:val="single" w:sz="4" w:space="0" w:color="auto"/>
              <w:right w:val="single" w:sz="4" w:space="0" w:color="auto"/>
            </w:tcBorders>
          </w:tcPr>
          <w:p w14:paraId="7CB1FCB7" w14:textId="77777777" w:rsidR="00677B6A" w:rsidRPr="00643105" w:rsidRDefault="00677B6A" w:rsidP="00D91E5B">
            <w:pPr>
              <w:jc w:val="center"/>
              <w:rPr>
                <w:color w:val="000000" w:themeColor="text1"/>
              </w:rPr>
            </w:pPr>
            <w:r w:rsidRPr="00643105">
              <w:rPr>
                <w:color w:val="000000" w:themeColor="text1"/>
              </w:rPr>
              <w:t>720</w:t>
            </w:r>
          </w:p>
        </w:tc>
        <w:tc>
          <w:tcPr>
            <w:tcW w:w="1942" w:type="dxa"/>
            <w:tcBorders>
              <w:top w:val="single" w:sz="4" w:space="0" w:color="auto"/>
              <w:left w:val="single" w:sz="4" w:space="0" w:color="auto"/>
              <w:bottom w:val="single" w:sz="4" w:space="0" w:color="auto"/>
            </w:tcBorders>
          </w:tcPr>
          <w:p w14:paraId="5338F097" w14:textId="77777777" w:rsidR="00677B6A" w:rsidRPr="00643105" w:rsidRDefault="00677B6A" w:rsidP="00D91E5B">
            <w:pPr>
              <w:jc w:val="center"/>
              <w:rPr>
                <w:color w:val="000000" w:themeColor="text1"/>
              </w:rPr>
            </w:pPr>
            <w:r w:rsidRPr="00643105">
              <w:rPr>
                <w:color w:val="000000" w:themeColor="text1"/>
              </w:rPr>
              <w:t>3</w:t>
            </w:r>
          </w:p>
        </w:tc>
      </w:tr>
      <w:tr w:rsidR="00677B6A" w:rsidRPr="00643105" w14:paraId="71526138" w14:textId="77777777" w:rsidTr="00677B6A">
        <w:trPr>
          <w:trHeight w:val="109"/>
          <w:jc w:val="center"/>
        </w:trPr>
        <w:tc>
          <w:tcPr>
            <w:tcW w:w="1403" w:type="dxa"/>
            <w:tcBorders>
              <w:top w:val="single" w:sz="4" w:space="0" w:color="auto"/>
              <w:bottom w:val="single" w:sz="4" w:space="0" w:color="auto"/>
            </w:tcBorders>
          </w:tcPr>
          <w:p w14:paraId="2D0834F5"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2013</w:t>
            </w:r>
          </w:p>
        </w:tc>
        <w:tc>
          <w:tcPr>
            <w:tcW w:w="1439" w:type="dxa"/>
            <w:tcBorders>
              <w:top w:val="single" w:sz="4" w:space="0" w:color="auto"/>
              <w:bottom w:val="single" w:sz="4" w:space="0" w:color="auto"/>
            </w:tcBorders>
          </w:tcPr>
          <w:p w14:paraId="2EE46303"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744</w:t>
            </w:r>
          </w:p>
        </w:tc>
        <w:tc>
          <w:tcPr>
            <w:tcW w:w="1890" w:type="dxa"/>
            <w:tcBorders>
              <w:top w:val="single" w:sz="4" w:space="0" w:color="auto"/>
              <w:bottom w:val="single" w:sz="4" w:space="0" w:color="auto"/>
            </w:tcBorders>
          </w:tcPr>
          <w:p w14:paraId="0AB732EC"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2.90</w:t>
            </w:r>
          </w:p>
        </w:tc>
        <w:tc>
          <w:tcPr>
            <w:tcW w:w="2700" w:type="dxa"/>
            <w:tcBorders>
              <w:top w:val="single" w:sz="4" w:space="0" w:color="auto"/>
              <w:bottom w:val="single" w:sz="4" w:space="0" w:color="auto"/>
              <w:right w:val="single" w:sz="4" w:space="0" w:color="auto"/>
            </w:tcBorders>
          </w:tcPr>
          <w:p w14:paraId="3129507E" w14:textId="77777777" w:rsidR="00677B6A" w:rsidRPr="00643105" w:rsidRDefault="00677B6A" w:rsidP="00D91E5B">
            <w:pPr>
              <w:jc w:val="center"/>
              <w:rPr>
                <w:color w:val="000000" w:themeColor="text1"/>
              </w:rPr>
            </w:pPr>
            <w:r w:rsidRPr="00643105">
              <w:rPr>
                <w:color w:val="000000" w:themeColor="text1"/>
              </w:rPr>
              <w:t>747.7777778</w:t>
            </w:r>
          </w:p>
        </w:tc>
        <w:tc>
          <w:tcPr>
            <w:tcW w:w="1942" w:type="dxa"/>
            <w:tcBorders>
              <w:top w:val="single" w:sz="4" w:space="0" w:color="auto"/>
              <w:left w:val="single" w:sz="4" w:space="0" w:color="auto"/>
              <w:bottom w:val="single" w:sz="4" w:space="0" w:color="auto"/>
            </w:tcBorders>
          </w:tcPr>
          <w:p w14:paraId="1901B390" w14:textId="77777777" w:rsidR="00677B6A" w:rsidRPr="00643105" w:rsidRDefault="00677B6A" w:rsidP="00D91E5B">
            <w:pPr>
              <w:jc w:val="center"/>
              <w:rPr>
                <w:color w:val="000000" w:themeColor="text1"/>
              </w:rPr>
            </w:pPr>
            <w:r w:rsidRPr="00643105">
              <w:rPr>
                <w:color w:val="000000" w:themeColor="text1"/>
              </w:rPr>
              <w:t>-3.78</w:t>
            </w:r>
          </w:p>
        </w:tc>
      </w:tr>
      <w:tr w:rsidR="00677B6A" w:rsidRPr="00643105" w14:paraId="7E95CAD8" w14:textId="77777777" w:rsidTr="00677B6A">
        <w:trPr>
          <w:trHeight w:val="157"/>
          <w:jc w:val="center"/>
        </w:trPr>
        <w:tc>
          <w:tcPr>
            <w:tcW w:w="1403" w:type="dxa"/>
            <w:tcBorders>
              <w:top w:val="single" w:sz="4" w:space="0" w:color="auto"/>
              <w:bottom w:val="single" w:sz="4" w:space="0" w:color="auto"/>
            </w:tcBorders>
          </w:tcPr>
          <w:p w14:paraId="00688D3F"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2014</w:t>
            </w:r>
          </w:p>
        </w:tc>
        <w:tc>
          <w:tcPr>
            <w:tcW w:w="1439" w:type="dxa"/>
            <w:tcBorders>
              <w:top w:val="single" w:sz="4" w:space="0" w:color="auto"/>
              <w:bottom w:val="single" w:sz="4" w:space="0" w:color="auto"/>
            </w:tcBorders>
          </w:tcPr>
          <w:p w14:paraId="45FF4C94"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766</w:t>
            </w:r>
          </w:p>
        </w:tc>
        <w:tc>
          <w:tcPr>
            <w:tcW w:w="1890" w:type="dxa"/>
            <w:tcBorders>
              <w:top w:val="single" w:sz="4" w:space="0" w:color="auto"/>
              <w:bottom w:val="single" w:sz="4" w:space="0" w:color="auto"/>
            </w:tcBorders>
          </w:tcPr>
          <w:p w14:paraId="6E29A76D"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2.96</w:t>
            </w:r>
          </w:p>
        </w:tc>
        <w:tc>
          <w:tcPr>
            <w:tcW w:w="2700" w:type="dxa"/>
            <w:tcBorders>
              <w:top w:val="single" w:sz="4" w:space="0" w:color="auto"/>
              <w:bottom w:val="single" w:sz="4" w:space="0" w:color="auto"/>
              <w:right w:val="single" w:sz="4" w:space="0" w:color="auto"/>
            </w:tcBorders>
          </w:tcPr>
          <w:p w14:paraId="4F08EAC5" w14:textId="77777777" w:rsidR="00677B6A" w:rsidRPr="00643105" w:rsidRDefault="00677B6A" w:rsidP="00D91E5B">
            <w:pPr>
              <w:jc w:val="center"/>
              <w:rPr>
                <w:color w:val="000000" w:themeColor="text1"/>
              </w:rPr>
            </w:pPr>
            <w:r w:rsidRPr="00643105">
              <w:rPr>
                <w:color w:val="000000" w:themeColor="text1"/>
              </w:rPr>
              <w:t>778.1111111</w:t>
            </w:r>
          </w:p>
        </w:tc>
        <w:tc>
          <w:tcPr>
            <w:tcW w:w="1942" w:type="dxa"/>
            <w:tcBorders>
              <w:top w:val="single" w:sz="4" w:space="0" w:color="auto"/>
              <w:left w:val="single" w:sz="4" w:space="0" w:color="auto"/>
              <w:bottom w:val="single" w:sz="4" w:space="0" w:color="auto"/>
            </w:tcBorders>
          </w:tcPr>
          <w:p w14:paraId="2423703E" w14:textId="77777777" w:rsidR="00677B6A" w:rsidRPr="00643105" w:rsidRDefault="00677B6A" w:rsidP="00D91E5B">
            <w:pPr>
              <w:jc w:val="center"/>
              <w:rPr>
                <w:color w:val="000000" w:themeColor="text1"/>
              </w:rPr>
            </w:pPr>
            <w:r w:rsidRPr="00643105">
              <w:rPr>
                <w:color w:val="000000" w:themeColor="text1"/>
              </w:rPr>
              <w:t>-12.11</w:t>
            </w:r>
          </w:p>
        </w:tc>
      </w:tr>
      <w:tr w:rsidR="00677B6A" w:rsidRPr="00643105" w14:paraId="2CA6D915" w14:textId="77777777" w:rsidTr="00677B6A">
        <w:trPr>
          <w:trHeight w:val="121"/>
          <w:jc w:val="center"/>
        </w:trPr>
        <w:tc>
          <w:tcPr>
            <w:tcW w:w="1403" w:type="dxa"/>
            <w:tcBorders>
              <w:top w:val="single" w:sz="4" w:space="0" w:color="auto"/>
              <w:bottom w:val="single" w:sz="4" w:space="0" w:color="auto"/>
            </w:tcBorders>
          </w:tcPr>
          <w:p w14:paraId="5393B5E1"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2015</w:t>
            </w:r>
          </w:p>
        </w:tc>
        <w:tc>
          <w:tcPr>
            <w:tcW w:w="1439" w:type="dxa"/>
            <w:tcBorders>
              <w:top w:val="single" w:sz="4" w:space="0" w:color="auto"/>
              <w:bottom w:val="single" w:sz="4" w:space="0" w:color="auto"/>
            </w:tcBorders>
          </w:tcPr>
          <w:p w14:paraId="64B56ADA"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793</w:t>
            </w:r>
          </w:p>
        </w:tc>
        <w:tc>
          <w:tcPr>
            <w:tcW w:w="1890" w:type="dxa"/>
            <w:tcBorders>
              <w:top w:val="single" w:sz="4" w:space="0" w:color="auto"/>
              <w:bottom w:val="single" w:sz="4" w:space="0" w:color="auto"/>
            </w:tcBorders>
          </w:tcPr>
          <w:p w14:paraId="1ED11F8A"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3.52</w:t>
            </w:r>
          </w:p>
        </w:tc>
        <w:tc>
          <w:tcPr>
            <w:tcW w:w="2700" w:type="dxa"/>
            <w:tcBorders>
              <w:top w:val="single" w:sz="4" w:space="0" w:color="auto"/>
              <w:bottom w:val="single" w:sz="4" w:space="0" w:color="auto"/>
              <w:right w:val="single" w:sz="4" w:space="0" w:color="auto"/>
            </w:tcBorders>
          </w:tcPr>
          <w:p w14:paraId="57B3ABA7" w14:textId="77777777" w:rsidR="00677B6A" w:rsidRPr="00643105" w:rsidRDefault="00677B6A" w:rsidP="00D91E5B">
            <w:pPr>
              <w:jc w:val="center"/>
              <w:rPr>
                <w:color w:val="000000" w:themeColor="text1"/>
              </w:rPr>
            </w:pPr>
            <w:r w:rsidRPr="00643105">
              <w:rPr>
                <w:color w:val="000000" w:themeColor="text1"/>
              </w:rPr>
              <w:t>814.7777778</w:t>
            </w:r>
          </w:p>
        </w:tc>
        <w:tc>
          <w:tcPr>
            <w:tcW w:w="1942" w:type="dxa"/>
            <w:tcBorders>
              <w:top w:val="single" w:sz="4" w:space="0" w:color="auto"/>
              <w:left w:val="single" w:sz="4" w:space="0" w:color="auto"/>
              <w:bottom w:val="single" w:sz="4" w:space="0" w:color="auto"/>
            </w:tcBorders>
          </w:tcPr>
          <w:p w14:paraId="22CCFA30" w14:textId="77777777" w:rsidR="00677B6A" w:rsidRPr="00643105" w:rsidRDefault="00677B6A" w:rsidP="00D91E5B">
            <w:pPr>
              <w:jc w:val="center"/>
              <w:rPr>
                <w:color w:val="000000" w:themeColor="text1"/>
              </w:rPr>
            </w:pPr>
            <w:r w:rsidRPr="00643105">
              <w:rPr>
                <w:color w:val="000000" w:themeColor="text1"/>
              </w:rPr>
              <w:t>-21.78</w:t>
            </w:r>
          </w:p>
        </w:tc>
      </w:tr>
      <w:tr w:rsidR="00677B6A" w:rsidRPr="00643105" w14:paraId="39414B88" w14:textId="77777777" w:rsidTr="00677B6A">
        <w:trPr>
          <w:trHeight w:val="133"/>
          <w:jc w:val="center"/>
        </w:trPr>
        <w:tc>
          <w:tcPr>
            <w:tcW w:w="1403" w:type="dxa"/>
            <w:tcBorders>
              <w:top w:val="single" w:sz="4" w:space="0" w:color="auto"/>
              <w:bottom w:val="single" w:sz="4" w:space="0" w:color="auto"/>
            </w:tcBorders>
          </w:tcPr>
          <w:p w14:paraId="17E2C5B6"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2016</w:t>
            </w:r>
          </w:p>
        </w:tc>
        <w:tc>
          <w:tcPr>
            <w:tcW w:w="1439" w:type="dxa"/>
            <w:tcBorders>
              <w:top w:val="single" w:sz="4" w:space="0" w:color="auto"/>
              <w:bottom w:val="single" w:sz="4" w:space="0" w:color="auto"/>
            </w:tcBorders>
          </w:tcPr>
          <w:p w14:paraId="71C78ABD"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800</w:t>
            </w:r>
          </w:p>
        </w:tc>
        <w:tc>
          <w:tcPr>
            <w:tcW w:w="1890" w:type="dxa"/>
            <w:tcBorders>
              <w:top w:val="single" w:sz="4" w:space="0" w:color="auto"/>
              <w:bottom w:val="single" w:sz="4" w:space="0" w:color="auto"/>
            </w:tcBorders>
          </w:tcPr>
          <w:p w14:paraId="0F227AA3"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8.95</w:t>
            </w:r>
          </w:p>
        </w:tc>
        <w:tc>
          <w:tcPr>
            <w:tcW w:w="2700" w:type="dxa"/>
            <w:tcBorders>
              <w:top w:val="single" w:sz="4" w:space="0" w:color="auto"/>
              <w:bottom w:val="single" w:sz="4" w:space="0" w:color="auto"/>
              <w:right w:val="single" w:sz="4" w:space="0" w:color="auto"/>
            </w:tcBorders>
          </w:tcPr>
          <w:p w14:paraId="38C76A00" w14:textId="77777777" w:rsidR="00677B6A" w:rsidRPr="00643105" w:rsidRDefault="00677B6A" w:rsidP="00D91E5B">
            <w:pPr>
              <w:jc w:val="center"/>
              <w:rPr>
                <w:color w:val="000000" w:themeColor="text1"/>
              </w:rPr>
            </w:pPr>
            <w:r w:rsidRPr="00643105">
              <w:rPr>
                <w:color w:val="000000" w:themeColor="text1"/>
              </w:rPr>
              <w:t>233.44</w:t>
            </w:r>
          </w:p>
        </w:tc>
        <w:tc>
          <w:tcPr>
            <w:tcW w:w="1942" w:type="dxa"/>
            <w:tcBorders>
              <w:top w:val="single" w:sz="4" w:space="0" w:color="auto"/>
              <w:left w:val="single" w:sz="4" w:space="0" w:color="auto"/>
              <w:bottom w:val="single" w:sz="4" w:space="0" w:color="auto"/>
            </w:tcBorders>
          </w:tcPr>
          <w:p w14:paraId="553A50F9" w14:textId="77777777" w:rsidR="00677B6A" w:rsidRPr="00643105" w:rsidRDefault="00677B6A" w:rsidP="00D91E5B">
            <w:pPr>
              <w:jc w:val="center"/>
              <w:rPr>
                <w:color w:val="000000" w:themeColor="text1"/>
              </w:rPr>
            </w:pPr>
          </w:p>
        </w:tc>
      </w:tr>
      <w:tr w:rsidR="00677B6A" w:rsidRPr="00643105" w14:paraId="32BE2587" w14:textId="77777777" w:rsidTr="00677B6A">
        <w:trPr>
          <w:trHeight w:val="119"/>
          <w:jc w:val="center"/>
        </w:trPr>
        <w:tc>
          <w:tcPr>
            <w:tcW w:w="1403" w:type="dxa"/>
            <w:tcBorders>
              <w:top w:val="single" w:sz="4" w:space="0" w:color="auto"/>
              <w:bottom w:val="single" w:sz="4" w:space="0" w:color="auto"/>
            </w:tcBorders>
          </w:tcPr>
          <w:p w14:paraId="18FB698A"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2017</w:t>
            </w:r>
          </w:p>
        </w:tc>
        <w:tc>
          <w:tcPr>
            <w:tcW w:w="1439" w:type="dxa"/>
            <w:tcBorders>
              <w:top w:val="single" w:sz="4" w:space="0" w:color="auto"/>
              <w:bottom w:val="single" w:sz="4" w:space="0" w:color="auto"/>
            </w:tcBorders>
          </w:tcPr>
          <w:p w14:paraId="000C9167"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866</w:t>
            </w:r>
          </w:p>
        </w:tc>
        <w:tc>
          <w:tcPr>
            <w:tcW w:w="1890" w:type="dxa"/>
            <w:tcBorders>
              <w:top w:val="single" w:sz="4" w:space="0" w:color="auto"/>
              <w:bottom w:val="single" w:sz="4" w:space="0" w:color="auto"/>
            </w:tcBorders>
          </w:tcPr>
          <w:p w14:paraId="7D32CDB8"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4.05</w:t>
            </w:r>
          </w:p>
        </w:tc>
        <w:tc>
          <w:tcPr>
            <w:tcW w:w="2700" w:type="dxa"/>
            <w:tcBorders>
              <w:top w:val="single" w:sz="4" w:space="0" w:color="auto"/>
              <w:bottom w:val="single" w:sz="4" w:space="0" w:color="auto"/>
              <w:right w:val="single" w:sz="4" w:space="0" w:color="auto"/>
            </w:tcBorders>
          </w:tcPr>
          <w:p w14:paraId="210AF99E" w14:textId="77777777"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14:paraId="3D16E78F" w14:textId="77777777" w:rsidR="00677B6A" w:rsidRPr="00643105" w:rsidRDefault="00677B6A" w:rsidP="00643105">
            <w:pPr>
              <w:autoSpaceDE w:val="0"/>
              <w:autoSpaceDN w:val="0"/>
              <w:adjustRightInd w:val="0"/>
              <w:jc w:val="center"/>
              <w:rPr>
                <w:bCs/>
                <w:color w:val="000000" w:themeColor="text1"/>
              </w:rPr>
            </w:pPr>
          </w:p>
        </w:tc>
      </w:tr>
      <w:tr w:rsidR="00677B6A" w:rsidRPr="00643105" w14:paraId="6B49025F" w14:textId="77777777" w:rsidTr="00677B6A">
        <w:trPr>
          <w:trHeight w:val="303"/>
          <w:jc w:val="center"/>
        </w:trPr>
        <w:tc>
          <w:tcPr>
            <w:tcW w:w="1403" w:type="dxa"/>
            <w:tcBorders>
              <w:top w:val="single" w:sz="4" w:space="0" w:color="auto"/>
              <w:bottom w:val="single" w:sz="4" w:space="0" w:color="auto"/>
            </w:tcBorders>
          </w:tcPr>
          <w:p w14:paraId="43B277F2"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2018</w:t>
            </w:r>
          </w:p>
        </w:tc>
        <w:tc>
          <w:tcPr>
            <w:tcW w:w="1439" w:type="dxa"/>
            <w:tcBorders>
              <w:top w:val="single" w:sz="4" w:space="0" w:color="auto"/>
              <w:bottom w:val="single" w:sz="4" w:space="0" w:color="auto"/>
            </w:tcBorders>
          </w:tcPr>
          <w:p w14:paraId="30B058D4"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935</w:t>
            </w:r>
          </w:p>
        </w:tc>
        <w:tc>
          <w:tcPr>
            <w:tcW w:w="1890" w:type="dxa"/>
            <w:tcBorders>
              <w:top w:val="single" w:sz="4" w:space="0" w:color="auto"/>
              <w:bottom w:val="single" w:sz="4" w:space="0" w:color="auto"/>
            </w:tcBorders>
          </w:tcPr>
          <w:p w14:paraId="784C95A7"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5.12</w:t>
            </w:r>
          </w:p>
        </w:tc>
        <w:tc>
          <w:tcPr>
            <w:tcW w:w="2700" w:type="dxa"/>
            <w:tcBorders>
              <w:top w:val="single" w:sz="4" w:space="0" w:color="auto"/>
              <w:bottom w:val="single" w:sz="4" w:space="0" w:color="auto"/>
              <w:right w:val="single" w:sz="4" w:space="0" w:color="auto"/>
            </w:tcBorders>
          </w:tcPr>
          <w:p w14:paraId="2D16234D" w14:textId="77777777"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14:paraId="45550FB9" w14:textId="77777777" w:rsidR="00677B6A" w:rsidRPr="00643105" w:rsidRDefault="00677B6A" w:rsidP="00643105">
            <w:pPr>
              <w:autoSpaceDE w:val="0"/>
              <w:autoSpaceDN w:val="0"/>
              <w:adjustRightInd w:val="0"/>
              <w:jc w:val="center"/>
              <w:rPr>
                <w:bCs/>
                <w:color w:val="000000" w:themeColor="text1"/>
              </w:rPr>
            </w:pPr>
          </w:p>
        </w:tc>
      </w:tr>
      <w:tr w:rsidR="00677B6A" w:rsidRPr="00643105" w14:paraId="2A0EBF6C" w14:textId="77777777" w:rsidTr="00677B6A">
        <w:trPr>
          <w:trHeight w:val="242"/>
          <w:jc w:val="center"/>
        </w:trPr>
        <w:tc>
          <w:tcPr>
            <w:tcW w:w="1403" w:type="dxa"/>
            <w:tcBorders>
              <w:top w:val="single" w:sz="4" w:space="0" w:color="auto"/>
              <w:bottom w:val="single" w:sz="4" w:space="0" w:color="auto"/>
            </w:tcBorders>
          </w:tcPr>
          <w:p w14:paraId="6AECF25E"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2019</w:t>
            </w:r>
          </w:p>
        </w:tc>
        <w:tc>
          <w:tcPr>
            <w:tcW w:w="1439" w:type="dxa"/>
            <w:tcBorders>
              <w:top w:val="single" w:sz="4" w:space="0" w:color="auto"/>
              <w:bottom w:val="single" w:sz="4" w:space="0" w:color="auto"/>
            </w:tcBorders>
          </w:tcPr>
          <w:p w14:paraId="1F1AE3BB" w14:textId="77777777" w:rsidR="00677B6A" w:rsidRPr="00643105" w:rsidRDefault="00677B6A" w:rsidP="00643105">
            <w:pPr>
              <w:autoSpaceDE w:val="0"/>
              <w:autoSpaceDN w:val="0"/>
              <w:adjustRightInd w:val="0"/>
              <w:jc w:val="center"/>
              <w:rPr>
                <w:bCs/>
                <w:color w:val="000000" w:themeColor="text1"/>
              </w:rPr>
            </w:pPr>
            <w:r w:rsidRPr="00643105">
              <w:rPr>
                <w:bCs/>
                <w:color w:val="000000" w:themeColor="text1"/>
              </w:rPr>
              <w:t>1006</w:t>
            </w:r>
          </w:p>
        </w:tc>
        <w:tc>
          <w:tcPr>
            <w:tcW w:w="1890" w:type="dxa"/>
            <w:tcBorders>
              <w:top w:val="single" w:sz="4" w:space="0" w:color="auto"/>
              <w:bottom w:val="single" w:sz="4" w:space="0" w:color="auto"/>
            </w:tcBorders>
          </w:tcPr>
          <w:p w14:paraId="659F3FD8" w14:textId="77777777" w:rsidR="00677B6A" w:rsidRPr="00677B6A" w:rsidRDefault="00677B6A" w:rsidP="00677B6A">
            <w:pPr>
              <w:autoSpaceDE w:val="0"/>
              <w:autoSpaceDN w:val="0"/>
              <w:adjustRightInd w:val="0"/>
              <w:jc w:val="center"/>
              <w:rPr>
                <w:bCs/>
                <w:color w:val="000000" w:themeColor="text1"/>
              </w:rPr>
            </w:pPr>
            <w:r w:rsidRPr="00677B6A">
              <w:rPr>
                <w:bCs/>
                <w:color w:val="000000" w:themeColor="text1"/>
              </w:rPr>
              <w:t>6.46</w:t>
            </w:r>
          </w:p>
        </w:tc>
        <w:tc>
          <w:tcPr>
            <w:tcW w:w="2700" w:type="dxa"/>
            <w:tcBorders>
              <w:top w:val="single" w:sz="4" w:space="0" w:color="auto"/>
              <w:bottom w:val="single" w:sz="4" w:space="0" w:color="auto"/>
              <w:right w:val="single" w:sz="4" w:space="0" w:color="auto"/>
            </w:tcBorders>
          </w:tcPr>
          <w:p w14:paraId="2961232D" w14:textId="77777777"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14:paraId="0E8F49CC" w14:textId="77777777" w:rsidR="00677B6A" w:rsidRPr="00643105" w:rsidRDefault="00677B6A" w:rsidP="00643105">
            <w:pPr>
              <w:autoSpaceDE w:val="0"/>
              <w:autoSpaceDN w:val="0"/>
              <w:adjustRightInd w:val="0"/>
              <w:jc w:val="center"/>
              <w:rPr>
                <w:bCs/>
                <w:color w:val="000000" w:themeColor="text1"/>
              </w:rPr>
            </w:pPr>
          </w:p>
        </w:tc>
      </w:tr>
      <w:tr w:rsidR="00677B6A" w:rsidRPr="00643105" w14:paraId="70B8D9E1" w14:textId="77777777" w:rsidTr="00677B6A">
        <w:trPr>
          <w:trHeight w:val="103"/>
          <w:jc w:val="center"/>
        </w:trPr>
        <w:tc>
          <w:tcPr>
            <w:tcW w:w="2842" w:type="dxa"/>
            <w:gridSpan w:val="2"/>
            <w:tcBorders>
              <w:top w:val="single" w:sz="4" w:space="0" w:color="auto"/>
              <w:bottom w:val="single" w:sz="4" w:space="0" w:color="auto"/>
              <w:right w:val="single" w:sz="4" w:space="0" w:color="auto"/>
            </w:tcBorders>
          </w:tcPr>
          <w:p w14:paraId="12D26170" w14:textId="77777777" w:rsidR="00677B6A" w:rsidRDefault="00677B6A" w:rsidP="00677B6A">
            <w:pPr>
              <w:autoSpaceDE w:val="0"/>
              <w:autoSpaceDN w:val="0"/>
              <w:adjustRightInd w:val="0"/>
              <w:rPr>
                <w:bCs/>
                <w:color w:val="000000" w:themeColor="text1"/>
              </w:rPr>
            </w:pPr>
            <w:r w:rsidRPr="00643105">
              <w:rPr>
                <w:bCs/>
                <w:color w:val="000000" w:themeColor="text1"/>
              </w:rPr>
              <w:t>Average Annual Increase</w:t>
            </w:r>
          </w:p>
          <w:p w14:paraId="2BF0B8F1" w14:textId="77777777" w:rsidR="00677B6A" w:rsidRPr="00643105" w:rsidRDefault="00677B6A" w:rsidP="00677B6A">
            <w:pPr>
              <w:autoSpaceDE w:val="0"/>
              <w:autoSpaceDN w:val="0"/>
              <w:adjustRightInd w:val="0"/>
              <w:rPr>
                <w:bCs/>
                <w:color w:val="000000" w:themeColor="text1"/>
              </w:rPr>
            </w:pPr>
            <w:r w:rsidRPr="00643105">
              <w:rPr>
                <w:bCs/>
                <w:color w:val="000000" w:themeColor="text1"/>
              </w:rPr>
              <w:t xml:space="preserve"> for </w:t>
            </w:r>
            <w:proofErr w:type="gramStart"/>
            <w:r w:rsidRPr="00643105">
              <w:rPr>
                <w:bCs/>
                <w:color w:val="000000" w:themeColor="text1"/>
              </w:rPr>
              <w:t>period</w:t>
            </w:r>
            <w:r>
              <w:rPr>
                <w:bCs/>
                <w:color w:val="000000" w:themeColor="text1"/>
              </w:rPr>
              <w:t xml:space="preserve"> </w:t>
            </w:r>
            <w:r w:rsidRPr="00643105">
              <w:rPr>
                <w:bCs/>
                <w:color w:val="000000" w:themeColor="text1"/>
              </w:rPr>
              <w:t xml:space="preserve"> 1991</w:t>
            </w:r>
            <w:proofErr w:type="gramEnd"/>
            <w:r w:rsidRPr="00643105">
              <w:rPr>
                <w:bCs/>
                <w:color w:val="000000" w:themeColor="text1"/>
              </w:rPr>
              <w:t>-2019</w:t>
            </w:r>
          </w:p>
        </w:tc>
        <w:tc>
          <w:tcPr>
            <w:tcW w:w="1890" w:type="dxa"/>
            <w:tcBorders>
              <w:top w:val="single" w:sz="4" w:space="0" w:color="auto"/>
              <w:bottom w:val="single" w:sz="4" w:space="0" w:color="auto"/>
              <w:right w:val="single" w:sz="4" w:space="0" w:color="auto"/>
            </w:tcBorders>
          </w:tcPr>
          <w:p w14:paraId="4CF3B251" w14:textId="77777777" w:rsidR="00677B6A" w:rsidRPr="00677B6A" w:rsidRDefault="00677B6A" w:rsidP="00677B6A">
            <w:pPr>
              <w:autoSpaceDE w:val="0"/>
              <w:autoSpaceDN w:val="0"/>
              <w:adjustRightInd w:val="0"/>
              <w:rPr>
                <w:bCs/>
                <w:color w:val="000000" w:themeColor="text1"/>
              </w:rPr>
            </w:pPr>
            <w:r>
              <w:rPr>
                <w:bCs/>
                <w:color w:val="000000" w:themeColor="text1"/>
              </w:rPr>
              <w:t xml:space="preserve">             </w:t>
            </w:r>
            <w:r w:rsidRPr="00677B6A">
              <w:rPr>
                <w:bCs/>
                <w:color w:val="000000" w:themeColor="text1"/>
              </w:rPr>
              <w:t>4.53</w:t>
            </w:r>
          </w:p>
        </w:tc>
        <w:tc>
          <w:tcPr>
            <w:tcW w:w="2700" w:type="dxa"/>
            <w:tcBorders>
              <w:top w:val="single" w:sz="4" w:space="0" w:color="auto"/>
              <w:bottom w:val="single" w:sz="4" w:space="0" w:color="auto"/>
              <w:right w:val="single" w:sz="4" w:space="0" w:color="auto"/>
            </w:tcBorders>
          </w:tcPr>
          <w:p w14:paraId="3C0CB32E" w14:textId="77777777" w:rsidR="00677B6A" w:rsidRPr="00677B6A" w:rsidRDefault="00677B6A" w:rsidP="00677B6A">
            <w:pPr>
              <w:autoSpaceDE w:val="0"/>
              <w:autoSpaceDN w:val="0"/>
              <w:adjustRightInd w:val="0"/>
              <w:jc w:val="center"/>
              <w:rPr>
                <w:bCs/>
                <w:color w:val="000000" w:themeColor="text1"/>
              </w:rPr>
            </w:pPr>
          </w:p>
        </w:tc>
        <w:tc>
          <w:tcPr>
            <w:tcW w:w="1942" w:type="dxa"/>
            <w:tcBorders>
              <w:top w:val="single" w:sz="4" w:space="0" w:color="auto"/>
              <w:left w:val="single" w:sz="4" w:space="0" w:color="auto"/>
              <w:bottom w:val="single" w:sz="4" w:space="0" w:color="auto"/>
            </w:tcBorders>
          </w:tcPr>
          <w:p w14:paraId="4E42B8D0" w14:textId="77777777" w:rsidR="00677B6A" w:rsidRPr="00643105" w:rsidRDefault="00677B6A" w:rsidP="00677B6A">
            <w:pPr>
              <w:autoSpaceDE w:val="0"/>
              <w:autoSpaceDN w:val="0"/>
              <w:adjustRightInd w:val="0"/>
              <w:ind w:left="1276"/>
              <w:jc w:val="center"/>
              <w:rPr>
                <w:bCs/>
                <w:color w:val="000000" w:themeColor="text1"/>
              </w:rPr>
            </w:pPr>
          </w:p>
        </w:tc>
      </w:tr>
      <w:tr w:rsidR="00677B6A" w:rsidRPr="00643105" w14:paraId="6D65379D" w14:textId="77777777" w:rsidTr="00677B6A">
        <w:trPr>
          <w:trHeight w:val="143"/>
          <w:jc w:val="center"/>
        </w:trPr>
        <w:tc>
          <w:tcPr>
            <w:tcW w:w="2842" w:type="dxa"/>
            <w:gridSpan w:val="2"/>
            <w:tcBorders>
              <w:top w:val="single" w:sz="4" w:space="0" w:color="auto"/>
              <w:right w:val="single" w:sz="4" w:space="0" w:color="auto"/>
            </w:tcBorders>
          </w:tcPr>
          <w:p w14:paraId="7E8B702A" w14:textId="77777777" w:rsidR="00677B6A" w:rsidRDefault="00677B6A" w:rsidP="00677B6A">
            <w:pPr>
              <w:autoSpaceDE w:val="0"/>
              <w:autoSpaceDN w:val="0"/>
              <w:adjustRightInd w:val="0"/>
              <w:rPr>
                <w:bCs/>
                <w:color w:val="000000" w:themeColor="text1"/>
              </w:rPr>
            </w:pPr>
            <w:r w:rsidRPr="00643105">
              <w:rPr>
                <w:bCs/>
                <w:color w:val="000000" w:themeColor="text1"/>
              </w:rPr>
              <w:t>Average Annual Increase</w:t>
            </w:r>
          </w:p>
          <w:p w14:paraId="465AFCF5" w14:textId="77777777" w:rsidR="00677B6A" w:rsidRPr="00643105" w:rsidRDefault="00677B6A" w:rsidP="00677B6A">
            <w:pPr>
              <w:autoSpaceDE w:val="0"/>
              <w:autoSpaceDN w:val="0"/>
              <w:adjustRightInd w:val="0"/>
              <w:rPr>
                <w:bCs/>
                <w:color w:val="000000" w:themeColor="text1"/>
              </w:rPr>
            </w:pPr>
            <w:r w:rsidRPr="00643105">
              <w:rPr>
                <w:bCs/>
                <w:color w:val="000000" w:themeColor="text1"/>
              </w:rPr>
              <w:t xml:space="preserve"> for </w:t>
            </w:r>
            <w:proofErr w:type="gramStart"/>
            <w:r w:rsidRPr="00643105">
              <w:rPr>
                <w:bCs/>
                <w:color w:val="000000" w:themeColor="text1"/>
              </w:rPr>
              <w:t>period</w:t>
            </w:r>
            <w:r>
              <w:rPr>
                <w:bCs/>
                <w:color w:val="000000" w:themeColor="text1"/>
              </w:rPr>
              <w:t xml:space="preserve"> </w:t>
            </w:r>
            <w:r w:rsidRPr="00643105">
              <w:rPr>
                <w:bCs/>
                <w:color w:val="000000" w:themeColor="text1"/>
              </w:rPr>
              <w:t xml:space="preserve"> 2013</w:t>
            </w:r>
            <w:proofErr w:type="gramEnd"/>
            <w:r w:rsidRPr="00643105">
              <w:rPr>
                <w:bCs/>
                <w:color w:val="000000" w:themeColor="text1"/>
              </w:rPr>
              <w:t>-2019</w:t>
            </w:r>
          </w:p>
        </w:tc>
        <w:tc>
          <w:tcPr>
            <w:tcW w:w="1890" w:type="dxa"/>
            <w:tcBorders>
              <w:top w:val="single" w:sz="4" w:space="0" w:color="auto"/>
              <w:right w:val="single" w:sz="4" w:space="0" w:color="auto"/>
            </w:tcBorders>
          </w:tcPr>
          <w:p w14:paraId="2BA72D07" w14:textId="77777777" w:rsidR="00677B6A" w:rsidRPr="00677B6A" w:rsidRDefault="00677B6A" w:rsidP="00677B6A">
            <w:pPr>
              <w:autoSpaceDE w:val="0"/>
              <w:autoSpaceDN w:val="0"/>
              <w:adjustRightInd w:val="0"/>
              <w:rPr>
                <w:bCs/>
                <w:color w:val="000000" w:themeColor="text1"/>
              </w:rPr>
            </w:pPr>
            <w:r>
              <w:rPr>
                <w:bCs/>
                <w:color w:val="000000" w:themeColor="text1"/>
              </w:rPr>
              <w:t xml:space="preserve">             </w:t>
            </w:r>
            <w:r w:rsidRPr="00677B6A">
              <w:rPr>
                <w:bCs/>
                <w:color w:val="000000" w:themeColor="text1"/>
              </w:rPr>
              <w:t>4.85</w:t>
            </w:r>
          </w:p>
        </w:tc>
        <w:tc>
          <w:tcPr>
            <w:tcW w:w="2700" w:type="dxa"/>
            <w:tcBorders>
              <w:top w:val="single" w:sz="4" w:space="0" w:color="auto"/>
              <w:right w:val="single" w:sz="4" w:space="0" w:color="auto"/>
            </w:tcBorders>
          </w:tcPr>
          <w:p w14:paraId="47774035" w14:textId="77777777" w:rsidR="00677B6A" w:rsidRPr="00677B6A" w:rsidRDefault="00677B6A" w:rsidP="00677B6A">
            <w:pPr>
              <w:autoSpaceDE w:val="0"/>
              <w:autoSpaceDN w:val="0"/>
              <w:adjustRightInd w:val="0"/>
              <w:jc w:val="center"/>
              <w:rPr>
                <w:bCs/>
                <w:color w:val="000000" w:themeColor="text1"/>
              </w:rPr>
            </w:pPr>
            <w:r w:rsidRPr="00643105">
              <w:rPr>
                <w:color w:val="000000" w:themeColor="text1"/>
              </w:rPr>
              <w:t xml:space="preserve">Annual Average short-run </w:t>
            </w:r>
            <w:proofErr w:type="gramStart"/>
            <w:r w:rsidRPr="00643105">
              <w:rPr>
                <w:color w:val="000000" w:themeColor="text1"/>
              </w:rPr>
              <w:t>variation(</w:t>
            </w:r>
            <w:proofErr w:type="gramEnd"/>
            <w:r w:rsidRPr="00643105">
              <w:rPr>
                <w:color w:val="000000" w:themeColor="text1"/>
              </w:rPr>
              <w:t>+&amp; - signs are ignored)</w:t>
            </w:r>
          </w:p>
        </w:tc>
        <w:tc>
          <w:tcPr>
            <w:tcW w:w="1942" w:type="dxa"/>
            <w:tcBorders>
              <w:top w:val="single" w:sz="4" w:space="0" w:color="auto"/>
              <w:left w:val="single" w:sz="4" w:space="0" w:color="auto"/>
            </w:tcBorders>
          </w:tcPr>
          <w:p w14:paraId="44E702DA" w14:textId="77777777" w:rsidR="00677B6A" w:rsidRPr="00643105" w:rsidRDefault="00677B6A" w:rsidP="00677B6A">
            <w:pPr>
              <w:autoSpaceDE w:val="0"/>
              <w:autoSpaceDN w:val="0"/>
              <w:adjustRightInd w:val="0"/>
              <w:rPr>
                <w:bCs/>
                <w:color w:val="000000" w:themeColor="text1"/>
              </w:rPr>
            </w:pPr>
            <w:r>
              <w:rPr>
                <w:color w:val="000000" w:themeColor="text1"/>
              </w:rPr>
              <w:t xml:space="preserve">         </w:t>
            </w:r>
            <w:r w:rsidRPr="00643105">
              <w:rPr>
                <w:color w:val="000000" w:themeColor="text1"/>
              </w:rPr>
              <w:t>8.75024</w:t>
            </w:r>
            <w:r>
              <w:rPr>
                <w:color w:val="000000" w:themeColor="text1"/>
              </w:rPr>
              <w:t xml:space="preserve">  </w:t>
            </w:r>
          </w:p>
        </w:tc>
      </w:tr>
    </w:tbl>
    <w:p w14:paraId="5F137ABE" w14:textId="77777777" w:rsidR="00643105" w:rsidRPr="00643105" w:rsidRDefault="00643105" w:rsidP="00946D24">
      <w:pPr>
        <w:autoSpaceDE w:val="0"/>
        <w:autoSpaceDN w:val="0"/>
        <w:adjustRightInd w:val="0"/>
        <w:jc w:val="both"/>
        <w:rPr>
          <w:bCs/>
          <w:color w:val="000000" w:themeColor="text1"/>
        </w:rPr>
      </w:pPr>
      <w:r w:rsidRPr="00643105">
        <w:rPr>
          <w:bCs/>
          <w:color w:val="000000" w:themeColor="text1"/>
        </w:rPr>
        <w:t xml:space="preserve">Data sources: </w:t>
      </w:r>
      <w:r w:rsidR="00D51A07">
        <w:rPr>
          <w:bCs/>
          <w:color w:val="000000" w:themeColor="text1"/>
        </w:rPr>
        <w:t>(</w:t>
      </w:r>
      <w:proofErr w:type="spellStart"/>
      <w:r w:rsidR="00D51A07">
        <w:rPr>
          <w:bCs/>
          <w:color w:val="000000" w:themeColor="text1"/>
        </w:rPr>
        <w:t>i</w:t>
      </w:r>
      <w:proofErr w:type="spellEnd"/>
      <w:r w:rsidR="00D51A07">
        <w:rPr>
          <w:bCs/>
          <w:color w:val="000000" w:themeColor="text1"/>
        </w:rPr>
        <w:t>)</w:t>
      </w:r>
      <w:r w:rsidRPr="00643105">
        <w:rPr>
          <w:bCs/>
          <w:color w:val="000000" w:themeColor="text1"/>
        </w:rPr>
        <w:t>Annual reports of Building &amp; Other Construction</w:t>
      </w:r>
      <w:r w:rsidR="00D51A07">
        <w:rPr>
          <w:bCs/>
          <w:color w:val="000000" w:themeColor="text1"/>
        </w:rPr>
        <w:t xml:space="preserve"> Workers’ Welfare Board, Assam; (ii)NSSO reports; (iii) Economic Survey, Assam;</w:t>
      </w:r>
      <w:r w:rsidRPr="00643105">
        <w:rPr>
          <w:bCs/>
          <w:color w:val="000000" w:themeColor="text1"/>
        </w:rPr>
        <w:t xml:space="preserve"> </w:t>
      </w:r>
      <w:r w:rsidR="00D51A07">
        <w:rPr>
          <w:bCs/>
          <w:color w:val="000000" w:themeColor="text1"/>
        </w:rPr>
        <w:t>(iv)</w:t>
      </w:r>
      <w:r w:rsidRPr="00643105">
        <w:rPr>
          <w:bCs/>
          <w:color w:val="000000" w:themeColor="text1"/>
        </w:rPr>
        <w:t xml:space="preserve">Ministry of </w:t>
      </w:r>
      <w:proofErr w:type="spellStart"/>
      <w:r w:rsidRPr="00643105">
        <w:rPr>
          <w:bCs/>
          <w:color w:val="000000" w:themeColor="text1"/>
        </w:rPr>
        <w:t>Labour</w:t>
      </w:r>
      <w:proofErr w:type="spellEnd"/>
      <w:r w:rsidRPr="00643105">
        <w:rPr>
          <w:bCs/>
          <w:color w:val="000000" w:themeColor="text1"/>
        </w:rPr>
        <w:t xml:space="preserve"> &amp; </w:t>
      </w:r>
      <w:r w:rsidR="00D51A07">
        <w:rPr>
          <w:bCs/>
          <w:color w:val="000000" w:themeColor="text1"/>
        </w:rPr>
        <w:t>Employment, government of Assam.</w:t>
      </w:r>
      <w:r w:rsidRPr="00643105">
        <w:rPr>
          <w:bCs/>
          <w:color w:val="000000" w:themeColor="text1"/>
        </w:rPr>
        <w:t xml:space="preserve">                 </w:t>
      </w:r>
    </w:p>
    <w:p w14:paraId="0958BCD8" w14:textId="77777777" w:rsidR="00643105" w:rsidRPr="00643105" w:rsidRDefault="00643105" w:rsidP="00643105">
      <w:pPr>
        <w:autoSpaceDE w:val="0"/>
        <w:autoSpaceDN w:val="0"/>
        <w:adjustRightInd w:val="0"/>
        <w:ind w:left="270" w:firstLine="270"/>
        <w:jc w:val="both"/>
        <w:rPr>
          <w:bCs/>
          <w:color w:val="000000" w:themeColor="text1"/>
        </w:rPr>
      </w:pPr>
    </w:p>
    <w:p w14:paraId="2C515A93" w14:textId="77777777" w:rsidR="00643105" w:rsidRPr="00643105" w:rsidRDefault="00643105" w:rsidP="00D51A07">
      <w:pPr>
        <w:autoSpaceDE w:val="0"/>
        <w:autoSpaceDN w:val="0"/>
        <w:adjustRightInd w:val="0"/>
        <w:ind w:left="270" w:firstLine="270"/>
        <w:jc w:val="both"/>
        <w:rPr>
          <w:bCs/>
          <w:color w:val="000000" w:themeColor="text1"/>
        </w:rPr>
      </w:pPr>
      <w:r w:rsidRPr="00643105">
        <w:rPr>
          <w:bCs/>
          <w:color w:val="000000" w:themeColor="text1"/>
        </w:rPr>
        <w:t xml:space="preserve"> </w:t>
      </w:r>
      <w:r w:rsidR="00D51A07">
        <w:rPr>
          <w:b/>
          <w:bCs/>
          <w:color w:val="000000" w:themeColor="text1"/>
        </w:rPr>
        <w:t>Fig-2</w:t>
      </w:r>
      <w:r w:rsidR="00D51A07" w:rsidRPr="004B2FDB">
        <w:rPr>
          <w:b/>
          <w:bCs/>
          <w:color w:val="000000" w:themeColor="text1"/>
        </w:rPr>
        <w:t>:</w:t>
      </w:r>
      <w:r w:rsidR="00D51A07" w:rsidRPr="004B2FDB">
        <w:rPr>
          <w:b/>
          <w:color w:val="000000" w:themeColor="text1"/>
        </w:rPr>
        <w:t xml:space="preserve"> Supply Trend Line of Construction Workers in Assam during 1991-2019:</w:t>
      </w:r>
    </w:p>
    <w:p w14:paraId="480C8468" w14:textId="77777777" w:rsidR="002667F1" w:rsidRPr="00643105" w:rsidRDefault="00D51A07" w:rsidP="00D51A07">
      <w:pPr>
        <w:pBdr>
          <w:top w:val="nil"/>
          <w:left w:val="nil"/>
          <w:bottom w:val="nil"/>
          <w:right w:val="nil"/>
          <w:between w:val="nil"/>
        </w:pBdr>
        <w:ind w:left="90"/>
        <w:jc w:val="both"/>
        <w:rPr>
          <w:color w:val="000000"/>
        </w:rPr>
      </w:pPr>
      <w:r w:rsidRPr="00D51A07">
        <w:rPr>
          <w:noProof/>
          <w:color w:val="000000"/>
          <w:lang w:eastAsia="en-US"/>
        </w:rPr>
        <w:drawing>
          <wp:inline distT="0" distB="0" distL="0" distR="0" wp14:anchorId="2273720B" wp14:editId="41EAE125">
            <wp:extent cx="5968951" cy="1951892"/>
            <wp:effectExtent l="19050" t="0" r="12749"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405CCE" w14:textId="77777777" w:rsidR="00643105" w:rsidRPr="00643105" w:rsidRDefault="00D51A07" w:rsidP="00D51A07">
      <w:pPr>
        <w:pBdr>
          <w:top w:val="nil"/>
          <w:left w:val="nil"/>
          <w:bottom w:val="nil"/>
          <w:right w:val="nil"/>
          <w:between w:val="nil"/>
        </w:pBdr>
        <w:ind w:left="90"/>
        <w:jc w:val="both"/>
        <w:rPr>
          <w:color w:val="000000"/>
        </w:rPr>
      </w:pPr>
      <w:r>
        <w:rPr>
          <w:color w:val="000000"/>
        </w:rPr>
        <w:t xml:space="preserve">                    Source: Data on the size of CWs in the state as shown in table-4</w:t>
      </w:r>
    </w:p>
    <w:p w14:paraId="77350833" w14:textId="77777777" w:rsidR="00643105" w:rsidRDefault="00643105" w:rsidP="00D51A07">
      <w:pPr>
        <w:pBdr>
          <w:top w:val="nil"/>
          <w:left w:val="nil"/>
          <w:bottom w:val="nil"/>
          <w:right w:val="nil"/>
          <w:between w:val="nil"/>
        </w:pBdr>
        <w:ind w:left="90"/>
        <w:jc w:val="both"/>
        <w:rPr>
          <w:color w:val="000000"/>
          <w:sz w:val="24"/>
          <w:szCs w:val="24"/>
        </w:rPr>
      </w:pPr>
    </w:p>
    <w:p w14:paraId="488883AA" w14:textId="77777777" w:rsidR="0014270B" w:rsidRPr="0014270B" w:rsidRDefault="0014270B" w:rsidP="0014270B">
      <w:pPr>
        <w:pStyle w:val="ListParagraph"/>
        <w:numPr>
          <w:ilvl w:val="0"/>
          <w:numId w:val="7"/>
        </w:numPr>
        <w:autoSpaceDE w:val="0"/>
        <w:autoSpaceDN w:val="0"/>
        <w:adjustRightInd w:val="0"/>
        <w:spacing w:before="120" w:line="480" w:lineRule="auto"/>
        <w:jc w:val="both"/>
        <w:rPr>
          <w:b/>
          <w:color w:val="000000" w:themeColor="text1"/>
          <w:sz w:val="24"/>
          <w:szCs w:val="24"/>
        </w:rPr>
      </w:pPr>
      <w:r>
        <w:rPr>
          <w:b/>
          <w:color w:val="000000" w:themeColor="text1"/>
          <w:sz w:val="24"/>
          <w:szCs w:val="24"/>
        </w:rPr>
        <w:t>For</w:t>
      </w:r>
      <w:r w:rsidRPr="0014270B">
        <w:rPr>
          <w:b/>
          <w:color w:val="000000" w:themeColor="text1"/>
          <w:sz w:val="24"/>
          <w:szCs w:val="24"/>
        </w:rPr>
        <w:t xml:space="preserve"> BCWs in the state (Assam):</w:t>
      </w:r>
    </w:p>
    <w:p w14:paraId="382FE368" w14:textId="77777777" w:rsidR="0014270B" w:rsidRDefault="0014270B" w:rsidP="0014270B">
      <w:pPr>
        <w:autoSpaceDE w:val="0"/>
        <w:autoSpaceDN w:val="0"/>
        <w:adjustRightInd w:val="0"/>
        <w:spacing w:before="120" w:line="276" w:lineRule="auto"/>
        <w:jc w:val="both"/>
        <w:rPr>
          <w:color w:val="000000" w:themeColor="text1"/>
          <w:sz w:val="24"/>
          <w:szCs w:val="24"/>
        </w:rPr>
      </w:pPr>
      <w:r>
        <w:rPr>
          <w:color w:val="000000" w:themeColor="text1"/>
          <w:sz w:val="24"/>
          <w:szCs w:val="24"/>
        </w:rPr>
        <w:t xml:space="preserve">        </w:t>
      </w:r>
      <w:r w:rsidRPr="004B2FDB">
        <w:rPr>
          <w:color w:val="000000" w:themeColor="text1"/>
          <w:sz w:val="24"/>
          <w:szCs w:val="24"/>
        </w:rPr>
        <w:t>BCWs are comprised of a major proportion (around 60%) of the total CWs in India as we find evidence from the study of K N Vaid.</w:t>
      </w:r>
      <w:r w:rsidR="00422B0D">
        <w:rPr>
          <w:color w:val="000000" w:themeColor="text1"/>
          <w:sz w:val="24"/>
          <w:szCs w:val="24"/>
        </w:rPr>
        <w:t xml:space="preserve"> </w:t>
      </w:r>
      <w:r w:rsidRPr="004B2FDB">
        <w:rPr>
          <w:color w:val="000000" w:themeColor="text1"/>
          <w:sz w:val="24"/>
          <w:szCs w:val="24"/>
        </w:rPr>
        <w:t xml:space="preserve">The estimated proportion of BCWs to total CWs of the state (Assam) is complying with this finding. The percentage share of BCWs in total CWs of the state was 59% in 2015, which has increased to 61.8% in 2016.Thereafter, it has fallen to 60.97% in 2017 and further to 59.04% in 2018 </w:t>
      </w:r>
      <w:r>
        <w:rPr>
          <w:color w:val="000000" w:themeColor="text1"/>
          <w:sz w:val="24"/>
          <w:szCs w:val="24"/>
        </w:rPr>
        <w:t>(table-5</w:t>
      </w:r>
      <w:r w:rsidRPr="004B2FDB">
        <w:rPr>
          <w:color w:val="000000" w:themeColor="text1"/>
          <w:sz w:val="24"/>
          <w:szCs w:val="24"/>
        </w:rPr>
        <w:t>).</w:t>
      </w:r>
    </w:p>
    <w:p w14:paraId="2033CDAC" w14:textId="77777777" w:rsidR="0014270B" w:rsidRPr="004B2FDB" w:rsidRDefault="0014270B" w:rsidP="0014270B">
      <w:pPr>
        <w:autoSpaceDE w:val="0"/>
        <w:autoSpaceDN w:val="0"/>
        <w:adjustRightInd w:val="0"/>
        <w:spacing w:before="120" w:line="276" w:lineRule="auto"/>
        <w:ind w:firstLine="720"/>
        <w:jc w:val="both"/>
        <w:rPr>
          <w:bCs/>
          <w:color w:val="000000" w:themeColor="text1"/>
          <w:sz w:val="24"/>
          <w:szCs w:val="24"/>
        </w:rPr>
      </w:pPr>
      <w:r w:rsidRPr="004B2FDB">
        <w:rPr>
          <w:bCs/>
          <w:color w:val="000000" w:themeColor="text1"/>
          <w:sz w:val="24"/>
          <w:szCs w:val="24"/>
        </w:rPr>
        <w:t>On basis of the data of BCWs in the state for the period of 2015-2018,</w:t>
      </w:r>
      <w:r w:rsidRPr="004B2FDB">
        <w:rPr>
          <w:b/>
          <w:bCs/>
          <w:color w:val="000000" w:themeColor="text1"/>
          <w:sz w:val="24"/>
          <w:szCs w:val="24"/>
        </w:rPr>
        <w:t xml:space="preserve"> </w:t>
      </w:r>
      <w:r w:rsidRPr="004B2FDB">
        <w:rPr>
          <w:bCs/>
          <w:color w:val="000000" w:themeColor="text1"/>
          <w:sz w:val="24"/>
          <w:szCs w:val="24"/>
        </w:rPr>
        <w:t xml:space="preserve">the supply trend of BCWs in the state has been estimated as follows: </w:t>
      </w:r>
    </w:p>
    <w:p w14:paraId="7E65FE7F" w14:textId="77777777" w:rsidR="0014270B" w:rsidRPr="004B2FDB" w:rsidRDefault="0014270B" w:rsidP="0014270B">
      <w:pPr>
        <w:autoSpaceDE w:val="0"/>
        <w:autoSpaceDN w:val="0"/>
        <w:adjustRightInd w:val="0"/>
        <w:spacing w:before="120" w:line="276" w:lineRule="auto"/>
        <w:ind w:left="540"/>
        <w:jc w:val="both"/>
        <w:rPr>
          <w:bCs/>
          <w:color w:val="000000" w:themeColor="text1"/>
          <w:sz w:val="24"/>
          <w:szCs w:val="24"/>
        </w:rPr>
      </w:pPr>
      <w:r w:rsidRPr="004B2FDB">
        <w:rPr>
          <w:bCs/>
          <w:color w:val="000000" w:themeColor="text1"/>
          <w:sz w:val="24"/>
          <w:szCs w:val="24"/>
        </w:rPr>
        <w:lastRenderedPageBreak/>
        <w:t xml:space="preserve">                    </w:t>
      </w:r>
      <w:r w:rsidRPr="004B2FDB">
        <w:rPr>
          <w:b/>
          <w:bCs/>
          <w:color w:val="000000" w:themeColor="text1"/>
          <w:sz w:val="24"/>
          <w:szCs w:val="24"/>
        </w:rPr>
        <w:t>Y</w:t>
      </w:r>
      <w:r w:rsidRPr="004B2FDB">
        <w:rPr>
          <w:b/>
          <w:bCs/>
          <w:color w:val="000000" w:themeColor="text1"/>
          <w:sz w:val="24"/>
          <w:szCs w:val="24"/>
          <w:vertAlign w:val="subscript"/>
        </w:rPr>
        <w:t>e</w:t>
      </w:r>
      <w:r w:rsidRPr="004B2FDB">
        <w:rPr>
          <w:b/>
          <w:bCs/>
          <w:color w:val="000000" w:themeColor="text1"/>
          <w:sz w:val="24"/>
          <w:szCs w:val="24"/>
        </w:rPr>
        <w:t xml:space="preserve">= </w:t>
      </w:r>
      <w:r w:rsidRPr="004B2FDB">
        <w:rPr>
          <w:rFonts w:eastAsiaTheme="minorHAnsi"/>
          <w:b/>
          <w:color w:val="000000" w:themeColor="text1"/>
          <w:sz w:val="24"/>
          <w:szCs w:val="24"/>
        </w:rPr>
        <w:t>510500</w:t>
      </w:r>
      <w:r w:rsidRPr="004B2FDB">
        <w:rPr>
          <w:b/>
          <w:bCs/>
          <w:color w:val="000000" w:themeColor="text1"/>
          <w:sz w:val="24"/>
          <w:szCs w:val="24"/>
        </w:rPr>
        <w:t xml:space="preserve">+ </w:t>
      </w:r>
      <w:r w:rsidRPr="004B2FDB">
        <w:rPr>
          <w:rFonts w:eastAsiaTheme="minorHAnsi"/>
          <w:b/>
          <w:color w:val="000000" w:themeColor="text1"/>
          <w:sz w:val="24"/>
          <w:szCs w:val="24"/>
        </w:rPr>
        <w:t>14300x</w:t>
      </w:r>
      <w:r w:rsidR="00422B0D">
        <w:rPr>
          <w:b/>
          <w:bCs/>
          <w:color w:val="000000" w:themeColor="text1"/>
          <w:sz w:val="24"/>
          <w:szCs w:val="24"/>
        </w:rPr>
        <w:t xml:space="preserve"> (Equation-</w:t>
      </w:r>
      <w:r w:rsidRPr="004B2FDB">
        <w:rPr>
          <w:b/>
          <w:bCs/>
          <w:color w:val="000000" w:themeColor="text1"/>
          <w:sz w:val="24"/>
          <w:szCs w:val="24"/>
        </w:rPr>
        <w:t>4</w:t>
      </w:r>
      <w:r>
        <w:rPr>
          <w:bCs/>
          <w:color w:val="000000" w:themeColor="text1"/>
          <w:sz w:val="24"/>
          <w:szCs w:val="24"/>
        </w:rPr>
        <w:t>) (table-5</w:t>
      </w:r>
      <w:r w:rsidRPr="004B2FDB">
        <w:rPr>
          <w:bCs/>
          <w:color w:val="000000" w:themeColor="text1"/>
          <w:sz w:val="24"/>
          <w:szCs w:val="24"/>
        </w:rPr>
        <w:t xml:space="preserve">) </w:t>
      </w:r>
    </w:p>
    <w:p w14:paraId="29E14520" w14:textId="77777777" w:rsidR="0014270B" w:rsidRPr="004B2FDB" w:rsidRDefault="0014270B" w:rsidP="0014270B">
      <w:pPr>
        <w:autoSpaceDE w:val="0"/>
        <w:autoSpaceDN w:val="0"/>
        <w:adjustRightInd w:val="0"/>
        <w:spacing w:before="120" w:line="276" w:lineRule="auto"/>
        <w:ind w:firstLine="720"/>
        <w:jc w:val="both"/>
        <w:rPr>
          <w:bCs/>
          <w:color w:val="000000" w:themeColor="text1"/>
          <w:sz w:val="24"/>
          <w:szCs w:val="24"/>
        </w:rPr>
      </w:pPr>
      <w:r w:rsidRPr="004B2FDB">
        <w:rPr>
          <w:bCs/>
          <w:color w:val="000000" w:themeColor="text1"/>
          <w:sz w:val="24"/>
          <w:szCs w:val="24"/>
        </w:rPr>
        <w:t>Where, Y</w:t>
      </w:r>
      <w:r w:rsidRPr="004B2FDB">
        <w:rPr>
          <w:bCs/>
          <w:color w:val="000000" w:themeColor="text1"/>
          <w:sz w:val="24"/>
          <w:szCs w:val="24"/>
          <w:vertAlign w:val="subscript"/>
        </w:rPr>
        <w:t>e</w:t>
      </w:r>
      <w:r w:rsidRPr="004B2FDB">
        <w:rPr>
          <w:bCs/>
          <w:color w:val="000000" w:themeColor="text1"/>
          <w:sz w:val="24"/>
          <w:szCs w:val="24"/>
        </w:rPr>
        <w:t xml:space="preserve"> = the size of CWs in the state, and x= for time period.</w:t>
      </w:r>
    </w:p>
    <w:p w14:paraId="4225A12F" w14:textId="77777777" w:rsidR="0014270B" w:rsidRPr="004B2FDB" w:rsidRDefault="0014270B" w:rsidP="0014270B">
      <w:pPr>
        <w:autoSpaceDE w:val="0"/>
        <w:autoSpaceDN w:val="0"/>
        <w:adjustRightInd w:val="0"/>
        <w:spacing w:before="120" w:line="276" w:lineRule="auto"/>
        <w:ind w:firstLine="720"/>
        <w:jc w:val="both"/>
        <w:rPr>
          <w:color w:val="000000" w:themeColor="text1"/>
          <w:sz w:val="24"/>
          <w:szCs w:val="24"/>
        </w:rPr>
      </w:pPr>
      <w:r w:rsidRPr="004B2FDB">
        <w:rPr>
          <w:bCs/>
          <w:color w:val="000000" w:themeColor="text1"/>
          <w:sz w:val="24"/>
          <w:szCs w:val="24"/>
        </w:rPr>
        <w:t>This indicates that the supply of BCWs in the state increases by 14300nos per year on an average during the period of 2015-2018.</w:t>
      </w:r>
    </w:p>
    <w:p w14:paraId="38A569A2" w14:textId="77777777" w:rsidR="005E6A16" w:rsidRDefault="0014270B" w:rsidP="0014270B">
      <w:pPr>
        <w:autoSpaceDE w:val="0"/>
        <w:autoSpaceDN w:val="0"/>
        <w:adjustRightInd w:val="0"/>
        <w:spacing w:before="120" w:line="276" w:lineRule="auto"/>
        <w:jc w:val="both"/>
        <w:rPr>
          <w:color w:val="000000"/>
          <w:sz w:val="24"/>
          <w:szCs w:val="24"/>
        </w:rPr>
      </w:pPr>
      <w:r w:rsidRPr="004B2FDB">
        <w:rPr>
          <w:color w:val="000000" w:themeColor="text1"/>
          <w:sz w:val="24"/>
          <w:szCs w:val="24"/>
        </w:rPr>
        <w:t xml:space="preserve">              On an annual average, the supply of BCWs in the state has been increasing at the rate of 5.66% during 2015-2018 (table-2.18). The short-run variation in the supply of BCWs in the state has been estimated to be 3000 </w:t>
      </w:r>
      <w:proofErr w:type="spellStart"/>
      <w:r w:rsidRPr="004B2FDB">
        <w:rPr>
          <w:color w:val="000000" w:themeColor="text1"/>
          <w:sz w:val="24"/>
          <w:szCs w:val="24"/>
        </w:rPr>
        <w:t>nos</w:t>
      </w:r>
      <w:proofErr w:type="spellEnd"/>
      <w:r w:rsidRPr="004B2FDB">
        <w:rPr>
          <w:color w:val="000000" w:themeColor="text1"/>
          <w:sz w:val="24"/>
          <w:szCs w:val="24"/>
        </w:rPr>
        <w:t xml:space="preserve"> (3 x1000) per year, on an annual average during the period, 2015-2018 </w:t>
      </w:r>
      <w:r>
        <w:rPr>
          <w:color w:val="000000" w:themeColor="text1"/>
          <w:sz w:val="24"/>
          <w:szCs w:val="24"/>
        </w:rPr>
        <w:t>(table-5</w:t>
      </w:r>
      <w:r w:rsidRPr="004B2FDB">
        <w:rPr>
          <w:color w:val="000000" w:themeColor="text1"/>
          <w:sz w:val="24"/>
          <w:szCs w:val="24"/>
        </w:rPr>
        <w:t>).</w:t>
      </w:r>
    </w:p>
    <w:p w14:paraId="3CD2325C" w14:textId="77777777" w:rsidR="0014270B" w:rsidRPr="004B2FDB" w:rsidRDefault="0014270B" w:rsidP="0014270B">
      <w:pPr>
        <w:spacing w:before="40" w:line="312" w:lineRule="auto"/>
        <w:ind w:left="540" w:hanging="540"/>
        <w:rPr>
          <w:b/>
          <w:color w:val="000000" w:themeColor="text1"/>
        </w:rPr>
      </w:pPr>
      <w:r>
        <w:rPr>
          <w:b/>
          <w:color w:val="000000" w:themeColor="text1"/>
        </w:rPr>
        <w:t xml:space="preserve">                        </w:t>
      </w:r>
      <w:r w:rsidRPr="004B2FDB">
        <w:rPr>
          <w:b/>
          <w:color w:val="000000" w:themeColor="text1"/>
        </w:rPr>
        <w:t>Table-</w:t>
      </w:r>
      <w:r>
        <w:rPr>
          <w:b/>
          <w:color w:val="000000" w:themeColor="text1"/>
        </w:rPr>
        <w:t>5</w:t>
      </w:r>
      <w:r w:rsidRPr="004B2FDB">
        <w:rPr>
          <w:b/>
          <w:color w:val="000000" w:themeColor="text1"/>
        </w:rPr>
        <w:t>: Supply trend of BCWs in Assam for 2015-2018:</w:t>
      </w:r>
    </w:p>
    <w:tbl>
      <w:tblPr>
        <w:tblW w:w="9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3"/>
        <w:gridCol w:w="1710"/>
        <w:gridCol w:w="1630"/>
        <w:gridCol w:w="2115"/>
        <w:gridCol w:w="2544"/>
      </w:tblGrid>
      <w:tr w:rsidR="0014270B" w:rsidRPr="004B2FDB" w14:paraId="2B06FEAF" w14:textId="77777777" w:rsidTr="0014270B">
        <w:trPr>
          <w:trHeight w:val="440"/>
          <w:jc w:val="center"/>
        </w:trPr>
        <w:tc>
          <w:tcPr>
            <w:tcW w:w="1113" w:type="dxa"/>
            <w:tcBorders>
              <w:bottom w:val="single" w:sz="4" w:space="0" w:color="auto"/>
              <w:right w:val="single" w:sz="4" w:space="0" w:color="auto"/>
            </w:tcBorders>
          </w:tcPr>
          <w:p w14:paraId="66E2CA56"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Year</w:t>
            </w:r>
          </w:p>
        </w:tc>
        <w:tc>
          <w:tcPr>
            <w:tcW w:w="1710" w:type="dxa"/>
            <w:tcBorders>
              <w:bottom w:val="single" w:sz="4" w:space="0" w:color="auto"/>
              <w:right w:val="single" w:sz="4" w:space="0" w:color="auto"/>
            </w:tcBorders>
          </w:tcPr>
          <w:p w14:paraId="25793A0F"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Size of BCWs in Assam (,000)</w:t>
            </w:r>
          </w:p>
        </w:tc>
        <w:tc>
          <w:tcPr>
            <w:tcW w:w="1630" w:type="dxa"/>
            <w:tcBorders>
              <w:bottom w:val="single" w:sz="4" w:space="0" w:color="auto"/>
              <w:right w:val="single" w:sz="4" w:space="0" w:color="auto"/>
            </w:tcBorders>
          </w:tcPr>
          <w:p w14:paraId="36B50BBF"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Size of CWs in Assam (,000)</w:t>
            </w:r>
          </w:p>
        </w:tc>
        <w:tc>
          <w:tcPr>
            <w:tcW w:w="2115" w:type="dxa"/>
            <w:tcBorders>
              <w:bottom w:val="single" w:sz="4" w:space="0" w:color="auto"/>
              <w:right w:val="single" w:sz="4" w:space="0" w:color="auto"/>
            </w:tcBorders>
          </w:tcPr>
          <w:p w14:paraId="5A905E00"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 xml:space="preserve">%share of BCWs in </w:t>
            </w:r>
            <w:proofErr w:type="gramStart"/>
            <w:r w:rsidRPr="004B2FDB">
              <w:rPr>
                <w:bCs/>
                <w:color w:val="000000" w:themeColor="text1"/>
              </w:rPr>
              <w:t>CWs  for</w:t>
            </w:r>
            <w:proofErr w:type="gramEnd"/>
            <w:r w:rsidRPr="004B2FDB">
              <w:rPr>
                <w:bCs/>
                <w:color w:val="000000" w:themeColor="text1"/>
              </w:rPr>
              <w:t xml:space="preserve"> the state</w:t>
            </w:r>
          </w:p>
        </w:tc>
        <w:tc>
          <w:tcPr>
            <w:tcW w:w="2544" w:type="dxa"/>
            <w:tcBorders>
              <w:left w:val="single" w:sz="4" w:space="0" w:color="auto"/>
              <w:bottom w:val="single" w:sz="4" w:space="0" w:color="auto"/>
            </w:tcBorders>
          </w:tcPr>
          <w:p w14:paraId="6F730801"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 xml:space="preserve">Annual </w:t>
            </w:r>
            <w:proofErr w:type="gramStart"/>
            <w:r w:rsidRPr="004B2FDB">
              <w:rPr>
                <w:bCs/>
                <w:color w:val="000000" w:themeColor="text1"/>
              </w:rPr>
              <w:t>%  increase</w:t>
            </w:r>
            <w:proofErr w:type="gramEnd"/>
            <w:r w:rsidRPr="004B2FDB">
              <w:rPr>
                <w:bCs/>
                <w:color w:val="000000" w:themeColor="text1"/>
              </w:rPr>
              <w:t xml:space="preserve"> in BCWs of Assam</w:t>
            </w:r>
          </w:p>
        </w:tc>
      </w:tr>
      <w:tr w:rsidR="0014270B" w:rsidRPr="004B2FDB" w14:paraId="13E56692" w14:textId="77777777" w:rsidTr="0014270B">
        <w:trPr>
          <w:trHeight w:val="240"/>
          <w:jc w:val="center"/>
        </w:trPr>
        <w:tc>
          <w:tcPr>
            <w:tcW w:w="1113" w:type="dxa"/>
            <w:tcBorders>
              <w:top w:val="single" w:sz="4" w:space="0" w:color="auto"/>
              <w:bottom w:val="single" w:sz="4" w:space="0" w:color="auto"/>
              <w:right w:val="single" w:sz="4" w:space="0" w:color="auto"/>
            </w:tcBorders>
          </w:tcPr>
          <w:p w14:paraId="46653DD7"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(1)</w:t>
            </w:r>
          </w:p>
        </w:tc>
        <w:tc>
          <w:tcPr>
            <w:tcW w:w="1710" w:type="dxa"/>
            <w:tcBorders>
              <w:top w:val="single" w:sz="4" w:space="0" w:color="auto"/>
              <w:bottom w:val="single" w:sz="4" w:space="0" w:color="auto"/>
              <w:right w:val="single" w:sz="4" w:space="0" w:color="auto"/>
            </w:tcBorders>
          </w:tcPr>
          <w:p w14:paraId="350238C6"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(2)</w:t>
            </w:r>
          </w:p>
        </w:tc>
        <w:tc>
          <w:tcPr>
            <w:tcW w:w="1630" w:type="dxa"/>
            <w:tcBorders>
              <w:top w:val="single" w:sz="4" w:space="0" w:color="auto"/>
              <w:bottom w:val="single" w:sz="4" w:space="0" w:color="auto"/>
              <w:right w:val="single" w:sz="4" w:space="0" w:color="auto"/>
            </w:tcBorders>
          </w:tcPr>
          <w:p w14:paraId="3148CB56"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(3)</w:t>
            </w:r>
          </w:p>
        </w:tc>
        <w:tc>
          <w:tcPr>
            <w:tcW w:w="2115" w:type="dxa"/>
            <w:tcBorders>
              <w:top w:val="single" w:sz="4" w:space="0" w:color="auto"/>
              <w:bottom w:val="single" w:sz="4" w:space="0" w:color="auto"/>
              <w:right w:val="single" w:sz="4" w:space="0" w:color="auto"/>
            </w:tcBorders>
          </w:tcPr>
          <w:p w14:paraId="50AD800D"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w:t>
            </w:r>
            <w:proofErr w:type="gramStart"/>
            <w:r w:rsidRPr="004B2FDB">
              <w:rPr>
                <w:bCs/>
                <w:color w:val="000000" w:themeColor="text1"/>
              </w:rPr>
              <w:t>4)=</w:t>
            </w:r>
            <w:proofErr w:type="gramEnd"/>
            <w:r w:rsidRPr="004B2FDB">
              <w:rPr>
                <w:bCs/>
                <w:color w:val="000000" w:themeColor="text1"/>
              </w:rPr>
              <w:t>(2)/(3)*100</w:t>
            </w:r>
          </w:p>
        </w:tc>
        <w:tc>
          <w:tcPr>
            <w:tcW w:w="2544" w:type="dxa"/>
            <w:tcBorders>
              <w:top w:val="single" w:sz="4" w:space="0" w:color="auto"/>
              <w:left w:val="single" w:sz="4" w:space="0" w:color="auto"/>
              <w:bottom w:val="single" w:sz="4" w:space="0" w:color="auto"/>
            </w:tcBorders>
          </w:tcPr>
          <w:p w14:paraId="2B165C73"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(5)</w:t>
            </w:r>
          </w:p>
        </w:tc>
      </w:tr>
      <w:tr w:rsidR="0014270B" w:rsidRPr="004B2FDB" w14:paraId="456018EB" w14:textId="77777777" w:rsidTr="0014270B">
        <w:trPr>
          <w:trHeight w:val="170"/>
          <w:jc w:val="center"/>
        </w:trPr>
        <w:tc>
          <w:tcPr>
            <w:tcW w:w="1113" w:type="dxa"/>
            <w:tcBorders>
              <w:top w:val="single" w:sz="4" w:space="0" w:color="auto"/>
              <w:right w:val="single" w:sz="4" w:space="0" w:color="auto"/>
            </w:tcBorders>
          </w:tcPr>
          <w:p w14:paraId="629CAAC1"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2015</w:t>
            </w:r>
          </w:p>
        </w:tc>
        <w:tc>
          <w:tcPr>
            <w:tcW w:w="1710" w:type="dxa"/>
            <w:tcBorders>
              <w:top w:val="single" w:sz="4" w:space="0" w:color="auto"/>
              <w:right w:val="single" w:sz="4" w:space="0" w:color="auto"/>
            </w:tcBorders>
          </w:tcPr>
          <w:p w14:paraId="2F4FA567"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468</w:t>
            </w:r>
          </w:p>
        </w:tc>
        <w:tc>
          <w:tcPr>
            <w:tcW w:w="1630" w:type="dxa"/>
            <w:tcBorders>
              <w:top w:val="single" w:sz="4" w:space="0" w:color="auto"/>
              <w:right w:val="single" w:sz="4" w:space="0" w:color="auto"/>
            </w:tcBorders>
          </w:tcPr>
          <w:p w14:paraId="1D891A7D"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793</w:t>
            </w:r>
          </w:p>
        </w:tc>
        <w:tc>
          <w:tcPr>
            <w:tcW w:w="2115" w:type="dxa"/>
            <w:tcBorders>
              <w:top w:val="single" w:sz="4" w:space="0" w:color="auto"/>
              <w:right w:val="single" w:sz="4" w:space="0" w:color="auto"/>
            </w:tcBorders>
          </w:tcPr>
          <w:p w14:paraId="2FC9FE7C"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59.0</w:t>
            </w:r>
          </w:p>
        </w:tc>
        <w:tc>
          <w:tcPr>
            <w:tcW w:w="2544" w:type="dxa"/>
            <w:tcBorders>
              <w:top w:val="single" w:sz="4" w:space="0" w:color="auto"/>
              <w:left w:val="single" w:sz="4" w:space="0" w:color="auto"/>
            </w:tcBorders>
          </w:tcPr>
          <w:p w14:paraId="7334A30D"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w:t>
            </w:r>
          </w:p>
        </w:tc>
      </w:tr>
      <w:tr w:rsidR="0014270B" w:rsidRPr="004B2FDB" w14:paraId="0348B739" w14:textId="77777777" w:rsidTr="0014270B">
        <w:trPr>
          <w:jc w:val="center"/>
        </w:trPr>
        <w:tc>
          <w:tcPr>
            <w:tcW w:w="1113" w:type="dxa"/>
            <w:tcBorders>
              <w:right w:val="single" w:sz="4" w:space="0" w:color="auto"/>
            </w:tcBorders>
          </w:tcPr>
          <w:p w14:paraId="12A8B821"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2016</w:t>
            </w:r>
          </w:p>
        </w:tc>
        <w:tc>
          <w:tcPr>
            <w:tcW w:w="1710" w:type="dxa"/>
            <w:tcBorders>
              <w:right w:val="single" w:sz="4" w:space="0" w:color="auto"/>
            </w:tcBorders>
          </w:tcPr>
          <w:p w14:paraId="6DAC8BC6"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494</w:t>
            </w:r>
          </w:p>
        </w:tc>
        <w:tc>
          <w:tcPr>
            <w:tcW w:w="1630" w:type="dxa"/>
            <w:tcBorders>
              <w:right w:val="single" w:sz="4" w:space="0" w:color="auto"/>
            </w:tcBorders>
          </w:tcPr>
          <w:p w14:paraId="0F7B1734"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800</w:t>
            </w:r>
          </w:p>
        </w:tc>
        <w:tc>
          <w:tcPr>
            <w:tcW w:w="2115" w:type="dxa"/>
            <w:tcBorders>
              <w:right w:val="single" w:sz="4" w:space="0" w:color="auto"/>
            </w:tcBorders>
          </w:tcPr>
          <w:p w14:paraId="0035EB81"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61.8</w:t>
            </w:r>
          </w:p>
        </w:tc>
        <w:tc>
          <w:tcPr>
            <w:tcW w:w="2544" w:type="dxa"/>
            <w:tcBorders>
              <w:left w:val="single" w:sz="4" w:space="0" w:color="auto"/>
            </w:tcBorders>
          </w:tcPr>
          <w:p w14:paraId="2F985D86"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5.56</w:t>
            </w:r>
          </w:p>
        </w:tc>
      </w:tr>
      <w:tr w:rsidR="0014270B" w:rsidRPr="004B2FDB" w14:paraId="3C055FE7" w14:textId="77777777" w:rsidTr="0014270B">
        <w:trPr>
          <w:trHeight w:val="156"/>
          <w:jc w:val="center"/>
        </w:trPr>
        <w:tc>
          <w:tcPr>
            <w:tcW w:w="1113" w:type="dxa"/>
            <w:tcBorders>
              <w:bottom w:val="single" w:sz="4" w:space="0" w:color="auto"/>
              <w:right w:val="single" w:sz="4" w:space="0" w:color="auto"/>
            </w:tcBorders>
          </w:tcPr>
          <w:p w14:paraId="17A9C9E5"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2017</w:t>
            </w:r>
          </w:p>
        </w:tc>
        <w:tc>
          <w:tcPr>
            <w:tcW w:w="1710" w:type="dxa"/>
            <w:tcBorders>
              <w:bottom w:val="single" w:sz="4" w:space="0" w:color="auto"/>
              <w:right w:val="single" w:sz="4" w:space="0" w:color="auto"/>
            </w:tcBorders>
          </w:tcPr>
          <w:p w14:paraId="67B314E8"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528</w:t>
            </w:r>
          </w:p>
        </w:tc>
        <w:tc>
          <w:tcPr>
            <w:tcW w:w="1630" w:type="dxa"/>
            <w:tcBorders>
              <w:bottom w:val="single" w:sz="4" w:space="0" w:color="auto"/>
              <w:right w:val="single" w:sz="4" w:space="0" w:color="auto"/>
            </w:tcBorders>
          </w:tcPr>
          <w:p w14:paraId="5C35FA65"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866</w:t>
            </w:r>
          </w:p>
        </w:tc>
        <w:tc>
          <w:tcPr>
            <w:tcW w:w="2115" w:type="dxa"/>
            <w:tcBorders>
              <w:bottom w:val="single" w:sz="4" w:space="0" w:color="auto"/>
              <w:right w:val="single" w:sz="4" w:space="0" w:color="auto"/>
            </w:tcBorders>
          </w:tcPr>
          <w:p w14:paraId="1DD3E709"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60.97</w:t>
            </w:r>
          </w:p>
        </w:tc>
        <w:tc>
          <w:tcPr>
            <w:tcW w:w="2544" w:type="dxa"/>
            <w:tcBorders>
              <w:left w:val="single" w:sz="4" w:space="0" w:color="auto"/>
              <w:bottom w:val="single" w:sz="4" w:space="0" w:color="auto"/>
            </w:tcBorders>
          </w:tcPr>
          <w:p w14:paraId="6552FEC9"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6.88</w:t>
            </w:r>
          </w:p>
        </w:tc>
      </w:tr>
      <w:tr w:rsidR="0014270B" w:rsidRPr="004B2FDB" w14:paraId="38BA59BD" w14:textId="77777777" w:rsidTr="0014270B">
        <w:trPr>
          <w:trHeight w:val="242"/>
          <w:jc w:val="center"/>
        </w:trPr>
        <w:tc>
          <w:tcPr>
            <w:tcW w:w="1113" w:type="dxa"/>
            <w:tcBorders>
              <w:top w:val="single" w:sz="4" w:space="0" w:color="auto"/>
              <w:right w:val="single" w:sz="4" w:space="0" w:color="auto"/>
            </w:tcBorders>
          </w:tcPr>
          <w:p w14:paraId="353CF690"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2018</w:t>
            </w:r>
          </w:p>
        </w:tc>
        <w:tc>
          <w:tcPr>
            <w:tcW w:w="1710" w:type="dxa"/>
            <w:tcBorders>
              <w:top w:val="single" w:sz="4" w:space="0" w:color="auto"/>
              <w:right w:val="single" w:sz="4" w:space="0" w:color="auto"/>
            </w:tcBorders>
          </w:tcPr>
          <w:p w14:paraId="7ECBBD63"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552</w:t>
            </w:r>
          </w:p>
        </w:tc>
        <w:tc>
          <w:tcPr>
            <w:tcW w:w="1630" w:type="dxa"/>
            <w:tcBorders>
              <w:top w:val="single" w:sz="4" w:space="0" w:color="auto"/>
              <w:right w:val="single" w:sz="4" w:space="0" w:color="auto"/>
            </w:tcBorders>
          </w:tcPr>
          <w:p w14:paraId="692D7F51"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935</w:t>
            </w:r>
          </w:p>
        </w:tc>
        <w:tc>
          <w:tcPr>
            <w:tcW w:w="2115" w:type="dxa"/>
            <w:tcBorders>
              <w:top w:val="single" w:sz="4" w:space="0" w:color="auto"/>
              <w:right w:val="single" w:sz="4" w:space="0" w:color="auto"/>
            </w:tcBorders>
          </w:tcPr>
          <w:p w14:paraId="117A261D"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59.04</w:t>
            </w:r>
          </w:p>
        </w:tc>
        <w:tc>
          <w:tcPr>
            <w:tcW w:w="2544" w:type="dxa"/>
            <w:tcBorders>
              <w:top w:val="single" w:sz="4" w:space="0" w:color="auto"/>
              <w:left w:val="single" w:sz="4" w:space="0" w:color="auto"/>
            </w:tcBorders>
          </w:tcPr>
          <w:p w14:paraId="1614D84A"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4.55</w:t>
            </w:r>
          </w:p>
        </w:tc>
      </w:tr>
      <w:tr w:rsidR="0014270B" w:rsidRPr="004B2FDB" w14:paraId="7C7E26A8" w14:textId="77777777" w:rsidTr="0014270B">
        <w:trPr>
          <w:trHeight w:val="207"/>
          <w:jc w:val="center"/>
        </w:trPr>
        <w:tc>
          <w:tcPr>
            <w:tcW w:w="6568" w:type="dxa"/>
            <w:gridSpan w:val="4"/>
            <w:tcBorders>
              <w:top w:val="nil"/>
              <w:bottom w:val="single" w:sz="4" w:space="0" w:color="auto"/>
              <w:right w:val="single" w:sz="4" w:space="0" w:color="auto"/>
            </w:tcBorders>
          </w:tcPr>
          <w:p w14:paraId="60116CBE"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Annual average % increase</w:t>
            </w:r>
          </w:p>
        </w:tc>
        <w:tc>
          <w:tcPr>
            <w:tcW w:w="2544" w:type="dxa"/>
            <w:tcBorders>
              <w:top w:val="single" w:sz="4" w:space="0" w:color="auto"/>
              <w:left w:val="single" w:sz="4" w:space="0" w:color="auto"/>
              <w:bottom w:val="single" w:sz="4" w:space="0" w:color="auto"/>
            </w:tcBorders>
          </w:tcPr>
          <w:p w14:paraId="1785A0FF" w14:textId="77777777" w:rsidR="0014270B" w:rsidRPr="004B2FDB" w:rsidRDefault="0014270B" w:rsidP="0014270B">
            <w:pPr>
              <w:autoSpaceDE w:val="0"/>
              <w:autoSpaceDN w:val="0"/>
              <w:adjustRightInd w:val="0"/>
              <w:jc w:val="center"/>
              <w:rPr>
                <w:bCs/>
                <w:color w:val="000000" w:themeColor="text1"/>
              </w:rPr>
            </w:pPr>
            <w:r w:rsidRPr="004B2FDB">
              <w:rPr>
                <w:bCs/>
                <w:color w:val="000000" w:themeColor="text1"/>
              </w:rPr>
              <w:t>5.66</w:t>
            </w:r>
          </w:p>
        </w:tc>
      </w:tr>
    </w:tbl>
    <w:p w14:paraId="0E9DFAF0" w14:textId="77777777" w:rsidR="0014270B" w:rsidRPr="004B2FDB" w:rsidRDefault="0014270B" w:rsidP="0014270B">
      <w:pPr>
        <w:autoSpaceDE w:val="0"/>
        <w:autoSpaceDN w:val="0"/>
        <w:adjustRightInd w:val="0"/>
        <w:jc w:val="both"/>
        <w:rPr>
          <w:color w:val="000000" w:themeColor="text1"/>
        </w:rPr>
      </w:pPr>
      <w:r>
        <w:rPr>
          <w:color w:val="000000" w:themeColor="text1"/>
        </w:rPr>
        <w:t xml:space="preserve">     </w:t>
      </w:r>
      <w:r w:rsidRPr="004B2FDB">
        <w:rPr>
          <w:color w:val="000000" w:themeColor="text1"/>
        </w:rPr>
        <w:t>Source</w:t>
      </w:r>
      <w:r>
        <w:rPr>
          <w:color w:val="000000" w:themeColor="text1"/>
        </w:rPr>
        <w:t>s</w:t>
      </w:r>
      <w:r w:rsidRPr="004B2FDB">
        <w:rPr>
          <w:color w:val="000000" w:themeColor="text1"/>
        </w:rPr>
        <w:t xml:space="preserve">: </w:t>
      </w:r>
      <w:proofErr w:type="spellStart"/>
      <w:r w:rsidRPr="004B2FDB">
        <w:rPr>
          <w:color w:val="000000" w:themeColor="text1"/>
        </w:rPr>
        <w:t>i</w:t>
      </w:r>
      <w:proofErr w:type="spellEnd"/>
      <w:r w:rsidRPr="004B2FDB">
        <w:rPr>
          <w:color w:val="000000" w:themeColor="text1"/>
        </w:rPr>
        <w:t xml:space="preserve">) BOCW Board, Government of Assam, </w:t>
      </w:r>
      <w:proofErr w:type="spellStart"/>
      <w:r w:rsidRPr="004B2FDB">
        <w:rPr>
          <w:color w:val="000000" w:themeColor="text1"/>
        </w:rPr>
        <w:t>Labour</w:t>
      </w:r>
      <w:proofErr w:type="spellEnd"/>
      <w:r w:rsidRPr="004B2FDB">
        <w:rPr>
          <w:color w:val="000000" w:themeColor="text1"/>
        </w:rPr>
        <w:t xml:space="preserve"> and Welfare department,</w:t>
      </w:r>
    </w:p>
    <w:p w14:paraId="5DB07F0F" w14:textId="77777777" w:rsidR="0014270B" w:rsidRPr="004B2FDB" w:rsidRDefault="0014270B" w:rsidP="00833F6F">
      <w:pPr>
        <w:autoSpaceDE w:val="0"/>
        <w:autoSpaceDN w:val="0"/>
        <w:adjustRightInd w:val="0"/>
        <w:spacing w:before="40"/>
        <w:ind w:left="720"/>
        <w:jc w:val="both"/>
        <w:rPr>
          <w:b/>
          <w:color w:val="000000" w:themeColor="text1"/>
        </w:rPr>
      </w:pPr>
      <w:r>
        <w:rPr>
          <w:color w:val="000000" w:themeColor="text1"/>
        </w:rPr>
        <w:t xml:space="preserve">     </w:t>
      </w:r>
      <w:r w:rsidRPr="004B2FDB">
        <w:rPr>
          <w:color w:val="000000" w:themeColor="text1"/>
        </w:rPr>
        <w:t xml:space="preserve">ii) Office of the </w:t>
      </w:r>
      <w:proofErr w:type="gramStart"/>
      <w:r w:rsidRPr="004B2FDB">
        <w:rPr>
          <w:color w:val="000000" w:themeColor="text1"/>
        </w:rPr>
        <w:t xml:space="preserve">Assistant  </w:t>
      </w:r>
      <w:proofErr w:type="spellStart"/>
      <w:r w:rsidRPr="004B2FDB">
        <w:rPr>
          <w:color w:val="000000" w:themeColor="text1"/>
        </w:rPr>
        <w:t>Labour</w:t>
      </w:r>
      <w:proofErr w:type="spellEnd"/>
      <w:proofErr w:type="gramEnd"/>
      <w:r w:rsidRPr="004B2FDB">
        <w:rPr>
          <w:color w:val="000000" w:themeColor="text1"/>
        </w:rPr>
        <w:t xml:space="preserve"> Commissioner, Jorhat; </w:t>
      </w:r>
      <w:proofErr w:type="spellStart"/>
      <w:r w:rsidRPr="004B2FDB">
        <w:rPr>
          <w:color w:val="000000" w:themeColor="text1"/>
        </w:rPr>
        <w:t>Sivasagar</w:t>
      </w:r>
      <w:proofErr w:type="spellEnd"/>
      <w:r w:rsidRPr="004B2FDB">
        <w:rPr>
          <w:color w:val="000000" w:themeColor="text1"/>
        </w:rPr>
        <w:t xml:space="preserve"> &amp; </w:t>
      </w:r>
      <w:proofErr w:type="spellStart"/>
      <w:r w:rsidRPr="004B2FDB">
        <w:rPr>
          <w:color w:val="000000" w:themeColor="text1"/>
        </w:rPr>
        <w:t>Golaghat</w:t>
      </w:r>
      <w:proofErr w:type="spellEnd"/>
      <w:r w:rsidRPr="004B2FDB">
        <w:rPr>
          <w:color w:val="000000" w:themeColor="text1"/>
        </w:rPr>
        <w:t xml:space="preserve"> Districts.</w:t>
      </w:r>
    </w:p>
    <w:p w14:paraId="5707534A" w14:textId="77777777" w:rsidR="0014270B" w:rsidRPr="004B2FDB" w:rsidRDefault="0014270B" w:rsidP="0014270B">
      <w:pPr>
        <w:autoSpaceDE w:val="0"/>
        <w:autoSpaceDN w:val="0"/>
        <w:adjustRightInd w:val="0"/>
        <w:jc w:val="both"/>
        <w:rPr>
          <w:b/>
          <w:color w:val="000000" w:themeColor="text1"/>
        </w:rPr>
      </w:pPr>
      <w:r>
        <w:rPr>
          <w:b/>
          <w:color w:val="000000" w:themeColor="text1"/>
        </w:rPr>
        <w:t xml:space="preserve">     Table-6</w:t>
      </w:r>
      <w:r w:rsidRPr="004B2FDB">
        <w:rPr>
          <w:b/>
          <w:color w:val="000000" w:themeColor="text1"/>
        </w:rPr>
        <w:t>: Trend and short-run variation in Supply of BCWs in Assam during 2015-2018:</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094"/>
        <w:gridCol w:w="3420"/>
        <w:gridCol w:w="2868"/>
      </w:tblGrid>
      <w:tr w:rsidR="0014270B" w:rsidRPr="004B2FDB" w14:paraId="564359CA" w14:textId="77777777" w:rsidTr="0014270B">
        <w:trPr>
          <w:trHeight w:val="197"/>
          <w:jc w:val="center"/>
        </w:trPr>
        <w:tc>
          <w:tcPr>
            <w:tcW w:w="865" w:type="dxa"/>
            <w:noWrap/>
            <w:vAlign w:val="bottom"/>
            <w:hideMark/>
          </w:tcPr>
          <w:p w14:paraId="4F132CDA" w14:textId="77777777" w:rsidR="0014270B" w:rsidRPr="004B2FDB" w:rsidRDefault="0014270B" w:rsidP="0014270B">
            <w:pPr>
              <w:jc w:val="center"/>
              <w:rPr>
                <w:color w:val="000000" w:themeColor="text1"/>
              </w:rPr>
            </w:pPr>
            <w:r w:rsidRPr="004B2FDB">
              <w:rPr>
                <w:color w:val="000000" w:themeColor="text1"/>
              </w:rPr>
              <w:t>Year</w:t>
            </w:r>
          </w:p>
        </w:tc>
        <w:tc>
          <w:tcPr>
            <w:tcW w:w="2094" w:type="dxa"/>
            <w:noWrap/>
            <w:vAlign w:val="bottom"/>
            <w:hideMark/>
          </w:tcPr>
          <w:p w14:paraId="2DAC8169" w14:textId="77777777" w:rsidR="0014270B" w:rsidRPr="004B2FDB" w:rsidRDefault="0014270B" w:rsidP="0014270B">
            <w:pPr>
              <w:rPr>
                <w:color w:val="000000" w:themeColor="text1"/>
              </w:rPr>
            </w:pPr>
            <w:r>
              <w:rPr>
                <w:color w:val="000000" w:themeColor="text1"/>
              </w:rPr>
              <w:t>Size of BCWs (</w:t>
            </w:r>
            <w:r w:rsidRPr="004B2FDB">
              <w:rPr>
                <w:color w:val="000000" w:themeColor="text1"/>
              </w:rPr>
              <w:t>,000)</w:t>
            </w:r>
          </w:p>
        </w:tc>
        <w:tc>
          <w:tcPr>
            <w:tcW w:w="3420" w:type="dxa"/>
            <w:noWrap/>
            <w:vAlign w:val="bottom"/>
            <w:hideMark/>
          </w:tcPr>
          <w:p w14:paraId="4DED674B" w14:textId="77777777" w:rsidR="0014270B" w:rsidRPr="004B2FDB" w:rsidRDefault="0014270B" w:rsidP="0014270B">
            <w:pPr>
              <w:rPr>
                <w:color w:val="000000" w:themeColor="text1"/>
              </w:rPr>
            </w:pPr>
            <w:r w:rsidRPr="004B2FDB">
              <w:rPr>
                <w:color w:val="000000" w:themeColor="text1"/>
              </w:rPr>
              <w:t>3 yearly Moving average (,000)</w:t>
            </w:r>
          </w:p>
        </w:tc>
        <w:tc>
          <w:tcPr>
            <w:tcW w:w="2868" w:type="dxa"/>
            <w:noWrap/>
            <w:vAlign w:val="bottom"/>
            <w:hideMark/>
          </w:tcPr>
          <w:p w14:paraId="27A09365" w14:textId="77777777" w:rsidR="0014270B" w:rsidRPr="004B2FDB" w:rsidRDefault="0014270B" w:rsidP="0014270B">
            <w:pPr>
              <w:rPr>
                <w:color w:val="000000" w:themeColor="text1"/>
              </w:rPr>
            </w:pPr>
            <w:r w:rsidRPr="004B2FDB">
              <w:rPr>
                <w:color w:val="000000" w:themeColor="text1"/>
              </w:rPr>
              <w:t>Short-run Variation (,000)</w:t>
            </w:r>
          </w:p>
        </w:tc>
      </w:tr>
      <w:tr w:rsidR="0014270B" w:rsidRPr="004B2FDB" w14:paraId="0F9F69F8" w14:textId="77777777" w:rsidTr="0014270B">
        <w:trPr>
          <w:trHeight w:val="206"/>
          <w:jc w:val="center"/>
        </w:trPr>
        <w:tc>
          <w:tcPr>
            <w:tcW w:w="865" w:type="dxa"/>
            <w:noWrap/>
            <w:vAlign w:val="bottom"/>
            <w:hideMark/>
          </w:tcPr>
          <w:p w14:paraId="70D87AE3" w14:textId="77777777" w:rsidR="0014270B" w:rsidRPr="004B2FDB" w:rsidRDefault="0014270B" w:rsidP="0014270B">
            <w:pPr>
              <w:jc w:val="center"/>
              <w:rPr>
                <w:color w:val="000000" w:themeColor="text1"/>
              </w:rPr>
            </w:pPr>
            <w:r w:rsidRPr="004B2FDB">
              <w:rPr>
                <w:color w:val="000000" w:themeColor="text1"/>
              </w:rPr>
              <w:t>2015</w:t>
            </w:r>
          </w:p>
        </w:tc>
        <w:tc>
          <w:tcPr>
            <w:tcW w:w="2094" w:type="dxa"/>
            <w:noWrap/>
            <w:vAlign w:val="bottom"/>
            <w:hideMark/>
          </w:tcPr>
          <w:p w14:paraId="3BEF54DF" w14:textId="77777777" w:rsidR="0014270B" w:rsidRPr="004B2FDB" w:rsidRDefault="0014270B" w:rsidP="0014270B">
            <w:pPr>
              <w:jc w:val="center"/>
              <w:rPr>
                <w:color w:val="000000" w:themeColor="text1"/>
              </w:rPr>
            </w:pPr>
            <w:r w:rsidRPr="004B2FDB">
              <w:rPr>
                <w:color w:val="000000" w:themeColor="text1"/>
              </w:rPr>
              <w:t>468</w:t>
            </w:r>
          </w:p>
        </w:tc>
        <w:tc>
          <w:tcPr>
            <w:tcW w:w="3420" w:type="dxa"/>
            <w:noWrap/>
            <w:vAlign w:val="bottom"/>
            <w:hideMark/>
          </w:tcPr>
          <w:p w14:paraId="6797B2F8" w14:textId="77777777" w:rsidR="0014270B" w:rsidRPr="004B2FDB" w:rsidRDefault="0014270B" w:rsidP="0014270B">
            <w:pPr>
              <w:jc w:val="center"/>
              <w:rPr>
                <w:color w:val="000000" w:themeColor="text1"/>
              </w:rPr>
            </w:pPr>
          </w:p>
        </w:tc>
        <w:tc>
          <w:tcPr>
            <w:tcW w:w="2868" w:type="dxa"/>
            <w:noWrap/>
            <w:vAlign w:val="bottom"/>
            <w:hideMark/>
          </w:tcPr>
          <w:p w14:paraId="41B9CAA1" w14:textId="77777777" w:rsidR="0014270B" w:rsidRPr="004B2FDB" w:rsidRDefault="0014270B" w:rsidP="0014270B">
            <w:pPr>
              <w:jc w:val="center"/>
              <w:rPr>
                <w:color w:val="000000" w:themeColor="text1"/>
              </w:rPr>
            </w:pPr>
          </w:p>
        </w:tc>
      </w:tr>
      <w:tr w:rsidR="0014270B" w:rsidRPr="004B2FDB" w14:paraId="57C419A2" w14:textId="77777777" w:rsidTr="0014270B">
        <w:trPr>
          <w:trHeight w:val="215"/>
          <w:jc w:val="center"/>
        </w:trPr>
        <w:tc>
          <w:tcPr>
            <w:tcW w:w="865" w:type="dxa"/>
            <w:noWrap/>
            <w:vAlign w:val="bottom"/>
            <w:hideMark/>
          </w:tcPr>
          <w:p w14:paraId="71B0FCA6" w14:textId="77777777" w:rsidR="0014270B" w:rsidRPr="004B2FDB" w:rsidRDefault="0014270B" w:rsidP="0014270B">
            <w:pPr>
              <w:jc w:val="center"/>
              <w:rPr>
                <w:color w:val="000000" w:themeColor="text1"/>
              </w:rPr>
            </w:pPr>
            <w:r w:rsidRPr="004B2FDB">
              <w:rPr>
                <w:color w:val="000000" w:themeColor="text1"/>
              </w:rPr>
              <w:t>2016</w:t>
            </w:r>
          </w:p>
        </w:tc>
        <w:tc>
          <w:tcPr>
            <w:tcW w:w="2094" w:type="dxa"/>
            <w:noWrap/>
            <w:vAlign w:val="bottom"/>
            <w:hideMark/>
          </w:tcPr>
          <w:p w14:paraId="2DD956EE" w14:textId="77777777" w:rsidR="0014270B" w:rsidRPr="004B2FDB" w:rsidRDefault="0014270B" w:rsidP="0014270B">
            <w:pPr>
              <w:jc w:val="center"/>
              <w:rPr>
                <w:color w:val="000000" w:themeColor="text1"/>
              </w:rPr>
            </w:pPr>
            <w:r w:rsidRPr="004B2FDB">
              <w:rPr>
                <w:color w:val="000000" w:themeColor="text1"/>
              </w:rPr>
              <w:t>494</w:t>
            </w:r>
          </w:p>
        </w:tc>
        <w:tc>
          <w:tcPr>
            <w:tcW w:w="3420" w:type="dxa"/>
            <w:noWrap/>
            <w:vAlign w:val="bottom"/>
            <w:hideMark/>
          </w:tcPr>
          <w:p w14:paraId="05E8AE39" w14:textId="77777777" w:rsidR="0014270B" w:rsidRPr="004B2FDB" w:rsidRDefault="0014270B" w:rsidP="0014270B">
            <w:pPr>
              <w:jc w:val="center"/>
              <w:rPr>
                <w:color w:val="000000" w:themeColor="text1"/>
              </w:rPr>
            </w:pPr>
            <w:r w:rsidRPr="004B2FDB">
              <w:rPr>
                <w:color w:val="000000" w:themeColor="text1"/>
              </w:rPr>
              <w:t>496.67</w:t>
            </w:r>
          </w:p>
        </w:tc>
        <w:tc>
          <w:tcPr>
            <w:tcW w:w="2868" w:type="dxa"/>
            <w:noWrap/>
            <w:vAlign w:val="bottom"/>
            <w:hideMark/>
          </w:tcPr>
          <w:p w14:paraId="4A70784E" w14:textId="77777777" w:rsidR="0014270B" w:rsidRPr="004B2FDB" w:rsidRDefault="0014270B" w:rsidP="0014270B">
            <w:pPr>
              <w:jc w:val="center"/>
              <w:rPr>
                <w:color w:val="000000" w:themeColor="text1"/>
              </w:rPr>
            </w:pPr>
            <w:r w:rsidRPr="004B2FDB">
              <w:rPr>
                <w:color w:val="000000" w:themeColor="text1"/>
              </w:rPr>
              <w:t>-2.67</w:t>
            </w:r>
          </w:p>
        </w:tc>
      </w:tr>
      <w:tr w:rsidR="0014270B" w:rsidRPr="004B2FDB" w14:paraId="1114D955" w14:textId="77777777" w:rsidTr="0014270B">
        <w:trPr>
          <w:trHeight w:val="215"/>
          <w:jc w:val="center"/>
        </w:trPr>
        <w:tc>
          <w:tcPr>
            <w:tcW w:w="865" w:type="dxa"/>
            <w:noWrap/>
            <w:vAlign w:val="bottom"/>
            <w:hideMark/>
          </w:tcPr>
          <w:p w14:paraId="191838C4" w14:textId="77777777" w:rsidR="0014270B" w:rsidRPr="004B2FDB" w:rsidRDefault="0014270B" w:rsidP="0014270B">
            <w:pPr>
              <w:jc w:val="center"/>
              <w:rPr>
                <w:color w:val="000000" w:themeColor="text1"/>
              </w:rPr>
            </w:pPr>
            <w:r w:rsidRPr="004B2FDB">
              <w:rPr>
                <w:color w:val="000000" w:themeColor="text1"/>
              </w:rPr>
              <w:t>2017</w:t>
            </w:r>
          </w:p>
        </w:tc>
        <w:tc>
          <w:tcPr>
            <w:tcW w:w="2094" w:type="dxa"/>
            <w:noWrap/>
            <w:vAlign w:val="bottom"/>
            <w:hideMark/>
          </w:tcPr>
          <w:p w14:paraId="514673AB" w14:textId="77777777" w:rsidR="0014270B" w:rsidRPr="004B2FDB" w:rsidRDefault="0014270B" w:rsidP="0014270B">
            <w:pPr>
              <w:jc w:val="center"/>
              <w:rPr>
                <w:color w:val="000000" w:themeColor="text1"/>
              </w:rPr>
            </w:pPr>
            <w:r w:rsidRPr="004B2FDB">
              <w:rPr>
                <w:color w:val="000000" w:themeColor="text1"/>
              </w:rPr>
              <w:t>528</w:t>
            </w:r>
          </w:p>
        </w:tc>
        <w:tc>
          <w:tcPr>
            <w:tcW w:w="3420" w:type="dxa"/>
            <w:noWrap/>
            <w:vAlign w:val="bottom"/>
            <w:hideMark/>
          </w:tcPr>
          <w:p w14:paraId="16D0575E" w14:textId="77777777" w:rsidR="0014270B" w:rsidRPr="004B2FDB" w:rsidRDefault="0014270B" w:rsidP="0014270B">
            <w:pPr>
              <w:jc w:val="center"/>
              <w:rPr>
                <w:color w:val="000000" w:themeColor="text1"/>
              </w:rPr>
            </w:pPr>
            <w:r w:rsidRPr="004B2FDB">
              <w:rPr>
                <w:color w:val="000000" w:themeColor="text1"/>
              </w:rPr>
              <w:t>524.67</w:t>
            </w:r>
          </w:p>
        </w:tc>
        <w:tc>
          <w:tcPr>
            <w:tcW w:w="2868" w:type="dxa"/>
            <w:noWrap/>
            <w:vAlign w:val="bottom"/>
            <w:hideMark/>
          </w:tcPr>
          <w:p w14:paraId="51B4685F" w14:textId="77777777" w:rsidR="0014270B" w:rsidRPr="004B2FDB" w:rsidRDefault="0014270B" w:rsidP="0014270B">
            <w:pPr>
              <w:jc w:val="center"/>
              <w:rPr>
                <w:color w:val="000000" w:themeColor="text1"/>
              </w:rPr>
            </w:pPr>
            <w:r w:rsidRPr="004B2FDB">
              <w:rPr>
                <w:color w:val="000000" w:themeColor="text1"/>
              </w:rPr>
              <w:t>3.33</w:t>
            </w:r>
          </w:p>
        </w:tc>
      </w:tr>
      <w:tr w:rsidR="0014270B" w:rsidRPr="004B2FDB" w14:paraId="09634378" w14:textId="77777777" w:rsidTr="0014270B">
        <w:trPr>
          <w:trHeight w:val="169"/>
          <w:jc w:val="center"/>
        </w:trPr>
        <w:tc>
          <w:tcPr>
            <w:tcW w:w="865" w:type="dxa"/>
            <w:noWrap/>
            <w:vAlign w:val="bottom"/>
            <w:hideMark/>
          </w:tcPr>
          <w:p w14:paraId="67E25D08" w14:textId="77777777" w:rsidR="0014270B" w:rsidRPr="004B2FDB" w:rsidRDefault="0014270B" w:rsidP="0014270B">
            <w:pPr>
              <w:jc w:val="center"/>
              <w:rPr>
                <w:color w:val="000000" w:themeColor="text1"/>
              </w:rPr>
            </w:pPr>
            <w:r w:rsidRPr="004B2FDB">
              <w:rPr>
                <w:color w:val="000000" w:themeColor="text1"/>
              </w:rPr>
              <w:t>2018</w:t>
            </w:r>
          </w:p>
        </w:tc>
        <w:tc>
          <w:tcPr>
            <w:tcW w:w="2094" w:type="dxa"/>
            <w:noWrap/>
            <w:vAlign w:val="bottom"/>
            <w:hideMark/>
          </w:tcPr>
          <w:p w14:paraId="7217DCDC" w14:textId="77777777" w:rsidR="0014270B" w:rsidRPr="004B2FDB" w:rsidRDefault="0014270B" w:rsidP="0014270B">
            <w:pPr>
              <w:jc w:val="center"/>
              <w:rPr>
                <w:color w:val="000000" w:themeColor="text1"/>
              </w:rPr>
            </w:pPr>
            <w:r w:rsidRPr="004B2FDB">
              <w:rPr>
                <w:color w:val="000000" w:themeColor="text1"/>
              </w:rPr>
              <w:t>552</w:t>
            </w:r>
          </w:p>
        </w:tc>
        <w:tc>
          <w:tcPr>
            <w:tcW w:w="3420" w:type="dxa"/>
            <w:noWrap/>
            <w:vAlign w:val="bottom"/>
            <w:hideMark/>
          </w:tcPr>
          <w:p w14:paraId="1880E5C6" w14:textId="77777777" w:rsidR="0014270B" w:rsidRPr="004B2FDB" w:rsidRDefault="0014270B" w:rsidP="0014270B">
            <w:pPr>
              <w:jc w:val="center"/>
              <w:rPr>
                <w:color w:val="000000" w:themeColor="text1"/>
              </w:rPr>
            </w:pPr>
          </w:p>
        </w:tc>
        <w:tc>
          <w:tcPr>
            <w:tcW w:w="2868" w:type="dxa"/>
            <w:noWrap/>
            <w:vAlign w:val="bottom"/>
            <w:hideMark/>
          </w:tcPr>
          <w:p w14:paraId="23FBAE87" w14:textId="77777777" w:rsidR="0014270B" w:rsidRPr="004B2FDB" w:rsidRDefault="0014270B" w:rsidP="0014270B">
            <w:pPr>
              <w:jc w:val="center"/>
              <w:rPr>
                <w:color w:val="000000" w:themeColor="text1"/>
              </w:rPr>
            </w:pPr>
          </w:p>
        </w:tc>
      </w:tr>
      <w:tr w:rsidR="0014270B" w:rsidRPr="004B2FDB" w14:paraId="26763F25" w14:textId="77777777" w:rsidTr="0014270B">
        <w:trPr>
          <w:trHeight w:val="71"/>
          <w:jc w:val="center"/>
        </w:trPr>
        <w:tc>
          <w:tcPr>
            <w:tcW w:w="9247" w:type="dxa"/>
            <w:gridSpan w:val="4"/>
            <w:noWrap/>
            <w:vAlign w:val="bottom"/>
            <w:hideMark/>
          </w:tcPr>
          <w:p w14:paraId="401FFE94" w14:textId="77777777" w:rsidR="0014270B" w:rsidRPr="004B2FDB" w:rsidRDefault="0014270B" w:rsidP="0014270B">
            <w:pPr>
              <w:rPr>
                <w:color w:val="000000" w:themeColor="text1"/>
              </w:rPr>
            </w:pPr>
            <w:r w:rsidRPr="004B2FDB">
              <w:rPr>
                <w:color w:val="000000" w:themeColor="text1"/>
              </w:rPr>
              <w:t xml:space="preserve">Annual Average short-run variation (+&amp; - signs are </w:t>
            </w:r>
            <w:proofErr w:type="gramStart"/>
            <w:r w:rsidRPr="004B2FDB">
              <w:rPr>
                <w:color w:val="000000" w:themeColor="text1"/>
              </w:rPr>
              <w:t xml:space="preserve">ignored)   </w:t>
            </w:r>
            <w:proofErr w:type="gramEnd"/>
            <w:r w:rsidRPr="004B2FDB">
              <w:rPr>
                <w:color w:val="000000" w:themeColor="text1"/>
              </w:rPr>
              <w:t xml:space="preserve">                        </w:t>
            </w:r>
            <w:r>
              <w:rPr>
                <w:color w:val="000000" w:themeColor="text1"/>
              </w:rPr>
              <w:t xml:space="preserve">     </w:t>
            </w:r>
            <w:r w:rsidRPr="004B2FDB">
              <w:rPr>
                <w:color w:val="000000" w:themeColor="text1"/>
              </w:rPr>
              <w:t xml:space="preserve">   3.00</w:t>
            </w:r>
          </w:p>
        </w:tc>
      </w:tr>
    </w:tbl>
    <w:p w14:paraId="21613DF1" w14:textId="77777777" w:rsidR="00833F6F" w:rsidRDefault="00833F6F" w:rsidP="00380A21">
      <w:pPr>
        <w:rPr>
          <w:color w:val="000000" w:themeColor="text1"/>
        </w:rPr>
      </w:pPr>
    </w:p>
    <w:p w14:paraId="2A9215AD" w14:textId="77777777" w:rsidR="00643105" w:rsidRDefault="0014270B" w:rsidP="00380A21">
      <w:pPr>
        <w:rPr>
          <w:color w:val="000000"/>
          <w:sz w:val="24"/>
          <w:szCs w:val="24"/>
        </w:rPr>
      </w:pPr>
      <w:r>
        <w:rPr>
          <w:color w:val="000000" w:themeColor="text1"/>
        </w:rPr>
        <w:t xml:space="preserve">    </w:t>
      </w:r>
      <w:r w:rsidRPr="004B2FDB">
        <w:rPr>
          <w:color w:val="000000" w:themeColor="text1"/>
        </w:rPr>
        <w:t xml:space="preserve">  </w:t>
      </w:r>
      <w:r w:rsidR="00380A21">
        <w:rPr>
          <w:color w:val="000000" w:themeColor="text1"/>
        </w:rPr>
        <w:t xml:space="preserve">             </w:t>
      </w:r>
      <w:r>
        <w:rPr>
          <w:b/>
          <w:color w:val="000000" w:themeColor="text1"/>
        </w:rPr>
        <w:t>Fig-</w:t>
      </w:r>
      <w:r w:rsidRPr="004B2FDB">
        <w:rPr>
          <w:b/>
          <w:color w:val="000000" w:themeColor="text1"/>
        </w:rPr>
        <w:t>3:  Supply Trend Line of BCWs in Assam during 2015-2018:</w:t>
      </w:r>
    </w:p>
    <w:p w14:paraId="4156607E" w14:textId="77777777" w:rsidR="00643105" w:rsidRDefault="0014270B" w:rsidP="00380A21">
      <w:pPr>
        <w:pBdr>
          <w:top w:val="nil"/>
          <w:left w:val="nil"/>
          <w:bottom w:val="nil"/>
          <w:right w:val="nil"/>
          <w:between w:val="nil"/>
        </w:pBdr>
        <w:ind w:left="90"/>
        <w:jc w:val="both"/>
        <w:rPr>
          <w:color w:val="000000"/>
          <w:sz w:val="24"/>
          <w:szCs w:val="24"/>
        </w:rPr>
      </w:pPr>
      <w:r w:rsidRPr="0014270B">
        <w:rPr>
          <w:noProof/>
          <w:color w:val="000000"/>
          <w:sz w:val="24"/>
          <w:szCs w:val="24"/>
          <w:lang w:eastAsia="en-US"/>
        </w:rPr>
        <w:drawing>
          <wp:inline distT="0" distB="0" distL="0" distR="0" wp14:anchorId="6ACC176A" wp14:editId="32AB2895">
            <wp:extent cx="5828909" cy="1661747"/>
            <wp:effectExtent l="19050" t="0" r="19441"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C0A907" w14:textId="77777777" w:rsidR="00643105" w:rsidRDefault="00380A21" w:rsidP="00643105">
      <w:pPr>
        <w:pBdr>
          <w:top w:val="nil"/>
          <w:left w:val="nil"/>
          <w:bottom w:val="nil"/>
          <w:right w:val="nil"/>
          <w:between w:val="nil"/>
        </w:pBdr>
        <w:spacing w:before="146"/>
        <w:ind w:left="90"/>
        <w:jc w:val="both"/>
        <w:rPr>
          <w:color w:val="000000"/>
          <w:sz w:val="24"/>
          <w:szCs w:val="24"/>
        </w:rPr>
      </w:pPr>
      <w:r w:rsidRPr="004B2FDB">
        <w:rPr>
          <w:color w:val="000000" w:themeColor="text1"/>
        </w:rPr>
        <w:t>Based on the regression equation for the supply of BCWs</w:t>
      </w:r>
      <w:r>
        <w:rPr>
          <w:color w:val="000000" w:themeColor="text1"/>
        </w:rPr>
        <w:t xml:space="preserve"> in Assam (equation-</w:t>
      </w:r>
      <w:r w:rsidRPr="004B2FDB">
        <w:rPr>
          <w:color w:val="000000" w:themeColor="text1"/>
        </w:rPr>
        <w:t>4), the projected size of BCWs in Assam for upcoming years has been estimated as shown in table-</w:t>
      </w:r>
      <w:r w:rsidR="00422B0D">
        <w:rPr>
          <w:color w:val="000000" w:themeColor="text1"/>
        </w:rPr>
        <w:t>6</w:t>
      </w:r>
    </w:p>
    <w:p w14:paraId="5F21308E" w14:textId="77777777" w:rsidR="00380A21" w:rsidRPr="00380A21" w:rsidRDefault="00AC4F92" w:rsidP="00380A21">
      <w:pPr>
        <w:rPr>
          <w:b/>
          <w:color w:val="000000" w:themeColor="text1"/>
        </w:rPr>
      </w:pPr>
      <w:r w:rsidRPr="00380A21">
        <w:rPr>
          <w:color w:val="000000"/>
        </w:rPr>
        <w:t xml:space="preserve">            </w:t>
      </w:r>
      <w:r w:rsidR="00380A21">
        <w:rPr>
          <w:b/>
          <w:color w:val="000000" w:themeColor="text1"/>
        </w:rPr>
        <w:t>Table-7</w:t>
      </w:r>
      <w:r w:rsidR="00380A21" w:rsidRPr="00380A21">
        <w:rPr>
          <w:b/>
          <w:color w:val="000000" w:themeColor="text1"/>
        </w:rPr>
        <w:t>: Projected Volume of BCWs in Assam for future:</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443"/>
        <w:gridCol w:w="4384"/>
      </w:tblGrid>
      <w:tr w:rsidR="00380A21" w:rsidRPr="00380A21" w14:paraId="382A199B" w14:textId="77777777" w:rsidTr="00380A21">
        <w:trPr>
          <w:trHeight w:val="243"/>
        </w:trPr>
        <w:tc>
          <w:tcPr>
            <w:tcW w:w="2353" w:type="dxa"/>
            <w:noWrap/>
            <w:vAlign w:val="bottom"/>
            <w:hideMark/>
          </w:tcPr>
          <w:p w14:paraId="1750AE93" w14:textId="77777777" w:rsidR="00380A21" w:rsidRPr="00380A21" w:rsidRDefault="00380A21" w:rsidP="00380A21">
            <w:pPr>
              <w:jc w:val="center"/>
              <w:rPr>
                <w:b/>
                <w:bCs/>
                <w:color w:val="000000" w:themeColor="text1"/>
              </w:rPr>
            </w:pPr>
            <w:r w:rsidRPr="00380A21">
              <w:rPr>
                <w:b/>
                <w:bCs/>
                <w:color w:val="000000" w:themeColor="text1"/>
              </w:rPr>
              <w:t>Year(X)</w:t>
            </w:r>
          </w:p>
        </w:tc>
        <w:tc>
          <w:tcPr>
            <w:tcW w:w="2443" w:type="dxa"/>
            <w:noWrap/>
            <w:vAlign w:val="bottom"/>
            <w:hideMark/>
          </w:tcPr>
          <w:p w14:paraId="0D4601F7" w14:textId="77777777" w:rsidR="00380A21" w:rsidRPr="00380A21" w:rsidRDefault="00380A21" w:rsidP="00380A21">
            <w:pPr>
              <w:jc w:val="center"/>
              <w:rPr>
                <w:b/>
                <w:bCs/>
                <w:color w:val="000000" w:themeColor="text1"/>
              </w:rPr>
            </w:pPr>
            <w:r w:rsidRPr="00380A21">
              <w:rPr>
                <w:b/>
                <w:bCs/>
                <w:color w:val="000000" w:themeColor="text1"/>
              </w:rPr>
              <w:t>x=2*(X-2016.5)</w:t>
            </w:r>
          </w:p>
        </w:tc>
        <w:tc>
          <w:tcPr>
            <w:tcW w:w="4384" w:type="dxa"/>
            <w:noWrap/>
            <w:vAlign w:val="bottom"/>
            <w:hideMark/>
          </w:tcPr>
          <w:p w14:paraId="51C61BEC" w14:textId="77777777" w:rsidR="00380A21" w:rsidRPr="00380A21" w:rsidRDefault="00380A21" w:rsidP="00380A21">
            <w:pPr>
              <w:jc w:val="center"/>
              <w:rPr>
                <w:b/>
                <w:bCs/>
                <w:color w:val="000000" w:themeColor="text1"/>
              </w:rPr>
            </w:pPr>
            <w:r w:rsidRPr="00380A21">
              <w:rPr>
                <w:b/>
                <w:bCs/>
              </w:rPr>
              <w:t xml:space="preserve">Size of </w:t>
            </w:r>
            <w:proofErr w:type="gramStart"/>
            <w:r w:rsidRPr="00380A21">
              <w:rPr>
                <w:b/>
                <w:bCs/>
              </w:rPr>
              <w:t>BCWs( in</w:t>
            </w:r>
            <w:proofErr w:type="gramEnd"/>
            <w:r w:rsidRPr="00380A21">
              <w:rPr>
                <w:b/>
                <w:bCs/>
              </w:rPr>
              <w:t xml:space="preserve"> </w:t>
            </w:r>
            <w:proofErr w:type="spellStart"/>
            <w:r w:rsidRPr="00380A21">
              <w:rPr>
                <w:b/>
                <w:bCs/>
              </w:rPr>
              <w:t>nos</w:t>
            </w:r>
            <w:proofErr w:type="spellEnd"/>
            <w:r w:rsidRPr="00380A21">
              <w:rPr>
                <w:b/>
                <w:bCs/>
              </w:rPr>
              <w:t xml:space="preserve">) </w:t>
            </w:r>
          </w:p>
        </w:tc>
      </w:tr>
      <w:tr w:rsidR="00380A21" w:rsidRPr="00380A21" w14:paraId="5ABE816F" w14:textId="77777777" w:rsidTr="00380A21">
        <w:trPr>
          <w:trHeight w:val="171"/>
        </w:trPr>
        <w:tc>
          <w:tcPr>
            <w:tcW w:w="2353" w:type="dxa"/>
            <w:noWrap/>
            <w:vAlign w:val="bottom"/>
            <w:hideMark/>
          </w:tcPr>
          <w:p w14:paraId="4225263A" w14:textId="77777777" w:rsidR="00380A21" w:rsidRPr="00380A21" w:rsidRDefault="00380A21" w:rsidP="00380A21">
            <w:pPr>
              <w:jc w:val="center"/>
              <w:rPr>
                <w:color w:val="000000" w:themeColor="text1"/>
              </w:rPr>
            </w:pPr>
            <w:r w:rsidRPr="00380A21">
              <w:rPr>
                <w:color w:val="000000" w:themeColor="text1"/>
              </w:rPr>
              <w:t>2021</w:t>
            </w:r>
          </w:p>
        </w:tc>
        <w:tc>
          <w:tcPr>
            <w:tcW w:w="2443" w:type="dxa"/>
            <w:noWrap/>
            <w:vAlign w:val="bottom"/>
            <w:hideMark/>
          </w:tcPr>
          <w:p w14:paraId="26384D86" w14:textId="77777777" w:rsidR="00380A21" w:rsidRPr="00380A21" w:rsidRDefault="00380A21" w:rsidP="00380A21">
            <w:pPr>
              <w:jc w:val="center"/>
              <w:rPr>
                <w:color w:val="000000" w:themeColor="text1"/>
              </w:rPr>
            </w:pPr>
            <w:r w:rsidRPr="00380A21">
              <w:rPr>
                <w:color w:val="000000" w:themeColor="text1"/>
              </w:rPr>
              <w:t>9</w:t>
            </w:r>
          </w:p>
        </w:tc>
        <w:tc>
          <w:tcPr>
            <w:tcW w:w="4384" w:type="dxa"/>
            <w:noWrap/>
            <w:vAlign w:val="bottom"/>
            <w:hideMark/>
          </w:tcPr>
          <w:p w14:paraId="5902C7F9" w14:textId="77777777" w:rsidR="00380A21" w:rsidRPr="00380A21" w:rsidRDefault="00380A21" w:rsidP="00380A21">
            <w:pPr>
              <w:jc w:val="center"/>
              <w:rPr>
                <w:color w:val="000000" w:themeColor="text1"/>
              </w:rPr>
            </w:pPr>
            <w:r w:rsidRPr="00380A21">
              <w:rPr>
                <w:color w:val="000000" w:themeColor="text1"/>
              </w:rPr>
              <w:t>639200</w:t>
            </w:r>
          </w:p>
        </w:tc>
      </w:tr>
      <w:tr w:rsidR="00380A21" w:rsidRPr="00380A21" w14:paraId="784BEFAB" w14:textId="77777777" w:rsidTr="00380A21">
        <w:trPr>
          <w:trHeight w:val="180"/>
        </w:trPr>
        <w:tc>
          <w:tcPr>
            <w:tcW w:w="2353" w:type="dxa"/>
            <w:noWrap/>
            <w:vAlign w:val="bottom"/>
            <w:hideMark/>
          </w:tcPr>
          <w:p w14:paraId="59786154" w14:textId="77777777" w:rsidR="00380A21" w:rsidRPr="00380A21" w:rsidRDefault="00380A21" w:rsidP="00380A21">
            <w:pPr>
              <w:jc w:val="center"/>
              <w:rPr>
                <w:color w:val="000000" w:themeColor="text1"/>
              </w:rPr>
            </w:pPr>
            <w:r w:rsidRPr="00380A21">
              <w:rPr>
                <w:color w:val="000000" w:themeColor="text1"/>
              </w:rPr>
              <w:t>2022</w:t>
            </w:r>
          </w:p>
        </w:tc>
        <w:tc>
          <w:tcPr>
            <w:tcW w:w="2443" w:type="dxa"/>
            <w:noWrap/>
            <w:vAlign w:val="bottom"/>
            <w:hideMark/>
          </w:tcPr>
          <w:p w14:paraId="7A3AC3D4" w14:textId="77777777" w:rsidR="00380A21" w:rsidRPr="00380A21" w:rsidRDefault="00380A21" w:rsidP="00380A21">
            <w:pPr>
              <w:jc w:val="center"/>
              <w:rPr>
                <w:color w:val="000000" w:themeColor="text1"/>
              </w:rPr>
            </w:pPr>
            <w:r w:rsidRPr="00380A21">
              <w:rPr>
                <w:color w:val="000000" w:themeColor="text1"/>
              </w:rPr>
              <w:t>11</w:t>
            </w:r>
          </w:p>
        </w:tc>
        <w:tc>
          <w:tcPr>
            <w:tcW w:w="4384" w:type="dxa"/>
            <w:noWrap/>
            <w:vAlign w:val="bottom"/>
            <w:hideMark/>
          </w:tcPr>
          <w:p w14:paraId="3B77A6EF" w14:textId="77777777" w:rsidR="00380A21" w:rsidRPr="00380A21" w:rsidRDefault="00380A21" w:rsidP="00380A21">
            <w:pPr>
              <w:jc w:val="center"/>
              <w:rPr>
                <w:color w:val="000000" w:themeColor="text1"/>
              </w:rPr>
            </w:pPr>
            <w:r w:rsidRPr="00380A21">
              <w:rPr>
                <w:color w:val="000000" w:themeColor="text1"/>
              </w:rPr>
              <w:t>667800</w:t>
            </w:r>
          </w:p>
        </w:tc>
      </w:tr>
      <w:tr w:rsidR="00380A21" w:rsidRPr="00380A21" w14:paraId="02CE96FE" w14:textId="77777777" w:rsidTr="00380A21">
        <w:trPr>
          <w:trHeight w:val="108"/>
        </w:trPr>
        <w:tc>
          <w:tcPr>
            <w:tcW w:w="2353" w:type="dxa"/>
            <w:noWrap/>
            <w:vAlign w:val="bottom"/>
            <w:hideMark/>
          </w:tcPr>
          <w:p w14:paraId="143672F4" w14:textId="77777777" w:rsidR="00380A21" w:rsidRPr="00380A21" w:rsidRDefault="00380A21" w:rsidP="00380A21">
            <w:pPr>
              <w:jc w:val="center"/>
              <w:rPr>
                <w:color w:val="000000" w:themeColor="text1"/>
              </w:rPr>
            </w:pPr>
            <w:r w:rsidRPr="00380A21">
              <w:rPr>
                <w:color w:val="000000" w:themeColor="text1"/>
              </w:rPr>
              <w:t>2023</w:t>
            </w:r>
          </w:p>
        </w:tc>
        <w:tc>
          <w:tcPr>
            <w:tcW w:w="2443" w:type="dxa"/>
            <w:noWrap/>
            <w:vAlign w:val="bottom"/>
            <w:hideMark/>
          </w:tcPr>
          <w:p w14:paraId="07E4A9A0" w14:textId="77777777" w:rsidR="00380A21" w:rsidRPr="00380A21" w:rsidRDefault="00380A21" w:rsidP="00380A21">
            <w:pPr>
              <w:jc w:val="center"/>
              <w:rPr>
                <w:color w:val="000000" w:themeColor="text1"/>
              </w:rPr>
            </w:pPr>
            <w:r w:rsidRPr="00380A21">
              <w:rPr>
                <w:color w:val="000000" w:themeColor="text1"/>
              </w:rPr>
              <w:t>13</w:t>
            </w:r>
          </w:p>
        </w:tc>
        <w:tc>
          <w:tcPr>
            <w:tcW w:w="4384" w:type="dxa"/>
            <w:noWrap/>
            <w:vAlign w:val="bottom"/>
            <w:hideMark/>
          </w:tcPr>
          <w:p w14:paraId="6A4C0E54" w14:textId="77777777" w:rsidR="00380A21" w:rsidRPr="00380A21" w:rsidRDefault="00380A21" w:rsidP="00380A21">
            <w:pPr>
              <w:jc w:val="center"/>
              <w:rPr>
                <w:color w:val="000000" w:themeColor="text1"/>
              </w:rPr>
            </w:pPr>
            <w:r w:rsidRPr="00380A21">
              <w:rPr>
                <w:color w:val="000000" w:themeColor="text1"/>
              </w:rPr>
              <w:t>696400</w:t>
            </w:r>
          </w:p>
        </w:tc>
      </w:tr>
      <w:tr w:rsidR="00380A21" w:rsidRPr="00380A21" w14:paraId="46CBD834" w14:textId="77777777" w:rsidTr="00380A21">
        <w:trPr>
          <w:trHeight w:val="126"/>
        </w:trPr>
        <w:tc>
          <w:tcPr>
            <w:tcW w:w="2353" w:type="dxa"/>
            <w:noWrap/>
            <w:vAlign w:val="bottom"/>
            <w:hideMark/>
          </w:tcPr>
          <w:p w14:paraId="4A834605" w14:textId="77777777" w:rsidR="00380A21" w:rsidRPr="00380A21" w:rsidRDefault="00380A21" w:rsidP="00380A21">
            <w:pPr>
              <w:jc w:val="center"/>
              <w:rPr>
                <w:color w:val="000000" w:themeColor="text1"/>
              </w:rPr>
            </w:pPr>
            <w:r w:rsidRPr="00380A21">
              <w:rPr>
                <w:color w:val="000000" w:themeColor="text1"/>
              </w:rPr>
              <w:lastRenderedPageBreak/>
              <w:t>2024</w:t>
            </w:r>
          </w:p>
        </w:tc>
        <w:tc>
          <w:tcPr>
            <w:tcW w:w="2443" w:type="dxa"/>
            <w:noWrap/>
            <w:vAlign w:val="bottom"/>
            <w:hideMark/>
          </w:tcPr>
          <w:p w14:paraId="29220D0E" w14:textId="77777777" w:rsidR="00380A21" w:rsidRPr="00380A21" w:rsidRDefault="00380A21" w:rsidP="00380A21">
            <w:pPr>
              <w:jc w:val="center"/>
              <w:rPr>
                <w:color w:val="000000" w:themeColor="text1"/>
              </w:rPr>
            </w:pPr>
            <w:r w:rsidRPr="00380A21">
              <w:rPr>
                <w:color w:val="000000" w:themeColor="text1"/>
              </w:rPr>
              <w:t>15</w:t>
            </w:r>
          </w:p>
        </w:tc>
        <w:tc>
          <w:tcPr>
            <w:tcW w:w="4384" w:type="dxa"/>
            <w:noWrap/>
            <w:vAlign w:val="bottom"/>
            <w:hideMark/>
          </w:tcPr>
          <w:p w14:paraId="1A5B9766" w14:textId="77777777" w:rsidR="00380A21" w:rsidRPr="00380A21" w:rsidRDefault="00380A21" w:rsidP="00380A21">
            <w:pPr>
              <w:jc w:val="center"/>
              <w:rPr>
                <w:color w:val="000000" w:themeColor="text1"/>
              </w:rPr>
            </w:pPr>
            <w:r w:rsidRPr="00380A21">
              <w:rPr>
                <w:color w:val="000000" w:themeColor="text1"/>
              </w:rPr>
              <w:t>725000</w:t>
            </w:r>
          </w:p>
        </w:tc>
      </w:tr>
      <w:tr w:rsidR="00380A21" w:rsidRPr="00380A21" w14:paraId="211E8F0D" w14:textId="77777777" w:rsidTr="00380A21">
        <w:trPr>
          <w:trHeight w:val="144"/>
        </w:trPr>
        <w:tc>
          <w:tcPr>
            <w:tcW w:w="2353" w:type="dxa"/>
            <w:noWrap/>
            <w:vAlign w:val="bottom"/>
            <w:hideMark/>
          </w:tcPr>
          <w:p w14:paraId="15322CEB" w14:textId="77777777" w:rsidR="00380A21" w:rsidRPr="00380A21" w:rsidRDefault="00380A21" w:rsidP="00380A21">
            <w:pPr>
              <w:jc w:val="center"/>
              <w:rPr>
                <w:color w:val="000000" w:themeColor="text1"/>
              </w:rPr>
            </w:pPr>
            <w:r w:rsidRPr="00380A21">
              <w:rPr>
                <w:color w:val="000000" w:themeColor="text1"/>
              </w:rPr>
              <w:t>2025</w:t>
            </w:r>
          </w:p>
        </w:tc>
        <w:tc>
          <w:tcPr>
            <w:tcW w:w="2443" w:type="dxa"/>
            <w:noWrap/>
            <w:vAlign w:val="bottom"/>
            <w:hideMark/>
          </w:tcPr>
          <w:p w14:paraId="40F1E7AC" w14:textId="77777777" w:rsidR="00380A21" w:rsidRPr="00380A21" w:rsidRDefault="00380A21" w:rsidP="00380A21">
            <w:pPr>
              <w:jc w:val="center"/>
              <w:rPr>
                <w:color w:val="000000" w:themeColor="text1"/>
              </w:rPr>
            </w:pPr>
            <w:r w:rsidRPr="00380A21">
              <w:rPr>
                <w:color w:val="000000" w:themeColor="text1"/>
              </w:rPr>
              <w:t>17</w:t>
            </w:r>
          </w:p>
        </w:tc>
        <w:tc>
          <w:tcPr>
            <w:tcW w:w="4384" w:type="dxa"/>
            <w:noWrap/>
            <w:vAlign w:val="bottom"/>
            <w:hideMark/>
          </w:tcPr>
          <w:p w14:paraId="1B518315" w14:textId="77777777" w:rsidR="00380A21" w:rsidRPr="00380A21" w:rsidRDefault="00380A21" w:rsidP="00380A21">
            <w:pPr>
              <w:jc w:val="center"/>
              <w:rPr>
                <w:color w:val="000000" w:themeColor="text1"/>
              </w:rPr>
            </w:pPr>
            <w:r w:rsidRPr="00380A21">
              <w:rPr>
                <w:color w:val="000000" w:themeColor="text1"/>
              </w:rPr>
              <w:t>753600</w:t>
            </w:r>
          </w:p>
        </w:tc>
      </w:tr>
      <w:tr w:rsidR="00380A21" w:rsidRPr="00380A21" w14:paraId="33A42523" w14:textId="77777777" w:rsidTr="00380A21">
        <w:trPr>
          <w:trHeight w:val="171"/>
        </w:trPr>
        <w:tc>
          <w:tcPr>
            <w:tcW w:w="2353" w:type="dxa"/>
            <w:noWrap/>
            <w:vAlign w:val="bottom"/>
            <w:hideMark/>
          </w:tcPr>
          <w:p w14:paraId="2C62B812" w14:textId="77777777" w:rsidR="00380A21" w:rsidRPr="00380A21" w:rsidRDefault="00380A21" w:rsidP="00380A21">
            <w:pPr>
              <w:jc w:val="center"/>
              <w:rPr>
                <w:color w:val="000000" w:themeColor="text1"/>
              </w:rPr>
            </w:pPr>
            <w:r w:rsidRPr="00380A21">
              <w:rPr>
                <w:color w:val="000000" w:themeColor="text1"/>
              </w:rPr>
              <w:t>2026</w:t>
            </w:r>
          </w:p>
        </w:tc>
        <w:tc>
          <w:tcPr>
            <w:tcW w:w="2443" w:type="dxa"/>
            <w:noWrap/>
            <w:vAlign w:val="bottom"/>
            <w:hideMark/>
          </w:tcPr>
          <w:p w14:paraId="623C55EA" w14:textId="77777777" w:rsidR="00380A21" w:rsidRPr="00380A21" w:rsidRDefault="00380A21" w:rsidP="00380A21">
            <w:pPr>
              <w:jc w:val="center"/>
              <w:rPr>
                <w:color w:val="000000" w:themeColor="text1"/>
              </w:rPr>
            </w:pPr>
            <w:r w:rsidRPr="00380A21">
              <w:rPr>
                <w:color w:val="000000" w:themeColor="text1"/>
              </w:rPr>
              <w:t>19</w:t>
            </w:r>
          </w:p>
        </w:tc>
        <w:tc>
          <w:tcPr>
            <w:tcW w:w="4384" w:type="dxa"/>
            <w:noWrap/>
            <w:vAlign w:val="bottom"/>
            <w:hideMark/>
          </w:tcPr>
          <w:p w14:paraId="3FB8E7DF" w14:textId="77777777" w:rsidR="00380A21" w:rsidRPr="00380A21" w:rsidRDefault="00380A21" w:rsidP="00380A21">
            <w:pPr>
              <w:jc w:val="center"/>
              <w:rPr>
                <w:color w:val="000000" w:themeColor="text1"/>
              </w:rPr>
            </w:pPr>
            <w:r w:rsidRPr="00380A21">
              <w:rPr>
                <w:color w:val="000000" w:themeColor="text1"/>
              </w:rPr>
              <w:t>782200</w:t>
            </w:r>
          </w:p>
        </w:tc>
      </w:tr>
      <w:tr w:rsidR="00380A21" w:rsidRPr="00380A21" w14:paraId="7D07C7FB" w14:textId="77777777" w:rsidTr="00380A21">
        <w:trPr>
          <w:trHeight w:val="171"/>
        </w:trPr>
        <w:tc>
          <w:tcPr>
            <w:tcW w:w="2353" w:type="dxa"/>
            <w:noWrap/>
            <w:vAlign w:val="bottom"/>
            <w:hideMark/>
          </w:tcPr>
          <w:p w14:paraId="3B31825D" w14:textId="77777777" w:rsidR="00380A21" w:rsidRPr="00380A21" w:rsidRDefault="00380A21" w:rsidP="00380A21">
            <w:pPr>
              <w:jc w:val="center"/>
              <w:rPr>
                <w:color w:val="000000" w:themeColor="text1"/>
              </w:rPr>
            </w:pPr>
            <w:r w:rsidRPr="00380A21">
              <w:rPr>
                <w:color w:val="000000" w:themeColor="text1"/>
              </w:rPr>
              <w:t>2027</w:t>
            </w:r>
          </w:p>
        </w:tc>
        <w:tc>
          <w:tcPr>
            <w:tcW w:w="2443" w:type="dxa"/>
            <w:noWrap/>
            <w:vAlign w:val="bottom"/>
            <w:hideMark/>
          </w:tcPr>
          <w:p w14:paraId="7562EAAC" w14:textId="77777777" w:rsidR="00380A21" w:rsidRPr="00380A21" w:rsidRDefault="00380A21" w:rsidP="00380A21">
            <w:pPr>
              <w:jc w:val="center"/>
              <w:rPr>
                <w:color w:val="000000" w:themeColor="text1"/>
              </w:rPr>
            </w:pPr>
            <w:r w:rsidRPr="00380A21">
              <w:rPr>
                <w:color w:val="000000" w:themeColor="text1"/>
              </w:rPr>
              <w:t>21</w:t>
            </w:r>
          </w:p>
        </w:tc>
        <w:tc>
          <w:tcPr>
            <w:tcW w:w="4384" w:type="dxa"/>
            <w:noWrap/>
            <w:vAlign w:val="bottom"/>
            <w:hideMark/>
          </w:tcPr>
          <w:p w14:paraId="6ED1ADDC" w14:textId="77777777" w:rsidR="00380A21" w:rsidRPr="00380A21" w:rsidRDefault="00380A21" w:rsidP="00380A21">
            <w:pPr>
              <w:jc w:val="center"/>
              <w:rPr>
                <w:color w:val="000000" w:themeColor="text1"/>
              </w:rPr>
            </w:pPr>
            <w:r w:rsidRPr="00380A21">
              <w:rPr>
                <w:color w:val="000000" w:themeColor="text1"/>
              </w:rPr>
              <w:t>810800</w:t>
            </w:r>
          </w:p>
        </w:tc>
      </w:tr>
      <w:tr w:rsidR="00380A21" w:rsidRPr="00380A21" w14:paraId="55C600E6" w14:textId="77777777" w:rsidTr="00380A21">
        <w:trPr>
          <w:trHeight w:val="99"/>
        </w:trPr>
        <w:tc>
          <w:tcPr>
            <w:tcW w:w="2353" w:type="dxa"/>
            <w:noWrap/>
            <w:vAlign w:val="bottom"/>
            <w:hideMark/>
          </w:tcPr>
          <w:p w14:paraId="2E8FDA27" w14:textId="77777777" w:rsidR="00380A21" w:rsidRPr="00380A21" w:rsidRDefault="00380A21" w:rsidP="00380A21">
            <w:pPr>
              <w:jc w:val="center"/>
              <w:rPr>
                <w:color w:val="000000" w:themeColor="text1"/>
              </w:rPr>
            </w:pPr>
            <w:r w:rsidRPr="00380A21">
              <w:rPr>
                <w:color w:val="000000" w:themeColor="text1"/>
              </w:rPr>
              <w:t>2028</w:t>
            </w:r>
          </w:p>
        </w:tc>
        <w:tc>
          <w:tcPr>
            <w:tcW w:w="2443" w:type="dxa"/>
            <w:noWrap/>
            <w:vAlign w:val="bottom"/>
            <w:hideMark/>
          </w:tcPr>
          <w:p w14:paraId="5FB0C848" w14:textId="77777777" w:rsidR="00380A21" w:rsidRPr="00380A21" w:rsidRDefault="00380A21" w:rsidP="00380A21">
            <w:pPr>
              <w:jc w:val="center"/>
              <w:rPr>
                <w:color w:val="000000" w:themeColor="text1"/>
              </w:rPr>
            </w:pPr>
            <w:r w:rsidRPr="00380A21">
              <w:rPr>
                <w:color w:val="000000" w:themeColor="text1"/>
              </w:rPr>
              <w:t>23</w:t>
            </w:r>
          </w:p>
        </w:tc>
        <w:tc>
          <w:tcPr>
            <w:tcW w:w="4384" w:type="dxa"/>
            <w:noWrap/>
            <w:vAlign w:val="bottom"/>
            <w:hideMark/>
          </w:tcPr>
          <w:p w14:paraId="1C006240" w14:textId="77777777" w:rsidR="00380A21" w:rsidRPr="00380A21" w:rsidRDefault="00380A21" w:rsidP="00380A21">
            <w:pPr>
              <w:jc w:val="center"/>
              <w:rPr>
                <w:color w:val="000000" w:themeColor="text1"/>
              </w:rPr>
            </w:pPr>
            <w:r w:rsidRPr="00380A21">
              <w:rPr>
                <w:color w:val="000000" w:themeColor="text1"/>
              </w:rPr>
              <w:t>839400</w:t>
            </w:r>
          </w:p>
        </w:tc>
      </w:tr>
      <w:tr w:rsidR="00380A21" w:rsidRPr="00380A21" w14:paraId="6667334A" w14:textId="77777777" w:rsidTr="00380A21">
        <w:trPr>
          <w:trHeight w:val="90"/>
        </w:trPr>
        <w:tc>
          <w:tcPr>
            <w:tcW w:w="2353" w:type="dxa"/>
            <w:noWrap/>
            <w:vAlign w:val="bottom"/>
            <w:hideMark/>
          </w:tcPr>
          <w:p w14:paraId="281D549E" w14:textId="77777777" w:rsidR="00380A21" w:rsidRPr="00380A21" w:rsidRDefault="00380A21" w:rsidP="00380A21">
            <w:pPr>
              <w:jc w:val="center"/>
              <w:rPr>
                <w:color w:val="000000" w:themeColor="text1"/>
              </w:rPr>
            </w:pPr>
            <w:r w:rsidRPr="00380A21">
              <w:rPr>
                <w:color w:val="000000" w:themeColor="text1"/>
              </w:rPr>
              <w:t>2029</w:t>
            </w:r>
          </w:p>
        </w:tc>
        <w:tc>
          <w:tcPr>
            <w:tcW w:w="2443" w:type="dxa"/>
            <w:noWrap/>
            <w:vAlign w:val="bottom"/>
            <w:hideMark/>
          </w:tcPr>
          <w:p w14:paraId="0843FBCE" w14:textId="77777777" w:rsidR="00380A21" w:rsidRPr="00380A21" w:rsidRDefault="00380A21" w:rsidP="00380A21">
            <w:pPr>
              <w:jc w:val="center"/>
              <w:rPr>
                <w:color w:val="000000" w:themeColor="text1"/>
              </w:rPr>
            </w:pPr>
            <w:r w:rsidRPr="00380A21">
              <w:rPr>
                <w:color w:val="000000" w:themeColor="text1"/>
              </w:rPr>
              <w:t>25</w:t>
            </w:r>
          </w:p>
        </w:tc>
        <w:tc>
          <w:tcPr>
            <w:tcW w:w="4384" w:type="dxa"/>
            <w:noWrap/>
            <w:vAlign w:val="bottom"/>
            <w:hideMark/>
          </w:tcPr>
          <w:p w14:paraId="331FCF79" w14:textId="77777777" w:rsidR="00380A21" w:rsidRPr="00380A21" w:rsidRDefault="00380A21" w:rsidP="00380A21">
            <w:pPr>
              <w:jc w:val="center"/>
              <w:rPr>
                <w:color w:val="000000" w:themeColor="text1"/>
              </w:rPr>
            </w:pPr>
            <w:r w:rsidRPr="00380A21">
              <w:rPr>
                <w:color w:val="000000" w:themeColor="text1"/>
              </w:rPr>
              <w:t>868000</w:t>
            </w:r>
          </w:p>
        </w:tc>
      </w:tr>
      <w:tr w:rsidR="00380A21" w:rsidRPr="00380A21" w14:paraId="2B981163" w14:textId="77777777" w:rsidTr="00380A21">
        <w:trPr>
          <w:trHeight w:val="70"/>
        </w:trPr>
        <w:tc>
          <w:tcPr>
            <w:tcW w:w="2353" w:type="dxa"/>
            <w:noWrap/>
            <w:vAlign w:val="bottom"/>
            <w:hideMark/>
          </w:tcPr>
          <w:p w14:paraId="20279206" w14:textId="77777777" w:rsidR="00380A21" w:rsidRPr="00380A21" w:rsidRDefault="00380A21" w:rsidP="00380A21">
            <w:pPr>
              <w:jc w:val="center"/>
              <w:rPr>
                <w:color w:val="000000" w:themeColor="text1"/>
              </w:rPr>
            </w:pPr>
            <w:r w:rsidRPr="00380A21">
              <w:rPr>
                <w:color w:val="000000" w:themeColor="text1"/>
              </w:rPr>
              <w:t>2030</w:t>
            </w:r>
          </w:p>
        </w:tc>
        <w:tc>
          <w:tcPr>
            <w:tcW w:w="2443" w:type="dxa"/>
            <w:noWrap/>
            <w:vAlign w:val="bottom"/>
            <w:hideMark/>
          </w:tcPr>
          <w:p w14:paraId="2919B87D" w14:textId="77777777" w:rsidR="00380A21" w:rsidRPr="00380A21" w:rsidRDefault="00380A21" w:rsidP="00380A21">
            <w:pPr>
              <w:jc w:val="center"/>
              <w:rPr>
                <w:color w:val="000000" w:themeColor="text1"/>
              </w:rPr>
            </w:pPr>
            <w:r w:rsidRPr="00380A21">
              <w:rPr>
                <w:color w:val="000000" w:themeColor="text1"/>
              </w:rPr>
              <w:t>27</w:t>
            </w:r>
          </w:p>
        </w:tc>
        <w:tc>
          <w:tcPr>
            <w:tcW w:w="4384" w:type="dxa"/>
            <w:noWrap/>
            <w:vAlign w:val="bottom"/>
            <w:hideMark/>
          </w:tcPr>
          <w:p w14:paraId="5AC751C0" w14:textId="77777777" w:rsidR="00380A21" w:rsidRPr="00380A21" w:rsidRDefault="00380A21" w:rsidP="00380A21">
            <w:pPr>
              <w:jc w:val="center"/>
              <w:rPr>
                <w:color w:val="000000" w:themeColor="text1"/>
              </w:rPr>
            </w:pPr>
            <w:r w:rsidRPr="00380A21">
              <w:rPr>
                <w:color w:val="000000" w:themeColor="text1"/>
              </w:rPr>
              <w:t>896600</w:t>
            </w:r>
          </w:p>
        </w:tc>
      </w:tr>
    </w:tbl>
    <w:p w14:paraId="03DFC641" w14:textId="77777777" w:rsidR="00380A21" w:rsidRPr="00380A21" w:rsidRDefault="00380A21" w:rsidP="00380A21">
      <w:pPr>
        <w:autoSpaceDE w:val="0"/>
        <w:autoSpaceDN w:val="0"/>
        <w:adjustRightInd w:val="0"/>
        <w:jc w:val="both"/>
        <w:rPr>
          <w:b/>
          <w:color w:val="000000" w:themeColor="text1"/>
        </w:rPr>
      </w:pPr>
      <w:r w:rsidRPr="00380A21">
        <w:rPr>
          <w:b/>
          <w:bCs/>
          <w:color w:val="000000" w:themeColor="text1"/>
        </w:rPr>
        <w:t xml:space="preserve">  </w:t>
      </w:r>
      <w:r w:rsidRPr="00380A21">
        <w:t xml:space="preserve"> </w:t>
      </w:r>
      <w:r w:rsidR="00833F6F">
        <w:t xml:space="preserve">        </w:t>
      </w:r>
      <w:r w:rsidRPr="00380A21">
        <w:t xml:space="preserve"> Source: Projection based on regression equation </w:t>
      </w:r>
      <w:r w:rsidRPr="00380A21">
        <w:rPr>
          <w:b/>
          <w:bCs/>
          <w:color w:val="000000" w:themeColor="text1"/>
        </w:rPr>
        <w:t>Y</w:t>
      </w:r>
      <w:r w:rsidRPr="00380A21">
        <w:rPr>
          <w:b/>
          <w:bCs/>
          <w:color w:val="000000" w:themeColor="text1"/>
          <w:vertAlign w:val="subscript"/>
        </w:rPr>
        <w:t>e</w:t>
      </w:r>
      <w:r w:rsidRPr="00380A21">
        <w:rPr>
          <w:b/>
          <w:bCs/>
          <w:color w:val="000000" w:themeColor="text1"/>
        </w:rPr>
        <w:t>= 510500+ 14300x</w:t>
      </w:r>
    </w:p>
    <w:p w14:paraId="3AC5636F" w14:textId="77777777" w:rsidR="007A6641" w:rsidRDefault="007A6641" w:rsidP="00A35E38">
      <w:pPr>
        <w:spacing w:before="105"/>
        <w:rPr>
          <w:sz w:val="24"/>
          <w:szCs w:val="24"/>
        </w:rPr>
      </w:pPr>
      <w:r>
        <w:rPr>
          <w:sz w:val="24"/>
          <w:szCs w:val="24"/>
        </w:rPr>
        <w:t xml:space="preserve">      </w:t>
      </w:r>
    </w:p>
    <w:p w14:paraId="41847F87" w14:textId="77777777" w:rsidR="00366482" w:rsidRDefault="00380A21" w:rsidP="00380A21">
      <w:pPr>
        <w:pStyle w:val="ListParagraph"/>
        <w:numPr>
          <w:ilvl w:val="0"/>
          <w:numId w:val="7"/>
        </w:numPr>
        <w:jc w:val="both"/>
        <w:rPr>
          <w:b/>
          <w:sz w:val="24"/>
          <w:szCs w:val="24"/>
        </w:rPr>
      </w:pPr>
      <w:r w:rsidRPr="00380A21">
        <w:rPr>
          <w:b/>
          <w:sz w:val="24"/>
          <w:szCs w:val="24"/>
        </w:rPr>
        <w:t>For BCWs in the sample survey</w:t>
      </w:r>
      <w:r w:rsidR="00366482" w:rsidRPr="00380A21">
        <w:rPr>
          <w:b/>
          <w:sz w:val="24"/>
          <w:szCs w:val="24"/>
        </w:rPr>
        <w:t xml:space="preserve"> areas:</w:t>
      </w:r>
    </w:p>
    <w:p w14:paraId="131D2E98" w14:textId="77777777" w:rsidR="00380A21" w:rsidRPr="00380A21" w:rsidRDefault="00380A21" w:rsidP="00380A21">
      <w:pPr>
        <w:pStyle w:val="ListParagraph"/>
        <w:ind w:left="1080"/>
        <w:jc w:val="both"/>
        <w:rPr>
          <w:b/>
          <w:sz w:val="24"/>
          <w:szCs w:val="24"/>
        </w:rPr>
      </w:pPr>
    </w:p>
    <w:p w14:paraId="61913ACF" w14:textId="77777777" w:rsidR="00380A21" w:rsidRDefault="00380A21" w:rsidP="00380A21">
      <w:pPr>
        <w:pStyle w:val="ListParagraph"/>
        <w:autoSpaceDE w:val="0"/>
        <w:autoSpaceDN w:val="0"/>
        <w:adjustRightInd w:val="0"/>
        <w:spacing w:line="276" w:lineRule="auto"/>
        <w:ind w:left="180"/>
        <w:jc w:val="both"/>
        <w:rPr>
          <w:color w:val="000000" w:themeColor="text1"/>
          <w:sz w:val="24"/>
          <w:szCs w:val="24"/>
        </w:rPr>
      </w:pPr>
      <w:r>
        <w:rPr>
          <w:color w:val="000000" w:themeColor="text1"/>
          <w:sz w:val="24"/>
          <w:szCs w:val="24"/>
        </w:rPr>
        <w:t xml:space="preserve">            </w:t>
      </w:r>
      <w:r w:rsidRPr="00380A21">
        <w:rPr>
          <w:color w:val="000000" w:themeColor="text1"/>
          <w:sz w:val="24"/>
          <w:szCs w:val="24"/>
        </w:rPr>
        <w:t xml:space="preserve">Supply trend of BCWs in urban housing sector has been examined through the primary data collected from 30 </w:t>
      </w:r>
      <w:proofErr w:type="spellStart"/>
      <w:r w:rsidRPr="00380A21">
        <w:rPr>
          <w:color w:val="000000" w:themeColor="text1"/>
          <w:sz w:val="24"/>
          <w:szCs w:val="24"/>
        </w:rPr>
        <w:t>nos</w:t>
      </w:r>
      <w:proofErr w:type="spellEnd"/>
      <w:r w:rsidRPr="00380A21">
        <w:rPr>
          <w:color w:val="000000" w:themeColor="text1"/>
          <w:sz w:val="24"/>
          <w:szCs w:val="24"/>
        </w:rPr>
        <w:t xml:space="preserve"> of sample Class-I contractors/ Builders in 10 sample urban areas of Brahmaputra valley of Assam. </w:t>
      </w:r>
    </w:p>
    <w:p w14:paraId="1B89FCE1" w14:textId="77777777" w:rsidR="00380A21" w:rsidRDefault="00380A21" w:rsidP="00380A21">
      <w:pPr>
        <w:autoSpaceDE w:val="0"/>
        <w:autoSpaceDN w:val="0"/>
        <w:adjustRightInd w:val="0"/>
        <w:spacing w:before="120" w:line="276" w:lineRule="auto"/>
        <w:jc w:val="both"/>
        <w:rPr>
          <w:color w:val="000000" w:themeColor="text1"/>
          <w:sz w:val="24"/>
          <w:szCs w:val="24"/>
        </w:rPr>
      </w:pPr>
      <w:r>
        <w:rPr>
          <w:color w:val="000000" w:themeColor="text1"/>
          <w:sz w:val="24"/>
          <w:szCs w:val="24"/>
        </w:rPr>
        <w:t xml:space="preserve">             </w:t>
      </w:r>
      <w:r w:rsidRPr="004B2FDB">
        <w:rPr>
          <w:color w:val="000000" w:themeColor="text1"/>
          <w:sz w:val="24"/>
          <w:szCs w:val="24"/>
        </w:rPr>
        <w:t>The BCWs in the sample urban areas have been categorized into the two heads-</w:t>
      </w:r>
    </w:p>
    <w:p w14:paraId="17B709E0" w14:textId="77777777" w:rsidR="00380A21" w:rsidRDefault="00380A21" w:rsidP="00380A21">
      <w:pPr>
        <w:autoSpaceDE w:val="0"/>
        <w:autoSpaceDN w:val="0"/>
        <w:adjustRightInd w:val="0"/>
        <w:spacing w:before="120" w:line="276" w:lineRule="auto"/>
        <w:jc w:val="both"/>
        <w:rPr>
          <w:color w:val="000000" w:themeColor="text1"/>
          <w:sz w:val="24"/>
          <w:szCs w:val="24"/>
        </w:rPr>
      </w:pPr>
      <w:r>
        <w:rPr>
          <w:color w:val="000000" w:themeColor="text1"/>
          <w:sz w:val="24"/>
          <w:szCs w:val="24"/>
        </w:rPr>
        <w:t xml:space="preserve">             </w:t>
      </w:r>
      <w:proofErr w:type="spellStart"/>
      <w:r w:rsidRPr="004B2FDB">
        <w:rPr>
          <w:color w:val="000000" w:themeColor="text1"/>
          <w:sz w:val="24"/>
          <w:szCs w:val="24"/>
        </w:rPr>
        <w:t>i</w:t>
      </w:r>
      <w:proofErr w:type="spellEnd"/>
      <w:r w:rsidRPr="004B2FDB">
        <w:rPr>
          <w:color w:val="000000" w:themeColor="text1"/>
          <w:sz w:val="24"/>
          <w:szCs w:val="24"/>
        </w:rPr>
        <w:t>) Workers currently working in the construction sites, who are termed as the employed workers. Again, on the basis of nature of employment, the employed workers have been divided into two categories- Casual workers and Contractual workers</w:t>
      </w:r>
      <w:r>
        <w:rPr>
          <w:color w:val="000000" w:themeColor="text1"/>
          <w:sz w:val="24"/>
          <w:szCs w:val="24"/>
        </w:rPr>
        <w:t>.</w:t>
      </w:r>
    </w:p>
    <w:p w14:paraId="64028A73" w14:textId="77777777" w:rsidR="00380A21" w:rsidRPr="004B2FDB" w:rsidRDefault="00380A21" w:rsidP="00380A21">
      <w:pPr>
        <w:autoSpaceDE w:val="0"/>
        <w:autoSpaceDN w:val="0"/>
        <w:adjustRightInd w:val="0"/>
        <w:spacing w:before="120" w:line="276" w:lineRule="auto"/>
        <w:jc w:val="both"/>
        <w:rPr>
          <w:color w:val="000000" w:themeColor="text1"/>
          <w:sz w:val="24"/>
          <w:szCs w:val="24"/>
        </w:rPr>
      </w:pPr>
      <w:r>
        <w:rPr>
          <w:color w:val="000000" w:themeColor="text1"/>
          <w:sz w:val="24"/>
          <w:szCs w:val="24"/>
        </w:rPr>
        <w:t xml:space="preserve">          </w:t>
      </w:r>
      <w:r w:rsidR="00E94C9D">
        <w:rPr>
          <w:color w:val="000000" w:themeColor="text1"/>
          <w:sz w:val="24"/>
          <w:szCs w:val="24"/>
        </w:rPr>
        <w:t xml:space="preserve"> </w:t>
      </w:r>
      <w:r w:rsidRPr="004B2FDB">
        <w:rPr>
          <w:color w:val="000000" w:themeColor="text1"/>
          <w:sz w:val="24"/>
          <w:szCs w:val="24"/>
        </w:rPr>
        <w:t xml:space="preserve"> ii) Workers seeking jobs in construction sites, who are, in fact, the </w:t>
      </w:r>
      <w:r w:rsidR="00B31635" w:rsidRPr="004B2FDB">
        <w:rPr>
          <w:color w:val="000000" w:themeColor="text1"/>
          <w:sz w:val="24"/>
          <w:szCs w:val="24"/>
        </w:rPr>
        <w:t xml:space="preserve">unemployed. </w:t>
      </w:r>
      <w:r w:rsidRPr="004B2FDB">
        <w:rPr>
          <w:color w:val="000000" w:themeColor="text1"/>
          <w:sz w:val="24"/>
          <w:szCs w:val="24"/>
        </w:rPr>
        <w:t xml:space="preserve">Yoram Ben Porath has also estimated the supply of BCWs in sample areas of study applying similar formula </w:t>
      </w:r>
      <w:sdt>
        <w:sdtPr>
          <w:rPr>
            <w:color w:val="000000" w:themeColor="text1"/>
            <w:sz w:val="24"/>
            <w:szCs w:val="24"/>
          </w:rPr>
          <w:id w:val="42684399"/>
          <w:citation/>
        </w:sdtPr>
        <w:sdtEndPr/>
        <w:sdtContent>
          <w:r w:rsidR="00CC730B">
            <w:rPr>
              <w:color w:val="000000" w:themeColor="text1"/>
              <w:sz w:val="24"/>
              <w:szCs w:val="24"/>
            </w:rPr>
            <w:fldChar w:fldCharType="begin"/>
          </w:r>
          <w:r>
            <w:rPr>
              <w:color w:val="000000" w:themeColor="text1"/>
              <w:sz w:val="24"/>
              <w:szCs w:val="24"/>
            </w:rPr>
            <w:instrText xml:space="preserve"> CITATION Placeholder13 \l 1033  </w:instrText>
          </w:r>
          <w:r w:rsidR="00CC730B">
            <w:rPr>
              <w:color w:val="000000" w:themeColor="text1"/>
              <w:sz w:val="24"/>
              <w:szCs w:val="24"/>
            </w:rPr>
            <w:fldChar w:fldCharType="separate"/>
          </w:r>
          <w:r w:rsidRPr="00CE59DF">
            <w:rPr>
              <w:noProof/>
              <w:color w:val="000000" w:themeColor="text1"/>
              <w:sz w:val="24"/>
              <w:szCs w:val="24"/>
            </w:rPr>
            <w:t>(Porath, Labourforce paticipation rates and the supply of labour, 1973,pp.697-704)</w:t>
          </w:r>
          <w:r w:rsidR="00CC730B">
            <w:rPr>
              <w:color w:val="000000" w:themeColor="text1"/>
              <w:sz w:val="24"/>
              <w:szCs w:val="24"/>
            </w:rPr>
            <w:fldChar w:fldCharType="end"/>
          </w:r>
        </w:sdtContent>
      </w:sdt>
      <w:r w:rsidRPr="004B2FDB">
        <w:rPr>
          <w:color w:val="000000" w:themeColor="text1"/>
          <w:sz w:val="24"/>
          <w:szCs w:val="24"/>
        </w:rPr>
        <w:t>. According to him, in sample areas of study-</w:t>
      </w:r>
    </w:p>
    <w:p w14:paraId="508640D5" w14:textId="77777777" w:rsidR="00380A21" w:rsidRDefault="00380A21" w:rsidP="00380A21">
      <w:pPr>
        <w:autoSpaceDE w:val="0"/>
        <w:autoSpaceDN w:val="0"/>
        <w:adjustRightInd w:val="0"/>
        <w:spacing w:before="120" w:line="276" w:lineRule="auto"/>
        <w:ind w:firstLine="720"/>
        <w:jc w:val="both"/>
        <w:rPr>
          <w:color w:val="000000" w:themeColor="text1"/>
          <w:sz w:val="24"/>
          <w:szCs w:val="24"/>
        </w:rPr>
      </w:pPr>
      <w:r w:rsidRPr="004B2FDB">
        <w:rPr>
          <w:color w:val="000000" w:themeColor="text1"/>
          <w:sz w:val="24"/>
          <w:szCs w:val="24"/>
        </w:rPr>
        <w:t>Supply of BCWs= Number of workers currently working (employed workers) + Number of workers looking for works (unemployed workers)</w:t>
      </w:r>
      <w:r w:rsidRPr="004B2FDB">
        <w:rPr>
          <w:rStyle w:val="FootnoteReference"/>
          <w:color w:val="000000" w:themeColor="text1"/>
          <w:sz w:val="24"/>
          <w:szCs w:val="24"/>
        </w:rPr>
        <w:footnoteReference w:id="13"/>
      </w:r>
      <w:r w:rsidRPr="004B2FDB">
        <w:rPr>
          <w:color w:val="000000" w:themeColor="text1"/>
          <w:sz w:val="24"/>
          <w:szCs w:val="24"/>
        </w:rPr>
        <w:t>.</w:t>
      </w:r>
    </w:p>
    <w:p w14:paraId="49720A2A" w14:textId="77777777" w:rsidR="00D91E5B" w:rsidRPr="004B2FDB" w:rsidRDefault="002A2FD9" w:rsidP="002A2FD9">
      <w:pPr>
        <w:tabs>
          <w:tab w:val="left" w:pos="270"/>
        </w:tabs>
        <w:autoSpaceDE w:val="0"/>
        <w:autoSpaceDN w:val="0"/>
        <w:adjustRightInd w:val="0"/>
        <w:spacing w:before="120" w:line="276" w:lineRule="auto"/>
        <w:jc w:val="both"/>
        <w:rPr>
          <w:color w:val="000000" w:themeColor="text1"/>
          <w:sz w:val="24"/>
          <w:szCs w:val="24"/>
        </w:rPr>
      </w:pPr>
      <w:r>
        <w:rPr>
          <w:color w:val="000000" w:themeColor="text1"/>
          <w:sz w:val="24"/>
          <w:szCs w:val="24"/>
        </w:rPr>
        <w:t xml:space="preserve">          </w:t>
      </w:r>
      <w:r w:rsidR="004B0327">
        <w:rPr>
          <w:color w:val="000000" w:themeColor="text1"/>
          <w:sz w:val="24"/>
          <w:szCs w:val="24"/>
        </w:rPr>
        <w:t>T</w:t>
      </w:r>
      <w:r w:rsidR="00D91E5B" w:rsidRPr="004B2FDB">
        <w:rPr>
          <w:color w:val="000000" w:themeColor="text1"/>
          <w:sz w:val="24"/>
          <w:szCs w:val="24"/>
        </w:rPr>
        <w:t>he supply trend of BCWs</w:t>
      </w:r>
      <w:r>
        <w:rPr>
          <w:color w:val="000000" w:themeColor="text1"/>
          <w:sz w:val="24"/>
          <w:szCs w:val="24"/>
        </w:rPr>
        <w:t xml:space="preserve"> in the sample urban areas</w:t>
      </w:r>
      <w:r w:rsidR="00D91E5B" w:rsidRPr="004B2FDB">
        <w:rPr>
          <w:color w:val="000000" w:themeColor="text1"/>
          <w:sz w:val="24"/>
          <w:szCs w:val="24"/>
        </w:rPr>
        <w:t xml:space="preserve"> for the period of 2013-2019 has be</w:t>
      </w:r>
      <w:r>
        <w:rPr>
          <w:color w:val="000000" w:themeColor="text1"/>
          <w:sz w:val="24"/>
          <w:szCs w:val="24"/>
        </w:rPr>
        <w:t xml:space="preserve">en estimated </w:t>
      </w:r>
      <w:r w:rsidR="00D91E5B" w:rsidRPr="004B2FDB">
        <w:rPr>
          <w:color w:val="000000" w:themeColor="text1"/>
          <w:sz w:val="24"/>
          <w:szCs w:val="24"/>
        </w:rPr>
        <w:t>as follows-</w:t>
      </w:r>
    </w:p>
    <w:p w14:paraId="36FCBE7B" w14:textId="77777777" w:rsidR="00D91E5B" w:rsidRPr="004B2FDB" w:rsidRDefault="002A2FD9" w:rsidP="002A2FD9">
      <w:pPr>
        <w:tabs>
          <w:tab w:val="left" w:pos="270"/>
        </w:tabs>
        <w:autoSpaceDE w:val="0"/>
        <w:autoSpaceDN w:val="0"/>
        <w:adjustRightInd w:val="0"/>
        <w:spacing w:before="120" w:line="276" w:lineRule="auto"/>
        <w:ind w:left="270"/>
        <w:jc w:val="both"/>
        <w:rPr>
          <w:color w:val="000000" w:themeColor="text1"/>
          <w:sz w:val="24"/>
          <w:szCs w:val="24"/>
        </w:rPr>
      </w:pPr>
      <w:r>
        <w:rPr>
          <w:color w:val="000000" w:themeColor="text1"/>
          <w:sz w:val="24"/>
          <w:szCs w:val="24"/>
        </w:rPr>
        <w:t xml:space="preserve">                </w:t>
      </w:r>
      <w:r w:rsidR="00D91E5B" w:rsidRPr="004B2FDB">
        <w:rPr>
          <w:color w:val="000000" w:themeColor="text1"/>
          <w:sz w:val="24"/>
          <w:szCs w:val="24"/>
        </w:rPr>
        <w:t xml:space="preserve"> </w:t>
      </w:r>
      <w:r w:rsidR="00D91E5B" w:rsidRPr="004B2FDB">
        <w:rPr>
          <w:b/>
          <w:color w:val="000000" w:themeColor="text1"/>
          <w:sz w:val="24"/>
          <w:szCs w:val="24"/>
        </w:rPr>
        <w:t>Y</w:t>
      </w:r>
      <w:r w:rsidR="00D91E5B" w:rsidRPr="004B2FDB">
        <w:rPr>
          <w:b/>
          <w:color w:val="000000" w:themeColor="text1"/>
          <w:sz w:val="24"/>
          <w:szCs w:val="24"/>
          <w:vertAlign w:val="subscript"/>
        </w:rPr>
        <w:t xml:space="preserve">e </w:t>
      </w:r>
      <w:r w:rsidR="00D91E5B" w:rsidRPr="004B2FDB">
        <w:rPr>
          <w:b/>
          <w:color w:val="000000" w:themeColor="text1"/>
          <w:sz w:val="24"/>
          <w:szCs w:val="24"/>
        </w:rPr>
        <w:t>= 3130.857 + 157.7145(Equation-2.5)</w:t>
      </w:r>
      <w:r w:rsidR="00D91E5B" w:rsidRPr="004B2FDB">
        <w:rPr>
          <w:color w:val="000000" w:themeColor="text1"/>
          <w:sz w:val="24"/>
          <w:szCs w:val="24"/>
        </w:rPr>
        <w:t xml:space="preserve"> (for 3</w:t>
      </w:r>
      <w:r>
        <w:rPr>
          <w:color w:val="000000" w:themeColor="text1"/>
          <w:sz w:val="24"/>
          <w:szCs w:val="24"/>
        </w:rPr>
        <w:t xml:space="preserve">0 </w:t>
      </w:r>
      <w:proofErr w:type="spellStart"/>
      <w:r>
        <w:rPr>
          <w:color w:val="000000" w:themeColor="text1"/>
          <w:sz w:val="24"/>
          <w:szCs w:val="24"/>
        </w:rPr>
        <w:t>nos</w:t>
      </w:r>
      <w:proofErr w:type="spellEnd"/>
      <w:r>
        <w:rPr>
          <w:color w:val="000000" w:themeColor="text1"/>
          <w:sz w:val="24"/>
          <w:szCs w:val="24"/>
        </w:rPr>
        <w:t xml:space="preserve"> of </w:t>
      </w:r>
      <w:proofErr w:type="gramStart"/>
      <w:r>
        <w:rPr>
          <w:color w:val="000000" w:themeColor="text1"/>
          <w:sz w:val="24"/>
          <w:szCs w:val="24"/>
        </w:rPr>
        <w:t>employers)(</w:t>
      </w:r>
      <w:proofErr w:type="gramEnd"/>
      <w:r>
        <w:rPr>
          <w:color w:val="000000" w:themeColor="text1"/>
          <w:sz w:val="24"/>
          <w:szCs w:val="24"/>
        </w:rPr>
        <w:t>table-8</w:t>
      </w:r>
      <w:r w:rsidR="00D91E5B" w:rsidRPr="004B2FDB">
        <w:rPr>
          <w:color w:val="000000" w:themeColor="text1"/>
          <w:sz w:val="24"/>
          <w:szCs w:val="24"/>
        </w:rPr>
        <w:t xml:space="preserve">) </w:t>
      </w:r>
    </w:p>
    <w:p w14:paraId="19244AA1" w14:textId="77777777" w:rsidR="00D91E5B" w:rsidRPr="004B2FDB" w:rsidRDefault="00D91E5B" w:rsidP="002A2FD9">
      <w:pPr>
        <w:tabs>
          <w:tab w:val="left" w:pos="270"/>
        </w:tabs>
        <w:autoSpaceDE w:val="0"/>
        <w:autoSpaceDN w:val="0"/>
        <w:adjustRightInd w:val="0"/>
        <w:spacing w:before="120" w:line="276" w:lineRule="auto"/>
        <w:jc w:val="both"/>
        <w:rPr>
          <w:color w:val="000000" w:themeColor="text1"/>
          <w:sz w:val="24"/>
          <w:szCs w:val="24"/>
        </w:rPr>
      </w:pPr>
      <w:r w:rsidRPr="004B2FDB">
        <w:rPr>
          <w:color w:val="000000" w:themeColor="text1"/>
          <w:sz w:val="24"/>
          <w:szCs w:val="24"/>
        </w:rPr>
        <w:tab/>
      </w:r>
      <w:r w:rsidRPr="004B2FDB">
        <w:rPr>
          <w:color w:val="000000" w:themeColor="text1"/>
          <w:sz w:val="24"/>
          <w:szCs w:val="24"/>
        </w:rPr>
        <w:tab/>
        <w:t>Where, Ye=</w:t>
      </w:r>
      <w:r w:rsidRPr="004B2FDB">
        <w:rPr>
          <w:color w:val="000000" w:themeColor="text1"/>
          <w:sz w:val="24"/>
          <w:szCs w:val="24"/>
          <w:vertAlign w:val="subscript"/>
        </w:rPr>
        <w:t xml:space="preserve"> </w:t>
      </w:r>
      <w:r w:rsidRPr="004B2FDB">
        <w:rPr>
          <w:color w:val="000000" w:themeColor="text1"/>
          <w:sz w:val="24"/>
          <w:szCs w:val="24"/>
        </w:rPr>
        <w:t xml:space="preserve">the supply of the BCWs in the sample urban areas, and x= for time period. </w:t>
      </w:r>
    </w:p>
    <w:p w14:paraId="204FC314" w14:textId="77777777" w:rsidR="00380A21" w:rsidRPr="002A2FD9" w:rsidRDefault="00D91E5B" w:rsidP="006B3D15">
      <w:pPr>
        <w:tabs>
          <w:tab w:val="left" w:pos="270"/>
        </w:tabs>
        <w:autoSpaceDE w:val="0"/>
        <w:autoSpaceDN w:val="0"/>
        <w:adjustRightInd w:val="0"/>
        <w:spacing w:before="120" w:line="276" w:lineRule="auto"/>
        <w:jc w:val="both"/>
        <w:rPr>
          <w:sz w:val="24"/>
          <w:szCs w:val="24"/>
        </w:rPr>
      </w:pPr>
      <w:r w:rsidRPr="004B2FDB">
        <w:rPr>
          <w:color w:val="000000" w:themeColor="text1"/>
          <w:sz w:val="24"/>
          <w:szCs w:val="24"/>
        </w:rPr>
        <w:tab/>
      </w:r>
      <w:r w:rsidRPr="004B2FDB">
        <w:rPr>
          <w:color w:val="000000" w:themeColor="text1"/>
          <w:sz w:val="24"/>
          <w:szCs w:val="24"/>
        </w:rPr>
        <w:tab/>
        <w:t xml:space="preserve">The estimated values show that the intercept of the trend line (α) is 3130.857 and its slope (ß) is significantly as high as (+) 157.7145. This refers that the annual average increasing rate of BCWs in the sample urban areas for the period of 2013-2019 is ß= </w:t>
      </w:r>
      <w:r w:rsidRPr="002A2FD9">
        <w:rPr>
          <w:color w:val="000000" w:themeColor="text1"/>
          <w:sz w:val="24"/>
          <w:szCs w:val="24"/>
        </w:rPr>
        <w:t>157.7145.</w:t>
      </w:r>
    </w:p>
    <w:p w14:paraId="2EFB9FC6" w14:textId="77777777" w:rsidR="00D91E5B" w:rsidRDefault="00D91E5B" w:rsidP="00380A21">
      <w:pPr>
        <w:pStyle w:val="ListParagraph"/>
        <w:ind w:left="1080"/>
        <w:jc w:val="both"/>
        <w:rPr>
          <w:b/>
          <w:sz w:val="24"/>
          <w:szCs w:val="24"/>
        </w:rPr>
      </w:pPr>
    </w:p>
    <w:p w14:paraId="062D29AD" w14:textId="77777777" w:rsidR="002A2FD9" w:rsidRDefault="006B3D15" w:rsidP="004C6575">
      <w:pPr>
        <w:spacing w:line="276" w:lineRule="auto"/>
        <w:ind w:left="120"/>
        <w:jc w:val="both"/>
        <w:rPr>
          <w:sz w:val="24"/>
          <w:szCs w:val="24"/>
        </w:rPr>
      </w:pPr>
      <w:r>
        <w:rPr>
          <w:color w:val="000000" w:themeColor="text1"/>
          <w:sz w:val="24"/>
          <w:szCs w:val="24"/>
        </w:rPr>
        <w:t xml:space="preserve">      </w:t>
      </w:r>
      <w:r w:rsidR="005E6A16">
        <w:rPr>
          <w:color w:val="000000" w:themeColor="text1"/>
          <w:sz w:val="24"/>
          <w:szCs w:val="24"/>
        </w:rPr>
        <w:t xml:space="preserve"> </w:t>
      </w:r>
      <w:r>
        <w:rPr>
          <w:color w:val="000000" w:themeColor="text1"/>
          <w:sz w:val="24"/>
          <w:szCs w:val="24"/>
        </w:rPr>
        <w:t xml:space="preserve">  </w:t>
      </w:r>
      <w:r w:rsidR="004C6575">
        <w:rPr>
          <w:color w:val="000000" w:themeColor="text1"/>
          <w:sz w:val="24"/>
          <w:szCs w:val="24"/>
        </w:rPr>
        <w:t>O</w:t>
      </w:r>
      <w:r w:rsidR="002A2FD9">
        <w:rPr>
          <w:color w:val="000000" w:themeColor="text1"/>
          <w:sz w:val="24"/>
          <w:szCs w:val="24"/>
        </w:rPr>
        <w:t>n</w:t>
      </w:r>
      <w:r w:rsidR="00D91E5B" w:rsidRPr="004B2FDB">
        <w:rPr>
          <w:color w:val="000000" w:themeColor="text1"/>
          <w:sz w:val="24"/>
          <w:szCs w:val="24"/>
        </w:rPr>
        <w:t xml:space="preserve"> an annual average, the supply of BCWs in the sample urban areas has been increas</w:t>
      </w:r>
      <w:r w:rsidR="002A2FD9">
        <w:rPr>
          <w:color w:val="000000" w:themeColor="text1"/>
          <w:sz w:val="24"/>
          <w:szCs w:val="24"/>
        </w:rPr>
        <w:t xml:space="preserve">ing at a moderate rate of 5.15%, which </w:t>
      </w:r>
      <w:r w:rsidR="00D91E5B" w:rsidRPr="004B2FDB">
        <w:rPr>
          <w:color w:val="000000" w:themeColor="text1"/>
          <w:sz w:val="24"/>
          <w:szCs w:val="24"/>
        </w:rPr>
        <w:t>is slightly less than that of for the state</w:t>
      </w:r>
      <w:r w:rsidR="004C6575">
        <w:rPr>
          <w:color w:val="000000" w:themeColor="text1"/>
          <w:sz w:val="24"/>
          <w:szCs w:val="24"/>
        </w:rPr>
        <w:t xml:space="preserve"> during 2013-19</w:t>
      </w:r>
      <w:r w:rsidR="00D91E5B" w:rsidRPr="004B2FDB">
        <w:rPr>
          <w:color w:val="000000" w:themeColor="text1"/>
          <w:sz w:val="24"/>
          <w:szCs w:val="24"/>
        </w:rPr>
        <w:t xml:space="preserve">. </w:t>
      </w:r>
      <w:r w:rsidRPr="00366482">
        <w:rPr>
          <w:sz w:val="24"/>
          <w:szCs w:val="24"/>
        </w:rPr>
        <w:t xml:space="preserve">Against the supply of BCWs in sample areas (5.18%), the employment of the workers is found </w:t>
      </w:r>
      <w:r>
        <w:rPr>
          <w:color w:val="000000" w:themeColor="text1"/>
          <w:sz w:val="24"/>
          <w:szCs w:val="24"/>
        </w:rPr>
        <w:t>to</w:t>
      </w:r>
      <w:r w:rsidR="002A2FD9">
        <w:rPr>
          <w:sz w:val="24"/>
          <w:szCs w:val="24"/>
        </w:rPr>
        <w:t xml:space="preserve"> </w:t>
      </w:r>
      <w:r>
        <w:rPr>
          <w:sz w:val="24"/>
          <w:szCs w:val="24"/>
        </w:rPr>
        <w:t>increase</w:t>
      </w:r>
      <w:r w:rsidR="002A2FD9">
        <w:rPr>
          <w:sz w:val="24"/>
          <w:szCs w:val="24"/>
        </w:rPr>
        <w:t xml:space="preserve"> </w:t>
      </w:r>
      <w:r w:rsidR="002A2FD9" w:rsidRPr="00366482">
        <w:rPr>
          <w:sz w:val="24"/>
          <w:szCs w:val="24"/>
        </w:rPr>
        <w:t>at a lower rate of</w:t>
      </w:r>
      <w:r w:rsidR="002A2FD9">
        <w:rPr>
          <w:sz w:val="24"/>
          <w:szCs w:val="24"/>
        </w:rPr>
        <w:t xml:space="preserve"> 3.61%</w:t>
      </w:r>
      <w:r w:rsidR="002A2FD9" w:rsidRPr="00366482">
        <w:rPr>
          <w:sz w:val="24"/>
          <w:szCs w:val="24"/>
        </w:rPr>
        <w:t xml:space="preserve"> and unemployment at </w:t>
      </w:r>
      <w:r w:rsidR="002A2FD9">
        <w:rPr>
          <w:sz w:val="24"/>
          <w:szCs w:val="24"/>
        </w:rPr>
        <w:t>a higher rate of 16.91</w:t>
      </w:r>
      <w:r>
        <w:rPr>
          <w:sz w:val="24"/>
          <w:szCs w:val="24"/>
        </w:rPr>
        <w:t>%</w:t>
      </w:r>
      <w:r w:rsidR="002A2FD9" w:rsidRPr="00366482">
        <w:rPr>
          <w:sz w:val="24"/>
          <w:szCs w:val="24"/>
        </w:rPr>
        <w:t xml:space="preserve"> on an annual ave</w:t>
      </w:r>
      <w:r w:rsidR="002A2FD9">
        <w:rPr>
          <w:sz w:val="24"/>
          <w:szCs w:val="24"/>
        </w:rPr>
        <w:t>rage during 2013</w:t>
      </w:r>
      <w:r w:rsidR="002A2FD9" w:rsidRPr="00366482">
        <w:rPr>
          <w:sz w:val="24"/>
          <w:szCs w:val="24"/>
        </w:rPr>
        <w:t>-2019. Among the employed workers, number of workers on casual basis has been in an increasing trend and size of contract workers is increasing a</w:t>
      </w:r>
      <w:r w:rsidR="00D6448E">
        <w:rPr>
          <w:sz w:val="24"/>
          <w:szCs w:val="24"/>
        </w:rPr>
        <w:t>t much slower rate with a minor</w:t>
      </w:r>
      <w:r w:rsidR="002A2FD9" w:rsidRPr="00366482">
        <w:rPr>
          <w:sz w:val="24"/>
          <w:szCs w:val="24"/>
        </w:rPr>
        <w:t xml:space="preserve"> fluctu</w:t>
      </w:r>
      <w:r w:rsidR="002A2FD9">
        <w:rPr>
          <w:sz w:val="24"/>
          <w:szCs w:val="24"/>
        </w:rPr>
        <w:t>ation during the study period (table-8</w:t>
      </w:r>
      <w:r w:rsidR="002A2FD9" w:rsidRPr="00366482">
        <w:rPr>
          <w:sz w:val="24"/>
          <w:szCs w:val="24"/>
        </w:rPr>
        <w:t>).</w:t>
      </w:r>
      <w:r w:rsidR="002A2FD9">
        <w:rPr>
          <w:sz w:val="24"/>
          <w:szCs w:val="24"/>
        </w:rPr>
        <w:t xml:space="preserve">  </w:t>
      </w:r>
    </w:p>
    <w:p w14:paraId="0DA494E9" w14:textId="77777777" w:rsidR="00050C34" w:rsidRPr="00050C34" w:rsidRDefault="002A2FD9" w:rsidP="00833F6F">
      <w:pPr>
        <w:spacing w:before="33" w:line="276" w:lineRule="auto"/>
        <w:ind w:left="120"/>
        <w:jc w:val="both"/>
        <w:rPr>
          <w:b/>
          <w:sz w:val="24"/>
          <w:szCs w:val="24"/>
        </w:rPr>
      </w:pPr>
      <w:r>
        <w:rPr>
          <w:sz w:val="24"/>
          <w:szCs w:val="24"/>
        </w:rPr>
        <w:t xml:space="preserve">     </w:t>
      </w:r>
      <w:r w:rsidR="005E6A16">
        <w:rPr>
          <w:sz w:val="24"/>
          <w:szCs w:val="24"/>
        </w:rPr>
        <w:t xml:space="preserve">      </w:t>
      </w:r>
      <w:r>
        <w:rPr>
          <w:sz w:val="24"/>
          <w:szCs w:val="24"/>
        </w:rPr>
        <w:t xml:space="preserve">  </w:t>
      </w:r>
      <w:r w:rsidR="00D91E5B" w:rsidRPr="004B2FDB">
        <w:rPr>
          <w:color w:val="000000" w:themeColor="text1"/>
          <w:sz w:val="24"/>
          <w:szCs w:val="24"/>
        </w:rPr>
        <w:t xml:space="preserve"> </w:t>
      </w:r>
      <w:r w:rsidR="005E6A16">
        <w:rPr>
          <w:color w:val="000000" w:themeColor="text1"/>
          <w:sz w:val="24"/>
          <w:szCs w:val="24"/>
        </w:rPr>
        <w:t xml:space="preserve">  </w:t>
      </w:r>
      <w:r w:rsidR="00D91E5B" w:rsidRPr="004B2FDB">
        <w:rPr>
          <w:color w:val="000000" w:themeColor="text1"/>
          <w:sz w:val="24"/>
          <w:szCs w:val="24"/>
        </w:rPr>
        <w:t xml:space="preserve">The modestly upward sloping trend line for BCWs (the red line) indicates that the supply of BCWs in the sample urban </w:t>
      </w:r>
      <w:r w:rsidR="005E6A16">
        <w:rPr>
          <w:color w:val="000000" w:themeColor="text1"/>
          <w:sz w:val="24"/>
          <w:szCs w:val="24"/>
        </w:rPr>
        <w:t xml:space="preserve">areas is increasing </w:t>
      </w:r>
      <w:r w:rsidR="00833F6F">
        <w:rPr>
          <w:color w:val="000000" w:themeColor="text1"/>
          <w:sz w:val="24"/>
          <w:szCs w:val="24"/>
        </w:rPr>
        <w:t>moderately (</w:t>
      </w:r>
      <w:r w:rsidR="005E6A16">
        <w:rPr>
          <w:color w:val="000000" w:themeColor="text1"/>
          <w:sz w:val="24"/>
          <w:szCs w:val="24"/>
        </w:rPr>
        <w:t>Fig-5).T</w:t>
      </w:r>
      <w:r w:rsidR="00D91E5B" w:rsidRPr="004B2FDB">
        <w:rPr>
          <w:color w:val="000000" w:themeColor="text1"/>
          <w:sz w:val="24"/>
          <w:szCs w:val="24"/>
        </w:rPr>
        <w:t xml:space="preserve">here is a much small short-run fluctuation in the supply of BCWs in the sample urban areas </w:t>
      </w:r>
      <w:r w:rsidR="005E6A16">
        <w:rPr>
          <w:color w:val="000000" w:themeColor="text1"/>
          <w:sz w:val="24"/>
          <w:szCs w:val="24"/>
        </w:rPr>
        <w:t>.</w:t>
      </w:r>
      <w:r w:rsidR="00D91E5B" w:rsidRPr="004B2FDB">
        <w:rPr>
          <w:color w:val="000000" w:themeColor="text1"/>
          <w:sz w:val="24"/>
          <w:szCs w:val="24"/>
        </w:rPr>
        <w:t xml:space="preserve">On an average, the short-run variation in the supply of BCWs in the sample areas is found to be only 7.47 </w:t>
      </w:r>
      <w:proofErr w:type="spellStart"/>
      <w:r w:rsidR="00D91E5B" w:rsidRPr="004B2FDB">
        <w:rPr>
          <w:color w:val="000000" w:themeColor="text1"/>
          <w:sz w:val="24"/>
          <w:szCs w:val="24"/>
        </w:rPr>
        <w:t>nos</w:t>
      </w:r>
      <w:proofErr w:type="spellEnd"/>
      <w:r w:rsidR="00D91E5B" w:rsidRPr="004B2FDB">
        <w:rPr>
          <w:color w:val="000000" w:themeColor="text1"/>
          <w:sz w:val="24"/>
          <w:szCs w:val="24"/>
        </w:rPr>
        <w:t xml:space="preserve"> per year over the period of 2013-2019 (estimated </w:t>
      </w:r>
      <w:r w:rsidR="006B3D15" w:rsidRPr="004B2FDB">
        <w:rPr>
          <w:color w:val="000000" w:themeColor="text1"/>
          <w:sz w:val="24"/>
          <w:szCs w:val="24"/>
        </w:rPr>
        <w:t>from table</w:t>
      </w:r>
      <w:r w:rsidR="005E6A16">
        <w:rPr>
          <w:color w:val="000000" w:themeColor="text1"/>
          <w:sz w:val="24"/>
          <w:szCs w:val="24"/>
        </w:rPr>
        <w:t>-9</w:t>
      </w:r>
      <w:r w:rsidR="00D91E5B" w:rsidRPr="004B2FDB">
        <w:rPr>
          <w:color w:val="000000" w:themeColor="text1"/>
          <w:sz w:val="24"/>
          <w:szCs w:val="24"/>
        </w:rPr>
        <w:t>).</w:t>
      </w:r>
      <w:r w:rsidR="00366482">
        <w:rPr>
          <w:sz w:val="24"/>
          <w:szCs w:val="24"/>
        </w:rPr>
        <w:t xml:space="preserve">   </w:t>
      </w:r>
    </w:p>
    <w:p w14:paraId="7DF177EC" w14:textId="77777777" w:rsidR="006B3D15" w:rsidRPr="006B3D15" w:rsidRDefault="006B3D15" w:rsidP="006B3D15">
      <w:pPr>
        <w:autoSpaceDE w:val="0"/>
        <w:autoSpaceDN w:val="0"/>
        <w:adjustRightInd w:val="0"/>
        <w:jc w:val="both"/>
        <w:rPr>
          <w:b/>
          <w:color w:val="000000" w:themeColor="text1"/>
        </w:rPr>
      </w:pPr>
      <w:r>
        <w:rPr>
          <w:b/>
          <w:color w:val="000000" w:themeColor="text1"/>
        </w:rPr>
        <w:t xml:space="preserve">       Table-8</w:t>
      </w:r>
      <w:r w:rsidRPr="006B3D15">
        <w:rPr>
          <w:b/>
          <w:color w:val="000000" w:themeColor="text1"/>
        </w:rPr>
        <w:t xml:space="preserve">: Supply Trend of BCWs working under 30 </w:t>
      </w:r>
      <w:proofErr w:type="spellStart"/>
      <w:r w:rsidRPr="006B3D15">
        <w:rPr>
          <w:b/>
          <w:color w:val="000000" w:themeColor="text1"/>
        </w:rPr>
        <w:t>nos</w:t>
      </w:r>
      <w:proofErr w:type="spellEnd"/>
      <w:r w:rsidRPr="006B3D15">
        <w:rPr>
          <w:b/>
          <w:color w:val="000000" w:themeColor="text1"/>
        </w:rPr>
        <w:t xml:space="preserve"> of employers (2013 – 2019):</w:t>
      </w:r>
    </w:p>
    <w:tbl>
      <w:tblPr>
        <w:tblW w:w="9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935"/>
        <w:gridCol w:w="1405"/>
        <w:gridCol w:w="1530"/>
        <w:gridCol w:w="900"/>
        <w:gridCol w:w="810"/>
        <w:gridCol w:w="1350"/>
        <w:gridCol w:w="810"/>
        <w:gridCol w:w="1080"/>
        <w:gridCol w:w="859"/>
      </w:tblGrid>
      <w:tr w:rsidR="006B3D15" w:rsidRPr="006B3D15" w14:paraId="495C9873" w14:textId="77777777" w:rsidTr="006B3D15">
        <w:trPr>
          <w:trHeight w:val="152"/>
          <w:jc w:val="center"/>
        </w:trPr>
        <w:tc>
          <w:tcPr>
            <w:tcW w:w="935" w:type="dxa"/>
            <w:vMerge w:val="restart"/>
          </w:tcPr>
          <w:p w14:paraId="33928B4D"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Workers</w:t>
            </w:r>
          </w:p>
          <w:p w14:paraId="17F6D879" w14:textId="77777777" w:rsidR="006B3D15" w:rsidRPr="006B3D15" w:rsidRDefault="006B3D15" w:rsidP="006B3D15">
            <w:pPr>
              <w:autoSpaceDE w:val="0"/>
              <w:autoSpaceDN w:val="0"/>
              <w:adjustRightInd w:val="0"/>
              <w:ind w:left="270"/>
              <w:jc w:val="center"/>
              <w:rPr>
                <w:color w:val="000000" w:themeColor="text1"/>
              </w:rPr>
            </w:pPr>
          </w:p>
          <w:p w14:paraId="73DB6914"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Years</w:t>
            </w:r>
          </w:p>
        </w:tc>
        <w:tc>
          <w:tcPr>
            <w:tcW w:w="6805" w:type="dxa"/>
            <w:gridSpan w:val="6"/>
            <w:tcBorders>
              <w:bottom w:val="single" w:sz="4" w:space="0" w:color="auto"/>
            </w:tcBorders>
          </w:tcPr>
          <w:p w14:paraId="435B1D46"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 xml:space="preserve">Total </w:t>
            </w:r>
            <w:proofErr w:type="spellStart"/>
            <w:r w:rsidRPr="006B3D15">
              <w:rPr>
                <w:color w:val="000000" w:themeColor="text1"/>
              </w:rPr>
              <w:t>Labourforce</w:t>
            </w:r>
            <w:proofErr w:type="spellEnd"/>
          </w:p>
        </w:tc>
        <w:tc>
          <w:tcPr>
            <w:tcW w:w="1080" w:type="dxa"/>
            <w:vMerge w:val="restart"/>
          </w:tcPr>
          <w:p w14:paraId="197EEDC2"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Total supply of BCWs</w:t>
            </w:r>
          </w:p>
          <w:p w14:paraId="3573F176"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Col. 5+7</w:t>
            </w:r>
          </w:p>
        </w:tc>
        <w:tc>
          <w:tcPr>
            <w:tcW w:w="859" w:type="dxa"/>
            <w:vMerge w:val="restart"/>
          </w:tcPr>
          <w:p w14:paraId="3C03085F"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w:t>
            </w:r>
          </w:p>
          <w:p w14:paraId="5B64E972"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increase</w:t>
            </w:r>
          </w:p>
        </w:tc>
      </w:tr>
      <w:tr w:rsidR="006B3D15" w:rsidRPr="006B3D15" w14:paraId="5E78201A" w14:textId="77777777" w:rsidTr="006B3D15">
        <w:trPr>
          <w:trHeight w:val="203"/>
          <w:jc w:val="center"/>
        </w:trPr>
        <w:tc>
          <w:tcPr>
            <w:tcW w:w="935" w:type="dxa"/>
            <w:vMerge/>
          </w:tcPr>
          <w:p w14:paraId="00514C0C" w14:textId="77777777" w:rsidR="006B3D15" w:rsidRPr="006B3D15" w:rsidRDefault="006B3D15" w:rsidP="006B3D15">
            <w:pPr>
              <w:autoSpaceDE w:val="0"/>
              <w:autoSpaceDN w:val="0"/>
              <w:adjustRightInd w:val="0"/>
              <w:ind w:left="270"/>
              <w:jc w:val="center"/>
              <w:rPr>
                <w:color w:val="000000" w:themeColor="text1"/>
              </w:rPr>
            </w:pPr>
          </w:p>
        </w:tc>
        <w:tc>
          <w:tcPr>
            <w:tcW w:w="4645" w:type="dxa"/>
            <w:gridSpan w:val="4"/>
            <w:tcBorders>
              <w:top w:val="single" w:sz="4" w:space="0" w:color="auto"/>
              <w:bottom w:val="single" w:sz="4" w:space="0" w:color="auto"/>
              <w:right w:val="single" w:sz="4" w:space="0" w:color="auto"/>
            </w:tcBorders>
          </w:tcPr>
          <w:p w14:paraId="49DF1AC9"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 xml:space="preserve">Size </w:t>
            </w:r>
            <w:proofErr w:type="gramStart"/>
            <w:r w:rsidRPr="006B3D15">
              <w:rPr>
                <w:color w:val="000000" w:themeColor="text1"/>
              </w:rPr>
              <w:t>of  Employed</w:t>
            </w:r>
            <w:proofErr w:type="gramEnd"/>
            <w:r w:rsidRPr="006B3D15">
              <w:rPr>
                <w:color w:val="000000" w:themeColor="text1"/>
              </w:rPr>
              <w:t xml:space="preserve"> workers</w:t>
            </w:r>
          </w:p>
        </w:tc>
        <w:tc>
          <w:tcPr>
            <w:tcW w:w="1350" w:type="dxa"/>
            <w:vMerge w:val="restart"/>
            <w:tcBorders>
              <w:top w:val="single" w:sz="4" w:space="0" w:color="auto"/>
              <w:left w:val="single" w:sz="4" w:space="0" w:color="auto"/>
              <w:right w:val="single" w:sz="4" w:space="0" w:color="auto"/>
            </w:tcBorders>
          </w:tcPr>
          <w:p w14:paraId="0F13743B"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 xml:space="preserve">Size of workers seeking jobs </w:t>
            </w:r>
          </w:p>
        </w:tc>
        <w:tc>
          <w:tcPr>
            <w:tcW w:w="810" w:type="dxa"/>
            <w:vMerge w:val="restart"/>
            <w:tcBorders>
              <w:top w:val="single" w:sz="4" w:space="0" w:color="auto"/>
              <w:left w:val="single" w:sz="4" w:space="0" w:color="auto"/>
            </w:tcBorders>
          </w:tcPr>
          <w:p w14:paraId="785EA9D0"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 change</w:t>
            </w:r>
          </w:p>
        </w:tc>
        <w:tc>
          <w:tcPr>
            <w:tcW w:w="1080" w:type="dxa"/>
            <w:vMerge/>
          </w:tcPr>
          <w:p w14:paraId="62A57B1C" w14:textId="77777777" w:rsidR="006B3D15" w:rsidRPr="006B3D15" w:rsidRDefault="006B3D15" w:rsidP="006B3D15">
            <w:pPr>
              <w:autoSpaceDE w:val="0"/>
              <w:autoSpaceDN w:val="0"/>
              <w:adjustRightInd w:val="0"/>
              <w:ind w:left="270"/>
              <w:jc w:val="center"/>
              <w:rPr>
                <w:color w:val="000000" w:themeColor="text1"/>
              </w:rPr>
            </w:pPr>
          </w:p>
        </w:tc>
        <w:tc>
          <w:tcPr>
            <w:tcW w:w="859" w:type="dxa"/>
            <w:vMerge/>
          </w:tcPr>
          <w:p w14:paraId="0170C667" w14:textId="77777777" w:rsidR="006B3D15" w:rsidRPr="006B3D15" w:rsidRDefault="006B3D15" w:rsidP="006B3D15">
            <w:pPr>
              <w:autoSpaceDE w:val="0"/>
              <w:autoSpaceDN w:val="0"/>
              <w:adjustRightInd w:val="0"/>
              <w:ind w:left="270"/>
              <w:jc w:val="center"/>
              <w:rPr>
                <w:color w:val="000000" w:themeColor="text1"/>
              </w:rPr>
            </w:pPr>
          </w:p>
        </w:tc>
      </w:tr>
      <w:tr w:rsidR="006B3D15" w:rsidRPr="006B3D15" w14:paraId="16ED529E" w14:textId="77777777" w:rsidTr="006B3D15">
        <w:trPr>
          <w:trHeight w:val="386"/>
          <w:jc w:val="center"/>
        </w:trPr>
        <w:tc>
          <w:tcPr>
            <w:tcW w:w="935" w:type="dxa"/>
            <w:vMerge/>
          </w:tcPr>
          <w:p w14:paraId="4174789D" w14:textId="77777777" w:rsidR="006B3D15" w:rsidRPr="006B3D15" w:rsidRDefault="006B3D15" w:rsidP="006B3D15">
            <w:pPr>
              <w:autoSpaceDE w:val="0"/>
              <w:autoSpaceDN w:val="0"/>
              <w:adjustRightInd w:val="0"/>
              <w:ind w:left="270"/>
              <w:jc w:val="center"/>
              <w:rPr>
                <w:color w:val="000000" w:themeColor="text1"/>
              </w:rPr>
            </w:pPr>
          </w:p>
        </w:tc>
        <w:tc>
          <w:tcPr>
            <w:tcW w:w="1405" w:type="dxa"/>
            <w:tcBorders>
              <w:top w:val="single" w:sz="4" w:space="0" w:color="auto"/>
              <w:right w:val="single" w:sz="4" w:space="0" w:color="auto"/>
            </w:tcBorders>
          </w:tcPr>
          <w:p w14:paraId="2C43E4F2" w14:textId="77777777" w:rsidR="006B3D15" w:rsidRPr="006B3D15" w:rsidRDefault="006B3D15" w:rsidP="006B3D15">
            <w:pPr>
              <w:autoSpaceDE w:val="0"/>
              <w:autoSpaceDN w:val="0"/>
              <w:adjustRightInd w:val="0"/>
              <w:rPr>
                <w:color w:val="000000" w:themeColor="text1"/>
              </w:rPr>
            </w:pPr>
            <w:r w:rsidRPr="006B3D15">
              <w:rPr>
                <w:color w:val="000000" w:themeColor="text1"/>
              </w:rPr>
              <w:t>Size of Casual workers</w:t>
            </w:r>
          </w:p>
        </w:tc>
        <w:tc>
          <w:tcPr>
            <w:tcW w:w="1530" w:type="dxa"/>
            <w:tcBorders>
              <w:top w:val="single" w:sz="4" w:space="0" w:color="auto"/>
              <w:right w:val="single" w:sz="4" w:space="0" w:color="auto"/>
            </w:tcBorders>
          </w:tcPr>
          <w:p w14:paraId="43B2DD73"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Size of contract workers</w:t>
            </w:r>
          </w:p>
        </w:tc>
        <w:tc>
          <w:tcPr>
            <w:tcW w:w="900" w:type="dxa"/>
            <w:tcBorders>
              <w:top w:val="single" w:sz="4" w:space="0" w:color="auto"/>
              <w:right w:val="single" w:sz="4" w:space="0" w:color="auto"/>
            </w:tcBorders>
          </w:tcPr>
          <w:p w14:paraId="3FE64DD5"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Total</w:t>
            </w:r>
          </w:p>
          <w:p w14:paraId="0144C20B"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Col.3+4</w:t>
            </w:r>
          </w:p>
        </w:tc>
        <w:tc>
          <w:tcPr>
            <w:tcW w:w="810" w:type="dxa"/>
            <w:tcBorders>
              <w:top w:val="single" w:sz="4" w:space="0" w:color="auto"/>
              <w:right w:val="single" w:sz="4" w:space="0" w:color="auto"/>
            </w:tcBorders>
          </w:tcPr>
          <w:p w14:paraId="45D4D56C"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 change</w:t>
            </w:r>
          </w:p>
        </w:tc>
        <w:tc>
          <w:tcPr>
            <w:tcW w:w="1350" w:type="dxa"/>
            <w:vMerge/>
            <w:tcBorders>
              <w:left w:val="single" w:sz="4" w:space="0" w:color="auto"/>
              <w:right w:val="single" w:sz="4" w:space="0" w:color="auto"/>
            </w:tcBorders>
          </w:tcPr>
          <w:p w14:paraId="110C5745" w14:textId="77777777" w:rsidR="006B3D15" w:rsidRPr="006B3D15" w:rsidRDefault="006B3D15" w:rsidP="006B3D15">
            <w:pPr>
              <w:autoSpaceDE w:val="0"/>
              <w:autoSpaceDN w:val="0"/>
              <w:adjustRightInd w:val="0"/>
              <w:ind w:left="270"/>
              <w:jc w:val="center"/>
              <w:rPr>
                <w:color w:val="000000" w:themeColor="text1"/>
              </w:rPr>
            </w:pPr>
          </w:p>
        </w:tc>
        <w:tc>
          <w:tcPr>
            <w:tcW w:w="810" w:type="dxa"/>
            <w:vMerge/>
            <w:tcBorders>
              <w:left w:val="single" w:sz="4" w:space="0" w:color="auto"/>
            </w:tcBorders>
          </w:tcPr>
          <w:p w14:paraId="217CB880" w14:textId="77777777" w:rsidR="006B3D15" w:rsidRPr="006B3D15" w:rsidRDefault="006B3D15" w:rsidP="006B3D15">
            <w:pPr>
              <w:autoSpaceDE w:val="0"/>
              <w:autoSpaceDN w:val="0"/>
              <w:adjustRightInd w:val="0"/>
              <w:ind w:left="270"/>
              <w:jc w:val="center"/>
              <w:rPr>
                <w:color w:val="000000" w:themeColor="text1"/>
              </w:rPr>
            </w:pPr>
          </w:p>
        </w:tc>
        <w:tc>
          <w:tcPr>
            <w:tcW w:w="1080" w:type="dxa"/>
            <w:vMerge/>
          </w:tcPr>
          <w:p w14:paraId="48BED673" w14:textId="77777777" w:rsidR="006B3D15" w:rsidRPr="006B3D15" w:rsidRDefault="006B3D15" w:rsidP="006B3D15">
            <w:pPr>
              <w:autoSpaceDE w:val="0"/>
              <w:autoSpaceDN w:val="0"/>
              <w:adjustRightInd w:val="0"/>
              <w:ind w:left="270"/>
              <w:jc w:val="center"/>
              <w:rPr>
                <w:color w:val="000000" w:themeColor="text1"/>
              </w:rPr>
            </w:pPr>
          </w:p>
        </w:tc>
        <w:tc>
          <w:tcPr>
            <w:tcW w:w="859" w:type="dxa"/>
            <w:vMerge/>
          </w:tcPr>
          <w:p w14:paraId="5C35CC59" w14:textId="77777777" w:rsidR="006B3D15" w:rsidRPr="006B3D15" w:rsidRDefault="006B3D15" w:rsidP="006B3D15">
            <w:pPr>
              <w:autoSpaceDE w:val="0"/>
              <w:autoSpaceDN w:val="0"/>
              <w:adjustRightInd w:val="0"/>
              <w:ind w:left="270"/>
              <w:jc w:val="center"/>
              <w:rPr>
                <w:color w:val="000000" w:themeColor="text1"/>
              </w:rPr>
            </w:pPr>
          </w:p>
        </w:tc>
      </w:tr>
      <w:tr w:rsidR="006B3D15" w:rsidRPr="006B3D15" w14:paraId="5CA53369" w14:textId="77777777" w:rsidTr="006B3D15">
        <w:trPr>
          <w:jc w:val="center"/>
        </w:trPr>
        <w:tc>
          <w:tcPr>
            <w:tcW w:w="935" w:type="dxa"/>
          </w:tcPr>
          <w:p w14:paraId="29873A89"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2013</w:t>
            </w:r>
          </w:p>
        </w:tc>
        <w:tc>
          <w:tcPr>
            <w:tcW w:w="1405" w:type="dxa"/>
            <w:tcBorders>
              <w:right w:val="single" w:sz="4" w:space="0" w:color="auto"/>
            </w:tcBorders>
          </w:tcPr>
          <w:p w14:paraId="43DD6A05"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1950</w:t>
            </w:r>
          </w:p>
        </w:tc>
        <w:tc>
          <w:tcPr>
            <w:tcW w:w="1530" w:type="dxa"/>
            <w:tcBorders>
              <w:right w:val="single" w:sz="4" w:space="0" w:color="auto"/>
            </w:tcBorders>
          </w:tcPr>
          <w:p w14:paraId="203909E6"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488</w:t>
            </w:r>
          </w:p>
        </w:tc>
        <w:tc>
          <w:tcPr>
            <w:tcW w:w="900" w:type="dxa"/>
            <w:tcBorders>
              <w:right w:val="single" w:sz="4" w:space="0" w:color="auto"/>
            </w:tcBorders>
          </w:tcPr>
          <w:p w14:paraId="473D8C5A"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2438</w:t>
            </w:r>
          </w:p>
        </w:tc>
        <w:tc>
          <w:tcPr>
            <w:tcW w:w="810" w:type="dxa"/>
            <w:tcBorders>
              <w:right w:val="single" w:sz="4" w:space="0" w:color="auto"/>
            </w:tcBorders>
          </w:tcPr>
          <w:p w14:paraId="1F3E43B2"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w:t>
            </w:r>
          </w:p>
        </w:tc>
        <w:tc>
          <w:tcPr>
            <w:tcW w:w="1350" w:type="dxa"/>
            <w:tcBorders>
              <w:left w:val="single" w:sz="4" w:space="0" w:color="auto"/>
              <w:right w:val="single" w:sz="4" w:space="0" w:color="auto"/>
            </w:tcBorders>
          </w:tcPr>
          <w:p w14:paraId="32B7C5D4"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228</w:t>
            </w:r>
          </w:p>
        </w:tc>
        <w:tc>
          <w:tcPr>
            <w:tcW w:w="810" w:type="dxa"/>
            <w:tcBorders>
              <w:left w:val="single" w:sz="4" w:space="0" w:color="auto"/>
            </w:tcBorders>
          </w:tcPr>
          <w:p w14:paraId="4F2D1867"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w:t>
            </w:r>
          </w:p>
        </w:tc>
        <w:tc>
          <w:tcPr>
            <w:tcW w:w="1080" w:type="dxa"/>
          </w:tcPr>
          <w:p w14:paraId="100DFEB6"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2666</w:t>
            </w:r>
          </w:p>
        </w:tc>
        <w:tc>
          <w:tcPr>
            <w:tcW w:w="859" w:type="dxa"/>
          </w:tcPr>
          <w:p w14:paraId="03F1570D"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w:t>
            </w:r>
          </w:p>
        </w:tc>
      </w:tr>
      <w:tr w:rsidR="006B3D15" w:rsidRPr="006B3D15" w14:paraId="588005E8" w14:textId="77777777" w:rsidTr="006B3D15">
        <w:trPr>
          <w:trHeight w:val="215"/>
          <w:jc w:val="center"/>
        </w:trPr>
        <w:tc>
          <w:tcPr>
            <w:tcW w:w="935" w:type="dxa"/>
          </w:tcPr>
          <w:p w14:paraId="48B22AFF"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2014</w:t>
            </w:r>
          </w:p>
        </w:tc>
        <w:tc>
          <w:tcPr>
            <w:tcW w:w="1405" w:type="dxa"/>
            <w:tcBorders>
              <w:right w:val="single" w:sz="4" w:space="0" w:color="auto"/>
            </w:tcBorders>
          </w:tcPr>
          <w:p w14:paraId="76284908"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2046</w:t>
            </w:r>
          </w:p>
        </w:tc>
        <w:tc>
          <w:tcPr>
            <w:tcW w:w="1530" w:type="dxa"/>
            <w:tcBorders>
              <w:right w:val="single" w:sz="4" w:space="0" w:color="auto"/>
            </w:tcBorders>
          </w:tcPr>
          <w:p w14:paraId="0286B44B"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480</w:t>
            </w:r>
          </w:p>
        </w:tc>
        <w:tc>
          <w:tcPr>
            <w:tcW w:w="900" w:type="dxa"/>
            <w:tcBorders>
              <w:right w:val="single" w:sz="4" w:space="0" w:color="auto"/>
            </w:tcBorders>
          </w:tcPr>
          <w:p w14:paraId="04BF4271"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2526</w:t>
            </w:r>
          </w:p>
        </w:tc>
        <w:tc>
          <w:tcPr>
            <w:tcW w:w="810" w:type="dxa"/>
            <w:tcBorders>
              <w:right w:val="single" w:sz="4" w:space="0" w:color="auto"/>
            </w:tcBorders>
          </w:tcPr>
          <w:p w14:paraId="3864AE70"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3.61</w:t>
            </w:r>
          </w:p>
        </w:tc>
        <w:tc>
          <w:tcPr>
            <w:tcW w:w="1350" w:type="dxa"/>
            <w:tcBorders>
              <w:left w:val="single" w:sz="4" w:space="0" w:color="auto"/>
              <w:right w:val="single" w:sz="4" w:space="0" w:color="auto"/>
            </w:tcBorders>
          </w:tcPr>
          <w:p w14:paraId="0984D0CE"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279</w:t>
            </w:r>
          </w:p>
        </w:tc>
        <w:tc>
          <w:tcPr>
            <w:tcW w:w="810" w:type="dxa"/>
            <w:tcBorders>
              <w:left w:val="single" w:sz="4" w:space="0" w:color="auto"/>
            </w:tcBorders>
          </w:tcPr>
          <w:p w14:paraId="474B1606"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22.37</w:t>
            </w:r>
          </w:p>
        </w:tc>
        <w:tc>
          <w:tcPr>
            <w:tcW w:w="1080" w:type="dxa"/>
          </w:tcPr>
          <w:p w14:paraId="2698BDF2"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2805</w:t>
            </w:r>
          </w:p>
        </w:tc>
        <w:tc>
          <w:tcPr>
            <w:tcW w:w="859" w:type="dxa"/>
          </w:tcPr>
          <w:p w14:paraId="4CBBB79E"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5.21</w:t>
            </w:r>
          </w:p>
        </w:tc>
      </w:tr>
      <w:tr w:rsidR="006B3D15" w:rsidRPr="006B3D15" w14:paraId="1B50263C" w14:textId="77777777" w:rsidTr="006B3D15">
        <w:trPr>
          <w:jc w:val="center"/>
        </w:trPr>
        <w:tc>
          <w:tcPr>
            <w:tcW w:w="935" w:type="dxa"/>
          </w:tcPr>
          <w:p w14:paraId="426F897F"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2015</w:t>
            </w:r>
          </w:p>
        </w:tc>
        <w:tc>
          <w:tcPr>
            <w:tcW w:w="1405" w:type="dxa"/>
            <w:tcBorders>
              <w:right w:val="single" w:sz="4" w:space="0" w:color="auto"/>
            </w:tcBorders>
          </w:tcPr>
          <w:p w14:paraId="4BFA9C69"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2115</w:t>
            </w:r>
          </w:p>
        </w:tc>
        <w:tc>
          <w:tcPr>
            <w:tcW w:w="1530" w:type="dxa"/>
            <w:tcBorders>
              <w:right w:val="single" w:sz="4" w:space="0" w:color="auto"/>
            </w:tcBorders>
          </w:tcPr>
          <w:p w14:paraId="684F48BA"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496</w:t>
            </w:r>
          </w:p>
        </w:tc>
        <w:tc>
          <w:tcPr>
            <w:tcW w:w="900" w:type="dxa"/>
            <w:tcBorders>
              <w:right w:val="single" w:sz="4" w:space="0" w:color="auto"/>
            </w:tcBorders>
          </w:tcPr>
          <w:p w14:paraId="44A5E694"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2611</w:t>
            </w:r>
          </w:p>
        </w:tc>
        <w:tc>
          <w:tcPr>
            <w:tcW w:w="810" w:type="dxa"/>
            <w:tcBorders>
              <w:right w:val="single" w:sz="4" w:space="0" w:color="auto"/>
            </w:tcBorders>
          </w:tcPr>
          <w:p w14:paraId="2B8BA1E5"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3.37</w:t>
            </w:r>
          </w:p>
        </w:tc>
        <w:tc>
          <w:tcPr>
            <w:tcW w:w="1350" w:type="dxa"/>
            <w:tcBorders>
              <w:left w:val="single" w:sz="4" w:space="0" w:color="auto"/>
              <w:right w:val="single" w:sz="4" w:space="0" w:color="auto"/>
            </w:tcBorders>
          </w:tcPr>
          <w:p w14:paraId="26CE97C6"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343</w:t>
            </w:r>
          </w:p>
        </w:tc>
        <w:tc>
          <w:tcPr>
            <w:tcW w:w="810" w:type="dxa"/>
            <w:tcBorders>
              <w:left w:val="single" w:sz="4" w:space="0" w:color="auto"/>
            </w:tcBorders>
          </w:tcPr>
          <w:p w14:paraId="5EA148A4"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22.94</w:t>
            </w:r>
          </w:p>
        </w:tc>
        <w:tc>
          <w:tcPr>
            <w:tcW w:w="1080" w:type="dxa"/>
          </w:tcPr>
          <w:p w14:paraId="6C6CA0E1"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2954</w:t>
            </w:r>
          </w:p>
        </w:tc>
        <w:tc>
          <w:tcPr>
            <w:tcW w:w="859" w:type="dxa"/>
          </w:tcPr>
          <w:p w14:paraId="1E64C7C2"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5.31</w:t>
            </w:r>
          </w:p>
        </w:tc>
      </w:tr>
      <w:tr w:rsidR="006B3D15" w:rsidRPr="006B3D15" w14:paraId="5C191CF3" w14:textId="77777777" w:rsidTr="006B3D15">
        <w:trPr>
          <w:jc w:val="center"/>
        </w:trPr>
        <w:tc>
          <w:tcPr>
            <w:tcW w:w="935" w:type="dxa"/>
          </w:tcPr>
          <w:p w14:paraId="6CD78D95"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2016</w:t>
            </w:r>
          </w:p>
        </w:tc>
        <w:tc>
          <w:tcPr>
            <w:tcW w:w="1405" w:type="dxa"/>
            <w:tcBorders>
              <w:right w:val="single" w:sz="4" w:space="0" w:color="auto"/>
            </w:tcBorders>
          </w:tcPr>
          <w:p w14:paraId="245F7967"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2223</w:t>
            </w:r>
          </w:p>
        </w:tc>
        <w:tc>
          <w:tcPr>
            <w:tcW w:w="1530" w:type="dxa"/>
            <w:tcBorders>
              <w:right w:val="single" w:sz="4" w:space="0" w:color="auto"/>
            </w:tcBorders>
          </w:tcPr>
          <w:p w14:paraId="7DC12A06"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504</w:t>
            </w:r>
          </w:p>
        </w:tc>
        <w:tc>
          <w:tcPr>
            <w:tcW w:w="900" w:type="dxa"/>
            <w:tcBorders>
              <w:right w:val="single" w:sz="4" w:space="0" w:color="auto"/>
            </w:tcBorders>
          </w:tcPr>
          <w:p w14:paraId="76761E90"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2727</w:t>
            </w:r>
          </w:p>
        </w:tc>
        <w:tc>
          <w:tcPr>
            <w:tcW w:w="810" w:type="dxa"/>
            <w:tcBorders>
              <w:right w:val="single" w:sz="4" w:space="0" w:color="auto"/>
            </w:tcBorders>
          </w:tcPr>
          <w:p w14:paraId="2C7F7A37"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4.44</w:t>
            </w:r>
          </w:p>
        </w:tc>
        <w:tc>
          <w:tcPr>
            <w:tcW w:w="1350" w:type="dxa"/>
            <w:tcBorders>
              <w:left w:val="single" w:sz="4" w:space="0" w:color="auto"/>
              <w:right w:val="single" w:sz="4" w:space="0" w:color="auto"/>
            </w:tcBorders>
          </w:tcPr>
          <w:p w14:paraId="31806C38"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418</w:t>
            </w:r>
          </w:p>
        </w:tc>
        <w:tc>
          <w:tcPr>
            <w:tcW w:w="810" w:type="dxa"/>
            <w:tcBorders>
              <w:left w:val="single" w:sz="4" w:space="0" w:color="auto"/>
            </w:tcBorders>
          </w:tcPr>
          <w:p w14:paraId="26C46AD3"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21.87</w:t>
            </w:r>
          </w:p>
        </w:tc>
        <w:tc>
          <w:tcPr>
            <w:tcW w:w="1080" w:type="dxa"/>
          </w:tcPr>
          <w:p w14:paraId="5842E942"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3145</w:t>
            </w:r>
          </w:p>
        </w:tc>
        <w:tc>
          <w:tcPr>
            <w:tcW w:w="859" w:type="dxa"/>
          </w:tcPr>
          <w:p w14:paraId="19FB6331"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6.77</w:t>
            </w:r>
          </w:p>
        </w:tc>
      </w:tr>
      <w:tr w:rsidR="006B3D15" w:rsidRPr="006B3D15" w14:paraId="4704A80D" w14:textId="77777777" w:rsidTr="006B3D15">
        <w:trPr>
          <w:jc w:val="center"/>
        </w:trPr>
        <w:tc>
          <w:tcPr>
            <w:tcW w:w="935" w:type="dxa"/>
          </w:tcPr>
          <w:p w14:paraId="4A78816D"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2017</w:t>
            </w:r>
          </w:p>
        </w:tc>
        <w:tc>
          <w:tcPr>
            <w:tcW w:w="1405" w:type="dxa"/>
            <w:tcBorders>
              <w:right w:val="single" w:sz="4" w:space="0" w:color="auto"/>
            </w:tcBorders>
          </w:tcPr>
          <w:p w14:paraId="0C0A02B3"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2335</w:t>
            </w:r>
          </w:p>
        </w:tc>
        <w:tc>
          <w:tcPr>
            <w:tcW w:w="1530" w:type="dxa"/>
            <w:tcBorders>
              <w:right w:val="single" w:sz="4" w:space="0" w:color="auto"/>
            </w:tcBorders>
          </w:tcPr>
          <w:p w14:paraId="7716472B"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512</w:t>
            </w:r>
          </w:p>
        </w:tc>
        <w:tc>
          <w:tcPr>
            <w:tcW w:w="900" w:type="dxa"/>
            <w:tcBorders>
              <w:right w:val="single" w:sz="4" w:space="0" w:color="auto"/>
            </w:tcBorders>
          </w:tcPr>
          <w:p w14:paraId="2CB53B07"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2847</w:t>
            </w:r>
          </w:p>
        </w:tc>
        <w:tc>
          <w:tcPr>
            <w:tcW w:w="810" w:type="dxa"/>
            <w:tcBorders>
              <w:right w:val="single" w:sz="4" w:space="0" w:color="auto"/>
            </w:tcBorders>
          </w:tcPr>
          <w:p w14:paraId="3FA63F81"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4.40</w:t>
            </w:r>
          </w:p>
        </w:tc>
        <w:tc>
          <w:tcPr>
            <w:tcW w:w="1350" w:type="dxa"/>
            <w:tcBorders>
              <w:left w:val="single" w:sz="4" w:space="0" w:color="auto"/>
              <w:right w:val="single" w:sz="4" w:space="0" w:color="auto"/>
            </w:tcBorders>
          </w:tcPr>
          <w:p w14:paraId="67DF0809"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460</w:t>
            </w:r>
          </w:p>
        </w:tc>
        <w:tc>
          <w:tcPr>
            <w:tcW w:w="810" w:type="dxa"/>
            <w:tcBorders>
              <w:left w:val="single" w:sz="4" w:space="0" w:color="auto"/>
            </w:tcBorders>
          </w:tcPr>
          <w:p w14:paraId="724428BE"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10.05</w:t>
            </w:r>
          </w:p>
        </w:tc>
        <w:tc>
          <w:tcPr>
            <w:tcW w:w="1080" w:type="dxa"/>
          </w:tcPr>
          <w:p w14:paraId="3BDBFB4F"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3307</w:t>
            </w:r>
          </w:p>
        </w:tc>
        <w:tc>
          <w:tcPr>
            <w:tcW w:w="859" w:type="dxa"/>
          </w:tcPr>
          <w:p w14:paraId="0144C9F7"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5.15</w:t>
            </w:r>
          </w:p>
        </w:tc>
      </w:tr>
      <w:tr w:rsidR="006B3D15" w:rsidRPr="006B3D15" w14:paraId="7D439BFD" w14:textId="77777777" w:rsidTr="006B3D15">
        <w:trPr>
          <w:jc w:val="center"/>
        </w:trPr>
        <w:tc>
          <w:tcPr>
            <w:tcW w:w="935" w:type="dxa"/>
          </w:tcPr>
          <w:p w14:paraId="18AFD1B8"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2018</w:t>
            </w:r>
          </w:p>
        </w:tc>
        <w:tc>
          <w:tcPr>
            <w:tcW w:w="1405" w:type="dxa"/>
            <w:tcBorders>
              <w:right w:val="single" w:sz="4" w:space="0" w:color="auto"/>
            </w:tcBorders>
          </w:tcPr>
          <w:p w14:paraId="2C0D3A5D"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2409</w:t>
            </w:r>
          </w:p>
        </w:tc>
        <w:tc>
          <w:tcPr>
            <w:tcW w:w="1530" w:type="dxa"/>
            <w:tcBorders>
              <w:right w:val="single" w:sz="4" w:space="0" w:color="auto"/>
            </w:tcBorders>
          </w:tcPr>
          <w:p w14:paraId="1284D64F"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530</w:t>
            </w:r>
          </w:p>
        </w:tc>
        <w:tc>
          <w:tcPr>
            <w:tcW w:w="900" w:type="dxa"/>
            <w:tcBorders>
              <w:right w:val="single" w:sz="4" w:space="0" w:color="auto"/>
            </w:tcBorders>
          </w:tcPr>
          <w:p w14:paraId="0D1E43FB"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2939</w:t>
            </w:r>
          </w:p>
        </w:tc>
        <w:tc>
          <w:tcPr>
            <w:tcW w:w="810" w:type="dxa"/>
            <w:tcBorders>
              <w:right w:val="single" w:sz="4" w:space="0" w:color="auto"/>
            </w:tcBorders>
          </w:tcPr>
          <w:p w14:paraId="5D22BF43"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3.23</w:t>
            </w:r>
          </w:p>
        </w:tc>
        <w:tc>
          <w:tcPr>
            <w:tcW w:w="1350" w:type="dxa"/>
            <w:tcBorders>
              <w:left w:val="single" w:sz="4" w:space="0" w:color="auto"/>
              <w:right w:val="single" w:sz="4" w:space="0" w:color="auto"/>
            </w:tcBorders>
          </w:tcPr>
          <w:p w14:paraId="19104755"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507</w:t>
            </w:r>
          </w:p>
        </w:tc>
        <w:tc>
          <w:tcPr>
            <w:tcW w:w="810" w:type="dxa"/>
            <w:tcBorders>
              <w:left w:val="single" w:sz="4" w:space="0" w:color="auto"/>
            </w:tcBorders>
          </w:tcPr>
          <w:p w14:paraId="208D4120"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10.22</w:t>
            </w:r>
          </w:p>
        </w:tc>
        <w:tc>
          <w:tcPr>
            <w:tcW w:w="1080" w:type="dxa"/>
          </w:tcPr>
          <w:p w14:paraId="660839C5"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3446</w:t>
            </w:r>
          </w:p>
        </w:tc>
        <w:tc>
          <w:tcPr>
            <w:tcW w:w="859" w:type="dxa"/>
          </w:tcPr>
          <w:p w14:paraId="649D2FE7"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4.20</w:t>
            </w:r>
          </w:p>
        </w:tc>
      </w:tr>
      <w:tr w:rsidR="006B3D15" w:rsidRPr="006B3D15" w14:paraId="688FEC67" w14:textId="77777777" w:rsidTr="006B3D15">
        <w:trPr>
          <w:jc w:val="center"/>
        </w:trPr>
        <w:tc>
          <w:tcPr>
            <w:tcW w:w="935" w:type="dxa"/>
          </w:tcPr>
          <w:p w14:paraId="25C42868"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2019</w:t>
            </w:r>
          </w:p>
        </w:tc>
        <w:tc>
          <w:tcPr>
            <w:tcW w:w="1405" w:type="dxa"/>
            <w:tcBorders>
              <w:right w:val="single" w:sz="4" w:space="0" w:color="auto"/>
            </w:tcBorders>
          </w:tcPr>
          <w:p w14:paraId="714EDC0B"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2472</w:t>
            </w:r>
          </w:p>
        </w:tc>
        <w:tc>
          <w:tcPr>
            <w:tcW w:w="1530" w:type="dxa"/>
            <w:tcBorders>
              <w:right w:val="single" w:sz="4" w:space="0" w:color="auto"/>
            </w:tcBorders>
          </w:tcPr>
          <w:p w14:paraId="795C9006"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543</w:t>
            </w:r>
          </w:p>
        </w:tc>
        <w:tc>
          <w:tcPr>
            <w:tcW w:w="900" w:type="dxa"/>
            <w:tcBorders>
              <w:right w:val="single" w:sz="4" w:space="0" w:color="auto"/>
            </w:tcBorders>
          </w:tcPr>
          <w:p w14:paraId="6F0E2419"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3015</w:t>
            </w:r>
          </w:p>
        </w:tc>
        <w:tc>
          <w:tcPr>
            <w:tcW w:w="810" w:type="dxa"/>
            <w:tcBorders>
              <w:right w:val="single" w:sz="4" w:space="0" w:color="auto"/>
            </w:tcBorders>
          </w:tcPr>
          <w:p w14:paraId="0C8BBEE8"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2.59</w:t>
            </w:r>
          </w:p>
        </w:tc>
        <w:tc>
          <w:tcPr>
            <w:tcW w:w="1350" w:type="dxa"/>
            <w:tcBorders>
              <w:left w:val="single" w:sz="4" w:space="0" w:color="auto"/>
              <w:right w:val="single" w:sz="4" w:space="0" w:color="auto"/>
            </w:tcBorders>
          </w:tcPr>
          <w:p w14:paraId="68278C71"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578</w:t>
            </w:r>
          </w:p>
        </w:tc>
        <w:tc>
          <w:tcPr>
            <w:tcW w:w="810" w:type="dxa"/>
            <w:tcBorders>
              <w:left w:val="single" w:sz="4" w:space="0" w:color="auto"/>
              <w:right w:val="single" w:sz="4" w:space="0" w:color="auto"/>
            </w:tcBorders>
          </w:tcPr>
          <w:p w14:paraId="5043B3CD"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14.00</w:t>
            </w:r>
          </w:p>
        </w:tc>
        <w:tc>
          <w:tcPr>
            <w:tcW w:w="1080" w:type="dxa"/>
            <w:tcBorders>
              <w:left w:val="single" w:sz="4" w:space="0" w:color="auto"/>
            </w:tcBorders>
          </w:tcPr>
          <w:p w14:paraId="505596C3"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3593</w:t>
            </w:r>
          </w:p>
        </w:tc>
        <w:tc>
          <w:tcPr>
            <w:tcW w:w="859" w:type="dxa"/>
          </w:tcPr>
          <w:p w14:paraId="7E85A821"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4.27</w:t>
            </w:r>
          </w:p>
        </w:tc>
      </w:tr>
      <w:tr w:rsidR="006B3D15" w:rsidRPr="006B3D15" w14:paraId="3F13CB40" w14:textId="77777777" w:rsidTr="006B3D15">
        <w:trPr>
          <w:jc w:val="center"/>
        </w:trPr>
        <w:tc>
          <w:tcPr>
            <w:tcW w:w="4770" w:type="dxa"/>
            <w:gridSpan w:val="4"/>
            <w:tcBorders>
              <w:top w:val="nil"/>
              <w:right w:val="single" w:sz="4" w:space="0" w:color="auto"/>
            </w:tcBorders>
          </w:tcPr>
          <w:p w14:paraId="746D1357" w14:textId="77777777" w:rsidR="006B3D15" w:rsidRPr="006B3D15" w:rsidRDefault="006B3D15" w:rsidP="006B3D15">
            <w:pPr>
              <w:autoSpaceDE w:val="0"/>
              <w:autoSpaceDN w:val="0"/>
              <w:adjustRightInd w:val="0"/>
              <w:ind w:left="270"/>
              <w:jc w:val="center"/>
              <w:rPr>
                <w:color w:val="000000" w:themeColor="text1"/>
              </w:rPr>
            </w:pPr>
            <w:r w:rsidRPr="006B3D15">
              <w:rPr>
                <w:color w:val="000000" w:themeColor="text1"/>
              </w:rPr>
              <w:t>Average annual increase</w:t>
            </w:r>
          </w:p>
        </w:tc>
        <w:tc>
          <w:tcPr>
            <w:tcW w:w="810" w:type="dxa"/>
            <w:tcBorders>
              <w:right w:val="single" w:sz="4" w:space="0" w:color="auto"/>
            </w:tcBorders>
          </w:tcPr>
          <w:p w14:paraId="178BEE57"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3.61</w:t>
            </w:r>
          </w:p>
        </w:tc>
        <w:tc>
          <w:tcPr>
            <w:tcW w:w="1350" w:type="dxa"/>
            <w:tcBorders>
              <w:right w:val="single" w:sz="4" w:space="0" w:color="auto"/>
            </w:tcBorders>
          </w:tcPr>
          <w:p w14:paraId="6E432B49" w14:textId="77777777" w:rsidR="006B3D15" w:rsidRPr="006B3D15" w:rsidRDefault="006B3D15" w:rsidP="006B3D15">
            <w:pPr>
              <w:autoSpaceDE w:val="0"/>
              <w:autoSpaceDN w:val="0"/>
              <w:adjustRightInd w:val="0"/>
              <w:ind w:left="270"/>
              <w:jc w:val="center"/>
              <w:rPr>
                <w:color w:val="000000" w:themeColor="text1"/>
              </w:rPr>
            </w:pPr>
          </w:p>
        </w:tc>
        <w:tc>
          <w:tcPr>
            <w:tcW w:w="810" w:type="dxa"/>
            <w:tcBorders>
              <w:left w:val="single" w:sz="4" w:space="0" w:color="auto"/>
              <w:right w:val="single" w:sz="4" w:space="0" w:color="auto"/>
            </w:tcBorders>
          </w:tcPr>
          <w:p w14:paraId="21E08BC1" w14:textId="77777777" w:rsidR="006B3D15" w:rsidRPr="006B3D15" w:rsidRDefault="006B3D15" w:rsidP="006B3D15">
            <w:pPr>
              <w:autoSpaceDE w:val="0"/>
              <w:autoSpaceDN w:val="0"/>
              <w:adjustRightInd w:val="0"/>
              <w:jc w:val="center"/>
              <w:rPr>
                <w:color w:val="000000" w:themeColor="text1"/>
              </w:rPr>
            </w:pPr>
            <w:r w:rsidRPr="006B3D15">
              <w:rPr>
                <w:color w:val="000000" w:themeColor="text1"/>
              </w:rPr>
              <w:t>16.91</w:t>
            </w:r>
          </w:p>
        </w:tc>
        <w:tc>
          <w:tcPr>
            <w:tcW w:w="1080" w:type="dxa"/>
            <w:tcBorders>
              <w:left w:val="single" w:sz="4" w:space="0" w:color="auto"/>
            </w:tcBorders>
          </w:tcPr>
          <w:p w14:paraId="3E5E24E2" w14:textId="77777777" w:rsidR="006B3D15" w:rsidRPr="006B3D15" w:rsidRDefault="006B3D15" w:rsidP="006B3D15">
            <w:pPr>
              <w:autoSpaceDE w:val="0"/>
              <w:autoSpaceDN w:val="0"/>
              <w:adjustRightInd w:val="0"/>
              <w:ind w:left="270"/>
              <w:rPr>
                <w:color w:val="000000" w:themeColor="text1"/>
              </w:rPr>
            </w:pPr>
          </w:p>
        </w:tc>
        <w:tc>
          <w:tcPr>
            <w:tcW w:w="859" w:type="dxa"/>
          </w:tcPr>
          <w:p w14:paraId="3CB9CDAA" w14:textId="77777777" w:rsidR="006B3D15" w:rsidRPr="006B3D15" w:rsidRDefault="006B3D15" w:rsidP="006B3D15">
            <w:pPr>
              <w:autoSpaceDE w:val="0"/>
              <w:autoSpaceDN w:val="0"/>
              <w:adjustRightInd w:val="0"/>
              <w:ind w:left="270"/>
              <w:rPr>
                <w:color w:val="000000" w:themeColor="text1"/>
              </w:rPr>
            </w:pPr>
            <w:r w:rsidRPr="006B3D15">
              <w:rPr>
                <w:color w:val="000000" w:themeColor="text1"/>
              </w:rPr>
              <w:t>5.15</w:t>
            </w:r>
          </w:p>
        </w:tc>
      </w:tr>
    </w:tbl>
    <w:p w14:paraId="75691D94" w14:textId="77777777" w:rsidR="004C6575" w:rsidRDefault="006B3D15" w:rsidP="006B3D15">
      <w:pPr>
        <w:autoSpaceDE w:val="0"/>
        <w:autoSpaceDN w:val="0"/>
        <w:adjustRightInd w:val="0"/>
        <w:jc w:val="both"/>
        <w:rPr>
          <w:color w:val="000000" w:themeColor="text1"/>
        </w:rPr>
      </w:pPr>
      <w:r w:rsidRPr="006B3D15">
        <w:rPr>
          <w:color w:val="000000" w:themeColor="text1"/>
        </w:rPr>
        <w:t xml:space="preserve">Source: Field survey data from 30 </w:t>
      </w:r>
      <w:proofErr w:type="spellStart"/>
      <w:r w:rsidRPr="006B3D15">
        <w:rPr>
          <w:color w:val="000000" w:themeColor="text1"/>
        </w:rPr>
        <w:t>nos</w:t>
      </w:r>
      <w:proofErr w:type="spellEnd"/>
      <w:r w:rsidRPr="006B3D15">
        <w:rPr>
          <w:color w:val="000000" w:themeColor="text1"/>
        </w:rPr>
        <w:t xml:space="preserve"> of sample contractors/builders</w:t>
      </w:r>
      <w:r>
        <w:rPr>
          <w:color w:val="000000" w:themeColor="text1"/>
        </w:rPr>
        <w:t xml:space="preserve"> (class-I) in</w:t>
      </w:r>
      <w:r w:rsidRPr="006B3D15">
        <w:rPr>
          <w:color w:val="000000" w:themeColor="text1"/>
        </w:rPr>
        <w:t xml:space="preserve"> Assam.</w:t>
      </w:r>
    </w:p>
    <w:p w14:paraId="5CA0B3F8" w14:textId="77777777" w:rsidR="004C6575" w:rsidRDefault="004C6575" w:rsidP="006B3D15">
      <w:pPr>
        <w:autoSpaceDE w:val="0"/>
        <w:autoSpaceDN w:val="0"/>
        <w:adjustRightInd w:val="0"/>
        <w:jc w:val="both"/>
        <w:rPr>
          <w:color w:val="000000" w:themeColor="text1"/>
        </w:rPr>
      </w:pPr>
    </w:p>
    <w:p w14:paraId="1C251F04" w14:textId="77777777" w:rsidR="004C6575" w:rsidRDefault="004C6575" w:rsidP="004C6575">
      <w:pPr>
        <w:autoSpaceDE w:val="0"/>
        <w:autoSpaceDN w:val="0"/>
        <w:adjustRightInd w:val="0"/>
        <w:jc w:val="both"/>
        <w:rPr>
          <w:b/>
          <w:color w:val="000000" w:themeColor="text1"/>
        </w:rPr>
      </w:pPr>
      <w:r>
        <w:rPr>
          <w:b/>
          <w:color w:val="000000" w:themeColor="text1"/>
        </w:rPr>
        <w:t xml:space="preserve">   Table-9</w:t>
      </w:r>
      <w:r w:rsidRPr="004B2FDB">
        <w:rPr>
          <w:b/>
          <w:color w:val="000000" w:themeColor="text1"/>
        </w:rPr>
        <w:t xml:space="preserve">: Trend and short-run variation in the supply of BCWs in Sample Urban Areas of Assam </w:t>
      </w:r>
    </w:p>
    <w:p w14:paraId="5723A1D6" w14:textId="77777777" w:rsidR="004C6575" w:rsidRPr="004B2FDB" w:rsidRDefault="004C6575" w:rsidP="004C6575">
      <w:pPr>
        <w:autoSpaceDE w:val="0"/>
        <w:autoSpaceDN w:val="0"/>
        <w:adjustRightInd w:val="0"/>
        <w:jc w:val="both"/>
        <w:rPr>
          <w:b/>
          <w:color w:val="000000" w:themeColor="text1"/>
        </w:rPr>
      </w:pPr>
      <w:r>
        <w:rPr>
          <w:b/>
          <w:color w:val="000000" w:themeColor="text1"/>
        </w:rPr>
        <w:t xml:space="preserve">                    </w:t>
      </w:r>
      <w:r w:rsidRPr="004B2FDB">
        <w:rPr>
          <w:b/>
          <w:color w:val="000000" w:themeColor="text1"/>
        </w:rPr>
        <w:t>during 2013-2019:</w:t>
      </w:r>
    </w:p>
    <w:tbl>
      <w:tblPr>
        <w:tblpPr w:leftFromText="180" w:rightFromText="180" w:vertAnchor="text" w:horzAnchor="margin" w:tblpX="198" w:tblpY="64"/>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340"/>
        <w:gridCol w:w="2880"/>
        <w:gridCol w:w="2610"/>
      </w:tblGrid>
      <w:tr w:rsidR="004C6575" w:rsidRPr="004B2FDB" w14:paraId="003A52DB" w14:textId="77777777" w:rsidTr="004C6575">
        <w:trPr>
          <w:trHeight w:val="169"/>
        </w:trPr>
        <w:tc>
          <w:tcPr>
            <w:tcW w:w="1530" w:type="dxa"/>
            <w:noWrap/>
            <w:vAlign w:val="bottom"/>
            <w:hideMark/>
          </w:tcPr>
          <w:p w14:paraId="0D04703A" w14:textId="77777777" w:rsidR="004C6575" w:rsidRPr="004B2FDB" w:rsidRDefault="004C6575" w:rsidP="004C6575">
            <w:pPr>
              <w:jc w:val="center"/>
              <w:rPr>
                <w:color w:val="000000" w:themeColor="text1"/>
              </w:rPr>
            </w:pPr>
            <w:r w:rsidRPr="004B2FDB">
              <w:rPr>
                <w:color w:val="000000" w:themeColor="text1"/>
              </w:rPr>
              <w:t>Year</w:t>
            </w:r>
          </w:p>
        </w:tc>
        <w:tc>
          <w:tcPr>
            <w:tcW w:w="2340" w:type="dxa"/>
            <w:vAlign w:val="bottom"/>
          </w:tcPr>
          <w:p w14:paraId="7E52209B" w14:textId="77777777" w:rsidR="004C6575" w:rsidRPr="004B2FDB" w:rsidRDefault="004C6575" w:rsidP="004C6575">
            <w:pPr>
              <w:ind w:left="59"/>
              <w:jc w:val="center"/>
              <w:rPr>
                <w:color w:val="000000" w:themeColor="text1"/>
              </w:rPr>
            </w:pPr>
            <w:r w:rsidRPr="004B2FDB">
              <w:rPr>
                <w:color w:val="000000" w:themeColor="text1"/>
              </w:rPr>
              <w:t>Supply of BCWs</w:t>
            </w:r>
          </w:p>
        </w:tc>
        <w:tc>
          <w:tcPr>
            <w:tcW w:w="2880" w:type="dxa"/>
            <w:noWrap/>
            <w:vAlign w:val="bottom"/>
            <w:hideMark/>
          </w:tcPr>
          <w:p w14:paraId="2FB9DBB6" w14:textId="77777777" w:rsidR="004C6575" w:rsidRPr="004B2FDB" w:rsidRDefault="004C6575" w:rsidP="004C6575">
            <w:pPr>
              <w:ind w:left="450" w:hanging="760"/>
              <w:rPr>
                <w:color w:val="000000" w:themeColor="text1"/>
              </w:rPr>
            </w:pPr>
            <w:r w:rsidRPr="004B2FDB">
              <w:rPr>
                <w:color w:val="000000" w:themeColor="text1"/>
              </w:rPr>
              <w:t>3</w:t>
            </w:r>
            <w:proofErr w:type="gramStart"/>
            <w:r w:rsidRPr="004B2FDB">
              <w:rPr>
                <w:color w:val="000000" w:themeColor="text1"/>
              </w:rPr>
              <w:t>-</w:t>
            </w:r>
            <w:r>
              <w:rPr>
                <w:color w:val="000000" w:themeColor="text1"/>
              </w:rPr>
              <w:t xml:space="preserve">  3</w:t>
            </w:r>
            <w:proofErr w:type="gramEnd"/>
            <w:r>
              <w:rPr>
                <w:color w:val="000000" w:themeColor="text1"/>
              </w:rPr>
              <w:t>-</w:t>
            </w:r>
            <w:r w:rsidRPr="004B2FDB">
              <w:rPr>
                <w:color w:val="000000" w:themeColor="text1"/>
              </w:rPr>
              <w:t>Yearly Moving</w:t>
            </w:r>
            <w:r>
              <w:rPr>
                <w:color w:val="000000" w:themeColor="text1"/>
              </w:rPr>
              <w:t xml:space="preserve"> </w:t>
            </w:r>
            <w:r w:rsidRPr="004B2FDB">
              <w:rPr>
                <w:color w:val="000000" w:themeColor="text1"/>
              </w:rPr>
              <w:t>Average</w:t>
            </w:r>
          </w:p>
        </w:tc>
        <w:tc>
          <w:tcPr>
            <w:tcW w:w="2610" w:type="dxa"/>
            <w:noWrap/>
            <w:vAlign w:val="bottom"/>
            <w:hideMark/>
          </w:tcPr>
          <w:p w14:paraId="082EA345" w14:textId="77777777" w:rsidR="004C6575" w:rsidRPr="004B2FDB" w:rsidRDefault="004C6575" w:rsidP="004C6575">
            <w:pPr>
              <w:rPr>
                <w:color w:val="000000" w:themeColor="text1"/>
              </w:rPr>
            </w:pPr>
            <w:r w:rsidRPr="004B2FDB">
              <w:rPr>
                <w:color w:val="000000" w:themeColor="text1"/>
              </w:rPr>
              <w:t>Short-run Fluctuations</w:t>
            </w:r>
          </w:p>
        </w:tc>
      </w:tr>
      <w:tr w:rsidR="004C6575" w:rsidRPr="004B2FDB" w14:paraId="3BFC8115" w14:textId="77777777" w:rsidTr="004C6575">
        <w:trPr>
          <w:trHeight w:val="196"/>
        </w:trPr>
        <w:tc>
          <w:tcPr>
            <w:tcW w:w="1530" w:type="dxa"/>
            <w:hideMark/>
          </w:tcPr>
          <w:p w14:paraId="5889454B" w14:textId="77777777" w:rsidR="004C6575" w:rsidRPr="004B2FDB" w:rsidRDefault="004C6575" w:rsidP="004C6575">
            <w:pPr>
              <w:ind w:left="270"/>
              <w:jc w:val="center"/>
              <w:rPr>
                <w:color w:val="000000" w:themeColor="text1"/>
              </w:rPr>
            </w:pPr>
            <w:r w:rsidRPr="004B2FDB">
              <w:rPr>
                <w:color w:val="000000" w:themeColor="text1"/>
              </w:rPr>
              <w:t>2013</w:t>
            </w:r>
          </w:p>
        </w:tc>
        <w:tc>
          <w:tcPr>
            <w:tcW w:w="2340" w:type="dxa"/>
          </w:tcPr>
          <w:p w14:paraId="25342EC2" w14:textId="77777777" w:rsidR="004C6575" w:rsidRPr="004B2FDB" w:rsidRDefault="004C6575" w:rsidP="004C6575">
            <w:pPr>
              <w:ind w:left="270"/>
              <w:jc w:val="center"/>
              <w:rPr>
                <w:color w:val="000000" w:themeColor="text1"/>
              </w:rPr>
            </w:pPr>
            <w:r w:rsidRPr="004B2FDB">
              <w:rPr>
                <w:color w:val="000000" w:themeColor="text1"/>
              </w:rPr>
              <w:t>2666</w:t>
            </w:r>
          </w:p>
        </w:tc>
        <w:tc>
          <w:tcPr>
            <w:tcW w:w="2880" w:type="dxa"/>
            <w:noWrap/>
            <w:vAlign w:val="bottom"/>
            <w:hideMark/>
          </w:tcPr>
          <w:p w14:paraId="5DF2888A" w14:textId="77777777" w:rsidR="004C6575" w:rsidRPr="004B2FDB" w:rsidRDefault="004C6575" w:rsidP="004C6575">
            <w:pPr>
              <w:ind w:left="270" w:hanging="760"/>
              <w:jc w:val="center"/>
              <w:rPr>
                <w:color w:val="000000" w:themeColor="text1"/>
              </w:rPr>
            </w:pPr>
          </w:p>
        </w:tc>
        <w:tc>
          <w:tcPr>
            <w:tcW w:w="2610" w:type="dxa"/>
            <w:noWrap/>
            <w:vAlign w:val="bottom"/>
            <w:hideMark/>
          </w:tcPr>
          <w:p w14:paraId="3C6CFB96" w14:textId="77777777" w:rsidR="004C6575" w:rsidRPr="004B2FDB" w:rsidRDefault="004C6575" w:rsidP="004C6575">
            <w:pPr>
              <w:ind w:left="270"/>
              <w:jc w:val="center"/>
              <w:rPr>
                <w:color w:val="000000" w:themeColor="text1"/>
              </w:rPr>
            </w:pPr>
          </w:p>
        </w:tc>
      </w:tr>
      <w:tr w:rsidR="004C6575" w:rsidRPr="004B2FDB" w14:paraId="335E1F81" w14:textId="77777777" w:rsidTr="004C6575">
        <w:trPr>
          <w:trHeight w:val="115"/>
        </w:trPr>
        <w:tc>
          <w:tcPr>
            <w:tcW w:w="1530" w:type="dxa"/>
            <w:hideMark/>
          </w:tcPr>
          <w:p w14:paraId="60F0E96E" w14:textId="77777777" w:rsidR="004C6575" w:rsidRPr="004B2FDB" w:rsidRDefault="004C6575" w:rsidP="004C6575">
            <w:pPr>
              <w:ind w:left="270"/>
              <w:jc w:val="center"/>
              <w:rPr>
                <w:color w:val="000000" w:themeColor="text1"/>
              </w:rPr>
            </w:pPr>
            <w:r w:rsidRPr="004B2FDB">
              <w:rPr>
                <w:color w:val="000000" w:themeColor="text1"/>
              </w:rPr>
              <w:t>2014</w:t>
            </w:r>
          </w:p>
        </w:tc>
        <w:tc>
          <w:tcPr>
            <w:tcW w:w="2340" w:type="dxa"/>
          </w:tcPr>
          <w:p w14:paraId="153802E5" w14:textId="77777777" w:rsidR="004C6575" w:rsidRPr="004B2FDB" w:rsidRDefault="004C6575" w:rsidP="004C6575">
            <w:pPr>
              <w:ind w:left="270"/>
              <w:jc w:val="center"/>
              <w:rPr>
                <w:color w:val="000000" w:themeColor="text1"/>
              </w:rPr>
            </w:pPr>
            <w:r w:rsidRPr="004B2FDB">
              <w:rPr>
                <w:color w:val="000000" w:themeColor="text1"/>
              </w:rPr>
              <w:t>2805</w:t>
            </w:r>
          </w:p>
        </w:tc>
        <w:tc>
          <w:tcPr>
            <w:tcW w:w="2880" w:type="dxa"/>
            <w:noWrap/>
            <w:vAlign w:val="bottom"/>
            <w:hideMark/>
          </w:tcPr>
          <w:p w14:paraId="20D3CE2E" w14:textId="77777777" w:rsidR="004C6575" w:rsidRPr="004B2FDB" w:rsidRDefault="004C6575" w:rsidP="004C6575">
            <w:pPr>
              <w:ind w:left="270" w:hanging="760"/>
              <w:jc w:val="center"/>
              <w:rPr>
                <w:color w:val="000000" w:themeColor="text1"/>
              </w:rPr>
            </w:pPr>
            <w:r w:rsidRPr="004B2FDB">
              <w:rPr>
                <w:color w:val="000000" w:themeColor="text1"/>
              </w:rPr>
              <w:t>2808.333333</w:t>
            </w:r>
          </w:p>
        </w:tc>
        <w:tc>
          <w:tcPr>
            <w:tcW w:w="2610" w:type="dxa"/>
            <w:noWrap/>
            <w:vAlign w:val="bottom"/>
            <w:hideMark/>
          </w:tcPr>
          <w:p w14:paraId="78997D05" w14:textId="77777777" w:rsidR="004C6575" w:rsidRPr="004B2FDB" w:rsidRDefault="004C6575" w:rsidP="004C6575">
            <w:pPr>
              <w:ind w:left="270"/>
              <w:jc w:val="center"/>
              <w:rPr>
                <w:color w:val="000000" w:themeColor="text1"/>
              </w:rPr>
            </w:pPr>
            <w:r w:rsidRPr="004B2FDB">
              <w:rPr>
                <w:color w:val="000000" w:themeColor="text1"/>
              </w:rPr>
              <w:t>-3.333</w:t>
            </w:r>
          </w:p>
        </w:tc>
      </w:tr>
      <w:tr w:rsidR="004C6575" w:rsidRPr="004B2FDB" w14:paraId="4D526984" w14:textId="77777777" w:rsidTr="004C6575">
        <w:trPr>
          <w:trHeight w:val="124"/>
        </w:trPr>
        <w:tc>
          <w:tcPr>
            <w:tcW w:w="1530" w:type="dxa"/>
            <w:hideMark/>
          </w:tcPr>
          <w:p w14:paraId="3CEB66EA" w14:textId="77777777" w:rsidR="004C6575" w:rsidRPr="004B2FDB" w:rsidRDefault="004C6575" w:rsidP="004C6575">
            <w:pPr>
              <w:ind w:left="270"/>
              <w:jc w:val="center"/>
              <w:rPr>
                <w:color w:val="000000" w:themeColor="text1"/>
              </w:rPr>
            </w:pPr>
            <w:r w:rsidRPr="004B2FDB">
              <w:rPr>
                <w:color w:val="000000" w:themeColor="text1"/>
              </w:rPr>
              <w:t>2015</w:t>
            </w:r>
          </w:p>
        </w:tc>
        <w:tc>
          <w:tcPr>
            <w:tcW w:w="2340" w:type="dxa"/>
          </w:tcPr>
          <w:p w14:paraId="2DD7EAB0" w14:textId="77777777" w:rsidR="004C6575" w:rsidRPr="004B2FDB" w:rsidRDefault="004C6575" w:rsidP="004C6575">
            <w:pPr>
              <w:ind w:left="270"/>
              <w:jc w:val="center"/>
              <w:rPr>
                <w:color w:val="000000" w:themeColor="text1"/>
              </w:rPr>
            </w:pPr>
            <w:r w:rsidRPr="004B2FDB">
              <w:rPr>
                <w:color w:val="000000" w:themeColor="text1"/>
              </w:rPr>
              <w:t>2954</w:t>
            </w:r>
          </w:p>
        </w:tc>
        <w:tc>
          <w:tcPr>
            <w:tcW w:w="2880" w:type="dxa"/>
            <w:noWrap/>
            <w:vAlign w:val="bottom"/>
            <w:hideMark/>
          </w:tcPr>
          <w:p w14:paraId="4F5326F2" w14:textId="77777777" w:rsidR="004C6575" w:rsidRPr="004B2FDB" w:rsidRDefault="004C6575" w:rsidP="004C6575">
            <w:pPr>
              <w:ind w:left="270" w:hanging="760"/>
              <w:jc w:val="center"/>
              <w:rPr>
                <w:color w:val="000000" w:themeColor="text1"/>
              </w:rPr>
            </w:pPr>
            <w:r w:rsidRPr="004B2FDB">
              <w:rPr>
                <w:color w:val="000000" w:themeColor="text1"/>
              </w:rPr>
              <w:t>2968</w:t>
            </w:r>
          </w:p>
        </w:tc>
        <w:tc>
          <w:tcPr>
            <w:tcW w:w="2610" w:type="dxa"/>
            <w:noWrap/>
            <w:vAlign w:val="bottom"/>
            <w:hideMark/>
          </w:tcPr>
          <w:p w14:paraId="4409F6EB" w14:textId="77777777" w:rsidR="004C6575" w:rsidRPr="004B2FDB" w:rsidRDefault="004C6575" w:rsidP="004C6575">
            <w:pPr>
              <w:ind w:left="270"/>
              <w:jc w:val="center"/>
              <w:rPr>
                <w:color w:val="000000" w:themeColor="text1"/>
              </w:rPr>
            </w:pPr>
            <w:r w:rsidRPr="004B2FDB">
              <w:rPr>
                <w:color w:val="000000" w:themeColor="text1"/>
              </w:rPr>
              <w:t>-14</w:t>
            </w:r>
          </w:p>
        </w:tc>
      </w:tr>
      <w:tr w:rsidR="004C6575" w:rsidRPr="004B2FDB" w14:paraId="38F71F00" w14:textId="77777777" w:rsidTr="004C6575">
        <w:trPr>
          <w:trHeight w:val="223"/>
        </w:trPr>
        <w:tc>
          <w:tcPr>
            <w:tcW w:w="1530" w:type="dxa"/>
            <w:hideMark/>
          </w:tcPr>
          <w:p w14:paraId="6DA6C61E" w14:textId="77777777" w:rsidR="004C6575" w:rsidRPr="004B2FDB" w:rsidRDefault="004C6575" w:rsidP="004C6575">
            <w:pPr>
              <w:ind w:left="270"/>
              <w:jc w:val="center"/>
              <w:rPr>
                <w:color w:val="000000" w:themeColor="text1"/>
              </w:rPr>
            </w:pPr>
            <w:r w:rsidRPr="004B2FDB">
              <w:rPr>
                <w:color w:val="000000" w:themeColor="text1"/>
              </w:rPr>
              <w:t>2016</w:t>
            </w:r>
          </w:p>
        </w:tc>
        <w:tc>
          <w:tcPr>
            <w:tcW w:w="2340" w:type="dxa"/>
          </w:tcPr>
          <w:p w14:paraId="320B4C95" w14:textId="77777777" w:rsidR="004C6575" w:rsidRPr="004B2FDB" w:rsidRDefault="004C6575" w:rsidP="004C6575">
            <w:pPr>
              <w:ind w:left="270"/>
              <w:jc w:val="center"/>
              <w:rPr>
                <w:color w:val="000000" w:themeColor="text1"/>
              </w:rPr>
            </w:pPr>
            <w:r w:rsidRPr="004B2FDB">
              <w:rPr>
                <w:color w:val="000000" w:themeColor="text1"/>
              </w:rPr>
              <w:t>3145</w:t>
            </w:r>
          </w:p>
        </w:tc>
        <w:tc>
          <w:tcPr>
            <w:tcW w:w="2880" w:type="dxa"/>
            <w:noWrap/>
            <w:vAlign w:val="bottom"/>
            <w:hideMark/>
          </w:tcPr>
          <w:p w14:paraId="7685C851" w14:textId="77777777" w:rsidR="004C6575" w:rsidRPr="004B2FDB" w:rsidRDefault="004C6575" w:rsidP="004C6575">
            <w:pPr>
              <w:ind w:left="270" w:hanging="760"/>
              <w:jc w:val="center"/>
              <w:rPr>
                <w:color w:val="000000" w:themeColor="text1"/>
              </w:rPr>
            </w:pPr>
            <w:r w:rsidRPr="004B2FDB">
              <w:rPr>
                <w:color w:val="000000" w:themeColor="text1"/>
              </w:rPr>
              <w:t>3135.333333</w:t>
            </w:r>
          </w:p>
        </w:tc>
        <w:tc>
          <w:tcPr>
            <w:tcW w:w="2610" w:type="dxa"/>
            <w:noWrap/>
            <w:vAlign w:val="bottom"/>
            <w:hideMark/>
          </w:tcPr>
          <w:p w14:paraId="0562C39D" w14:textId="77777777" w:rsidR="004C6575" w:rsidRPr="004B2FDB" w:rsidRDefault="004C6575" w:rsidP="004C6575">
            <w:pPr>
              <w:ind w:left="270"/>
              <w:jc w:val="center"/>
              <w:rPr>
                <w:color w:val="000000" w:themeColor="text1"/>
              </w:rPr>
            </w:pPr>
            <w:r w:rsidRPr="004B2FDB">
              <w:rPr>
                <w:color w:val="000000" w:themeColor="text1"/>
              </w:rPr>
              <w:t>9.67</w:t>
            </w:r>
          </w:p>
        </w:tc>
      </w:tr>
      <w:tr w:rsidR="004C6575" w:rsidRPr="004B2FDB" w14:paraId="0B2AD456" w14:textId="77777777" w:rsidTr="004C6575">
        <w:trPr>
          <w:trHeight w:val="223"/>
        </w:trPr>
        <w:tc>
          <w:tcPr>
            <w:tcW w:w="1530" w:type="dxa"/>
            <w:hideMark/>
          </w:tcPr>
          <w:p w14:paraId="7B6D08FB" w14:textId="77777777" w:rsidR="004C6575" w:rsidRPr="004B2FDB" w:rsidRDefault="004C6575" w:rsidP="004C6575">
            <w:pPr>
              <w:ind w:left="270"/>
              <w:jc w:val="center"/>
              <w:rPr>
                <w:color w:val="000000" w:themeColor="text1"/>
              </w:rPr>
            </w:pPr>
            <w:r w:rsidRPr="004B2FDB">
              <w:rPr>
                <w:color w:val="000000" w:themeColor="text1"/>
              </w:rPr>
              <w:t>2017</w:t>
            </w:r>
          </w:p>
        </w:tc>
        <w:tc>
          <w:tcPr>
            <w:tcW w:w="2340" w:type="dxa"/>
          </w:tcPr>
          <w:p w14:paraId="20FE780D" w14:textId="77777777" w:rsidR="004C6575" w:rsidRPr="004B2FDB" w:rsidRDefault="004C6575" w:rsidP="004C6575">
            <w:pPr>
              <w:ind w:left="270"/>
              <w:jc w:val="center"/>
              <w:rPr>
                <w:color w:val="000000" w:themeColor="text1"/>
              </w:rPr>
            </w:pPr>
            <w:r w:rsidRPr="004B2FDB">
              <w:rPr>
                <w:color w:val="000000" w:themeColor="text1"/>
              </w:rPr>
              <w:t>3307</w:t>
            </w:r>
          </w:p>
        </w:tc>
        <w:tc>
          <w:tcPr>
            <w:tcW w:w="2880" w:type="dxa"/>
            <w:noWrap/>
            <w:vAlign w:val="bottom"/>
            <w:hideMark/>
          </w:tcPr>
          <w:p w14:paraId="5D504FBB" w14:textId="77777777" w:rsidR="004C6575" w:rsidRPr="004B2FDB" w:rsidRDefault="004C6575" w:rsidP="004C6575">
            <w:pPr>
              <w:ind w:left="270" w:hanging="760"/>
              <w:jc w:val="center"/>
              <w:rPr>
                <w:color w:val="000000" w:themeColor="text1"/>
              </w:rPr>
            </w:pPr>
            <w:r w:rsidRPr="004B2FDB">
              <w:rPr>
                <w:color w:val="000000" w:themeColor="text1"/>
              </w:rPr>
              <w:t>3299.333333</w:t>
            </w:r>
          </w:p>
        </w:tc>
        <w:tc>
          <w:tcPr>
            <w:tcW w:w="2610" w:type="dxa"/>
            <w:noWrap/>
            <w:vAlign w:val="bottom"/>
            <w:hideMark/>
          </w:tcPr>
          <w:p w14:paraId="6D0F9DEF" w14:textId="77777777" w:rsidR="004C6575" w:rsidRPr="004B2FDB" w:rsidRDefault="004C6575" w:rsidP="004C6575">
            <w:pPr>
              <w:ind w:left="270"/>
              <w:jc w:val="center"/>
              <w:rPr>
                <w:color w:val="000000" w:themeColor="text1"/>
              </w:rPr>
            </w:pPr>
            <w:r w:rsidRPr="004B2FDB">
              <w:rPr>
                <w:color w:val="000000" w:themeColor="text1"/>
              </w:rPr>
              <w:t>7.67</w:t>
            </w:r>
          </w:p>
        </w:tc>
      </w:tr>
      <w:tr w:rsidR="004C6575" w:rsidRPr="004B2FDB" w14:paraId="2C2BEBF7" w14:textId="77777777" w:rsidTr="004C6575">
        <w:trPr>
          <w:trHeight w:val="142"/>
        </w:trPr>
        <w:tc>
          <w:tcPr>
            <w:tcW w:w="1530" w:type="dxa"/>
            <w:hideMark/>
          </w:tcPr>
          <w:p w14:paraId="05209A1F" w14:textId="77777777" w:rsidR="004C6575" w:rsidRPr="004B2FDB" w:rsidRDefault="004C6575" w:rsidP="004C6575">
            <w:pPr>
              <w:ind w:left="270"/>
              <w:jc w:val="center"/>
              <w:rPr>
                <w:color w:val="000000" w:themeColor="text1"/>
              </w:rPr>
            </w:pPr>
            <w:r w:rsidRPr="004B2FDB">
              <w:rPr>
                <w:color w:val="000000" w:themeColor="text1"/>
              </w:rPr>
              <w:t>2018</w:t>
            </w:r>
          </w:p>
        </w:tc>
        <w:tc>
          <w:tcPr>
            <w:tcW w:w="2340" w:type="dxa"/>
          </w:tcPr>
          <w:p w14:paraId="4EC5578D" w14:textId="77777777" w:rsidR="004C6575" w:rsidRPr="004B2FDB" w:rsidRDefault="004C6575" w:rsidP="004C6575">
            <w:pPr>
              <w:ind w:left="270"/>
              <w:jc w:val="center"/>
              <w:rPr>
                <w:color w:val="000000" w:themeColor="text1"/>
              </w:rPr>
            </w:pPr>
            <w:r w:rsidRPr="004B2FDB">
              <w:rPr>
                <w:color w:val="000000" w:themeColor="text1"/>
              </w:rPr>
              <w:t>3446</w:t>
            </w:r>
          </w:p>
        </w:tc>
        <w:tc>
          <w:tcPr>
            <w:tcW w:w="2880" w:type="dxa"/>
            <w:noWrap/>
            <w:vAlign w:val="bottom"/>
            <w:hideMark/>
          </w:tcPr>
          <w:p w14:paraId="03BC9039" w14:textId="77777777" w:rsidR="004C6575" w:rsidRPr="004B2FDB" w:rsidRDefault="004C6575" w:rsidP="004C6575">
            <w:pPr>
              <w:ind w:left="270" w:hanging="760"/>
              <w:jc w:val="center"/>
              <w:rPr>
                <w:color w:val="000000" w:themeColor="text1"/>
              </w:rPr>
            </w:pPr>
            <w:r w:rsidRPr="004B2FDB">
              <w:rPr>
                <w:color w:val="000000" w:themeColor="text1"/>
              </w:rPr>
              <w:t>3448.666667</w:t>
            </w:r>
          </w:p>
        </w:tc>
        <w:tc>
          <w:tcPr>
            <w:tcW w:w="2610" w:type="dxa"/>
            <w:noWrap/>
            <w:vAlign w:val="bottom"/>
            <w:hideMark/>
          </w:tcPr>
          <w:p w14:paraId="73F57F92" w14:textId="77777777" w:rsidR="004C6575" w:rsidRPr="004B2FDB" w:rsidRDefault="004C6575" w:rsidP="004C6575">
            <w:pPr>
              <w:ind w:left="270"/>
              <w:jc w:val="center"/>
              <w:rPr>
                <w:color w:val="000000" w:themeColor="text1"/>
              </w:rPr>
            </w:pPr>
            <w:r w:rsidRPr="004B2FDB">
              <w:rPr>
                <w:color w:val="000000" w:themeColor="text1"/>
              </w:rPr>
              <w:t>-2.67</w:t>
            </w:r>
          </w:p>
        </w:tc>
      </w:tr>
      <w:tr w:rsidR="004C6575" w:rsidRPr="004B2FDB" w14:paraId="1A919416" w14:textId="77777777" w:rsidTr="004C6575">
        <w:trPr>
          <w:trHeight w:val="151"/>
        </w:trPr>
        <w:tc>
          <w:tcPr>
            <w:tcW w:w="1530" w:type="dxa"/>
            <w:hideMark/>
          </w:tcPr>
          <w:p w14:paraId="2C083A2C" w14:textId="77777777" w:rsidR="004C6575" w:rsidRPr="004B2FDB" w:rsidRDefault="004C6575" w:rsidP="004C6575">
            <w:pPr>
              <w:ind w:left="270"/>
              <w:jc w:val="center"/>
              <w:rPr>
                <w:color w:val="000000" w:themeColor="text1"/>
              </w:rPr>
            </w:pPr>
            <w:r w:rsidRPr="004B2FDB">
              <w:rPr>
                <w:color w:val="000000" w:themeColor="text1"/>
              </w:rPr>
              <w:t>2019</w:t>
            </w:r>
          </w:p>
        </w:tc>
        <w:tc>
          <w:tcPr>
            <w:tcW w:w="2340" w:type="dxa"/>
          </w:tcPr>
          <w:p w14:paraId="52AC82D9" w14:textId="77777777" w:rsidR="004C6575" w:rsidRPr="004B2FDB" w:rsidRDefault="004C6575" w:rsidP="004C6575">
            <w:pPr>
              <w:ind w:left="270"/>
              <w:jc w:val="center"/>
              <w:rPr>
                <w:color w:val="000000" w:themeColor="text1"/>
              </w:rPr>
            </w:pPr>
            <w:r w:rsidRPr="004B2FDB">
              <w:rPr>
                <w:color w:val="000000" w:themeColor="text1"/>
              </w:rPr>
              <w:t>3593</w:t>
            </w:r>
          </w:p>
        </w:tc>
        <w:tc>
          <w:tcPr>
            <w:tcW w:w="2880" w:type="dxa"/>
            <w:noWrap/>
            <w:vAlign w:val="bottom"/>
            <w:hideMark/>
          </w:tcPr>
          <w:p w14:paraId="3F24A901" w14:textId="77777777" w:rsidR="004C6575" w:rsidRPr="004B2FDB" w:rsidRDefault="004C6575" w:rsidP="004C6575">
            <w:pPr>
              <w:ind w:left="270" w:hanging="760"/>
              <w:jc w:val="center"/>
              <w:rPr>
                <w:color w:val="000000" w:themeColor="text1"/>
              </w:rPr>
            </w:pPr>
          </w:p>
        </w:tc>
        <w:tc>
          <w:tcPr>
            <w:tcW w:w="2610" w:type="dxa"/>
            <w:noWrap/>
            <w:vAlign w:val="bottom"/>
            <w:hideMark/>
          </w:tcPr>
          <w:p w14:paraId="7C7473F6" w14:textId="77777777" w:rsidR="004C6575" w:rsidRPr="004B2FDB" w:rsidRDefault="004C6575" w:rsidP="004C6575">
            <w:pPr>
              <w:ind w:left="270"/>
              <w:jc w:val="center"/>
              <w:rPr>
                <w:color w:val="000000" w:themeColor="text1"/>
              </w:rPr>
            </w:pPr>
          </w:p>
        </w:tc>
      </w:tr>
      <w:tr w:rsidR="004C6575" w:rsidRPr="004B2FDB" w14:paraId="389EFFBC" w14:textId="77777777" w:rsidTr="004C6575">
        <w:trPr>
          <w:trHeight w:val="160"/>
        </w:trPr>
        <w:tc>
          <w:tcPr>
            <w:tcW w:w="6750" w:type="dxa"/>
            <w:gridSpan w:val="3"/>
            <w:hideMark/>
          </w:tcPr>
          <w:p w14:paraId="5DEAE33C" w14:textId="77777777" w:rsidR="004C6575" w:rsidRPr="004B2FDB" w:rsidRDefault="004C6575" w:rsidP="004C6575">
            <w:pPr>
              <w:jc w:val="center"/>
              <w:rPr>
                <w:color w:val="000000" w:themeColor="text1"/>
              </w:rPr>
            </w:pPr>
            <w:r w:rsidRPr="004B2FDB">
              <w:rPr>
                <w:color w:val="000000" w:themeColor="text1"/>
              </w:rPr>
              <w:t xml:space="preserve">Annual Average </w:t>
            </w:r>
            <w:proofErr w:type="gramStart"/>
            <w:r w:rsidRPr="004B2FDB">
              <w:rPr>
                <w:color w:val="000000" w:themeColor="text1"/>
              </w:rPr>
              <w:t>Fluctuation(</w:t>
            </w:r>
            <w:proofErr w:type="gramEnd"/>
            <w:r w:rsidRPr="004B2FDB">
              <w:rPr>
                <w:color w:val="000000" w:themeColor="text1"/>
              </w:rPr>
              <w:t>+&amp; - signs are ignored)</w:t>
            </w:r>
          </w:p>
        </w:tc>
        <w:tc>
          <w:tcPr>
            <w:tcW w:w="2610" w:type="dxa"/>
            <w:noWrap/>
            <w:vAlign w:val="bottom"/>
            <w:hideMark/>
          </w:tcPr>
          <w:p w14:paraId="171C6D6F" w14:textId="77777777" w:rsidR="004C6575" w:rsidRPr="004B2FDB" w:rsidRDefault="004C6575" w:rsidP="004C6575">
            <w:pPr>
              <w:ind w:left="270"/>
              <w:jc w:val="center"/>
              <w:rPr>
                <w:color w:val="000000" w:themeColor="text1"/>
              </w:rPr>
            </w:pPr>
            <w:r w:rsidRPr="004B2FDB">
              <w:rPr>
                <w:color w:val="000000" w:themeColor="text1"/>
              </w:rPr>
              <w:t>7.47</w:t>
            </w:r>
          </w:p>
        </w:tc>
      </w:tr>
    </w:tbl>
    <w:p w14:paraId="46C5A2EB" w14:textId="77777777" w:rsidR="005E6A16" w:rsidRDefault="005E6A16" w:rsidP="006B3D15">
      <w:pPr>
        <w:autoSpaceDE w:val="0"/>
        <w:autoSpaceDN w:val="0"/>
        <w:adjustRightInd w:val="0"/>
        <w:jc w:val="both"/>
        <w:rPr>
          <w:color w:val="000000" w:themeColor="text1"/>
        </w:rPr>
      </w:pPr>
    </w:p>
    <w:p w14:paraId="2707E01F" w14:textId="77777777" w:rsidR="00E12376" w:rsidRDefault="00E12376" w:rsidP="00E12376">
      <w:pPr>
        <w:autoSpaceDE w:val="0"/>
        <w:autoSpaceDN w:val="0"/>
        <w:adjustRightInd w:val="0"/>
        <w:jc w:val="both"/>
        <w:rPr>
          <w:b/>
          <w:color w:val="000000" w:themeColor="text1"/>
        </w:rPr>
      </w:pPr>
      <w:r>
        <w:rPr>
          <w:b/>
          <w:color w:val="000000" w:themeColor="text1"/>
        </w:rPr>
        <w:t xml:space="preserve">    </w:t>
      </w:r>
      <w:r w:rsidR="004C6575">
        <w:rPr>
          <w:b/>
          <w:color w:val="000000" w:themeColor="text1"/>
        </w:rPr>
        <w:t>Fig-</w:t>
      </w:r>
      <w:r w:rsidR="004C6575" w:rsidRPr="004B2FDB">
        <w:rPr>
          <w:b/>
          <w:color w:val="000000" w:themeColor="text1"/>
        </w:rPr>
        <w:t xml:space="preserve">4: Lines for Supply of BCWs, Size of Employed Workers, Size of Casual Workers, Size of </w:t>
      </w:r>
    </w:p>
    <w:p w14:paraId="742DDB6D" w14:textId="77777777" w:rsidR="004C6575" w:rsidRPr="004B2FDB" w:rsidRDefault="00E12376" w:rsidP="00E12376">
      <w:pPr>
        <w:autoSpaceDE w:val="0"/>
        <w:autoSpaceDN w:val="0"/>
        <w:adjustRightInd w:val="0"/>
        <w:jc w:val="both"/>
        <w:rPr>
          <w:b/>
          <w:color w:val="000000" w:themeColor="text1"/>
        </w:rPr>
      </w:pPr>
      <w:r>
        <w:rPr>
          <w:b/>
          <w:color w:val="000000" w:themeColor="text1"/>
        </w:rPr>
        <w:t xml:space="preserve">               </w:t>
      </w:r>
      <w:r w:rsidR="004C6575" w:rsidRPr="004B2FDB">
        <w:rPr>
          <w:b/>
          <w:color w:val="000000" w:themeColor="text1"/>
        </w:rPr>
        <w:t xml:space="preserve">Contract workers and Size of unemployed workers in </w:t>
      </w:r>
      <w:r w:rsidRPr="004B2FDB">
        <w:rPr>
          <w:b/>
          <w:color w:val="000000" w:themeColor="text1"/>
        </w:rPr>
        <w:t>the Sample</w:t>
      </w:r>
      <w:r w:rsidR="004C6575" w:rsidRPr="004B2FDB">
        <w:rPr>
          <w:b/>
          <w:color w:val="000000" w:themeColor="text1"/>
        </w:rPr>
        <w:t xml:space="preserve"> urban areas, 2013-2019:</w:t>
      </w:r>
    </w:p>
    <w:p w14:paraId="1E47E075" w14:textId="77777777" w:rsidR="004C6575" w:rsidRDefault="004C6575" w:rsidP="00E12376">
      <w:pPr>
        <w:autoSpaceDE w:val="0"/>
        <w:autoSpaceDN w:val="0"/>
        <w:adjustRightInd w:val="0"/>
        <w:jc w:val="both"/>
        <w:rPr>
          <w:color w:val="000000" w:themeColor="text1"/>
        </w:rPr>
      </w:pPr>
      <w:r w:rsidRPr="004C6575">
        <w:rPr>
          <w:noProof/>
          <w:color w:val="000000" w:themeColor="text1"/>
          <w:lang w:eastAsia="en-US"/>
        </w:rPr>
        <w:lastRenderedPageBreak/>
        <w:drawing>
          <wp:inline distT="0" distB="0" distL="0" distR="0" wp14:anchorId="6B40A555" wp14:editId="2A13997A">
            <wp:extent cx="6037385" cy="2417885"/>
            <wp:effectExtent l="19050" t="0" r="20515" b="146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7AA5B8" w14:textId="77777777" w:rsidR="004C6575" w:rsidRDefault="004C6575" w:rsidP="00E12376">
      <w:pPr>
        <w:autoSpaceDE w:val="0"/>
        <w:autoSpaceDN w:val="0"/>
        <w:adjustRightInd w:val="0"/>
        <w:rPr>
          <w:color w:val="000000" w:themeColor="text1"/>
          <w:sz w:val="20"/>
          <w:szCs w:val="20"/>
        </w:rPr>
      </w:pPr>
      <w:r>
        <w:rPr>
          <w:color w:val="000000" w:themeColor="text1"/>
          <w:sz w:val="20"/>
          <w:szCs w:val="20"/>
        </w:rPr>
        <w:t xml:space="preserve">  </w:t>
      </w:r>
      <w:r w:rsidRPr="004B2FDB">
        <w:rPr>
          <w:color w:val="000000" w:themeColor="text1"/>
          <w:sz w:val="20"/>
          <w:szCs w:val="20"/>
        </w:rPr>
        <w:t>Data source: Employed Workers (Casual workers+ Contract workers) +Unemployed Workers</w:t>
      </w:r>
    </w:p>
    <w:p w14:paraId="6A346D0A" w14:textId="77777777" w:rsidR="004C6575" w:rsidRPr="004B2FDB" w:rsidRDefault="004C6575" w:rsidP="00E12376">
      <w:pPr>
        <w:autoSpaceDE w:val="0"/>
        <w:autoSpaceDN w:val="0"/>
        <w:adjustRightInd w:val="0"/>
        <w:rPr>
          <w:color w:val="000000" w:themeColor="text1"/>
          <w:sz w:val="20"/>
          <w:szCs w:val="20"/>
        </w:rPr>
      </w:pPr>
      <w:r>
        <w:rPr>
          <w:color w:val="000000" w:themeColor="text1"/>
          <w:sz w:val="20"/>
          <w:szCs w:val="20"/>
        </w:rPr>
        <w:t xml:space="preserve">                   </w:t>
      </w:r>
      <w:r w:rsidRPr="004B2FDB">
        <w:rPr>
          <w:color w:val="000000" w:themeColor="text1"/>
          <w:sz w:val="20"/>
          <w:szCs w:val="20"/>
        </w:rPr>
        <w:t xml:space="preserve">  = Total Supply of BCWs as shown in </w:t>
      </w:r>
      <w:r>
        <w:rPr>
          <w:color w:val="000000" w:themeColor="text1"/>
          <w:sz w:val="20"/>
          <w:szCs w:val="20"/>
        </w:rPr>
        <w:t>table-8</w:t>
      </w:r>
      <w:r w:rsidRPr="004B2FDB">
        <w:rPr>
          <w:color w:val="000000" w:themeColor="text1"/>
          <w:sz w:val="20"/>
          <w:szCs w:val="20"/>
        </w:rPr>
        <w:t>.</w:t>
      </w:r>
    </w:p>
    <w:p w14:paraId="784819BB" w14:textId="77777777" w:rsidR="004C6575" w:rsidRDefault="004C6575" w:rsidP="006B3D15">
      <w:pPr>
        <w:autoSpaceDE w:val="0"/>
        <w:autoSpaceDN w:val="0"/>
        <w:adjustRightInd w:val="0"/>
        <w:jc w:val="both"/>
        <w:rPr>
          <w:color w:val="000000" w:themeColor="text1"/>
        </w:rPr>
      </w:pPr>
    </w:p>
    <w:p w14:paraId="011019DE" w14:textId="77777777" w:rsidR="00E12376" w:rsidRPr="00E12376" w:rsidRDefault="00E12376" w:rsidP="00E12376">
      <w:pPr>
        <w:autoSpaceDE w:val="0"/>
        <w:autoSpaceDN w:val="0"/>
        <w:adjustRightInd w:val="0"/>
        <w:spacing w:before="120"/>
        <w:jc w:val="both"/>
        <w:rPr>
          <w:color w:val="000000" w:themeColor="text1"/>
        </w:rPr>
      </w:pPr>
      <w:r w:rsidRPr="00E12376">
        <w:rPr>
          <w:b/>
          <w:color w:val="000000" w:themeColor="text1"/>
        </w:rPr>
        <w:t xml:space="preserve">                    Fig-5: Supply Trend of BCWs in the sample areas during 2013-19:</w:t>
      </w:r>
    </w:p>
    <w:p w14:paraId="61BD01BC" w14:textId="77777777" w:rsidR="004C6575" w:rsidRPr="00E12376" w:rsidRDefault="00E12376" w:rsidP="00E12376">
      <w:pPr>
        <w:autoSpaceDE w:val="0"/>
        <w:autoSpaceDN w:val="0"/>
        <w:adjustRightInd w:val="0"/>
        <w:jc w:val="both"/>
        <w:rPr>
          <w:color w:val="000000" w:themeColor="text1"/>
        </w:rPr>
      </w:pPr>
      <w:r w:rsidRPr="00E12376">
        <w:rPr>
          <w:noProof/>
          <w:color w:val="000000" w:themeColor="text1"/>
          <w:lang w:eastAsia="en-US"/>
        </w:rPr>
        <w:drawing>
          <wp:inline distT="0" distB="0" distL="0" distR="0" wp14:anchorId="4CF3B0DD" wp14:editId="3BD4FC6E">
            <wp:extent cx="5968512" cy="1661746"/>
            <wp:effectExtent l="19050" t="0" r="13188"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AF869F5" w14:textId="77777777" w:rsidR="00E12376" w:rsidRPr="00E12376" w:rsidRDefault="00E12376" w:rsidP="00E12376">
      <w:pPr>
        <w:autoSpaceDE w:val="0"/>
        <w:autoSpaceDN w:val="0"/>
        <w:adjustRightInd w:val="0"/>
        <w:spacing w:before="120"/>
        <w:jc w:val="both"/>
        <w:rPr>
          <w:color w:val="000000" w:themeColor="text1"/>
        </w:rPr>
      </w:pPr>
      <w:r w:rsidRPr="00E12376">
        <w:rPr>
          <w:bCs/>
          <w:color w:val="000000" w:themeColor="text1"/>
        </w:rPr>
        <w:t xml:space="preserve">         Data Source: Size of building construction workers, 2013-2019 in table-8</w:t>
      </w:r>
    </w:p>
    <w:p w14:paraId="1705A716" w14:textId="77777777" w:rsidR="005E6A16" w:rsidRPr="004B2FDB" w:rsidRDefault="005E6A16" w:rsidP="00003F54">
      <w:pPr>
        <w:autoSpaceDE w:val="0"/>
        <w:autoSpaceDN w:val="0"/>
        <w:adjustRightInd w:val="0"/>
        <w:spacing w:before="120" w:line="276" w:lineRule="auto"/>
        <w:ind w:right="-25" w:firstLine="720"/>
        <w:jc w:val="both"/>
        <w:rPr>
          <w:color w:val="000000" w:themeColor="text1"/>
          <w:sz w:val="24"/>
          <w:szCs w:val="24"/>
        </w:rPr>
      </w:pPr>
      <w:r>
        <w:rPr>
          <w:color w:val="000000" w:themeColor="text1"/>
          <w:sz w:val="24"/>
          <w:szCs w:val="24"/>
        </w:rPr>
        <w:t xml:space="preserve">From the </w:t>
      </w:r>
      <w:r w:rsidRPr="004B2FDB">
        <w:rPr>
          <w:color w:val="000000" w:themeColor="text1"/>
          <w:sz w:val="24"/>
          <w:szCs w:val="24"/>
        </w:rPr>
        <w:t xml:space="preserve">percentage analysis of the dataset of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w:t>
      </w:r>
      <w:r w:rsidR="00003F54">
        <w:rPr>
          <w:color w:val="000000" w:themeColor="text1"/>
          <w:sz w:val="24"/>
          <w:szCs w:val="24"/>
        </w:rPr>
        <w:t>in the state,</w:t>
      </w:r>
      <w:r w:rsidRPr="004B2FDB">
        <w:rPr>
          <w:color w:val="000000" w:themeColor="text1"/>
          <w:sz w:val="24"/>
          <w:szCs w:val="24"/>
        </w:rPr>
        <w:t xml:space="preserve"> the supply of CWs</w:t>
      </w:r>
      <w:r w:rsidR="00003F54">
        <w:rPr>
          <w:color w:val="000000" w:themeColor="text1"/>
          <w:sz w:val="24"/>
          <w:szCs w:val="24"/>
        </w:rPr>
        <w:t xml:space="preserve"> of the state,</w:t>
      </w:r>
      <w:r w:rsidR="00003F54" w:rsidRPr="004B2FDB">
        <w:rPr>
          <w:color w:val="000000" w:themeColor="text1"/>
          <w:sz w:val="24"/>
          <w:szCs w:val="24"/>
        </w:rPr>
        <w:t xml:space="preserve"> the</w:t>
      </w:r>
      <w:r w:rsidRPr="004B2FDB">
        <w:rPr>
          <w:color w:val="000000" w:themeColor="text1"/>
          <w:sz w:val="24"/>
          <w:szCs w:val="24"/>
        </w:rPr>
        <w:t xml:space="preserve"> BCWs</w:t>
      </w:r>
      <w:r w:rsidR="00003F54">
        <w:rPr>
          <w:color w:val="000000" w:themeColor="text1"/>
          <w:sz w:val="24"/>
          <w:szCs w:val="24"/>
        </w:rPr>
        <w:t xml:space="preserve"> for the state and for</w:t>
      </w:r>
      <w:r w:rsidRPr="004B2FDB">
        <w:rPr>
          <w:color w:val="000000" w:themeColor="text1"/>
          <w:sz w:val="24"/>
          <w:szCs w:val="24"/>
        </w:rPr>
        <w:t xml:space="preserve"> the sample urban areas</w:t>
      </w:r>
      <w:r w:rsidR="00003F54">
        <w:rPr>
          <w:color w:val="000000" w:themeColor="text1"/>
          <w:sz w:val="24"/>
          <w:szCs w:val="24"/>
        </w:rPr>
        <w:t>, the following</w:t>
      </w:r>
      <w:r w:rsidRPr="004B2FDB">
        <w:rPr>
          <w:color w:val="000000" w:themeColor="text1"/>
          <w:sz w:val="24"/>
          <w:szCs w:val="24"/>
        </w:rPr>
        <w:t xml:space="preserve"> important </w:t>
      </w:r>
      <w:proofErr w:type="gramStart"/>
      <w:r w:rsidRPr="004B2FDB">
        <w:rPr>
          <w:color w:val="000000" w:themeColor="text1"/>
          <w:sz w:val="24"/>
          <w:szCs w:val="24"/>
        </w:rPr>
        <w:t>findings</w:t>
      </w:r>
      <w:r w:rsidR="00003F54">
        <w:rPr>
          <w:color w:val="000000" w:themeColor="text1"/>
          <w:sz w:val="24"/>
          <w:szCs w:val="24"/>
        </w:rPr>
        <w:t xml:space="preserve">  have</w:t>
      </w:r>
      <w:proofErr w:type="gramEnd"/>
      <w:r w:rsidR="00003F54">
        <w:rPr>
          <w:color w:val="000000" w:themeColor="text1"/>
          <w:sz w:val="24"/>
          <w:szCs w:val="24"/>
        </w:rPr>
        <w:t xml:space="preserve"> been found-</w:t>
      </w:r>
    </w:p>
    <w:p w14:paraId="4EE7AA9E" w14:textId="77777777" w:rsidR="005E6A16" w:rsidRPr="004B2FDB" w:rsidRDefault="005E6A16" w:rsidP="00833F6F">
      <w:pPr>
        <w:autoSpaceDE w:val="0"/>
        <w:autoSpaceDN w:val="0"/>
        <w:adjustRightInd w:val="0"/>
        <w:spacing w:before="120" w:line="276" w:lineRule="auto"/>
        <w:ind w:right="-25" w:firstLine="720"/>
        <w:jc w:val="both"/>
        <w:rPr>
          <w:color w:val="000000" w:themeColor="text1"/>
          <w:sz w:val="24"/>
          <w:szCs w:val="24"/>
        </w:rPr>
      </w:pPr>
      <w:r w:rsidRPr="004B2FDB">
        <w:rPr>
          <w:color w:val="000000" w:themeColor="text1"/>
          <w:sz w:val="24"/>
          <w:szCs w:val="24"/>
        </w:rPr>
        <w:t>On an annual average, and in terms of percentage increase</w:t>
      </w:r>
      <w:r w:rsidR="00003F54">
        <w:rPr>
          <w:color w:val="000000" w:themeColor="text1"/>
          <w:sz w:val="24"/>
          <w:szCs w:val="24"/>
        </w:rPr>
        <w:t>,</w:t>
      </w:r>
      <w:r w:rsidRPr="004B2FDB">
        <w:rPr>
          <w:color w:val="000000" w:themeColor="text1"/>
          <w:sz w:val="24"/>
          <w:szCs w:val="24"/>
        </w:rPr>
        <w:t xml:space="preserve"> the supply of BCWs</w:t>
      </w:r>
      <w:r w:rsidR="00003F54">
        <w:rPr>
          <w:color w:val="000000" w:themeColor="text1"/>
          <w:sz w:val="24"/>
          <w:szCs w:val="24"/>
        </w:rPr>
        <w:t xml:space="preserve"> in the state (5.66</w:t>
      </w:r>
      <w:proofErr w:type="gramStart"/>
      <w:r w:rsidR="00003F54">
        <w:rPr>
          <w:color w:val="000000" w:themeColor="text1"/>
          <w:sz w:val="24"/>
          <w:szCs w:val="24"/>
        </w:rPr>
        <w:t>%)(</w:t>
      </w:r>
      <w:proofErr w:type="gramEnd"/>
      <w:r w:rsidR="00003F54">
        <w:rPr>
          <w:color w:val="000000" w:themeColor="text1"/>
          <w:sz w:val="24"/>
          <w:szCs w:val="24"/>
        </w:rPr>
        <w:t>table-8</w:t>
      </w:r>
      <w:r w:rsidRPr="004B2FDB">
        <w:rPr>
          <w:color w:val="000000" w:themeColor="text1"/>
          <w:sz w:val="24"/>
          <w:szCs w:val="24"/>
        </w:rPr>
        <w:t>)&gt;  supply of BCWs in the sample urban areas (5.15%)</w:t>
      </w:r>
      <w:r w:rsidR="00003F54">
        <w:rPr>
          <w:color w:val="000000" w:themeColor="text1"/>
          <w:sz w:val="24"/>
          <w:szCs w:val="24"/>
        </w:rPr>
        <w:t>(table-5</w:t>
      </w:r>
      <w:r w:rsidRPr="004B2FDB">
        <w:rPr>
          <w:color w:val="000000" w:themeColor="text1"/>
          <w:sz w:val="24"/>
          <w:szCs w:val="24"/>
        </w:rPr>
        <w:t>) &gt; the supply of CWs in the state (4.85%)</w:t>
      </w:r>
      <w:r w:rsidR="00003F54">
        <w:rPr>
          <w:color w:val="000000" w:themeColor="text1"/>
          <w:sz w:val="24"/>
          <w:szCs w:val="24"/>
        </w:rPr>
        <w:t>(table-4</w:t>
      </w:r>
      <w:r w:rsidRPr="004B2FDB">
        <w:rPr>
          <w:color w:val="000000" w:themeColor="text1"/>
          <w:sz w:val="24"/>
          <w:szCs w:val="24"/>
        </w:rPr>
        <w:t xml:space="preserve">) &gt;  total </w:t>
      </w:r>
      <w:proofErr w:type="spellStart"/>
      <w:r w:rsidRPr="004B2FDB">
        <w:rPr>
          <w:color w:val="000000" w:themeColor="text1"/>
          <w:sz w:val="24"/>
          <w:szCs w:val="24"/>
        </w:rPr>
        <w:t>labour</w:t>
      </w:r>
      <w:proofErr w:type="spellEnd"/>
      <w:r w:rsidRPr="004B2FDB">
        <w:rPr>
          <w:color w:val="000000" w:themeColor="text1"/>
          <w:sz w:val="24"/>
          <w:szCs w:val="24"/>
        </w:rPr>
        <w:t xml:space="preserve"> supply in the state (3.59%) (table</w:t>
      </w:r>
      <w:r w:rsidR="00003F54">
        <w:rPr>
          <w:color w:val="000000" w:themeColor="text1"/>
          <w:sz w:val="24"/>
          <w:szCs w:val="24"/>
        </w:rPr>
        <w:t>-3</w:t>
      </w:r>
      <w:r w:rsidRPr="004B2FDB">
        <w:rPr>
          <w:color w:val="000000" w:themeColor="text1"/>
          <w:sz w:val="24"/>
          <w:szCs w:val="24"/>
        </w:rPr>
        <w:t xml:space="preserve">). </w:t>
      </w:r>
    </w:p>
    <w:p w14:paraId="28894F02" w14:textId="77777777" w:rsidR="005E6A16" w:rsidRPr="004B2FDB" w:rsidRDefault="005E6A16" w:rsidP="00003F54">
      <w:pPr>
        <w:autoSpaceDE w:val="0"/>
        <w:autoSpaceDN w:val="0"/>
        <w:adjustRightInd w:val="0"/>
        <w:spacing w:before="120" w:line="276" w:lineRule="auto"/>
        <w:ind w:right="-25" w:firstLine="720"/>
        <w:jc w:val="both"/>
        <w:rPr>
          <w:b/>
          <w:i/>
          <w:color w:val="000000" w:themeColor="text1"/>
          <w:sz w:val="24"/>
          <w:szCs w:val="24"/>
        </w:rPr>
      </w:pPr>
      <w:r w:rsidRPr="004B2FDB">
        <w:rPr>
          <w:b/>
          <w:i/>
          <w:color w:val="000000" w:themeColor="text1"/>
          <w:sz w:val="24"/>
          <w:szCs w:val="24"/>
        </w:rPr>
        <w:t xml:space="preserve">As regards to the research question-1, Whether supply of BCWs in sample areas is growing at a higher rate than that of the CWs as well as the total </w:t>
      </w:r>
      <w:proofErr w:type="spellStart"/>
      <w:r w:rsidRPr="004B2FDB">
        <w:rPr>
          <w:b/>
          <w:i/>
          <w:color w:val="000000" w:themeColor="text1"/>
          <w:sz w:val="24"/>
          <w:szCs w:val="24"/>
        </w:rPr>
        <w:t>labour</w:t>
      </w:r>
      <w:proofErr w:type="spellEnd"/>
      <w:r w:rsidRPr="004B2FDB">
        <w:rPr>
          <w:b/>
          <w:i/>
          <w:color w:val="000000" w:themeColor="text1"/>
          <w:sz w:val="24"/>
          <w:szCs w:val="24"/>
        </w:rPr>
        <w:t xml:space="preserve"> supply in the state?</w:t>
      </w:r>
    </w:p>
    <w:p w14:paraId="36A8D0E0" w14:textId="77777777" w:rsidR="004544DF" w:rsidRDefault="005E6A16" w:rsidP="00833F6F">
      <w:pPr>
        <w:autoSpaceDE w:val="0"/>
        <w:autoSpaceDN w:val="0"/>
        <w:adjustRightInd w:val="0"/>
        <w:spacing w:before="120" w:line="276" w:lineRule="auto"/>
        <w:ind w:right="-25" w:firstLine="720"/>
        <w:jc w:val="both"/>
        <w:rPr>
          <w:color w:val="000000" w:themeColor="text1"/>
          <w:sz w:val="24"/>
          <w:szCs w:val="24"/>
        </w:rPr>
      </w:pPr>
      <w:r w:rsidRPr="004B2FDB">
        <w:rPr>
          <w:b/>
          <w:i/>
          <w:color w:val="000000" w:themeColor="text1"/>
          <w:sz w:val="24"/>
          <w:szCs w:val="24"/>
        </w:rPr>
        <w:t xml:space="preserve"> - it has been found that the supply of building construction </w:t>
      </w:r>
      <w:proofErr w:type="gramStart"/>
      <w:r w:rsidRPr="004B2FDB">
        <w:rPr>
          <w:b/>
          <w:i/>
          <w:color w:val="000000" w:themeColor="text1"/>
          <w:sz w:val="24"/>
          <w:szCs w:val="24"/>
        </w:rPr>
        <w:t>workers( BCWs</w:t>
      </w:r>
      <w:proofErr w:type="gramEnd"/>
      <w:r w:rsidRPr="004B2FDB">
        <w:rPr>
          <w:b/>
          <w:i/>
          <w:color w:val="000000" w:themeColor="text1"/>
          <w:sz w:val="24"/>
          <w:szCs w:val="24"/>
        </w:rPr>
        <w:t xml:space="preserve">) in the sample urban areas has been growing at a higher rate compared to that of supply of construction workers(CWs) and the total </w:t>
      </w:r>
      <w:proofErr w:type="spellStart"/>
      <w:r w:rsidRPr="004B2FDB">
        <w:rPr>
          <w:b/>
          <w:i/>
          <w:color w:val="000000" w:themeColor="text1"/>
          <w:sz w:val="24"/>
          <w:szCs w:val="24"/>
        </w:rPr>
        <w:t>labour</w:t>
      </w:r>
      <w:proofErr w:type="spellEnd"/>
      <w:r w:rsidRPr="004B2FDB">
        <w:rPr>
          <w:b/>
          <w:i/>
          <w:color w:val="000000" w:themeColor="text1"/>
          <w:sz w:val="24"/>
          <w:szCs w:val="24"/>
        </w:rPr>
        <w:t xml:space="preserve"> supply in the state. </w:t>
      </w:r>
    </w:p>
    <w:p w14:paraId="0561F05A" w14:textId="77777777" w:rsidR="004544DF" w:rsidRPr="004544DF" w:rsidRDefault="004544DF" w:rsidP="004544DF">
      <w:pPr>
        <w:pStyle w:val="Heading1"/>
        <w:spacing w:before="114"/>
        <w:ind w:firstLine="120"/>
        <w:rPr>
          <w:color w:val="auto"/>
          <w:sz w:val="24"/>
          <w:szCs w:val="24"/>
        </w:rPr>
      </w:pPr>
      <w:r w:rsidRPr="004544DF">
        <w:rPr>
          <w:color w:val="auto"/>
          <w:sz w:val="24"/>
          <w:szCs w:val="24"/>
        </w:rPr>
        <w:t>Seasonal Variation in the supply of the BCWs in Sample Urban Areas:</w:t>
      </w:r>
    </w:p>
    <w:p w14:paraId="194E7168" w14:textId="77777777" w:rsidR="004544DF" w:rsidRDefault="004544DF" w:rsidP="004544DF">
      <w:pPr>
        <w:spacing w:before="146" w:line="273" w:lineRule="auto"/>
        <w:ind w:left="120"/>
        <w:jc w:val="both"/>
        <w:rPr>
          <w:sz w:val="24"/>
          <w:szCs w:val="24"/>
        </w:rPr>
      </w:pPr>
      <w:r w:rsidRPr="004544DF">
        <w:rPr>
          <w:sz w:val="24"/>
          <w:szCs w:val="24"/>
        </w:rPr>
        <w:t>Applying Ratio to Moving Average Method (Gupta, 19</w:t>
      </w:r>
      <w:r>
        <w:rPr>
          <w:sz w:val="24"/>
          <w:szCs w:val="24"/>
        </w:rPr>
        <w:t>90) to data set shown in table-10</w:t>
      </w:r>
      <w:r w:rsidRPr="004544DF">
        <w:rPr>
          <w:sz w:val="24"/>
          <w:szCs w:val="24"/>
        </w:rPr>
        <w:t xml:space="preserve">, the </w:t>
      </w:r>
      <w:r w:rsidRPr="004544DF">
        <w:rPr>
          <w:sz w:val="24"/>
          <w:szCs w:val="24"/>
        </w:rPr>
        <w:lastRenderedPageBreak/>
        <w:t>adjusted seasonal index in the normal season (January to April in a calendar y</w:t>
      </w:r>
      <w:r w:rsidR="00EF10E3">
        <w:rPr>
          <w:sz w:val="24"/>
          <w:szCs w:val="24"/>
        </w:rPr>
        <w:t>ear) has been found to be 101.85, it is 86.15</w:t>
      </w:r>
      <w:r w:rsidRPr="004544DF">
        <w:rPr>
          <w:sz w:val="24"/>
          <w:szCs w:val="24"/>
        </w:rPr>
        <w:t xml:space="preserve"> in the slack se</w:t>
      </w:r>
      <w:r w:rsidR="00EF10E3">
        <w:rPr>
          <w:sz w:val="24"/>
          <w:szCs w:val="24"/>
        </w:rPr>
        <w:t>asons (May to August) and 112</w:t>
      </w:r>
      <w:r w:rsidRPr="004544DF">
        <w:rPr>
          <w:sz w:val="24"/>
          <w:szCs w:val="24"/>
        </w:rPr>
        <w:t xml:space="preserve"> for the full-swing season starting during the winter (September to December)</w:t>
      </w:r>
      <w:r>
        <w:rPr>
          <w:sz w:val="24"/>
          <w:szCs w:val="24"/>
        </w:rPr>
        <w:t>.</w:t>
      </w:r>
    </w:p>
    <w:p w14:paraId="71616BE9" w14:textId="77777777" w:rsidR="00EF10E3" w:rsidRPr="00EF10E3" w:rsidRDefault="00EF10E3" w:rsidP="00EF10E3">
      <w:pPr>
        <w:pBdr>
          <w:top w:val="nil"/>
          <w:left w:val="nil"/>
          <w:bottom w:val="nil"/>
          <w:right w:val="nil"/>
          <w:between w:val="nil"/>
        </w:pBdr>
        <w:spacing w:before="197"/>
        <w:rPr>
          <w:b/>
          <w:color w:val="000000"/>
        </w:rPr>
      </w:pPr>
      <w:r>
        <w:rPr>
          <w:b/>
          <w:color w:val="000000"/>
        </w:rPr>
        <w:t xml:space="preserve">            </w:t>
      </w:r>
      <w:r w:rsidRPr="00EF10E3">
        <w:rPr>
          <w:b/>
          <w:color w:val="000000"/>
        </w:rPr>
        <w:t>Table-</w:t>
      </w:r>
      <w:proofErr w:type="gramStart"/>
      <w:r w:rsidRPr="00EF10E3">
        <w:rPr>
          <w:b/>
          <w:color w:val="000000"/>
        </w:rPr>
        <w:t>10:Size</w:t>
      </w:r>
      <w:proofErr w:type="gramEnd"/>
      <w:r w:rsidRPr="00EF10E3">
        <w:rPr>
          <w:b/>
          <w:color w:val="000000"/>
        </w:rPr>
        <w:t xml:space="preserve"> of BCWs in sample areas indifferent seasons during 2013-2019:</w:t>
      </w:r>
    </w:p>
    <w:tbl>
      <w:tblPr>
        <w:tblStyle w:val="TableGrid"/>
        <w:tblW w:w="0" w:type="auto"/>
        <w:tblInd w:w="558" w:type="dxa"/>
        <w:tblLook w:val="04A0" w:firstRow="1" w:lastRow="0" w:firstColumn="1" w:lastColumn="0" w:noHBand="0" w:noVBand="1"/>
      </w:tblPr>
      <w:tblGrid>
        <w:gridCol w:w="2250"/>
        <w:gridCol w:w="2430"/>
        <w:gridCol w:w="1710"/>
        <w:gridCol w:w="2520"/>
      </w:tblGrid>
      <w:tr w:rsidR="00EF10E3" w:rsidRPr="00EF10E3" w14:paraId="35C1EFB4" w14:textId="77777777" w:rsidTr="005B0622">
        <w:trPr>
          <w:trHeight w:val="332"/>
        </w:trPr>
        <w:tc>
          <w:tcPr>
            <w:tcW w:w="2250" w:type="dxa"/>
          </w:tcPr>
          <w:p w14:paraId="4175AE46" w14:textId="77777777" w:rsidR="00EF10E3" w:rsidRPr="00EF10E3" w:rsidRDefault="00B335E8" w:rsidP="00EF10E3">
            <w:pPr>
              <w:rPr>
                <w:color w:val="000000"/>
              </w:rPr>
            </w:pPr>
            <w:r>
              <w:rPr>
                <w:noProof/>
                <w:color w:val="000000"/>
                <w:lang w:eastAsia="en-US"/>
              </w:rPr>
              <w:pict w14:anchorId="74E4E23F">
                <v:shapetype id="_x0000_t32" coordsize="21600,21600" o:spt="32" o:oned="t" path="m,l21600,21600e" filled="f">
                  <v:path arrowok="t" fillok="f" o:connecttype="none"/>
                  <o:lock v:ext="edit" shapetype="t"/>
                </v:shapetype>
                <v:shape id="_x0000_s1026" type="#_x0000_t32" style="position:absolute;margin-left:-4.35pt;margin-top:.75pt;width:111.45pt;height:24.25pt;z-index:251674624" o:connectortype="straight"/>
              </w:pict>
            </w:r>
            <w:r w:rsidR="00EF10E3" w:rsidRPr="00EF10E3">
              <w:rPr>
                <w:color w:val="000000"/>
              </w:rPr>
              <w:t xml:space="preserve">                  Seasons</w:t>
            </w:r>
          </w:p>
          <w:p w14:paraId="5AAB8B2B" w14:textId="77777777" w:rsidR="00EF10E3" w:rsidRPr="00EF10E3" w:rsidRDefault="00EF10E3" w:rsidP="00EF10E3">
            <w:pPr>
              <w:rPr>
                <w:color w:val="000000"/>
              </w:rPr>
            </w:pPr>
            <w:r w:rsidRPr="00EF10E3">
              <w:rPr>
                <w:color w:val="000000"/>
              </w:rPr>
              <w:t>Years</w:t>
            </w:r>
          </w:p>
        </w:tc>
        <w:tc>
          <w:tcPr>
            <w:tcW w:w="2430" w:type="dxa"/>
          </w:tcPr>
          <w:p w14:paraId="0206E55D" w14:textId="77777777" w:rsidR="00EF10E3" w:rsidRPr="00EF10E3" w:rsidRDefault="00EF10E3" w:rsidP="00EF10E3">
            <w:pPr>
              <w:rPr>
                <w:color w:val="000000"/>
              </w:rPr>
            </w:pPr>
            <w:r w:rsidRPr="00EF10E3">
              <w:rPr>
                <w:color w:val="000000"/>
              </w:rPr>
              <w:t>Normal Season</w:t>
            </w:r>
          </w:p>
        </w:tc>
        <w:tc>
          <w:tcPr>
            <w:tcW w:w="1710" w:type="dxa"/>
          </w:tcPr>
          <w:p w14:paraId="5D99D41C" w14:textId="77777777" w:rsidR="00EF10E3" w:rsidRPr="00EF10E3" w:rsidRDefault="00EF10E3" w:rsidP="00EF10E3">
            <w:pPr>
              <w:rPr>
                <w:color w:val="000000"/>
              </w:rPr>
            </w:pPr>
            <w:r w:rsidRPr="00EF10E3">
              <w:rPr>
                <w:color w:val="000000"/>
              </w:rPr>
              <w:t>Slack Season</w:t>
            </w:r>
          </w:p>
        </w:tc>
        <w:tc>
          <w:tcPr>
            <w:tcW w:w="2520" w:type="dxa"/>
          </w:tcPr>
          <w:p w14:paraId="716B2045" w14:textId="77777777" w:rsidR="00EF10E3" w:rsidRPr="00EF10E3" w:rsidRDefault="00EF10E3" w:rsidP="00EF10E3">
            <w:pPr>
              <w:rPr>
                <w:color w:val="000000"/>
              </w:rPr>
            </w:pPr>
            <w:r w:rsidRPr="00EF10E3">
              <w:rPr>
                <w:color w:val="000000"/>
              </w:rPr>
              <w:t>Full-swing Season</w:t>
            </w:r>
          </w:p>
        </w:tc>
      </w:tr>
      <w:tr w:rsidR="00EF10E3" w:rsidRPr="00EF10E3" w14:paraId="02E0A8DB" w14:textId="77777777" w:rsidTr="00EF10E3">
        <w:tc>
          <w:tcPr>
            <w:tcW w:w="2250" w:type="dxa"/>
          </w:tcPr>
          <w:p w14:paraId="6C1590F3"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2013</w:t>
            </w:r>
          </w:p>
        </w:tc>
        <w:tc>
          <w:tcPr>
            <w:tcW w:w="2430" w:type="dxa"/>
          </w:tcPr>
          <w:p w14:paraId="12669BD6"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2666</w:t>
            </w:r>
          </w:p>
        </w:tc>
        <w:tc>
          <w:tcPr>
            <w:tcW w:w="1710" w:type="dxa"/>
          </w:tcPr>
          <w:p w14:paraId="05752767"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2425</w:t>
            </w:r>
          </w:p>
        </w:tc>
        <w:tc>
          <w:tcPr>
            <w:tcW w:w="2520" w:type="dxa"/>
          </w:tcPr>
          <w:p w14:paraId="7A7558E8"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3072</w:t>
            </w:r>
          </w:p>
        </w:tc>
      </w:tr>
      <w:tr w:rsidR="00EF10E3" w:rsidRPr="00EF10E3" w14:paraId="44CD4802" w14:textId="77777777" w:rsidTr="00EF10E3">
        <w:tc>
          <w:tcPr>
            <w:tcW w:w="2250" w:type="dxa"/>
          </w:tcPr>
          <w:p w14:paraId="7FBA94AC"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2014</w:t>
            </w:r>
          </w:p>
        </w:tc>
        <w:tc>
          <w:tcPr>
            <w:tcW w:w="2430" w:type="dxa"/>
          </w:tcPr>
          <w:p w14:paraId="33E696C1"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2805</w:t>
            </w:r>
          </w:p>
        </w:tc>
        <w:tc>
          <w:tcPr>
            <w:tcW w:w="1710" w:type="dxa"/>
          </w:tcPr>
          <w:p w14:paraId="303235DE"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2379</w:t>
            </w:r>
          </w:p>
        </w:tc>
        <w:tc>
          <w:tcPr>
            <w:tcW w:w="2520" w:type="dxa"/>
          </w:tcPr>
          <w:p w14:paraId="114951A1"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3156</w:t>
            </w:r>
          </w:p>
        </w:tc>
      </w:tr>
      <w:tr w:rsidR="00EF10E3" w:rsidRPr="00EF10E3" w14:paraId="3F850EE1" w14:textId="77777777" w:rsidTr="00EF10E3">
        <w:tc>
          <w:tcPr>
            <w:tcW w:w="2250" w:type="dxa"/>
          </w:tcPr>
          <w:p w14:paraId="12504940"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2015</w:t>
            </w:r>
          </w:p>
        </w:tc>
        <w:tc>
          <w:tcPr>
            <w:tcW w:w="2430" w:type="dxa"/>
          </w:tcPr>
          <w:p w14:paraId="2D16CB88"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2954</w:t>
            </w:r>
          </w:p>
        </w:tc>
        <w:tc>
          <w:tcPr>
            <w:tcW w:w="1710" w:type="dxa"/>
          </w:tcPr>
          <w:p w14:paraId="5E8AEB7C"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2635</w:t>
            </w:r>
          </w:p>
        </w:tc>
        <w:tc>
          <w:tcPr>
            <w:tcW w:w="2520" w:type="dxa"/>
          </w:tcPr>
          <w:p w14:paraId="1278CE0A"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3414</w:t>
            </w:r>
          </w:p>
        </w:tc>
      </w:tr>
      <w:tr w:rsidR="00EF10E3" w:rsidRPr="00EF10E3" w14:paraId="4E8FC760" w14:textId="77777777" w:rsidTr="00EF10E3">
        <w:tc>
          <w:tcPr>
            <w:tcW w:w="2250" w:type="dxa"/>
          </w:tcPr>
          <w:p w14:paraId="6E989EE2"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2016</w:t>
            </w:r>
          </w:p>
        </w:tc>
        <w:tc>
          <w:tcPr>
            <w:tcW w:w="2430" w:type="dxa"/>
          </w:tcPr>
          <w:p w14:paraId="70143970"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3145</w:t>
            </w:r>
          </w:p>
        </w:tc>
        <w:tc>
          <w:tcPr>
            <w:tcW w:w="1710" w:type="dxa"/>
          </w:tcPr>
          <w:p w14:paraId="52EC68E9"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2640</w:t>
            </w:r>
          </w:p>
        </w:tc>
        <w:tc>
          <w:tcPr>
            <w:tcW w:w="2520" w:type="dxa"/>
          </w:tcPr>
          <w:p w14:paraId="528189C9"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3531</w:t>
            </w:r>
          </w:p>
        </w:tc>
      </w:tr>
      <w:tr w:rsidR="00EF10E3" w:rsidRPr="00EF10E3" w14:paraId="7A1F7ACB" w14:textId="77777777" w:rsidTr="00EF10E3">
        <w:tc>
          <w:tcPr>
            <w:tcW w:w="2250" w:type="dxa"/>
          </w:tcPr>
          <w:p w14:paraId="7CE0822A"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2017</w:t>
            </w:r>
          </w:p>
        </w:tc>
        <w:tc>
          <w:tcPr>
            <w:tcW w:w="2430" w:type="dxa"/>
          </w:tcPr>
          <w:p w14:paraId="4BEE92B9"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3307</w:t>
            </w:r>
          </w:p>
        </w:tc>
        <w:tc>
          <w:tcPr>
            <w:tcW w:w="1710" w:type="dxa"/>
          </w:tcPr>
          <w:p w14:paraId="1A7F9AA7"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2795</w:t>
            </w:r>
          </w:p>
        </w:tc>
        <w:tc>
          <w:tcPr>
            <w:tcW w:w="2520" w:type="dxa"/>
          </w:tcPr>
          <w:p w14:paraId="2C5CAB2C"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3768</w:t>
            </w:r>
          </w:p>
        </w:tc>
      </w:tr>
      <w:tr w:rsidR="00EF10E3" w:rsidRPr="00EF10E3" w14:paraId="77E925D9" w14:textId="77777777" w:rsidTr="00EF10E3">
        <w:tc>
          <w:tcPr>
            <w:tcW w:w="2250" w:type="dxa"/>
          </w:tcPr>
          <w:p w14:paraId="24B6A659"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2018</w:t>
            </w:r>
          </w:p>
        </w:tc>
        <w:tc>
          <w:tcPr>
            <w:tcW w:w="2430" w:type="dxa"/>
          </w:tcPr>
          <w:p w14:paraId="0E186DB1"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3446</w:t>
            </w:r>
          </w:p>
        </w:tc>
        <w:tc>
          <w:tcPr>
            <w:tcW w:w="1710" w:type="dxa"/>
          </w:tcPr>
          <w:p w14:paraId="5A34CC1B"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2927</w:t>
            </w:r>
          </w:p>
        </w:tc>
        <w:tc>
          <w:tcPr>
            <w:tcW w:w="2520" w:type="dxa"/>
          </w:tcPr>
          <w:p w14:paraId="3687197A"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3987</w:t>
            </w:r>
          </w:p>
        </w:tc>
      </w:tr>
      <w:tr w:rsidR="00EF10E3" w:rsidRPr="00EF10E3" w14:paraId="3AAA12C7" w14:textId="77777777" w:rsidTr="00EF10E3">
        <w:tc>
          <w:tcPr>
            <w:tcW w:w="2250" w:type="dxa"/>
          </w:tcPr>
          <w:p w14:paraId="465DEF71"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2019</w:t>
            </w:r>
          </w:p>
        </w:tc>
        <w:tc>
          <w:tcPr>
            <w:tcW w:w="2430" w:type="dxa"/>
          </w:tcPr>
          <w:p w14:paraId="1CB79466"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3593</w:t>
            </w:r>
          </w:p>
        </w:tc>
        <w:tc>
          <w:tcPr>
            <w:tcW w:w="1710" w:type="dxa"/>
          </w:tcPr>
          <w:p w14:paraId="49C4D86F"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3137</w:t>
            </w:r>
          </w:p>
        </w:tc>
        <w:tc>
          <w:tcPr>
            <w:tcW w:w="2520" w:type="dxa"/>
          </w:tcPr>
          <w:p w14:paraId="1FAFE9D3" w14:textId="77777777" w:rsidR="00EF10E3" w:rsidRPr="00EF10E3" w:rsidRDefault="00EF10E3" w:rsidP="00DC4F29">
            <w:pPr>
              <w:pBdr>
                <w:top w:val="nil"/>
                <w:left w:val="nil"/>
                <w:bottom w:val="nil"/>
                <w:right w:val="nil"/>
                <w:between w:val="nil"/>
              </w:pBdr>
              <w:spacing w:before="35"/>
              <w:ind w:left="119"/>
              <w:rPr>
                <w:color w:val="000000"/>
              </w:rPr>
            </w:pPr>
            <w:r w:rsidRPr="00EF10E3">
              <w:rPr>
                <w:color w:val="000000"/>
              </w:rPr>
              <w:t>4195</w:t>
            </w:r>
          </w:p>
        </w:tc>
      </w:tr>
    </w:tbl>
    <w:p w14:paraId="299F2EF1" w14:textId="77777777" w:rsidR="00EF10E3" w:rsidRPr="00EF10E3" w:rsidRDefault="00EF10E3" w:rsidP="00EF10E3">
      <w:pPr>
        <w:spacing w:before="55"/>
      </w:pPr>
      <w:r>
        <w:t xml:space="preserve">          </w:t>
      </w:r>
      <w:r w:rsidRPr="00EF10E3">
        <w:t>Source: Field survey data in 90 sample sites in Brahmaputra valley</w:t>
      </w:r>
      <w:r>
        <w:t>, Assam.</w:t>
      </w:r>
    </w:p>
    <w:p w14:paraId="5AD89470" w14:textId="77777777" w:rsidR="00EF10E3" w:rsidRPr="00EF10E3" w:rsidRDefault="00EF10E3" w:rsidP="00EF10E3">
      <w:pPr>
        <w:pBdr>
          <w:top w:val="nil"/>
          <w:left w:val="nil"/>
          <w:bottom w:val="nil"/>
          <w:right w:val="nil"/>
          <w:between w:val="nil"/>
        </w:pBdr>
        <w:ind w:left="1870"/>
        <w:rPr>
          <w:color w:val="000000"/>
        </w:rPr>
      </w:pPr>
    </w:p>
    <w:p w14:paraId="41C37211" w14:textId="77777777" w:rsidR="00EF10E3" w:rsidRPr="00EF10E3" w:rsidRDefault="00EF10E3" w:rsidP="00EF10E3">
      <w:pPr>
        <w:pBdr>
          <w:top w:val="nil"/>
          <w:left w:val="nil"/>
          <w:bottom w:val="nil"/>
          <w:right w:val="nil"/>
          <w:between w:val="nil"/>
        </w:pBdr>
        <w:tabs>
          <w:tab w:val="left" w:pos="340"/>
        </w:tabs>
        <w:spacing w:before="106" w:line="276" w:lineRule="auto"/>
        <w:ind w:left="120" w:right="-180"/>
        <w:jc w:val="both"/>
        <w:rPr>
          <w:color w:val="000000"/>
          <w:sz w:val="24"/>
          <w:szCs w:val="24"/>
        </w:rPr>
      </w:pPr>
      <w:r>
        <w:rPr>
          <w:color w:val="000000"/>
          <w:sz w:val="24"/>
          <w:szCs w:val="24"/>
        </w:rPr>
        <w:t xml:space="preserve">          </w:t>
      </w:r>
      <w:r w:rsidRPr="00EF10E3">
        <w:rPr>
          <w:color w:val="000000"/>
          <w:sz w:val="24"/>
          <w:szCs w:val="24"/>
        </w:rPr>
        <w:t>Supply of BCWs in the sample survey areas is found to vary at a moderate rate in different seasons in a year.</w:t>
      </w:r>
      <w:r>
        <w:rPr>
          <w:color w:val="000000"/>
          <w:sz w:val="24"/>
          <w:szCs w:val="24"/>
        </w:rPr>
        <w:t xml:space="preserve"> </w:t>
      </w:r>
      <w:r w:rsidRPr="00EF10E3">
        <w:rPr>
          <w:color w:val="000000"/>
          <w:sz w:val="24"/>
          <w:szCs w:val="24"/>
        </w:rPr>
        <w:t>During the normal season,</w:t>
      </w:r>
      <w:r>
        <w:rPr>
          <w:color w:val="000000"/>
          <w:sz w:val="24"/>
          <w:szCs w:val="24"/>
        </w:rPr>
        <w:t xml:space="preserve"> </w:t>
      </w:r>
      <w:r w:rsidRPr="00EF10E3">
        <w:rPr>
          <w:color w:val="000000"/>
          <w:sz w:val="24"/>
          <w:szCs w:val="24"/>
        </w:rPr>
        <w:t>the supply of BCWs remains almost stable.  In the slack/rainy season,</w:t>
      </w:r>
      <w:r>
        <w:rPr>
          <w:color w:val="000000"/>
          <w:sz w:val="24"/>
          <w:szCs w:val="24"/>
        </w:rPr>
        <w:t xml:space="preserve"> </w:t>
      </w:r>
      <w:r w:rsidRPr="00EF10E3">
        <w:rPr>
          <w:color w:val="000000"/>
          <w:sz w:val="24"/>
          <w:szCs w:val="24"/>
        </w:rPr>
        <w:t>the</w:t>
      </w:r>
      <w:r>
        <w:rPr>
          <w:color w:val="000000"/>
          <w:sz w:val="24"/>
          <w:szCs w:val="24"/>
        </w:rPr>
        <w:t xml:space="preserve"> supply of BCWs contracts by 13.85</w:t>
      </w:r>
      <w:proofErr w:type="gramStart"/>
      <w:r w:rsidRPr="00EF10E3">
        <w:rPr>
          <w:color w:val="000000"/>
          <w:sz w:val="24"/>
          <w:szCs w:val="24"/>
        </w:rPr>
        <w:t>%.However</w:t>
      </w:r>
      <w:proofErr w:type="gramEnd"/>
      <w:r w:rsidRPr="00EF10E3">
        <w:rPr>
          <w:color w:val="000000"/>
          <w:sz w:val="24"/>
          <w:szCs w:val="24"/>
        </w:rPr>
        <w:t>, during this rainy season, the agriculture activity starts blooming and goes on its full swing. During such season, many rural workers return to their native villages and join in Agriculture activities. During the winter season, due to expansion in demand for BCWs, their supply i</w:t>
      </w:r>
      <w:r>
        <w:rPr>
          <w:color w:val="000000"/>
          <w:sz w:val="24"/>
          <w:szCs w:val="24"/>
        </w:rPr>
        <w:t>ncreases by 12</w:t>
      </w:r>
      <w:r w:rsidRPr="00EF10E3">
        <w:rPr>
          <w:color w:val="000000"/>
          <w:sz w:val="24"/>
          <w:szCs w:val="24"/>
        </w:rPr>
        <w:t xml:space="preserve"> </w:t>
      </w:r>
      <w:proofErr w:type="gramStart"/>
      <w:r w:rsidRPr="00EF10E3">
        <w:rPr>
          <w:color w:val="000000"/>
          <w:sz w:val="24"/>
          <w:szCs w:val="24"/>
        </w:rPr>
        <w:t>%( table</w:t>
      </w:r>
      <w:proofErr w:type="gramEnd"/>
      <w:r>
        <w:rPr>
          <w:color w:val="000000"/>
          <w:sz w:val="24"/>
          <w:szCs w:val="24"/>
        </w:rPr>
        <w:t>-10</w:t>
      </w:r>
      <w:r w:rsidRPr="00EF10E3">
        <w:rPr>
          <w:color w:val="000000"/>
          <w:sz w:val="24"/>
          <w:szCs w:val="24"/>
        </w:rPr>
        <w:t xml:space="preserve">). The seasonally unemployed agriculture workers meet such excess demand for BCWs in the full-swing season. Thus, the seasonal </w:t>
      </w:r>
      <w:r w:rsidR="0074498E" w:rsidRPr="00EF10E3">
        <w:rPr>
          <w:color w:val="000000"/>
          <w:sz w:val="24"/>
          <w:szCs w:val="24"/>
        </w:rPr>
        <w:t>variations in the</w:t>
      </w:r>
      <w:r w:rsidR="0074498E">
        <w:rPr>
          <w:color w:val="000000"/>
          <w:sz w:val="24"/>
          <w:szCs w:val="24"/>
        </w:rPr>
        <w:t xml:space="preserve"> supply of BCWs largely get</w:t>
      </w:r>
      <w:r>
        <w:rPr>
          <w:color w:val="000000"/>
          <w:sz w:val="24"/>
          <w:szCs w:val="24"/>
        </w:rPr>
        <w:t xml:space="preserve"> adjusted</w:t>
      </w:r>
      <w:r w:rsidRPr="00EF10E3">
        <w:rPr>
          <w:color w:val="000000"/>
          <w:sz w:val="24"/>
          <w:szCs w:val="24"/>
        </w:rPr>
        <w:t xml:space="preserve"> with the seasonal variation in the supply of the agriculture workers.</w:t>
      </w:r>
    </w:p>
    <w:p w14:paraId="01FBC6CE" w14:textId="77777777" w:rsidR="00EF10E3" w:rsidRPr="00EF10E3" w:rsidRDefault="00EF10E3" w:rsidP="00EF10E3">
      <w:pPr>
        <w:spacing w:before="106" w:line="276" w:lineRule="auto"/>
        <w:ind w:left="120" w:right="-180"/>
        <w:jc w:val="both"/>
        <w:rPr>
          <w:i/>
          <w:sz w:val="24"/>
          <w:szCs w:val="24"/>
        </w:rPr>
      </w:pPr>
      <w:r w:rsidRPr="00EF10E3">
        <w:rPr>
          <w:i/>
          <w:sz w:val="24"/>
          <w:szCs w:val="24"/>
        </w:rPr>
        <w:t>As regards to the research question-3, whether there exists any seasonal variation in the supply of BCWs in the sample area of study?</w:t>
      </w:r>
    </w:p>
    <w:p w14:paraId="33066B08" w14:textId="77777777" w:rsidR="00EF10E3" w:rsidRPr="00EF10E3" w:rsidRDefault="00EF10E3" w:rsidP="00833F6F">
      <w:pPr>
        <w:pStyle w:val="Heading2"/>
        <w:spacing w:before="101" w:line="276" w:lineRule="auto"/>
        <w:ind w:left="120" w:right="-180"/>
        <w:jc w:val="both"/>
        <w:rPr>
          <w:b w:val="0"/>
          <w:sz w:val="24"/>
          <w:szCs w:val="24"/>
        </w:rPr>
      </w:pPr>
      <w:r w:rsidRPr="00EF10E3">
        <w:rPr>
          <w:b w:val="0"/>
          <w:i w:val="0"/>
          <w:sz w:val="24"/>
          <w:szCs w:val="24"/>
        </w:rPr>
        <w:t xml:space="preserve">- </w:t>
      </w:r>
      <w:r w:rsidRPr="00EF10E3">
        <w:rPr>
          <w:sz w:val="24"/>
          <w:szCs w:val="24"/>
        </w:rPr>
        <w:t>it has been found that there is a moderate variation in the supply of BCWs in the urban housing sector of the state in different seasons.</w:t>
      </w:r>
    </w:p>
    <w:p w14:paraId="1844F378" w14:textId="77777777" w:rsidR="005B0622" w:rsidRDefault="0074498E" w:rsidP="0074498E">
      <w:pPr>
        <w:autoSpaceDE w:val="0"/>
        <w:autoSpaceDN w:val="0"/>
        <w:adjustRightInd w:val="0"/>
        <w:spacing w:before="120" w:line="276" w:lineRule="auto"/>
        <w:ind w:right="-180" w:firstLine="180"/>
        <w:jc w:val="both"/>
        <w:rPr>
          <w:color w:val="000000" w:themeColor="text1"/>
          <w:sz w:val="24"/>
          <w:szCs w:val="24"/>
        </w:rPr>
      </w:pPr>
      <w:r>
        <w:rPr>
          <w:color w:val="000000" w:themeColor="text1"/>
          <w:sz w:val="24"/>
          <w:szCs w:val="24"/>
        </w:rPr>
        <w:t xml:space="preserve"> </w:t>
      </w:r>
      <w:r w:rsidR="00A35E38">
        <w:rPr>
          <w:color w:val="000000" w:themeColor="text1"/>
          <w:sz w:val="24"/>
          <w:szCs w:val="24"/>
        </w:rPr>
        <w:t xml:space="preserve">               </w:t>
      </w:r>
      <w:r>
        <w:rPr>
          <w:color w:val="000000" w:themeColor="text1"/>
          <w:sz w:val="24"/>
          <w:szCs w:val="24"/>
        </w:rPr>
        <w:t xml:space="preserve">Another important finding of this study is that against the </w:t>
      </w:r>
      <w:r w:rsidRPr="004B2FDB">
        <w:rPr>
          <w:color w:val="000000" w:themeColor="text1"/>
          <w:sz w:val="24"/>
          <w:szCs w:val="24"/>
        </w:rPr>
        <w:t>increase</w:t>
      </w:r>
      <w:r w:rsidR="005E6A16" w:rsidRPr="004B2FDB">
        <w:rPr>
          <w:color w:val="000000" w:themeColor="text1"/>
          <w:sz w:val="24"/>
          <w:szCs w:val="24"/>
        </w:rPr>
        <w:t xml:space="preserve"> in the supply of BCWs at a 5.15% per annum, the employment of BCWs in the sample areas increases only at 3.61% per annum during 2013-19.</w:t>
      </w:r>
      <w:r w:rsidR="005E6A16" w:rsidRPr="004B2FDB">
        <w:rPr>
          <w:color w:val="000000" w:themeColor="text1"/>
          <w:sz w:val="20"/>
          <w:szCs w:val="20"/>
        </w:rPr>
        <w:t xml:space="preserve"> </w:t>
      </w:r>
      <w:r w:rsidR="005E6A16" w:rsidRPr="004B2FDB">
        <w:rPr>
          <w:color w:val="000000" w:themeColor="text1"/>
          <w:sz w:val="24"/>
          <w:szCs w:val="24"/>
        </w:rPr>
        <w:t xml:space="preserve">Thus, </w:t>
      </w:r>
    </w:p>
    <w:p w14:paraId="283CF9BE" w14:textId="77777777" w:rsidR="005B0622" w:rsidRPr="005B0622" w:rsidRDefault="005B0622" w:rsidP="0074498E">
      <w:pPr>
        <w:autoSpaceDE w:val="0"/>
        <w:autoSpaceDN w:val="0"/>
        <w:adjustRightInd w:val="0"/>
        <w:spacing w:before="120" w:line="276" w:lineRule="auto"/>
        <w:ind w:right="-180" w:firstLine="180"/>
        <w:jc w:val="both"/>
        <w:rPr>
          <w:b/>
          <w:color w:val="000000" w:themeColor="text1"/>
          <w:sz w:val="24"/>
          <w:szCs w:val="24"/>
        </w:rPr>
      </w:pPr>
      <w:r w:rsidRPr="005B0622">
        <w:rPr>
          <w:b/>
          <w:color w:val="000000" w:themeColor="text1"/>
          <w:sz w:val="24"/>
          <w:szCs w:val="24"/>
        </w:rPr>
        <w:t>Conclusion and policy recommendation:</w:t>
      </w:r>
    </w:p>
    <w:p w14:paraId="4645BBE0" w14:textId="77777777" w:rsidR="005E6A16" w:rsidRDefault="005B0622" w:rsidP="0074498E">
      <w:pPr>
        <w:autoSpaceDE w:val="0"/>
        <w:autoSpaceDN w:val="0"/>
        <w:adjustRightInd w:val="0"/>
        <w:spacing w:before="120" w:line="276" w:lineRule="auto"/>
        <w:ind w:right="-180" w:firstLine="180"/>
        <w:jc w:val="both"/>
        <w:rPr>
          <w:sz w:val="24"/>
          <w:szCs w:val="24"/>
        </w:rPr>
      </w:pPr>
      <w:r>
        <w:rPr>
          <w:color w:val="000000" w:themeColor="text1"/>
          <w:sz w:val="24"/>
          <w:szCs w:val="24"/>
        </w:rPr>
        <w:t xml:space="preserve">            T</w:t>
      </w:r>
      <w:r w:rsidR="005E6A16" w:rsidRPr="004B2FDB">
        <w:rPr>
          <w:color w:val="000000" w:themeColor="text1"/>
          <w:sz w:val="24"/>
          <w:szCs w:val="24"/>
        </w:rPr>
        <w:t xml:space="preserve">he </w:t>
      </w:r>
      <w:proofErr w:type="spellStart"/>
      <w:r w:rsidR="005E6A16" w:rsidRPr="004B2FDB">
        <w:rPr>
          <w:color w:val="000000" w:themeColor="text1"/>
          <w:sz w:val="24"/>
          <w:szCs w:val="24"/>
        </w:rPr>
        <w:t>labour</w:t>
      </w:r>
      <w:proofErr w:type="spellEnd"/>
      <w:r w:rsidR="005E6A16" w:rsidRPr="004B2FDB">
        <w:rPr>
          <w:color w:val="000000" w:themeColor="text1"/>
          <w:sz w:val="24"/>
          <w:szCs w:val="24"/>
        </w:rPr>
        <w:t xml:space="preserve"> market of the building cons</w:t>
      </w:r>
      <w:r>
        <w:rPr>
          <w:color w:val="000000" w:themeColor="text1"/>
          <w:sz w:val="24"/>
          <w:szCs w:val="24"/>
        </w:rPr>
        <w:t>truction sector of Assam</w:t>
      </w:r>
      <w:r w:rsidR="005E6A16" w:rsidRPr="004B2FDB">
        <w:rPr>
          <w:color w:val="000000" w:themeColor="text1"/>
          <w:sz w:val="24"/>
          <w:szCs w:val="24"/>
        </w:rPr>
        <w:t xml:space="preserve"> is operated with an abundant </w:t>
      </w:r>
      <w:proofErr w:type="spellStart"/>
      <w:r w:rsidR="005E6A16" w:rsidRPr="004B2FDB">
        <w:rPr>
          <w:color w:val="000000" w:themeColor="text1"/>
          <w:sz w:val="24"/>
          <w:szCs w:val="24"/>
        </w:rPr>
        <w:t>labour</w:t>
      </w:r>
      <w:proofErr w:type="spellEnd"/>
      <w:r w:rsidR="005E6A16" w:rsidRPr="004B2FDB">
        <w:rPr>
          <w:color w:val="000000" w:themeColor="text1"/>
          <w:sz w:val="24"/>
          <w:szCs w:val="24"/>
        </w:rPr>
        <w:t xml:space="preserve"> supply, for which a large number of workers remain unemployed, and more during the slack season. The building construction sector of the state is not able to absorb the increased </w:t>
      </w:r>
      <w:proofErr w:type="spellStart"/>
      <w:r w:rsidR="005E6A16" w:rsidRPr="004B2FDB">
        <w:rPr>
          <w:color w:val="000000" w:themeColor="text1"/>
          <w:sz w:val="24"/>
          <w:szCs w:val="24"/>
        </w:rPr>
        <w:t>labour</w:t>
      </w:r>
      <w:proofErr w:type="spellEnd"/>
      <w:r w:rsidR="005E6A16" w:rsidRPr="004B2FDB">
        <w:rPr>
          <w:color w:val="000000" w:themeColor="text1"/>
          <w:sz w:val="24"/>
          <w:szCs w:val="24"/>
        </w:rPr>
        <w:t xml:space="preserve"> supply in the sector. </w:t>
      </w:r>
      <w:r w:rsidR="005E6A16">
        <w:rPr>
          <w:sz w:val="24"/>
          <w:szCs w:val="24"/>
        </w:rPr>
        <w:t>This is supportive of the fact that the employment intensity of the construction sector of the state, including the housing sector has been declining.</w:t>
      </w:r>
    </w:p>
    <w:p w14:paraId="7C454FA5" w14:textId="77777777" w:rsidR="005E6A16" w:rsidRPr="00F8563E" w:rsidRDefault="005E6A16" w:rsidP="00F4447D">
      <w:pPr>
        <w:autoSpaceDE w:val="0"/>
        <w:autoSpaceDN w:val="0"/>
        <w:adjustRightInd w:val="0"/>
        <w:spacing w:line="276" w:lineRule="auto"/>
        <w:ind w:firstLine="180"/>
        <w:jc w:val="both"/>
        <w:rPr>
          <w:sz w:val="24"/>
          <w:szCs w:val="24"/>
        </w:rPr>
      </w:pPr>
      <w:r>
        <w:rPr>
          <w:sz w:val="24"/>
          <w:szCs w:val="24"/>
        </w:rPr>
        <w:lastRenderedPageBreak/>
        <w:t xml:space="preserve">      </w:t>
      </w:r>
      <w:r w:rsidR="005B0622">
        <w:rPr>
          <w:sz w:val="24"/>
          <w:szCs w:val="24"/>
        </w:rPr>
        <w:t xml:space="preserve">     </w:t>
      </w:r>
      <w:r w:rsidRPr="00F8563E">
        <w:rPr>
          <w:sz w:val="24"/>
          <w:szCs w:val="24"/>
        </w:rPr>
        <w:t>During 2011-2018, the employment elasticity</w:t>
      </w:r>
      <w:r w:rsidRPr="00F8563E">
        <w:rPr>
          <w:rStyle w:val="FootnoteReference"/>
          <w:sz w:val="24"/>
          <w:szCs w:val="24"/>
        </w:rPr>
        <w:footnoteReference w:id="14"/>
      </w:r>
      <w:r w:rsidRPr="00F8563E">
        <w:rPr>
          <w:sz w:val="24"/>
          <w:szCs w:val="24"/>
        </w:rPr>
        <w:t xml:space="preserve"> of the construction sector of the state has been found to be at lower point of 0.70, compared to that of all India average of 0.78 for the same period</w:t>
      </w:r>
      <w:r w:rsidRPr="00F8563E">
        <w:rPr>
          <w:rStyle w:val="FootnoteReference"/>
          <w:sz w:val="24"/>
          <w:szCs w:val="24"/>
        </w:rPr>
        <w:footnoteReference w:id="15"/>
      </w:r>
      <w:r w:rsidRPr="00F8563E">
        <w:rPr>
          <w:sz w:val="24"/>
          <w:szCs w:val="24"/>
        </w:rPr>
        <w:t>.  However, in earlier period of 1999-2000 to 2009-10, the employment elasticity of the country’s construction sector was 1.13 point</w:t>
      </w:r>
      <w:r w:rsidRPr="00F8563E">
        <w:rPr>
          <w:rStyle w:val="FootnoteReference"/>
          <w:sz w:val="24"/>
          <w:szCs w:val="24"/>
        </w:rPr>
        <w:footnoteReference w:id="16"/>
      </w:r>
      <w:r w:rsidR="00DC4F29">
        <w:rPr>
          <w:sz w:val="24"/>
          <w:szCs w:val="24"/>
        </w:rPr>
        <w:t xml:space="preserve">. </w:t>
      </w:r>
      <w:r w:rsidRPr="00F8563E">
        <w:rPr>
          <w:sz w:val="24"/>
          <w:szCs w:val="24"/>
        </w:rPr>
        <w:t xml:space="preserve">Substitution of capital </w:t>
      </w:r>
      <w:proofErr w:type="spellStart"/>
      <w:r w:rsidRPr="00F8563E">
        <w:rPr>
          <w:sz w:val="24"/>
          <w:szCs w:val="24"/>
        </w:rPr>
        <w:t>equipments</w:t>
      </w:r>
      <w:proofErr w:type="spellEnd"/>
      <w:r w:rsidRPr="00F8563E">
        <w:rPr>
          <w:sz w:val="24"/>
          <w:szCs w:val="24"/>
        </w:rPr>
        <w:t xml:space="preserve"> for the workers is tending to dilute the employment intensity of the construction sector of the state.</w:t>
      </w:r>
    </w:p>
    <w:p w14:paraId="0A0D73E4" w14:textId="77777777" w:rsidR="005E6A16" w:rsidRPr="00223D4D" w:rsidRDefault="005B0622" w:rsidP="00F4447D">
      <w:pPr>
        <w:autoSpaceDE w:val="0"/>
        <w:autoSpaceDN w:val="0"/>
        <w:adjustRightInd w:val="0"/>
        <w:spacing w:line="276" w:lineRule="auto"/>
        <w:ind w:firstLine="180"/>
        <w:jc w:val="both"/>
        <w:rPr>
          <w:sz w:val="24"/>
          <w:szCs w:val="24"/>
        </w:rPr>
      </w:pPr>
      <w:r>
        <w:rPr>
          <w:sz w:val="24"/>
          <w:szCs w:val="24"/>
        </w:rPr>
        <w:t xml:space="preserve">          </w:t>
      </w:r>
      <w:r w:rsidR="005E6A16">
        <w:rPr>
          <w:sz w:val="24"/>
          <w:szCs w:val="24"/>
        </w:rPr>
        <w:t xml:space="preserve">The capital </w:t>
      </w:r>
      <w:proofErr w:type="spellStart"/>
      <w:r w:rsidR="005E6A16">
        <w:rPr>
          <w:sz w:val="24"/>
          <w:szCs w:val="24"/>
        </w:rPr>
        <w:t>equipments</w:t>
      </w:r>
      <w:proofErr w:type="spellEnd"/>
      <w:r w:rsidR="005E6A16">
        <w:rPr>
          <w:sz w:val="24"/>
          <w:szCs w:val="24"/>
        </w:rPr>
        <w:t xml:space="preserve"> substitution has to be adopted by the employers for </w:t>
      </w:r>
      <w:r w:rsidR="005E6A16" w:rsidRPr="007763A4">
        <w:rPr>
          <w:sz w:val="24"/>
          <w:szCs w:val="24"/>
        </w:rPr>
        <w:t>cost-effectiveness and higher quality of output</w:t>
      </w:r>
      <w:r w:rsidR="005E6A16">
        <w:rPr>
          <w:sz w:val="24"/>
          <w:szCs w:val="24"/>
        </w:rPr>
        <w:t>, and partly for</w:t>
      </w:r>
      <w:r w:rsidR="005E6A16" w:rsidRPr="00E86DEF">
        <w:rPr>
          <w:sz w:val="24"/>
          <w:szCs w:val="24"/>
        </w:rPr>
        <w:t xml:space="preserve"> avoiding the social security o</w:t>
      </w:r>
      <w:r w:rsidR="005E6A16">
        <w:rPr>
          <w:sz w:val="24"/>
          <w:szCs w:val="24"/>
        </w:rPr>
        <w:t xml:space="preserve">bligations to </w:t>
      </w:r>
      <w:proofErr w:type="spellStart"/>
      <w:r w:rsidR="005E6A16">
        <w:rPr>
          <w:sz w:val="24"/>
          <w:szCs w:val="24"/>
        </w:rPr>
        <w:t>labourers</w:t>
      </w:r>
      <w:proofErr w:type="spellEnd"/>
      <w:r w:rsidR="005E6A16">
        <w:rPr>
          <w:sz w:val="24"/>
          <w:szCs w:val="24"/>
        </w:rPr>
        <w:t xml:space="preserve"> in the housing sector. In South Africa, with technical and economic feasibility, employment intensive method has been used in construction tasks in the housing and in other sectors</w:t>
      </w:r>
      <w:sdt>
        <w:sdtPr>
          <w:rPr>
            <w:sz w:val="24"/>
            <w:szCs w:val="24"/>
          </w:rPr>
          <w:id w:val="4242969"/>
          <w:citation/>
        </w:sdtPr>
        <w:sdtEndPr/>
        <w:sdtContent>
          <w:r w:rsidR="00CC730B">
            <w:rPr>
              <w:sz w:val="24"/>
              <w:szCs w:val="24"/>
            </w:rPr>
            <w:fldChar w:fldCharType="begin"/>
          </w:r>
          <w:r w:rsidR="005E6A16">
            <w:rPr>
              <w:sz w:val="24"/>
              <w:szCs w:val="24"/>
            </w:rPr>
            <w:instrText xml:space="preserve"> CITATION CID051 \l 1033 </w:instrText>
          </w:r>
          <w:r w:rsidR="00CC730B">
            <w:rPr>
              <w:sz w:val="24"/>
              <w:szCs w:val="24"/>
            </w:rPr>
            <w:fldChar w:fldCharType="separate"/>
          </w:r>
          <w:r w:rsidR="005E6A16">
            <w:rPr>
              <w:noProof/>
              <w:sz w:val="24"/>
              <w:szCs w:val="24"/>
            </w:rPr>
            <w:t xml:space="preserve"> </w:t>
          </w:r>
          <w:r w:rsidR="005E6A16" w:rsidRPr="0077150C">
            <w:rPr>
              <w:noProof/>
              <w:sz w:val="24"/>
              <w:szCs w:val="24"/>
            </w:rPr>
            <w:t>(CIDB, 2005)</w:t>
          </w:r>
          <w:r w:rsidR="00CC730B">
            <w:rPr>
              <w:sz w:val="24"/>
              <w:szCs w:val="24"/>
            </w:rPr>
            <w:fldChar w:fldCharType="end"/>
          </w:r>
        </w:sdtContent>
      </w:sdt>
      <w:r w:rsidR="005E6A16">
        <w:rPr>
          <w:sz w:val="24"/>
          <w:szCs w:val="24"/>
        </w:rPr>
        <w:t>.</w:t>
      </w:r>
    </w:p>
    <w:p w14:paraId="4123AA8D" w14:textId="77777777" w:rsidR="005B0622" w:rsidRDefault="005B0622" w:rsidP="005B0622">
      <w:pPr>
        <w:spacing w:line="276" w:lineRule="auto"/>
        <w:ind w:firstLine="180"/>
        <w:jc w:val="both"/>
        <w:rPr>
          <w:sz w:val="24"/>
          <w:szCs w:val="24"/>
        </w:rPr>
      </w:pPr>
      <w:r>
        <w:rPr>
          <w:sz w:val="24"/>
          <w:szCs w:val="24"/>
        </w:rPr>
        <w:t xml:space="preserve">           </w:t>
      </w:r>
      <w:r w:rsidR="005E6A16">
        <w:rPr>
          <w:sz w:val="24"/>
          <w:szCs w:val="24"/>
        </w:rPr>
        <w:t xml:space="preserve"> F</w:t>
      </w:r>
      <w:r w:rsidR="005E6A16" w:rsidRPr="00F57AB1">
        <w:rPr>
          <w:sz w:val="24"/>
          <w:szCs w:val="24"/>
        </w:rPr>
        <w:t xml:space="preserve">or sustaining the jobs in the era of automation, </w:t>
      </w:r>
      <w:r w:rsidR="005E6A16">
        <w:rPr>
          <w:sz w:val="24"/>
          <w:szCs w:val="24"/>
        </w:rPr>
        <w:t xml:space="preserve">it needs </w:t>
      </w:r>
      <w:r w:rsidR="005E6A16" w:rsidRPr="00F57AB1">
        <w:rPr>
          <w:sz w:val="24"/>
          <w:szCs w:val="24"/>
        </w:rPr>
        <w:t>conversion</w:t>
      </w:r>
      <w:r w:rsidR="005E6A16">
        <w:rPr>
          <w:sz w:val="24"/>
          <w:szCs w:val="24"/>
        </w:rPr>
        <w:t xml:space="preserve"> of workers</w:t>
      </w:r>
      <w:r w:rsidR="005E6A16" w:rsidRPr="00F57AB1">
        <w:rPr>
          <w:sz w:val="24"/>
          <w:szCs w:val="24"/>
        </w:rPr>
        <w:t xml:space="preserve"> from non-skilled to skilled.</w:t>
      </w:r>
      <w:r w:rsidR="005E6A16">
        <w:rPr>
          <w:sz w:val="24"/>
          <w:szCs w:val="24"/>
        </w:rPr>
        <w:t xml:space="preserve"> Under growing population pressure</w:t>
      </w:r>
      <w:r w:rsidR="005E6A16" w:rsidRPr="00E86DEF">
        <w:rPr>
          <w:sz w:val="24"/>
          <w:szCs w:val="24"/>
        </w:rPr>
        <w:t xml:space="preserve">, excess supply of </w:t>
      </w:r>
      <w:proofErr w:type="spellStart"/>
      <w:r w:rsidR="005E6A16" w:rsidRPr="00E86DEF">
        <w:rPr>
          <w:sz w:val="24"/>
          <w:szCs w:val="24"/>
        </w:rPr>
        <w:t>labour</w:t>
      </w:r>
      <w:r w:rsidR="005E6A16">
        <w:rPr>
          <w:sz w:val="24"/>
          <w:szCs w:val="24"/>
        </w:rPr>
        <w:t>force</w:t>
      </w:r>
      <w:proofErr w:type="spellEnd"/>
      <w:r w:rsidR="005E6A16" w:rsidRPr="00E86DEF">
        <w:rPr>
          <w:sz w:val="24"/>
          <w:szCs w:val="24"/>
        </w:rPr>
        <w:t xml:space="preserve"> is equally an urgent probl</w:t>
      </w:r>
      <w:r w:rsidR="005E6A16" w:rsidRPr="007763A4">
        <w:rPr>
          <w:sz w:val="24"/>
          <w:szCs w:val="24"/>
        </w:rPr>
        <w:t>em</w:t>
      </w:r>
      <w:r w:rsidR="005E6A16" w:rsidRPr="00291872">
        <w:rPr>
          <w:color w:val="FF0000"/>
          <w:sz w:val="24"/>
          <w:szCs w:val="24"/>
        </w:rPr>
        <w:t>,</w:t>
      </w:r>
      <w:r w:rsidR="005E6A16" w:rsidRPr="00E86DEF">
        <w:rPr>
          <w:sz w:val="24"/>
          <w:szCs w:val="24"/>
        </w:rPr>
        <w:t xml:space="preserve"> which needs to be addressed.</w:t>
      </w:r>
      <w:r w:rsidR="005E6A16">
        <w:rPr>
          <w:sz w:val="24"/>
          <w:szCs w:val="24"/>
        </w:rPr>
        <w:t xml:space="preserve"> In practice, it is much difficult or bring a little gain shifting the surplus </w:t>
      </w:r>
      <w:proofErr w:type="spellStart"/>
      <w:r w:rsidR="005E6A16">
        <w:rPr>
          <w:sz w:val="24"/>
          <w:szCs w:val="24"/>
        </w:rPr>
        <w:t>labourforce</w:t>
      </w:r>
      <w:proofErr w:type="spellEnd"/>
      <w:r w:rsidR="005E6A16">
        <w:rPr>
          <w:sz w:val="24"/>
          <w:szCs w:val="24"/>
        </w:rPr>
        <w:t xml:space="preserve"> from the construction sector to other productive sectors of the economy of Assam, which are remaining almost backward and primordial both in industrial and agricultural spheres. </w:t>
      </w:r>
      <w:r w:rsidR="005E6A16" w:rsidRPr="00E86DEF">
        <w:rPr>
          <w:sz w:val="24"/>
          <w:szCs w:val="24"/>
        </w:rPr>
        <w:t xml:space="preserve"> </w:t>
      </w:r>
      <w:r w:rsidR="005E6A16" w:rsidRPr="007763A4">
        <w:rPr>
          <w:sz w:val="24"/>
          <w:szCs w:val="24"/>
        </w:rPr>
        <w:t xml:space="preserve">Unplanned family size of </w:t>
      </w:r>
      <w:r w:rsidR="005E6A16">
        <w:rPr>
          <w:sz w:val="24"/>
          <w:szCs w:val="24"/>
        </w:rPr>
        <w:t>rural people, inclusive of those involving in the construction works, inter alia, has been bringing a burden</w:t>
      </w:r>
      <w:r w:rsidR="005E6A16" w:rsidRPr="007763A4">
        <w:rPr>
          <w:sz w:val="24"/>
          <w:szCs w:val="24"/>
        </w:rPr>
        <w:t xml:space="preserve"> both</w:t>
      </w:r>
      <w:r w:rsidR="005E6A16">
        <w:rPr>
          <w:sz w:val="24"/>
          <w:szCs w:val="24"/>
        </w:rPr>
        <w:t xml:space="preserve"> for</w:t>
      </w:r>
      <w:r w:rsidR="005E6A16" w:rsidRPr="007763A4">
        <w:rPr>
          <w:sz w:val="24"/>
          <w:szCs w:val="24"/>
        </w:rPr>
        <w:t xml:space="preserve"> the state</w:t>
      </w:r>
      <w:r w:rsidR="005E6A16">
        <w:rPr>
          <w:sz w:val="24"/>
          <w:szCs w:val="24"/>
        </w:rPr>
        <w:t>,</w:t>
      </w:r>
      <w:r w:rsidR="005E6A16" w:rsidRPr="007763A4">
        <w:rPr>
          <w:sz w:val="24"/>
          <w:szCs w:val="24"/>
        </w:rPr>
        <w:t xml:space="preserve"> gnawing better employment and investment</w:t>
      </w:r>
      <w:r w:rsidR="005E6A16">
        <w:rPr>
          <w:sz w:val="24"/>
          <w:szCs w:val="24"/>
        </w:rPr>
        <w:t xml:space="preserve"> opportunity</w:t>
      </w:r>
      <w:r w:rsidR="005E6A16" w:rsidRPr="007763A4">
        <w:rPr>
          <w:sz w:val="24"/>
          <w:szCs w:val="24"/>
        </w:rPr>
        <w:t xml:space="preserve"> for future as well as the individual </w:t>
      </w:r>
      <w:proofErr w:type="spellStart"/>
      <w:r w:rsidR="005E6A16" w:rsidRPr="007763A4">
        <w:rPr>
          <w:sz w:val="24"/>
          <w:szCs w:val="24"/>
        </w:rPr>
        <w:t>labour</w:t>
      </w:r>
      <w:proofErr w:type="spellEnd"/>
      <w:r w:rsidR="005E6A16" w:rsidRPr="007763A4">
        <w:rPr>
          <w:sz w:val="24"/>
          <w:szCs w:val="24"/>
        </w:rPr>
        <w:t xml:space="preserve"> family.</w:t>
      </w:r>
      <w:r w:rsidR="005E6A16">
        <w:rPr>
          <w:sz w:val="24"/>
          <w:szCs w:val="24"/>
        </w:rPr>
        <w:t xml:space="preserve"> For peaceful economic development,</w:t>
      </w:r>
      <w:r w:rsidR="005E6A16" w:rsidRPr="00E86DEF">
        <w:rPr>
          <w:sz w:val="24"/>
          <w:szCs w:val="24"/>
        </w:rPr>
        <w:t xml:space="preserve"> government requires to implement </w:t>
      </w:r>
      <w:r w:rsidR="005E6A16">
        <w:rPr>
          <w:sz w:val="24"/>
          <w:szCs w:val="24"/>
        </w:rPr>
        <w:t>a stricter</w:t>
      </w:r>
      <w:r w:rsidR="005E6A16" w:rsidRPr="00E86DEF">
        <w:rPr>
          <w:sz w:val="24"/>
          <w:szCs w:val="24"/>
        </w:rPr>
        <w:t xml:space="preserve"> population control policy </w:t>
      </w:r>
      <w:r w:rsidR="005E6A16">
        <w:rPr>
          <w:sz w:val="24"/>
          <w:szCs w:val="24"/>
        </w:rPr>
        <w:t xml:space="preserve">among all sections of people in the country, </w:t>
      </w:r>
      <w:r w:rsidR="005E6A16" w:rsidRPr="00E86DEF">
        <w:rPr>
          <w:sz w:val="24"/>
          <w:szCs w:val="24"/>
        </w:rPr>
        <w:t>with heavy penalties</w:t>
      </w:r>
      <w:r w:rsidR="005E6A16">
        <w:rPr>
          <w:sz w:val="24"/>
          <w:szCs w:val="24"/>
        </w:rPr>
        <w:t xml:space="preserve"> for not conforming the norm</w:t>
      </w:r>
      <w:r w:rsidR="005E6A16" w:rsidRPr="00E86DEF">
        <w:rPr>
          <w:sz w:val="24"/>
          <w:szCs w:val="24"/>
        </w:rPr>
        <w:t xml:space="preserve"> to deter the enthusiasm of having more children among </w:t>
      </w:r>
      <w:proofErr w:type="spellStart"/>
      <w:r w:rsidR="005E6A16" w:rsidRPr="00E86DEF">
        <w:rPr>
          <w:sz w:val="24"/>
          <w:szCs w:val="24"/>
        </w:rPr>
        <w:t>labour</w:t>
      </w:r>
      <w:proofErr w:type="spellEnd"/>
      <w:r w:rsidR="005E6A16" w:rsidRPr="00E86DEF">
        <w:rPr>
          <w:sz w:val="24"/>
          <w:szCs w:val="24"/>
        </w:rPr>
        <w:t xml:space="preserve"> section</w:t>
      </w:r>
      <w:sdt>
        <w:sdtPr>
          <w:rPr>
            <w:sz w:val="24"/>
            <w:szCs w:val="24"/>
          </w:rPr>
          <w:id w:val="42684391"/>
          <w:citation/>
        </w:sdtPr>
        <w:sdtEndPr/>
        <w:sdtContent>
          <w:r w:rsidR="00CC730B">
            <w:rPr>
              <w:sz w:val="24"/>
              <w:szCs w:val="24"/>
            </w:rPr>
            <w:fldChar w:fldCharType="begin"/>
          </w:r>
          <w:r w:rsidR="005E6A16">
            <w:rPr>
              <w:sz w:val="24"/>
              <w:szCs w:val="24"/>
            </w:rPr>
            <w:instrText xml:space="preserve"> CITATION Placeholder14 \l 1033  </w:instrText>
          </w:r>
          <w:r w:rsidR="00CC730B">
            <w:rPr>
              <w:sz w:val="24"/>
              <w:szCs w:val="24"/>
            </w:rPr>
            <w:fldChar w:fldCharType="separate"/>
          </w:r>
          <w:r w:rsidR="005E6A16">
            <w:rPr>
              <w:noProof/>
              <w:sz w:val="24"/>
              <w:szCs w:val="24"/>
            </w:rPr>
            <w:t xml:space="preserve"> </w:t>
          </w:r>
          <w:r w:rsidR="005E6A16" w:rsidRPr="00C820CF">
            <w:rPr>
              <w:noProof/>
              <w:sz w:val="24"/>
              <w:szCs w:val="24"/>
            </w:rPr>
            <w:t>(Ibrahim, The determinants of private sector demand for employment in Egypt:1990-2007, 2013,pp.163-184)</w:t>
          </w:r>
          <w:r w:rsidR="00CC730B">
            <w:rPr>
              <w:sz w:val="24"/>
              <w:szCs w:val="24"/>
            </w:rPr>
            <w:fldChar w:fldCharType="end"/>
          </w:r>
        </w:sdtContent>
      </w:sdt>
      <w:r w:rsidR="005E6A16" w:rsidRPr="00E86DEF">
        <w:rPr>
          <w:sz w:val="24"/>
          <w:szCs w:val="24"/>
        </w:rPr>
        <w:t xml:space="preserve">. </w:t>
      </w:r>
      <w:r w:rsidR="005E6A16">
        <w:rPr>
          <w:sz w:val="24"/>
          <w:szCs w:val="24"/>
        </w:rPr>
        <w:t xml:space="preserve">However, in the present democratic setup of the country, under the pressure of trade unions and increased cost of living consideration, the fixation of wage rate at a lower level could be a much difficult task for the government. There would be a little gain in maintaining a balance between the supply and demand for construction workforce through the wage policy.  </w:t>
      </w:r>
    </w:p>
    <w:p w14:paraId="1052A9F5" w14:textId="77777777" w:rsidR="005E6A16" w:rsidRPr="005B0622" w:rsidRDefault="005E6A16" w:rsidP="005B0622">
      <w:pPr>
        <w:spacing w:line="276" w:lineRule="auto"/>
        <w:ind w:firstLine="180"/>
        <w:jc w:val="both"/>
        <w:rPr>
          <w:color w:val="000000" w:themeColor="text1"/>
          <w:sz w:val="24"/>
          <w:szCs w:val="24"/>
        </w:rPr>
      </w:pPr>
      <w:r>
        <w:t xml:space="preserve">     </w:t>
      </w:r>
      <w:r w:rsidR="005B0622">
        <w:t xml:space="preserve">    </w:t>
      </w:r>
      <w:r>
        <w:t xml:space="preserve">  </w:t>
      </w:r>
      <w:r w:rsidRPr="00C6039D">
        <w:rPr>
          <w:b/>
          <w:sz w:val="24"/>
          <w:szCs w:val="24"/>
        </w:rPr>
        <w:t xml:space="preserve"> </w:t>
      </w:r>
      <w:r w:rsidRPr="005B0622">
        <w:rPr>
          <w:color w:val="000000" w:themeColor="text1"/>
          <w:sz w:val="24"/>
          <w:szCs w:val="24"/>
        </w:rPr>
        <w:t xml:space="preserve">Under the present circumstances, the expanding unemployment problem of BCWs needs to be tackled from two fronts: </w:t>
      </w:r>
      <w:proofErr w:type="spellStart"/>
      <w:r w:rsidRPr="005B0622">
        <w:rPr>
          <w:color w:val="000000" w:themeColor="text1"/>
          <w:sz w:val="24"/>
          <w:szCs w:val="24"/>
        </w:rPr>
        <w:t>i</w:t>
      </w:r>
      <w:proofErr w:type="spellEnd"/>
      <w:r w:rsidRPr="005B0622">
        <w:rPr>
          <w:color w:val="000000" w:themeColor="text1"/>
          <w:sz w:val="24"/>
          <w:szCs w:val="24"/>
        </w:rPr>
        <w:t xml:space="preserve">) the surplus construction </w:t>
      </w:r>
      <w:proofErr w:type="spellStart"/>
      <w:r w:rsidRPr="005B0622">
        <w:rPr>
          <w:color w:val="000000" w:themeColor="text1"/>
          <w:sz w:val="24"/>
          <w:szCs w:val="24"/>
        </w:rPr>
        <w:t>labourforce</w:t>
      </w:r>
      <w:proofErr w:type="spellEnd"/>
      <w:r w:rsidRPr="005B0622">
        <w:rPr>
          <w:color w:val="000000" w:themeColor="text1"/>
          <w:sz w:val="24"/>
          <w:szCs w:val="24"/>
        </w:rPr>
        <w:t xml:space="preserve"> of BCWs require to be diverted to other productive activities of the economy implementing an appropriate policy measure and ii) limit the individual family size of the </w:t>
      </w:r>
      <w:proofErr w:type="spellStart"/>
      <w:r w:rsidRPr="005B0622">
        <w:rPr>
          <w:color w:val="000000" w:themeColor="text1"/>
          <w:sz w:val="24"/>
          <w:szCs w:val="24"/>
        </w:rPr>
        <w:t>labour</w:t>
      </w:r>
      <w:proofErr w:type="spellEnd"/>
      <w:r w:rsidRPr="005B0622">
        <w:rPr>
          <w:color w:val="000000" w:themeColor="text1"/>
          <w:sz w:val="24"/>
          <w:szCs w:val="24"/>
        </w:rPr>
        <w:t xml:space="preserve"> sections and all, within a limit, which is most urgent. They need to accept family planning and be motivated through the NGOs, social activists and the government agencies.</w:t>
      </w:r>
      <w:r w:rsidRPr="005B0622">
        <w:rPr>
          <w:sz w:val="24"/>
          <w:szCs w:val="24"/>
        </w:rPr>
        <w:t xml:space="preserve">  </w:t>
      </w:r>
    </w:p>
    <w:p w14:paraId="4E4EE176" w14:textId="77777777" w:rsidR="0074498E" w:rsidRPr="0074498E" w:rsidRDefault="0074498E" w:rsidP="00A35E38">
      <w:pPr>
        <w:spacing w:before="141"/>
        <w:ind w:left="270"/>
        <w:jc w:val="both"/>
        <w:rPr>
          <w:b/>
          <w:sz w:val="24"/>
          <w:szCs w:val="24"/>
        </w:rPr>
      </w:pPr>
      <w:r w:rsidRPr="0074498E">
        <w:rPr>
          <w:b/>
          <w:sz w:val="24"/>
          <w:szCs w:val="24"/>
        </w:rPr>
        <w:lastRenderedPageBreak/>
        <w:t>Limitations of the study</w:t>
      </w:r>
    </w:p>
    <w:p w14:paraId="432C5451" w14:textId="77777777" w:rsidR="0074498E" w:rsidRPr="0074498E" w:rsidRDefault="0074498E" w:rsidP="00A35E38">
      <w:pPr>
        <w:pBdr>
          <w:top w:val="nil"/>
          <w:left w:val="nil"/>
          <w:bottom w:val="nil"/>
          <w:right w:val="nil"/>
          <w:between w:val="nil"/>
        </w:pBdr>
        <w:spacing w:before="172"/>
        <w:ind w:left="270"/>
        <w:jc w:val="both"/>
        <w:rPr>
          <w:color w:val="000000"/>
          <w:sz w:val="24"/>
          <w:szCs w:val="24"/>
        </w:rPr>
      </w:pPr>
      <w:r w:rsidRPr="0074498E">
        <w:rPr>
          <w:color w:val="000000"/>
          <w:sz w:val="24"/>
          <w:szCs w:val="24"/>
        </w:rPr>
        <w:t>The findings may not be applicable in other parts of the country and in other countries as the study is based on sample data.</w:t>
      </w:r>
    </w:p>
    <w:p w14:paraId="16AB8936" w14:textId="77777777" w:rsidR="0074498E" w:rsidRPr="0074498E" w:rsidRDefault="0074498E" w:rsidP="00A35E38">
      <w:pPr>
        <w:pBdr>
          <w:top w:val="nil"/>
          <w:left w:val="nil"/>
          <w:bottom w:val="nil"/>
          <w:right w:val="nil"/>
          <w:between w:val="nil"/>
        </w:pBdr>
        <w:spacing w:before="133" w:line="273" w:lineRule="auto"/>
        <w:ind w:left="270"/>
        <w:jc w:val="both"/>
        <w:rPr>
          <w:color w:val="000000"/>
          <w:sz w:val="24"/>
          <w:szCs w:val="24"/>
        </w:rPr>
      </w:pPr>
      <w:r w:rsidRPr="0074498E">
        <w:rPr>
          <w:color w:val="000000"/>
          <w:sz w:val="24"/>
          <w:szCs w:val="24"/>
        </w:rPr>
        <w:t xml:space="preserve">Secondly, due to fear psychosis of work discontinuity by their employers, most of casually employed workers in such private sector may not provide reliable and correct </w:t>
      </w:r>
      <w:proofErr w:type="gramStart"/>
      <w:r w:rsidRPr="0074498E">
        <w:rPr>
          <w:color w:val="000000"/>
          <w:sz w:val="24"/>
          <w:szCs w:val="24"/>
        </w:rPr>
        <w:t>information .Similarly</w:t>
      </w:r>
      <w:proofErr w:type="gramEnd"/>
      <w:r w:rsidRPr="0074498E">
        <w:rPr>
          <w:color w:val="000000"/>
          <w:sz w:val="24"/>
          <w:szCs w:val="24"/>
        </w:rPr>
        <w:t>, the contractors/builders may not provide correct data fearing the government intervention. So, the reluctances on the part of both workers and contractors to reveal the facts may be another limitation of the study.</w:t>
      </w:r>
    </w:p>
    <w:p w14:paraId="4DBB91AA" w14:textId="77777777" w:rsidR="0074498E" w:rsidRPr="0074498E" w:rsidRDefault="0074498E" w:rsidP="00A35E38">
      <w:pPr>
        <w:pBdr>
          <w:top w:val="nil"/>
          <w:left w:val="nil"/>
          <w:bottom w:val="nil"/>
          <w:right w:val="nil"/>
          <w:between w:val="nil"/>
        </w:pBdr>
        <w:spacing w:before="103" w:line="273" w:lineRule="auto"/>
        <w:ind w:left="270"/>
        <w:jc w:val="both"/>
        <w:rPr>
          <w:color w:val="000000"/>
          <w:sz w:val="24"/>
          <w:szCs w:val="24"/>
        </w:rPr>
      </w:pPr>
      <w:r w:rsidRPr="0074498E">
        <w:rPr>
          <w:color w:val="000000"/>
          <w:sz w:val="24"/>
          <w:szCs w:val="24"/>
        </w:rPr>
        <w:t>Thirdly, limited period of consideration as to delineate the supply dimension of BCWs and their related issues is another limitation of the study.</w:t>
      </w:r>
    </w:p>
    <w:p w14:paraId="2FD017AD" w14:textId="77777777" w:rsidR="0074498E" w:rsidRPr="0074498E" w:rsidRDefault="00A35E38" w:rsidP="00A35E38">
      <w:pPr>
        <w:pStyle w:val="Heading1"/>
        <w:spacing w:before="114"/>
        <w:ind w:left="2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74498E" w:rsidRPr="0074498E">
        <w:rPr>
          <w:rFonts w:ascii="Times New Roman" w:hAnsi="Times New Roman" w:cs="Times New Roman"/>
          <w:color w:val="auto"/>
          <w:sz w:val="24"/>
          <w:szCs w:val="24"/>
        </w:rPr>
        <w:t>Future Scope of the work:</w:t>
      </w:r>
    </w:p>
    <w:p w14:paraId="5D29176C" w14:textId="77777777" w:rsidR="0074498E" w:rsidRPr="0074498E" w:rsidRDefault="0074498E" w:rsidP="0074498E">
      <w:pPr>
        <w:numPr>
          <w:ilvl w:val="1"/>
          <w:numId w:val="8"/>
        </w:numPr>
        <w:pBdr>
          <w:top w:val="nil"/>
          <w:left w:val="nil"/>
          <w:bottom w:val="nil"/>
          <w:right w:val="nil"/>
          <w:between w:val="nil"/>
        </w:pBdr>
        <w:tabs>
          <w:tab w:val="left" w:pos="619"/>
        </w:tabs>
        <w:spacing w:before="146" w:line="273" w:lineRule="auto"/>
        <w:ind w:right="-90" w:hanging="249"/>
        <w:jc w:val="both"/>
        <w:rPr>
          <w:sz w:val="24"/>
          <w:szCs w:val="24"/>
        </w:rPr>
      </w:pPr>
      <w:r w:rsidRPr="0074498E">
        <w:rPr>
          <w:color w:val="000000"/>
          <w:sz w:val="24"/>
          <w:szCs w:val="24"/>
        </w:rPr>
        <w:t>A comparative study of the construction workers in housing sector and other informal workers of the state can be made for a better understanding of their socio-economic conditions.</w:t>
      </w:r>
      <w:r w:rsidRPr="0074498E">
        <w:rPr>
          <w:noProof/>
          <w:sz w:val="24"/>
          <w:szCs w:val="24"/>
          <w:lang w:eastAsia="en-US"/>
        </w:rPr>
        <w:drawing>
          <wp:anchor distT="0" distB="0" distL="114300" distR="114300" simplePos="0" relativeHeight="251676672" behindDoc="0" locked="0" layoutInCell="1" allowOverlap="1" wp14:anchorId="0BC8865F" wp14:editId="26D7AB2D">
            <wp:simplePos x="0" y="0"/>
            <wp:positionH relativeFrom="column">
              <wp:posOffset>-495299</wp:posOffset>
            </wp:positionH>
            <wp:positionV relativeFrom="paragraph">
              <wp:posOffset>0</wp:posOffset>
            </wp:positionV>
            <wp:extent cx="22225" cy="22225"/>
            <wp:effectExtent l="0" t="0" r="0" b="0"/>
            <wp:wrapTopAndBottom distT="0" distB="0"/>
            <wp:docPr id="2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a:stretch>
                      <a:fillRect/>
                    </a:stretch>
                  </pic:blipFill>
                  <pic:spPr>
                    <a:xfrm>
                      <a:off x="0" y="0"/>
                      <a:ext cx="22225" cy="22225"/>
                    </a:xfrm>
                    <a:prstGeom prst="rect">
                      <a:avLst/>
                    </a:prstGeom>
                    <a:ln/>
                  </pic:spPr>
                </pic:pic>
              </a:graphicData>
            </a:graphic>
          </wp:anchor>
        </w:drawing>
      </w:r>
    </w:p>
    <w:p w14:paraId="0C746055" w14:textId="77777777" w:rsidR="0074498E" w:rsidRPr="0074498E" w:rsidRDefault="0074498E" w:rsidP="0074498E">
      <w:pPr>
        <w:numPr>
          <w:ilvl w:val="1"/>
          <w:numId w:val="8"/>
        </w:numPr>
        <w:pBdr>
          <w:top w:val="nil"/>
          <w:left w:val="nil"/>
          <w:bottom w:val="nil"/>
          <w:right w:val="nil"/>
          <w:between w:val="nil"/>
        </w:pBdr>
        <w:tabs>
          <w:tab w:val="left" w:pos="619"/>
        </w:tabs>
        <w:spacing w:before="146" w:line="273" w:lineRule="auto"/>
        <w:ind w:right="-90" w:hanging="249"/>
        <w:jc w:val="both"/>
        <w:rPr>
          <w:sz w:val="24"/>
          <w:szCs w:val="24"/>
        </w:rPr>
      </w:pPr>
      <w:r w:rsidRPr="0074498E">
        <w:rPr>
          <w:sz w:val="24"/>
          <w:szCs w:val="24"/>
        </w:rPr>
        <w:t>A</w:t>
      </w:r>
      <w:r w:rsidRPr="0074498E">
        <w:rPr>
          <w:color w:val="000000"/>
          <w:sz w:val="24"/>
          <w:szCs w:val="24"/>
        </w:rPr>
        <w:t>fter globalization, the rapid development in capital intensive technologies has emerged in the building construction sector. So, a study can be made on the impact of technological development on the employment of the construction workforce</w:t>
      </w:r>
    </w:p>
    <w:p w14:paraId="67A0450A" w14:textId="77777777" w:rsidR="0074498E" w:rsidRPr="0074498E" w:rsidRDefault="0074498E" w:rsidP="0074498E">
      <w:pPr>
        <w:numPr>
          <w:ilvl w:val="1"/>
          <w:numId w:val="8"/>
        </w:numPr>
        <w:pBdr>
          <w:top w:val="nil"/>
          <w:left w:val="nil"/>
          <w:bottom w:val="nil"/>
          <w:right w:val="nil"/>
          <w:between w:val="nil"/>
        </w:pBdr>
        <w:tabs>
          <w:tab w:val="left" w:pos="619"/>
        </w:tabs>
        <w:spacing w:before="129" w:line="273" w:lineRule="auto"/>
        <w:ind w:right="-90" w:hanging="249"/>
        <w:jc w:val="both"/>
        <w:rPr>
          <w:color w:val="000000"/>
          <w:sz w:val="24"/>
          <w:szCs w:val="24"/>
        </w:rPr>
      </w:pPr>
      <w:bookmarkStart w:id="4" w:name="_heading=h.44sinio" w:colFirst="0" w:colLast="0"/>
      <w:bookmarkEnd w:id="4"/>
      <w:r w:rsidRPr="0074498E">
        <w:rPr>
          <w:color w:val="000000"/>
          <w:sz w:val="24"/>
          <w:szCs w:val="24"/>
        </w:rPr>
        <w:t>In the building construction sector of the state, the migrant workers outside the state by virtue of hard work and diligent nature, and their easy acceptance of worse employment cond</w:t>
      </w:r>
      <w:r w:rsidR="00DC4F29">
        <w:rPr>
          <w:color w:val="000000"/>
          <w:sz w:val="24"/>
          <w:szCs w:val="24"/>
        </w:rPr>
        <w:t>itions are replacing many local</w:t>
      </w:r>
      <w:r w:rsidRPr="0074498E">
        <w:rPr>
          <w:color w:val="000000"/>
          <w:sz w:val="24"/>
          <w:szCs w:val="24"/>
        </w:rPr>
        <w:t xml:space="preserve"> residential workers of the state from their jobs. So, a separate study can be made on the effect of migrant workers on wage and employment opportunities of the native residential workers in building construction sector of the state.</w:t>
      </w:r>
    </w:p>
    <w:p w14:paraId="0A857843" w14:textId="77777777" w:rsidR="0074498E" w:rsidRDefault="0074498E" w:rsidP="0074498E">
      <w:pPr>
        <w:numPr>
          <w:ilvl w:val="1"/>
          <w:numId w:val="8"/>
        </w:numPr>
        <w:pBdr>
          <w:top w:val="nil"/>
          <w:left w:val="nil"/>
          <w:bottom w:val="nil"/>
          <w:right w:val="nil"/>
          <w:between w:val="nil"/>
        </w:pBdr>
        <w:tabs>
          <w:tab w:val="left" w:pos="619"/>
        </w:tabs>
        <w:spacing w:before="130" w:line="273" w:lineRule="auto"/>
        <w:ind w:right="-90" w:hanging="249"/>
        <w:jc w:val="both"/>
        <w:rPr>
          <w:color w:val="000000"/>
          <w:sz w:val="24"/>
          <w:szCs w:val="24"/>
        </w:rPr>
      </w:pPr>
      <w:r w:rsidRPr="0074498E">
        <w:rPr>
          <w:color w:val="000000"/>
          <w:sz w:val="24"/>
          <w:szCs w:val="24"/>
        </w:rPr>
        <w:t xml:space="preserve">Unionism is viewed as a necessary requirement for protecting the socio-economic </w:t>
      </w:r>
      <w:r>
        <w:rPr>
          <w:color w:val="000000"/>
          <w:sz w:val="24"/>
          <w:szCs w:val="24"/>
        </w:rPr>
        <w:t>interest of the unorganized con</w:t>
      </w:r>
      <w:r w:rsidRPr="0074498E">
        <w:rPr>
          <w:color w:val="000000"/>
          <w:sz w:val="24"/>
          <w:szCs w:val="24"/>
        </w:rPr>
        <w:t>struction workers. So, unionism among the construction workers can be examined as a separate study.</w:t>
      </w:r>
    </w:p>
    <w:p w14:paraId="0880C0BA" w14:textId="77777777" w:rsidR="004776F3" w:rsidRDefault="004776F3" w:rsidP="004776F3">
      <w:pPr>
        <w:pBdr>
          <w:top w:val="nil"/>
          <w:left w:val="nil"/>
          <w:bottom w:val="nil"/>
          <w:right w:val="nil"/>
          <w:between w:val="nil"/>
        </w:pBdr>
        <w:tabs>
          <w:tab w:val="left" w:pos="619"/>
        </w:tabs>
        <w:spacing w:before="130" w:line="273" w:lineRule="auto"/>
        <w:ind w:right="-90"/>
        <w:jc w:val="both"/>
        <w:rPr>
          <w:color w:val="000000"/>
          <w:sz w:val="24"/>
          <w:szCs w:val="24"/>
        </w:rPr>
      </w:pPr>
    </w:p>
    <w:p w14:paraId="34267E57" w14:textId="77777777" w:rsidR="001B7431" w:rsidRDefault="001B7431" w:rsidP="004776F3">
      <w:pPr>
        <w:pBdr>
          <w:top w:val="nil"/>
          <w:left w:val="nil"/>
          <w:bottom w:val="nil"/>
          <w:right w:val="nil"/>
          <w:between w:val="nil"/>
        </w:pBdr>
        <w:tabs>
          <w:tab w:val="left" w:pos="619"/>
        </w:tabs>
        <w:spacing w:before="130" w:line="273" w:lineRule="auto"/>
        <w:ind w:right="-90"/>
        <w:jc w:val="both"/>
        <w:rPr>
          <w:color w:val="000000"/>
          <w:sz w:val="24"/>
          <w:szCs w:val="24"/>
        </w:rPr>
      </w:pPr>
    </w:p>
    <w:p w14:paraId="27D7B18A" w14:textId="77777777" w:rsidR="001B7431" w:rsidRDefault="001B7431" w:rsidP="004776F3">
      <w:pPr>
        <w:pBdr>
          <w:top w:val="nil"/>
          <w:left w:val="nil"/>
          <w:bottom w:val="nil"/>
          <w:right w:val="nil"/>
          <w:between w:val="nil"/>
        </w:pBdr>
        <w:tabs>
          <w:tab w:val="left" w:pos="619"/>
        </w:tabs>
        <w:spacing w:before="130" w:line="273" w:lineRule="auto"/>
        <w:ind w:right="-90"/>
        <w:jc w:val="both"/>
        <w:rPr>
          <w:color w:val="000000"/>
          <w:sz w:val="24"/>
          <w:szCs w:val="24"/>
        </w:rPr>
      </w:pPr>
      <w:bookmarkStart w:id="5" w:name="_GoBack"/>
      <w:bookmarkEnd w:id="5"/>
    </w:p>
    <w:p w14:paraId="01B6D112" w14:textId="77777777" w:rsidR="001B7431" w:rsidRPr="0074498E" w:rsidRDefault="001B7431" w:rsidP="004776F3">
      <w:pPr>
        <w:pBdr>
          <w:top w:val="nil"/>
          <w:left w:val="nil"/>
          <w:bottom w:val="nil"/>
          <w:right w:val="nil"/>
          <w:between w:val="nil"/>
        </w:pBdr>
        <w:tabs>
          <w:tab w:val="left" w:pos="619"/>
        </w:tabs>
        <w:spacing w:before="130" w:line="273" w:lineRule="auto"/>
        <w:ind w:right="-90"/>
        <w:jc w:val="both"/>
        <w:rPr>
          <w:color w:val="000000"/>
          <w:sz w:val="24"/>
          <w:szCs w:val="24"/>
        </w:rPr>
      </w:pPr>
    </w:p>
    <w:p w14:paraId="3D635DD5" w14:textId="77777777" w:rsidR="004C6575" w:rsidRDefault="00833F6F" w:rsidP="0074498E">
      <w:pPr>
        <w:ind w:left="120" w:right="-90"/>
        <w:jc w:val="both"/>
        <w:rPr>
          <w:b/>
          <w:color w:val="000000" w:themeColor="text1"/>
          <w:sz w:val="24"/>
          <w:szCs w:val="24"/>
        </w:rPr>
      </w:pPr>
      <w:r>
        <w:rPr>
          <w:b/>
          <w:color w:val="000000" w:themeColor="text1"/>
          <w:sz w:val="24"/>
          <w:szCs w:val="24"/>
        </w:rPr>
        <w:t xml:space="preserve">    </w:t>
      </w:r>
      <w:r w:rsidRPr="00833F6F">
        <w:rPr>
          <w:b/>
          <w:color w:val="000000" w:themeColor="text1"/>
          <w:sz w:val="24"/>
          <w:szCs w:val="24"/>
        </w:rPr>
        <w:t>References:</w:t>
      </w:r>
    </w:p>
    <w:p w14:paraId="281396C3" w14:textId="38800964" w:rsidR="00833F6F" w:rsidRPr="007906F8" w:rsidRDefault="00833F6F" w:rsidP="00611CD4">
      <w:pPr>
        <w:pStyle w:val="Bibliography"/>
        <w:ind w:left="270"/>
        <w:jc w:val="both"/>
        <w:rPr>
          <w:noProof/>
          <w:sz w:val="24"/>
          <w:szCs w:val="24"/>
        </w:rPr>
      </w:pPr>
      <w:r w:rsidRPr="007906F8">
        <w:rPr>
          <w:noProof/>
          <w:sz w:val="24"/>
          <w:szCs w:val="24"/>
        </w:rPr>
        <w:t>Achrya, S., &amp; Sunita, R. (2016):Migrant women in construction works- Examining Issues and challenges in delhi,</w:t>
      </w:r>
      <w:r w:rsidRPr="007906F8">
        <w:rPr>
          <w:i/>
          <w:iCs/>
          <w:noProof/>
          <w:sz w:val="24"/>
          <w:szCs w:val="24"/>
        </w:rPr>
        <w:t>Amity Journal of Healthcare Management</w:t>
      </w:r>
      <w:r w:rsidRPr="007906F8">
        <w:rPr>
          <w:noProof/>
          <w:sz w:val="24"/>
          <w:szCs w:val="24"/>
        </w:rPr>
        <w:t xml:space="preserve"> ,pp.1-20.</w:t>
      </w:r>
    </w:p>
    <w:p w14:paraId="128B7D47" w14:textId="66C7F5AF" w:rsidR="00833F6F" w:rsidRPr="007906F8" w:rsidRDefault="00E90DDC" w:rsidP="00611CD4">
      <w:pPr>
        <w:pStyle w:val="Bibliography"/>
        <w:ind w:left="270"/>
        <w:jc w:val="both"/>
        <w:rPr>
          <w:noProof/>
          <w:sz w:val="24"/>
          <w:szCs w:val="24"/>
        </w:rPr>
      </w:pPr>
      <w:r w:rsidRPr="007906F8">
        <w:rPr>
          <w:noProof/>
          <w:sz w:val="24"/>
          <w:szCs w:val="24"/>
        </w:rPr>
        <w:t>Allen, S. G. (1987). Declining unionization in construction: The facts and the reasons. National Bureau of Economic Research. http://www.nber.org/papers/w2320.pdf</w:t>
      </w:r>
    </w:p>
    <w:p w14:paraId="0C51B662" w14:textId="1191ABF4" w:rsidR="00833F6F" w:rsidRPr="007906F8" w:rsidRDefault="00E90DDC" w:rsidP="00611CD4">
      <w:pPr>
        <w:pStyle w:val="Bibliography"/>
        <w:ind w:left="270"/>
        <w:jc w:val="both"/>
        <w:rPr>
          <w:noProof/>
          <w:sz w:val="24"/>
          <w:szCs w:val="24"/>
          <w:lang w:val="pt-BR"/>
        </w:rPr>
      </w:pPr>
      <w:r w:rsidRPr="007906F8">
        <w:rPr>
          <w:noProof/>
          <w:sz w:val="24"/>
          <w:szCs w:val="24"/>
        </w:rPr>
        <w:t xml:space="preserve">Bourmpoula, E., Kapsos, S., &amp; Pasteels, J. M. (2015). ILO labour force estimates and projections: 1990-2050 : methodological description. </w:t>
      </w:r>
      <w:r w:rsidRPr="007906F8">
        <w:rPr>
          <w:noProof/>
          <w:sz w:val="24"/>
          <w:szCs w:val="24"/>
          <w:lang w:val="pt-BR"/>
        </w:rPr>
        <w:t>ILO. https://www.ilo.org/global/statistics/lang--en/doc/WCMS_365090/index.htm</w:t>
      </w:r>
    </w:p>
    <w:p w14:paraId="35CE79CF" w14:textId="175B9519" w:rsidR="00833F6F" w:rsidRPr="007906F8" w:rsidRDefault="00E90DDC" w:rsidP="00611CD4">
      <w:pPr>
        <w:pStyle w:val="Bibliography"/>
        <w:ind w:left="270"/>
        <w:jc w:val="both"/>
        <w:rPr>
          <w:noProof/>
          <w:sz w:val="24"/>
          <w:szCs w:val="24"/>
        </w:rPr>
      </w:pPr>
      <w:r w:rsidRPr="007906F8">
        <w:rPr>
          <w:noProof/>
          <w:sz w:val="24"/>
          <w:szCs w:val="24"/>
        </w:rPr>
        <w:lastRenderedPageBreak/>
        <w:t>Chitra, N. (2016). A descriptive study on problems of women workers in construction industry at Tiruchirappalli. IOSR Journal of Humanities and Social Science, 5(Special issue), 46-52. https://www.iosrjournals.org/iosr-jhss/Papers/Conf.17004/Volume-5/10.%2046-52.Pdf</w:t>
      </w:r>
    </w:p>
    <w:p w14:paraId="4D23DA7B" w14:textId="09CE9B34" w:rsidR="00833F6F" w:rsidRPr="007906F8" w:rsidRDefault="00E90DDC" w:rsidP="00611CD4">
      <w:pPr>
        <w:pStyle w:val="Bibliography"/>
        <w:ind w:left="270"/>
        <w:jc w:val="both"/>
        <w:rPr>
          <w:noProof/>
          <w:sz w:val="24"/>
          <w:szCs w:val="24"/>
        </w:rPr>
      </w:pPr>
      <w:r w:rsidRPr="007906F8">
        <w:rPr>
          <w:noProof/>
          <w:sz w:val="24"/>
          <w:szCs w:val="24"/>
        </w:rPr>
        <w:t>cidb. (2005). Labour-based methods and technologies for employment-intensive construction works: A cidb guide to best practice. Construction Industry Development Board. https://www.cidb.org.za</w:t>
      </w:r>
    </w:p>
    <w:p w14:paraId="73818A2E" w14:textId="15CA33B9" w:rsidR="00833F6F" w:rsidRPr="007906F8" w:rsidRDefault="00E90DDC" w:rsidP="00611CD4">
      <w:pPr>
        <w:pStyle w:val="Bibliography"/>
        <w:ind w:left="270"/>
        <w:jc w:val="both"/>
        <w:rPr>
          <w:noProof/>
          <w:sz w:val="24"/>
          <w:szCs w:val="24"/>
        </w:rPr>
      </w:pPr>
      <w:r w:rsidRPr="007906F8">
        <w:rPr>
          <w:noProof/>
          <w:sz w:val="24"/>
          <w:szCs w:val="24"/>
        </w:rPr>
        <w:t>Dalmia, A. J. (2012). Strong Women, Weak Bodies, Muted Voices: Women Construction Workers in Delhi. Economic &amp; Political Weekly, 47(26-27), 249-261. https://www.epw.in/journal/2012/26-27</w:t>
      </w:r>
    </w:p>
    <w:p w14:paraId="4B9EFD52" w14:textId="470F8A88" w:rsidR="00833F6F" w:rsidRPr="007906F8" w:rsidRDefault="00E90DDC" w:rsidP="00611CD4">
      <w:pPr>
        <w:pStyle w:val="Bibliography"/>
        <w:ind w:left="270"/>
        <w:jc w:val="both"/>
        <w:rPr>
          <w:noProof/>
          <w:sz w:val="24"/>
          <w:szCs w:val="24"/>
        </w:rPr>
      </w:pPr>
      <w:r w:rsidRPr="007906F8">
        <w:rPr>
          <w:noProof/>
          <w:sz w:val="24"/>
          <w:szCs w:val="24"/>
        </w:rPr>
        <w:t>Devi, K., &amp; Kiran, U. V. (2013). Status of female workers in construction industry in India: A review. *IOSR Journal of Humanities and Social Science, 14*(4), 27-30. https://www.iosrjournals.org/iosr-jhss/archive.html</w:t>
      </w:r>
    </w:p>
    <w:p w14:paraId="2D69214F" w14:textId="6BC71276" w:rsidR="00833F6F" w:rsidRPr="007906F8" w:rsidRDefault="00E90DDC" w:rsidP="00611CD4">
      <w:pPr>
        <w:pStyle w:val="Bibliography"/>
        <w:ind w:left="270"/>
        <w:jc w:val="both"/>
        <w:rPr>
          <w:noProof/>
          <w:sz w:val="24"/>
          <w:szCs w:val="24"/>
        </w:rPr>
      </w:pPr>
      <w:r w:rsidRPr="007906F8">
        <w:rPr>
          <w:noProof/>
          <w:sz w:val="24"/>
          <w:szCs w:val="24"/>
        </w:rPr>
        <w:t>Tiwary, G., Gangopadhyay, P. K., Biswas, S., Nayak, K., Chatterjee, M. K., Chakraborty, D., &amp; Mukherjee, S. (2012). Socio-economic status of workers of building construction industry. Indian Journal of Occupational and Environmental Medicine, 16(2), 66-71. https://doi.org/10.4103/0019-5278.107072</w:t>
      </w:r>
    </w:p>
    <w:p w14:paraId="352FAA78" w14:textId="60750B63" w:rsidR="00833F6F" w:rsidRPr="007906F8" w:rsidRDefault="00E90DDC" w:rsidP="00611CD4">
      <w:pPr>
        <w:pStyle w:val="Bibliography"/>
        <w:ind w:left="270"/>
        <w:jc w:val="both"/>
        <w:rPr>
          <w:noProof/>
          <w:sz w:val="24"/>
          <w:szCs w:val="24"/>
        </w:rPr>
      </w:pPr>
      <w:r w:rsidRPr="007906F8">
        <w:rPr>
          <w:noProof/>
          <w:sz w:val="24"/>
          <w:szCs w:val="24"/>
        </w:rPr>
        <w:t>Gupta, S. P. (2021). Statistical Methods: All India Edition. Sultan Chand &amp; Sons. https://www.sultanchandandsons.com/book/statistical-methods/</w:t>
      </w:r>
    </w:p>
    <w:p w14:paraId="00AB7E1C" w14:textId="13117D88" w:rsidR="00833F6F" w:rsidRPr="007906F8" w:rsidRDefault="00E90DDC" w:rsidP="00611CD4">
      <w:pPr>
        <w:pStyle w:val="Bibliography"/>
        <w:ind w:left="270"/>
        <w:jc w:val="both"/>
        <w:rPr>
          <w:noProof/>
          <w:sz w:val="24"/>
          <w:szCs w:val="24"/>
        </w:rPr>
      </w:pPr>
      <w:r w:rsidRPr="007906F8">
        <w:rPr>
          <w:noProof/>
          <w:sz w:val="24"/>
          <w:szCs w:val="24"/>
        </w:rPr>
        <w:t>Ibrahim, M. A. (2013). The determinants of private sector demand for employment in Egypt: 1990-2007. *Advances in Management and Applied Economics*, *3*(1), 1-12. http://www.scienpress.com/Upload/AMAE%2fVol%203_1_12.pdf</w:t>
      </w:r>
    </w:p>
    <w:p w14:paraId="4E11BAB5" w14:textId="77777777" w:rsidR="00833F6F" w:rsidRPr="007906F8" w:rsidRDefault="00833F6F" w:rsidP="00611CD4">
      <w:pPr>
        <w:pStyle w:val="Bibliography"/>
        <w:ind w:left="270"/>
        <w:jc w:val="both"/>
        <w:rPr>
          <w:noProof/>
          <w:sz w:val="24"/>
          <w:szCs w:val="24"/>
        </w:rPr>
      </w:pPr>
      <w:r w:rsidRPr="007906F8">
        <w:rPr>
          <w:noProof/>
          <w:sz w:val="24"/>
          <w:szCs w:val="24"/>
        </w:rPr>
        <w:t xml:space="preserve">Jayakrishnan, T. at el.(2013):Occupational Health Problems of Construction Workers in India,. </w:t>
      </w:r>
      <w:r w:rsidRPr="007906F8">
        <w:rPr>
          <w:i/>
          <w:iCs/>
          <w:noProof/>
          <w:sz w:val="24"/>
          <w:szCs w:val="24"/>
        </w:rPr>
        <w:t>International Journal of medicine and public health</w:t>
      </w:r>
      <w:r w:rsidRPr="007906F8">
        <w:rPr>
          <w:noProof/>
          <w:sz w:val="24"/>
          <w:szCs w:val="24"/>
        </w:rPr>
        <w:t xml:space="preserve"> </w:t>
      </w:r>
      <w:r w:rsidRPr="007906F8">
        <w:rPr>
          <w:i/>
          <w:iCs/>
          <w:noProof/>
          <w:sz w:val="24"/>
          <w:szCs w:val="24"/>
        </w:rPr>
        <w:t>, 3</w:t>
      </w:r>
      <w:r w:rsidRPr="007906F8">
        <w:rPr>
          <w:noProof/>
          <w:sz w:val="24"/>
          <w:szCs w:val="24"/>
        </w:rPr>
        <w:t xml:space="preserve"> (4), pp.227-229.</w:t>
      </w:r>
    </w:p>
    <w:p w14:paraId="193496FC" w14:textId="77777777" w:rsidR="00833F6F" w:rsidRPr="007906F8" w:rsidRDefault="00833F6F" w:rsidP="00611CD4">
      <w:pPr>
        <w:pStyle w:val="Bibliography"/>
        <w:ind w:left="270"/>
        <w:jc w:val="both"/>
        <w:rPr>
          <w:noProof/>
          <w:sz w:val="24"/>
          <w:szCs w:val="24"/>
        </w:rPr>
      </w:pPr>
      <w:r w:rsidRPr="007906F8">
        <w:rPr>
          <w:noProof/>
          <w:sz w:val="24"/>
          <w:szCs w:val="24"/>
        </w:rPr>
        <w:t>John E Freund &amp; Benjamin M Perles. (2004):</w:t>
      </w:r>
      <w:r w:rsidRPr="007906F8">
        <w:rPr>
          <w:i/>
          <w:iCs/>
          <w:noProof/>
          <w:sz w:val="24"/>
          <w:szCs w:val="24"/>
        </w:rPr>
        <w:t>Statistics- A first course.</w:t>
      </w:r>
      <w:r w:rsidRPr="007906F8">
        <w:rPr>
          <w:noProof/>
          <w:sz w:val="24"/>
          <w:szCs w:val="24"/>
        </w:rPr>
        <w:t xml:space="preserve"> India: Prentice Hall.</w:t>
      </w:r>
    </w:p>
    <w:p w14:paraId="11910FB3" w14:textId="42F8FDAD" w:rsidR="00833F6F" w:rsidRPr="007906F8" w:rsidRDefault="00E90DDC" w:rsidP="00611CD4">
      <w:pPr>
        <w:pStyle w:val="Bibliography"/>
        <w:ind w:left="270"/>
        <w:jc w:val="both"/>
        <w:rPr>
          <w:noProof/>
          <w:sz w:val="24"/>
          <w:szCs w:val="24"/>
        </w:rPr>
      </w:pPr>
      <w:r w:rsidRPr="007906F8">
        <w:rPr>
          <w:noProof/>
          <w:sz w:val="24"/>
          <w:szCs w:val="24"/>
        </w:rPr>
        <w:t>Kumar, B. R. (2013). Gender Discrimination among Construction Workers With Reference To Vijayawada. Journal of Sociology and Social Work, 1(1), 42-53. https://www.aripd.org/jssw/Vol1No1_Kumar.pdf</w:t>
      </w:r>
    </w:p>
    <w:p w14:paraId="05140AD1" w14:textId="17959A1F" w:rsidR="00833F6F" w:rsidRPr="007906F8" w:rsidRDefault="00E90DDC" w:rsidP="00611CD4">
      <w:pPr>
        <w:pStyle w:val="Bibliography"/>
        <w:ind w:left="270"/>
        <w:jc w:val="both"/>
        <w:rPr>
          <w:noProof/>
          <w:sz w:val="24"/>
          <w:szCs w:val="24"/>
        </w:rPr>
      </w:pPr>
      <w:r w:rsidRPr="007906F8">
        <w:rPr>
          <w:noProof/>
          <w:sz w:val="24"/>
          <w:szCs w:val="24"/>
        </w:rPr>
        <w:t>Kumar, M. D. (2013). Inimitable issues of construction workers: Case study. British Journal of Economics, Finance and Management Sciences, 7(2), 42-53. http://www.ajournal.co.uk/EFpdfs/EFvolume7(2)/EFVol.7%20(2)%20Article%204.pdf</w:t>
      </w:r>
    </w:p>
    <w:p w14:paraId="6CEF9DA9" w14:textId="473A71EA" w:rsidR="00833F6F" w:rsidRPr="007906F8" w:rsidRDefault="00E90DDC" w:rsidP="00611CD4">
      <w:pPr>
        <w:pStyle w:val="Bibliography"/>
        <w:ind w:left="270"/>
        <w:jc w:val="both"/>
        <w:rPr>
          <w:noProof/>
          <w:sz w:val="24"/>
          <w:szCs w:val="24"/>
        </w:rPr>
      </w:pPr>
      <w:r w:rsidRPr="007906F8">
        <w:rPr>
          <w:noProof/>
          <w:sz w:val="24"/>
          <w:szCs w:val="24"/>
        </w:rPr>
        <w:t>Lakhani, R. (2004). Occupational Health of Women Construction Workers in the Unorganised Sector. Journal of Health Management, 6(2), 187-200. https://doi.org/10.1177/097206340400600209</w:t>
      </w:r>
    </w:p>
    <w:p w14:paraId="3F803CE7" w14:textId="04FB12AA" w:rsidR="00833F6F" w:rsidRPr="007906F8" w:rsidRDefault="00E90DDC" w:rsidP="00611CD4">
      <w:pPr>
        <w:pStyle w:val="Bibliography"/>
        <w:ind w:left="270"/>
        <w:jc w:val="both"/>
        <w:rPr>
          <w:noProof/>
          <w:sz w:val="24"/>
          <w:szCs w:val="24"/>
        </w:rPr>
      </w:pPr>
      <w:r w:rsidRPr="007906F8">
        <w:rPr>
          <w:noProof/>
          <w:sz w:val="24"/>
          <w:szCs w:val="24"/>
        </w:rPr>
        <w:t>Patel, H. C., Moitra, M., Momin Mohmmed, I. H., &amp; Kantharia, S. L. (2012). Working Conditions of Male Construction Worker and Its Impact on Their Life: A Cross Sectional Study in Surat City. National Journal of Community Medicine, 3(4), 652-656. https://njcmindia.org/index.php/njcm/issue/view/12</w:t>
      </w:r>
    </w:p>
    <w:p w14:paraId="35AD41F6" w14:textId="252E5D80" w:rsidR="00833F6F" w:rsidRPr="007906F8" w:rsidRDefault="00E90DDC" w:rsidP="00611CD4">
      <w:pPr>
        <w:pStyle w:val="Bibliography"/>
        <w:ind w:left="270"/>
        <w:jc w:val="both"/>
        <w:rPr>
          <w:noProof/>
          <w:sz w:val="24"/>
          <w:szCs w:val="24"/>
        </w:rPr>
      </w:pPr>
      <w:r w:rsidRPr="007906F8">
        <w:rPr>
          <w:noProof/>
          <w:sz w:val="24"/>
          <w:szCs w:val="24"/>
          <w:lang w:val="nb-NO"/>
        </w:rPr>
        <w:t xml:space="preserve">Mir, M. S., Hamid, R., Azhar, M., &amp; Malik, G. M. (2018). </w:t>
      </w:r>
      <w:r w:rsidRPr="007906F8">
        <w:rPr>
          <w:noProof/>
          <w:sz w:val="24"/>
          <w:szCs w:val="24"/>
        </w:rPr>
        <w:t>Occupational Health Problems of Construction Workers in Valley of Kashmir. Crimson Open Journal of Nursing and Health Care, 3(3). https://doi.org/10.31031/COJNH.2018.03.000564</w:t>
      </w:r>
    </w:p>
    <w:p w14:paraId="52C83E40" w14:textId="77777777" w:rsidR="00833F6F" w:rsidRPr="007906F8" w:rsidRDefault="00833F6F" w:rsidP="00611CD4">
      <w:pPr>
        <w:pStyle w:val="Bibliography"/>
        <w:ind w:left="270"/>
        <w:jc w:val="both"/>
        <w:rPr>
          <w:noProof/>
          <w:sz w:val="24"/>
          <w:szCs w:val="24"/>
        </w:rPr>
      </w:pPr>
      <w:r w:rsidRPr="007906F8">
        <w:rPr>
          <w:noProof/>
          <w:sz w:val="24"/>
          <w:szCs w:val="24"/>
        </w:rPr>
        <w:t>Narayan, H. (</w:t>
      </w:r>
      <w:r w:rsidR="00944C0F" w:rsidRPr="007906F8">
        <w:rPr>
          <w:noProof/>
          <w:sz w:val="24"/>
          <w:szCs w:val="24"/>
        </w:rPr>
        <w:t xml:space="preserve"> July,2017):</w:t>
      </w:r>
      <w:r w:rsidRPr="007906F8">
        <w:rPr>
          <w:noProof/>
          <w:sz w:val="24"/>
          <w:szCs w:val="24"/>
        </w:rPr>
        <w:t xml:space="preserve">A study on occupational stress in the unorganized sector with special reference to construction </w:t>
      </w:r>
      <w:r w:rsidR="00944C0F" w:rsidRPr="007906F8">
        <w:rPr>
          <w:noProof/>
          <w:sz w:val="24"/>
          <w:szCs w:val="24"/>
        </w:rPr>
        <w:t>workers in Kanchipuram district,</w:t>
      </w:r>
      <w:r w:rsidRPr="007906F8">
        <w:rPr>
          <w:noProof/>
          <w:sz w:val="24"/>
          <w:szCs w:val="24"/>
        </w:rPr>
        <w:t xml:space="preserve"> Tamil Nadu, India: Department of Management Studies, Sri Chandrasekharendra Saraswathi Viswa Mahavidyalaya</w:t>
      </w:r>
      <w:r w:rsidR="00944C0F" w:rsidRPr="007906F8">
        <w:rPr>
          <w:noProof/>
          <w:sz w:val="24"/>
          <w:szCs w:val="24"/>
        </w:rPr>
        <w:t>,pp.155</w:t>
      </w:r>
      <w:r w:rsidRPr="007906F8">
        <w:rPr>
          <w:noProof/>
          <w:sz w:val="24"/>
          <w:szCs w:val="24"/>
        </w:rPr>
        <w:t>.</w:t>
      </w:r>
    </w:p>
    <w:p w14:paraId="67090CD1" w14:textId="70002755" w:rsidR="00833F6F" w:rsidRPr="007906F8" w:rsidRDefault="00E90DDC" w:rsidP="00611CD4">
      <w:pPr>
        <w:pStyle w:val="Bibliography"/>
        <w:ind w:left="270"/>
        <w:jc w:val="both"/>
        <w:rPr>
          <w:noProof/>
          <w:sz w:val="24"/>
          <w:szCs w:val="24"/>
        </w:rPr>
      </w:pPr>
      <w:r w:rsidRPr="007906F8">
        <w:rPr>
          <w:noProof/>
          <w:sz w:val="24"/>
          <w:szCs w:val="24"/>
        </w:rPr>
        <w:t>NSO. (2019). *2017-18 Unit Level data, Periodic Labour Force Survey*. NSSO Ministry of Statistics and Program Implementation, Government of India. https://esankhyiki.mospi.gov.in/Periodic%20Labour%20Force%20Survey%20(PLFS)</w:t>
      </w:r>
    </w:p>
    <w:p w14:paraId="613D9985" w14:textId="45D623B0" w:rsidR="00833F6F" w:rsidRPr="007906F8" w:rsidRDefault="00E90DDC" w:rsidP="00611CD4">
      <w:pPr>
        <w:pStyle w:val="Bibliography"/>
        <w:ind w:left="270"/>
        <w:jc w:val="both"/>
        <w:rPr>
          <w:noProof/>
          <w:sz w:val="24"/>
          <w:szCs w:val="24"/>
          <w:lang w:val="pt-BR"/>
        </w:rPr>
      </w:pPr>
      <w:r w:rsidRPr="007906F8">
        <w:rPr>
          <w:noProof/>
          <w:sz w:val="24"/>
          <w:szCs w:val="24"/>
        </w:rPr>
        <w:lastRenderedPageBreak/>
        <w:t xml:space="preserve">National Sample Survey Organization, Ministry of Statistics &amp; Programme Implementation. (2013). India - National Sample Survey 2011-2012 (68th round) - Schedule 10 - Employment and Unemployment - Data Catalog. </w:t>
      </w:r>
      <w:r w:rsidRPr="007906F8">
        <w:rPr>
          <w:noProof/>
          <w:sz w:val="24"/>
          <w:szCs w:val="24"/>
          <w:lang w:val="pt-BR"/>
        </w:rPr>
        <w:t>ICSSR Data Service. https://www.icssr.org/data-service/microdata-catalog/mospi-nss/ddi-ind-mospi-nsso-68-10-2013</w:t>
      </w:r>
    </w:p>
    <w:p w14:paraId="13377D3A" w14:textId="7AFB5304" w:rsidR="00833F6F" w:rsidRPr="007906F8" w:rsidRDefault="00E90DDC" w:rsidP="00611CD4">
      <w:pPr>
        <w:pStyle w:val="Bibliography"/>
        <w:ind w:left="270"/>
        <w:jc w:val="both"/>
        <w:rPr>
          <w:noProof/>
          <w:sz w:val="24"/>
          <w:szCs w:val="24"/>
        </w:rPr>
      </w:pPr>
      <w:r w:rsidRPr="007906F8">
        <w:rPr>
          <w:noProof/>
          <w:sz w:val="24"/>
          <w:szCs w:val="24"/>
        </w:rPr>
        <w:t>Laad, P. S., Adsul, B. B., Chaturvedi, R. M., &amp; Shaikh, M. (2013). Prevalence of Substance Abuse among Construction Workers. Paripex - Indian Journal of Research, 2(3), 280-283. https://doi.org/10.36106/paripex</w:t>
      </w:r>
    </w:p>
    <w:p w14:paraId="52CBE1DA" w14:textId="228CCE62" w:rsidR="00833F6F" w:rsidRPr="007906F8" w:rsidRDefault="00E90DDC" w:rsidP="00611CD4">
      <w:pPr>
        <w:pStyle w:val="Bibliography"/>
        <w:ind w:left="270"/>
        <w:jc w:val="both"/>
        <w:rPr>
          <w:noProof/>
          <w:sz w:val="24"/>
          <w:szCs w:val="24"/>
        </w:rPr>
      </w:pPr>
      <w:r w:rsidRPr="007906F8">
        <w:rPr>
          <w:noProof/>
          <w:sz w:val="24"/>
          <w:szCs w:val="24"/>
        </w:rPr>
        <w:t>Ponnaian, K., &amp; Iyappan, T. (2016). Problems Of Building Construction Workers In Kanyakumari District Of Tamil Nadu. *International Journal of Management and Economics Invention*, *2*(11), 1104-1106. https://doi.org/10.18535/ijmei/v2i11.04</w:t>
      </w:r>
    </w:p>
    <w:p w14:paraId="72A4427B" w14:textId="77777777" w:rsidR="00833F6F" w:rsidRPr="007906F8" w:rsidRDefault="00833F6F" w:rsidP="00611CD4">
      <w:pPr>
        <w:pStyle w:val="Bibliography"/>
        <w:ind w:left="270"/>
        <w:jc w:val="both"/>
        <w:rPr>
          <w:noProof/>
          <w:sz w:val="24"/>
          <w:szCs w:val="24"/>
        </w:rPr>
      </w:pPr>
      <w:r w:rsidRPr="007906F8">
        <w:rPr>
          <w:noProof/>
          <w:sz w:val="24"/>
          <w:szCs w:val="24"/>
        </w:rPr>
        <w:t>Ponnuswamy, B. (</w:t>
      </w:r>
      <w:r w:rsidR="00944C0F" w:rsidRPr="007906F8">
        <w:rPr>
          <w:noProof/>
          <w:sz w:val="24"/>
          <w:szCs w:val="24"/>
        </w:rPr>
        <w:t>20</w:t>
      </w:r>
      <w:r w:rsidR="00944C0F" w:rsidRPr="007906F8">
        <w:rPr>
          <w:noProof/>
          <w:sz w:val="24"/>
          <w:szCs w:val="24"/>
          <w:vertAlign w:val="superscript"/>
        </w:rPr>
        <w:t>th</w:t>
      </w:r>
      <w:r w:rsidR="00944C0F" w:rsidRPr="007906F8">
        <w:rPr>
          <w:noProof/>
          <w:sz w:val="24"/>
          <w:szCs w:val="24"/>
        </w:rPr>
        <w:t xml:space="preserve"> Feb,2013): </w:t>
      </w:r>
      <w:r w:rsidRPr="007906F8">
        <w:rPr>
          <w:noProof/>
          <w:sz w:val="24"/>
          <w:szCs w:val="24"/>
        </w:rPr>
        <w:t xml:space="preserve">Socio-economic conditions of workers in urban informal sector-A study of construction,. </w:t>
      </w:r>
      <w:r w:rsidRPr="007906F8">
        <w:rPr>
          <w:i/>
          <w:iCs/>
          <w:noProof/>
          <w:sz w:val="24"/>
          <w:szCs w:val="24"/>
        </w:rPr>
        <w:t>unpublished Ph.D Thesis workers in Channnai city</w:t>
      </w:r>
      <w:r w:rsidR="00944C0F" w:rsidRPr="007906F8">
        <w:rPr>
          <w:noProof/>
          <w:sz w:val="24"/>
          <w:szCs w:val="24"/>
        </w:rPr>
        <w:t xml:space="preserve"> . Madras, chennai, India,</w:t>
      </w:r>
      <w:r w:rsidRPr="007906F8">
        <w:rPr>
          <w:noProof/>
          <w:sz w:val="24"/>
          <w:szCs w:val="24"/>
        </w:rPr>
        <w:t xml:space="preserve"> Madras University</w:t>
      </w:r>
      <w:r w:rsidR="00944C0F" w:rsidRPr="007906F8">
        <w:rPr>
          <w:noProof/>
          <w:sz w:val="24"/>
          <w:szCs w:val="24"/>
        </w:rPr>
        <w:t>, pp.228-246</w:t>
      </w:r>
      <w:r w:rsidRPr="007906F8">
        <w:rPr>
          <w:noProof/>
          <w:sz w:val="24"/>
          <w:szCs w:val="24"/>
        </w:rPr>
        <w:t>.</w:t>
      </w:r>
    </w:p>
    <w:p w14:paraId="2297642B" w14:textId="77777777" w:rsidR="00833F6F" w:rsidRPr="007906F8" w:rsidRDefault="00944C0F" w:rsidP="00611CD4">
      <w:pPr>
        <w:pStyle w:val="Bibliography"/>
        <w:ind w:left="270"/>
        <w:jc w:val="both"/>
        <w:rPr>
          <w:noProof/>
          <w:sz w:val="24"/>
          <w:szCs w:val="24"/>
        </w:rPr>
      </w:pPr>
      <w:r w:rsidRPr="007906F8">
        <w:rPr>
          <w:noProof/>
          <w:sz w:val="24"/>
          <w:szCs w:val="24"/>
        </w:rPr>
        <w:t>Poongodi, R. (2012):</w:t>
      </w:r>
      <w:r w:rsidR="00833F6F" w:rsidRPr="007906F8">
        <w:rPr>
          <w:noProof/>
          <w:sz w:val="24"/>
          <w:szCs w:val="24"/>
        </w:rPr>
        <w:t xml:space="preserve">Socio-economic Characteristics of Women Construction Workers in Tamil Nadu-Some Evidences. </w:t>
      </w:r>
      <w:r w:rsidR="00833F6F" w:rsidRPr="007906F8">
        <w:rPr>
          <w:i/>
          <w:iCs/>
          <w:noProof/>
          <w:sz w:val="24"/>
          <w:szCs w:val="24"/>
        </w:rPr>
        <w:t>Global Journal for Research Analysis(GRA)</w:t>
      </w:r>
      <w:r w:rsidR="00833F6F" w:rsidRPr="007906F8">
        <w:rPr>
          <w:noProof/>
          <w:sz w:val="24"/>
          <w:szCs w:val="24"/>
        </w:rPr>
        <w:t xml:space="preserve"> </w:t>
      </w:r>
      <w:r w:rsidR="00833F6F" w:rsidRPr="007906F8">
        <w:rPr>
          <w:i/>
          <w:iCs/>
          <w:noProof/>
          <w:sz w:val="24"/>
          <w:szCs w:val="24"/>
        </w:rPr>
        <w:t>, I</w:t>
      </w:r>
      <w:r w:rsidR="00833F6F" w:rsidRPr="007906F8">
        <w:rPr>
          <w:noProof/>
          <w:sz w:val="24"/>
          <w:szCs w:val="24"/>
        </w:rPr>
        <w:t xml:space="preserve"> (iv), </w:t>
      </w:r>
      <w:r w:rsidRPr="007906F8">
        <w:rPr>
          <w:noProof/>
          <w:sz w:val="24"/>
          <w:szCs w:val="24"/>
        </w:rPr>
        <w:t>pp.</w:t>
      </w:r>
      <w:r w:rsidR="00833F6F" w:rsidRPr="007906F8">
        <w:rPr>
          <w:noProof/>
          <w:sz w:val="24"/>
          <w:szCs w:val="24"/>
        </w:rPr>
        <w:t>9-11.</w:t>
      </w:r>
    </w:p>
    <w:p w14:paraId="24EA8649" w14:textId="322B1A5C" w:rsidR="00833F6F" w:rsidRPr="007906F8" w:rsidRDefault="00E90DDC" w:rsidP="00611CD4">
      <w:pPr>
        <w:pStyle w:val="Bibliography"/>
        <w:ind w:left="270"/>
        <w:jc w:val="both"/>
        <w:rPr>
          <w:noProof/>
          <w:sz w:val="24"/>
          <w:szCs w:val="24"/>
        </w:rPr>
      </w:pPr>
      <w:r w:rsidRPr="007906F8">
        <w:rPr>
          <w:noProof/>
          <w:sz w:val="24"/>
          <w:szCs w:val="24"/>
        </w:rPr>
        <w:t>Ben-Porath, Y. (1973). Labor-Force Participation Rates and the Supply of Labor. Journal of Political Economy, 81(3), 697-704. https://doi.org/10.1086/260065</w:t>
      </w:r>
    </w:p>
    <w:p w14:paraId="542E6EFE" w14:textId="4BA1F0C6" w:rsidR="00833F6F" w:rsidRPr="007906F8" w:rsidRDefault="00E90DDC" w:rsidP="00611CD4">
      <w:pPr>
        <w:pStyle w:val="Bibliography"/>
        <w:ind w:left="270"/>
        <w:jc w:val="both"/>
        <w:rPr>
          <w:noProof/>
          <w:sz w:val="24"/>
          <w:szCs w:val="24"/>
        </w:rPr>
      </w:pPr>
      <w:r w:rsidRPr="007906F8">
        <w:rPr>
          <w:noProof/>
          <w:sz w:val="24"/>
          <w:szCs w:val="24"/>
        </w:rPr>
        <w:t>Prasanna, P., &amp; Bhardwaj, A. (2016). Socio-economic conditions of Building Construction Workers in South India. International Journal of Advance Computing and Electronics Technology (IJACET), 3(4), 34-38.</w:t>
      </w:r>
    </w:p>
    <w:p w14:paraId="1464E343" w14:textId="170AADE2" w:rsidR="00833F6F" w:rsidRPr="007906F8" w:rsidRDefault="00E90DDC" w:rsidP="00611CD4">
      <w:pPr>
        <w:pStyle w:val="Bibliography"/>
        <w:ind w:left="270"/>
        <w:jc w:val="both"/>
        <w:rPr>
          <w:noProof/>
          <w:sz w:val="24"/>
          <w:szCs w:val="24"/>
        </w:rPr>
      </w:pPr>
      <w:r w:rsidRPr="007906F8">
        <w:rPr>
          <w:noProof/>
          <w:sz w:val="24"/>
          <w:szCs w:val="24"/>
        </w:rPr>
        <w:t>Prasad, S. V. S. R., &amp; Reghunath, K. P. (2011). Evaluation of Safety Performance in a Construction Organization in India: A Study. ISRN Civil Engineering, 2011, 1-6. https://doi.org/10.5402/2011/276545</w:t>
      </w:r>
    </w:p>
    <w:p w14:paraId="7D6F44C6" w14:textId="77777777" w:rsidR="00833F6F" w:rsidRPr="007906F8" w:rsidRDefault="00611CD4" w:rsidP="00611CD4">
      <w:pPr>
        <w:pStyle w:val="Bibliography"/>
        <w:ind w:left="270"/>
        <w:jc w:val="both"/>
        <w:rPr>
          <w:noProof/>
          <w:sz w:val="24"/>
          <w:szCs w:val="24"/>
        </w:rPr>
      </w:pPr>
      <w:r w:rsidRPr="007906F8">
        <w:rPr>
          <w:noProof/>
          <w:sz w:val="24"/>
          <w:szCs w:val="24"/>
        </w:rPr>
        <w:t>SEWA, A.(5</w:t>
      </w:r>
      <w:r w:rsidRPr="007906F8">
        <w:rPr>
          <w:noProof/>
          <w:sz w:val="24"/>
          <w:szCs w:val="24"/>
          <w:vertAlign w:val="superscript"/>
        </w:rPr>
        <w:t>th</w:t>
      </w:r>
      <w:r w:rsidRPr="007906F8">
        <w:rPr>
          <w:noProof/>
          <w:sz w:val="24"/>
          <w:szCs w:val="24"/>
        </w:rPr>
        <w:t xml:space="preserve"> june,2000</w:t>
      </w:r>
      <w:r w:rsidR="00833F6F" w:rsidRPr="007906F8">
        <w:rPr>
          <w:noProof/>
          <w:sz w:val="24"/>
          <w:szCs w:val="24"/>
        </w:rPr>
        <w:t xml:space="preserve">). </w:t>
      </w:r>
      <w:r w:rsidR="00833F6F" w:rsidRPr="007906F8">
        <w:rPr>
          <w:i/>
          <w:iCs/>
          <w:noProof/>
          <w:sz w:val="24"/>
          <w:szCs w:val="24"/>
        </w:rPr>
        <w:t>Labouring Brick by Brick:A Study of Construction Workers</w:t>
      </w:r>
      <w:r w:rsidR="00833F6F" w:rsidRPr="007906F8">
        <w:rPr>
          <w:noProof/>
          <w:sz w:val="24"/>
          <w:szCs w:val="24"/>
        </w:rPr>
        <w:t>. (SEWA Academy) Retrieved April 12, 2014, fr</w:t>
      </w:r>
      <w:r w:rsidRPr="007906F8">
        <w:rPr>
          <w:noProof/>
          <w:sz w:val="24"/>
          <w:szCs w:val="24"/>
        </w:rPr>
        <w:t>om https://ww.sewaresearch.org/,pp.3-6.</w:t>
      </w:r>
    </w:p>
    <w:p w14:paraId="30AE4C0D" w14:textId="4C9E17CD" w:rsidR="00833F6F" w:rsidRPr="007906F8" w:rsidRDefault="00E90DDC" w:rsidP="00611CD4">
      <w:pPr>
        <w:pStyle w:val="Bibliography"/>
        <w:ind w:left="270"/>
        <w:jc w:val="both"/>
        <w:rPr>
          <w:noProof/>
          <w:sz w:val="24"/>
          <w:szCs w:val="24"/>
        </w:rPr>
      </w:pPr>
      <w:r w:rsidRPr="007906F8">
        <w:rPr>
          <w:noProof/>
          <w:sz w:val="24"/>
          <w:szCs w:val="24"/>
          <w:lang w:val="pt-BR"/>
        </w:rPr>
        <w:t xml:space="preserve">Noronha, S. M. de Mendonca e. (1998). </w:t>
      </w:r>
      <w:r w:rsidRPr="007906F8">
        <w:rPr>
          <w:noProof/>
          <w:sz w:val="24"/>
          <w:szCs w:val="24"/>
        </w:rPr>
        <w:t>Migrant construction workers in Goa. Indian Journal of Labour Economics, 41(4), 766-772. http://irgu.unigoa.ac.in/drs/handle/unigoa/980</w:t>
      </w:r>
    </w:p>
    <w:p w14:paraId="29A86CC2" w14:textId="77777777" w:rsidR="00833F6F" w:rsidRPr="007906F8" w:rsidRDefault="00611CD4" w:rsidP="00611CD4">
      <w:pPr>
        <w:pStyle w:val="Bibliography"/>
        <w:ind w:left="270"/>
        <w:jc w:val="both"/>
        <w:rPr>
          <w:noProof/>
          <w:sz w:val="24"/>
          <w:szCs w:val="24"/>
        </w:rPr>
      </w:pPr>
      <w:r w:rsidRPr="007906F8">
        <w:rPr>
          <w:noProof/>
          <w:sz w:val="24"/>
          <w:szCs w:val="24"/>
        </w:rPr>
        <w:t>Singla, N. (2015)</w:t>
      </w:r>
      <w:r w:rsidR="00833F6F" w:rsidRPr="007906F8">
        <w:rPr>
          <w:noProof/>
          <w:sz w:val="24"/>
          <w:szCs w:val="24"/>
        </w:rPr>
        <w:t xml:space="preserve">Socio economic conditions of construction workers in Punjab. </w:t>
      </w:r>
      <w:r w:rsidR="00833F6F" w:rsidRPr="007906F8">
        <w:rPr>
          <w:i/>
          <w:iCs/>
          <w:noProof/>
          <w:sz w:val="24"/>
          <w:szCs w:val="24"/>
        </w:rPr>
        <w:t>Socio economic conditions of construction workers in Punjab</w:t>
      </w:r>
      <w:r w:rsidRPr="007906F8">
        <w:rPr>
          <w:noProof/>
          <w:sz w:val="24"/>
          <w:szCs w:val="24"/>
        </w:rPr>
        <w:t>, Punjab, India,</w:t>
      </w:r>
      <w:r w:rsidR="00833F6F" w:rsidRPr="007906F8">
        <w:rPr>
          <w:noProof/>
          <w:sz w:val="24"/>
          <w:szCs w:val="24"/>
        </w:rPr>
        <w:t>Department of Economics, Punjab University</w:t>
      </w:r>
      <w:r w:rsidRPr="007906F8">
        <w:rPr>
          <w:noProof/>
          <w:sz w:val="24"/>
          <w:szCs w:val="24"/>
        </w:rPr>
        <w:t>,pp.221</w:t>
      </w:r>
      <w:r w:rsidR="00833F6F" w:rsidRPr="007906F8">
        <w:rPr>
          <w:noProof/>
          <w:sz w:val="24"/>
          <w:szCs w:val="24"/>
        </w:rPr>
        <w:t>.</w:t>
      </w:r>
    </w:p>
    <w:p w14:paraId="3D6126BE" w14:textId="77777777" w:rsidR="00833F6F" w:rsidRPr="007906F8" w:rsidRDefault="00611CD4" w:rsidP="00611CD4">
      <w:pPr>
        <w:pStyle w:val="Bibliography"/>
        <w:ind w:left="270"/>
        <w:jc w:val="both"/>
        <w:rPr>
          <w:noProof/>
          <w:sz w:val="24"/>
          <w:szCs w:val="24"/>
        </w:rPr>
      </w:pPr>
      <w:r w:rsidRPr="007906F8">
        <w:rPr>
          <w:noProof/>
          <w:sz w:val="24"/>
          <w:szCs w:val="24"/>
        </w:rPr>
        <w:t>Society,D.(2002):</w:t>
      </w:r>
      <w:r w:rsidR="00833F6F" w:rsidRPr="007906F8">
        <w:rPr>
          <w:i/>
          <w:iCs/>
          <w:noProof/>
          <w:sz w:val="24"/>
          <w:szCs w:val="24"/>
        </w:rPr>
        <w:t>Plight of constructio</w:t>
      </w:r>
      <w:r w:rsidRPr="007906F8">
        <w:rPr>
          <w:i/>
          <w:iCs/>
          <w:noProof/>
          <w:sz w:val="24"/>
          <w:szCs w:val="24"/>
        </w:rPr>
        <w:t>n labourers in North-East India,</w:t>
      </w:r>
      <w:r w:rsidR="00833F6F" w:rsidRPr="007906F8">
        <w:rPr>
          <w:noProof/>
          <w:sz w:val="24"/>
          <w:szCs w:val="24"/>
        </w:rPr>
        <w:t>Deshkal Publication</w:t>
      </w:r>
      <w:r w:rsidRPr="007906F8">
        <w:rPr>
          <w:noProof/>
          <w:sz w:val="24"/>
          <w:szCs w:val="24"/>
        </w:rPr>
        <w:t>,pp.42</w:t>
      </w:r>
      <w:r w:rsidR="00833F6F" w:rsidRPr="007906F8">
        <w:rPr>
          <w:noProof/>
          <w:sz w:val="24"/>
          <w:szCs w:val="24"/>
        </w:rPr>
        <w:t>.</w:t>
      </w:r>
    </w:p>
    <w:p w14:paraId="53181FD0" w14:textId="3036F82E" w:rsidR="00833F6F" w:rsidRPr="007906F8" w:rsidRDefault="00E90DDC" w:rsidP="00611CD4">
      <w:pPr>
        <w:pStyle w:val="Bibliography"/>
        <w:ind w:left="270"/>
        <w:jc w:val="both"/>
        <w:rPr>
          <w:noProof/>
          <w:sz w:val="24"/>
          <w:szCs w:val="24"/>
        </w:rPr>
      </w:pPr>
      <w:r w:rsidRPr="007906F8">
        <w:rPr>
          <w:noProof/>
          <w:sz w:val="24"/>
          <w:szCs w:val="24"/>
          <w:lang w:val="pt-BR"/>
        </w:rPr>
        <w:t xml:space="preserve">Solanki, A. N., &amp; Zankharia, K. S. (2015). </w:t>
      </w:r>
      <w:r w:rsidRPr="007906F8">
        <w:rPr>
          <w:noProof/>
          <w:sz w:val="24"/>
          <w:szCs w:val="24"/>
        </w:rPr>
        <w:t>Migrant construction workers in the unorganized sector of Surat city: A socio-economic analysis. EPRA International Journal of Economic and Business Review, 3(1), 21-30.</w:t>
      </w:r>
    </w:p>
    <w:p w14:paraId="5F8951C4" w14:textId="6B65015A" w:rsidR="00833F6F" w:rsidRPr="007906F8" w:rsidRDefault="00E90DDC" w:rsidP="00611CD4">
      <w:pPr>
        <w:pStyle w:val="Bibliography"/>
        <w:ind w:left="270"/>
        <w:jc w:val="both"/>
        <w:rPr>
          <w:noProof/>
          <w:sz w:val="24"/>
          <w:szCs w:val="24"/>
        </w:rPr>
      </w:pPr>
      <w:r w:rsidRPr="007906F8">
        <w:rPr>
          <w:noProof/>
          <w:sz w:val="24"/>
          <w:szCs w:val="24"/>
        </w:rPr>
        <w:t>Sultana, M. (2012). Occupation: hazardous. The plight of Bangladeshi construction workers. Equal Times. https://www.equaltimes.org/occupation-hazardous-the-plight-</w:t>
      </w:r>
    </w:p>
    <w:p w14:paraId="3212B8ED" w14:textId="05CC9A67" w:rsidR="00833F6F" w:rsidRPr="007906F8" w:rsidRDefault="00E90DDC" w:rsidP="00611CD4">
      <w:pPr>
        <w:pStyle w:val="Bibliography"/>
        <w:ind w:left="270"/>
        <w:jc w:val="both"/>
        <w:rPr>
          <w:noProof/>
          <w:sz w:val="24"/>
          <w:szCs w:val="24"/>
        </w:rPr>
      </w:pPr>
      <w:r w:rsidRPr="007906F8">
        <w:rPr>
          <w:noProof/>
          <w:sz w:val="24"/>
          <w:szCs w:val="24"/>
        </w:rPr>
        <w:t>Sultana, N., Ferdousi, J., &amp; Shahidullah, M. (2014). Health Problems Among Women Building Construction Workers. Journal of Bangladesh Society of Physiologist, 9(1), 31-36. https://doi.org/10.3329/jbsp.v9i1.22793</w:t>
      </w:r>
    </w:p>
    <w:p w14:paraId="134D2515" w14:textId="3151D6F0" w:rsidR="00833F6F" w:rsidRPr="007906F8" w:rsidRDefault="00B63377" w:rsidP="00611CD4">
      <w:pPr>
        <w:pStyle w:val="Bibliography"/>
        <w:ind w:left="270"/>
        <w:jc w:val="both"/>
        <w:rPr>
          <w:noProof/>
          <w:sz w:val="24"/>
          <w:szCs w:val="24"/>
        </w:rPr>
      </w:pPr>
      <w:r w:rsidRPr="007906F8">
        <w:rPr>
          <w:noProof/>
          <w:sz w:val="24"/>
          <w:szCs w:val="24"/>
        </w:rPr>
        <w:t>Guhathakurta, S. N. (1971). Wage Determination of Unorganised Labour in Construction Industry. *Economic and Political Weekly*, *6*(42-43), 2211-2215. https://www.epw.in/journal/1971/42-43/special-articles/wage-determination-unorganised-labour-construction-industry.html</w:t>
      </w:r>
    </w:p>
    <w:p w14:paraId="119446F6" w14:textId="6386B97A" w:rsidR="00833F6F" w:rsidRPr="007906F8" w:rsidRDefault="00B63377" w:rsidP="00611CD4">
      <w:pPr>
        <w:pStyle w:val="Bibliography"/>
        <w:ind w:left="270"/>
        <w:jc w:val="both"/>
        <w:rPr>
          <w:noProof/>
          <w:sz w:val="24"/>
          <w:szCs w:val="24"/>
          <w:lang w:val="pt-BR"/>
        </w:rPr>
      </w:pPr>
      <w:r w:rsidRPr="007906F8">
        <w:rPr>
          <w:noProof/>
          <w:sz w:val="24"/>
          <w:szCs w:val="24"/>
        </w:rPr>
        <w:t xml:space="preserve">Vaid, K. N. (2001). International Labour Organization. (2001). The construction industry in the twenty-first century: Its image, employment prospects and skill requirements. </w:t>
      </w:r>
      <w:r w:rsidRPr="007906F8">
        <w:rPr>
          <w:noProof/>
          <w:sz w:val="24"/>
          <w:szCs w:val="24"/>
          <w:lang w:val="pt-BR"/>
        </w:rPr>
        <w:t xml:space="preserve">ILO. </w:t>
      </w:r>
      <w:r w:rsidRPr="007906F8">
        <w:rPr>
          <w:noProof/>
          <w:sz w:val="24"/>
          <w:szCs w:val="24"/>
          <w:lang w:val="pt-BR"/>
        </w:rPr>
        <w:lastRenderedPageBreak/>
        <w:t>https://www.ilo.org/global/industries-and-sectors/construction/publications/WCMS_126226/lang--en/index.htm</w:t>
      </w:r>
    </w:p>
    <w:p w14:paraId="007304EB" w14:textId="4DA45C9E" w:rsidR="00833F6F" w:rsidRPr="007906F8" w:rsidRDefault="00B63377" w:rsidP="00611CD4">
      <w:pPr>
        <w:pStyle w:val="Bibliography"/>
        <w:ind w:left="270"/>
        <w:jc w:val="both"/>
        <w:rPr>
          <w:noProof/>
          <w:sz w:val="24"/>
          <w:szCs w:val="24"/>
        </w:rPr>
      </w:pPr>
      <w:r w:rsidRPr="007906F8">
        <w:rPr>
          <w:noProof/>
          <w:sz w:val="24"/>
          <w:szCs w:val="24"/>
        </w:rPr>
        <w:t>Wells, J., &amp; Jason, A. (2010). Employment Relationships and Organizing Strategies in the Informal Construction Sector. African Studies Quarterly, 11(2-3), 107-124. https://doi.org/10.32473/asq.11.2%20&amp;%203</w:t>
      </w:r>
    </w:p>
    <w:p w14:paraId="57904BAA" w14:textId="77777777" w:rsidR="00833F6F" w:rsidRPr="00833F6F" w:rsidRDefault="00833F6F" w:rsidP="00611CD4">
      <w:pPr>
        <w:pStyle w:val="Bibliography"/>
        <w:ind w:left="270"/>
        <w:jc w:val="both"/>
        <w:rPr>
          <w:noProof/>
          <w:sz w:val="24"/>
          <w:szCs w:val="24"/>
        </w:rPr>
      </w:pPr>
      <w:r w:rsidRPr="007906F8">
        <w:rPr>
          <w:noProof/>
          <w:sz w:val="24"/>
          <w:szCs w:val="24"/>
        </w:rPr>
        <w:t>Yadav, M. (18</w:t>
      </w:r>
      <w:r w:rsidR="00611CD4" w:rsidRPr="007906F8">
        <w:rPr>
          <w:noProof/>
          <w:sz w:val="24"/>
          <w:szCs w:val="24"/>
          <w:vertAlign w:val="superscript"/>
        </w:rPr>
        <w:t>th</w:t>
      </w:r>
      <w:r w:rsidR="00611CD4" w:rsidRPr="007906F8">
        <w:rPr>
          <w:noProof/>
          <w:sz w:val="24"/>
          <w:szCs w:val="24"/>
        </w:rPr>
        <w:t xml:space="preserve"> September,2015):</w:t>
      </w:r>
      <w:r w:rsidRPr="007906F8">
        <w:rPr>
          <w:noProof/>
          <w:sz w:val="24"/>
          <w:szCs w:val="24"/>
        </w:rPr>
        <w:t>Economic Conditions of House Construction Workers in Bhiwani District- An A</w:t>
      </w:r>
      <w:r w:rsidR="00611CD4" w:rsidRPr="007906F8">
        <w:rPr>
          <w:noProof/>
          <w:sz w:val="24"/>
          <w:szCs w:val="24"/>
        </w:rPr>
        <w:t>nalytical Study,</w:t>
      </w:r>
      <w:r w:rsidRPr="007906F8">
        <w:rPr>
          <w:i/>
          <w:iCs/>
          <w:noProof/>
          <w:sz w:val="24"/>
          <w:szCs w:val="24"/>
        </w:rPr>
        <w:t xml:space="preserve"> Ph.D Thesis.</w:t>
      </w:r>
      <w:r w:rsidR="00611CD4" w:rsidRPr="007906F8">
        <w:rPr>
          <w:noProof/>
          <w:sz w:val="24"/>
          <w:szCs w:val="24"/>
        </w:rPr>
        <w:t xml:space="preserve"> Bhiwani, Haryana, India,</w:t>
      </w:r>
      <w:r w:rsidRPr="007906F8">
        <w:rPr>
          <w:noProof/>
          <w:sz w:val="24"/>
          <w:szCs w:val="24"/>
        </w:rPr>
        <w:t>Faculty of commerce &amp; management, Shri Jagdishprasad Jhabarmal Tibarewala University.</w:t>
      </w:r>
    </w:p>
    <w:p w14:paraId="55B39D9D" w14:textId="72A82AD4" w:rsidR="00833F6F" w:rsidRPr="00833F6F" w:rsidRDefault="00833F6F" w:rsidP="00611CD4">
      <w:pPr>
        <w:ind w:left="270" w:right="-90"/>
        <w:jc w:val="both"/>
        <w:rPr>
          <w:b/>
          <w:color w:val="000000" w:themeColor="text1"/>
          <w:sz w:val="24"/>
          <w:szCs w:val="24"/>
        </w:rPr>
      </w:pPr>
    </w:p>
    <w:sectPr w:rsidR="00833F6F" w:rsidRPr="00833F6F" w:rsidSect="00AA2E8D">
      <w:headerReference w:type="even" r:id="rId18"/>
      <w:headerReference w:type="default" r:id="rId19"/>
      <w:footerReference w:type="even" r:id="rId20"/>
      <w:footerReference w:type="default" r:id="rId21"/>
      <w:headerReference w:type="first" r:id="rId22"/>
      <w:footerReference w:type="first" r:id="rId23"/>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AA4C4" w14:textId="77777777" w:rsidR="00B335E8" w:rsidRDefault="00B335E8" w:rsidP="00935971">
      <w:r>
        <w:separator/>
      </w:r>
    </w:p>
  </w:endnote>
  <w:endnote w:type="continuationSeparator" w:id="0">
    <w:p w14:paraId="31E39998" w14:textId="77777777" w:rsidR="00B335E8" w:rsidRDefault="00B335E8" w:rsidP="0093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0DE10" w14:textId="77777777" w:rsidR="00B30C3F" w:rsidRDefault="00B30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DF3DA" w14:textId="77777777" w:rsidR="00B30C3F" w:rsidRDefault="00B30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1D322" w14:textId="77777777" w:rsidR="00B30C3F" w:rsidRDefault="00B30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F9AA6" w14:textId="77777777" w:rsidR="00B335E8" w:rsidRDefault="00B335E8" w:rsidP="00935971">
      <w:r>
        <w:separator/>
      </w:r>
    </w:p>
  </w:footnote>
  <w:footnote w:type="continuationSeparator" w:id="0">
    <w:p w14:paraId="4391007C" w14:textId="77777777" w:rsidR="00B335E8" w:rsidRDefault="00B335E8" w:rsidP="00935971">
      <w:r>
        <w:continuationSeparator/>
      </w:r>
    </w:p>
  </w:footnote>
  <w:footnote w:id="1">
    <w:p w14:paraId="23BC87D5" w14:textId="77777777" w:rsidR="00DC4F29" w:rsidRPr="00935971" w:rsidRDefault="00DC4F29" w:rsidP="00970C17">
      <w:pPr>
        <w:ind w:left="270" w:hanging="150"/>
        <w:jc w:val="both"/>
        <w:rPr>
          <w:sz w:val="20"/>
          <w:szCs w:val="20"/>
        </w:rPr>
      </w:pPr>
      <w:r>
        <w:rPr>
          <w:sz w:val="20"/>
          <w:szCs w:val="20"/>
        </w:rPr>
        <w:t xml:space="preserve">  </w:t>
      </w:r>
      <w:r w:rsidRPr="00935971">
        <w:rPr>
          <w:rStyle w:val="FootnoteReference"/>
          <w:sz w:val="20"/>
          <w:szCs w:val="20"/>
        </w:rPr>
        <w:footnoteRef/>
      </w:r>
      <w:r w:rsidRPr="00935971">
        <w:rPr>
          <w:sz w:val="20"/>
          <w:szCs w:val="20"/>
        </w:rPr>
        <w:t>In 971, Census of India had defined urban areas as (i) the places with a Municipality, Corporation or Cantonment board or Notified Town Area Committee termed as statutory towns,(ii) the places satisfying the criteria of : (a) a minimum population of 5000, (b) at least 75% population are non-agricultural male workers (c) density of population is at least 400 per sq.km as Census towns.</w:t>
      </w:r>
    </w:p>
  </w:footnote>
  <w:footnote w:id="2">
    <w:p w14:paraId="12B3C881" w14:textId="77777777" w:rsidR="00DC4F29" w:rsidRPr="00935971" w:rsidRDefault="00DC4F29" w:rsidP="00970C17">
      <w:pPr>
        <w:spacing w:line="176" w:lineRule="auto"/>
        <w:ind w:left="180"/>
        <w:jc w:val="both"/>
        <w:rPr>
          <w:sz w:val="20"/>
          <w:szCs w:val="20"/>
        </w:rPr>
      </w:pPr>
      <w:r w:rsidRPr="00935971">
        <w:rPr>
          <w:rStyle w:val="FootnoteReference"/>
          <w:sz w:val="20"/>
          <w:szCs w:val="20"/>
        </w:rPr>
        <w:footnoteRef/>
      </w:r>
      <w:r w:rsidRPr="00935971">
        <w:rPr>
          <w:sz w:val="20"/>
          <w:szCs w:val="20"/>
        </w:rPr>
        <w:t xml:space="preserve">Building Construction workers (BCWs) refer those workers employed either on casual or contract basis under contractor/builder for construction or </w:t>
      </w:r>
      <w:bookmarkStart w:id="0" w:name="_heading=h.30j0zll" w:colFirst="0" w:colLast="0"/>
      <w:bookmarkEnd w:id="0"/>
      <w:r w:rsidRPr="00935971">
        <w:rPr>
          <w:sz w:val="20"/>
          <w:szCs w:val="20"/>
        </w:rPr>
        <w:t>repair of building works. It does not include any person employed in managerial or administrative works of the establishments. Thus, the BCWs comprise mainly the workers engaged in construction works of building such as excavators, stone crushers, brick masons and their helpers, tiles fitter, carpenter, wall painter and electrician. Self-employed building construction workers are not covered in the study.</w:t>
      </w:r>
    </w:p>
    <w:p w14:paraId="161FB357" w14:textId="77777777" w:rsidR="00DC4F29" w:rsidRDefault="00DC4F29">
      <w:pPr>
        <w:pStyle w:val="FootnoteText"/>
      </w:pPr>
    </w:p>
  </w:footnote>
  <w:footnote w:id="3">
    <w:p w14:paraId="592FC61A" w14:textId="77777777" w:rsidR="00DC4F29" w:rsidRPr="00935971" w:rsidRDefault="00DC4F29" w:rsidP="00970C17">
      <w:pPr>
        <w:ind w:left="90" w:right="-270"/>
        <w:rPr>
          <w:sz w:val="20"/>
          <w:szCs w:val="20"/>
        </w:rPr>
      </w:pPr>
      <w:r w:rsidRPr="00935971">
        <w:rPr>
          <w:rStyle w:val="FootnoteReference"/>
          <w:sz w:val="20"/>
          <w:szCs w:val="20"/>
        </w:rPr>
        <w:footnoteRef/>
      </w:r>
      <w:r w:rsidRPr="00935971">
        <w:rPr>
          <w:sz w:val="20"/>
          <w:szCs w:val="20"/>
        </w:rPr>
        <w:t xml:space="preserve"> Economic Survey of India, 2011-12, page-212.</w:t>
      </w:r>
    </w:p>
  </w:footnote>
  <w:footnote w:id="4">
    <w:p w14:paraId="18CFC7D0" w14:textId="77777777" w:rsidR="00DC4F29" w:rsidRPr="00935971" w:rsidRDefault="00DC4F29" w:rsidP="00970C17">
      <w:pPr>
        <w:pStyle w:val="FootnoteText"/>
        <w:ind w:right="-270"/>
      </w:pPr>
      <w:r>
        <w:t xml:space="preserve">  </w:t>
      </w:r>
      <w:r w:rsidRPr="00935971">
        <w:rPr>
          <w:rStyle w:val="FootnoteReference"/>
        </w:rPr>
        <w:footnoteRef/>
      </w:r>
      <w:r w:rsidRPr="00935971">
        <w:t xml:space="preserve"> ibid</w:t>
      </w:r>
    </w:p>
  </w:footnote>
  <w:footnote w:id="5">
    <w:p w14:paraId="76312D68" w14:textId="77777777" w:rsidR="00DC4F29" w:rsidRPr="00970C17" w:rsidRDefault="00DC4F29" w:rsidP="00970C17">
      <w:pPr>
        <w:ind w:left="90" w:right="-270"/>
        <w:rPr>
          <w:sz w:val="20"/>
          <w:szCs w:val="20"/>
        </w:rPr>
      </w:pPr>
      <w:r w:rsidRPr="00970C17">
        <w:rPr>
          <w:rStyle w:val="FootnoteReference"/>
          <w:sz w:val="20"/>
          <w:szCs w:val="20"/>
        </w:rPr>
        <w:footnoteRef/>
      </w:r>
      <w:r w:rsidRPr="00970C17">
        <w:rPr>
          <w:sz w:val="20"/>
          <w:szCs w:val="20"/>
        </w:rPr>
        <w:t xml:space="preserve"> https://ww.statisticstimes.com/economy/sector-wise-gdp-contribution-of-India-php/.in as retrieved on the 3</w:t>
      </w:r>
      <w:r w:rsidRPr="00970C17">
        <w:rPr>
          <w:rFonts w:eastAsia="Georgia"/>
          <w:i/>
          <w:sz w:val="20"/>
          <w:szCs w:val="20"/>
          <w:vertAlign w:val="superscript"/>
        </w:rPr>
        <w:t xml:space="preserve">rd </w:t>
      </w:r>
      <w:r w:rsidRPr="00970C17">
        <w:rPr>
          <w:sz w:val="20"/>
          <w:szCs w:val="20"/>
        </w:rPr>
        <w:t>september, 2020.</w:t>
      </w:r>
    </w:p>
  </w:footnote>
  <w:footnote w:id="6">
    <w:p w14:paraId="57A7ED7C" w14:textId="77777777" w:rsidR="00DC4F29" w:rsidRPr="00970C17" w:rsidRDefault="00DC4F29" w:rsidP="002667F1">
      <w:pPr>
        <w:ind w:left="540" w:right="-270" w:hanging="450"/>
        <w:jc w:val="both"/>
        <w:rPr>
          <w:sz w:val="20"/>
          <w:szCs w:val="20"/>
        </w:rPr>
      </w:pPr>
      <w:r w:rsidRPr="00970C17">
        <w:rPr>
          <w:rStyle w:val="FootnoteReference"/>
          <w:sz w:val="20"/>
          <w:szCs w:val="20"/>
        </w:rPr>
        <w:footnoteRef/>
      </w:r>
      <w:r w:rsidRPr="00970C17">
        <w:rPr>
          <w:sz w:val="20"/>
          <w:szCs w:val="20"/>
        </w:rPr>
        <w:t xml:space="preserve"> Economic survey, Assam, 2012-13, page-12.</w:t>
      </w:r>
    </w:p>
  </w:footnote>
  <w:footnote w:id="7">
    <w:p w14:paraId="604E8DE1" w14:textId="77777777" w:rsidR="00DC4F29" w:rsidRPr="00970C17" w:rsidRDefault="00DC4F29" w:rsidP="002667F1">
      <w:pPr>
        <w:ind w:left="540" w:right="-270" w:hanging="450"/>
        <w:jc w:val="both"/>
      </w:pPr>
      <w:r w:rsidRPr="00970C17">
        <w:rPr>
          <w:rStyle w:val="FootnoteReference"/>
          <w:sz w:val="20"/>
          <w:szCs w:val="20"/>
        </w:rPr>
        <w:footnoteRef/>
      </w:r>
      <w:r w:rsidRPr="00970C17">
        <w:rPr>
          <w:sz w:val="20"/>
          <w:szCs w:val="20"/>
          <w:vertAlign w:val="superscript"/>
        </w:rPr>
        <w:t xml:space="preserve"> </w:t>
      </w:r>
      <w:r w:rsidRPr="00970C17">
        <w:rPr>
          <w:sz w:val="20"/>
          <w:szCs w:val="20"/>
        </w:rPr>
        <w:t>(i) Assam Directorate of Economics and statistics, (ii) CSO, New Delhi.</w:t>
      </w:r>
    </w:p>
  </w:footnote>
  <w:footnote w:id="8">
    <w:p w14:paraId="40A5D6CA" w14:textId="77777777" w:rsidR="00DC4F29" w:rsidRDefault="00DC4F29" w:rsidP="002667F1">
      <w:pPr>
        <w:pStyle w:val="FootnoteText"/>
        <w:ind w:left="540" w:hanging="450"/>
        <w:jc w:val="both"/>
        <w:rPr>
          <w:iCs/>
          <w:noProof/>
          <w:color w:val="000000" w:themeColor="text1"/>
        </w:rPr>
      </w:pPr>
      <w:r w:rsidRPr="004B2FDB">
        <w:rPr>
          <w:rStyle w:val="FootnoteReference"/>
          <w:color w:val="000000" w:themeColor="text1"/>
        </w:rPr>
        <w:footnoteRef/>
      </w:r>
      <w:r w:rsidRPr="004B2FDB">
        <w:rPr>
          <w:color w:val="000000" w:themeColor="text1"/>
        </w:rPr>
        <w:t xml:space="preserve"> K N Vaid(1999): in ILO(ed),</w:t>
      </w:r>
      <w:r w:rsidRPr="004B2FDB">
        <w:rPr>
          <w:iCs/>
          <w:noProof/>
          <w:color w:val="000000" w:themeColor="text1"/>
        </w:rPr>
        <w:t>the construction Industry in Twenty-first century: Its image, emplo</w:t>
      </w:r>
      <w:r>
        <w:rPr>
          <w:iCs/>
          <w:noProof/>
          <w:color w:val="000000" w:themeColor="text1"/>
        </w:rPr>
        <w:t>yment prospect and</w:t>
      </w:r>
    </w:p>
    <w:p w14:paraId="352DEC5C" w14:textId="77777777" w:rsidR="00DC4F29" w:rsidRPr="004B2FDB" w:rsidRDefault="00DC4F29" w:rsidP="002667F1">
      <w:pPr>
        <w:pStyle w:val="FootnoteText"/>
        <w:ind w:left="540" w:hanging="450"/>
        <w:jc w:val="both"/>
        <w:rPr>
          <w:color w:val="000000" w:themeColor="text1"/>
        </w:rPr>
      </w:pPr>
      <w:r w:rsidRPr="004B2FDB">
        <w:rPr>
          <w:iCs/>
          <w:noProof/>
          <w:color w:val="000000" w:themeColor="text1"/>
        </w:rPr>
        <w:t>skill requirements</w:t>
      </w:r>
      <w:r w:rsidRPr="004B2FDB">
        <w:rPr>
          <w:color w:val="000000" w:themeColor="text1"/>
        </w:rPr>
        <w:t>,ILO, Geneva, p.9.</w:t>
      </w:r>
    </w:p>
  </w:footnote>
  <w:footnote w:id="9">
    <w:p w14:paraId="3DD14B41" w14:textId="77777777" w:rsidR="00DC4F29" w:rsidRPr="00970C17" w:rsidRDefault="00DC4F29" w:rsidP="002667F1">
      <w:pPr>
        <w:ind w:left="540" w:hanging="450"/>
        <w:jc w:val="both"/>
        <w:rPr>
          <w:sz w:val="20"/>
          <w:szCs w:val="20"/>
        </w:rPr>
      </w:pPr>
      <w:r w:rsidRPr="00970C17">
        <w:rPr>
          <w:rStyle w:val="FootnoteReference"/>
          <w:sz w:val="20"/>
          <w:szCs w:val="20"/>
        </w:rPr>
        <w:footnoteRef/>
      </w:r>
      <w:r w:rsidRPr="00970C17">
        <w:rPr>
          <w:sz w:val="20"/>
          <w:szCs w:val="20"/>
        </w:rPr>
        <w:t>Supply of construction workers in the state has increased modestly from 7 lakh to 10 lakh indicating an annual</w:t>
      </w:r>
    </w:p>
    <w:p w14:paraId="2140E18B" w14:textId="77777777" w:rsidR="00DC4F29" w:rsidRPr="00970C17" w:rsidRDefault="00DC4F29" w:rsidP="00913191">
      <w:pPr>
        <w:ind w:left="180" w:hanging="90"/>
        <w:jc w:val="both"/>
        <w:rPr>
          <w:sz w:val="20"/>
          <w:szCs w:val="20"/>
        </w:rPr>
      </w:pPr>
      <w:r w:rsidRPr="00970C17">
        <w:rPr>
          <w:sz w:val="20"/>
          <w:szCs w:val="20"/>
        </w:rPr>
        <w:t>growth of 4.7</w:t>
      </w:r>
      <w:r>
        <w:rPr>
          <w:sz w:val="20"/>
          <w:szCs w:val="20"/>
        </w:rPr>
        <w:t xml:space="preserve">6 per cent during 2011-19(NSSO </w:t>
      </w:r>
      <w:r w:rsidRPr="00970C17">
        <w:rPr>
          <w:sz w:val="20"/>
          <w:szCs w:val="20"/>
        </w:rPr>
        <w:t>Reports &amp;Directorate of Econo</w:t>
      </w:r>
      <w:r>
        <w:rPr>
          <w:sz w:val="20"/>
          <w:szCs w:val="20"/>
        </w:rPr>
        <w:t xml:space="preserve">mics&amp; Statistics, Government of </w:t>
      </w:r>
      <w:r w:rsidRPr="00970C17">
        <w:rPr>
          <w:sz w:val="20"/>
          <w:szCs w:val="20"/>
        </w:rPr>
        <w:t>Assam)</w:t>
      </w:r>
    </w:p>
    <w:p w14:paraId="51195EAC" w14:textId="77777777" w:rsidR="00DC4F29" w:rsidRPr="00970C17" w:rsidRDefault="00DC4F29" w:rsidP="00913191">
      <w:pPr>
        <w:pStyle w:val="FootnoteText"/>
        <w:ind w:left="180" w:hanging="90"/>
        <w:jc w:val="both"/>
      </w:pPr>
    </w:p>
  </w:footnote>
  <w:footnote w:id="10">
    <w:p w14:paraId="5551C9C5" w14:textId="77777777" w:rsidR="00DC4F29" w:rsidRPr="00730BB2" w:rsidRDefault="00DC4F29" w:rsidP="00267E6C">
      <w:pPr>
        <w:ind w:left="120" w:firstLine="157"/>
        <w:jc w:val="both"/>
      </w:pPr>
      <w:r>
        <w:rPr>
          <w:rStyle w:val="FootnoteReference"/>
        </w:rPr>
        <w:footnoteRef/>
      </w:r>
      <w:r>
        <w:t xml:space="preserve"> </w:t>
      </w:r>
      <w:r w:rsidRPr="00730BB2">
        <w:t xml:space="preserve">LFPR, a measure of the proportion of a region’s working age population engaging actively in the labour market, either by working or looking for work, is calculated by expressing the number of persons in the labourforces(the sum of employed and unemployed persons) as a percentage of the working </w:t>
      </w:r>
      <w:r>
        <w:t xml:space="preserve">age population </w:t>
      </w:r>
      <w:sdt>
        <w:sdtPr>
          <w:rPr>
            <w:color w:val="000000" w:themeColor="text1"/>
            <w:sz w:val="24"/>
            <w:szCs w:val="24"/>
          </w:rPr>
          <w:id w:val="31546746"/>
          <w:citation/>
        </w:sdtPr>
        <w:sdtEndPr/>
        <w:sdtContent>
          <w:r w:rsidR="00CC730B" w:rsidRPr="004B2FDB">
            <w:rPr>
              <w:color w:val="000000" w:themeColor="text1"/>
              <w:sz w:val="24"/>
              <w:szCs w:val="24"/>
            </w:rPr>
            <w:fldChar w:fldCharType="begin"/>
          </w:r>
          <w:r w:rsidRPr="004B2FDB">
            <w:rPr>
              <w:color w:val="000000" w:themeColor="text1"/>
              <w:sz w:val="24"/>
              <w:szCs w:val="24"/>
            </w:rPr>
            <w:instrText xml:space="preserve"> CITATION Bou15 \l 1033 </w:instrText>
          </w:r>
          <w:r w:rsidR="00CC730B" w:rsidRPr="004B2FDB">
            <w:rPr>
              <w:color w:val="000000" w:themeColor="text1"/>
              <w:sz w:val="24"/>
              <w:szCs w:val="24"/>
            </w:rPr>
            <w:fldChar w:fldCharType="separate"/>
          </w:r>
          <w:r w:rsidRPr="004B2FDB">
            <w:rPr>
              <w:noProof/>
              <w:color w:val="000000" w:themeColor="text1"/>
              <w:sz w:val="24"/>
              <w:szCs w:val="24"/>
            </w:rPr>
            <w:t xml:space="preserve"> (Bourmapoula V,Kapsos S &amp; Pasteels J M, 2015)</w:t>
          </w:r>
          <w:r w:rsidR="00CC730B" w:rsidRPr="004B2FDB">
            <w:rPr>
              <w:color w:val="000000" w:themeColor="text1"/>
              <w:sz w:val="24"/>
              <w:szCs w:val="24"/>
            </w:rPr>
            <w:fldChar w:fldCharType="end"/>
          </w:r>
        </w:sdtContent>
      </w:sdt>
      <w:r w:rsidRPr="004B2FDB">
        <w:rPr>
          <w:color w:val="000000" w:themeColor="text1"/>
          <w:sz w:val="24"/>
          <w:szCs w:val="24"/>
        </w:rPr>
        <w:t>.</w:t>
      </w:r>
    </w:p>
    <w:p w14:paraId="3DB669E0" w14:textId="77777777" w:rsidR="00DC4F29" w:rsidRDefault="00DC4F29">
      <w:pPr>
        <w:pStyle w:val="FootnoteText"/>
      </w:pPr>
    </w:p>
  </w:footnote>
  <w:footnote w:id="11">
    <w:p w14:paraId="1A089204" w14:textId="77777777" w:rsidR="00DC4F29" w:rsidRPr="004B2FDB" w:rsidRDefault="00DC4F29" w:rsidP="00267E6C">
      <w:pPr>
        <w:pStyle w:val="FootnoteText"/>
        <w:jc w:val="both"/>
        <w:rPr>
          <w:color w:val="000000" w:themeColor="text1"/>
        </w:rPr>
      </w:pPr>
      <w:r w:rsidRPr="004B2FDB">
        <w:rPr>
          <w:rStyle w:val="FootnoteReference"/>
          <w:color w:val="000000" w:themeColor="text1"/>
        </w:rPr>
        <w:footnoteRef/>
      </w:r>
      <w:r w:rsidRPr="004B2FDB">
        <w:rPr>
          <w:color w:val="000000" w:themeColor="text1"/>
        </w:rPr>
        <w:t xml:space="preserve"> </w:t>
      </w:r>
      <w:hyperlink r:id="rId1" w:history="1">
        <w:r w:rsidRPr="004B2FDB">
          <w:rPr>
            <w:rStyle w:val="Hyperlink"/>
            <w:color w:val="000000" w:themeColor="text1"/>
          </w:rPr>
          <w:t>www.ilo/ilostat-files/Documents/Description-LFPR-EN/</w:t>
        </w:r>
      </w:hyperlink>
      <w:r w:rsidRPr="004B2FDB">
        <w:rPr>
          <w:color w:val="000000" w:themeColor="text1"/>
        </w:rPr>
        <w:t>, as retrieved on 12 August, 2020.</w:t>
      </w:r>
    </w:p>
  </w:footnote>
  <w:footnote w:id="12">
    <w:p w14:paraId="55D65C8C" w14:textId="77777777" w:rsidR="00DC4F29" w:rsidRPr="004B2FDB" w:rsidRDefault="00DC4F29" w:rsidP="00643105">
      <w:pPr>
        <w:pStyle w:val="FootnoteText"/>
        <w:jc w:val="both"/>
        <w:rPr>
          <w:color w:val="000000" w:themeColor="text1"/>
        </w:rPr>
      </w:pPr>
      <w:r w:rsidRPr="004B2FDB">
        <w:rPr>
          <w:rStyle w:val="FootnoteReference"/>
          <w:color w:val="000000" w:themeColor="text1"/>
        </w:rPr>
        <w:footnoteRef/>
      </w:r>
      <w:hyperlink r:id="rId2" w:history="1">
        <w:r w:rsidRPr="004B2FDB">
          <w:rPr>
            <w:rStyle w:val="Hyperlink"/>
            <w:color w:val="000000" w:themeColor="text1"/>
          </w:rPr>
          <w:t>www.vikaspedia.in/social-welfare/unorganized</w:t>
        </w:r>
      </w:hyperlink>
      <w:r w:rsidRPr="004B2FDB">
        <w:rPr>
          <w:color w:val="000000" w:themeColor="text1"/>
        </w:rPr>
        <w:t xml:space="preserve"> sector-1/categories-of-unorganized-labour-force, as retrieved on 10th May, 2021.</w:t>
      </w:r>
    </w:p>
  </w:footnote>
  <w:footnote w:id="13">
    <w:p w14:paraId="1BA95070" w14:textId="77777777" w:rsidR="00DC4F29" w:rsidRPr="004B2FDB" w:rsidRDefault="00DC4F29" w:rsidP="00380A21">
      <w:pPr>
        <w:pStyle w:val="FootnoteText"/>
        <w:jc w:val="both"/>
        <w:rPr>
          <w:color w:val="000000" w:themeColor="text1"/>
        </w:rPr>
      </w:pPr>
      <w:r w:rsidRPr="004B2FDB">
        <w:rPr>
          <w:rStyle w:val="EndnoteReference"/>
          <w:color w:val="000000" w:themeColor="text1"/>
        </w:rPr>
        <w:footnoteRef/>
      </w:r>
      <w:r w:rsidRPr="004B2FDB">
        <w:rPr>
          <w:color w:val="000000" w:themeColor="text1"/>
        </w:rPr>
        <w:t xml:space="preserve"> Information and data on the workers currently working and workers seeking for works in the sample construction sites have been collected from the managerial officials (clerks) of the 30 nos of the class-I contractors/ builders, who maintain  the records of the workers working daily in the sites   and  the size of workers looking for works. The clerk usually recruits the required number of workers in the site, out of many coming to him. In fact, the labour</w:t>
      </w:r>
      <w:r w:rsidRPr="004B2FDB">
        <w:rPr>
          <w:i/>
          <w:color w:val="000000" w:themeColor="text1"/>
        </w:rPr>
        <w:t xml:space="preserve"> sardars</w:t>
      </w:r>
      <w:r w:rsidRPr="004B2FDB">
        <w:rPr>
          <w:color w:val="000000" w:themeColor="text1"/>
        </w:rPr>
        <w:t xml:space="preserve"> and  masons(head and sub-masons) act as  the major labour supplying agents in the sample urban areas .They have close contact with the workers coming from rural and tea garden areas of the state. In many cases, they hire the required number of workers to their sites and let them employment opportunities as per the demand of the contractors/builders. In many cases, these intermediaries are found taking commission from workers for providing employment opportunities to them.</w:t>
      </w:r>
    </w:p>
    <w:p w14:paraId="497F898A" w14:textId="77777777" w:rsidR="00DC4F29" w:rsidRPr="004B2FDB" w:rsidRDefault="00DC4F29" w:rsidP="00380A21">
      <w:pPr>
        <w:pStyle w:val="FootnoteText"/>
        <w:jc w:val="both"/>
        <w:rPr>
          <w:color w:val="000000" w:themeColor="text1"/>
        </w:rPr>
      </w:pPr>
    </w:p>
  </w:footnote>
  <w:footnote w:id="14">
    <w:p w14:paraId="3CCC5D75" w14:textId="77777777" w:rsidR="00DC4F29" w:rsidRDefault="00DC4F29" w:rsidP="005E6A16">
      <w:pPr>
        <w:pStyle w:val="FootnoteText"/>
      </w:pPr>
      <w:r>
        <w:rPr>
          <w:rStyle w:val="FootnoteReference"/>
        </w:rPr>
        <w:footnoteRef/>
      </w:r>
      <w:r>
        <w:t xml:space="preserve"> </w:t>
      </w:r>
      <w:r w:rsidRPr="006D565C">
        <w:t xml:space="preserve">Employment elasticity is the % change in the number of employed persons in an economy or a region or a sector in response to a % change in economic </w:t>
      </w:r>
      <w:r>
        <w:t>output as measured through GDP.</w:t>
      </w:r>
    </w:p>
  </w:footnote>
  <w:footnote w:id="15">
    <w:p w14:paraId="072A21AE" w14:textId="77777777" w:rsidR="00DC4F29" w:rsidRPr="006D565C" w:rsidRDefault="00DC4F29" w:rsidP="005E6A16">
      <w:pPr>
        <w:pStyle w:val="FootnoteText"/>
        <w:jc w:val="both"/>
      </w:pPr>
      <w:r w:rsidRPr="006D565C">
        <w:t xml:space="preserve"> </w:t>
      </w:r>
      <w:r w:rsidRPr="006D565C">
        <w:rPr>
          <w:rStyle w:val="FootnoteReference"/>
        </w:rPr>
        <w:footnoteRef/>
      </w:r>
      <w:r w:rsidRPr="006D565C">
        <w:t xml:space="preserve"> For Assam, the contribution of construction sector to GSDP has increased from 10887.47 crore in 2011 to 17129.11 crore in 2018. Against it, this has provided employment to 6.62lakhs persons in 2011, which has increased to 8.66 lakhs in 2018. For India, contribution of this sector to GDP has increased from 585340 in 2011 to 1028463 in 2018. During this period, the employment in this sector of the country has increased from 42.16 million to 67.6 million in 2018</w:t>
      </w:r>
      <w:r>
        <w:t xml:space="preserve">(sources: </w:t>
      </w:r>
      <w:r w:rsidRPr="0077007A">
        <w:t xml:space="preserve"> </w:t>
      </w:r>
      <w:r w:rsidRPr="00785FE1">
        <w:t>Report of the working group on Construction for the 11</w:t>
      </w:r>
      <w:r w:rsidRPr="00785FE1">
        <w:rPr>
          <w:vertAlign w:val="superscript"/>
        </w:rPr>
        <w:t>th</w:t>
      </w:r>
      <w:r w:rsidRPr="00785FE1">
        <w:t xml:space="preserve"> five year plan, planning commis</w:t>
      </w:r>
      <w:r>
        <w:t xml:space="preserve">sion, Government of India; </w:t>
      </w:r>
      <w:r w:rsidRPr="00785FE1">
        <w:t>Econ</w:t>
      </w:r>
      <w:r>
        <w:t>omic survey, Assam, 2019-20;</w:t>
      </w:r>
      <w:r w:rsidRPr="00785FE1">
        <w:t xml:space="preserve"> NSSO Employment &amp; Unemployment Survey Reports, NITI Aayog and Periodi</w:t>
      </w:r>
      <w:r>
        <w:t>c Labour Force Survey).</w:t>
      </w:r>
    </w:p>
  </w:footnote>
  <w:footnote w:id="16">
    <w:p w14:paraId="765AD152" w14:textId="77777777" w:rsidR="00DC4F29" w:rsidRPr="00DB30AB" w:rsidRDefault="00DC4F29" w:rsidP="005E6A16">
      <w:pPr>
        <w:pStyle w:val="FootnoteText"/>
        <w:jc w:val="both"/>
      </w:pPr>
      <w:r>
        <w:t xml:space="preserve"> </w:t>
      </w:r>
      <w:r w:rsidRPr="00DB30AB">
        <w:rPr>
          <w:rStyle w:val="FootnoteReference"/>
        </w:rPr>
        <w:footnoteRef/>
      </w:r>
      <w:r w:rsidRPr="00DB30AB">
        <w:t>12</w:t>
      </w:r>
      <w:r w:rsidRPr="00DB30AB">
        <w:rPr>
          <w:vertAlign w:val="superscript"/>
        </w:rPr>
        <w:t>th</w:t>
      </w:r>
      <w:r w:rsidRPr="00DB30AB">
        <w:t xml:space="preserve"> five year plan document, chapter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A393C" w14:textId="50945F61" w:rsidR="00B30C3F" w:rsidRDefault="00B30C3F">
    <w:pPr>
      <w:pStyle w:val="Header"/>
    </w:pPr>
    <w:r>
      <w:rPr>
        <w:noProof/>
      </w:rPr>
      <w:pict w14:anchorId="499AB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788766" o:spid="_x0000_s2050" type="#_x0000_t136" style="position:absolute;margin-left:0;margin-top:0;width:599.5pt;height:6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EBC83" w14:textId="35B837D3" w:rsidR="00B30C3F" w:rsidRDefault="00B30C3F">
    <w:pPr>
      <w:pStyle w:val="Header"/>
    </w:pPr>
    <w:r>
      <w:rPr>
        <w:noProof/>
      </w:rPr>
      <w:pict w14:anchorId="135B6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788767" o:spid="_x0000_s2051" type="#_x0000_t136" style="position:absolute;margin-left:0;margin-top:0;width:599.5pt;height:6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60B1" w14:textId="22E35F44" w:rsidR="00B30C3F" w:rsidRDefault="00B30C3F">
    <w:pPr>
      <w:pStyle w:val="Header"/>
    </w:pPr>
    <w:r>
      <w:rPr>
        <w:noProof/>
      </w:rPr>
      <w:pict w14:anchorId="3287E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4788765" o:spid="_x0000_s2049" type="#_x0000_t136" style="position:absolute;margin-left:0;margin-top:0;width:599.5pt;height:6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43212"/>
    <w:multiLevelType w:val="hybridMultilevel"/>
    <w:tmpl w:val="0C72EAB8"/>
    <w:lvl w:ilvl="0" w:tplc="E3F4B93E">
      <w:start w:val="1"/>
      <w:numFmt w:val="lowerRoman"/>
      <w:lvlText w:val="%1."/>
      <w:lvlJc w:val="left"/>
      <w:pPr>
        <w:ind w:left="1782" w:hanging="720"/>
      </w:pPr>
      <w:rPr>
        <w:rFonts w:hint="default"/>
        <w:color w:val="000000"/>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 w15:restartNumberingAfterBreak="0">
    <w:nsid w:val="156C0C0F"/>
    <w:multiLevelType w:val="multilevel"/>
    <w:tmpl w:val="BEDCB42E"/>
    <w:lvl w:ilvl="0">
      <w:start w:val="1"/>
      <w:numFmt w:val="lowerRoman"/>
      <w:lvlText w:val="%1)"/>
      <w:lvlJc w:val="left"/>
      <w:pPr>
        <w:ind w:left="120" w:hanging="169"/>
      </w:pPr>
      <w:rPr>
        <w:rFonts w:ascii="Times New Roman" w:eastAsia="Times New Roman" w:hAnsi="Times New Roman" w:cs="Times New Roman"/>
        <w:sz w:val="20"/>
        <w:szCs w:val="20"/>
      </w:rPr>
    </w:lvl>
    <w:lvl w:ilvl="1">
      <w:start w:val="1"/>
      <w:numFmt w:val="bullet"/>
      <w:lvlText w:val="•"/>
      <w:lvlJc w:val="left"/>
      <w:pPr>
        <w:ind w:left="1202" w:hanging="169"/>
      </w:pPr>
    </w:lvl>
    <w:lvl w:ilvl="2">
      <w:start w:val="1"/>
      <w:numFmt w:val="bullet"/>
      <w:lvlText w:val="•"/>
      <w:lvlJc w:val="left"/>
      <w:pPr>
        <w:ind w:left="2285" w:hanging="169"/>
      </w:pPr>
    </w:lvl>
    <w:lvl w:ilvl="3">
      <w:start w:val="1"/>
      <w:numFmt w:val="bullet"/>
      <w:lvlText w:val="•"/>
      <w:lvlJc w:val="left"/>
      <w:pPr>
        <w:ind w:left="3368" w:hanging="168"/>
      </w:pPr>
    </w:lvl>
    <w:lvl w:ilvl="4">
      <w:start w:val="1"/>
      <w:numFmt w:val="bullet"/>
      <w:lvlText w:val="•"/>
      <w:lvlJc w:val="left"/>
      <w:pPr>
        <w:ind w:left="4451" w:hanging="169"/>
      </w:pPr>
    </w:lvl>
    <w:lvl w:ilvl="5">
      <w:start w:val="1"/>
      <w:numFmt w:val="bullet"/>
      <w:lvlText w:val="•"/>
      <w:lvlJc w:val="left"/>
      <w:pPr>
        <w:ind w:left="5534" w:hanging="169"/>
      </w:pPr>
    </w:lvl>
    <w:lvl w:ilvl="6">
      <w:start w:val="1"/>
      <w:numFmt w:val="bullet"/>
      <w:lvlText w:val="•"/>
      <w:lvlJc w:val="left"/>
      <w:pPr>
        <w:ind w:left="6617" w:hanging="167"/>
      </w:pPr>
    </w:lvl>
    <w:lvl w:ilvl="7">
      <w:start w:val="1"/>
      <w:numFmt w:val="bullet"/>
      <w:lvlText w:val="•"/>
      <w:lvlJc w:val="left"/>
      <w:pPr>
        <w:ind w:left="7700" w:hanging="169"/>
      </w:pPr>
    </w:lvl>
    <w:lvl w:ilvl="8">
      <w:start w:val="1"/>
      <w:numFmt w:val="bullet"/>
      <w:lvlText w:val="•"/>
      <w:lvlJc w:val="left"/>
      <w:pPr>
        <w:ind w:left="8783" w:hanging="169"/>
      </w:pPr>
    </w:lvl>
  </w:abstractNum>
  <w:abstractNum w:abstractNumId="2" w15:restartNumberingAfterBreak="0">
    <w:nsid w:val="19D54667"/>
    <w:multiLevelType w:val="hybridMultilevel"/>
    <w:tmpl w:val="9F52852C"/>
    <w:lvl w:ilvl="0" w:tplc="B3E6145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32E0B"/>
    <w:multiLevelType w:val="multilevel"/>
    <w:tmpl w:val="0C58DBDE"/>
    <w:lvl w:ilvl="0">
      <w:start w:val="1"/>
      <w:numFmt w:val="lowerRoman"/>
      <w:lvlText w:val="%1."/>
      <w:lvlJc w:val="left"/>
      <w:pPr>
        <w:ind w:left="286" w:hanging="166"/>
      </w:pPr>
      <w:rPr>
        <w:rFonts w:ascii="Times New Roman" w:eastAsia="Times New Roman" w:hAnsi="Times New Roman" w:cs="Times New Roman"/>
        <w:b/>
        <w:sz w:val="20"/>
        <w:szCs w:val="20"/>
      </w:rPr>
    </w:lvl>
    <w:lvl w:ilvl="1">
      <w:start w:val="1"/>
      <w:numFmt w:val="bullet"/>
      <w:lvlText w:val="•"/>
      <w:lvlJc w:val="left"/>
      <w:pPr>
        <w:ind w:left="1346" w:hanging="167"/>
      </w:pPr>
    </w:lvl>
    <w:lvl w:ilvl="2">
      <w:start w:val="1"/>
      <w:numFmt w:val="bullet"/>
      <w:lvlText w:val="•"/>
      <w:lvlJc w:val="left"/>
      <w:pPr>
        <w:ind w:left="2413" w:hanging="167"/>
      </w:pPr>
    </w:lvl>
    <w:lvl w:ilvl="3">
      <w:start w:val="1"/>
      <w:numFmt w:val="bullet"/>
      <w:lvlText w:val="•"/>
      <w:lvlJc w:val="left"/>
      <w:pPr>
        <w:ind w:left="3480" w:hanging="167"/>
      </w:pPr>
    </w:lvl>
    <w:lvl w:ilvl="4">
      <w:start w:val="1"/>
      <w:numFmt w:val="bullet"/>
      <w:lvlText w:val="•"/>
      <w:lvlJc w:val="left"/>
      <w:pPr>
        <w:ind w:left="4547" w:hanging="167"/>
      </w:pPr>
    </w:lvl>
    <w:lvl w:ilvl="5">
      <w:start w:val="1"/>
      <w:numFmt w:val="bullet"/>
      <w:lvlText w:val="•"/>
      <w:lvlJc w:val="left"/>
      <w:pPr>
        <w:ind w:left="5614" w:hanging="167"/>
      </w:pPr>
    </w:lvl>
    <w:lvl w:ilvl="6">
      <w:start w:val="1"/>
      <w:numFmt w:val="bullet"/>
      <w:lvlText w:val="•"/>
      <w:lvlJc w:val="left"/>
      <w:pPr>
        <w:ind w:left="6681" w:hanging="167"/>
      </w:pPr>
    </w:lvl>
    <w:lvl w:ilvl="7">
      <w:start w:val="1"/>
      <w:numFmt w:val="bullet"/>
      <w:lvlText w:val="•"/>
      <w:lvlJc w:val="left"/>
      <w:pPr>
        <w:ind w:left="7748" w:hanging="167"/>
      </w:pPr>
    </w:lvl>
    <w:lvl w:ilvl="8">
      <w:start w:val="1"/>
      <w:numFmt w:val="bullet"/>
      <w:lvlText w:val="•"/>
      <w:lvlJc w:val="left"/>
      <w:pPr>
        <w:ind w:left="8815" w:hanging="167"/>
      </w:pPr>
    </w:lvl>
  </w:abstractNum>
  <w:abstractNum w:abstractNumId="4" w15:restartNumberingAfterBreak="0">
    <w:nsid w:val="5EF22A97"/>
    <w:multiLevelType w:val="multilevel"/>
    <w:tmpl w:val="3A54252A"/>
    <w:lvl w:ilvl="0">
      <w:start w:val="1"/>
      <w:numFmt w:val="lowerRoman"/>
      <w:lvlText w:val="%1."/>
      <w:lvlJc w:val="left"/>
      <w:pPr>
        <w:ind w:left="120" w:hanging="182"/>
      </w:pPr>
      <w:rPr>
        <w:rFonts w:ascii="Times New Roman" w:eastAsia="Times New Roman" w:hAnsi="Times New Roman" w:cs="Times New Roman"/>
        <w:sz w:val="20"/>
        <w:szCs w:val="20"/>
      </w:rPr>
    </w:lvl>
    <w:lvl w:ilvl="1">
      <w:start w:val="1"/>
      <w:numFmt w:val="bullet"/>
      <w:lvlText w:val="•"/>
      <w:lvlJc w:val="left"/>
      <w:pPr>
        <w:ind w:left="1202" w:hanging="182"/>
      </w:pPr>
    </w:lvl>
    <w:lvl w:ilvl="2">
      <w:start w:val="1"/>
      <w:numFmt w:val="bullet"/>
      <w:lvlText w:val="•"/>
      <w:lvlJc w:val="left"/>
      <w:pPr>
        <w:ind w:left="2285" w:hanging="182"/>
      </w:pPr>
    </w:lvl>
    <w:lvl w:ilvl="3">
      <w:start w:val="1"/>
      <w:numFmt w:val="bullet"/>
      <w:lvlText w:val="•"/>
      <w:lvlJc w:val="left"/>
      <w:pPr>
        <w:ind w:left="3368" w:hanging="182"/>
      </w:pPr>
    </w:lvl>
    <w:lvl w:ilvl="4">
      <w:start w:val="1"/>
      <w:numFmt w:val="bullet"/>
      <w:lvlText w:val="•"/>
      <w:lvlJc w:val="left"/>
      <w:pPr>
        <w:ind w:left="4451" w:hanging="182"/>
      </w:pPr>
    </w:lvl>
    <w:lvl w:ilvl="5">
      <w:start w:val="1"/>
      <w:numFmt w:val="bullet"/>
      <w:lvlText w:val="•"/>
      <w:lvlJc w:val="left"/>
      <w:pPr>
        <w:ind w:left="5534" w:hanging="182"/>
      </w:pPr>
    </w:lvl>
    <w:lvl w:ilvl="6">
      <w:start w:val="1"/>
      <w:numFmt w:val="bullet"/>
      <w:lvlText w:val="•"/>
      <w:lvlJc w:val="left"/>
      <w:pPr>
        <w:ind w:left="6617" w:hanging="182"/>
      </w:pPr>
    </w:lvl>
    <w:lvl w:ilvl="7">
      <w:start w:val="1"/>
      <w:numFmt w:val="bullet"/>
      <w:lvlText w:val="•"/>
      <w:lvlJc w:val="left"/>
      <w:pPr>
        <w:ind w:left="7700" w:hanging="182"/>
      </w:pPr>
    </w:lvl>
    <w:lvl w:ilvl="8">
      <w:start w:val="1"/>
      <w:numFmt w:val="bullet"/>
      <w:lvlText w:val="•"/>
      <w:lvlJc w:val="left"/>
      <w:pPr>
        <w:ind w:left="8783" w:hanging="182"/>
      </w:pPr>
    </w:lvl>
  </w:abstractNum>
  <w:abstractNum w:abstractNumId="5" w15:restartNumberingAfterBreak="0">
    <w:nsid w:val="728C2B4A"/>
    <w:multiLevelType w:val="hybridMultilevel"/>
    <w:tmpl w:val="AD8E8BF4"/>
    <w:lvl w:ilvl="0" w:tplc="EC484DEC">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742E6751"/>
    <w:multiLevelType w:val="multilevel"/>
    <w:tmpl w:val="D9542620"/>
    <w:lvl w:ilvl="0">
      <w:start w:val="1"/>
      <w:numFmt w:val="lowerLetter"/>
      <w:lvlText w:val="%1)"/>
      <w:lvlJc w:val="left"/>
      <w:pPr>
        <w:ind w:left="120" w:hanging="204"/>
      </w:pPr>
    </w:lvl>
    <w:lvl w:ilvl="1">
      <w:start w:val="1"/>
      <w:numFmt w:val="decimal"/>
      <w:lvlText w:val="%2."/>
      <w:lvlJc w:val="left"/>
      <w:pPr>
        <w:ind w:left="618" w:hanging="250"/>
      </w:pPr>
      <w:rPr>
        <w:rFonts w:ascii="Times New Roman" w:eastAsia="Times New Roman" w:hAnsi="Times New Roman" w:cs="Times New Roman"/>
        <w:sz w:val="20"/>
        <w:szCs w:val="20"/>
      </w:rPr>
    </w:lvl>
    <w:lvl w:ilvl="2">
      <w:start w:val="1"/>
      <w:numFmt w:val="bullet"/>
      <w:lvlText w:val="•"/>
      <w:lvlJc w:val="left"/>
      <w:pPr>
        <w:ind w:left="1767" w:hanging="250"/>
      </w:pPr>
    </w:lvl>
    <w:lvl w:ilvl="3">
      <w:start w:val="1"/>
      <w:numFmt w:val="bullet"/>
      <w:lvlText w:val="•"/>
      <w:lvlJc w:val="left"/>
      <w:pPr>
        <w:ind w:left="2915" w:hanging="250"/>
      </w:pPr>
    </w:lvl>
    <w:lvl w:ilvl="4">
      <w:start w:val="1"/>
      <w:numFmt w:val="bullet"/>
      <w:lvlText w:val="•"/>
      <w:lvlJc w:val="left"/>
      <w:pPr>
        <w:ind w:left="4062" w:hanging="250"/>
      </w:pPr>
    </w:lvl>
    <w:lvl w:ilvl="5">
      <w:start w:val="1"/>
      <w:numFmt w:val="bullet"/>
      <w:lvlText w:val="•"/>
      <w:lvlJc w:val="left"/>
      <w:pPr>
        <w:ind w:left="5210" w:hanging="250"/>
      </w:pPr>
    </w:lvl>
    <w:lvl w:ilvl="6">
      <w:start w:val="1"/>
      <w:numFmt w:val="bullet"/>
      <w:lvlText w:val="•"/>
      <w:lvlJc w:val="left"/>
      <w:pPr>
        <w:ind w:left="6358" w:hanging="250"/>
      </w:pPr>
    </w:lvl>
    <w:lvl w:ilvl="7">
      <w:start w:val="1"/>
      <w:numFmt w:val="bullet"/>
      <w:lvlText w:val="•"/>
      <w:lvlJc w:val="left"/>
      <w:pPr>
        <w:ind w:left="7505" w:hanging="250"/>
      </w:pPr>
    </w:lvl>
    <w:lvl w:ilvl="8">
      <w:start w:val="1"/>
      <w:numFmt w:val="bullet"/>
      <w:lvlText w:val="•"/>
      <w:lvlJc w:val="left"/>
      <w:pPr>
        <w:ind w:left="8653" w:hanging="250"/>
      </w:pPr>
    </w:lvl>
  </w:abstractNum>
  <w:abstractNum w:abstractNumId="7" w15:restartNumberingAfterBreak="0">
    <w:nsid w:val="79F85EC0"/>
    <w:multiLevelType w:val="hybridMultilevel"/>
    <w:tmpl w:val="DC8CA698"/>
    <w:lvl w:ilvl="0" w:tplc="B41636C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4"/>
  </w:num>
  <w:num w:numId="3">
    <w:abstractNumId w:val="3"/>
  </w:num>
  <w:num w:numId="4">
    <w:abstractNumId w:val="7"/>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559A"/>
    <w:rsid w:val="00001199"/>
    <w:rsid w:val="000013DF"/>
    <w:rsid w:val="00003F54"/>
    <w:rsid w:val="00004D10"/>
    <w:rsid w:val="000057B5"/>
    <w:rsid w:val="00007049"/>
    <w:rsid w:val="0001058D"/>
    <w:rsid w:val="00010E6A"/>
    <w:rsid w:val="00014DB2"/>
    <w:rsid w:val="00016FE3"/>
    <w:rsid w:val="00017425"/>
    <w:rsid w:val="000178FD"/>
    <w:rsid w:val="00017D1F"/>
    <w:rsid w:val="0002053E"/>
    <w:rsid w:val="00021873"/>
    <w:rsid w:val="00021B43"/>
    <w:rsid w:val="00023A85"/>
    <w:rsid w:val="00024D41"/>
    <w:rsid w:val="00036850"/>
    <w:rsid w:val="00036E81"/>
    <w:rsid w:val="00037C30"/>
    <w:rsid w:val="00040D38"/>
    <w:rsid w:val="00041B53"/>
    <w:rsid w:val="0004251A"/>
    <w:rsid w:val="000435F6"/>
    <w:rsid w:val="00043D26"/>
    <w:rsid w:val="0004434B"/>
    <w:rsid w:val="00050C34"/>
    <w:rsid w:val="00051BEC"/>
    <w:rsid w:val="00054C61"/>
    <w:rsid w:val="00055205"/>
    <w:rsid w:val="00056103"/>
    <w:rsid w:val="00056A8C"/>
    <w:rsid w:val="000602A5"/>
    <w:rsid w:val="000619ED"/>
    <w:rsid w:val="00063A3B"/>
    <w:rsid w:val="0006491D"/>
    <w:rsid w:val="00065FFD"/>
    <w:rsid w:val="00066D76"/>
    <w:rsid w:val="000673C1"/>
    <w:rsid w:val="00073401"/>
    <w:rsid w:val="00073D41"/>
    <w:rsid w:val="00075E31"/>
    <w:rsid w:val="00076122"/>
    <w:rsid w:val="00076795"/>
    <w:rsid w:val="000767D8"/>
    <w:rsid w:val="00084580"/>
    <w:rsid w:val="00087661"/>
    <w:rsid w:val="00090054"/>
    <w:rsid w:val="000949ED"/>
    <w:rsid w:val="00094B0D"/>
    <w:rsid w:val="00095928"/>
    <w:rsid w:val="00095AA3"/>
    <w:rsid w:val="0009619C"/>
    <w:rsid w:val="000974B2"/>
    <w:rsid w:val="00097525"/>
    <w:rsid w:val="00097FBE"/>
    <w:rsid w:val="000A097C"/>
    <w:rsid w:val="000A2025"/>
    <w:rsid w:val="000A2CDB"/>
    <w:rsid w:val="000A6AF1"/>
    <w:rsid w:val="000B02D7"/>
    <w:rsid w:val="000B25A0"/>
    <w:rsid w:val="000B2996"/>
    <w:rsid w:val="000B5AD8"/>
    <w:rsid w:val="000B60CA"/>
    <w:rsid w:val="000B778F"/>
    <w:rsid w:val="000C0206"/>
    <w:rsid w:val="000C4637"/>
    <w:rsid w:val="000D051A"/>
    <w:rsid w:val="000D1F78"/>
    <w:rsid w:val="000D3C38"/>
    <w:rsid w:val="000D3CC5"/>
    <w:rsid w:val="000D3E68"/>
    <w:rsid w:val="000D5677"/>
    <w:rsid w:val="000D6A79"/>
    <w:rsid w:val="000E3F55"/>
    <w:rsid w:val="000E50C7"/>
    <w:rsid w:val="000E7757"/>
    <w:rsid w:val="000F082D"/>
    <w:rsid w:val="000F4691"/>
    <w:rsid w:val="000F5169"/>
    <w:rsid w:val="000F7C44"/>
    <w:rsid w:val="000F7D04"/>
    <w:rsid w:val="00102533"/>
    <w:rsid w:val="001055A2"/>
    <w:rsid w:val="00106286"/>
    <w:rsid w:val="001111D9"/>
    <w:rsid w:val="00112BF3"/>
    <w:rsid w:val="0011428A"/>
    <w:rsid w:val="00114D62"/>
    <w:rsid w:val="00121EED"/>
    <w:rsid w:val="00123AC3"/>
    <w:rsid w:val="00131E7C"/>
    <w:rsid w:val="00132486"/>
    <w:rsid w:val="00132EC3"/>
    <w:rsid w:val="00133076"/>
    <w:rsid w:val="00133905"/>
    <w:rsid w:val="00133BD9"/>
    <w:rsid w:val="00134795"/>
    <w:rsid w:val="00134C27"/>
    <w:rsid w:val="00137012"/>
    <w:rsid w:val="0014270B"/>
    <w:rsid w:val="00144081"/>
    <w:rsid w:val="00144D15"/>
    <w:rsid w:val="00146099"/>
    <w:rsid w:val="00146E66"/>
    <w:rsid w:val="0015254B"/>
    <w:rsid w:val="00152608"/>
    <w:rsid w:val="00152795"/>
    <w:rsid w:val="00152CCE"/>
    <w:rsid w:val="001563F3"/>
    <w:rsid w:val="00161F46"/>
    <w:rsid w:val="00163C94"/>
    <w:rsid w:val="0016477B"/>
    <w:rsid w:val="001649B1"/>
    <w:rsid w:val="00164AB1"/>
    <w:rsid w:val="0016536C"/>
    <w:rsid w:val="00166F87"/>
    <w:rsid w:val="001726E0"/>
    <w:rsid w:val="00172740"/>
    <w:rsid w:val="001744EB"/>
    <w:rsid w:val="001767EE"/>
    <w:rsid w:val="00177298"/>
    <w:rsid w:val="00180B40"/>
    <w:rsid w:val="0018551B"/>
    <w:rsid w:val="00185F10"/>
    <w:rsid w:val="00190F81"/>
    <w:rsid w:val="00194421"/>
    <w:rsid w:val="001956B7"/>
    <w:rsid w:val="0019671A"/>
    <w:rsid w:val="001A2145"/>
    <w:rsid w:val="001A5914"/>
    <w:rsid w:val="001A675B"/>
    <w:rsid w:val="001A7192"/>
    <w:rsid w:val="001B1662"/>
    <w:rsid w:val="001B1C8D"/>
    <w:rsid w:val="001B5472"/>
    <w:rsid w:val="001B569D"/>
    <w:rsid w:val="001B5E4D"/>
    <w:rsid w:val="001B6833"/>
    <w:rsid w:val="001B7431"/>
    <w:rsid w:val="001C3A86"/>
    <w:rsid w:val="001C4314"/>
    <w:rsid w:val="001C463E"/>
    <w:rsid w:val="001C4D03"/>
    <w:rsid w:val="001C6933"/>
    <w:rsid w:val="001D2197"/>
    <w:rsid w:val="001D4A08"/>
    <w:rsid w:val="001D6E9F"/>
    <w:rsid w:val="001E28FD"/>
    <w:rsid w:val="001E33D7"/>
    <w:rsid w:val="001E7EEB"/>
    <w:rsid w:val="001F2595"/>
    <w:rsid w:val="001F4022"/>
    <w:rsid w:val="001F4C7C"/>
    <w:rsid w:val="001F6B68"/>
    <w:rsid w:val="0020040B"/>
    <w:rsid w:val="002018DB"/>
    <w:rsid w:val="00203034"/>
    <w:rsid w:val="002040A8"/>
    <w:rsid w:val="0020699B"/>
    <w:rsid w:val="00206FAD"/>
    <w:rsid w:val="00211456"/>
    <w:rsid w:val="0021170D"/>
    <w:rsid w:val="0021425B"/>
    <w:rsid w:val="002143F9"/>
    <w:rsid w:val="00215726"/>
    <w:rsid w:val="00215C18"/>
    <w:rsid w:val="0021724A"/>
    <w:rsid w:val="00217DD7"/>
    <w:rsid w:val="002210A3"/>
    <w:rsid w:val="00224106"/>
    <w:rsid w:val="002245FF"/>
    <w:rsid w:val="002256B1"/>
    <w:rsid w:val="002276F3"/>
    <w:rsid w:val="002322B4"/>
    <w:rsid w:val="00233D10"/>
    <w:rsid w:val="00234292"/>
    <w:rsid w:val="00236A76"/>
    <w:rsid w:val="00237FB1"/>
    <w:rsid w:val="00245C44"/>
    <w:rsid w:val="00247FD9"/>
    <w:rsid w:val="00251ECE"/>
    <w:rsid w:val="00254CAA"/>
    <w:rsid w:val="0025559A"/>
    <w:rsid w:val="00255EA4"/>
    <w:rsid w:val="002561F1"/>
    <w:rsid w:val="002604F5"/>
    <w:rsid w:val="0026284F"/>
    <w:rsid w:val="002628A3"/>
    <w:rsid w:val="00263876"/>
    <w:rsid w:val="00264938"/>
    <w:rsid w:val="002667F1"/>
    <w:rsid w:val="002672A4"/>
    <w:rsid w:val="00267E6C"/>
    <w:rsid w:val="002730CB"/>
    <w:rsid w:val="002770C2"/>
    <w:rsid w:val="00282D78"/>
    <w:rsid w:val="00282ED4"/>
    <w:rsid w:val="00293024"/>
    <w:rsid w:val="002935C7"/>
    <w:rsid w:val="002937DD"/>
    <w:rsid w:val="00296D36"/>
    <w:rsid w:val="002A2FD9"/>
    <w:rsid w:val="002A3601"/>
    <w:rsid w:val="002A50D0"/>
    <w:rsid w:val="002A6158"/>
    <w:rsid w:val="002A6536"/>
    <w:rsid w:val="002B1635"/>
    <w:rsid w:val="002B29B7"/>
    <w:rsid w:val="002B2D1E"/>
    <w:rsid w:val="002B3515"/>
    <w:rsid w:val="002C11BE"/>
    <w:rsid w:val="002C1390"/>
    <w:rsid w:val="002C13CA"/>
    <w:rsid w:val="002C2041"/>
    <w:rsid w:val="002C61EC"/>
    <w:rsid w:val="002C7C85"/>
    <w:rsid w:val="002D1467"/>
    <w:rsid w:val="002D17D9"/>
    <w:rsid w:val="002D41EB"/>
    <w:rsid w:val="002D5CD4"/>
    <w:rsid w:val="002E0968"/>
    <w:rsid w:val="002E0F17"/>
    <w:rsid w:val="002E1661"/>
    <w:rsid w:val="002E41E9"/>
    <w:rsid w:val="002E5993"/>
    <w:rsid w:val="002F0162"/>
    <w:rsid w:val="002F03AB"/>
    <w:rsid w:val="002F0E4B"/>
    <w:rsid w:val="002F2A7B"/>
    <w:rsid w:val="002F42B9"/>
    <w:rsid w:val="003116D3"/>
    <w:rsid w:val="00311A44"/>
    <w:rsid w:val="00313092"/>
    <w:rsid w:val="003146EA"/>
    <w:rsid w:val="00317272"/>
    <w:rsid w:val="003225C3"/>
    <w:rsid w:val="00324551"/>
    <w:rsid w:val="00325E04"/>
    <w:rsid w:val="003326A4"/>
    <w:rsid w:val="00336B3A"/>
    <w:rsid w:val="00340F94"/>
    <w:rsid w:val="003414A4"/>
    <w:rsid w:val="00343D5D"/>
    <w:rsid w:val="003460FB"/>
    <w:rsid w:val="003461C8"/>
    <w:rsid w:val="003461EE"/>
    <w:rsid w:val="00346AB9"/>
    <w:rsid w:val="00347F80"/>
    <w:rsid w:val="00347F84"/>
    <w:rsid w:val="0035132C"/>
    <w:rsid w:val="0035293B"/>
    <w:rsid w:val="00353AB0"/>
    <w:rsid w:val="00354DF4"/>
    <w:rsid w:val="00355453"/>
    <w:rsid w:val="00356B68"/>
    <w:rsid w:val="003605A2"/>
    <w:rsid w:val="0036199A"/>
    <w:rsid w:val="00364AC1"/>
    <w:rsid w:val="00365B33"/>
    <w:rsid w:val="00366482"/>
    <w:rsid w:val="00367978"/>
    <w:rsid w:val="003712B3"/>
    <w:rsid w:val="00371629"/>
    <w:rsid w:val="00371796"/>
    <w:rsid w:val="00373369"/>
    <w:rsid w:val="003740CC"/>
    <w:rsid w:val="00375D97"/>
    <w:rsid w:val="00375F43"/>
    <w:rsid w:val="00380A21"/>
    <w:rsid w:val="00381946"/>
    <w:rsid w:val="00381AE0"/>
    <w:rsid w:val="00382406"/>
    <w:rsid w:val="00382B77"/>
    <w:rsid w:val="00387C3A"/>
    <w:rsid w:val="00392704"/>
    <w:rsid w:val="00392B03"/>
    <w:rsid w:val="00395A86"/>
    <w:rsid w:val="00395E43"/>
    <w:rsid w:val="00395EC7"/>
    <w:rsid w:val="003A0A40"/>
    <w:rsid w:val="003A0EB6"/>
    <w:rsid w:val="003A1361"/>
    <w:rsid w:val="003A3BF9"/>
    <w:rsid w:val="003A7DBA"/>
    <w:rsid w:val="003B0538"/>
    <w:rsid w:val="003B0F9E"/>
    <w:rsid w:val="003B0FA6"/>
    <w:rsid w:val="003B2A68"/>
    <w:rsid w:val="003B3C43"/>
    <w:rsid w:val="003D03CE"/>
    <w:rsid w:val="003D3A5B"/>
    <w:rsid w:val="003D42E1"/>
    <w:rsid w:val="003D521D"/>
    <w:rsid w:val="003D5320"/>
    <w:rsid w:val="003D746B"/>
    <w:rsid w:val="003D7513"/>
    <w:rsid w:val="003E0E83"/>
    <w:rsid w:val="003E3499"/>
    <w:rsid w:val="003E7196"/>
    <w:rsid w:val="003E7220"/>
    <w:rsid w:val="003F024B"/>
    <w:rsid w:val="003F0E32"/>
    <w:rsid w:val="003F2540"/>
    <w:rsid w:val="003F2682"/>
    <w:rsid w:val="003F660D"/>
    <w:rsid w:val="003F7B21"/>
    <w:rsid w:val="00400665"/>
    <w:rsid w:val="0040080B"/>
    <w:rsid w:val="004019D2"/>
    <w:rsid w:val="0040523E"/>
    <w:rsid w:val="00407371"/>
    <w:rsid w:val="00407F44"/>
    <w:rsid w:val="00412A86"/>
    <w:rsid w:val="004145CF"/>
    <w:rsid w:val="00414B7E"/>
    <w:rsid w:val="00414EA0"/>
    <w:rsid w:val="004151B1"/>
    <w:rsid w:val="00416ABD"/>
    <w:rsid w:val="0042158D"/>
    <w:rsid w:val="00421757"/>
    <w:rsid w:val="00422B0D"/>
    <w:rsid w:val="00424FAF"/>
    <w:rsid w:val="0042555E"/>
    <w:rsid w:val="00425CC0"/>
    <w:rsid w:val="00425D03"/>
    <w:rsid w:val="00434728"/>
    <w:rsid w:val="00435DDD"/>
    <w:rsid w:val="00435F19"/>
    <w:rsid w:val="00437374"/>
    <w:rsid w:val="0043790C"/>
    <w:rsid w:val="00440755"/>
    <w:rsid w:val="004407C7"/>
    <w:rsid w:val="004410A0"/>
    <w:rsid w:val="004414EE"/>
    <w:rsid w:val="00441689"/>
    <w:rsid w:val="00442248"/>
    <w:rsid w:val="00444924"/>
    <w:rsid w:val="00444F6F"/>
    <w:rsid w:val="004457D2"/>
    <w:rsid w:val="004475EF"/>
    <w:rsid w:val="00447C28"/>
    <w:rsid w:val="00450BF3"/>
    <w:rsid w:val="00452EC9"/>
    <w:rsid w:val="00453F35"/>
    <w:rsid w:val="004544DF"/>
    <w:rsid w:val="00454F2C"/>
    <w:rsid w:val="004570D6"/>
    <w:rsid w:val="00457D86"/>
    <w:rsid w:val="0046107E"/>
    <w:rsid w:val="004611DB"/>
    <w:rsid w:val="0046196C"/>
    <w:rsid w:val="00461BDD"/>
    <w:rsid w:val="00461CCF"/>
    <w:rsid w:val="00462ECD"/>
    <w:rsid w:val="00466255"/>
    <w:rsid w:val="00471584"/>
    <w:rsid w:val="0047595B"/>
    <w:rsid w:val="004776F3"/>
    <w:rsid w:val="00477C92"/>
    <w:rsid w:val="0048203F"/>
    <w:rsid w:val="00484465"/>
    <w:rsid w:val="00490262"/>
    <w:rsid w:val="004937C6"/>
    <w:rsid w:val="004937D8"/>
    <w:rsid w:val="0049585E"/>
    <w:rsid w:val="004A2D6A"/>
    <w:rsid w:val="004A3347"/>
    <w:rsid w:val="004A6306"/>
    <w:rsid w:val="004A6596"/>
    <w:rsid w:val="004A7F0B"/>
    <w:rsid w:val="004B0327"/>
    <w:rsid w:val="004B1F25"/>
    <w:rsid w:val="004B5CEC"/>
    <w:rsid w:val="004B6180"/>
    <w:rsid w:val="004B6DF4"/>
    <w:rsid w:val="004B70FD"/>
    <w:rsid w:val="004B75EB"/>
    <w:rsid w:val="004C4EF8"/>
    <w:rsid w:val="004C6571"/>
    <w:rsid w:val="004C6575"/>
    <w:rsid w:val="004C7385"/>
    <w:rsid w:val="004C74AA"/>
    <w:rsid w:val="004D08C4"/>
    <w:rsid w:val="004D3802"/>
    <w:rsid w:val="004D46DF"/>
    <w:rsid w:val="004E29E2"/>
    <w:rsid w:val="004E6FD2"/>
    <w:rsid w:val="004F02A9"/>
    <w:rsid w:val="004F08AE"/>
    <w:rsid w:val="004F112E"/>
    <w:rsid w:val="004F2A51"/>
    <w:rsid w:val="004F4474"/>
    <w:rsid w:val="004F652B"/>
    <w:rsid w:val="00503C7E"/>
    <w:rsid w:val="00504A68"/>
    <w:rsid w:val="00506C9E"/>
    <w:rsid w:val="00507DA7"/>
    <w:rsid w:val="0051171B"/>
    <w:rsid w:val="00512E29"/>
    <w:rsid w:val="00516C20"/>
    <w:rsid w:val="00520313"/>
    <w:rsid w:val="005214C1"/>
    <w:rsid w:val="00525608"/>
    <w:rsid w:val="005261F6"/>
    <w:rsid w:val="0052753D"/>
    <w:rsid w:val="00527B71"/>
    <w:rsid w:val="00527F79"/>
    <w:rsid w:val="00530BB5"/>
    <w:rsid w:val="0053132E"/>
    <w:rsid w:val="00532F41"/>
    <w:rsid w:val="00534AD4"/>
    <w:rsid w:val="00534F15"/>
    <w:rsid w:val="0053526B"/>
    <w:rsid w:val="00535A4B"/>
    <w:rsid w:val="005368E9"/>
    <w:rsid w:val="00536C2A"/>
    <w:rsid w:val="00536D59"/>
    <w:rsid w:val="005371C8"/>
    <w:rsid w:val="00537701"/>
    <w:rsid w:val="005400E2"/>
    <w:rsid w:val="005400E5"/>
    <w:rsid w:val="00541F3C"/>
    <w:rsid w:val="00542334"/>
    <w:rsid w:val="00544646"/>
    <w:rsid w:val="00553586"/>
    <w:rsid w:val="00553C15"/>
    <w:rsid w:val="00554E9E"/>
    <w:rsid w:val="0056103D"/>
    <w:rsid w:val="00561BC9"/>
    <w:rsid w:val="0056332E"/>
    <w:rsid w:val="00563F72"/>
    <w:rsid w:val="00566C03"/>
    <w:rsid w:val="005677DE"/>
    <w:rsid w:val="00571026"/>
    <w:rsid w:val="00573519"/>
    <w:rsid w:val="00573B40"/>
    <w:rsid w:val="00573D1B"/>
    <w:rsid w:val="00573DB7"/>
    <w:rsid w:val="00581056"/>
    <w:rsid w:val="0058269A"/>
    <w:rsid w:val="005839E4"/>
    <w:rsid w:val="00583CF8"/>
    <w:rsid w:val="00585221"/>
    <w:rsid w:val="0058601E"/>
    <w:rsid w:val="005862B8"/>
    <w:rsid w:val="005864F9"/>
    <w:rsid w:val="00587111"/>
    <w:rsid w:val="0059040D"/>
    <w:rsid w:val="0059043E"/>
    <w:rsid w:val="005921E8"/>
    <w:rsid w:val="00594B44"/>
    <w:rsid w:val="005969C3"/>
    <w:rsid w:val="005A0871"/>
    <w:rsid w:val="005A21C2"/>
    <w:rsid w:val="005A28D5"/>
    <w:rsid w:val="005A3147"/>
    <w:rsid w:val="005A3240"/>
    <w:rsid w:val="005A4990"/>
    <w:rsid w:val="005A6451"/>
    <w:rsid w:val="005A7ECC"/>
    <w:rsid w:val="005B0622"/>
    <w:rsid w:val="005B0955"/>
    <w:rsid w:val="005B1054"/>
    <w:rsid w:val="005B11A1"/>
    <w:rsid w:val="005B6B8A"/>
    <w:rsid w:val="005C1568"/>
    <w:rsid w:val="005C17FF"/>
    <w:rsid w:val="005C386C"/>
    <w:rsid w:val="005D07C0"/>
    <w:rsid w:val="005D1285"/>
    <w:rsid w:val="005D1BC6"/>
    <w:rsid w:val="005D3714"/>
    <w:rsid w:val="005D68B2"/>
    <w:rsid w:val="005E24EC"/>
    <w:rsid w:val="005E61DE"/>
    <w:rsid w:val="005E6A16"/>
    <w:rsid w:val="005F1A08"/>
    <w:rsid w:val="005F43CC"/>
    <w:rsid w:val="005F5D90"/>
    <w:rsid w:val="005F6FAE"/>
    <w:rsid w:val="00601473"/>
    <w:rsid w:val="00601B42"/>
    <w:rsid w:val="00605212"/>
    <w:rsid w:val="00606038"/>
    <w:rsid w:val="00611CD4"/>
    <w:rsid w:val="006131BC"/>
    <w:rsid w:val="00613BCD"/>
    <w:rsid w:val="006141F5"/>
    <w:rsid w:val="006235F0"/>
    <w:rsid w:val="00623BB5"/>
    <w:rsid w:val="006248EA"/>
    <w:rsid w:val="006269EB"/>
    <w:rsid w:val="00626A0C"/>
    <w:rsid w:val="00626DC1"/>
    <w:rsid w:val="00627F29"/>
    <w:rsid w:val="006300B0"/>
    <w:rsid w:val="00631742"/>
    <w:rsid w:val="00631B63"/>
    <w:rsid w:val="00632591"/>
    <w:rsid w:val="00632DD7"/>
    <w:rsid w:val="006333AE"/>
    <w:rsid w:val="00634BBD"/>
    <w:rsid w:val="006404E7"/>
    <w:rsid w:val="0064147A"/>
    <w:rsid w:val="00643105"/>
    <w:rsid w:val="00643552"/>
    <w:rsid w:val="00644145"/>
    <w:rsid w:val="006444CD"/>
    <w:rsid w:val="0064728A"/>
    <w:rsid w:val="0065059A"/>
    <w:rsid w:val="00657777"/>
    <w:rsid w:val="00660A89"/>
    <w:rsid w:val="00660E71"/>
    <w:rsid w:val="00661334"/>
    <w:rsid w:val="00664000"/>
    <w:rsid w:val="00664EB4"/>
    <w:rsid w:val="006658EC"/>
    <w:rsid w:val="006658ED"/>
    <w:rsid w:val="006726D9"/>
    <w:rsid w:val="00674C50"/>
    <w:rsid w:val="006750C9"/>
    <w:rsid w:val="00677B6A"/>
    <w:rsid w:val="006827DA"/>
    <w:rsid w:val="006838A5"/>
    <w:rsid w:val="0068421A"/>
    <w:rsid w:val="006853EB"/>
    <w:rsid w:val="006864E7"/>
    <w:rsid w:val="00690452"/>
    <w:rsid w:val="00690DC0"/>
    <w:rsid w:val="00691F06"/>
    <w:rsid w:val="006A0361"/>
    <w:rsid w:val="006A2480"/>
    <w:rsid w:val="006A3D46"/>
    <w:rsid w:val="006A51E5"/>
    <w:rsid w:val="006A6DF9"/>
    <w:rsid w:val="006B0BCD"/>
    <w:rsid w:val="006B17B9"/>
    <w:rsid w:val="006B2711"/>
    <w:rsid w:val="006B3D15"/>
    <w:rsid w:val="006B4759"/>
    <w:rsid w:val="006B6A4F"/>
    <w:rsid w:val="006B6ACF"/>
    <w:rsid w:val="006B6AD8"/>
    <w:rsid w:val="006C0AF8"/>
    <w:rsid w:val="006C1DE0"/>
    <w:rsid w:val="006C390D"/>
    <w:rsid w:val="006C47EF"/>
    <w:rsid w:val="006D0EDA"/>
    <w:rsid w:val="006D12DF"/>
    <w:rsid w:val="006D4302"/>
    <w:rsid w:val="006D55F2"/>
    <w:rsid w:val="006D6BB6"/>
    <w:rsid w:val="006D6D39"/>
    <w:rsid w:val="006D7350"/>
    <w:rsid w:val="006E4259"/>
    <w:rsid w:val="006E4CFF"/>
    <w:rsid w:val="006F0035"/>
    <w:rsid w:val="006F1638"/>
    <w:rsid w:val="006F4680"/>
    <w:rsid w:val="00702D53"/>
    <w:rsid w:val="007070F8"/>
    <w:rsid w:val="00711F46"/>
    <w:rsid w:val="00714050"/>
    <w:rsid w:val="007145A9"/>
    <w:rsid w:val="00714A8C"/>
    <w:rsid w:val="007210BB"/>
    <w:rsid w:val="007216C5"/>
    <w:rsid w:val="00723B8F"/>
    <w:rsid w:val="00725382"/>
    <w:rsid w:val="00726CC1"/>
    <w:rsid w:val="0072763C"/>
    <w:rsid w:val="00730BB2"/>
    <w:rsid w:val="00735622"/>
    <w:rsid w:val="0073697E"/>
    <w:rsid w:val="00737C54"/>
    <w:rsid w:val="00742F5F"/>
    <w:rsid w:val="0074498E"/>
    <w:rsid w:val="00745468"/>
    <w:rsid w:val="0074765F"/>
    <w:rsid w:val="00750E54"/>
    <w:rsid w:val="00751C48"/>
    <w:rsid w:val="00752120"/>
    <w:rsid w:val="00754B41"/>
    <w:rsid w:val="00755862"/>
    <w:rsid w:val="00757127"/>
    <w:rsid w:val="00761DA6"/>
    <w:rsid w:val="00762CC2"/>
    <w:rsid w:val="00765628"/>
    <w:rsid w:val="007668F1"/>
    <w:rsid w:val="007737A8"/>
    <w:rsid w:val="00773CD4"/>
    <w:rsid w:val="00776A34"/>
    <w:rsid w:val="007770F3"/>
    <w:rsid w:val="00777589"/>
    <w:rsid w:val="00777CA3"/>
    <w:rsid w:val="00777D68"/>
    <w:rsid w:val="00780A6C"/>
    <w:rsid w:val="0078345D"/>
    <w:rsid w:val="007839BD"/>
    <w:rsid w:val="0078439C"/>
    <w:rsid w:val="00784CF1"/>
    <w:rsid w:val="00785204"/>
    <w:rsid w:val="007852D3"/>
    <w:rsid w:val="007869D4"/>
    <w:rsid w:val="00787179"/>
    <w:rsid w:val="007906F8"/>
    <w:rsid w:val="00790EC1"/>
    <w:rsid w:val="00791CA8"/>
    <w:rsid w:val="00792FD5"/>
    <w:rsid w:val="00794967"/>
    <w:rsid w:val="007A0D0E"/>
    <w:rsid w:val="007A21E3"/>
    <w:rsid w:val="007A49B8"/>
    <w:rsid w:val="007A50F5"/>
    <w:rsid w:val="007A6641"/>
    <w:rsid w:val="007B1D52"/>
    <w:rsid w:val="007B2725"/>
    <w:rsid w:val="007B7ACD"/>
    <w:rsid w:val="007B7DA3"/>
    <w:rsid w:val="007C0511"/>
    <w:rsid w:val="007C40FF"/>
    <w:rsid w:val="007C47CC"/>
    <w:rsid w:val="007C65E0"/>
    <w:rsid w:val="007C69C2"/>
    <w:rsid w:val="007C7EF4"/>
    <w:rsid w:val="007D3C62"/>
    <w:rsid w:val="007D3FB2"/>
    <w:rsid w:val="007D5BB2"/>
    <w:rsid w:val="007E7257"/>
    <w:rsid w:val="007F02FC"/>
    <w:rsid w:val="007F26BB"/>
    <w:rsid w:val="007F2B84"/>
    <w:rsid w:val="007F2E7B"/>
    <w:rsid w:val="00800609"/>
    <w:rsid w:val="008025A4"/>
    <w:rsid w:val="00804145"/>
    <w:rsid w:val="00804CCD"/>
    <w:rsid w:val="00806938"/>
    <w:rsid w:val="00811D0B"/>
    <w:rsid w:val="00814023"/>
    <w:rsid w:val="00814B5F"/>
    <w:rsid w:val="00817E18"/>
    <w:rsid w:val="0082111F"/>
    <w:rsid w:val="008215F9"/>
    <w:rsid w:val="00822614"/>
    <w:rsid w:val="00822D8B"/>
    <w:rsid w:val="0082401F"/>
    <w:rsid w:val="00826024"/>
    <w:rsid w:val="00831618"/>
    <w:rsid w:val="00833248"/>
    <w:rsid w:val="00833E3D"/>
    <w:rsid w:val="00833F6F"/>
    <w:rsid w:val="00835E97"/>
    <w:rsid w:val="00837508"/>
    <w:rsid w:val="008419C8"/>
    <w:rsid w:val="00842D5C"/>
    <w:rsid w:val="00844FE7"/>
    <w:rsid w:val="008458C0"/>
    <w:rsid w:val="00847372"/>
    <w:rsid w:val="008521D4"/>
    <w:rsid w:val="00853513"/>
    <w:rsid w:val="008544E6"/>
    <w:rsid w:val="008550AB"/>
    <w:rsid w:val="0085625E"/>
    <w:rsid w:val="008563D2"/>
    <w:rsid w:val="008612BE"/>
    <w:rsid w:val="00866D72"/>
    <w:rsid w:val="008671B8"/>
    <w:rsid w:val="00867493"/>
    <w:rsid w:val="008674A0"/>
    <w:rsid w:val="0087530D"/>
    <w:rsid w:val="0087647A"/>
    <w:rsid w:val="00877525"/>
    <w:rsid w:val="0088033E"/>
    <w:rsid w:val="0088055A"/>
    <w:rsid w:val="008832A1"/>
    <w:rsid w:val="0088359D"/>
    <w:rsid w:val="00883ECF"/>
    <w:rsid w:val="00885864"/>
    <w:rsid w:val="00887568"/>
    <w:rsid w:val="00893097"/>
    <w:rsid w:val="00893AE2"/>
    <w:rsid w:val="0089484D"/>
    <w:rsid w:val="008A31DD"/>
    <w:rsid w:val="008A46BF"/>
    <w:rsid w:val="008A62D7"/>
    <w:rsid w:val="008A6542"/>
    <w:rsid w:val="008A6F84"/>
    <w:rsid w:val="008B2163"/>
    <w:rsid w:val="008B2589"/>
    <w:rsid w:val="008B3E2A"/>
    <w:rsid w:val="008B4CF6"/>
    <w:rsid w:val="008B5969"/>
    <w:rsid w:val="008B7037"/>
    <w:rsid w:val="008B7EBB"/>
    <w:rsid w:val="008C1772"/>
    <w:rsid w:val="008C1F94"/>
    <w:rsid w:val="008C348C"/>
    <w:rsid w:val="008C5413"/>
    <w:rsid w:val="008D15B2"/>
    <w:rsid w:val="008D236B"/>
    <w:rsid w:val="008D3AC4"/>
    <w:rsid w:val="008E06C1"/>
    <w:rsid w:val="008E0B7F"/>
    <w:rsid w:val="008E0F2E"/>
    <w:rsid w:val="008E14C3"/>
    <w:rsid w:val="008E26BD"/>
    <w:rsid w:val="008E478A"/>
    <w:rsid w:val="008E6A23"/>
    <w:rsid w:val="008E6AD9"/>
    <w:rsid w:val="008E7AE7"/>
    <w:rsid w:val="008F1604"/>
    <w:rsid w:val="008F5298"/>
    <w:rsid w:val="0090025D"/>
    <w:rsid w:val="009015E4"/>
    <w:rsid w:val="00906CD1"/>
    <w:rsid w:val="009070B0"/>
    <w:rsid w:val="00907A14"/>
    <w:rsid w:val="00910077"/>
    <w:rsid w:val="00913191"/>
    <w:rsid w:val="00913D6B"/>
    <w:rsid w:val="00913FC2"/>
    <w:rsid w:val="00920EDC"/>
    <w:rsid w:val="00921107"/>
    <w:rsid w:val="009213CD"/>
    <w:rsid w:val="00923443"/>
    <w:rsid w:val="00923BF1"/>
    <w:rsid w:val="00925585"/>
    <w:rsid w:val="00925C54"/>
    <w:rsid w:val="00932984"/>
    <w:rsid w:val="009350A1"/>
    <w:rsid w:val="00935441"/>
    <w:rsid w:val="00935971"/>
    <w:rsid w:val="0094002A"/>
    <w:rsid w:val="00943EF5"/>
    <w:rsid w:val="00944078"/>
    <w:rsid w:val="00944C0F"/>
    <w:rsid w:val="00944F7B"/>
    <w:rsid w:val="00946D24"/>
    <w:rsid w:val="009502A6"/>
    <w:rsid w:val="00952D3B"/>
    <w:rsid w:val="00953334"/>
    <w:rsid w:val="00954347"/>
    <w:rsid w:val="0095446D"/>
    <w:rsid w:val="00954C14"/>
    <w:rsid w:val="00956B8D"/>
    <w:rsid w:val="00961009"/>
    <w:rsid w:val="00961F3A"/>
    <w:rsid w:val="009642B3"/>
    <w:rsid w:val="00966C86"/>
    <w:rsid w:val="00970C17"/>
    <w:rsid w:val="00971A82"/>
    <w:rsid w:val="00973B38"/>
    <w:rsid w:val="00973F34"/>
    <w:rsid w:val="0097435C"/>
    <w:rsid w:val="00974BEC"/>
    <w:rsid w:val="00974CBA"/>
    <w:rsid w:val="00974F63"/>
    <w:rsid w:val="0097664F"/>
    <w:rsid w:val="009767A2"/>
    <w:rsid w:val="00976BEB"/>
    <w:rsid w:val="009801CA"/>
    <w:rsid w:val="009802F5"/>
    <w:rsid w:val="0098030A"/>
    <w:rsid w:val="00980C36"/>
    <w:rsid w:val="00981D70"/>
    <w:rsid w:val="0098303E"/>
    <w:rsid w:val="00984EDD"/>
    <w:rsid w:val="00985B22"/>
    <w:rsid w:val="00986977"/>
    <w:rsid w:val="009921D4"/>
    <w:rsid w:val="00992267"/>
    <w:rsid w:val="00992EC2"/>
    <w:rsid w:val="00995542"/>
    <w:rsid w:val="009A1AFC"/>
    <w:rsid w:val="009A2098"/>
    <w:rsid w:val="009A4675"/>
    <w:rsid w:val="009B1736"/>
    <w:rsid w:val="009B2142"/>
    <w:rsid w:val="009B2514"/>
    <w:rsid w:val="009B3089"/>
    <w:rsid w:val="009B615D"/>
    <w:rsid w:val="009B64BC"/>
    <w:rsid w:val="009C2B98"/>
    <w:rsid w:val="009C591D"/>
    <w:rsid w:val="009D1353"/>
    <w:rsid w:val="009D5E46"/>
    <w:rsid w:val="009E07B0"/>
    <w:rsid w:val="009E40DA"/>
    <w:rsid w:val="009E5D9C"/>
    <w:rsid w:val="009E60FC"/>
    <w:rsid w:val="009E71C3"/>
    <w:rsid w:val="009F0D03"/>
    <w:rsid w:val="009F371F"/>
    <w:rsid w:val="00A02B83"/>
    <w:rsid w:val="00A07995"/>
    <w:rsid w:val="00A10FF1"/>
    <w:rsid w:val="00A15815"/>
    <w:rsid w:val="00A21883"/>
    <w:rsid w:val="00A224C3"/>
    <w:rsid w:val="00A22C73"/>
    <w:rsid w:val="00A22D9F"/>
    <w:rsid w:val="00A25D33"/>
    <w:rsid w:val="00A27EAE"/>
    <w:rsid w:val="00A30B17"/>
    <w:rsid w:val="00A319DA"/>
    <w:rsid w:val="00A323D6"/>
    <w:rsid w:val="00A32A6C"/>
    <w:rsid w:val="00A34CC4"/>
    <w:rsid w:val="00A35E38"/>
    <w:rsid w:val="00A3715D"/>
    <w:rsid w:val="00A37B22"/>
    <w:rsid w:val="00A43643"/>
    <w:rsid w:val="00A44CCD"/>
    <w:rsid w:val="00A5081A"/>
    <w:rsid w:val="00A51A4D"/>
    <w:rsid w:val="00A5748B"/>
    <w:rsid w:val="00A57523"/>
    <w:rsid w:val="00A6075A"/>
    <w:rsid w:val="00A616D6"/>
    <w:rsid w:val="00A61D99"/>
    <w:rsid w:val="00A62D4E"/>
    <w:rsid w:val="00A63F71"/>
    <w:rsid w:val="00A67F38"/>
    <w:rsid w:val="00A70CB7"/>
    <w:rsid w:val="00A71129"/>
    <w:rsid w:val="00A7299B"/>
    <w:rsid w:val="00A761B1"/>
    <w:rsid w:val="00A763B0"/>
    <w:rsid w:val="00A7771A"/>
    <w:rsid w:val="00A77ECA"/>
    <w:rsid w:val="00A81E0F"/>
    <w:rsid w:val="00A828D2"/>
    <w:rsid w:val="00A82BEC"/>
    <w:rsid w:val="00A847EC"/>
    <w:rsid w:val="00A87611"/>
    <w:rsid w:val="00A91034"/>
    <w:rsid w:val="00A92467"/>
    <w:rsid w:val="00A92C44"/>
    <w:rsid w:val="00AA0D79"/>
    <w:rsid w:val="00AA16F6"/>
    <w:rsid w:val="00AA2E8D"/>
    <w:rsid w:val="00AA4406"/>
    <w:rsid w:val="00AA441E"/>
    <w:rsid w:val="00AA4E35"/>
    <w:rsid w:val="00AA5288"/>
    <w:rsid w:val="00AA6734"/>
    <w:rsid w:val="00AB004F"/>
    <w:rsid w:val="00AB15FD"/>
    <w:rsid w:val="00AB55AF"/>
    <w:rsid w:val="00AB7974"/>
    <w:rsid w:val="00AC02A1"/>
    <w:rsid w:val="00AC05BA"/>
    <w:rsid w:val="00AC14A2"/>
    <w:rsid w:val="00AC21CD"/>
    <w:rsid w:val="00AC2815"/>
    <w:rsid w:val="00AC4022"/>
    <w:rsid w:val="00AC4F92"/>
    <w:rsid w:val="00AD1207"/>
    <w:rsid w:val="00AD3091"/>
    <w:rsid w:val="00AD3362"/>
    <w:rsid w:val="00AD45E3"/>
    <w:rsid w:val="00AD60D5"/>
    <w:rsid w:val="00AD6915"/>
    <w:rsid w:val="00AE0BA6"/>
    <w:rsid w:val="00AE116D"/>
    <w:rsid w:val="00AE273A"/>
    <w:rsid w:val="00AE2C25"/>
    <w:rsid w:val="00AE2DF6"/>
    <w:rsid w:val="00AE3B74"/>
    <w:rsid w:val="00AF1B51"/>
    <w:rsid w:val="00AF1E45"/>
    <w:rsid w:val="00AF2DDD"/>
    <w:rsid w:val="00AF3BF1"/>
    <w:rsid w:val="00AF4B9E"/>
    <w:rsid w:val="00B002AA"/>
    <w:rsid w:val="00B0212B"/>
    <w:rsid w:val="00B03395"/>
    <w:rsid w:val="00B03E06"/>
    <w:rsid w:val="00B07961"/>
    <w:rsid w:val="00B119E1"/>
    <w:rsid w:val="00B122F2"/>
    <w:rsid w:val="00B12353"/>
    <w:rsid w:val="00B140AB"/>
    <w:rsid w:val="00B208D9"/>
    <w:rsid w:val="00B21FA5"/>
    <w:rsid w:val="00B22D35"/>
    <w:rsid w:val="00B26929"/>
    <w:rsid w:val="00B277B9"/>
    <w:rsid w:val="00B3041F"/>
    <w:rsid w:val="00B30C3F"/>
    <w:rsid w:val="00B30D7C"/>
    <w:rsid w:val="00B31635"/>
    <w:rsid w:val="00B32037"/>
    <w:rsid w:val="00B321D1"/>
    <w:rsid w:val="00B3307F"/>
    <w:rsid w:val="00B335E8"/>
    <w:rsid w:val="00B404F7"/>
    <w:rsid w:val="00B41B54"/>
    <w:rsid w:val="00B43981"/>
    <w:rsid w:val="00B45D16"/>
    <w:rsid w:val="00B4767C"/>
    <w:rsid w:val="00B50389"/>
    <w:rsid w:val="00B512AB"/>
    <w:rsid w:val="00B51911"/>
    <w:rsid w:val="00B52388"/>
    <w:rsid w:val="00B534C4"/>
    <w:rsid w:val="00B54D45"/>
    <w:rsid w:val="00B55550"/>
    <w:rsid w:val="00B56344"/>
    <w:rsid w:val="00B63377"/>
    <w:rsid w:val="00B650A2"/>
    <w:rsid w:val="00B6616B"/>
    <w:rsid w:val="00B674B1"/>
    <w:rsid w:val="00B7254C"/>
    <w:rsid w:val="00B7306A"/>
    <w:rsid w:val="00B7422F"/>
    <w:rsid w:val="00B76ECF"/>
    <w:rsid w:val="00B7710F"/>
    <w:rsid w:val="00B8022B"/>
    <w:rsid w:val="00B80E49"/>
    <w:rsid w:val="00B81E4A"/>
    <w:rsid w:val="00B81EBD"/>
    <w:rsid w:val="00B8307F"/>
    <w:rsid w:val="00B85B32"/>
    <w:rsid w:val="00B90D8B"/>
    <w:rsid w:val="00B9218A"/>
    <w:rsid w:val="00B940B1"/>
    <w:rsid w:val="00B9463A"/>
    <w:rsid w:val="00B96BEA"/>
    <w:rsid w:val="00BA2768"/>
    <w:rsid w:val="00BA3664"/>
    <w:rsid w:val="00BA3A1F"/>
    <w:rsid w:val="00BA4454"/>
    <w:rsid w:val="00BA5E09"/>
    <w:rsid w:val="00BB5524"/>
    <w:rsid w:val="00BB660A"/>
    <w:rsid w:val="00BB71C4"/>
    <w:rsid w:val="00BB723B"/>
    <w:rsid w:val="00BB7659"/>
    <w:rsid w:val="00BC111F"/>
    <w:rsid w:val="00BC54C7"/>
    <w:rsid w:val="00BC70F6"/>
    <w:rsid w:val="00BC79AA"/>
    <w:rsid w:val="00BD0383"/>
    <w:rsid w:val="00BD4676"/>
    <w:rsid w:val="00BD7B29"/>
    <w:rsid w:val="00BE0BB9"/>
    <w:rsid w:val="00BE0C72"/>
    <w:rsid w:val="00BE5D67"/>
    <w:rsid w:val="00BF0AEA"/>
    <w:rsid w:val="00BF2D34"/>
    <w:rsid w:val="00BF582C"/>
    <w:rsid w:val="00BF5C55"/>
    <w:rsid w:val="00BF7175"/>
    <w:rsid w:val="00C01473"/>
    <w:rsid w:val="00C026DA"/>
    <w:rsid w:val="00C028B9"/>
    <w:rsid w:val="00C03863"/>
    <w:rsid w:val="00C051E7"/>
    <w:rsid w:val="00C07000"/>
    <w:rsid w:val="00C07084"/>
    <w:rsid w:val="00C10484"/>
    <w:rsid w:val="00C110C5"/>
    <w:rsid w:val="00C1275F"/>
    <w:rsid w:val="00C16345"/>
    <w:rsid w:val="00C21946"/>
    <w:rsid w:val="00C23C07"/>
    <w:rsid w:val="00C302D9"/>
    <w:rsid w:val="00C33C2F"/>
    <w:rsid w:val="00C355B4"/>
    <w:rsid w:val="00C36412"/>
    <w:rsid w:val="00C379BF"/>
    <w:rsid w:val="00C4031B"/>
    <w:rsid w:val="00C41A60"/>
    <w:rsid w:val="00C4278A"/>
    <w:rsid w:val="00C42F03"/>
    <w:rsid w:val="00C4338D"/>
    <w:rsid w:val="00C46CE3"/>
    <w:rsid w:val="00C5022F"/>
    <w:rsid w:val="00C51902"/>
    <w:rsid w:val="00C5258D"/>
    <w:rsid w:val="00C52768"/>
    <w:rsid w:val="00C55013"/>
    <w:rsid w:val="00C61C25"/>
    <w:rsid w:val="00C620CA"/>
    <w:rsid w:val="00C6569F"/>
    <w:rsid w:val="00C65AE9"/>
    <w:rsid w:val="00C7059D"/>
    <w:rsid w:val="00C70BCE"/>
    <w:rsid w:val="00C726B3"/>
    <w:rsid w:val="00C746EA"/>
    <w:rsid w:val="00C747D8"/>
    <w:rsid w:val="00C76C63"/>
    <w:rsid w:val="00C815DF"/>
    <w:rsid w:val="00C8227A"/>
    <w:rsid w:val="00C827E5"/>
    <w:rsid w:val="00C834BB"/>
    <w:rsid w:val="00C849ED"/>
    <w:rsid w:val="00C85A67"/>
    <w:rsid w:val="00C8672D"/>
    <w:rsid w:val="00C872E1"/>
    <w:rsid w:val="00C90475"/>
    <w:rsid w:val="00C908DF"/>
    <w:rsid w:val="00C912CE"/>
    <w:rsid w:val="00C941D2"/>
    <w:rsid w:val="00C94364"/>
    <w:rsid w:val="00C97880"/>
    <w:rsid w:val="00C97B1A"/>
    <w:rsid w:val="00CA0369"/>
    <w:rsid w:val="00CA2C26"/>
    <w:rsid w:val="00CA61BF"/>
    <w:rsid w:val="00CA7351"/>
    <w:rsid w:val="00CB059D"/>
    <w:rsid w:val="00CB08CC"/>
    <w:rsid w:val="00CB2911"/>
    <w:rsid w:val="00CB3D4C"/>
    <w:rsid w:val="00CB6EC7"/>
    <w:rsid w:val="00CC1B3B"/>
    <w:rsid w:val="00CC4200"/>
    <w:rsid w:val="00CC4463"/>
    <w:rsid w:val="00CC5600"/>
    <w:rsid w:val="00CC5727"/>
    <w:rsid w:val="00CC711E"/>
    <w:rsid w:val="00CC730B"/>
    <w:rsid w:val="00CC7A61"/>
    <w:rsid w:val="00CD0023"/>
    <w:rsid w:val="00CD0831"/>
    <w:rsid w:val="00CD0E13"/>
    <w:rsid w:val="00CD148E"/>
    <w:rsid w:val="00CD33DF"/>
    <w:rsid w:val="00CD51B4"/>
    <w:rsid w:val="00CD5BDD"/>
    <w:rsid w:val="00CD64B6"/>
    <w:rsid w:val="00CE5E7A"/>
    <w:rsid w:val="00CF37F9"/>
    <w:rsid w:val="00CF49A0"/>
    <w:rsid w:val="00CF5039"/>
    <w:rsid w:val="00CF621F"/>
    <w:rsid w:val="00D014E9"/>
    <w:rsid w:val="00D056EB"/>
    <w:rsid w:val="00D05BCD"/>
    <w:rsid w:val="00D108C3"/>
    <w:rsid w:val="00D1280C"/>
    <w:rsid w:val="00D1371B"/>
    <w:rsid w:val="00D2486E"/>
    <w:rsid w:val="00D260E8"/>
    <w:rsid w:val="00D270D9"/>
    <w:rsid w:val="00D30766"/>
    <w:rsid w:val="00D31F76"/>
    <w:rsid w:val="00D32019"/>
    <w:rsid w:val="00D33968"/>
    <w:rsid w:val="00D351CE"/>
    <w:rsid w:val="00D40BC7"/>
    <w:rsid w:val="00D44425"/>
    <w:rsid w:val="00D44890"/>
    <w:rsid w:val="00D46697"/>
    <w:rsid w:val="00D46734"/>
    <w:rsid w:val="00D46CEF"/>
    <w:rsid w:val="00D46FA8"/>
    <w:rsid w:val="00D47420"/>
    <w:rsid w:val="00D4755D"/>
    <w:rsid w:val="00D500D1"/>
    <w:rsid w:val="00D51A07"/>
    <w:rsid w:val="00D52440"/>
    <w:rsid w:val="00D5451E"/>
    <w:rsid w:val="00D55E67"/>
    <w:rsid w:val="00D55ECF"/>
    <w:rsid w:val="00D560C5"/>
    <w:rsid w:val="00D6355A"/>
    <w:rsid w:val="00D6448E"/>
    <w:rsid w:val="00D64A93"/>
    <w:rsid w:val="00D65CFB"/>
    <w:rsid w:val="00D70BFD"/>
    <w:rsid w:val="00D74252"/>
    <w:rsid w:val="00D7531F"/>
    <w:rsid w:val="00D76993"/>
    <w:rsid w:val="00D805B6"/>
    <w:rsid w:val="00D832F2"/>
    <w:rsid w:val="00D83F10"/>
    <w:rsid w:val="00D844A7"/>
    <w:rsid w:val="00D849AA"/>
    <w:rsid w:val="00D85A55"/>
    <w:rsid w:val="00D85FC7"/>
    <w:rsid w:val="00D86598"/>
    <w:rsid w:val="00D86900"/>
    <w:rsid w:val="00D9039C"/>
    <w:rsid w:val="00D91E5B"/>
    <w:rsid w:val="00D92E76"/>
    <w:rsid w:val="00D94FF8"/>
    <w:rsid w:val="00D9639B"/>
    <w:rsid w:val="00D97C65"/>
    <w:rsid w:val="00DA2205"/>
    <w:rsid w:val="00DB2F75"/>
    <w:rsid w:val="00DB6306"/>
    <w:rsid w:val="00DB6A49"/>
    <w:rsid w:val="00DB7DAB"/>
    <w:rsid w:val="00DC03EF"/>
    <w:rsid w:val="00DC2F47"/>
    <w:rsid w:val="00DC334D"/>
    <w:rsid w:val="00DC4430"/>
    <w:rsid w:val="00DC4F29"/>
    <w:rsid w:val="00DC543F"/>
    <w:rsid w:val="00DC55DC"/>
    <w:rsid w:val="00DD430F"/>
    <w:rsid w:val="00DD54C6"/>
    <w:rsid w:val="00DD687D"/>
    <w:rsid w:val="00DD7642"/>
    <w:rsid w:val="00DE1E8F"/>
    <w:rsid w:val="00DE201B"/>
    <w:rsid w:val="00DE6681"/>
    <w:rsid w:val="00DE6FB7"/>
    <w:rsid w:val="00DF0BC2"/>
    <w:rsid w:val="00DF1422"/>
    <w:rsid w:val="00DF1A53"/>
    <w:rsid w:val="00DF1E9A"/>
    <w:rsid w:val="00DF6A6D"/>
    <w:rsid w:val="00E01C9F"/>
    <w:rsid w:val="00E038C4"/>
    <w:rsid w:val="00E0521A"/>
    <w:rsid w:val="00E05555"/>
    <w:rsid w:val="00E101FA"/>
    <w:rsid w:val="00E12376"/>
    <w:rsid w:val="00E144E9"/>
    <w:rsid w:val="00E1475B"/>
    <w:rsid w:val="00E147EB"/>
    <w:rsid w:val="00E1597C"/>
    <w:rsid w:val="00E15A01"/>
    <w:rsid w:val="00E1636A"/>
    <w:rsid w:val="00E16D3C"/>
    <w:rsid w:val="00E227E0"/>
    <w:rsid w:val="00E25EC0"/>
    <w:rsid w:val="00E26F2B"/>
    <w:rsid w:val="00E32643"/>
    <w:rsid w:val="00E32C7D"/>
    <w:rsid w:val="00E33B2C"/>
    <w:rsid w:val="00E34626"/>
    <w:rsid w:val="00E374B5"/>
    <w:rsid w:val="00E470F2"/>
    <w:rsid w:val="00E473AE"/>
    <w:rsid w:val="00E57DD5"/>
    <w:rsid w:val="00E60F23"/>
    <w:rsid w:val="00E61931"/>
    <w:rsid w:val="00E64E2C"/>
    <w:rsid w:val="00E660F6"/>
    <w:rsid w:val="00E701F7"/>
    <w:rsid w:val="00E7092B"/>
    <w:rsid w:val="00E7387E"/>
    <w:rsid w:val="00E73CCD"/>
    <w:rsid w:val="00E7528E"/>
    <w:rsid w:val="00E77207"/>
    <w:rsid w:val="00E81C95"/>
    <w:rsid w:val="00E84EAD"/>
    <w:rsid w:val="00E90DDC"/>
    <w:rsid w:val="00E90FF1"/>
    <w:rsid w:val="00E91EA6"/>
    <w:rsid w:val="00E92B9F"/>
    <w:rsid w:val="00E9388C"/>
    <w:rsid w:val="00E94C46"/>
    <w:rsid w:val="00E94C9D"/>
    <w:rsid w:val="00E9597B"/>
    <w:rsid w:val="00E96CEE"/>
    <w:rsid w:val="00E97890"/>
    <w:rsid w:val="00EA061E"/>
    <w:rsid w:val="00EA4DC2"/>
    <w:rsid w:val="00EA693B"/>
    <w:rsid w:val="00EA7265"/>
    <w:rsid w:val="00EB037E"/>
    <w:rsid w:val="00EB03B5"/>
    <w:rsid w:val="00EB0FF7"/>
    <w:rsid w:val="00EB1943"/>
    <w:rsid w:val="00EB283E"/>
    <w:rsid w:val="00EB3C49"/>
    <w:rsid w:val="00EB3D62"/>
    <w:rsid w:val="00EB5D89"/>
    <w:rsid w:val="00EB63D6"/>
    <w:rsid w:val="00EC166E"/>
    <w:rsid w:val="00EC1FA5"/>
    <w:rsid w:val="00EC2B66"/>
    <w:rsid w:val="00EC4D2D"/>
    <w:rsid w:val="00ED3B26"/>
    <w:rsid w:val="00EE0AFA"/>
    <w:rsid w:val="00EE16EC"/>
    <w:rsid w:val="00EE2722"/>
    <w:rsid w:val="00EE3AAC"/>
    <w:rsid w:val="00EE416B"/>
    <w:rsid w:val="00EE44AD"/>
    <w:rsid w:val="00EE4AE2"/>
    <w:rsid w:val="00EE5FCD"/>
    <w:rsid w:val="00EE6FFD"/>
    <w:rsid w:val="00EF0A8A"/>
    <w:rsid w:val="00EF10B7"/>
    <w:rsid w:val="00EF10E3"/>
    <w:rsid w:val="00EF301D"/>
    <w:rsid w:val="00EF5241"/>
    <w:rsid w:val="00EF6A22"/>
    <w:rsid w:val="00F02752"/>
    <w:rsid w:val="00F03481"/>
    <w:rsid w:val="00F04700"/>
    <w:rsid w:val="00F05308"/>
    <w:rsid w:val="00F14A48"/>
    <w:rsid w:val="00F15605"/>
    <w:rsid w:val="00F17413"/>
    <w:rsid w:val="00F17764"/>
    <w:rsid w:val="00F23151"/>
    <w:rsid w:val="00F2339A"/>
    <w:rsid w:val="00F23704"/>
    <w:rsid w:val="00F26663"/>
    <w:rsid w:val="00F26853"/>
    <w:rsid w:val="00F27376"/>
    <w:rsid w:val="00F30EB4"/>
    <w:rsid w:val="00F30F1F"/>
    <w:rsid w:val="00F33516"/>
    <w:rsid w:val="00F33A85"/>
    <w:rsid w:val="00F34514"/>
    <w:rsid w:val="00F4042E"/>
    <w:rsid w:val="00F42418"/>
    <w:rsid w:val="00F4447D"/>
    <w:rsid w:val="00F447CC"/>
    <w:rsid w:val="00F454D8"/>
    <w:rsid w:val="00F47C02"/>
    <w:rsid w:val="00F504E3"/>
    <w:rsid w:val="00F51F35"/>
    <w:rsid w:val="00F52758"/>
    <w:rsid w:val="00F53493"/>
    <w:rsid w:val="00F53648"/>
    <w:rsid w:val="00F54533"/>
    <w:rsid w:val="00F62778"/>
    <w:rsid w:val="00F64C70"/>
    <w:rsid w:val="00F6553C"/>
    <w:rsid w:val="00F715AE"/>
    <w:rsid w:val="00F7203D"/>
    <w:rsid w:val="00F73093"/>
    <w:rsid w:val="00F75DB4"/>
    <w:rsid w:val="00F77A7E"/>
    <w:rsid w:val="00F85168"/>
    <w:rsid w:val="00F878A7"/>
    <w:rsid w:val="00F879EA"/>
    <w:rsid w:val="00F91296"/>
    <w:rsid w:val="00F915AA"/>
    <w:rsid w:val="00F91E92"/>
    <w:rsid w:val="00F92007"/>
    <w:rsid w:val="00FA30C7"/>
    <w:rsid w:val="00FA5149"/>
    <w:rsid w:val="00FB0644"/>
    <w:rsid w:val="00FB1280"/>
    <w:rsid w:val="00FB37FD"/>
    <w:rsid w:val="00FB4D5A"/>
    <w:rsid w:val="00FB5264"/>
    <w:rsid w:val="00FC1E60"/>
    <w:rsid w:val="00FC4126"/>
    <w:rsid w:val="00FD0C99"/>
    <w:rsid w:val="00FD296A"/>
    <w:rsid w:val="00FD2A9F"/>
    <w:rsid w:val="00FD3F20"/>
    <w:rsid w:val="00FD49D8"/>
    <w:rsid w:val="00FD4BB3"/>
    <w:rsid w:val="00FD4CE6"/>
    <w:rsid w:val="00FD4E0F"/>
    <w:rsid w:val="00FD6655"/>
    <w:rsid w:val="00FE06FF"/>
    <w:rsid w:val="00FE26CA"/>
    <w:rsid w:val="00FE3EDC"/>
    <w:rsid w:val="00FE4BFD"/>
    <w:rsid w:val="00FE6643"/>
    <w:rsid w:val="00FE79A6"/>
    <w:rsid w:val="00FF1BB1"/>
    <w:rsid w:val="00FF3C07"/>
    <w:rsid w:val="00FF49A9"/>
    <w:rsid w:val="00FF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712592F0"/>
  <w15:docId w15:val="{776B8E55-D70D-4E58-A53E-2D7F758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5559A"/>
    <w:pPr>
      <w:widowControl w:val="0"/>
      <w:spacing w:after="0" w:line="240" w:lineRule="auto"/>
    </w:pPr>
    <w:rPr>
      <w:rFonts w:ascii="Times New Roman" w:eastAsia="Times New Roman" w:hAnsi="Times New Roman" w:cs="Times New Roman"/>
      <w:lang w:eastAsia="en-IN"/>
    </w:rPr>
  </w:style>
  <w:style w:type="paragraph" w:styleId="Heading1">
    <w:name w:val="heading 1"/>
    <w:basedOn w:val="Normal"/>
    <w:next w:val="Normal"/>
    <w:link w:val="Heading1Char"/>
    <w:uiPriority w:val="9"/>
    <w:qFormat/>
    <w:rsid w:val="009359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25559A"/>
    <w:pPr>
      <w:ind w:left="85" w:right="1042"/>
      <w:jc w:val="center"/>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559A"/>
    <w:rPr>
      <w:rFonts w:ascii="Times New Roman" w:eastAsia="Times New Roman" w:hAnsi="Times New Roman" w:cs="Times New Roman"/>
      <w:b/>
      <w:i/>
      <w:sz w:val="20"/>
      <w:szCs w:val="20"/>
      <w:lang w:eastAsia="en-IN"/>
    </w:rPr>
  </w:style>
  <w:style w:type="character" w:customStyle="1" w:styleId="Heading1Char">
    <w:name w:val="Heading 1 Char"/>
    <w:basedOn w:val="DefaultParagraphFont"/>
    <w:link w:val="Heading1"/>
    <w:uiPriority w:val="9"/>
    <w:rsid w:val="00935971"/>
    <w:rPr>
      <w:rFonts w:asciiTheme="majorHAnsi" w:eastAsiaTheme="majorEastAsia" w:hAnsiTheme="majorHAnsi" w:cstheme="majorBidi"/>
      <w:b/>
      <w:bCs/>
      <w:color w:val="365F91" w:themeColor="accent1" w:themeShade="BF"/>
      <w:sz w:val="28"/>
      <w:szCs w:val="28"/>
      <w:lang w:eastAsia="en-IN"/>
    </w:rPr>
  </w:style>
  <w:style w:type="paragraph" w:styleId="FootnoteText">
    <w:name w:val="footnote text"/>
    <w:basedOn w:val="Normal"/>
    <w:link w:val="FootnoteTextChar"/>
    <w:uiPriority w:val="99"/>
    <w:unhideWhenUsed/>
    <w:rsid w:val="00935971"/>
    <w:rPr>
      <w:sz w:val="20"/>
      <w:szCs w:val="20"/>
    </w:rPr>
  </w:style>
  <w:style w:type="character" w:customStyle="1" w:styleId="FootnoteTextChar">
    <w:name w:val="Footnote Text Char"/>
    <w:basedOn w:val="DefaultParagraphFont"/>
    <w:link w:val="FootnoteText"/>
    <w:uiPriority w:val="99"/>
    <w:rsid w:val="00935971"/>
    <w:rPr>
      <w:rFonts w:ascii="Times New Roman" w:eastAsia="Times New Roman" w:hAnsi="Times New Roman" w:cs="Times New Roman"/>
      <w:sz w:val="20"/>
      <w:szCs w:val="20"/>
      <w:lang w:eastAsia="en-IN"/>
    </w:rPr>
  </w:style>
  <w:style w:type="character" w:styleId="FootnoteReference">
    <w:name w:val="footnote reference"/>
    <w:basedOn w:val="DefaultParagraphFont"/>
    <w:uiPriority w:val="99"/>
    <w:semiHidden/>
    <w:unhideWhenUsed/>
    <w:rsid w:val="00935971"/>
    <w:rPr>
      <w:vertAlign w:val="superscript"/>
    </w:rPr>
  </w:style>
  <w:style w:type="paragraph" w:styleId="BalloonText">
    <w:name w:val="Balloon Text"/>
    <w:basedOn w:val="Normal"/>
    <w:link w:val="BalloonTextChar"/>
    <w:uiPriority w:val="99"/>
    <w:semiHidden/>
    <w:unhideWhenUsed/>
    <w:rsid w:val="007A6641"/>
    <w:rPr>
      <w:rFonts w:ascii="Tahoma" w:hAnsi="Tahoma" w:cs="Tahoma"/>
      <w:sz w:val="16"/>
      <w:szCs w:val="16"/>
    </w:rPr>
  </w:style>
  <w:style w:type="character" w:customStyle="1" w:styleId="BalloonTextChar">
    <w:name w:val="Balloon Text Char"/>
    <w:basedOn w:val="DefaultParagraphFont"/>
    <w:link w:val="BalloonText"/>
    <w:uiPriority w:val="99"/>
    <w:semiHidden/>
    <w:rsid w:val="007A6641"/>
    <w:rPr>
      <w:rFonts w:ascii="Tahoma" w:eastAsia="Times New Roman" w:hAnsi="Tahoma" w:cs="Tahoma"/>
      <w:sz w:val="16"/>
      <w:szCs w:val="16"/>
      <w:lang w:eastAsia="en-IN"/>
    </w:rPr>
  </w:style>
  <w:style w:type="paragraph" w:styleId="ListParagraph">
    <w:name w:val="List Paragraph"/>
    <w:basedOn w:val="Normal"/>
    <w:uiPriority w:val="34"/>
    <w:qFormat/>
    <w:rsid w:val="00913191"/>
    <w:pPr>
      <w:ind w:left="720"/>
      <w:contextualSpacing/>
    </w:pPr>
  </w:style>
  <w:style w:type="character" w:styleId="Hyperlink">
    <w:name w:val="Hyperlink"/>
    <w:basedOn w:val="DefaultParagraphFont"/>
    <w:uiPriority w:val="99"/>
    <w:unhideWhenUsed/>
    <w:rsid w:val="00267E6C"/>
    <w:rPr>
      <w:color w:val="0000FF"/>
      <w:u w:val="single"/>
    </w:rPr>
  </w:style>
  <w:style w:type="paragraph" w:customStyle="1" w:styleId="noindent">
    <w:name w:val="noindent"/>
    <w:basedOn w:val="Normal"/>
    <w:rsid w:val="00267E6C"/>
    <w:pPr>
      <w:widowControl/>
      <w:spacing w:before="100" w:beforeAutospacing="1" w:after="100" w:afterAutospacing="1"/>
    </w:pPr>
    <w:rPr>
      <w:sz w:val="24"/>
      <w:szCs w:val="24"/>
      <w:lang w:val="en-IN"/>
    </w:rPr>
  </w:style>
  <w:style w:type="character" w:styleId="EndnoteReference">
    <w:name w:val="endnote reference"/>
    <w:basedOn w:val="DefaultParagraphFont"/>
    <w:uiPriority w:val="99"/>
    <w:semiHidden/>
    <w:unhideWhenUsed/>
    <w:rsid w:val="00380A21"/>
    <w:rPr>
      <w:vertAlign w:val="superscript"/>
    </w:rPr>
  </w:style>
  <w:style w:type="paragraph" w:styleId="EndnoteText">
    <w:name w:val="endnote text"/>
    <w:basedOn w:val="Normal"/>
    <w:link w:val="EndnoteTextChar"/>
    <w:uiPriority w:val="99"/>
    <w:unhideWhenUsed/>
    <w:rsid w:val="005E6A16"/>
    <w:pPr>
      <w:widowControl/>
      <w:spacing w:after="200" w:line="276" w:lineRule="auto"/>
    </w:pPr>
    <w:rPr>
      <w:rFonts w:ascii="Calibri" w:eastAsia="Calibri" w:hAnsi="Calibri"/>
      <w:sz w:val="20"/>
      <w:szCs w:val="20"/>
      <w:lang w:eastAsia="en-US"/>
    </w:rPr>
  </w:style>
  <w:style w:type="character" w:customStyle="1" w:styleId="EndnoteTextChar">
    <w:name w:val="Endnote Text Char"/>
    <w:basedOn w:val="DefaultParagraphFont"/>
    <w:link w:val="EndnoteText"/>
    <w:uiPriority w:val="99"/>
    <w:rsid w:val="005E6A16"/>
    <w:rPr>
      <w:rFonts w:ascii="Calibri" w:eastAsia="Calibri" w:hAnsi="Calibri" w:cs="Times New Roman"/>
      <w:sz w:val="20"/>
      <w:szCs w:val="20"/>
    </w:rPr>
  </w:style>
  <w:style w:type="table" w:styleId="TableGrid">
    <w:name w:val="Table Grid"/>
    <w:basedOn w:val="TableNormal"/>
    <w:uiPriority w:val="59"/>
    <w:rsid w:val="00EF10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833F6F"/>
  </w:style>
  <w:style w:type="character" w:styleId="UnresolvedMention">
    <w:name w:val="Unresolved Mention"/>
    <w:basedOn w:val="DefaultParagraphFont"/>
    <w:uiPriority w:val="99"/>
    <w:semiHidden/>
    <w:unhideWhenUsed/>
    <w:rsid w:val="0078345D"/>
    <w:rPr>
      <w:color w:val="605E5C"/>
      <w:shd w:val="clear" w:color="auto" w:fill="E1DFDD"/>
    </w:rPr>
  </w:style>
  <w:style w:type="paragraph" w:styleId="Header">
    <w:name w:val="header"/>
    <w:basedOn w:val="Normal"/>
    <w:link w:val="HeaderChar"/>
    <w:uiPriority w:val="99"/>
    <w:unhideWhenUsed/>
    <w:rsid w:val="00B30C3F"/>
    <w:pPr>
      <w:tabs>
        <w:tab w:val="center" w:pos="4680"/>
        <w:tab w:val="right" w:pos="9360"/>
      </w:tabs>
    </w:pPr>
  </w:style>
  <w:style w:type="character" w:customStyle="1" w:styleId="HeaderChar">
    <w:name w:val="Header Char"/>
    <w:basedOn w:val="DefaultParagraphFont"/>
    <w:link w:val="Header"/>
    <w:uiPriority w:val="99"/>
    <w:rsid w:val="00B30C3F"/>
    <w:rPr>
      <w:rFonts w:ascii="Times New Roman" w:eastAsia="Times New Roman" w:hAnsi="Times New Roman" w:cs="Times New Roman"/>
      <w:lang w:eastAsia="en-IN"/>
    </w:rPr>
  </w:style>
  <w:style w:type="paragraph" w:styleId="Footer">
    <w:name w:val="footer"/>
    <w:basedOn w:val="Normal"/>
    <w:link w:val="FooterChar"/>
    <w:uiPriority w:val="99"/>
    <w:unhideWhenUsed/>
    <w:rsid w:val="00B30C3F"/>
    <w:pPr>
      <w:tabs>
        <w:tab w:val="center" w:pos="4680"/>
        <w:tab w:val="right" w:pos="9360"/>
      </w:tabs>
    </w:pPr>
  </w:style>
  <w:style w:type="character" w:customStyle="1" w:styleId="FooterChar">
    <w:name w:val="Footer Char"/>
    <w:basedOn w:val="DefaultParagraphFont"/>
    <w:link w:val="Footer"/>
    <w:uiPriority w:val="99"/>
    <w:rsid w:val="00B30C3F"/>
    <w:rPr>
      <w:rFonts w:ascii="Times New Roman" w:eastAsia="Times New Roman" w:hAnsi="Times New Roman" w:cs="Times New Roman"/>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vikaspedia.in/social-welfare/unorganized" TargetMode="External"/><Relationship Id="rId1" Type="http://schemas.openxmlformats.org/officeDocument/2006/relationships/hyperlink" Target="http://www.ilo/ilostat-files/Documents/Description-LFPR-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TLS%20&amp;%20M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426938164712498E-2"/>
          <c:y val="2.9651063817216387E-2"/>
          <c:w val="0.73193457632590664"/>
          <c:h val="0.71959071289091625"/>
        </c:manualLayout>
      </c:layout>
      <c:lineChart>
        <c:grouping val="standard"/>
        <c:varyColors val="0"/>
        <c:ser>
          <c:idx val="0"/>
          <c:order val="0"/>
          <c:tx>
            <c:strRef>
              <c:f>Sheet1!$A$1</c:f>
              <c:strCache>
                <c:ptCount val="1"/>
                <c:pt idx="0">
                  <c:v>Total Labour Supply(,000)(Actual data)</c:v>
                </c:pt>
              </c:strCache>
            </c:strRef>
          </c:tx>
          <c:marker>
            <c:symbol val="none"/>
          </c:marker>
          <c:cat>
            <c:numLit>
              <c:formatCode>General</c:formatCode>
              <c:ptCount val="2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numLit>
          </c:cat>
          <c:val>
            <c:numRef>
              <c:f>Sheet1!$A$2:$A$30</c:f>
              <c:numCache>
                <c:formatCode>General</c:formatCode>
                <c:ptCount val="29"/>
                <c:pt idx="0">
                  <c:v>4530</c:v>
                </c:pt>
                <c:pt idx="1">
                  <c:v>4892</c:v>
                </c:pt>
                <c:pt idx="2">
                  <c:v>5011</c:v>
                </c:pt>
                <c:pt idx="3">
                  <c:v>5269</c:v>
                </c:pt>
                <c:pt idx="4">
                  <c:v>5344</c:v>
                </c:pt>
                <c:pt idx="5">
                  <c:v>5530</c:v>
                </c:pt>
                <c:pt idx="6">
                  <c:v>5609</c:v>
                </c:pt>
                <c:pt idx="7">
                  <c:v>5799</c:v>
                </c:pt>
                <c:pt idx="8">
                  <c:v>5884</c:v>
                </c:pt>
                <c:pt idx="9">
                  <c:v>5968</c:v>
                </c:pt>
                <c:pt idx="10">
                  <c:v>6069</c:v>
                </c:pt>
                <c:pt idx="11">
                  <c:v>6312</c:v>
                </c:pt>
                <c:pt idx="12">
                  <c:v>7257</c:v>
                </c:pt>
                <c:pt idx="13">
                  <c:v>7933</c:v>
                </c:pt>
                <c:pt idx="14">
                  <c:v>8210</c:v>
                </c:pt>
                <c:pt idx="15">
                  <c:v>8530</c:v>
                </c:pt>
                <c:pt idx="16">
                  <c:v>8900</c:v>
                </c:pt>
                <c:pt idx="17">
                  <c:v>8950</c:v>
                </c:pt>
                <c:pt idx="18">
                  <c:v>9187</c:v>
                </c:pt>
                <c:pt idx="19">
                  <c:v>9237</c:v>
                </c:pt>
                <c:pt idx="20">
                  <c:v>9337</c:v>
                </c:pt>
                <c:pt idx="21">
                  <c:v>9821</c:v>
                </c:pt>
                <c:pt idx="22">
                  <c:v>10018</c:v>
                </c:pt>
                <c:pt idx="23">
                  <c:v>10055</c:v>
                </c:pt>
                <c:pt idx="24">
                  <c:v>10550</c:v>
                </c:pt>
                <c:pt idx="25">
                  <c:v>11128</c:v>
                </c:pt>
                <c:pt idx="26">
                  <c:v>11518</c:v>
                </c:pt>
                <c:pt idx="27">
                  <c:v>12112</c:v>
                </c:pt>
                <c:pt idx="28">
                  <c:v>12560</c:v>
                </c:pt>
              </c:numCache>
            </c:numRef>
          </c:val>
          <c:smooth val="0"/>
          <c:extLst>
            <c:ext xmlns:c16="http://schemas.microsoft.com/office/drawing/2014/chart" uri="{C3380CC4-5D6E-409C-BE32-E72D297353CC}">
              <c16:uniqueId val="{00000000-D4D3-4AD3-AE24-6672B5978DF0}"/>
            </c:ext>
          </c:extLst>
        </c:ser>
        <c:ser>
          <c:idx val="1"/>
          <c:order val="1"/>
          <c:tx>
            <c:strRef>
              <c:f>Sheet1!$B$1</c:f>
              <c:strCache>
                <c:ptCount val="1"/>
                <c:pt idx="0">
                  <c:v>9-Yearly Moving Average(,000)(Trend Line)</c:v>
                </c:pt>
              </c:strCache>
            </c:strRef>
          </c:tx>
          <c:marker>
            <c:symbol val="none"/>
          </c:marker>
          <c:cat>
            <c:numLit>
              <c:formatCode>General</c:formatCode>
              <c:ptCount val="29"/>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numLit>
          </c:cat>
          <c:val>
            <c:numRef>
              <c:f>Sheet1!$B$2:$B$30</c:f>
              <c:numCache>
                <c:formatCode>General</c:formatCode>
                <c:ptCount val="29"/>
                <c:pt idx="4">
                  <c:v>5318.67</c:v>
                </c:pt>
                <c:pt idx="5">
                  <c:v>5478.44</c:v>
                </c:pt>
                <c:pt idx="6">
                  <c:v>5609.2222222222244</c:v>
                </c:pt>
                <c:pt idx="7">
                  <c:v>5753.7777777777765</c:v>
                </c:pt>
                <c:pt idx="8">
                  <c:v>5974.6666666672054</c:v>
                </c:pt>
                <c:pt idx="9">
                  <c:v>6262.3333333333285</c:v>
                </c:pt>
                <c:pt idx="10">
                  <c:v>6560.111111111366</c:v>
                </c:pt>
                <c:pt idx="11">
                  <c:v>6884.6666666672054</c:v>
                </c:pt>
                <c:pt idx="12">
                  <c:v>7229.2222222222244</c:v>
                </c:pt>
                <c:pt idx="13">
                  <c:v>7569.8888888888887</c:v>
                </c:pt>
                <c:pt idx="14">
                  <c:v>7927.5555555557785</c:v>
                </c:pt>
                <c:pt idx="15">
                  <c:v>8279.5555555555511</c:v>
                </c:pt>
                <c:pt idx="16">
                  <c:v>8615.666666666235</c:v>
                </c:pt>
                <c:pt idx="17">
                  <c:v>8900.5555555555511</c:v>
                </c:pt>
                <c:pt idx="18">
                  <c:v>9132.2222222226192</c:v>
                </c:pt>
                <c:pt idx="19">
                  <c:v>9337.2222222226192</c:v>
                </c:pt>
                <c:pt idx="20">
                  <c:v>9561.666666666235</c:v>
                </c:pt>
                <c:pt idx="21">
                  <c:v>9809.2222222226192</c:v>
                </c:pt>
                <c:pt idx="22">
                  <c:v>10094.555555555555</c:v>
                </c:pt>
                <c:pt idx="23">
                  <c:v>10419.555555555555</c:v>
                </c:pt>
                <c:pt idx="24">
                  <c:v>10788.777777777777</c:v>
                </c:pt>
              </c:numCache>
            </c:numRef>
          </c:val>
          <c:smooth val="0"/>
          <c:extLst>
            <c:ext xmlns:c16="http://schemas.microsoft.com/office/drawing/2014/chart" uri="{C3380CC4-5D6E-409C-BE32-E72D297353CC}">
              <c16:uniqueId val="{00000001-D4D3-4AD3-AE24-6672B5978DF0}"/>
            </c:ext>
          </c:extLst>
        </c:ser>
        <c:dLbls>
          <c:showLegendKey val="0"/>
          <c:showVal val="0"/>
          <c:showCatName val="0"/>
          <c:showSerName val="0"/>
          <c:showPercent val="0"/>
          <c:showBubbleSize val="0"/>
        </c:dLbls>
        <c:smooth val="0"/>
        <c:axId val="157441024"/>
        <c:axId val="157451392"/>
      </c:lineChart>
      <c:catAx>
        <c:axId val="157441024"/>
        <c:scaling>
          <c:orientation val="minMax"/>
        </c:scaling>
        <c:delete val="0"/>
        <c:axPos val="b"/>
        <c:numFmt formatCode="General" sourceLinked="1"/>
        <c:majorTickMark val="out"/>
        <c:minorTickMark val="none"/>
        <c:tickLblPos val="nextTo"/>
        <c:txPr>
          <a:bodyPr/>
          <a:lstStyle/>
          <a:p>
            <a:pPr>
              <a:defRPr lang="en-US" sz="1100"/>
            </a:pPr>
            <a:endParaRPr lang="en-US"/>
          </a:p>
        </c:txPr>
        <c:crossAx val="157451392"/>
        <c:crosses val="autoZero"/>
        <c:auto val="1"/>
        <c:lblAlgn val="ctr"/>
        <c:lblOffset val="100"/>
        <c:noMultiLvlLbl val="0"/>
      </c:catAx>
      <c:valAx>
        <c:axId val="157451392"/>
        <c:scaling>
          <c:orientation val="minMax"/>
        </c:scaling>
        <c:delete val="0"/>
        <c:axPos val="l"/>
        <c:majorGridlines/>
        <c:numFmt formatCode="General" sourceLinked="1"/>
        <c:majorTickMark val="out"/>
        <c:minorTickMark val="none"/>
        <c:tickLblPos val="nextTo"/>
        <c:txPr>
          <a:bodyPr/>
          <a:lstStyle/>
          <a:p>
            <a:pPr>
              <a:defRPr lang="en-US" sz="1100"/>
            </a:pPr>
            <a:endParaRPr lang="en-US"/>
          </a:p>
        </c:txPr>
        <c:crossAx val="157441024"/>
        <c:crosses val="autoZero"/>
        <c:crossBetween val="between"/>
      </c:valAx>
    </c:plotArea>
    <c:legend>
      <c:legendPos val="r"/>
      <c:legendEntry>
        <c:idx val="0"/>
        <c:txPr>
          <a:bodyPr/>
          <a:lstStyle/>
          <a:p>
            <a:pPr>
              <a:defRPr sz="1000"/>
            </a:pPr>
            <a:endParaRPr lang="en-US"/>
          </a:p>
        </c:txPr>
      </c:legendEntry>
      <c:legendEntry>
        <c:idx val="1"/>
        <c:txPr>
          <a:bodyPr/>
          <a:lstStyle/>
          <a:p>
            <a:pPr>
              <a:defRPr sz="1000"/>
            </a:pPr>
            <a:endParaRPr lang="en-US"/>
          </a:p>
        </c:txPr>
      </c:legendEntry>
      <c:layout>
        <c:manualLayout>
          <c:xMode val="edge"/>
          <c:yMode val="edge"/>
          <c:x val="0.82707421998497554"/>
          <c:y val="0.10723649317492256"/>
          <c:w val="0.16010532787815052"/>
          <c:h val="0.84120899531681803"/>
        </c:manualLayout>
      </c:layout>
      <c:overlay val="0"/>
      <c:txPr>
        <a:bodyPr/>
        <a:lstStyle/>
        <a:p>
          <a:pPr>
            <a:defRPr lang="en-US" sz="1100"/>
          </a:pPr>
          <a:endParaRPr lang="en-US"/>
        </a:p>
      </c:txPr>
    </c:legend>
    <c:plotVisOnly val="1"/>
    <c:dispBlanksAs val="gap"/>
    <c:showDLblsOverMax val="0"/>
  </c:chart>
  <c:spPr>
    <a:ln w="12700"/>
  </c:spPr>
  <c:txPr>
    <a:bodyPr/>
    <a:lstStyle/>
    <a:p>
      <a:pPr>
        <a:defRPr sz="12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285363265762766E-2"/>
          <c:y val="5.1400554097404488E-2"/>
          <c:w val="0.80143763954503899"/>
          <c:h val="0.6806898127560348"/>
        </c:manualLayout>
      </c:layout>
      <c:lineChart>
        <c:grouping val="standard"/>
        <c:varyColors val="0"/>
        <c:ser>
          <c:idx val="0"/>
          <c:order val="0"/>
          <c:tx>
            <c:strRef>
              <c:f>Sheet1!$A$1</c:f>
              <c:strCache>
                <c:ptCount val="1"/>
                <c:pt idx="0">
                  <c:v>Size of CWs(,000)</c:v>
                </c:pt>
              </c:strCache>
            </c:strRef>
          </c:tx>
          <c:marker>
            <c:symbol val="none"/>
          </c:marker>
          <c:cat>
            <c:numLit>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numLit>
          </c:cat>
          <c:val>
            <c:numRef>
              <c:f>Sheet1!$A$2:$A$30</c:f>
              <c:numCache>
                <c:formatCode>General</c:formatCode>
                <c:ptCount val="29"/>
                <c:pt idx="0">
                  <c:v>185</c:v>
                </c:pt>
                <c:pt idx="1">
                  <c:v>194</c:v>
                </c:pt>
                <c:pt idx="2">
                  <c:v>208</c:v>
                </c:pt>
                <c:pt idx="3">
                  <c:v>220</c:v>
                </c:pt>
                <c:pt idx="4">
                  <c:v>233</c:v>
                </c:pt>
                <c:pt idx="5">
                  <c:v>246</c:v>
                </c:pt>
                <c:pt idx="6">
                  <c:v>259</c:v>
                </c:pt>
                <c:pt idx="7">
                  <c:v>272</c:v>
                </c:pt>
                <c:pt idx="8">
                  <c:v>284</c:v>
                </c:pt>
                <c:pt idx="9">
                  <c:v>323</c:v>
                </c:pt>
                <c:pt idx="10">
                  <c:v>360</c:v>
                </c:pt>
                <c:pt idx="11">
                  <c:v>396</c:v>
                </c:pt>
                <c:pt idx="12">
                  <c:v>432</c:v>
                </c:pt>
                <c:pt idx="13">
                  <c:v>467</c:v>
                </c:pt>
                <c:pt idx="14">
                  <c:v>504</c:v>
                </c:pt>
                <c:pt idx="15">
                  <c:v>544</c:v>
                </c:pt>
                <c:pt idx="16">
                  <c:v>580</c:v>
                </c:pt>
                <c:pt idx="17">
                  <c:v>616</c:v>
                </c:pt>
                <c:pt idx="18">
                  <c:v>662</c:v>
                </c:pt>
                <c:pt idx="19">
                  <c:v>676</c:v>
                </c:pt>
                <c:pt idx="20">
                  <c:v>700</c:v>
                </c:pt>
                <c:pt idx="21">
                  <c:v>723</c:v>
                </c:pt>
                <c:pt idx="22">
                  <c:v>744</c:v>
                </c:pt>
                <c:pt idx="23">
                  <c:v>766</c:v>
                </c:pt>
                <c:pt idx="24">
                  <c:v>793</c:v>
                </c:pt>
                <c:pt idx="25">
                  <c:v>800</c:v>
                </c:pt>
                <c:pt idx="26">
                  <c:v>866</c:v>
                </c:pt>
                <c:pt idx="27">
                  <c:v>935</c:v>
                </c:pt>
                <c:pt idx="28">
                  <c:v>1006</c:v>
                </c:pt>
              </c:numCache>
            </c:numRef>
          </c:val>
          <c:smooth val="0"/>
          <c:extLst>
            <c:ext xmlns:c16="http://schemas.microsoft.com/office/drawing/2014/chart" uri="{C3380CC4-5D6E-409C-BE32-E72D297353CC}">
              <c16:uniqueId val="{00000000-30A3-4D3F-8F15-F25A99DE4311}"/>
            </c:ext>
          </c:extLst>
        </c:ser>
        <c:ser>
          <c:idx val="1"/>
          <c:order val="1"/>
          <c:tx>
            <c:strRef>
              <c:f>Sheet1!$B$1</c:f>
              <c:strCache>
                <c:ptCount val="1"/>
                <c:pt idx="0">
                  <c:v>9-Yearly Moving Average(,000)</c:v>
                </c:pt>
              </c:strCache>
            </c:strRef>
          </c:tx>
          <c:marker>
            <c:symbol val="none"/>
          </c:marker>
          <c:cat>
            <c:numLit>
              <c:formatCode>General</c:formatCode>
              <c:ptCount val="28"/>
              <c:pt idx="0">
                <c:v>1991</c:v>
              </c:pt>
              <c:pt idx="1">
                <c:v>1992</c:v>
              </c:pt>
              <c:pt idx="2">
                <c:v>1993</c:v>
              </c:pt>
              <c:pt idx="3">
                <c:v>1994</c:v>
              </c:pt>
              <c:pt idx="4">
                <c:v>1995</c:v>
              </c:pt>
              <c:pt idx="5">
                <c:v>1996</c:v>
              </c:pt>
              <c:pt idx="6">
                <c:v>1997</c:v>
              </c:pt>
              <c:pt idx="7">
                <c:v>1998</c:v>
              </c:pt>
              <c:pt idx="8">
                <c:v>1999</c:v>
              </c:pt>
              <c:pt idx="9">
                <c:v>2000</c:v>
              </c:pt>
              <c:pt idx="10">
                <c:v>2001.2002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numLit>
          </c:cat>
          <c:val>
            <c:numRef>
              <c:f>Sheet1!$B$2:$B$30</c:f>
              <c:numCache>
                <c:formatCode>General</c:formatCode>
                <c:ptCount val="29"/>
                <c:pt idx="4">
                  <c:v>233.44</c:v>
                </c:pt>
                <c:pt idx="5">
                  <c:v>248.77777777777752</c:v>
                </c:pt>
                <c:pt idx="6">
                  <c:v>267.22222222222223</c:v>
                </c:pt>
                <c:pt idx="7">
                  <c:v>288.11111111111109</c:v>
                </c:pt>
                <c:pt idx="8">
                  <c:v>311.66666666666708</c:v>
                </c:pt>
                <c:pt idx="9">
                  <c:v>337.66666666666708</c:v>
                </c:pt>
                <c:pt idx="10">
                  <c:v>366.33333333333331</c:v>
                </c:pt>
                <c:pt idx="11">
                  <c:v>398</c:v>
                </c:pt>
                <c:pt idx="12">
                  <c:v>432.22222222222223</c:v>
                </c:pt>
                <c:pt idx="13">
                  <c:v>469.11111111111109</c:v>
                </c:pt>
                <c:pt idx="14">
                  <c:v>506.77777777777669</c:v>
                </c:pt>
                <c:pt idx="15">
                  <c:v>525.125</c:v>
                </c:pt>
                <c:pt idx="16">
                  <c:v>575.66666666666663</c:v>
                </c:pt>
                <c:pt idx="17">
                  <c:v>608</c:v>
                </c:pt>
                <c:pt idx="18">
                  <c:v>638.77777777782376</c:v>
                </c:pt>
                <c:pt idx="19">
                  <c:v>667.88888888888891</c:v>
                </c:pt>
                <c:pt idx="20">
                  <c:v>695.55555555555543</c:v>
                </c:pt>
                <c:pt idx="21">
                  <c:v>720</c:v>
                </c:pt>
                <c:pt idx="22">
                  <c:v>747.77777777782376</c:v>
                </c:pt>
                <c:pt idx="23">
                  <c:v>778.11111111111109</c:v>
                </c:pt>
                <c:pt idx="24">
                  <c:v>814.77777777782376</c:v>
                </c:pt>
              </c:numCache>
            </c:numRef>
          </c:val>
          <c:smooth val="0"/>
          <c:extLst>
            <c:ext xmlns:c16="http://schemas.microsoft.com/office/drawing/2014/chart" uri="{C3380CC4-5D6E-409C-BE32-E72D297353CC}">
              <c16:uniqueId val="{00000001-30A3-4D3F-8F15-F25A99DE4311}"/>
            </c:ext>
          </c:extLst>
        </c:ser>
        <c:dLbls>
          <c:showLegendKey val="0"/>
          <c:showVal val="0"/>
          <c:showCatName val="0"/>
          <c:showSerName val="0"/>
          <c:showPercent val="0"/>
          <c:showBubbleSize val="0"/>
        </c:dLbls>
        <c:smooth val="0"/>
        <c:axId val="157133824"/>
        <c:axId val="157147904"/>
      </c:lineChart>
      <c:catAx>
        <c:axId val="157133824"/>
        <c:scaling>
          <c:orientation val="minMax"/>
        </c:scaling>
        <c:delete val="0"/>
        <c:axPos val="b"/>
        <c:numFmt formatCode="General" sourceLinked="1"/>
        <c:majorTickMark val="out"/>
        <c:minorTickMark val="none"/>
        <c:tickLblPos val="nextTo"/>
        <c:txPr>
          <a:bodyPr/>
          <a:lstStyle/>
          <a:p>
            <a:pPr>
              <a:defRPr lang="en-US"/>
            </a:pPr>
            <a:endParaRPr lang="en-US"/>
          </a:p>
        </c:txPr>
        <c:crossAx val="157147904"/>
        <c:crosses val="autoZero"/>
        <c:auto val="1"/>
        <c:lblAlgn val="ctr"/>
        <c:lblOffset val="100"/>
        <c:noMultiLvlLbl val="0"/>
      </c:catAx>
      <c:valAx>
        <c:axId val="157147904"/>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57133824"/>
        <c:crosses val="autoZero"/>
        <c:crossBetween val="between"/>
      </c:valAx>
    </c:plotArea>
    <c:legend>
      <c:legendPos val="r"/>
      <c:layout>
        <c:manualLayout>
          <c:xMode val="edge"/>
          <c:yMode val="edge"/>
          <c:x val="0.86561139469900295"/>
          <c:y val="4.7928881311056139E-2"/>
          <c:w val="0.12223069011623672"/>
          <c:h val="0.9489075215227073"/>
        </c:manualLayout>
      </c:layout>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16265502334862"/>
          <c:y val="6.1701558382951056E-2"/>
          <c:w val="0.75273316181550631"/>
          <c:h val="0.72313641984974719"/>
        </c:manualLayout>
      </c:layout>
      <c:lineChart>
        <c:grouping val="standard"/>
        <c:varyColors val="0"/>
        <c:ser>
          <c:idx val="0"/>
          <c:order val="0"/>
          <c:tx>
            <c:strRef>
              <c:f>Sheet1!$B$1</c:f>
              <c:strCache>
                <c:ptCount val="1"/>
                <c:pt idx="0">
                  <c:v>Size of BCWs in Assam(,000)</c:v>
                </c:pt>
              </c:strCache>
            </c:strRef>
          </c:tx>
          <c:marker>
            <c:symbol val="none"/>
          </c:marker>
          <c:cat>
            <c:numLit>
              <c:formatCode>General</c:formatCode>
              <c:ptCount val="4"/>
              <c:pt idx="0">
                <c:v>2015</c:v>
              </c:pt>
              <c:pt idx="1">
                <c:v>2016</c:v>
              </c:pt>
              <c:pt idx="2">
                <c:v>2017</c:v>
              </c:pt>
              <c:pt idx="3">
                <c:v>2018</c:v>
              </c:pt>
            </c:numLit>
          </c:cat>
          <c:val>
            <c:numRef>
              <c:f>Sheet1!$B$2:$B$5</c:f>
              <c:numCache>
                <c:formatCode>General</c:formatCode>
                <c:ptCount val="4"/>
                <c:pt idx="0">
                  <c:v>468</c:v>
                </c:pt>
                <c:pt idx="1">
                  <c:v>494</c:v>
                </c:pt>
                <c:pt idx="2">
                  <c:v>528</c:v>
                </c:pt>
                <c:pt idx="3">
                  <c:v>552</c:v>
                </c:pt>
              </c:numCache>
            </c:numRef>
          </c:val>
          <c:smooth val="0"/>
          <c:extLst>
            <c:ext xmlns:c16="http://schemas.microsoft.com/office/drawing/2014/chart" uri="{C3380CC4-5D6E-409C-BE32-E72D297353CC}">
              <c16:uniqueId val="{00000000-59EF-47EF-8007-1C8A43B81151}"/>
            </c:ext>
          </c:extLst>
        </c:ser>
        <c:ser>
          <c:idx val="1"/>
          <c:order val="1"/>
          <c:tx>
            <c:strRef>
              <c:f>Sheet1!$C$1</c:f>
              <c:strCache>
                <c:ptCount val="1"/>
                <c:pt idx="0">
                  <c:v>3 yearly Moving average(,000)</c:v>
                </c:pt>
              </c:strCache>
            </c:strRef>
          </c:tx>
          <c:marker>
            <c:symbol val="none"/>
          </c:marker>
          <c:cat>
            <c:numLit>
              <c:formatCode>General</c:formatCode>
              <c:ptCount val="4"/>
              <c:pt idx="0">
                <c:v>2015</c:v>
              </c:pt>
              <c:pt idx="1">
                <c:v>2016</c:v>
              </c:pt>
              <c:pt idx="2">
                <c:v>2017</c:v>
              </c:pt>
              <c:pt idx="3">
                <c:v>2018</c:v>
              </c:pt>
            </c:numLit>
          </c:cat>
          <c:val>
            <c:numRef>
              <c:f>Sheet1!$C$2:$C$5</c:f>
              <c:numCache>
                <c:formatCode>General</c:formatCode>
                <c:ptCount val="4"/>
                <c:pt idx="1">
                  <c:v>496.67</c:v>
                </c:pt>
                <c:pt idx="2">
                  <c:v>524.66999999999996</c:v>
                </c:pt>
              </c:numCache>
            </c:numRef>
          </c:val>
          <c:smooth val="0"/>
          <c:extLst>
            <c:ext xmlns:c16="http://schemas.microsoft.com/office/drawing/2014/chart" uri="{C3380CC4-5D6E-409C-BE32-E72D297353CC}">
              <c16:uniqueId val="{00000001-59EF-47EF-8007-1C8A43B81151}"/>
            </c:ext>
          </c:extLst>
        </c:ser>
        <c:dLbls>
          <c:showLegendKey val="0"/>
          <c:showVal val="0"/>
          <c:showCatName val="0"/>
          <c:showSerName val="0"/>
          <c:showPercent val="0"/>
          <c:showBubbleSize val="0"/>
        </c:dLbls>
        <c:smooth val="0"/>
        <c:axId val="157422336"/>
        <c:axId val="157423872"/>
      </c:lineChart>
      <c:catAx>
        <c:axId val="157422336"/>
        <c:scaling>
          <c:orientation val="minMax"/>
        </c:scaling>
        <c:delete val="0"/>
        <c:axPos val="b"/>
        <c:numFmt formatCode="General" sourceLinked="1"/>
        <c:majorTickMark val="none"/>
        <c:minorTickMark val="none"/>
        <c:tickLblPos val="nextTo"/>
        <c:txPr>
          <a:bodyPr/>
          <a:lstStyle/>
          <a:p>
            <a:pPr>
              <a:defRPr lang="en-US"/>
            </a:pPr>
            <a:endParaRPr lang="en-US"/>
          </a:p>
        </c:txPr>
        <c:crossAx val="157423872"/>
        <c:crosses val="autoZero"/>
        <c:auto val="1"/>
        <c:lblAlgn val="ctr"/>
        <c:lblOffset val="100"/>
        <c:noMultiLvlLbl val="0"/>
      </c:catAx>
      <c:valAx>
        <c:axId val="157423872"/>
        <c:scaling>
          <c:orientation val="minMax"/>
        </c:scaling>
        <c:delete val="0"/>
        <c:axPos val="l"/>
        <c:majorGridlines/>
        <c:numFmt formatCode="General" sourceLinked="1"/>
        <c:majorTickMark val="none"/>
        <c:minorTickMark val="none"/>
        <c:tickLblPos val="nextTo"/>
        <c:txPr>
          <a:bodyPr/>
          <a:lstStyle/>
          <a:p>
            <a:pPr>
              <a:defRPr lang="en-US"/>
            </a:pPr>
            <a:endParaRPr lang="en-US"/>
          </a:p>
        </c:txPr>
        <c:crossAx val="157422336"/>
        <c:crosses val="autoZero"/>
        <c:crossBetween val="between"/>
      </c:valAx>
    </c:plotArea>
    <c:legend>
      <c:legendPos val="r"/>
      <c:layout>
        <c:manualLayout>
          <c:xMode val="edge"/>
          <c:yMode val="edge"/>
          <c:x val="0.83838399039710476"/>
          <c:y val="4.4697318111593484E-2"/>
          <c:w val="0.15880465453763706"/>
          <c:h val="0.85282411443184902"/>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587832631204254E-2"/>
          <c:y val="5.1400554097404488E-2"/>
          <c:w val="0.70687366761720005"/>
          <c:h val="0.79822506561679785"/>
        </c:manualLayout>
      </c:layout>
      <c:lineChart>
        <c:grouping val="standard"/>
        <c:varyColors val="0"/>
        <c:ser>
          <c:idx val="0"/>
          <c:order val="0"/>
          <c:tx>
            <c:strRef>
              <c:f>Sheet1!$A$1</c:f>
              <c:strCache>
                <c:ptCount val="1"/>
                <c:pt idx="0">
                  <c:v>Supply of BCWs </c:v>
                </c:pt>
              </c:strCache>
            </c:strRef>
          </c:tx>
          <c:cat>
            <c:numLit>
              <c:formatCode>General</c:formatCode>
              <c:ptCount val="7"/>
              <c:pt idx="0">
                <c:v>2013</c:v>
              </c:pt>
              <c:pt idx="1">
                <c:v>2014</c:v>
              </c:pt>
              <c:pt idx="2">
                <c:v>2015</c:v>
              </c:pt>
              <c:pt idx="3">
                <c:v>2016</c:v>
              </c:pt>
              <c:pt idx="4">
                <c:v>2017</c:v>
              </c:pt>
              <c:pt idx="5">
                <c:v>2018</c:v>
              </c:pt>
              <c:pt idx="6">
                <c:v>2019</c:v>
              </c:pt>
            </c:numLit>
          </c:cat>
          <c:val>
            <c:numRef>
              <c:f>Sheet1!$A$2:$A$8</c:f>
              <c:numCache>
                <c:formatCode>General</c:formatCode>
                <c:ptCount val="7"/>
                <c:pt idx="0">
                  <c:v>2666</c:v>
                </c:pt>
                <c:pt idx="1">
                  <c:v>2805</c:v>
                </c:pt>
                <c:pt idx="2">
                  <c:v>2954</c:v>
                </c:pt>
                <c:pt idx="3">
                  <c:v>3145</c:v>
                </c:pt>
                <c:pt idx="4">
                  <c:v>3307</c:v>
                </c:pt>
                <c:pt idx="5">
                  <c:v>3446</c:v>
                </c:pt>
                <c:pt idx="6">
                  <c:v>3593</c:v>
                </c:pt>
              </c:numCache>
            </c:numRef>
          </c:val>
          <c:smooth val="0"/>
          <c:extLst>
            <c:ext xmlns:c16="http://schemas.microsoft.com/office/drawing/2014/chart" uri="{C3380CC4-5D6E-409C-BE32-E72D297353CC}">
              <c16:uniqueId val="{00000000-7FE0-43E7-8F9C-F2F48D9FC098}"/>
            </c:ext>
          </c:extLst>
        </c:ser>
        <c:ser>
          <c:idx val="1"/>
          <c:order val="1"/>
          <c:tx>
            <c:strRef>
              <c:f>Sheet1!$B$1</c:f>
              <c:strCache>
                <c:ptCount val="1"/>
                <c:pt idx="0">
                  <c:v>Size of Employed workers</c:v>
                </c:pt>
              </c:strCache>
            </c:strRef>
          </c:tx>
          <c:cat>
            <c:numLit>
              <c:formatCode>General</c:formatCode>
              <c:ptCount val="7"/>
              <c:pt idx="0">
                <c:v>2013</c:v>
              </c:pt>
              <c:pt idx="1">
                <c:v>2014</c:v>
              </c:pt>
              <c:pt idx="2">
                <c:v>2015</c:v>
              </c:pt>
              <c:pt idx="3">
                <c:v>2016</c:v>
              </c:pt>
              <c:pt idx="4">
                <c:v>2017</c:v>
              </c:pt>
              <c:pt idx="5">
                <c:v>2018</c:v>
              </c:pt>
              <c:pt idx="6">
                <c:v>2019</c:v>
              </c:pt>
            </c:numLit>
          </c:cat>
          <c:val>
            <c:numRef>
              <c:f>Sheet1!$B$2:$B$8</c:f>
              <c:numCache>
                <c:formatCode>General</c:formatCode>
                <c:ptCount val="7"/>
                <c:pt idx="0">
                  <c:v>2438</c:v>
                </c:pt>
                <c:pt idx="1">
                  <c:v>2526</c:v>
                </c:pt>
                <c:pt idx="2">
                  <c:v>2611</c:v>
                </c:pt>
                <c:pt idx="3">
                  <c:v>2727</c:v>
                </c:pt>
                <c:pt idx="4">
                  <c:v>2847</c:v>
                </c:pt>
                <c:pt idx="5">
                  <c:v>2939</c:v>
                </c:pt>
                <c:pt idx="6">
                  <c:v>3015</c:v>
                </c:pt>
              </c:numCache>
            </c:numRef>
          </c:val>
          <c:smooth val="0"/>
          <c:extLst>
            <c:ext xmlns:c16="http://schemas.microsoft.com/office/drawing/2014/chart" uri="{C3380CC4-5D6E-409C-BE32-E72D297353CC}">
              <c16:uniqueId val="{00000001-7FE0-43E7-8F9C-F2F48D9FC098}"/>
            </c:ext>
          </c:extLst>
        </c:ser>
        <c:ser>
          <c:idx val="2"/>
          <c:order val="2"/>
          <c:tx>
            <c:strRef>
              <c:f>Sheet1!$C$1</c:f>
              <c:strCache>
                <c:ptCount val="1"/>
                <c:pt idx="0">
                  <c:v>Size of Casual orkers</c:v>
                </c:pt>
              </c:strCache>
            </c:strRef>
          </c:tx>
          <c:cat>
            <c:numLit>
              <c:formatCode>General</c:formatCode>
              <c:ptCount val="7"/>
              <c:pt idx="0">
                <c:v>2013</c:v>
              </c:pt>
              <c:pt idx="1">
                <c:v>2014</c:v>
              </c:pt>
              <c:pt idx="2">
                <c:v>2015</c:v>
              </c:pt>
              <c:pt idx="3">
                <c:v>2016</c:v>
              </c:pt>
              <c:pt idx="4">
                <c:v>2017</c:v>
              </c:pt>
              <c:pt idx="5">
                <c:v>2018</c:v>
              </c:pt>
              <c:pt idx="6">
                <c:v>2019</c:v>
              </c:pt>
            </c:numLit>
          </c:cat>
          <c:val>
            <c:numRef>
              <c:f>Sheet1!$C$2:$C$8</c:f>
              <c:numCache>
                <c:formatCode>General</c:formatCode>
                <c:ptCount val="7"/>
                <c:pt idx="0">
                  <c:v>1950</c:v>
                </c:pt>
                <c:pt idx="1">
                  <c:v>2046</c:v>
                </c:pt>
                <c:pt idx="2">
                  <c:v>2115</c:v>
                </c:pt>
                <c:pt idx="3">
                  <c:v>2223</c:v>
                </c:pt>
                <c:pt idx="4">
                  <c:v>2335</c:v>
                </c:pt>
                <c:pt idx="5">
                  <c:v>2409</c:v>
                </c:pt>
                <c:pt idx="6">
                  <c:v>2472</c:v>
                </c:pt>
              </c:numCache>
            </c:numRef>
          </c:val>
          <c:smooth val="0"/>
          <c:extLst>
            <c:ext xmlns:c16="http://schemas.microsoft.com/office/drawing/2014/chart" uri="{C3380CC4-5D6E-409C-BE32-E72D297353CC}">
              <c16:uniqueId val="{00000002-7FE0-43E7-8F9C-F2F48D9FC098}"/>
            </c:ext>
          </c:extLst>
        </c:ser>
        <c:ser>
          <c:idx val="3"/>
          <c:order val="3"/>
          <c:tx>
            <c:strRef>
              <c:f>Sheet1!$D$1</c:f>
              <c:strCache>
                <c:ptCount val="1"/>
                <c:pt idx="0">
                  <c:v>Size of Contract workers</c:v>
                </c:pt>
              </c:strCache>
            </c:strRef>
          </c:tx>
          <c:cat>
            <c:numLit>
              <c:formatCode>General</c:formatCode>
              <c:ptCount val="7"/>
              <c:pt idx="0">
                <c:v>2013</c:v>
              </c:pt>
              <c:pt idx="1">
                <c:v>2014</c:v>
              </c:pt>
              <c:pt idx="2">
                <c:v>2015</c:v>
              </c:pt>
              <c:pt idx="3">
                <c:v>2016</c:v>
              </c:pt>
              <c:pt idx="4">
                <c:v>2017</c:v>
              </c:pt>
              <c:pt idx="5">
                <c:v>2018</c:v>
              </c:pt>
              <c:pt idx="6">
                <c:v>2019</c:v>
              </c:pt>
            </c:numLit>
          </c:cat>
          <c:val>
            <c:numRef>
              <c:f>Sheet1!$D$2:$D$8</c:f>
              <c:numCache>
                <c:formatCode>General</c:formatCode>
                <c:ptCount val="7"/>
                <c:pt idx="0">
                  <c:v>488</c:v>
                </c:pt>
                <c:pt idx="1">
                  <c:v>480</c:v>
                </c:pt>
                <c:pt idx="2">
                  <c:v>496</c:v>
                </c:pt>
                <c:pt idx="3">
                  <c:v>504</c:v>
                </c:pt>
                <c:pt idx="4">
                  <c:v>512</c:v>
                </c:pt>
                <c:pt idx="5">
                  <c:v>530</c:v>
                </c:pt>
                <c:pt idx="6">
                  <c:v>543</c:v>
                </c:pt>
              </c:numCache>
            </c:numRef>
          </c:val>
          <c:smooth val="0"/>
          <c:extLst>
            <c:ext xmlns:c16="http://schemas.microsoft.com/office/drawing/2014/chart" uri="{C3380CC4-5D6E-409C-BE32-E72D297353CC}">
              <c16:uniqueId val="{00000003-7FE0-43E7-8F9C-F2F48D9FC098}"/>
            </c:ext>
          </c:extLst>
        </c:ser>
        <c:ser>
          <c:idx val="4"/>
          <c:order val="4"/>
          <c:tx>
            <c:strRef>
              <c:f>Sheet1!$E$1</c:f>
              <c:strCache>
                <c:ptCount val="1"/>
                <c:pt idx="0">
                  <c:v>Size of Unemployed workers</c:v>
                </c:pt>
              </c:strCache>
            </c:strRef>
          </c:tx>
          <c:cat>
            <c:numLit>
              <c:formatCode>General</c:formatCode>
              <c:ptCount val="7"/>
              <c:pt idx="0">
                <c:v>2013</c:v>
              </c:pt>
              <c:pt idx="1">
                <c:v>2014</c:v>
              </c:pt>
              <c:pt idx="2">
                <c:v>2015</c:v>
              </c:pt>
              <c:pt idx="3">
                <c:v>2016</c:v>
              </c:pt>
              <c:pt idx="4">
                <c:v>2017</c:v>
              </c:pt>
              <c:pt idx="5">
                <c:v>2018</c:v>
              </c:pt>
              <c:pt idx="6">
                <c:v>2019</c:v>
              </c:pt>
            </c:numLit>
          </c:cat>
          <c:val>
            <c:numRef>
              <c:f>Sheet1!$E$2:$E$8</c:f>
              <c:numCache>
                <c:formatCode>General</c:formatCode>
                <c:ptCount val="7"/>
                <c:pt idx="0">
                  <c:v>228</c:v>
                </c:pt>
                <c:pt idx="1">
                  <c:v>279</c:v>
                </c:pt>
                <c:pt idx="2">
                  <c:v>343</c:v>
                </c:pt>
                <c:pt idx="3">
                  <c:v>418</c:v>
                </c:pt>
                <c:pt idx="4">
                  <c:v>460</c:v>
                </c:pt>
                <c:pt idx="5">
                  <c:v>507</c:v>
                </c:pt>
                <c:pt idx="6">
                  <c:v>578</c:v>
                </c:pt>
              </c:numCache>
            </c:numRef>
          </c:val>
          <c:smooth val="0"/>
          <c:extLst>
            <c:ext xmlns:c16="http://schemas.microsoft.com/office/drawing/2014/chart" uri="{C3380CC4-5D6E-409C-BE32-E72D297353CC}">
              <c16:uniqueId val="{00000004-7FE0-43E7-8F9C-F2F48D9FC098}"/>
            </c:ext>
          </c:extLst>
        </c:ser>
        <c:dLbls>
          <c:showLegendKey val="0"/>
          <c:showVal val="0"/>
          <c:showCatName val="0"/>
          <c:showSerName val="0"/>
          <c:showPercent val="0"/>
          <c:showBubbleSize val="0"/>
        </c:dLbls>
        <c:marker val="1"/>
        <c:smooth val="0"/>
        <c:axId val="178135808"/>
        <c:axId val="178137344"/>
      </c:lineChart>
      <c:catAx>
        <c:axId val="178135808"/>
        <c:scaling>
          <c:orientation val="minMax"/>
        </c:scaling>
        <c:delete val="0"/>
        <c:axPos val="b"/>
        <c:numFmt formatCode="General" sourceLinked="1"/>
        <c:majorTickMark val="out"/>
        <c:minorTickMark val="none"/>
        <c:tickLblPos val="nextTo"/>
        <c:txPr>
          <a:bodyPr/>
          <a:lstStyle/>
          <a:p>
            <a:pPr>
              <a:defRPr lang="en-US"/>
            </a:pPr>
            <a:endParaRPr lang="en-US"/>
          </a:p>
        </c:txPr>
        <c:crossAx val="178137344"/>
        <c:crosses val="autoZero"/>
        <c:auto val="1"/>
        <c:lblAlgn val="ctr"/>
        <c:lblOffset val="100"/>
        <c:noMultiLvlLbl val="0"/>
      </c:catAx>
      <c:valAx>
        <c:axId val="178137344"/>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78135808"/>
        <c:crosses val="autoZero"/>
        <c:crossBetween val="between"/>
      </c:valAx>
    </c:plotArea>
    <c:legend>
      <c:legendPos val="r"/>
      <c:layout>
        <c:manualLayout>
          <c:xMode val="edge"/>
          <c:yMode val="edge"/>
          <c:x val="0.7815002483854947"/>
          <c:y val="2.8602270165868096E-2"/>
          <c:w val="0.20657724788872694"/>
          <c:h val="0.9446632077207977"/>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919538684975905E-2"/>
          <c:y val="7.4433143773694949E-2"/>
          <c:w val="0.90221749308363486"/>
          <c:h val="0.62802202665847373"/>
        </c:manualLayout>
      </c:layout>
      <c:lineChart>
        <c:grouping val="standard"/>
        <c:varyColors val="0"/>
        <c:ser>
          <c:idx val="0"/>
          <c:order val="0"/>
          <c:tx>
            <c:strRef>
              <c:f>Sheet1!$B$1</c:f>
              <c:strCache>
                <c:ptCount val="1"/>
                <c:pt idx="0">
                  <c:v>Supply of BCWs</c:v>
                </c:pt>
              </c:strCache>
            </c:strRef>
          </c:tx>
          <c:cat>
            <c:numLit>
              <c:formatCode>General</c:formatCode>
              <c:ptCount val="7"/>
              <c:pt idx="0">
                <c:v>2013</c:v>
              </c:pt>
              <c:pt idx="1">
                <c:v>2014</c:v>
              </c:pt>
              <c:pt idx="2">
                <c:v>2015</c:v>
              </c:pt>
              <c:pt idx="3">
                <c:v>2016</c:v>
              </c:pt>
              <c:pt idx="4">
                <c:v>2017</c:v>
              </c:pt>
              <c:pt idx="5">
                <c:v>2018</c:v>
              </c:pt>
              <c:pt idx="6">
                <c:v>2019</c:v>
              </c:pt>
            </c:numLit>
          </c:cat>
          <c:val>
            <c:numRef>
              <c:f>Sheet1!$B$2:$B$8</c:f>
              <c:numCache>
                <c:formatCode>General</c:formatCode>
                <c:ptCount val="7"/>
                <c:pt idx="0">
                  <c:v>2666</c:v>
                </c:pt>
                <c:pt idx="1">
                  <c:v>2805</c:v>
                </c:pt>
                <c:pt idx="2">
                  <c:v>2954</c:v>
                </c:pt>
                <c:pt idx="3">
                  <c:v>3145</c:v>
                </c:pt>
                <c:pt idx="4">
                  <c:v>3307</c:v>
                </c:pt>
                <c:pt idx="5">
                  <c:v>3446</c:v>
                </c:pt>
                <c:pt idx="6">
                  <c:v>3593</c:v>
                </c:pt>
              </c:numCache>
            </c:numRef>
          </c:val>
          <c:smooth val="0"/>
          <c:extLst>
            <c:ext xmlns:c16="http://schemas.microsoft.com/office/drawing/2014/chart" uri="{C3380CC4-5D6E-409C-BE32-E72D297353CC}">
              <c16:uniqueId val="{00000000-3647-44BB-A5A9-FE57C8B6566F}"/>
            </c:ext>
          </c:extLst>
        </c:ser>
        <c:ser>
          <c:idx val="1"/>
          <c:order val="1"/>
          <c:tx>
            <c:strRef>
              <c:f>Sheet1!$C$1</c:f>
              <c:strCache>
                <c:ptCount val="1"/>
                <c:pt idx="0">
                  <c:v>3-Yearly Moving Average</c:v>
                </c:pt>
              </c:strCache>
            </c:strRef>
          </c:tx>
          <c:cat>
            <c:numLit>
              <c:formatCode>General</c:formatCode>
              <c:ptCount val="7"/>
              <c:pt idx="0">
                <c:v>2013</c:v>
              </c:pt>
              <c:pt idx="1">
                <c:v>2014</c:v>
              </c:pt>
              <c:pt idx="2">
                <c:v>2015</c:v>
              </c:pt>
              <c:pt idx="3">
                <c:v>2016</c:v>
              </c:pt>
              <c:pt idx="4">
                <c:v>2017</c:v>
              </c:pt>
              <c:pt idx="5">
                <c:v>2018</c:v>
              </c:pt>
              <c:pt idx="6">
                <c:v>2019</c:v>
              </c:pt>
            </c:numLit>
          </c:cat>
          <c:val>
            <c:numRef>
              <c:f>Sheet1!$C$2:$C$8</c:f>
              <c:numCache>
                <c:formatCode>General</c:formatCode>
                <c:ptCount val="7"/>
                <c:pt idx="1">
                  <c:v>2808.3333333335972</c:v>
                </c:pt>
                <c:pt idx="2">
                  <c:v>2968</c:v>
                </c:pt>
                <c:pt idx="3">
                  <c:v>3135.3333333335972</c:v>
                </c:pt>
                <c:pt idx="4">
                  <c:v>3299.3333333335972</c:v>
                </c:pt>
                <c:pt idx="5">
                  <c:v>3448.6666666665988</c:v>
                </c:pt>
              </c:numCache>
            </c:numRef>
          </c:val>
          <c:smooth val="0"/>
          <c:extLst>
            <c:ext xmlns:c16="http://schemas.microsoft.com/office/drawing/2014/chart" uri="{C3380CC4-5D6E-409C-BE32-E72D297353CC}">
              <c16:uniqueId val="{00000001-3647-44BB-A5A9-FE57C8B6566F}"/>
            </c:ext>
          </c:extLst>
        </c:ser>
        <c:dLbls>
          <c:showLegendKey val="0"/>
          <c:showVal val="0"/>
          <c:showCatName val="0"/>
          <c:showSerName val="0"/>
          <c:showPercent val="0"/>
          <c:showBubbleSize val="0"/>
        </c:dLbls>
        <c:marker val="1"/>
        <c:smooth val="0"/>
        <c:axId val="50936064"/>
        <c:axId val="50941952"/>
      </c:lineChart>
      <c:catAx>
        <c:axId val="50936064"/>
        <c:scaling>
          <c:orientation val="minMax"/>
        </c:scaling>
        <c:delete val="0"/>
        <c:axPos val="b"/>
        <c:numFmt formatCode="General" sourceLinked="1"/>
        <c:majorTickMark val="none"/>
        <c:minorTickMark val="none"/>
        <c:tickLblPos val="nextTo"/>
        <c:txPr>
          <a:bodyPr/>
          <a:lstStyle/>
          <a:p>
            <a:pPr>
              <a:defRPr lang="en-US"/>
            </a:pPr>
            <a:endParaRPr lang="en-US"/>
          </a:p>
        </c:txPr>
        <c:crossAx val="50941952"/>
        <c:crosses val="autoZero"/>
        <c:auto val="1"/>
        <c:lblAlgn val="ctr"/>
        <c:lblOffset val="100"/>
        <c:noMultiLvlLbl val="0"/>
      </c:catAx>
      <c:valAx>
        <c:axId val="50941952"/>
        <c:scaling>
          <c:orientation val="minMax"/>
        </c:scaling>
        <c:delete val="0"/>
        <c:axPos val="l"/>
        <c:majorGridlines/>
        <c:numFmt formatCode="General" sourceLinked="1"/>
        <c:majorTickMark val="none"/>
        <c:minorTickMark val="none"/>
        <c:tickLblPos val="nextTo"/>
        <c:spPr>
          <a:ln w="9525">
            <a:noFill/>
          </a:ln>
        </c:spPr>
        <c:txPr>
          <a:bodyPr/>
          <a:lstStyle/>
          <a:p>
            <a:pPr>
              <a:defRPr lang="en-US"/>
            </a:pPr>
            <a:endParaRPr lang="en-US"/>
          </a:p>
        </c:txPr>
        <c:crossAx val="50936064"/>
        <c:crosses val="autoZero"/>
        <c:crossBetween val="between"/>
      </c:valAx>
    </c:plotArea>
    <c:legend>
      <c:legendPos val="b"/>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CID05</b:Tag>
    <b:SourceType>Report</b:SourceType>
    <b:Guid>{771F290B-E705-4829-B18C-89C8A65D5FAF}</b:Guid>
    <b:Author>
      <b:Author>
        <b:NameList>
          <b:Person>
            <b:Last>cidb</b:Last>
          </b:Person>
        </b:NameList>
      </b:Author>
    </b:Author>
    <b:Title>Labour-based methods and technologoies for employment-intensive construction,</b:Title>
    <b:Year>2005, pp.1-32</b:Year>
    <b:City>Brooklyn Square, South Africa</b:City>
    <b:Publisher>Expanded Public Work Programme(EPWP) &amp; Engineers Against Poverty(EAP)</b:Publisher>
    <b:Pages>3</b:Pages>
    <b:RefOrder>1</b:RefOrder>
  </b:Source>
  <b:Source>
    <b:Tag>KNV01</b:Tag>
    <b:SourceType>JournalArticle</b:SourceType>
    <b:Guid>{26478DF2-0C43-434C-B004-D4D3FA618781}</b:Guid>
    <b:Author>
      <b:Author>
        <b:NameList>
          <b:Person>
            <b:Last>Vaid</b:Last>
            <b:First>K</b:First>
            <b:Middle>N</b:Middle>
          </b:Person>
        </b:NameList>
      </b:Author>
      <b:Editor>
        <b:NameList>
          <b:Person>
            <b:Last>ILO</b:Last>
          </b:Person>
        </b:NameList>
      </b:Editor>
    </b:Author>
    <b:Year>2001, pp.9</b:Year>
    <b:Title>Contract Labour  in the Construction Industry in India</b:Title>
    <b:JournalName>Construction Industry in the 21st century: Its image, status and prospects</b:JournalName>
    <b:Pages>9</b:Pages>
    <b:City>Geneva</b:City>
    <b:Publisher>ILO</b:Publisher>
    <b:RefOrder>37</b:RefOrder>
  </b:Source>
  <b:Source>
    <b:Tag>Hem17</b:Tag>
    <b:SourceType>Misc</b:SourceType>
    <b:Guid>{D40BFBAE-8233-4490-B815-8243D92B9871}</b:Guid>
    <b:Author>
      <b:Author>
        <b:NameList>
          <b:Person>
            <b:Last>Narayan</b:Last>
            <b:First>Hema</b:First>
          </b:Person>
        </b:NameList>
      </b:Author>
    </b:Author>
    <b:Title>A study on occupational stress in the unorganized sector with special reference to construction workers in Kanchipuram district.</b:Title>
    <b:Year>2017, pp.155</b:Year>
    <b:PublicationTitle>A study on occupational stress in the unorganized sector with special reference to construction workers in Kanchipuram district</b:PublicationTitle>
    <b:Month>July</b:Month>
    <b:StateProvince>Tamil Nadu</b:StateProvince>
    <b:CountryRegion>India</b:CountryRegion>
    <b:Publisher>Department of Management Studies, Sri Chandrasekharendra Saraswathi Viswa Mahavidyalaya</b:Publisher>
    <b:RefOrder>2</b:RefOrder>
  </b:Source>
  <b:Source>
    <b:Tag>KPo16</b:Tag>
    <b:SourceType>JournalArticle</b:SourceType>
    <b:Guid>{04DAACD8-27A5-4BBD-877D-019B6A6E0E0C}</b:Guid>
    <b:Author>
      <b:Author>
        <b:NameList>
          <b:Person>
            <b:Last>Ponnaian</b:Last>
            <b:First>K</b:First>
          </b:Person>
        </b:NameList>
      </b:Author>
    </b:Author>
    <b:Title>A StuA study on Building Construction Workers in Kanyakumari district of Tamil Nadu, Ph.D Thesis</b:Title>
    <b:Year>2016, p.216</b:Year>
    <b:City>Channai</b:City>
    <b:Publisher>https://shodhganga.inflibnet.ac.in/handle/10603/242066</b:Publisher>
    <b:Pages>216</b:Pages>
    <b:Month>november</b:Month>
    <b:Volume>ii</b:Volume>
    <b:Issue>11</b:Issue>
    <b:JournalName>International Journal of Management and Economics</b:JournalName>
    <b:Department>Economics</b:Department>
    <b:Institution>Manonmaniam Sunndaranar Unversity</b:Institution>
    <b:RefOrder>3</b:RefOrder>
  </b:Source>
  <b:Source>
    <b:Tag>MDi13</b:Tag>
    <b:SourceType>JournalArticle</b:SourceType>
    <b:Guid>{52F58540-D30D-44A0-8120-CA087338BE6C}</b:Guid>
    <b:LCID>en-US</b:LCID>
    <b:Author>
      <b:Author>
        <b:NameList>
          <b:Person>
            <b:Last>Kumar</b:Last>
            <b:First>M.</b:First>
            <b:Middle>Dileep</b:Middle>
          </b:Person>
        </b:NameList>
      </b:Author>
    </b:Author>
    <b:Title>Inimitable issues of construction workers</b:Title>
    <b:JournalName>British Journal of Economics</b:JournalName>
    <b:Year>2013, pp.43-52</b:Year>
    <b:Volume>7(2)</b:Volume>
    <b:Month>April</b:Month>
    <b:Pages>43-52</b:Pages>
    <b:RefOrder>4</b:RefOrder>
  </b:Source>
  <b:Source>
    <b:Tag>Gau12</b:Tag>
    <b:SourceType>InternetSite</b:SourceType>
    <b:Guid>{AB042302-C15F-4B32-9DD4-6505EDFF5EB5}</b:Guid>
    <b:Author>
      <b:Author>
        <b:NameList>
          <b:Person>
            <b:Last>Sultana</b:Last>
            <b:First>Munima</b:First>
          </b:Person>
        </b:NameList>
      </b:Author>
    </b:Author>
    <b:Title>Occupational Hazards:Plight of Bangladeshi Construction workers</b:Title>
    <b:JournalName>Equal Time</b:JournalName>
    <b:Year>2012</b:Year>
    <b:Pages>?</b:Pages>
    <b:Publisher>?</b:Publisher>
    <b:Volume>?</b:Volume>
    <b:Issue>?</b:Issue>
    <b:InternetSiteTitle>https://www.equaltimes.org/occupation-hazardous-the-plight-</b:InternetSiteTitle>
    <b:Month>october</b:Month>
    <b:Day>29</b:Day>
    <b:YearAccessed>2015</b:YearAccessed>
    <b:MonthAccessed>May</b:MonthAccessed>
    <b:DayAccessed>10</b:DayAccessed>
    <b:RefOrder>6</b:RefOrder>
  </b:Source>
  <b:Source>
    <b:Tag>Soc02</b:Tag>
    <b:SourceType>Report</b:SourceType>
    <b:Guid>{F9EB7D5E-7EAB-4B22-8BBB-9C5D7A68BE58}</b:Guid>
    <b:Author>
      <b:Author>
        <b:NameList>
          <b:Person>
            <b:Last>Society</b:Last>
            <b:First>Deshkal</b:First>
          </b:Person>
        </b:NameList>
      </b:Author>
    </b:Author>
    <b:Title>Plight of construction labourers in North-East India</b:Title>
    <b:Year>2002, p.42</b:Year>
    <b:Publisher>Deshkal Publication</b:Publisher>
    <b:Pages>42</b:Pages>
    <b:RefOrder>7</b:RefOrder>
  </b:Source>
  <b:Source>
    <b:Tag>Mon</b:Tag>
    <b:SourceType>Misc</b:SourceType>
    <b:Guid>{4B388D77-108E-41FF-B428-5D84CF1A492A}</b:Guid>
    <b:Author>
      <b:Author>
        <b:NameList>
          <b:Person>
            <b:Last>Yadav</b:Last>
            <b:First>Monika</b:First>
          </b:Person>
        </b:NameList>
      </b:Author>
    </b:Author>
    <b:Title>Economic Conditions of House Construction Workers in Bhiwani District- An Analytical Study</b:Title>
    <b:PublicationTitle>Economic Conditions of House Construction Workers in Bhiwani District- An Analytical Study, Ph.D Thesis.</b:PublicationTitle>
    <b:Year>2015</b:Year>
    <b:City>Bhiwani</b:City>
    <b:StateProvince>Haryana</b:StateProvince>
    <b:CountryRegion>India</b:CountryRegion>
    <b:Publisher>Faculty of commerce &amp; management, Shri Jagdishprasad Jhabarmal Tibarewala University</b:Publisher>
    <b:Month>September</b:Month>
    <b:Day>18</b:Day>
    <b:RefOrder>8</b:RefOrder>
  </b:Source>
  <b:Source>
    <b:Tag>Placeholder1</b:Tag>
    <b:SourceType>JournalArticle</b:SourceType>
    <b:Guid>{3685188B-5906-4D7F-93AA-5042502A03A2}</b:Guid>
    <b:LCID>en-US</b:LCID>
    <b:Author>
      <b:Author>
        <b:Corporate>G Tiwary &amp; et.al</b:Corporate>
      </b:Author>
    </b:Author>
    <b:Title>Socio-econimc status of workers of building construction industry in West bengal,</b:Title>
    <b:JournalName>Indian Journal of Occupational &amp; Environmental Medicine</b:JournalName>
    <b:Year>2013, pp.66-71</b:Year>
    <b:Pages>66-71</b:Pages>
    <b:Volume>6</b:Volume>
    <b:RefOrder>9</b:RefOrder>
  </b:Source>
  <b:Source>
    <b:Tag>Placeholder6</b:Tag>
    <b:SourceType>JournalArticle</b:SourceType>
    <b:Guid>{CB4BAB05-8AB4-4BE3-B78C-C1C9129BD3D4}</b:Guid>
    <b:Author>
      <b:Author>
        <b:Corporate>Silvia,M ; Moronha,M</b:Corporate>
      </b:Author>
    </b:Author>
    <b:Title>Migrant construction workers in Goa</b:Title>
    <b:JournalName>Indian Journal of labour economics</b:JournalName>
    <b:Year>1998, pp.766-772</b:Year>
    <b:Pages>766-772</b:Pages>
    <b:Volume>41</b:Volume>
    <b:Issue>4</b:Issue>
    <b:RefOrder>10</b:RefOrder>
  </b:Source>
  <b:Source>
    <b:Tag>Placeholder3</b:Tag>
    <b:SourceType>Misc</b:SourceType>
    <b:Guid>{B0FE65B1-1EBD-4504-9C8F-48F2A0F02AAD}</b:Guid>
    <b:Author>
      <b:Author>
        <b:NameList>
          <b:Person>
            <b:Last>Ponnuswamy</b:Last>
            <b:First>B.</b:First>
          </b:Person>
        </b:NameList>
      </b:Author>
    </b:Author>
    <b:Title>Socio-economic conditions of workers in urban informal sector-A study of construction,</b:Title>
    <b:Year>2013, pp.228-246</b:Year>
    <b:InternetSiteTitle>Shodhganga@inflibnet.ac.in</b:InternetSiteTitle>
    <b:YearAccessed>2017</b:YearAccessed>
    <b:MonthAccessed>September</b:MonthAccessed>
    <b:DayAccessed>02</b:DayAccessed>
    <b:URL>https:hdl.handle.net/10603/92156</b:URL>
    <b:Month>February</b:Month>
    <b:Day>20</b:Day>
    <b:Publisher>Madras University</b:Publisher>
    <b:City>Madras</b:City>
    <b:Department>Economics</b:Department>
    <b:Institution>Madras University</b:Institution>
    <b:ThesisType>Ph.D Thesis</b:ThesisType>
    <b:PublicationTitle>unpublished Ph.D Thesis workers in Channnai city</b:PublicationTitle>
    <b:CountryRegion>India</b:CountryRegion>
    <b:StateProvince>chennai</b:StateProvince>
    <b:RefOrder>11</b:RefOrder>
  </b:Source>
  <b:Source>
    <b:Tag>Sin21</b:Tag>
    <b:SourceType>Misc</b:SourceType>
    <b:Guid>{E1C49B86-2B28-4E64-802F-AFC63613F867}</b:Guid>
    <b:Author>
      <b:Author>
        <b:NameList>
          <b:Person>
            <b:Last>Singla</b:Last>
            <b:First>Neha</b:First>
          </b:Person>
        </b:NameList>
      </b:Author>
    </b:Author>
    <b:Title>Socio economic conditions of construction workers in Punjab</b:Title>
    <b:PublicationTitle>Socio economic conditions of construction workers in Punjab</b:PublicationTitle>
    <b:Year>2015, pp.221</b:Year>
    <b:StateProvince>Punjab</b:StateProvince>
    <b:CountryRegion>India</b:CountryRegion>
    <b:Publisher>Department of Economics, Punjab University</b:Publisher>
    <b:RefOrder>12</b:RefOrder>
  </b:Source>
  <b:Source>
    <b:Tag>Placeholder7</b:Tag>
    <b:SourceType>JournalArticle</b:SourceType>
    <b:Guid>{BAE8647E-EF38-42A7-AC27-7F888D4ADD26}</b:Guid>
    <b:Author>
      <b:Author>
        <b:Corporate>Mir, Mohammad Sarwar; Hamid, Ruksana; Azhar, Mohammad; Mustafa malik, Ghulam</b:Corporate>
      </b:Author>
    </b:Author>
    <b:Title>Occupational Health problems of Construction workers in Valley of Kashmir</b:Title>
    <b:Year>2018, p.308</b:Year>
    <b:JournalName>Research in Medical &amp; Engineering science</b:JournalName>
    <b:Publisher>Crimson publication</b:Publisher>
    <b:Volume>4</b:Volume>
    <b:Issue>1</b:Issue>
    <b:Month>February</b:Month>
    <b:Day>27</b:Day>
    <b:Pages>308</b:Pages>
    <b:StandardNumber>ISSN 2576-8816</b:StandardNumber>
    <b:RefOrder>13</b:RefOrder>
  </b:Source>
  <b:Source>
    <b:Tag>Placeholder9</b:Tag>
    <b:SourceType>JournalArticle</b:SourceType>
    <b:Guid>{DB77A73D-930D-4D73-8588-0A5F371AD83E}</b:Guid>
    <b:Author>
      <b:Author>
        <b:NameList>
          <b:Person>
            <b:Last>Jayakrishnan</b:Last>
            <b:First>Thayyil</b:First>
          </b:Person>
          <b:Person>
            <b:Last>Thomas</b:Last>
            <b:First>B</b:First>
          </b:Person>
          <b:Person>
            <b:Last>Rao</b:Last>
            <b:First>B</b:First>
          </b:Person>
          <b:Person>
            <b:Last>George</b:Last>
            <b:First>Biju</b:First>
          </b:Person>
        </b:NameList>
      </b:Author>
    </b:Author>
    <b:Title>Occupational Health Problems of Construction Workers in India,</b:Title>
    <b:JournalName>International Journal of medicine and public health</b:JournalName>
    <b:Year>2013, pp.227-229</b:Year>
    <b:Volume>3</b:Volume>
    <b:Issue>4</b:Issue>
    <b:Pages>227-229</b:Pages>
    <b:Publisher>International Journal of medicine and public health.org</b:Publisher>
    <b:StandardNumber>10.4104/2230-8598.123415</b:StandardNumber>
    <b:RefOrder>14</b:RefOrder>
  </b:Source>
  <b:Source>
    <b:Tag>Placeholder10</b:Tag>
    <b:SourceType>JournalArticle</b:SourceType>
    <b:Guid>{DF184007-3359-4C15-9898-14822A6958A6}</b:Guid>
    <b:Author>
      <b:Author>
        <b:NameList>
          <b:Person>
            <b:Last>Thakurta</b:Last>
            <b:First>S</b:First>
            <b:Middle>N Guha.</b:Middle>
          </b:Person>
        </b:NameList>
      </b:Author>
    </b:Author>
    <b:Title>Wage determination of unorganized labourers in construction industry,</b:Title>
    <b:JournalName>Economic &amp; Political weekly</b:JournalName>
    <b:Year>1971, pp.2211-2215</b:Year>
    <b:Volume>6</b:Volume>
    <b:Issue>42-43</b:Issue>
    <b:Pages>2211-2215</b:Pages>
    <b:Month> 6 October</b:Month>
    <b:Publisher>Economic &amp; Political weekly.org</b:Publisher>
    <b:RefOrder>17</b:RefOrder>
  </b:Source>
  <b:Source>
    <b:Tag>San16</b:Tag>
    <b:SourceType>JournalArticle</b:SourceType>
    <b:Guid>{6EE5D04C-2F75-4317-84BB-51F70C2F2D7B}</b:Guid>
    <b:Author>
      <b:Author>
        <b:NameList>
          <b:Person>
            <b:Last>Achrya</b:Last>
            <b:First>Sanghamita</b:First>
          </b:Person>
          <b:Person>
            <b:Last>Sunita</b:Last>
            <b:First>Reddy</b:First>
          </b:Person>
        </b:NameList>
      </b:Author>
    </b:Author>
    <b:Title>Migrant women in construction works- Examining Issues and challenges in delhi</b:Title>
    <b:JournalName>Amity Journal of Healthcare Management</b:JournalName>
    <b:Year>2016, pp.1-20</b:Year>
    <b:Pages>1-20</b:Pages>
    <b:Publisher>Amity University</b:Publisher>
    <b:RefOrder>18</b:RefOrder>
  </b:Source>
  <b:Source>
    <b:Tag>Chi15</b:Tag>
    <b:SourceType>JournalArticle</b:SourceType>
    <b:Guid>{4908D7F0-6DBC-44E8-8831-DFA424ECD0D9}</b:Guid>
    <b:Author>
      <b:Author>
        <b:NameList>
          <b:Person>
            <b:Last>Chitra</b:Last>
            <b:First>N.</b:First>
          </b:Person>
        </b:NameList>
      </b:Author>
    </b:Author>
    <b:Title>A Descriptive Study on Prolems of Women Workers in Construction Industry at Tiruchirappali</b:Title>
    <b:JournalName>IOSR Journal of Humanities and Social Science(IOSR-JHSSR)</b:JournalName>
    <b:Year>2016, pp.46-52</b:Year>
    <b:Pages>46-52</b:Pages>
    <b:Publisher>www.shram.org/researchp</b:Publisher>
    <b:StandardNumber>url:20170710021222.pdf</b:StandardNumber>
    <b:Comments>www.shram.org/researchp</b:Comments>
    <b:RefOrder>21</b:RefOrder>
  </b:Source>
  <b:Source>
    <b:Tag>Kal13</b:Tag>
    <b:SourceType>JournalArticle</b:SourceType>
    <b:Guid>{9E66B073-43AE-4B7D-A608-9D32A939AAAC}</b:Guid>
    <b:Author>
      <b:Author>
        <b:Corporate>Devi,K;Kiran,U V.</b:Corporate>
      </b:Author>
    </b:Author>
    <b:Title>Status of Female Workers in Construction Industry in India: A Reveiw</b:Title>
    <b:JournalName>Journal of Humanities and Social Science</b:JournalName>
    <b:Year>2013, pp.27-30</b:Year>
    <b:Volume>14</b:Volume>
    <b:Pages>27-30</b:Pages>
    <b:Month>sept</b:Month>
    <b:Publisher>www.iosrjournals.org</b:Publisher>
    <b:Issue>4</b:Issue>
    <b:StandardNumber>ISSN.2279-0845</b:StandardNumber>
    <b:RefOrder>19</b:RefOrder>
  </b:Source>
  <b:Source>
    <b:Tag>Poo12</b:Tag>
    <b:SourceType>JournalArticle</b:SourceType>
    <b:Guid>{69629762-86CA-486B-A10C-590E486FCC4A}</b:Guid>
    <b:Author>
      <b:Author>
        <b:NameList>
          <b:Person>
            <b:Last>Poongodi</b:Last>
            <b:First>R</b:First>
          </b:Person>
        </b:NameList>
      </b:Author>
    </b:Author>
    <b:Title>Socio-economic Characteristics of Women Construction Workers in Tamil Nadu-Some Evidences</b:Title>
    <b:JournalName>Global Journal for Research Analysis(GRA)</b:JournalName>
    <b:Year>2012,  pp.9-11</b:Year>
    <b:Volume>I</b:Volume>
    <b:Issue>iv</b:Issue>
    <b:Pages>9-11</b:Pages>
    <b:Publisher>Education Center in Ahmedabad,  Gujrat</b:Publisher>
    <b:RefOrder>20</b:RefOrder>
  </b:Source>
  <b:Source>
    <b:Tag>Nah14</b:Tag>
    <b:SourceType>JournalArticle</b:SourceType>
    <b:Guid>{12003D8D-AFAE-468A-82B8-1FE3D01A8090}</b:Guid>
    <b:Author>
      <b:Author>
        <b:Corporate>Sultana, Nahid; Ferdousi,J;Shaidullah, Mdl</b:Corporate>
      </b:Author>
    </b:Author>
    <b:Title>Health Problems among Women Building Construction Workers,</b:Title>
    <b:JournalName>Journal of Bangladesh Society of Physiologist</b:JournalName>
    <b:Year>2014, pp.658-661</b:Year>
    <b:Pages>658-661</b:Pages>
    <b:Volume>9</b:Volume>
    <b:Publisher>Journal of Bangladesh Society of Physiologist</b:Publisher>
    <b:Issue>1</b:Issue>
    <b:StandardNumber>Doi.10.3329/jbsp.v9i1.22793</b:StandardNumber>
    <b:RefOrder>22</b:RefOrder>
  </b:Source>
  <b:Source>
    <b:Tag>SEW00</b:Tag>
    <b:SourceType>InternetSite</b:SourceType>
    <b:Guid>{BB0D3BB7-FCCF-48A9-960F-E1023D60E156}</b:Guid>
    <b:Author>
      <b:Author>
        <b:NameList>
          <b:Person>
            <b:Last>SEWA</b:Last>
            <b:First>Academy</b:First>
          </b:Person>
        </b:NameList>
      </b:Author>
    </b:Author>
    <b:Title>Labouring Brick by Brick:A Study of Construction Workers</b:Title>
    <b:Year>2000, pp.3-6</b:Year>
    <b:City>Ahmedabad</b:City>
    <b:Publisher>SEWA</b:Publisher>
    <b:InternetSiteTitle>https://ww.sewaresearch.org/</b:InternetSiteTitle>
    <b:YearAccessed>2014</b:YearAccessed>
    <b:MonthAccessed>April</b:MonthAccessed>
    <b:DayAccessed>12</b:DayAccessed>
    <b:Month>june</b:Month>
    <b:Day>5</b:Day>
    <b:ProductionCompany>SEWA Academy</b:ProductionCompany>
    <b:ShortTitle>Self Employed women Association</b:ShortTitle>
    <b:RefOrder>25</b:RefOrder>
  </b:Source>
  <b:Source>
    <b:Tag>Aru14</b:Tag>
    <b:SourceType>JournalArticle</b:SourceType>
    <b:Guid>{893F8E5F-5133-47AD-A2B9-B5AE03B98992}</b:Guid>
    <b:Author>
      <b:Author>
        <b:Corporate>Solanki, A; Zankharia, Kirit.</b:Corporate>
      </b:Author>
    </b:Author>
    <b:Title>Migrant construction workers in the unorganized sector of surat city: A socio-economic analysis.</b:Title>
    <b:JournalName>EPRA</b:JournalName>
    <b:Year>2014, pp.21-30</b:Year>
    <b:Volume>3</b:Volume>
    <b:Issue>I</b:Issue>
    <b:Pages>21-30</b:Pages>
    <b:Publisher>EPRA wisdom.com</b:Publisher>
    <b:StandardNumber>ID:212606447</b:StandardNumber>
    <b:RefOrder>26</b:RefOrder>
  </b:Source>
  <b:Source>
    <b:Tag>Placeholder11</b:Tag>
    <b:SourceType>JournalArticle</b:SourceType>
    <b:Guid>{1493DAF0-1921-48EF-827A-A8E000E8A52F}</b:Guid>
    <b:Author>
      <b:Author>
        <b:NameList>
          <b:Person>
            <b:Last>Kumar</b:Last>
            <b:First>B</b:First>
            <b:Middle>Ravi</b:Middle>
          </b:Person>
        </b:NameList>
      </b:Author>
    </b:Author>
    <b:Title>Gender Discrimination among construction workerswith reference to Vijayawada</b:Title>
    <b:JournalName>Journal of sociology and social work</b:JournalName>
    <b:Year>2013, pp.42-53</b:Year>
    <b:Pages>42-53</b:Pages>
    <b:Volume>1(1)</b:Volume>
    <b:RefOrder>27</b:RefOrder>
  </b:Source>
  <b:Source>
    <b:Tag>Placeholder12</b:Tag>
    <b:SourceType>JournalArticle</b:SourceType>
    <b:Guid>{08E1A2DC-9FBA-468A-A007-37E99334DD8A}</b:Guid>
    <b:Author>
      <b:Author>
        <b:Corporate>Wells,J ;Jason,A.</b:Corporate>
      </b:Author>
    </b:Author>
    <b:Title>Employment Relation and Organizing Strategies in Informal Construction Sector</b:Title>
    <b:JournalName>African Studies Quarterly</b:JournalName>
    <b:Year>2010, pp.107-124</b:Year>
    <b:Volume>II</b:Volume>
    <b:Issue>2&amp;3</b:Issue>
    <b:Pages>107-124</b:Pages>
    <b:Publisher>Spring</b:Publisher>
    <b:RefOrder>29</b:RefOrder>
  </b:Source>
  <b:Source>
    <b:Tag>SGA39</b:Tag>
    <b:SourceType>Report</b:SourceType>
    <b:Guid>{0F10BF71-6CB1-4B1B-84EE-454A8903B988}</b:Guid>
    <b:Author>
      <b:Author>
        <b:NameList>
          <b:Person>
            <b:Last>Allen</b:Last>
            <b:First>S</b:First>
            <b:Middle>G</b:Middle>
          </b:Person>
        </b:NameList>
      </b:Author>
    </b:Author>
    <b:Title>Declining Unionization in Constrution:The facts and the reasons</b:Title>
    <b:Year>1987, pp.1-39</b:Year>
    <b:Publisher>National Bureau of Economic Research</b:Publisher>
    <b:RefOrder>30</b:RefOrder>
  </b:Source>
  <b:Source>
    <b:Tag>Pra381</b:Tag>
    <b:SourceType>JournalArticle</b:SourceType>
    <b:Guid>{EB7AE210-04B4-4536-A8BF-C37A4CC99ACB}</b:Guid>
    <b:Author>
      <b:Author>
        <b:Corporate>Prasanna &amp; A. Bhardwaj</b:Corporate>
      </b:Author>
    </b:Author>
    <b:Title>Socio-economic conditions of Building Construction Workers in South India</b:Title>
    <b:JournalName>International Journal of Advance Computing and Electronics Technology(IJACET)</b:JournalName>
    <b:Year>2016,pp.34-38</b:Year>
    <b:Volume>3</b:Volume>
    <b:Issue>4</b:Issue>
    <b:RefOrder>28</b:RefOrder>
  </b:Source>
  <b:Source>
    <b:Tag>SVS16</b:Tag>
    <b:SourceType>JournalArticle</b:SourceType>
    <b:Guid>{74A82CAC-8FA9-4289-BC5B-F890F9BF5D1A}</b:Guid>
    <b:Author>
      <b:Author>
        <b:Corporate>S V S R Prasad&amp; K P Reghunath</b:Corporate>
      </b:Author>
    </b:Author>
    <b:Title>Evaluation of Safety Performance in a Construction Organization in India-A study</b:Title>
    <b:JournalName>ISRN Civil Engineering</b:JournalName>
    <b:Year>2011,pp.1-6</b:Year>
    <b:RefOrder>16</b:RefOrder>
  </b:Source>
  <b:Source>
    <b:Tag>PSL83</b:Tag>
    <b:SourceType>JournalArticle</b:SourceType>
    <b:Guid>{D9CCA658-3199-457C-990A-1840642E96F3}</b:Guid>
    <b:Author>
      <b:Author>
        <b:Corporate>P S Laad, B B Adsul&amp; R M Chaturbedi</b:Corporate>
      </b:Author>
    </b:Author>
    <b:Title>Prevalence of Substance Abuse among Construction Workers(ed)</b:Title>
    <b:JournalName>Paripex- Indian Journal of Research</b:JournalName>
    <b:Year>2013,pp.280-283</b:Year>
    <b:Volume>2</b:Volume>
    <b:Issue>3</b:Issue>
    <b:RefOrder>5</b:RefOrder>
  </b:Source>
  <b:Source>
    <b:Tag>MHC56</b:Tag>
    <b:SourceType>JournalArticle</b:SourceType>
    <b:Guid>{2BFEB867-838C-4F51-92C4-B4C7C18C51AC}</b:Guid>
    <b:Author>
      <b:Author>
        <b:Corporate>M. H. C. Patel; Mohmmedirtan Moitra, Momin H.&amp; Kanharia</b:Corporate>
      </b:Author>
    </b:Author>
    <b:Title>Working Conditions of Male Construction Workers and Its Impacts on their Life- A Cross Sectional Study in Surat City</b:Title>
    <b:JournalName>Journal of Community Medicine</b:JournalName>
    <b:Year>2012,pp.652-656</b:Year>
    <b:Volume>3</b:Volume>
    <b:Issue>4</b:Issue>
    <b:RefOrder>15</b:RefOrder>
  </b:Source>
  <b:Source>
    <b:Tag>RLa44</b:Tag>
    <b:SourceType>JournalArticle</b:SourceType>
    <b:Guid>{27642B7B-E3CE-4A95-9AC8-FB2D551B7687}</b:Guid>
    <b:Author>
      <b:Author>
        <b:NameList>
          <b:Person>
            <b:Last>Lakhani</b:Last>
            <b:First>R.</b:First>
          </b:Person>
        </b:NameList>
      </b:Author>
    </b:Author>
    <b:Title>Occupational Health of Women Construction Workers in the Unorganized Sector(ed.)</b:Title>
    <b:JournalName>Social Change, Sage Journal</b:JournalName>
    <b:Year>2014,pp.40-44</b:Year>
    <b:RefOrder>23</b:RefOrder>
  </b:Source>
  <b:Source>
    <b:Tag>AJD61</b:Tag>
    <b:SourceType>JournalArticle</b:SourceType>
    <b:Guid>{B4E28FB9-0646-45FF-B543-CC40F13F4F7C}</b:Guid>
    <b:Author>
      <b:Author>
        <b:NameList>
          <b:Person>
            <b:Last>Dalmia</b:Last>
            <b:First>A.J.</b:First>
          </b:Person>
        </b:NameList>
      </b:Author>
    </b:Author>
    <b:Title>Strong Women, Weak Bodies, Muted Voices: Women Construction Workers in Delhi</b:Title>
    <b:JournalName>Economic &amp; Political Weekly</b:JournalName>
    <b:Year>2012,pp.249-261</b:Year>
    <b:RefOrder>24</b:RefOrder>
  </b:Source>
  <b:Source>
    <b:Tag>Bou15</b:Tag>
    <b:SourceType>ArticleInAPeriodical</b:SourceType>
    <b:Guid>{F904009A-7D27-48CC-BCD1-24FC33D60BFB}</b:Guid>
    <b:Author>
      <b:Author>
        <b:Corporate>Bourmapoula V,Kapsos S &amp; Pasteels J M</b:Corporate>
      </b:Author>
    </b:Author>
    <b:Title>ILO Labourforce Estimates and Projections for 1990-2050</b:Title>
    <b:Year>2015</b:Year>
    <b:Publisher>ILO</b:Publisher>
    <b:City>Geneva</b:City>
    <b:PeriodicalTitle>ILO Labourforce Estimates and Projections</b:PeriodicalTitle>
    <b:RefOrder>38</b:RefOrder>
  </b:Source>
  <b:Source>
    <b:Tag>NSS14</b:Tag>
    <b:SourceType>Misc</b:SourceType>
    <b:Guid>{34723382-CD25-4F30-9614-921CB79EF5D4}</b:Guid>
    <b:Author>
      <b:Author>
        <b:NameList>
          <b:Person>
            <b:Last>NSSO</b:Last>
          </b:Person>
        </b:NameList>
      </b:Author>
    </b:Author>
    <b:Title>2011-12 Unit level data,</b:Title>
    <b:Year>2014</b:Year>
    <b:City>New Delhi</b:City>
    <b:Publisher>NSSO Ministry of Statistics and Program Implementation,Government of India</b:Publisher>
    <b:PublicationTitle>68th round, Employment-Unemployment Survey,</b:PublicationTitle>
    <b:CountryRegion>India</b:CountryRegion>
    <b:RefOrder>31</b:RefOrder>
  </b:Source>
  <b:Source>
    <b:Tag>NSO19</b:Tag>
    <b:SourceType>Report</b:SourceType>
    <b:Guid>{5512C022-7290-4F5C-80D6-F9216C77A430}</b:Guid>
    <b:Author>
      <b:Author>
        <b:NameList>
          <b:Person>
            <b:Last>NSO</b:Last>
          </b:Person>
        </b:NameList>
      </b:Author>
    </b:Author>
    <b:Title>2017-18 Unit Level data, Periodic Labour Force Survey,</b:Title>
    <b:Year>2019</b:Year>
    <b:City>New Delhi</b:City>
    <b:Publisher>NSSO Ministry of Statistics and Program Implementation, Governemnt of India</b:Publisher>
    <b:RefOrder>32</b:RefOrder>
  </b:Source>
  <b:Source>
    <b:Tag>Gup11</b:Tag>
    <b:SourceType>Book</b:SourceType>
    <b:Guid>{F664AD97-2C33-416D-A28A-B6BD558F18AA}</b:Guid>
    <b:Author>
      <b:Author>
        <b:NameList>
          <b:Person>
            <b:Last>Gupta</b:Last>
            <b:First>S</b:First>
            <b:Middle>P</b:Middle>
          </b:Person>
        </b:NameList>
      </b:Author>
    </b:Author>
    <b:Title>Statistical Methods</b:Title>
    <b:Year>2011</b:Year>
    <b:City>New Delhi</b:City>
    <b:Publisher>Sultan Chands &amp; Sons</b:Publisher>
    <b:Volume>4</b:Volume>
    <b:RefOrder>33</b:RefOrder>
  </b:Source>
  <b:Source>
    <b:Tag>Vai01</b:Tag>
    <b:SourceType>ConferenceProceedings</b:SourceType>
    <b:Guid>{FE6C3F42-DF9E-4B01-A21C-32EFBDBE17A5}</b:Guid>
    <b:Author>
      <b:Author>
        <b:NameList>
          <b:Person>
            <b:Last>Vaid</b:Last>
            <b:First>K</b:First>
            <b:Middle>N</b:Middle>
          </b:Person>
        </b:NameList>
      </b:Author>
      <b:Editor>
        <b:NameList>
          <b:Person>
            <b:Last>ILO</b:Last>
          </b:Person>
        </b:NameList>
      </b:Editor>
    </b:Author>
    <b:Title>Construction Industry in the 21st century: Its image, status and prospects</b:Title>
    <b:Year>2001</b:Year>
    <b:City>Geneva</b:City>
    <b:Publisher>ILO</b:Publisher>
    <b:Pages>9</b:Pages>
    <b:Volume>I</b:Volume>
    <b:ConferenceName>Construction Industry in the 21st century: Its image, status and prospects</b:ConferenceName>
    <b:RefOrder>39</b:RefOrder>
  </b:Source>
  <b:Source>
    <b:Tag>Placeholder13</b:Tag>
    <b:SourceType>JournalArticle</b:SourceType>
    <b:Guid>{B9D0218D-EB80-4DAB-A0F1-48A4F1CE31C8}</b:Guid>
    <b:Author>
      <b:Author>
        <b:NameList>
          <b:Person>
            <b:Last>Porath</b:Last>
            <b:First>Yoram</b:First>
            <b:Middle>Ben</b:Middle>
          </b:Person>
        </b:NameList>
      </b:Author>
    </b:Author>
    <b:Title>Labourforce paticipation rates and the supply of labour</b:Title>
    <b:JournalName>Journal of political economy</b:JournalName>
    <b:Year>1973,pp.697-704</b:Year>
    <b:Pages>697-704</b:Pages>
    <b:Volume>81(3)</b:Volume>
    <b:Month>May-June</b:Month>
    <b:Publisher>Unversity of Chicago Press</b:Publisher>
    <b:RefOrder>34</b:RefOrder>
  </b:Source>
  <b:Source>
    <b:Tag>Joh04</b:Tag>
    <b:SourceType>Book</b:SourceType>
    <b:Guid>{D499A365-1675-4B5C-8100-F6210F3E7521}</b:Guid>
    <b:Author>
      <b:Author>
        <b:Corporate>John E Freund &amp; Benjamin M Perles</b:Corporate>
      </b:Author>
    </b:Author>
    <b:Title>Statistics- A first course</b:Title>
    <b:Year>2004</b:Year>
    <b:Publisher>Prentice Hall</b:Publisher>
    <b:CountryRegion>India</b:CountryRegion>
    <b:RefOrder>40</b:RefOrder>
  </b:Source>
  <b:Source>
    <b:Tag>CID051</b:Tag>
    <b:SourceType>Report</b:SourceType>
    <b:Guid>{D7717224-52E5-41F6-9D7E-C19B79FAA76F}</b:Guid>
    <b:Author>
      <b:Author>
        <b:NameList>
          <b:Person>
            <b:Last>CIDB</b:Last>
          </b:Person>
        </b:NameList>
      </b:Author>
    </b:Author>
    <b:Title>Labour-based methods and technologies for employment-intensive construction works</b:Title>
    <b:Year>2005</b:Year>
    <b:Publisher>EPWP, South Africa &amp; EAP, UK</b:Publisher>
    <b:City>South Africa</b:City>
    <b:Pages>2-7</b:Pages>
    <b:RefOrder>35</b:RefOrder>
  </b:Source>
  <b:Source>
    <b:Tag>Placeholder14</b:Tag>
    <b:SourceType>JournalArticle</b:SourceType>
    <b:Guid>{55BCA986-C920-42EA-A9E5-AA8996018EBB}</b:Guid>
    <b:Author>
      <b:Author>
        <b:NameList>
          <b:Person>
            <b:Last>Ibrahim</b:Last>
            <b:First>A</b:First>
          </b:Person>
        </b:NameList>
      </b:Author>
    </b:Author>
    <b:Title>The determinants of private sector demand for employment in Egypt:1990-2007</b:Title>
    <b:JournalName>Advances in management and Applied Economics</b:JournalName>
    <b:Year>2013,pp.163-184</b:Year>
    <b:Pages>163-184</b:Pages>
    <b:Volume>3(1)</b:Volume>
    <b:RefOrder>36</b:RefOrder>
  </b:Source>
</b:Sources>
</file>

<file path=customXml/itemProps1.xml><?xml version="1.0" encoding="utf-8"?>
<ds:datastoreItem xmlns:ds="http://schemas.openxmlformats.org/officeDocument/2006/customXml" ds:itemID="{A022F9D6-FDF8-43F3-950F-60303223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22</Pages>
  <Words>7784</Words>
  <Characters>44373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1180</cp:lastModifiedBy>
  <cp:revision>82</cp:revision>
  <dcterms:created xsi:type="dcterms:W3CDTF">2021-11-27T04:58:00Z</dcterms:created>
  <dcterms:modified xsi:type="dcterms:W3CDTF">2025-12-06T12:07:00Z</dcterms:modified>
</cp:coreProperties>
</file>