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24F0" w:rsidRDefault="003124F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124F0">
        <w:trPr>
          <w:trHeight w:val="290"/>
        </w:trPr>
        <w:tc>
          <w:tcPr>
            <w:tcW w:w="20934" w:type="dxa"/>
            <w:gridSpan w:val="2"/>
            <w:tcBorders>
              <w:top w:val="nil"/>
              <w:left w:val="nil"/>
              <w:right w:val="nil"/>
            </w:tcBorders>
          </w:tcPr>
          <w:p w:rsidR="003124F0" w:rsidRDefault="003124F0">
            <w:pPr>
              <w:pStyle w:val="Heading2"/>
              <w:jc w:val="left"/>
              <w:rPr>
                <w:rFonts w:ascii="Arial" w:eastAsia="Arial" w:hAnsi="Arial" w:cs="Arial"/>
                <w:b w:val="0"/>
                <w:bCs w:val="0"/>
                <w:sz w:val="28"/>
                <w:szCs w:val="28"/>
              </w:rPr>
            </w:pPr>
          </w:p>
        </w:tc>
      </w:tr>
      <w:tr w:rsidR="003124F0">
        <w:trPr>
          <w:trHeight w:val="290"/>
        </w:trPr>
        <w:tc>
          <w:tcPr>
            <w:tcW w:w="5167" w:type="dxa"/>
          </w:tcPr>
          <w:p w:rsidR="003124F0" w:rsidRDefault="006A06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124F0" w:rsidRDefault="006A0629">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3124F0">
        <w:trPr>
          <w:trHeight w:val="290"/>
        </w:trPr>
        <w:tc>
          <w:tcPr>
            <w:tcW w:w="5167" w:type="dxa"/>
          </w:tcPr>
          <w:p w:rsidR="003124F0" w:rsidRDefault="006A06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124F0" w:rsidRDefault="006A062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Ms_JAMMR_149237</w:t>
            </w:r>
          </w:p>
        </w:tc>
      </w:tr>
      <w:tr w:rsidR="003124F0">
        <w:trPr>
          <w:trHeight w:val="650"/>
        </w:trPr>
        <w:tc>
          <w:tcPr>
            <w:tcW w:w="5167" w:type="dxa"/>
          </w:tcPr>
          <w:p w:rsidR="003124F0" w:rsidRDefault="006A06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124F0" w:rsidRDefault="006A062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Impact of Sedation Depth on Neurological Outcomes in Mechanically Ventilated Adult Patients: A Systematic Review and Meta-Analysis</w:t>
            </w:r>
          </w:p>
        </w:tc>
      </w:tr>
      <w:tr w:rsidR="003124F0">
        <w:trPr>
          <w:trHeight w:val="332"/>
        </w:trPr>
        <w:tc>
          <w:tcPr>
            <w:tcW w:w="5167" w:type="dxa"/>
          </w:tcPr>
          <w:p w:rsidR="003124F0" w:rsidRDefault="006A06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124F0" w:rsidRDefault="006A062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Systematic Review</w:t>
            </w:r>
          </w:p>
        </w:tc>
      </w:tr>
    </w:tbl>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124F0">
        <w:tc>
          <w:tcPr>
            <w:tcW w:w="21150" w:type="dxa"/>
            <w:gridSpan w:val="3"/>
            <w:tcBorders>
              <w:top w:val="nil"/>
              <w:left w:val="nil"/>
              <w:right w:val="nil"/>
            </w:tcBorders>
          </w:tcPr>
          <w:p w:rsidR="00475308" w:rsidRDefault="00475308">
            <w:pPr>
              <w:pStyle w:val="Heading2"/>
              <w:jc w:val="left"/>
              <w:rPr>
                <w:rFonts w:ascii="Times New Roman" w:eastAsia="Times New Roman" w:hAnsi="Times New Roman" w:cs="Times New Roman"/>
                <w:highlight w:val="yellow"/>
              </w:rPr>
            </w:pPr>
            <w:bookmarkStart w:id="0" w:name="_heading=h.fxglpmnsx0uw" w:colFirst="0" w:colLast="0"/>
            <w:bookmarkEnd w:id="0"/>
          </w:p>
          <w:p w:rsidR="003124F0" w:rsidRDefault="006A062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3124F0" w:rsidRDefault="003124F0">
            <w:pPr>
              <w:rPr>
                <w:sz w:val="20"/>
                <w:szCs w:val="20"/>
              </w:rPr>
            </w:pPr>
          </w:p>
        </w:tc>
      </w:tr>
      <w:tr w:rsidR="003124F0">
        <w:tc>
          <w:tcPr>
            <w:tcW w:w="5351" w:type="dxa"/>
          </w:tcPr>
          <w:p w:rsidR="003124F0" w:rsidRDefault="003124F0">
            <w:pPr>
              <w:pStyle w:val="Heading2"/>
              <w:jc w:val="left"/>
              <w:rPr>
                <w:rFonts w:ascii="Times New Roman" w:eastAsia="Times New Roman" w:hAnsi="Times New Roman" w:cs="Times New Roman"/>
              </w:rPr>
            </w:pPr>
          </w:p>
        </w:tc>
        <w:tc>
          <w:tcPr>
            <w:tcW w:w="9357" w:type="dxa"/>
          </w:tcPr>
          <w:p w:rsidR="003124F0" w:rsidRDefault="006A062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3124F0" w:rsidRDefault="006A0629">
            <w:pPr>
              <w:rPr>
                <w:sz w:val="20"/>
                <w:szCs w:val="20"/>
              </w:rPr>
            </w:pPr>
            <w:r>
              <w:rPr>
                <w:b/>
                <w:bCs/>
                <w:sz w:val="20"/>
                <w:szCs w:val="20"/>
                <w:highlight w:val="yellow"/>
              </w:rPr>
              <w:t>Artificial Intelligence (AI) generated or assisted review comments are strictly prohibited during peer review.</w:t>
            </w:r>
          </w:p>
          <w:p w:rsidR="003124F0" w:rsidRDefault="003124F0"/>
        </w:tc>
        <w:tc>
          <w:tcPr>
            <w:tcW w:w="6442" w:type="dxa"/>
          </w:tcPr>
          <w:p w:rsidR="003124F0" w:rsidRDefault="006A062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3124F0" w:rsidRDefault="003124F0">
            <w:pPr>
              <w:pStyle w:val="Heading2"/>
              <w:jc w:val="left"/>
              <w:rPr>
                <w:rFonts w:ascii="Times New Roman" w:eastAsia="Times New Roman" w:hAnsi="Times New Roman" w:cs="Times New Roman"/>
                <w:b w:val="0"/>
                <w:bCs w:val="0"/>
              </w:rPr>
            </w:pPr>
          </w:p>
        </w:tc>
      </w:tr>
      <w:tr w:rsidR="003124F0">
        <w:trPr>
          <w:trHeight w:val="1264"/>
        </w:trPr>
        <w:tc>
          <w:tcPr>
            <w:tcW w:w="5351" w:type="dxa"/>
          </w:tcPr>
          <w:p w:rsidR="003124F0" w:rsidRDefault="006A062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3124F0" w:rsidRDefault="003124F0">
            <w:pPr>
              <w:ind w:left="360"/>
              <w:rPr>
                <w:sz w:val="20"/>
                <w:szCs w:val="20"/>
              </w:rPr>
            </w:pPr>
          </w:p>
        </w:tc>
        <w:tc>
          <w:tcPr>
            <w:tcW w:w="9357" w:type="dxa"/>
          </w:tcPr>
          <w:p w:rsidR="003124F0" w:rsidRDefault="006A0629">
            <w:pPr>
              <w:pBdr>
                <w:top w:val="nil"/>
                <w:left w:val="nil"/>
                <w:bottom w:val="nil"/>
                <w:right w:val="nil"/>
                <w:between w:val="nil"/>
              </w:pBdr>
              <w:rPr>
                <w:color w:val="000000"/>
                <w:sz w:val="20"/>
                <w:szCs w:val="20"/>
              </w:rPr>
            </w:pPr>
            <w:r>
              <w:rPr>
                <w:b/>
                <w:bCs/>
                <w:color w:val="000000"/>
                <w:sz w:val="20"/>
                <w:szCs w:val="20"/>
              </w:rPr>
              <w:t xml:space="preserve">The paper analyses a very important topic in critical care: sedation in mechanically ventilated patients, a subject that has been extensively discussed. </w:t>
            </w:r>
          </w:p>
        </w:tc>
        <w:tc>
          <w:tcPr>
            <w:tcW w:w="6442" w:type="dxa"/>
          </w:tcPr>
          <w:p w:rsidR="003124F0" w:rsidRDefault="003124F0">
            <w:pPr>
              <w:pStyle w:val="Heading2"/>
              <w:jc w:val="left"/>
              <w:rPr>
                <w:rFonts w:ascii="Times New Roman" w:eastAsia="Times New Roman" w:hAnsi="Times New Roman" w:cs="Times New Roman"/>
                <w:b w:val="0"/>
                <w:bCs w:val="0"/>
              </w:rPr>
            </w:pPr>
          </w:p>
        </w:tc>
      </w:tr>
      <w:tr w:rsidR="003124F0">
        <w:trPr>
          <w:trHeight w:val="1262"/>
        </w:trPr>
        <w:tc>
          <w:tcPr>
            <w:tcW w:w="5351" w:type="dxa"/>
          </w:tcPr>
          <w:p w:rsidR="003124F0" w:rsidRDefault="006A0629">
            <w:pPr>
              <w:ind w:left="360"/>
              <w:rPr>
                <w:sz w:val="20"/>
                <w:szCs w:val="20"/>
              </w:rPr>
            </w:pPr>
            <w:r>
              <w:rPr>
                <w:b/>
                <w:bCs/>
                <w:sz w:val="20"/>
                <w:szCs w:val="20"/>
              </w:rPr>
              <w:t>Is the title of the article suitable?</w:t>
            </w:r>
          </w:p>
          <w:p w:rsidR="003124F0" w:rsidRDefault="006A0629">
            <w:pPr>
              <w:ind w:left="360"/>
              <w:rPr>
                <w:sz w:val="20"/>
                <w:szCs w:val="20"/>
              </w:rPr>
            </w:pPr>
            <w:r>
              <w:rPr>
                <w:b/>
                <w:bCs/>
                <w:sz w:val="20"/>
                <w:szCs w:val="20"/>
              </w:rPr>
              <w:t>(If not please suggest an alternative title)</w:t>
            </w:r>
          </w:p>
          <w:p w:rsidR="003124F0" w:rsidRDefault="003124F0">
            <w:pPr>
              <w:pStyle w:val="Heading2"/>
              <w:jc w:val="left"/>
              <w:rPr>
                <w:rFonts w:ascii="Times New Roman" w:eastAsia="Times New Roman" w:hAnsi="Times New Roman" w:cs="Times New Roman"/>
                <w:u w:val="single"/>
              </w:rPr>
            </w:pPr>
          </w:p>
        </w:tc>
        <w:tc>
          <w:tcPr>
            <w:tcW w:w="9357" w:type="dxa"/>
          </w:tcPr>
          <w:p w:rsidR="003124F0" w:rsidRDefault="006A0629">
            <w:pPr>
              <w:ind w:left="360"/>
              <w:rPr>
                <w:sz w:val="20"/>
                <w:szCs w:val="20"/>
              </w:rPr>
            </w:pPr>
            <w:r>
              <w:rPr>
                <w:b/>
                <w:bCs/>
                <w:sz w:val="20"/>
                <w:szCs w:val="20"/>
              </w:rPr>
              <w:t>Yes.</w:t>
            </w:r>
          </w:p>
        </w:tc>
        <w:tc>
          <w:tcPr>
            <w:tcW w:w="6442" w:type="dxa"/>
          </w:tcPr>
          <w:p w:rsidR="003124F0" w:rsidRDefault="003124F0">
            <w:pPr>
              <w:pStyle w:val="Heading2"/>
              <w:jc w:val="left"/>
              <w:rPr>
                <w:rFonts w:ascii="Times New Roman" w:eastAsia="Times New Roman" w:hAnsi="Times New Roman" w:cs="Times New Roman"/>
                <w:b w:val="0"/>
                <w:bCs w:val="0"/>
              </w:rPr>
            </w:pPr>
          </w:p>
        </w:tc>
      </w:tr>
      <w:tr w:rsidR="003124F0">
        <w:trPr>
          <w:trHeight w:val="1262"/>
        </w:trPr>
        <w:tc>
          <w:tcPr>
            <w:tcW w:w="5351" w:type="dxa"/>
          </w:tcPr>
          <w:p w:rsidR="003124F0" w:rsidRDefault="006A062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3124F0" w:rsidRDefault="003124F0">
            <w:pPr>
              <w:pStyle w:val="Heading2"/>
              <w:jc w:val="left"/>
              <w:rPr>
                <w:rFonts w:ascii="Times New Roman" w:eastAsia="Times New Roman" w:hAnsi="Times New Roman" w:cs="Times New Roman"/>
                <w:u w:val="single"/>
              </w:rPr>
            </w:pPr>
          </w:p>
        </w:tc>
        <w:tc>
          <w:tcPr>
            <w:tcW w:w="9357" w:type="dxa"/>
          </w:tcPr>
          <w:p w:rsidR="003124F0" w:rsidRDefault="006A0629">
            <w:pPr>
              <w:ind w:left="360"/>
              <w:rPr>
                <w:sz w:val="20"/>
                <w:szCs w:val="20"/>
              </w:rPr>
            </w:pPr>
            <w:r>
              <w:rPr>
                <w:b/>
                <w:bCs/>
                <w:sz w:val="20"/>
                <w:szCs w:val="20"/>
              </w:rPr>
              <w:t>Yes.</w:t>
            </w:r>
          </w:p>
        </w:tc>
        <w:tc>
          <w:tcPr>
            <w:tcW w:w="6442" w:type="dxa"/>
          </w:tcPr>
          <w:p w:rsidR="003124F0" w:rsidRDefault="003124F0">
            <w:pPr>
              <w:pStyle w:val="Heading2"/>
              <w:jc w:val="left"/>
              <w:rPr>
                <w:rFonts w:ascii="Times New Roman" w:eastAsia="Times New Roman" w:hAnsi="Times New Roman" w:cs="Times New Roman"/>
                <w:b w:val="0"/>
                <w:bCs w:val="0"/>
              </w:rPr>
            </w:pPr>
          </w:p>
        </w:tc>
      </w:tr>
      <w:tr w:rsidR="003124F0">
        <w:trPr>
          <w:trHeight w:val="704"/>
        </w:trPr>
        <w:tc>
          <w:tcPr>
            <w:tcW w:w="5351" w:type="dxa"/>
          </w:tcPr>
          <w:p w:rsidR="003124F0" w:rsidRDefault="006A062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3124F0" w:rsidRDefault="006A0629">
            <w:pPr>
              <w:pBdr>
                <w:top w:val="nil"/>
                <w:left w:val="nil"/>
                <w:bottom w:val="nil"/>
                <w:right w:val="nil"/>
                <w:between w:val="nil"/>
              </w:pBdr>
              <w:rPr>
                <w:color w:val="000000"/>
                <w:sz w:val="20"/>
                <w:szCs w:val="20"/>
              </w:rPr>
            </w:pPr>
            <w:r>
              <w:rPr>
                <w:color w:val="000000"/>
                <w:sz w:val="20"/>
                <w:szCs w:val="20"/>
              </w:rPr>
              <w:t>Yes.</w:t>
            </w:r>
          </w:p>
        </w:tc>
        <w:tc>
          <w:tcPr>
            <w:tcW w:w="6442" w:type="dxa"/>
          </w:tcPr>
          <w:p w:rsidR="003124F0" w:rsidRDefault="003124F0">
            <w:pPr>
              <w:pStyle w:val="Heading2"/>
              <w:jc w:val="left"/>
              <w:rPr>
                <w:rFonts w:ascii="Times New Roman" w:eastAsia="Times New Roman" w:hAnsi="Times New Roman" w:cs="Times New Roman"/>
                <w:b w:val="0"/>
                <w:bCs w:val="0"/>
              </w:rPr>
            </w:pPr>
          </w:p>
        </w:tc>
      </w:tr>
      <w:tr w:rsidR="003124F0">
        <w:trPr>
          <w:trHeight w:val="703"/>
        </w:trPr>
        <w:tc>
          <w:tcPr>
            <w:tcW w:w="5351" w:type="dxa"/>
          </w:tcPr>
          <w:p w:rsidR="003124F0" w:rsidRDefault="006A062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3124F0" w:rsidRDefault="006A0629">
            <w:pPr>
              <w:pBdr>
                <w:top w:val="nil"/>
                <w:left w:val="nil"/>
                <w:bottom w:val="nil"/>
                <w:right w:val="nil"/>
                <w:between w:val="nil"/>
              </w:pBdr>
              <w:rPr>
                <w:color w:val="000000"/>
                <w:sz w:val="20"/>
                <w:szCs w:val="20"/>
              </w:rPr>
            </w:pPr>
            <w:r>
              <w:rPr>
                <w:color w:val="000000"/>
                <w:sz w:val="20"/>
                <w:szCs w:val="20"/>
              </w:rPr>
              <w:t>Yes.</w:t>
            </w:r>
          </w:p>
        </w:tc>
        <w:tc>
          <w:tcPr>
            <w:tcW w:w="6442" w:type="dxa"/>
          </w:tcPr>
          <w:p w:rsidR="003124F0" w:rsidRDefault="003124F0">
            <w:pPr>
              <w:pStyle w:val="Heading2"/>
              <w:jc w:val="left"/>
              <w:rPr>
                <w:rFonts w:ascii="Times New Roman" w:eastAsia="Times New Roman" w:hAnsi="Times New Roman" w:cs="Times New Roman"/>
                <w:b w:val="0"/>
                <w:bCs w:val="0"/>
              </w:rPr>
            </w:pPr>
          </w:p>
        </w:tc>
      </w:tr>
      <w:tr w:rsidR="003124F0">
        <w:trPr>
          <w:trHeight w:val="386"/>
        </w:trPr>
        <w:tc>
          <w:tcPr>
            <w:tcW w:w="5351" w:type="dxa"/>
          </w:tcPr>
          <w:p w:rsidR="003124F0" w:rsidRDefault="006A062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3124F0" w:rsidRDefault="003124F0">
            <w:pPr>
              <w:rPr>
                <w:sz w:val="20"/>
                <w:szCs w:val="20"/>
              </w:rPr>
            </w:pPr>
          </w:p>
        </w:tc>
        <w:tc>
          <w:tcPr>
            <w:tcW w:w="9357" w:type="dxa"/>
          </w:tcPr>
          <w:p w:rsidR="003124F0" w:rsidRDefault="006A0629">
            <w:pPr>
              <w:rPr>
                <w:sz w:val="20"/>
                <w:szCs w:val="20"/>
              </w:rPr>
            </w:pPr>
            <w:r>
              <w:rPr>
                <w:sz w:val="20"/>
                <w:szCs w:val="20"/>
              </w:rPr>
              <w:t>Yes.</w:t>
            </w:r>
          </w:p>
        </w:tc>
        <w:tc>
          <w:tcPr>
            <w:tcW w:w="6442" w:type="dxa"/>
          </w:tcPr>
          <w:p w:rsidR="003124F0" w:rsidRDefault="003124F0">
            <w:pPr>
              <w:rPr>
                <w:sz w:val="20"/>
                <w:szCs w:val="20"/>
              </w:rPr>
            </w:pPr>
          </w:p>
        </w:tc>
      </w:tr>
      <w:tr w:rsidR="003124F0">
        <w:trPr>
          <w:trHeight w:val="1178"/>
        </w:trPr>
        <w:tc>
          <w:tcPr>
            <w:tcW w:w="5351" w:type="dxa"/>
          </w:tcPr>
          <w:p w:rsidR="003124F0" w:rsidRDefault="006A062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3124F0" w:rsidRDefault="003124F0">
            <w:pPr>
              <w:pStyle w:val="Heading2"/>
              <w:jc w:val="left"/>
              <w:rPr>
                <w:rFonts w:ascii="Times New Roman" w:eastAsia="Times New Roman" w:hAnsi="Times New Roman" w:cs="Times New Roman"/>
                <w:b w:val="0"/>
                <w:bCs w:val="0"/>
              </w:rPr>
            </w:pPr>
          </w:p>
        </w:tc>
        <w:tc>
          <w:tcPr>
            <w:tcW w:w="9357" w:type="dxa"/>
          </w:tcPr>
          <w:p w:rsidR="003124F0" w:rsidRDefault="006A0629">
            <w:pPr>
              <w:pBdr>
                <w:top w:val="nil"/>
                <w:left w:val="nil"/>
                <w:bottom w:val="nil"/>
                <w:right w:val="nil"/>
                <w:between w:val="nil"/>
              </w:pBdr>
              <w:rPr>
                <w:color w:val="000000"/>
                <w:sz w:val="20"/>
                <w:szCs w:val="20"/>
              </w:rPr>
            </w:pPr>
            <w:r>
              <w:rPr>
                <w:b/>
                <w:bCs/>
                <w:color w:val="000000"/>
                <w:sz w:val="20"/>
                <w:szCs w:val="20"/>
              </w:rPr>
              <w:t>The paper points out that light sedation does not increase mortality, but it would be interesting to analyse what other complications may occur, such as device removal, ventilator asynchronies, etc., and whether they were relevant.</w:t>
            </w:r>
          </w:p>
        </w:tc>
        <w:tc>
          <w:tcPr>
            <w:tcW w:w="6442" w:type="dxa"/>
          </w:tcPr>
          <w:p w:rsidR="003124F0" w:rsidRDefault="006A0629">
            <w:pPr>
              <w:rPr>
                <w:sz w:val="20"/>
                <w:szCs w:val="20"/>
              </w:rPr>
            </w:pPr>
            <w:r>
              <w:rPr>
                <w:sz w:val="20"/>
                <w:szCs w:val="20"/>
              </w:rPr>
              <w:t xml:space="preserve">We appreciate </w:t>
            </w:r>
            <w:r>
              <w:rPr>
                <w:sz w:val="20"/>
                <w:szCs w:val="20"/>
              </w:rPr>
              <w:t>this insightful comment. We agree that complications such as self-</w:t>
            </w:r>
            <w:proofErr w:type="spellStart"/>
            <w:r>
              <w:rPr>
                <w:sz w:val="20"/>
                <w:szCs w:val="20"/>
              </w:rPr>
              <w:t>extubation</w:t>
            </w:r>
            <w:proofErr w:type="spellEnd"/>
            <w:r>
              <w:rPr>
                <w:sz w:val="20"/>
                <w:szCs w:val="20"/>
              </w:rPr>
              <w:t xml:space="preserve"> (device removal) and ventilator asynchrony are critical concerns when implementing light sedation. While the primary scope of this systematic review was strictly neurological outc</w:t>
            </w:r>
            <w:r>
              <w:rPr>
                <w:sz w:val="20"/>
                <w:szCs w:val="20"/>
              </w:rPr>
              <w:t>omes (delirium, coma, cognitive impairment) and mortality, we have acknowledged in the Introduction that the perceived risk of these adverse events is a primary driver for the variability in sedation practices. Future reviews specifically targeting these s</w:t>
            </w:r>
            <w:r>
              <w:rPr>
                <w:sz w:val="20"/>
                <w:szCs w:val="20"/>
              </w:rPr>
              <w:t>afety events would indeed be a valuable addition to the literature.</w:t>
            </w:r>
          </w:p>
        </w:tc>
      </w:tr>
    </w:tbl>
    <w:p w:rsidR="003124F0" w:rsidRDefault="003124F0">
      <w:pPr>
        <w:pBdr>
          <w:top w:val="nil"/>
          <w:left w:val="nil"/>
          <w:bottom w:val="nil"/>
          <w:right w:val="nil"/>
          <w:between w:val="nil"/>
        </w:pBdr>
        <w:jc w:val="both"/>
        <w:rPr>
          <w:color w:val="000000"/>
          <w:sz w:val="20"/>
          <w:szCs w:val="20"/>
          <w:u w:val="single"/>
        </w:rPr>
      </w:pPr>
    </w:p>
    <w:p w:rsidR="003124F0" w:rsidRDefault="003124F0">
      <w:pPr>
        <w:pBdr>
          <w:top w:val="nil"/>
          <w:left w:val="nil"/>
          <w:bottom w:val="nil"/>
          <w:right w:val="nil"/>
          <w:between w:val="nil"/>
        </w:pBdr>
        <w:jc w:val="both"/>
        <w:rPr>
          <w:color w:val="000000"/>
          <w:sz w:val="20"/>
          <w:szCs w:val="20"/>
          <w:u w:val="single"/>
        </w:rPr>
      </w:pPr>
    </w:p>
    <w:p w:rsidR="003124F0" w:rsidRDefault="003124F0">
      <w:pPr>
        <w:pBdr>
          <w:top w:val="nil"/>
          <w:left w:val="nil"/>
          <w:bottom w:val="nil"/>
          <w:right w:val="nil"/>
          <w:between w:val="nil"/>
        </w:pBdr>
        <w:jc w:val="both"/>
        <w:rPr>
          <w:color w:val="000000"/>
          <w:sz w:val="20"/>
          <w:szCs w:val="20"/>
          <w:u w:val="single"/>
        </w:rPr>
      </w:pPr>
    </w:p>
    <w:p w:rsidR="003124F0" w:rsidRDefault="003124F0">
      <w:pPr>
        <w:pBdr>
          <w:top w:val="nil"/>
          <w:left w:val="nil"/>
          <w:bottom w:val="nil"/>
          <w:right w:val="nil"/>
          <w:between w:val="nil"/>
        </w:pBdr>
        <w:jc w:val="both"/>
        <w:rPr>
          <w:color w:val="000000"/>
          <w:sz w:val="20"/>
          <w:szCs w:val="20"/>
          <w:u w:val="single"/>
        </w:rPr>
      </w:pPr>
    </w:p>
    <w:p w:rsidR="00475308" w:rsidRDefault="00475308">
      <w:pPr>
        <w:pBdr>
          <w:top w:val="nil"/>
          <w:left w:val="nil"/>
          <w:bottom w:val="nil"/>
          <w:right w:val="nil"/>
          <w:between w:val="nil"/>
        </w:pBdr>
        <w:jc w:val="both"/>
        <w:rPr>
          <w:color w:val="000000"/>
          <w:sz w:val="20"/>
          <w:szCs w:val="20"/>
          <w:u w:val="single"/>
        </w:rPr>
      </w:pPr>
    </w:p>
    <w:p w:rsidR="00475308" w:rsidRDefault="00475308">
      <w:pPr>
        <w:pBdr>
          <w:top w:val="nil"/>
          <w:left w:val="nil"/>
          <w:bottom w:val="nil"/>
          <w:right w:val="nil"/>
          <w:between w:val="nil"/>
        </w:pBdr>
        <w:jc w:val="both"/>
        <w:rPr>
          <w:color w:val="000000"/>
          <w:sz w:val="20"/>
          <w:szCs w:val="20"/>
          <w:u w:val="single"/>
        </w:rPr>
      </w:pPr>
    </w:p>
    <w:p w:rsidR="00475308" w:rsidRDefault="00475308">
      <w:pPr>
        <w:pBdr>
          <w:top w:val="nil"/>
          <w:left w:val="nil"/>
          <w:bottom w:val="nil"/>
          <w:right w:val="nil"/>
          <w:between w:val="nil"/>
        </w:pBdr>
        <w:jc w:val="both"/>
        <w:rPr>
          <w:color w:val="000000"/>
          <w:sz w:val="20"/>
          <w:szCs w:val="20"/>
          <w:u w:val="single"/>
        </w:rPr>
      </w:pPr>
    </w:p>
    <w:p w:rsidR="00475308" w:rsidRDefault="00475308">
      <w:pPr>
        <w:pBdr>
          <w:top w:val="nil"/>
          <w:left w:val="nil"/>
          <w:bottom w:val="nil"/>
          <w:right w:val="nil"/>
          <w:between w:val="nil"/>
        </w:pBdr>
        <w:jc w:val="both"/>
        <w:rPr>
          <w:color w:val="000000"/>
          <w:sz w:val="20"/>
          <w:szCs w:val="20"/>
          <w:u w:val="single"/>
        </w:rPr>
      </w:pPr>
    </w:p>
    <w:p w:rsidR="00475308" w:rsidRDefault="00475308">
      <w:pPr>
        <w:pBdr>
          <w:top w:val="nil"/>
          <w:left w:val="nil"/>
          <w:bottom w:val="nil"/>
          <w:right w:val="nil"/>
          <w:between w:val="nil"/>
        </w:pBdr>
        <w:jc w:val="both"/>
        <w:rPr>
          <w:color w:val="000000"/>
          <w:sz w:val="20"/>
          <w:szCs w:val="20"/>
          <w:u w:val="single"/>
        </w:rPr>
      </w:pPr>
      <w:bookmarkStart w:id="1" w:name="_GoBack"/>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124F0">
        <w:trPr>
          <w:trHeight w:val="237"/>
        </w:trPr>
        <w:tc>
          <w:tcPr>
            <w:tcW w:w="21150" w:type="dxa"/>
            <w:gridSpan w:val="3"/>
            <w:tcBorders>
              <w:top w:val="nil"/>
              <w:left w:val="nil"/>
              <w:right w:val="nil"/>
            </w:tcBorders>
            <w:tcMar>
              <w:top w:w="0" w:type="dxa"/>
              <w:left w:w="108" w:type="dxa"/>
              <w:bottom w:w="0" w:type="dxa"/>
              <w:right w:w="108" w:type="dxa"/>
            </w:tcMar>
            <w:vAlign w:val="center"/>
          </w:tcPr>
          <w:p w:rsidR="003124F0" w:rsidRDefault="006A062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3124F0" w:rsidRDefault="003124F0">
            <w:pPr>
              <w:pBdr>
                <w:top w:val="nil"/>
                <w:left w:val="nil"/>
                <w:bottom w:val="nil"/>
                <w:right w:val="nil"/>
                <w:between w:val="nil"/>
              </w:pBdr>
              <w:rPr>
                <w:color w:val="000000"/>
                <w:sz w:val="20"/>
                <w:szCs w:val="20"/>
                <w:u w:val="single"/>
              </w:rPr>
            </w:pPr>
          </w:p>
        </w:tc>
      </w:tr>
      <w:tr w:rsidR="003124F0">
        <w:trPr>
          <w:trHeight w:val="935"/>
        </w:trPr>
        <w:tc>
          <w:tcPr>
            <w:tcW w:w="6831" w:type="dxa"/>
            <w:tcMar>
              <w:top w:w="0" w:type="dxa"/>
              <w:left w:w="108" w:type="dxa"/>
              <w:bottom w:w="0" w:type="dxa"/>
              <w:right w:w="108" w:type="dxa"/>
            </w:tcMar>
            <w:vAlign w:val="center"/>
          </w:tcPr>
          <w:p w:rsidR="003124F0" w:rsidRDefault="003124F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3124F0" w:rsidRDefault="006A062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3124F0" w:rsidRDefault="006A062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3124F0" w:rsidRDefault="003124F0">
            <w:pPr>
              <w:pStyle w:val="Heading2"/>
              <w:jc w:val="left"/>
              <w:rPr>
                <w:rFonts w:ascii="Times New Roman" w:eastAsia="Times New Roman" w:hAnsi="Times New Roman" w:cs="Times New Roman"/>
                <w:b w:val="0"/>
                <w:bCs w:val="0"/>
              </w:rPr>
            </w:pPr>
          </w:p>
        </w:tc>
      </w:tr>
      <w:tr w:rsidR="003124F0">
        <w:trPr>
          <w:trHeight w:val="697"/>
        </w:trPr>
        <w:tc>
          <w:tcPr>
            <w:tcW w:w="6831" w:type="dxa"/>
            <w:tcMar>
              <w:top w:w="0" w:type="dxa"/>
              <w:left w:w="108" w:type="dxa"/>
              <w:bottom w:w="0" w:type="dxa"/>
              <w:right w:w="108" w:type="dxa"/>
            </w:tcMar>
            <w:vAlign w:val="center"/>
          </w:tcPr>
          <w:p w:rsidR="003124F0" w:rsidRDefault="006A062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3124F0" w:rsidRDefault="003124F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3124F0" w:rsidRDefault="006A0629">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3124F0" w:rsidRDefault="003124F0">
            <w:pPr>
              <w:pBdr>
                <w:top w:val="nil"/>
                <w:left w:val="nil"/>
                <w:bottom w:val="nil"/>
                <w:right w:val="nil"/>
                <w:between w:val="nil"/>
              </w:pBdr>
              <w:rPr>
                <w:color w:val="000000"/>
                <w:sz w:val="20"/>
                <w:szCs w:val="20"/>
              </w:rPr>
            </w:pPr>
          </w:p>
          <w:p w:rsidR="003124F0" w:rsidRDefault="006A0629">
            <w:pPr>
              <w:pBdr>
                <w:top w:val="nil"/>
                <w:left w:val="nil"/>
                <w:bottom w:val="nil"/>
                <w:right w:val="nil"/>
                <w:between w:val="nil"/>
              </w:pBdr>
              <w:rPr>
                <w:color w:val="000000"/>
                <w:sz w:val="20"/>
                <w:szCs w:val="20"/>
              </w:rPr>
            </w:pPr>
            <w:r>
              <w:rPr>
                <w:color w:val="000000"/>
                <w:sz w:val="20"/>
                <w:szCs w:val="20"/>
              </w:rPr>
              <w:t>No.</w:t>
            </w:r>
          </w:p>
        </w:tc>
        <w:tc>
          <w:tcPr>
            <w:tcW w:w="5677" w:type="dxa"/>
            <w:vAlign w:val="center"/>
          </w:tcPr>
          <w:p w:rsidR="003124F0" w:rsidRDefault="003124F0">
            <w:pPr>
              <w:rPr>
                <w:sz w:val="20"/>
                <w:szCs w:val="20"/>
              </w:rPr>
            </w:pPr>
          </w:p>
          <w:p w:rsidR="003124F0" w:rsidRDefault="003124F0">
            <w:pPr>
              <w:rPr>
                <w:sz w:val="20"/>
                <w:szCs w:val="20"/>
              </w:rPr>
            </w:pPr>
          </w:p>
          <w:p w:rsidR="003124F0" w:rsidRDefault="003124F0">
            <w:pPr>
              <w:rPr>
                <w:sz w:val="20"/>
                <w:szCs w:val="20"/>
              </w:rPr>
            </w:pPr>
          </w:p>
          <w:p w:rsidR="003124F0" w:rsidRDefault="003124F0">
            <w:pPr>
              <w:pBdr>
                <w:top w:val="nil"/>
                <w:left w:val="nil"/>
                <w:bottom w:val="nil"/>
                <w:right w:val="nil"/>
                <w:between w:val="nil"/>
              </w:pBdr>
              <w:rPr>
                <w:color w:val="000000"/>
                <w:sz w:val="20"/>
                <w:szCs w:val="20"/>
              </w:rPr>
            </w:pPr>
          </w:p>
        </w:tc>
      </w:tr>
    </w:tbl>
    <w:p w:rsidR="003124F0" w:rsidRDefault="003124F0">
      <w:pPr>
        <w:pBdr>
          <w:top w:val="nil"/>
          <w:left w:val="nil"/>
          <w:bottom w:val="nil"/>
          <w:right w:val="nil"/>
          <w:between w:val="nil"/>
        </w:pBdr>
        <w:jc w:val="both"/>
        <w:rPr>
          <w:rFonts w:ascii="Arial" w:eastAsia="Arial" w:hAnsi="Arial" w:cs="Arial"/>
          <w:color w:val="000000"/>
          <w:sz w:val="20"/>
          <w:szCs w:val="20"/>
        </w:rPr>
      </w:pPr>
    </w:p>
    <w:sectPr w:rsidR="003124F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0629" w:rsidRDefault="006A0629">
      <w:r>
        <w:separator/>
      </w:r>
    </w:p>
  </w:endnote>
  <w:endnote w:type="continuationSeparator" w:id="0">
    <w:p w:rsidR="006A0629" w:rsidRDefault="006A0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F746361-19BB-4CBA-B3E7-84BD5CF06F74}"/>
    <w:embedBold r:id="rId2" w:fontKey="{F380D1C1-03BD-4CD3-B0B4-512ABE0AB7BC}"/>
  </w:font>
  <w:font w:name="Arimo">
    <w:charset w:val="00"/>
    <w:family w:val="auto"/>
    <w:pitch w:val="default"/>
    <w:embedBold r:id="rId3" w:fontKey="{2906BCD0-D310-456C-810E-493B21A3316F}"/>
  </w:font>
  <w:font w:name="Helvetica">
    <w:panose1 w:val="020B0604020202020204"/>
    <w:charset w:val="00"/>
    <w:family w:val="swiss"/>
    <w:pitch w:val="variable"/>
    <w:sig w:usb0="00000003" w:usb1="00000000" w:usb2="00000000" w:usb3="00000000" w:csb0="00000001" w:csb1="00000000"/>
    <w:embedRegular r:id="rId4" w:fontKey="{7A3C66AA-3CA2-44C6-B1CE-19D09520F3CA}"/>
    <w:embedBold r:id="rId5" w:fontKey="{CFC016ED-613D-4C3A-9699-66A9E228E9E5}"/>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60BE05E9-2FAB-447E-A64F-4FA2AA3B9FD5}"/>
  </w:font>
  <w:font w:name="Georgia">
    <w:panose1 w:val="02040502050405020303"/>
    <w:charset w:val="00"/>
    <w:family w:val="auto"/>
    <w:pitch w:val="default"/>
    <w:embedItalic r:id="rId7" w:fontKey="{70FD61BC-10CF-4E34-B2CC-B8A3D906631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5832E94-EB02-4C7A-B28D-8BCB0FCF7F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4F0" w:rsidRDefault="006A062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0629" w:rsidRDefault="006A0629">
      <w:r>
        <w:separator/>
      </w:r>
    </w:p>
  </w:footnote>
  <w:footnote w:type="continuationSeparator" w:id="0">
    <w:p w:rsidR="006A0629" w:rsidRDefault="006A0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4F0" w:rsidRDefault="003124F0">
    <w:pPr>
      <w:spacing w:after="280"/>
      <w:jc w:val="center"/>
      <w:rPr>
        <w:rFonts w:ascii="Arial" w:eastAsia="Arial" w:hAnsi="Arial" w:cs="Arial"/>
        <w:color w:val="003399"/>
        <w:u w:val="single"/>
      </w:rPr>
    </w:pPr>
  </w:p>
  <w:p w:rsidR="003124F0" w:rsidRDefault="006A062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4F0"/>
    <w:rsid w:val="003124F0"/>
    <w:rsid w:val="00475308"/>
    <w:rsid w:val="006A062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826509"/>
  <w15:docId w15:val="{8FB4AFEB-3B51-4631-B264-E797516B3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X3gysG9Q2yMSt160yC7or7Sbw==">CgMxLjAyDmguZnhnbHBtbnN4MHV3OAByITFVSERpZmczRUJyVFlqekNwQmVtU2FtT2RXWmF6Tk1nVg==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386</Words>
  <Characters>2201</Characters>
  <Application>Microsoft Office Word</Application>
  <DocSecurity>0</DocSecurity>
  <Lines>18</Lines>
  <Paragraphs>5</Paragraphs>
  <ScaleCrop>false</ScaleCrop>
  <Company/>
  <LinksUpToDate>false</LinksUpToDate>
  <CharactersWithSpaces>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2025-12-02T05:46:00Z</dcterms:created>
  <dcterms:modified xsi:type="dcterms:W3CDTF">2025-12-08T08:40:00Z</dcterms:modified>
</cp:coreProperties>
</file>