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551B6" w:rsidRDefault="007551B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7551B6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7551B6" w:rsidRDefault="007551B6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7551B6">
        <w:trPr>
          <w:trHeight w:val="290"/>
        </w:trPr>
        <w:tc>
          <w:tcPr>
            <w:tcW w:w="5167" w:type="dxa"/>
          </w:tcPr>
          <w:p w:rsidR="007551B6" w:rsidRDefault="008F59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551B6" w:rsidRDefault="008F599B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Advances in Medicine and Medical Research</w:t>
              </w:r>
            </w:hyperlink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7551B6">
        <w:trPr>
          <w:trHeight w:val="290"/>
        </w:trPr>
        <w:tc>
          <w:tcPr>
            <w:tcW w:w="5167" w:type="dxa"/>
          </w:tcPr>
          <w:p w:rsidR="007551B6" w:rsidRDefault="008F59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551B6" w:rsidRDefault="008F59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Ms_JAMMR_149237</w:t>
            </w:r>
          </w:p>
        </w:tc>
      </w:tr>
      <w:tr w:rsidR="007551B6">
        <w:trPr>
          <w:trHeight w:val="650"/>
        </w:trPr>
        <w:tc>
          <w:tcPr>
            <w:tcW w:w="5167" w:type="dxa"/>
          </w:tcPr>
          <w:p w:rsidR="007551B6" w:rsidRDefault="008F59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551B6" w:rsidRDefault="008F59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Impact of Sedation Depth on Neurological Outcomes in Mechanically Ventilated Adult Patients: A Systematic Review and Meta-Analysis</w:t>
            </w:r>
          </w:p>
        </w:tc>
      </w:tr>
      <w:tr w:rsidR="007551B6">
        <w:trPr>
          <w:trHeight w:val="332"/>
        </w:trPr>
        <w:tc>
          <w:tcPr>
            <w:tcW w:w="5167" w:type="dxa"/>
          </w:tcPr>
          <w:p w:rsidR="007551B6" w:rsidRDefault="008F59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551B6" w:rsidRDefault="008F59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Systematic Review</w:t>
            </w:r>
          </w:p>
        </w:tc>
      </w:tr>
    </w:tbl>
    <w:p w:rsidR="007551B6" w:rsidRDefault="007551B6">
      <w:pPr>
        <w:rPr>
          <w:sz w:val="20"/>
          <w:szCs w:val="20"/>
        </w:rPr>
      </w:pPr>
      <w:bookmarkStart w:id="0" w:name="_heading=h.uk42cp1m71h2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7551B6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7551B6" w:rsidRDefault="008F599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7551B6" w:rsidRDefault="007551B6">
            <w:pPr>
              <w:rPr>
                <w:sz w:val="20"/>
                <w:szCs w:val="20"/>
              </w:rPr>
            </w:pPr>
          </w:p>
        </w:tc>
      </w:tr>
      <w:tr w:rsidR="007551B6">
        <w:tc>
          <w:tcPr>
            <w:tcW w:w="5351" w:type="dxa"/>
          </w:tcPr>
          <w:p w:rsidR="007551B6" w:rsidRDefault="007551B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7551B6" w:rsidRDefault="008F599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7551B6" w:rsidRDefault="008F599B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7551B6" w:rsidRDefault="007551B6"/>
        </w:tc>
        <w:tc>
          <w:tcPr>
            <w:tcW w:w="6442" w:type="dxa"/>
          </w:tcPr>
          <w:p w:rsidR="007551B6" w:rsidRDefault="008F599B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7551B6" w:rsidRDefault="007551B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7551B6">
        <w:trPr>
          <w:trHeight w:val="1264"/>
        </w:trPr>
        <w:tc>
          <w:tcPr>
            <w:tcW w:w="5351" w:type="dxa"/>
          </w:tcPr>
          <w:p w:rsidR="007551B6" w:rsidRDefault="008F599B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7551B6" w:rsidRDefault="007551B6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7551B6" w:rsidRDefault="008F599B">
            <w:pPr>
              <w:spacing w:before="240" w:after="24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The objective of this systematic review and meta-analysis was to evaluate the impact of sedati</w:t>
            </w:r>
            <w:r>
              <w:rPr>
                <w:rFonts w:ascii="Arial" w:eastAsia="Arial" w:hAnsi="Arial" w:cs="Arial"/>
              </w:rPr>
              <w:t>on depth (deep versus light) on neurological outcomes in mechanically ventilated adult patients, with a specific focus on the incidence of in-hospital delirium, hospital mortality, and long-term neurological impairment.</w:t>
            </w:r>
          </w:p>
          <w:p w:rsidR="007551B6" w:rsidRDefault="007551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7551B6" w:rsidRDefault="007551B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7551B6">
        <w:trPr>
          <w:trHeight w:val="1262"/>
        </w:trPr>
        <w:tc>
          <w:tcPr>
            <w:tcW w:w="5351" w:type="dxa"/>
          </w:tcPr>
          <w:p w:rsidR="007551B6" w:rsidRDefault="008F599B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</w:t>
            </w:r>
            <w:r>
              <w:rPr>
                <w:b/>
                <w:bCs/>
                <w:sz w:val="20"/>
                <w:szCs w:val="20"/>
              </w:rPr>
              <w:t>ble?</w:t>
            </w:r>
          </w:p>
          <w:p w:rsidR="007551B6" w:rsidRDefault="008F599B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7551B6" w:rsidRDefault="007551B6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7551B6" w:rsidRDefault="008F599B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Yes, </w:t>
            </w:r>
            <w:proofErr w:type="gramStart"/>
            <w:r>
              <w:rPr>
                <w:b/>
                <w:bCs/>
                <w:sz w:val="20"/>
                <w:szCs w:val="20"/>
              </w:rPr>
              <w:t>it  is</w:t>
            </w:r>
            <w:proofErr w:type="gramEnd"/>
            <w:r>
              <w:rPr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6442" w:type="dxa"/>
          </w:tcPr>
          <w:p w:rsidR="007551B6" w:rsidRDefault="007551B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7551B6">
        <w:trPr>
          <w:trHeight w:val="1262"/>
        </w:trPr>
        <w:tc>
          <w:tcPr>
            <w:tcW w:w="5351" w:type="dxa"/>
          </w:tcPr>
          <w:p w:rsidR="007551B6" w:rsidRDefault="008F599B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7551B6" w:rsidRDefault="007551B6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7551B6" w:rsidRDefault="008F599B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Yes, it is comprehensive.</w:t>
            </w:r>
          </w:p>
        </w:tc>
        <w:tc>
          <w:tcPr>
            <w:tcW w:w="6442" w:type="dxa"/>
          </w:tcPr>
          <w:p w:rsidR="007551B6" w:rsidRDefault="007551B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7551B6">
        <w:trPr>
          <w:trHeight w:val="704"/>
        </w:trPr>
        <w:tc>
          <w:tcPr>
            <w:tcW w:w="5351" w:type="dxa"/>
          </w:tcPr>
          <w:p w:rsidR="007551B6" w:rsidRDefault="008F599B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7551B6" w:rsidRDefault="008F59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It is scientifically correct.</w:t>
            </w:r>
          </w:p>
        </w:tc>
        <w:tc>
          <w:tcPr>
            <w:tcW w:w="6442" w:type="dxa"/>
          </w:tcPr>
          <w:p w:rsidR="007551B6" w:rsidRDefault="007551B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7551B6">
        <w:trPr>
          <w:trHeight w:val="703"/>
        </w:trPr>
        <w:tc>
          <w:tcPr>
            <w:tcW w:w="5351" w:type="dxa"/>
          </w:tcPr>
          <w:p w:rsidR="007551B6" w:rsidRDefault="008F599B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7551B6" w:rsidRDefault="008F59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Yes, they are sufficient but they could be updated. Only one reference from 2020, one from 2022. So, they could be updated.</w:t>
            </w:r>
          </w:p>
        </w:tc>
        <w:tc>
          <w:tcPr>
            <w:tcW w:w="6442" w:type="dxa"/>
          </w:tcPr>
          <w:p w:rsidR="007551B6" w:rsidRDefault="008F599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We appreciate this important suggestion. In the revised manuscript, we have made a significant effort to update the bibliography wit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h the most recent evidence available. We have added multiple studies published in 2024 and 2025, including Yamamoto et al. (2025),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Jaworska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et al. (2025), and Ceric et al. (2024), ensuring that the systematic review reflects the current state of the art in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critical care literature.</w:t>
            </w:r>
          </w:p>
        </w:tc>
      </w:tr>
      <w:tr w:rsidR="007551B6">
        <w:trPr>
          <w:trHeight w:val="386"/>
        </w:trPr>
        <w:tc>
          <w:tcPr>
            <w:tcW w:w="5351" w:type="dxa"/>
          </w:tcPr>
          <w:p w:rsidR="007551B6" w:rsidRDefault="008F599B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7551B6" w:rsidRDefault="007551B6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7551B6" w:rsidRDefault="008F599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Yes, it is suitable for scholarly communications.</w:t>
            </w:r>
          </w:p>
        </w:tc>
        <w:tc>
          <w:tcPr>
            <w:tcW w:w="6442" w:type="dxa"/>
          </w:tcPr>
          <w:p w:rsidR="007551B6" w:rsidRDefault="007551B6">
            <w:pPr>
              <w:rPr>
                <w:sz w:val="20"/>
                <w:szCs w:val="20"/>
              </w:rPr>
            </w:pPr>
          </w:p>
        </w:tc>
      </w:tr>
      <w:tr w:rsidR="007551B6">
        <w:trPr>
          <w:trHeight w:val="1178"/>
        </w:trPr>
        <w:tc>
          <w:tcPr>
            <w:tcW w:w="5351" w:type="dxa"/>
          </w:tcPr>
          <w:p w:rsidR="007551B6" w:rsidRDefault="008F599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7551B6" w:rsidRDefault="007551B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7551B6" w:rsidRDefault="007551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7551B6" w:rsidRDefault="007551B6">
            <w:pPr>
              <w:rPr>
                <w:sz w:val="20"/>
                <w:szCs w:val="20"/>
              </w:rPr>
            </w:pPr>
          </w:p>
        </w:tc>
      </w:tr>
    </w:tbl>
    <w:p w:rsidR="007551B6" w:rsidRDefault="007551B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7551B6" w:rsidRDefault="007551B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7551B6" w:rsidRDefault="007551B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7551B6" w:rsidRDefault="007551B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7551B6" w:rsidRDefault="007551B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7551B6" w:rsidRDefault="007551B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7551B6" w:rsidRDefault="007551B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1" w:name="_GoBack"/>
      <w:bookmarkEnd w:id="1"/>
    </w:p>
    <w:p w:rsidR="007551B6" w:rsidRDefault="007551B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7551B6" w:rsidRDefault="007551B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7551B6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551B6" w:rsidRDefault="008F59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7551B6" w:rsidRDefault="007551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7551B6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551B6" w:rsidRDefault="007551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551B6" w:rsidRDefault="008F599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</w:tcPr>
          <w:p w:rsidR="007551B6" w:rsidRDefault="008F599B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7551B6" w:rsidRDefault="007551B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7551B6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551B6" w:rsidRDefault="008F59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7551B6" w:rsidRDefault="007551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551B6" w:rsidRDefault="008F59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7551B6" w:rsidRDefault="008F59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No, there are no ethical issues.</w:t>
            </w:r>
          </w:p>
          <w:p w:rsidR="007551B6" w:rsidRDefault="007551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:rsidR="007551B6" w:rsidRDefault="007551B6">
            <w:pPr>
              <w:rPr>
                <w:sz w:val="20"/>
                <w:szCs w:val="20"/>
              </w:rPr>
            </w:pPr>
          </w:p>
          <w:p w:rsidR="007551B6" w:rsidRDefault="007551B6">
            <w:pPr>
              <w:rPr>
                <w:sz w:val="20"/>
                <w:szCs w:val="20"/>
              </w:rPr>
            </w:pPr>
          </w:p>
          <w:p w:rsidR="007551B6" w:rsidRDefault="007551B6">
            <w:pPr>
              <w:rPr>
                <w:sz w:val="20"/>
                <w:szCs w:val="20"/>
              </w:rPr>
            </w:pPr>
          </w:p>
          <w:p w:rsidR="007551B6" w:rsidRDefault="007551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7551B6" w:rsidRDefault="007551B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7551B6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F599B" w:rsidRDefault="008F599B">
      <w:r>
        <w:separator/>
      </w:r>
    </w:p>
  </w:endnote>
  <w:endnote w:type="continuationSeparator" w:id="0">
    <w:p w:rsidR="008F599B" w:rsidRDefault="008F59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default"/>
    <w:embedRegular r:id="rId1" w:fontKey="{47E6D03C-5F76-4B8B-9DFC-73982074453F}"/>
    <w:embedBold r:id="rId2" w:fontKey="{FCE7024C-915F-4EA9-9E15-695C9560B866}"/>
  </w:font>
  <w:font w:name="Arimo">
    <w:charset w:val="00"/>
    <w:family w:val="auto"/>
    <w:pitch w:val="default"/>
    <w:embedBold r:id="rId3" w:fontKey="{D2650B3E-3D4A-42F1-A7D3-31C7C8E8E719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E38E8277-7999-4CDF-871E-0D91E6CBEEA0}"/>
    <w:embedBold r:id="rId5" w:fontKey="{465BCB4E-E0FA-4FB4-B8D2-0B6D6A5E8BC2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FC76EA51-73BE-44A9-969B-C11853948A9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EC24D8F6-5278-47B8-9047-8A23A270A2C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9C4B02C3-9F13-4EFF-8033-27775932124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51B6" w:rsidRDefault="008F599B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F599B" w:rsidRDefault="008F599B">
      <w:r>
        <w:separator/>
      </w:r>
    </w:p>
  </w:footnote>
  <w:footnote w:type="continuationSeparator" w:id="0">
    <w:p w:rsidR="008F599B" w:rsidRDefault="008F599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51B6" w:rsidRDefault="007551B6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7551B6" w:rsidRDefault="008F599B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2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51B6"/>
    <w:rsid w:val="002A329C"/>
    <w:rsid w:val="007551B6"/>
    <w:rsid w:val="008F59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1F1497B-C9E3-4FF4-B0CA-DF08AB2266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styleId="Strong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jammr.com/index.php/JAMM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0JY7t/UNryxWJ8sehZyJci9V0iQ==">CgMxLjAyDmgudWs0MmNwMW03MWgyOAByITFEdi1kcjBsVlpoR1NHanJLSk9RazMxaGZWWmw3MENZSg==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385</Words>
  <Characters>2200</Characters>
  <Application>Microsoft Office Word</Application>
  <DocSecurity>0</DocSecurity>
  <Lines>18</Lines>
  <Paragraphs>5</Paragraphs>
  <ScaleCrop>false</ScaleCrop>
  <Company/>
  <LinksUpToDate>false</LinksUpToDate>
  <CharactersWithSpaces>2580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1186</cp:lastModifiedBy>
  <cp:revision>2</cp:revision>
  <dcterms:created xsi:type="dcterms:W3CDTF">2025-11-29T16:58:00Z</dcterms:created>
  <dcterms:modified xsi:type="dcterms:W3CDTF">2025-12-08T08:39:00Z</dcterms:modified>
</cp:coreProperties>
</file>