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83E6D" w:rsidRDefault="00683E6D">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6"/>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683E6D">
        <w:trPr>
          <w:trHeight w:val="290"/>
        </w:trPr>
        <w:tc>
          <w:tcPr>
            <w:tcW w:w="20934" w:type="dxa"/>
            <w:gridSpan w:val="2"/>
            <w:tcBorders>
              <w:top w:val="nil"/>
              <w:left w:val="nil"/>
              <w:right w:val="nil"/>
            </w:tcBorders>
          </w:tcPr>
          <w:p w:rsidR="00683E6D" w:rsidRDefault="00683E6D">
            <w:pPr>
              <w:pStyle w:val="Heading2"/>
              <w:jc w:val="left"/>
              <w:rPr>
                <w:rFonts w:ascii="Arial" w:eastAsia="Arial" w:hAnsi="Arial" w:cs="Arial"/>
                <w:b w:val="0"/>
                <w:bCs w:val="0"/>
                <w:sz w:val="28"/>
                <w:szCs w:val="28"/>
              </w:rPr>
            </w:pPr>
          </w:p>
        </w:tc>
      </w:tr>
      <w:tr w:rsidR="00683E6D">
        <w:trPr>
          <w:trHeight w:val="290"/>
        </w:trPr>
        <w:tc>
          <w:tcPr>
            <w:tcW w:w="5167" w:type="dxa"/>
          </w:tcPr>
          <w:p w:rsidR="00683E6D" w:rsidRDefault="00400A0D">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683E6D" w:rsidRDefault="00400A0D">
            <w:pPr>
              <w:rPr>
                <w:rFonts w:ascii="Arial" w:eastAsia="Arial" w:hAnsi="Arial" w:cs="Arial"/>
                <w:color w:val="0000FF"/>
                <w:sz w:val="20"/>
                <w:szCs w:val="20"/>
              </w:rPr>
            </w:pPr>
            <w:hyperlink r:id="rId7">
              <w:r>
                <w:rPr>
                  <w:rFonts w:ascii="Arial" w:eastAsia="Arial" w:hAnsi="Arial" w:cs="Arial"/>
                  <w:b/>
                  <w:bCs/>
                  <w:color w:val="0000FF"/>
                  <w:sz w:val="20"/>
                  <w:szCs w:val="20"/>
                  <w:u w:val="single"/>
                </w:rPr>
                <w:t>Journal of Advances in Medicine and Medical Research</w:t>
              </w:r>
            </w:hyperlink>
            <w:r>
              <w:rPr>
                <w:rFonts w:ascii="Arial" w:eastAsia="Arial" w:hAnsi="Arial" w:cs="Arial"/>
                <w:b/>
                <w:bCs/>
                <w:color w:val="0000FF"/>
                <w:sz w:val="20"/>
                <w:szCs w:val="20"/>
              </w:rPr>
              <w:t xml:space="preserve"> </w:t>
            </w:r>
          </w:p>
        </w:tc>
      </w:tr>
      <w:tr w:rsidR="00683E6D">
        <w:trPr>
          <w:trHeight w:val="290"/>
        </w:trPr>
        <w:tc>
          <w:tcPr>
            <w:tcW w:w="5167" w:type="dxa"/>
          </w:tcPr>
          <w:p w:rsidR="00683E6D" w:rsidRDefault="00400A0D">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683E6D" w:rsidRDefault="00400A0D">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Ms_JAMMR_148938</w:t>
            </w:r>
          </w:p>
        </w:tc>
      </w:tr>
      <w:tr w:rsidR="00683E6D">
        <w:trPr>
          <w:trHeight w:val="650"/>
        </w:trPr>
        <w:tc>
          <w:tcPr>
            <w:tcW w:w="5167" w:type="dxa"/>
          </w:tcPr>
          <w:p w:rsidR="00683E6D" w:rsidRDefault="00400A0D">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683E6D" w:rsidRDefault="00400A0D">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Association between ultra-processed food consumption and risk of depressive symptoms in adults: a systematic review and meta-analysis</w:t>
            </w:r>
          </w:p>
        </w:tc>
      </w:tr>
      <w:tr w:rsidR="00683E6D">
        <w:trPr>
          <w:trHeight w:val="332"/>
        </w:trPr>
        <w:tc>
          <w:tcPr>
            <w:tcW w:w="5167" w:type="dxa"/>
          </w:tcPr>
          <w:p w:rsidR="00683E6D" w:rsidRDefault="00400A0D">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683E6D" w:rsidRDefault="00683E6D">
            <w:pPr>
              <w:pBdr>
                <w:top w:val="nil"/>
                <w:left w:val="nil"/>
                <w:bottom w:val="nil"/>
                <w:right w:val="nil"/>
                <w:between w:val="nil"/>
              </w:pBdr>
              <w:rPr>
                <w:rFonts w:ascii="Arial" w:eastAsia="Arial" w:hAnsi="Arial" w:cs="Arial"/>
                <w:color w:val="000000"/>
                <w:sz w:val="20"/>
                <w:szCs w:val="20"/>
              </w:rPr>
            </w:pPr>
          </w:p>
        </w:tc>
      </w:tr>
    </w:tbl>
    <w:p w:rsidR="00683E6D" w:rsidRDefault="00683E6D">
      <w:pPr>
        <w:rPr>
          <w:sz w:val="20"/>
          <w:szCs w:val="20"/>
        </w:rPr>
      </w:pPr>
      <w:bookmarkStart w:id="0" w:name="_heading=h.hslveipbauf1" w:colFirst="0" w:colLast="0"/>
      <w:bookmarkEnd w:id="0"/>
    </w:p>
    <w:tbl>
      <w:tblPr>
        <w:tblStyle w:val="a7"/>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683E6D">
        <w:tc>
          <w:tcPr>
            <w:tcW w:w="21150" w:type="dxa"/>
            <w:gridSpan w:val="3"/>
            <w:tcBorders>
              <w:top w:val="nil"/>
              <w:left w:val="nil"/>
              <w:right w:val="nil"/>
            </w:tcBorders>
          </w:tcPr>
          <w:p w:rsidR="00683E6D" w:rsidRDefault="00400A0D">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rsidR="00683E6D" w:rsidRDefault="00683E6D">
            <w:pPr>
              <w:rPr>
                <w:sz w:val="20"/>
                <w:szCs w:val="20"/>
              </w:rPr>
            </w:pPr>
          </w:p>
        </w:tc>
      </w:tr>
      <w:tr w:rsidR="00683E6D">
        <w:tc>
          <w:tcPr>
            <w:tcW w:w="5351" w:type="dxa"/>
          </w:tcPr>
          <w:p w:rsidR="00683E6D" w:rsidRDefault="00683E6D">
            <w:pPr>
              <w:pStyle w:val="Heading2"/>
              <w:jc w:val="left"/>
              <w:rPr>
                <w:rFonts w:ascii="Times New Roman" w:eastAsia="Times New Roman" w:hAnsi="Times New Roman" w:cs="Times New Roman"/>
              </w:rPr>
            </w:pPr>
          </w:p>
        </w:tc>
        <w:tc>
          <w:tcPr>
            <w:tcW w:w="9357" w:type="dxa"/>
          </w:tcPr>
          <w:p w:rsidR="00683E6D" w:rsidRDefault="00400A0D">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683E6D" w:rsidRDefault="00400A0D">
            <w:pPr>
              <w:rPr>
                <w:sz w:val="20"/>
                <w:szCs w:val="20"/>
              </w:rPr>
            </w:pPr>
            <w:r>
              <w:rPr>
                <w:b/>
                <w:bCs/>
                <w:sz w:val="20"/>
                <w:szCs w:val="20"/>
                <w:highlight w:val="yellow"/>
              </w:rPr>
              <w:t>Artificial Intelligence (AI) generated or assisted review comments are strictly prohibited during peer review.</w:t>
            </w:r>
          </w:p>
          <w:p w:rsidR="00683E6D" w:rsidRDefault="00683E6D"/>
        </w:tc>
        <w:tc>
          <w:tcPr>
            <w:tcW w:w="6442" w:type="dxa"/>
          </w:tcPr>
          <w:p w:rsidR="00683E6D" w:rsidRDefault="00400A0D">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rsidR="00683E6D" w:rsidRDefault="00683E6D">
            <w:pPr>
              <w:pStyle w:val="Heading2"/>
              <w:jc w:val="left"/>
              <w:rPr>
                <w:rFonts w:ascii="Times New Roman" w:eastAsia="Times New Roman" w:hAnsi="Times New Roman" w:cs="Times New Roman"/>
                <w:b w:val="0"/>
                <w:bCs w:val="0"/>
              </w:rPr>
            </w:pPr>
          </w:p>
        </w:tc>
      </w:tr>
      <w:tr w:rsidR="00683E6D">
        <w:trPr>
          <w:trHeight w:val="1264"/>
        </w:trPr>
        <w:tc>
          <w:tcPr>
            <w:tcW w:w="5351" w:type="dxa"/>
          </w:tcPr>
          <w:p w:rsidR="00683E6D" w:rsidRDefault="00400A0D">
            <w:pPr>
              <w:ind w:left="360"/>
              <w:rPr>
                <w:sz w:val="20"/>
                <w:szCs w:val="20"/>
              </w:rPr>
            </w:pPr>
            <w:r>
              <w:rPr>
                <w:b/>
                <w:bCs/>
                <w:sz w:val="20"/>
                <w:szCs w:val="20"/>
              </w:rPr>
              <w:t>Please write a few sentences regarding the importance of this manuscript for the scientific community. A minimum of 3-4 sentences may be required for this part.</w:t>
            </w:r>
          </w:p>
          <w:p w:rsidR="00683E6D" w:rsidRDefault="00683E6D">
            <w:pPr>
              <w:ind w:left="360"/>
              <w:rPr>
                <w:sz w:val="20"/>
                <w:szCs w:val="20"/>
              </w:rPr>
            </w:pPr>
          </w:p>
        </w:tc>
        <w:tc>
          <w:tcPr>
            <w:tcW w:w="9357" w:type="dxa"/>
          </w:tcPr>
          <w:p w:rsidR="00683E6D" w:rsidRDefault="00400A0D">
            <w:pPr>
              <w:spacing w:before="240" w:after="240"/>
              <w:rPr>
                <w:sz w:val="20"/>
                <w:szCs w:val="20"/>
              </w:rPr>
            </w:pPr>
            <w:r>
              <w:rPr>
                <w:sz w:val="20"/>
                <w:szCs w:val="20"/>
              </w:rPr>
              <w:t>This manuscript explores an important and very current issue: how eating ultra-processed foods</w:t>
            </w:r>
            <w:r>
              <w:rPr>
                <w:sz w:val="20"/>
                <w:szCs w:val="20"/>
              </w:rPr>
              <w:t xml:space="preserve"> (UPFs) might affect the risk of depression in adults. As people around the world rely more and more on these heavily processed foods, it’s crucial to understand what that means for our mental well-being. By reviewing and combining results from multiple st</w:t>
            </w:r>
            <w:r>
              <w:rPr>
                <w:sz w:val="20"/>
                <w:szCs w:val="20"/>
              </w:rPr>
              <w:t>udies, the authors give a clearer picture of whether UPF consumption is linked to depressive symptoms or major depressive disorder (MDD). Their work adds valuable insight to the growing research area known as nutritional psychiatry, an area that looks at h</w:t>
            </w:r>
            <w:r>
              <w:rPr>
                <w:sz w:val="20"/>
                <w:szCs w:val="20"/>
              </w:rPr>
              <w:t>ow what we eat affects our mental health. The findings also highlight the potential role of diet-focused guidance in preventing and treating mental health conditions.</w:t>
            </w:r>
          </w:p>
        </w:tc>
        <w:tc>
          <w:tcPr>
            <w:tcW w:w="6442" w:type="dxa"/>
          </w:tcPr>
          <w:p w:rsidR="00683E6D" w:rsidRDefault="00400A0D">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We sincerely thank the reviewer for recognizing the relevance of this work to the growing</w:t>
            </w:r>
            <w:r>
              <w:rPr>
                <w:rFonts w:ascii="Times New Roman" w:eastAsia="Times New Roman" w:hAnsi="Times New Roman" w:cs="Times New Roman"/>
                <w:b w:val="0"/>
                <w:bCs w:val="0"/>
              </w:rPr>
              <w:t xml:space="preserve"> field of nutritional psychiatry. We agree that understanding the mental health implications of modern dietary patterns, specifically the shift towards ultra-processed foods, is crucial for informing public health guidance and prevention strategies.</w:t>
            </w:r>
          </w:p>
        </w:tc>
      </w:tr>
      <w:tr w:rsidR="00683E6D">
        <w:trPr>
          <w:trHeight w:val="1262"/>
        </w:trPr>
        <w:tc>
          <w:tcPr>
            <w:tcW w:w="5351" w:type="dxa"/>
          </w:tcPr>
          <w:p w:rsidR="00683E6D" w:rsidRDefault="00400A0D">
            <w:pPr>
              <w:ind w:left="360"/>
              <w:rPr>
                <w:sz w:val="20"/>
                <w:szCs w:val="20"/>
              </w:rPr>
            </w:pPr>
            <w:r>
              <w:rPr>
                <w:b/>
                <w:bCs/>
                <w:sz w:val="20"/>
                <w:szCs w:val="20"/>
              </w:rPr>
              <w:t>Is th</w:t>
            </w:r>
            <w:r>
              <w:rPr>
                <w:b/>
                <w:bCs/>
                <w:sz w:val="20"/>
                <w:szCs w:val="20"/>
              </w:rPr>
              <w:t>e title of the article suitable?</w:t>
            </w:r>
          </w:p>
          <w:p w:rsidR="00683E6D" w:rsidRDefault="00400A0D">
            <w:pPr>
              <w:ind w:left="360"/>
              <w:rPr>
                <w:sz w:val="20"/>
                <w:szCs w:val="20"/>
              </w:rPr>
            </w:pPr>
            <w:r>
              <w:rPr>
                <w:b/>
                <w:bCs/>
                <w:sz w:val="20"/>
                <w:szCs w:val="20"/>
              </w:rPr>
              <w:t>(If not please suggest an alternative title)</w:t>
            </w:r>
          </w:p>
          <w:p w:rsidR="00683E6D" w:rsidRDefault="00683E6D">
            <w:pPr>
              <w:pStyle w:val="Heading2"/>
              <w:jc w:val="left"/>
              <w:rPr>
                <w:rFonts w:ascii="Times New Roman" w:eastAsia="Times New Roman" w:hAnsi="Times New Roman" w:cs="Times New Roman"/>
                <w:u w:val="single"/>
              </w:rPr>
            </w:pPr>
          </w:p>
        </w:tc>
        <w:tc>
          <w:tcPr>
            <w:tcW w:w="9357" w:type="dxa"/>
          </w:tcPr>
          <w:p w:rsidR="00683E6D" w:rsidRDefault="00400A0D">
            <w:pPr>
              <w:rPr>
                <w:sz w:val="20"/>
                <w:szCs w:val="20"/>
              </w:rPr>
            </w:pPr>
            <w:r>
              <w:rPr>
                <w:sz w:val="20"/>
                <w:szCs w:val="20"/>
              </w:rPr>
              <w:t>Yes, the current title is suitable. It accurately reflects the study's focus, population, and methodology.</w:t>
            </w:r>
          </w:p>
        </w:tc>
        <w:tc>
          <w:tcPr>
            <w:tcW w:w="6442" w:type="dxa"/>
          </w:tcPr>
          <w:p w:rsidR="00683E6D" w:rsidRDefault="00683E6D">
            <w:pPr>
              <w:pStyle w:val="Heading2"/>
              <w:jc w:val="left"/>
              <w:rPr>
                <w:rFonts w:ascii="Times New Roman" w:eastAsia="Times New Roman" w:hAnsi="Times New Roman" w:cs="Times New Roman"/>
                <w:b w:val="0"/>
                <w:bCs w:val="0"/>
              </w:rPr>
            </w:pPr>
          </w:p>
        </w:tc>
      </w:tr>
      <w:tr w:rsidR="00683E6D">
        <w:trPr>
          <w:trHeight w:val="1262"/>
        </w:trPr>
        <w:tc>
          <w:tcPr>
            <w:tcW w:w="5351" w:type="dxa"/>
          </w:tcPr>
          <w:p w:rsidR="00683E6D" w:rsidRDefault="00400A0D">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rsidR="00683E6D" w:rsidRDefault="00683E6D">
            <w:pPr>
              <w:pStyle w:val="Heading2"/>
              <w:jc w:val="left"/>
              <w:rPr>
                <w:rFonts w:ascii="Times New Roman" w:eastAsia="Times New Roman" w:hAnsi="Times New Roman" w:cs="Times New Roman"/>
                <w:u w:val="single"/>
              </w:rPr>
            </w:pPr>
          </w:p>
        </w:tc>
        <w:tc>
          <w:tcPr>
            <w:tcW w:w="9357" w:type="dxa"/>
          </w:tcPr>
          <w:p w:rsidR="00683E6D" w:rsidRDefault="00400A0D">
            <w:pPr>
              <w:spacing w:before="240" w:after="240"/>
              <w:rPr>
                <w:sz w:val="20"/>
                <w:szCs w:val="20"/>
              </w:rPr>
            </w:pPr>
            <w:r>
              <w:rPr>
                <w:sz w:val="20"/>
                <w:szCs w:val="20"/>
              </w:rPr>
              <w:t>The abstract is overall clear, informative, and logically structured. It effectively outlines the s</w:t>
            </w:r>
            <w:r>
              <w:rPr>
                <w:sz w:val="20"/>
                <w:szCs w:val="20"/>
              </w:rPr>
              <w:t>tudy’s aim, design, methodology, main results, and conclusion. Still, a few adjustments could improve clarity and completeness.</w:t>
            </w:r>
          </w:p>
          <w:p w:rsidR="00683E6D" w:rsidRDefault="00400A0D">
            <w:pPr>
              <w:spacing w:before="240" w:after="240"/>
              <w:rPr>
                <w:sz w:val="20"/>
                <w:szCs w:val="20"/>
              </w:rPr>
            </w:pPr>
            <w:r>
              <w:rPr>
                <w:sz w:val="20"/>
                <w:szCs w:val="20"/>
              </w:rPr>
              <w:t>First, it would be helpful to mention the number of included studies (five) earlier in the methods section to increase transpare</w:t>
            </w:r>
            <w:r>
              <w:rPr>
                <w:sz w:val="20"/>
                <w:szCs w:val="20"/>
              </w:rPr>
              <w:t>ncy. Referencing the use of PRISMA 2020 guidelines would also strengthen the credibility of the methodological approach. In the results section, including the I² statistics would allow readers to better understand the level of heterogeneity across studies.</w:t>
            </w:r>
          </w:p>
          <w:p w:rsidR="00683E6D" w:rsidRDefault="00400A0D">
            <w:pPr>
              <w:spacing w:before="240" w:after="240"/>
              <w:rPr>
                <w:sz w:val="20"/>
                <w:szCs w:val="20"/>
              </w:rPr>
            </w:pPr>
            <w:r>
              <w:rPr>
                <w:sz w:val="20"/>
                <w:szCs w:val="20"/>
              </w:rPr>
              <w:t xml:space="preserve">Lastly, the conclusion could be slightly refined to recognize the observational nature of the evidence. While the findings support the importance of reducing UPF consumption from a public health perspective, it should be noted that additional research is </w:t>
            </w:r>
            <w:r>
              <w:rPr>
                <w:sz w:val="20"/>
                <w:szCs w:val="20"/>
              </w:rPr>
              <w:t>needed to establish a causal relationship.</w:t>
            </w:r>
          </w:p>
        </w:tc>
        <w:tc>
          <w:tcPr>
            <w:tcW w:w="6442" w:type="dxa"/>
          </w:tcPr>
          <w:p w:rsidR="00683E6D" w:rsidRDefault="00400A0D">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We have incorporated all the reviewer's suggestions to improve the abstract's clarity and completeness. Specifically, we have:</w:t>
            </w:r>
          </w:p>
          <w:p w:rsidR="00683E6D" w:rsidRDefault="00683E6D">
            <w:pPr>
              <w:pStyle w:val="Heading2"/>
              <w:jc w:val="left"/>
              <w:rPr>
                <w:rFonts w:ascii="Times New Roman" w:eastAsia="Times New Roman" w:hAnsi="Times New Roman" w:cs="Times New Roman"/>
                <w:b w:val="0"/>
                <w:bCs w:val="0"/>
              </w:rPr>
            </w:pPr>
          </w:p>
          <w:p w:rsidR="00683E6D" w:rsidRDefault="00400A0D">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Explicitly stated in the methods section that 5 studies were included.</w:t>
            </w:r>
          </w:p>
          <w:p w:rsidR="00683E6D" w:rsidRDefault="00683E6D">
            <w:pPr>
              <w:pStyle w:val="Heading2"/>
              <w:jc w:val="left"/>
              <w:rPr>
                <w:rFonts w:ascii="Times New Roman" w:eastAsia="Times New Roman" w:hAnsi="Times New Roman" w:cs="Times New Roman"/>
                <w:b w:val="0"/>
                <w:bCs w:val="0"/>
              </w:rPr>
            </w:pPr>
          </w:p>
          <w:p w:rsidR="00683E6D" w:rsidRDefault="00400A0D">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Referenced th</w:t>
            </w:r>
            <w:r>
              <w:rPr>
                <w:rFonts w:ascii="Times New Roman" w:eastAsia="Times New Roman" w:hAnsi="Times New Roman" w:cs="Times New Roman"/>
                <w:b w:val="0"/>
                <w:bCs w:val="0"/>
              </w:rPr>
              <w:t>e adherence to PRISMA 2020 guidelines.</w:t>
            </w:r>
          </w:p>
          <w:p w:rsidR="00683E6D" w:rsidRDefault="00683E6D">
            <w:pPr>
              <w:pStyle w:val="Heading2"/>
              <w:jc w:val="left"/>
              <w:rPr>
                <w:rFonts w:ascii="Times New Roman" w:eastAsia="Times New Roman" w:hAnsi="Times New Roman" w:cs="Times New Roman"/>
                <w:b w:val="0"/>
                <w:bCs w:val="0"/>
              </w:rPr>
            </w:pPr>
          </w:p>
          <w:p w:rsidR="00683E6D" w:rsidRDefault="00400A0D">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Included the I² statistics (84.9% and 90.2%) in the results to transparently report heterogeneity.</w:t>
            </w:r>
          </w:p>
          <w:p w:rsidR="00683E6D" w:rsidRDefault="00683E6D">
            <w:pPr>
              <w:pStyle w:val="Heading2"/>
              <w:jc w:val="left"/>
              <w:rPr>
                <w:rFonts w:ascii="Times New Roman" w:eastAsia="Times New Roman" w:hAnsi="Times New Roman" w:cs="Times New Roman"/>
                <w:b w:val="0"/>
                <w:bCs w:val="0"/>
              </w:rPr>
            </w:pPr>
          </w:p>
          <w:p w:rsidR="00683E6D" w:rsidRDefault="00400A0D">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Refined the conclusion to acknowledge the observational nature of the evidence and the need for caution regarding causal inference.</w:t>
            </w:r>
          </w:p>
        </w:tc>
      </w:tr>
      <w:tr w:rsidR="00683E6D">
        <w:trPr>
          <w:trHeight w:val="704"/>
        </w:trPr>
        <w:tc>
          <w:tcPr>
            <w:tcW w:w="5351" w:type="dxa"/>
          </w:tcPr>
          <w:p w:rsidR="00683E6D" w:rsidRDefault="00400A0D">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rsidR="00683E6D" w:rsidRDefault="00400A0D">
            <w:pPr>
              <w:spacing w:before="240" w:after="240"/>
              <w:rPr>
                <w:sz w:val="20"/>
                <w:szCs w:val="20"/>
              </w:rPr>
            </w:pPr>
            <w:r>
              <w:rPr>
                <w:sz w:val="20"/>
                <w:szCs w:val="20"/>
              </w:rPr>
              <w:t>Yes.</w:t>
            </w:r>
          </w:p>
        </w:tc>
        <w:tc>
          <w:tcPr>
            <w:tcW w:w="6442" w:type="dxa"/>
          </w:tcPr>
          <w:p w:rsidR="00683E6D" w:rsidRDefault="00683E6D">
            <w:pPr>
              <w:pStyle w:val="Heading2"/>
              <w:jc w:val="left"/>
              <w:rPr>
                <w:rFonts w:ascii="Times New Roman" w:eastAsia="Times New Roman" w:hAnsi="Times New Roman" w:cs="Times New Roman"/>
                <w:b w:val="0"/>
                <w:bCs w:val="0"/>
              </w:rPr>
            </w:pPr>
          </w:p>
        </w:tc>
      </w:tr>
      <w:tr w:rsidR="00683E6D">
        <w:trPr>
          <w:trHeight w:val="703"/>
        </w:trPr>
        <w:tc>
          <w:tcPr>
            <w:tcW w:w="5351" w:type="dxa"/>
          </w:tcPr>
          <w:p w:rsidR="00683E6D" w:rsidRDefault="00400A0D">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rsidR="00683E6D" w:rsidRDefault="00400A0D">
            <w:pPr>
              <w:spacing w:before="240" w:after="240"/>
              <w:rPr>
                <w:color w:val="000000"/>
                <w:sz w:val="20"/>
                <w:szCs w:val="20"/>
              </w:rPr>
            </w:pPr>
            <w:r>
              <w:rPr>
                <w:sz w:val="20"/>
                <w:szCs w:val="20"/>
              </w:rPr>
              <w:t>The manuscript’s reference list is generally appropriate, current, and relevant. Most primary studies cited were published b</w:t>
            </w:r>
            <w:r>
              <w:rPr>
                <w:sz w:val="20"/>
                <w:szCs w:val="20"/>
              </w:rPr>
              <w:t>etween 2019 and 2023, and key methodological sources (PRISMA 2020, the Cochrane Handbook, and STROBE) are correctly referenced. To strengthen the paper further, consider adding one or two recent comprehensive reviews (published in 2022–2023) that examine t</w:t>
            </w:r>
            <w:r>
              <w:rPr>
                <w:sz w:val="20"/>
                <w:szCs w:val="20"/>
              </w:rPr>
              <w:t>he link between ultra-processed food consumption and mental-health outcomes. Narrative or umbrella reviews would be especially helpful to place your findings within the broader, evolving literature. The discussion of biological plausibility could also be e</w:t>
            </w:r>
            <w:r>
              <w:rPr>
                <w:sz w:val="20"/>
                <w:szCs w:val="20"/>
              </w:rPr>
              <w:t>xpanded by citing recent work on the gut–brain axis and diet-induced neuroinflammation. Including up-to-date reviews or primary studies that describe how UPFs may alter gut microbiota, increase systemic inflammation, or affect neuroimmune pathways will rei</w:t>
            </w:r>
            <w:r>
              <w:rPr>
                <w:sz w:val="20"/>
                <w:szCs w:val="20"/>
              </w:rPr>
              <w:t>nforce the proposed mechanisms and deepen the reader’s understanding of potential causal pathways.</w:t>
            </w:r>
          </w:p>
        </w:tc>
        <w:tc>
          <w:tcPr>
            <w:tcW w:w="6442" w:type="dxa"/>
          </w:tcPr>
          <w:p w:rsidR="00683E6D" w:rsidRDefault="00400A0D">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We appreciate this valuable guidance. In the revised manuscript, we have strengthened the literature base by adding recent studies (e.g., Hecht et al., 2022;</w:t>
            </w:r>
            <w:r>
              <w:rPr>
                <w:rFonts w:ascii="Times New Roman" w:eastAsia="Times New Roman" w:hAnsi="Times New Roman" w:cs="Times New Roman"/>
                <w:b w:val="0"/>
                <w:bCs w:val="0"/>
              </w:rPr>
              <w:t xml:space="preserve"> </w:t>
            </w:r>
            <w:proofErr w:type="spellStart"/>
            <w:r>
              <w:rPr>
                <w:rFonts w:ascii="Times New Roman" w:eastAsia="Times New Roman" w:hAnsi="Times New Roman" w:cs="Times New Roman"/>
                <w:b w:val="0"/>
                <w:bCs w:val="0"/>
              </w:rPr>
              <w:t>Samuthpongtorn</w:t>
            </w:r>
            <w:proofErr w:type="spellEnd"/>
            <w:r>
              <w:rPr>
                <w:rFonts w:ascii="Times New Roman" w:eastAsia="Times New Roman" w:hAnsi="Times New Roman" w:cs="Times New Roman"/>
                <w:b w:val="0"/>
                <w:bCs w:val="0"/>
              </w:rPr>
              <w:t xml:space="preserve"> et al., 2023). Furthermore, as suggested, we have incorporated references specifically discussing biological mechanisms, such as the gut-brain axis and diet-induced neuroinflammation (e.g., </w:t>
            </w:r>
            <w:proofErr w:type="spellStart"/>
            <w:r>
              <w:rPr>
                <w:rFonts w:ascii="Times New Roman" w:eastAsia="Times New Roman" w:hAnsi="Times New Roman" w:cs="Times New Roman"/>
                <w:b w:val="0"/>
                <w:bCs w:val="0"/>
              </w:rPr>
              <w:t>Cani</w:t>
            </w:r>
            <w:proofErr w:type="spellEnd"/>
            <w:r>
              <w:rPr>
                <w:rFonts w:ascii="Times New Roman" w:eastAsia="Times New Roman" w:hAnsi="Times New Roman" w:cs="Times New Roman"/>
                <w:b w:val="0"/>
                <w:bCs w:val="0"/>
              </w:rPr>
              <w:t xml:space="preserve"> &amp; Van </w:t>
            </w:r>
            <w:proofErr w:type="spellStart"/>
            <w:r>
              <w:rPr>
                <w:rFonts w:ascii="Times New Roman" w:eastAsia="Times New Roman" w:hAnsi="Times New Roman" w:cs="Times New Roman"/>
                <w:b w:val="0"/>
                <w:bCs w:val="0"/>
              </w:rPr>
              <w:t>Hul</w:t>
            </w:r>
            <w:proofErr w:type="spellEnd"/>
            <w:r>
              <w:rPr>
                <w:rFonts w:ascii="Times New Roman" w:eastAsia="Times New Roman" w:hAnsi="Times New Roman" w:cs="Times New Roman"/>
                <w:b w:val="0"/>
                <w:bCs w:val="0"/>
              </w:rPr>
              <w:t>, 2020; Miller &amp; Raison, 2016), to d</w:t>
            </w:r>
            <w:r>
              <w:rPr>
                <w:rFonts w:ascii="Times New Roman" w:eastAsia="Times New Roman" w:hAnsi="Times New Roman" w:cs="Times New Roman"/>
                <w:b w:val="0"/>
                <w:bCs w:val="0"/>
              </w:rPr>
              <w:t>eepen the discussion of causality.</w:t>
            </w:r>
          </w:p>
        </w:tc>
      </w:tr>
      <w:tr w:rsidR="00683E6D">
        <w:trPr>
          <w:trHeight w:val="386"/>
        </w:trPr>
        <w:tc>
          <w:tcPr>
            <w:tcW w:w="5351" w:type="dxa"/>
          </w:tcPr>
          <w:p w:rsidR="00683E6D" w:rsidRDefault="00400A0D">
            <w:pPr>
              <w:pStyle w:val="Heading2"/>
              <w:ind w:left="360"/>
              <w:jc w:val="left"/>
              <w:rPr>
                <w:rFonts w:ascii="Times New Roman" w:eastAsia="Times New Roman" w:hAnsi="Times New Roman" w:cs="Times New Roman"/>
              </w:rPr>
            </w:pPr>
            <w:r>
              <w:rPr>
                <w:rFonts w:ascii="Times New Roman" w:eastAsia="Times New Roman" w:hAnsi="Times New Roman" w:cs="Times New Roman"/>
              </w:rPr>
              <w:lastRenderedPageBreak/>
              <w:t>Is the language/English quality of the article suitable for scholarly communications?</w:t>
            </w:r>
          </w:p>
          <w:p w:rsidR="00683E6D" w:rsidRDefault="00683E6D">
            <w:pPr>
              <w:rPr>
                <w:sz w:val="20"/>
                <w:szCs w:val="20"/>
              </w:rPr>
            </w:pPr>
          </w:p>
        </w:tc>
        <w:tc>
          <w:tcPr>
            <w:tcW w:w="9357" w:type="dxa"/>
          </w:tcPr>
          <w:p w:rsidR="00683E6D" w:rsidRDefault="00400A0D">
            <w:pPr>
              <w:rPr>
                <w:sz w:val="20"/>
                <w:szCs w:val="20"/>
              </w:rPr>
            </w:pPr>
            <w:r>
              <w:rPr>
                <w:sz w:val="20"/>
                <w:szCs w:val="20"/>
              </w:rPr>
              <w:t>Yes.</w:t>
            </w:r>
          </w:p>
        </w:tc>
        <w:tc>
          <w:tcPr>
            <w:tcW w:w="6442" w:type="dxa"/>
          </w:tcPr>
          <w:p w:rsidR="00683E6D" w:rsidRDefault="00683E6D">
            <w:pPr>
              <w:rPr>
                <w:sz w:val="20"/>
                <w:szCs w:val="20"/>
              </w:rPr>
            </w:pPr>
          </w:p>
        </w:tc>
      </w:tr>
      <w:tr w:rsidR="00683E6D">
        <w:trPr>
          <w:trHeight w:val="1178"/>
        </w:trPr>
        <w:tc>
          <w:tcPr>
            <w:tcW w:w="5351" w:type="dxa"/>
          </w:tcPr>
          <w:p w:rsidR="00683E6D" w:rsidRDefault="00400A0D">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rsidR="00683E6D" w:rsidRDefault="00683E6D">
            <w:pPr>
              <w:pStyle w:val="Heading2"/>
              <w:jc w:val="left"/>
              <w:rPr>
                <w:rFonts w:ascii="Times New Roman" w:eastAsia="Times New Roman" w:hAnsi="Times New Roman" w:cs="Times New Roman"/>
                <w:b w:val="0"/>
                <w:bCs w:val="0"/>
              </w:rPr>
            </w:pPr>
          </w:p>
        </w:tc>
        <w:tc>
          <w:tcPr>
            <w:tcW w:w="9357" w:type="dxa"/>
          </w:tcPr>
          <w:p w:rsidR="00683E6D" w:rsidRDefault="00400A0D">
            <w:pPr>
              <w:spacing w:before="240" w:after="240"/>
              <w:rPr>
                <w:sz w:val="20"/>
                <w:szCs w:val="20"/>
              </w:rPr>
            </w:pPr>
            <w:r>
              <w:rPr>
                <w:sz w:val="20"/>
                <w:szCs w:val="20"/>
              </w:rPr>
              <w:t xml:space="preserve">The manuscript covers an important and timely topic with meaningful public health implications. Still, a few structural and narrative revisions are needed to improve clarity and completeness. Although the manuscript states that PRISMA 2020 guidelines were </w:t>
            </w:r>
            <w:r>
              <w:rPr>
                <w:sz w:val="20"/>
                <w:szCs w:val="20"/>
              </w:rPr>
              <w:t>followed, the corresponding flowchart is missing. Including this diagram is essential to clearly document the study selection process.</w:t>
            </w:r>
          </w:p>
          <w:p w:rsidR="00683E6D" w:rsidRDefault="00400A0D">
            <w:pPr>
              <w:spacing w:before="240" w:after="240"/>
              <w:rPr>
                <w:sz w:val="20"/>
                <w:szCs w:val="20"/>
              </w:rPr>
            </w:pPr>
            <w:r>
              <w:rPr>
                <w:sz w:val="20"/>
                <w:szCs w:val="20"/>
              </w:rPr>
              <w:t>The discussion section is also quite brief and relies heavily on numerical results. Expanding this section with more expl</w:t>
            </w:r>
            <w:r>
              <w:rPr>
                <w:sz w:val="20"/>
                <w:szCs w:val="20"/>
              </w:rPr>
              <w:t>anatory interpretation would better highlight the relevance and impact of the findings. In addition, the absence of a dedicated limitations section reduces the balance of the overall narrative. A concise discussion acknowledging key limitations, such as hi</w:t>
            </w:r>
            <w:r>
              <w:rPr>
                <w:sz w:val="20"/>
                <w:szCs w:val="20"/>
              </w:rPr>
              <w:t>gh heterogeneity, the observational nature of the included studies, and potential residual confounding, would significantly strengthen the manuscript’s scientific rigor.</w:t>
            </w:r>
          </w:p>
          <w:p w:rsidR="00683E6D" w:rsidRDefault="00400A0D">
            <w:pPr>
              <w:spacing w:before="240" w:after="240"/>
              <w:rPr>
                <w:sz w:val="20"/>
                <w:szCs w:val="20"/>
              </w:rPr>
            </w:pPr>
            <w:r>
              <w:rPr>
                <w:sz w:val="20"/>
                <w:szCs w:val="20"/>
              </w:rPr>
              <w:t xml:space="preserve">Addressing these points will improve both the readability and the overall credibility </w:t>
            </w:r>
            <w:r>
              <w:rPr>
                <w:sz w:val="20"/>
                <w:szCs w:val="20"/>
              </w:rPr>
              <w:t>of the article.</w:t>
            </w:r>
          </w:p>
        </w:tc>
        <w:tc>
          <w:tcPr>
            <w:tcW w:w="6442" w:type="dxa"/>
          </w:tcPr>
          <w:p w:rsidR="00683E6D" w:rsidRDefault="00400A0D">
            <w:pPr>
              <w:rPr>
                <w:sz w:val="20"/>
                <w:szCs w:val="20"/>
              </w:rPr>
            </w:pPr>
            <w:r>
              <w:rPr>
                <w:sz w:val="20"/>
                <w:szCs w:val="20"/>
              </w:rPr>
              <w:t>We have addressed these critical structural revisions to improve the manuscript's rigor:</w:t>
            </w:r>
          </w:p>
          <w:p w:rsidR="00683E6D" w:rsidRDefault="00683E6D">
            <w:pPr>
              <w:rPr>
                <w:sz w:val="20"/>
                <w:szCs w:val="20"/>
              </w:rPr>
            </w:pPr>
          </w:p>
          <w:p w:rsidR="00683E6D" w:rsidRDefault="00400A0D">
            <w:pPr>
              <w:rPr>
                <w:sz w:val="20"/>
                <w:szCs w:val="20"/>
              </w:rPr>
            </w:pPr>
            <w:r>
              <w:rPr>
                <w:sz w:val="20"/>
                <w:szCs w:val="20"/>
              </w:rPr>
              <w:t>PRISMA Flowchart: We have inserted a placeholder and reference for the PRISMA 2020 flow diagram in the Results section (Figure 1) to document the sele</w:t>
            </w:r>
            <w:r>
              <w:rPr>
                <w:sz w:val="20"/>
                <w:szCs w:val="20"/>
              </w:rPr>
              <w:t>ction process clearly.</w:t>
            </w:r>
          </w:p>
          <w:p w:rsidR="00683E6D" w:rsidRDefault="00683E6D">
            <w:pPr>
              <w:rPr>
                <w:sz w:val="20"/>
                <w:szCs w:val="20"/>
              </w:rPr>
            </w:pPr>
          </w:p>
          <w:p w:rsidR="00683E6D" w:rsidRDefault="00400A0D">
            <w:pPr>
              <w:rPr>
                <w:sz w:val="20"/>
                <w:szCs w:val="20"/>
              </w:rPr>
            </w:pPr>
            <w:r>
              <w:rPr>
                <w:sz w:val="20"/>
                <w:szCs w:val="20"/>
              </w:rPr>
              <w:t>Expanded Discussion: We have significantly rewritten the Discussion (Section 4) to move beyond numerical results. It now includes a detailed interpretation of biological plausibility, specifically focusing on how UPF additives may a</w:t>
            </w:r>
            <w:r>
              <w:rPr>
                <w:sz w:val="20"/>
                <w:szCs w:val="20"/>
              </w:rPr>
              <w:t>lter gut microbiota and trigger systemic inflammation.</w:t>
            </w:r>
          </w:p>
          <w:p w:rsidR="00683E6D" w:rsidRDefault="00683E6D">
            <w:pPr>
              <w:rPr>
                <w:sz w:val="20"/>
                <w:szCs w:val="20"/>
              </w:rPr>
            </w:pPr>
          </w:p>
          <w:p w:rsidR="00683E6D" w:rsidRDefault="00400A0D">
            <w:pPr>
              <w:rPr>
                <w:sz w:val="20"/>
                <w:szCs w:val="20"/>
              </w:rPr>
            </w:pPr>
            <w:r>
              <w:rPr>
                <w:sz w:val="20"/>
                <w:szCs w:val="20"/>
              </w:rPr>
              <w:t>Limitations Section: We have added a dedicated "Strengths and Limitations" section (Section 3.5) to explicitly acknowledge high heterogeneity, the observational nature of the data, and potential resid</w:t>
            </w:r>
            <w:r>
              <w:rPr>
                <w:sz w:val="20"/>
                <w:szCs w:val="20"/>
              </w:rPr>
              <w:t>ual confounding.</w:t>
            </w:r>
          </w:p>
        </w:tc>
      </w:tr>
    </w:tbl>
    <w:p w:rsidR="00683E6D" w:rsidRDefault="00683E6D">
      <w:pPr>
        <w:pBdr>
          <w:top w:val="nil"/>
          <w:left w:val="nil"/>
          <w:bottom w:val="nil"/>
          <w:right w:val="nil"/>
          <w:between w:val="nil"/>
        </w:pBdr>
        <w:jc w:val="both"/>
        <w:rPr>
          <w:color w:val="000000"/>
          <w:sz w:val="20"/>
          <w:szCs w:val="20"/>
          <w:u w:val="single"/>
        </w:rPr>
      </w:pPr>
    </w:p>
    <w:p w:rsidR="00683E6D" w:rsidRDefault="00683E6D">
      <w:pPr>
        <w:pBdr>
          <w:top w:val="nil"/>
          <w:left w:val="nil"/>
          <w:bottom w:val="nil"/>
          <w:right w:val="nil"/>
          <w:between w:val="nil"/>
        </w:pBdr>
        <w:jc w:val="both"/>
        <w:rPr>
          <w:color w:val="000000"/>
          <w:sz w:val="20"/>
          <w:szCs w:val="20"/>
          <w:u w:val="single"/>
        </w:rPr>
      </w:pPr>
      <w:bookmarkStart w:id="1" w:name="_GoBack"/>
      <w:bookmarkEnd w:id="1"/>
    </w:p>
    <w:p w:rsidR="00683E6D" w:rsidRDefault="00683E6D">
      <w:pPr>
        <w:pBdr>
          <w:top w:val="nil"/>
          <w:left w:val="nil"/>
          <w:bottom w:val="nil"/>
          <w:right w:val="nil"/>
          <w:between w:val="nil"/>
        </w:pBdr>
        <w:jc w:val="both"/>
        <w:rPr>
          <w:color w:val="000000"/>
          <w:sz w:val="20"/>
          <w:szCs w:val="20"/>
          <w:u w:val="single"/>
        </w:rPr>
      </w:pPr>
    </w:p>
    <w:tbl>
      <w:tblPr>
        <w:tblStyle w:val="a8"/>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683E6D">
        <w:trPr>
          <w:trHeight w:val="237"/>
        </w:trPr>
        <w:tc>
          <w:tcPr>
            <w:tcW w:w="21150" w:type="dxa"/>
            <w:gridSpan w:val="3"/>
            <w:tcBorders>
              <w:top w:val="nil"/>
              <w:left w:val="nil"/>
              <w:right w:val="nil"/>
            </w:tcBorders>
            <w:tcMar>
              <w:top w:w="0" w:type="dxa"/>
              <w:left w:w="108" w:type="dxa"/>
              <w:bottom w:w="0" w:type="dxa"/>
              <w:right w:w="108" w:type="dxa"/>
            </w:tcMar>
            <w:vAlign w:val="center"/>
          </w:tcPr>
          <w:p w:rsidR="00683E6D" w:rsidRDefault="00400A0D">
            <w:pPr>
              <w:pBdr>
                <w:top w:val="nil"/>
                <w:left w:val="nil"/>
                <w:bottom w:val="nil"/>
                <w:right w:val="nil"/>
                <w:between w:val="nil"/>
              </w:pBdr>
              <w:rPr>
                <w:color w:val="000000"/>
                <w:sz w:val="20"/>
                <w:szCs w:val="20"/>
                <w:u w:val="single"/>
              </w:rPr>
            </w:pPr>
            <w:r>
              <w:rPr>
                <w:b/>
                <w:bCs/>
                <w:color w:val="000000"/>
                <w:sz w:val="20"/>
                <w:szCs w:val="20"/>
                <w:highlight w:val="yellow"/>
                <w:u w:val="single"/>
              </w:rPr>
              <w:t>PART  2:</w:t>
            </w:r>
            <w:r>
              <w:rPr>
                <w:b/>
                <w:bCs/>
                <w:color w:val="000000"/>
                <w:sz w:val="20"/>
                <w:szCs w:val="20"/>
                <w:u w:val="single"/>
              </w:rPr>
              <w:t xml:space="preserve"> </w:t>
            </w:r>
          </w:p>
          <w:p w:rsidR="00683E6D" w:rsidRDefault="00683E6D">
            <w:pPr>
              <w:pBdr>
                <w:top w:val="nil"/>
                <w:left w:val="nil"/>
                <w:bottom w:val="nil"/>
                <w:right w:val="nil"/>
                <w:between w:val="nil"/>
              </w:pBdr>
              <w:rPr>
                <w:color w:val="000000"/>
                <w:sz w:val="20"/>
                <w:szCs w:val="20"/>
                <w:u w:val="single"/>
              </w:rPr>
            </w:pPr>
          </w:p>
        </w:tc>
      </w:tr>
      <w:tr w:rsidR="00683E6D">
        <w:trPr>
          <w:trHeight w:val="935"/>
        </w:trPr>
        <w:tc>
          <w:tcPr>
            <w:tcW w:w="6831" w:type="dxa"/>
            <w:tcMar>
              <w:top w:w="0" w:type="dxa"/>
              <w:left w:w="108" w:type="dxa"/>
              <w:bottom w:w="0" w:type="dxa"/>
              <w:right w:w="108" w:type="dxa"/>
            </w:tcMar>
            <w:vAlign w:val="center"/>
          </w:tcPr>
          <w:p w:rsidR="00683E6D" w:rsidRDefault="00683E6D">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tcPr>
          <w:p w:rsidR="00683E6D" w:rsidRDefault="00400A0D">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tc>
        <w:tc>
          <w:tcPr>
            <w:tcW w:w="5677" w:type="dxa"/>
          </w:tcPr>
          <w:p w:rsidR="00683E6D" w:rsidRDefault="00400A0D">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rsidR="00683E6D" w:rsidRDefault="00683E6D">
            <w:pPr>
              <w:pStyle w:val="Heading2"/>
              <w:jc w:val="left"/>
              <w:rPr>
                <w:rFonts w:ascii="Times New Roman" w:eastAsia="Times New Roman" w:hAnsi="Times New Roman" w:cs="Times New Roman"/>
                <w:b w:val="0"/>
                <w:bCs w:val="0"/>
              </w:rPr>
            </w:pPr>
          </w:p>
        </w:tc>
      </w:tr>
      <w:tr w:rsidR="00683E6D">
        <w:trPr>
          <w:trHeight w:val="697"/>
        </w:trPr>
        <w:tc>
          <w:tcPr>
            <w:tcW w:w="6831" w:type="dxa"/>
            <w:tcMar>
              <w:top w:w="0" w:type="dxa"/>
              <w:left w:w="108" w:type="dxa"/>
              <w:bottom w:w="0" w:type="dxa"/>
              <w:right w:w="108" w:type="dxa"/>
            </w:tcMar>
            <w:vAlign w:val="center"/>
          </w:tcPr>
          <w:p w:rsidR="00683E6D" w:rsidRDefault="00400A0D">
            <w:pPr>
              <w:pBdr>
                <w:top w:val="nil"/>
                <w:left w:val="nil"/>
                <w:bottom w:val="nil"/>
                <w:right w:val="nil"/>
                <w:between w:val="nil"/>
              </w:pBdr>
              <w:rPr>
                <w:color w:val="000000"/>
                <w:sz w:val="20"/>
                <w:szCs w:val="20"/>
              </w:rPr>
            </w:pPr>
            <w:r>
              <w:rPr>
                <w:b/>
                <w:bCs/>
                <w:color w:val="000000"/>
                <w:sz w:val="20"/>
                <w:szCs w:val="20"/>
              </w:rPr>
              <w:t xml:space="preserve">Are there ethical issues in this manuscript? </w:t>
            </w:r>
          </w:p>
          <w:p w:rsidR="00683E6D" w:rsidRDefault="00683E6D">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vAlign w:val="center"/>
          </w:tcPr>
          <w:p w:rsidR="00683E6D" w:rsidRDefault="00400A0D">
            <w:pPr>
              <w:pBdr>
                <w:top w:val="nil"/>
                <w:left w:val="nil"/>
                <w:bottom w:val="nil"/>
                <w:right w:val="nil"/>
                <w:between w:val="nil"/>
              </w:pBdr>
              <w:rPr>
                <w:color w:val="000000"/>
                <w:sz w:val="20"/>
                <w:szCs w:val="20"/>
              </w:rPr>
            </w:pPr>
            <w:r>
              <w:rPr>
                <w:sz w:val="20"/>
                <w:szCs w:val="20"/>
              </w:rPr>
              <w:t>None.</w:t>
            </w:r>
          </w:p>
          <w:p w:rsidR="00683E6D" w:rsidRDefault="00683E6D">
            <w:pPr>
              <w:pBdr>
                <w:top w:val="nil"/>
                <w:left w:val="nil"/>
                <w:bottom w:val="nil"/>
                <w:right w:val="nil"/>
                <w:between w:val="nil"/>
              </w:pBdr>
              <w:rPr>
                <w:color w:val="000000"/>
                <w:sz w:val="20"/>
                <w:szCs w:val="20"/>
              </w:rPr>
            </w:pPr>
          </w:p>
          <w:p w:rsidR="00683E6D" w:rsidRDefault="00683E6D">
            <w:pPr>
              <w:pBdr>
                <w:top w:val="nil"/>
                <w:left w:val="nil"/>
                <w:bottom w:val="nil"/>
                <w:right w:val="nil"/>
                <w:between w:val="nil"/>
              </w:pBdr>
              <w:rPr>
                <w:color w:val="000000"/>
                <w:sz w:val="20"/>
                <w:szCs w:val="20"/>
              </w:rPr>
            </w:pPr>
          </w:p>
        </w:tc>
        <w:tc>
          <w:tcPr>
            <w:tcW w:w="5677" w:type="dxa"/>
            <w:vAlign w:val="center"/>
          </w:tcPr>
          <w:p w:rsidR="00683E6D" w:rsidRDefault="00683E6D">
            <w:pPr>
              <w:rPr>
                <w:sz w:val="20"/>
                <w:szCs w:val="20"/>
              </w:rPr>
            </w:pPr>
          </w:p>
          <w:p w:rsidR="00683E6D" w:rsidRDefault="00683E6D">
            <w:pPr>
              <w:rPr>
                <w:sz w:val="20"/>
                <w:szCs w:val="20"/>
              </w:rPr>
            </w:pPr>
          </w:p>
          <w:p w:rsidR="00683E6D" w:rsidRDefault="00683E6D">
            <w:pPr>
              <w:rPr>
                <w:sz w:val="20"/>
                <w:szCs w:val="20"/>
              </w:rPr>
            </w:pPr>
          </w:p>
          <w:p w:rsidR="00683E6D" w:rsidRDefault="00683E6D">
            <w:pPr>
              <w:pBdr>
                <w:top w:val="nil"/>
                <w:left w:val="nil"/>
                <w:bottom w:val="nil"/>
                <w:right w:val="nil"/>
                <w:between w:val="nil"/>
              </w:pBdr>
              <w:rPr>
                <w:color w:val="000000"/>
                <w:sz w:val="20"/>
                <w:szCs w:val="20"/>
              </w:rPr>
            </w:pPr>
          </w:p>
        </w:tc>
      </w:tr>
    </w:tbl>
    <w:p w:rsidR="00683E6D" w:rsidRDefault="00683E6D">
      <w:pPr>
        <w:pBdr>
          <w:top w:val="nil"/>
          <w:left w:val="nil"/>
          <w:bottom w:val="nil"/>
          <w:right w:val="nil"/>
          <w:between w:val="nil"/>
        </w:pBdr>
        <w:jc w:val="both"/>
        <w:rPr>
          <w:rFonts w:ascii="Arial" w:eastAsia="Arial" w:hAnsi="Arial" w:cs="Arial"/>
          <w:color w:val="000000"/>
          <w:sz w:val="20"/>
          <w:szCs w:val="20"/>
        </w:rPr>
      </w:pPr>
      <w:bookmarkStart w:id="2" w:name="_heading=h.29ndaxmf8odz" w:colFirst="0" w:colLast="0"/>
      <w:bookmarkEnd w:id="2"/>
    </w:p>
    <w:sectPr w:rsidR="00683E6D">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00A0D" w:rsidRDefault="00400A0D">
      <w:r>
        <w:separator/>
      </w:r>
    </w:p>
  </w:endnote>
  <w:endnote w:type="continuationSeparator" w:id="0">
    <w:p w:rsidR="00400A0D" w:rsidRDefault="00400A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Sylfaen"/>
    <w:charset w:val="00"/>
    <w:family w:val="auto"/>
    <w:pitch w:val="default"/>
    <w:embedRegular r:id="rId1" w:fontKey="{28BFDD4F-7E92-4A60-B43D-E6FAC0C1D2ED}"/>
    <w:embedBold r:id="rId2" w:fontKey="{2E2E2F3A-E587-4754-9CB3-43709F0B19A8}"/>
  </w:font>
  <w:font w:name="Arimo">
    <w:charset w:val="00"/>
    <w:family w:val="auto"/>
    <w:pitch w:val="default"/>
    <w:embedBold r:id="rId3" w:fontKey="{82649653-7F6F-4DA6-AD78-7A33C8CE0E2B}"/>
  </w:font>
  <w:font w:name="Georgia">
    <w:panose1 w:val="02040502050405020303"/>
    <w:charset w:val="00"/>
    <w:family w:val="roman"/>
    <w:pitch w:val="variable"/>
    <w:sig w:usb0="00000287" w:usb1="00000000" w:usb2="00000000" w:usb3="00000000" w:csb0="0000009F" w:csb1="00000000"/>
    <w:embedItalic r:id="rId4" w:fontKey="{C246F901-476D-487B-A690-F1C7BDD21AB3}"/>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5" w:fontKey="{46CA61E5-525B-4677-8A33-A4A57928F714}"/>
  </w:font>
  <w:font w:name="Cambria">
    <w:panose1 w:val="02040503050406030204"/>
    <w:charset w:val="00"/>
    <w:family w:val="roman"/>
    <w:pitch w:val="variable"/>
    <w:sig w:usb0="E00006FF" w:usb1="420024FF" w:usb2="02000000" w:usb3="00000000" w:csb0="0000019F" w:csb1="00000000"/>
    <w:embedRegular r:id="rId6" w:fontKey="{06EA9DEF-AB8D-4FEB-BC11-019AB65FBA8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83E6D" w:rsidRDefault="00400A0D">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00A0D" w:rsidRDefault="00400A0D">
      <w:r>
        <w:separator/>
      </w:r>
    </w:p>
  </w:footnote>
  <w:footnote w:type="continuationSeparator" w:id="0">
    <w:p w:rsidR="00400A0D" w:rsidRDefault="00400A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83E6D" w:rsidRDefault="00683E6D">
    <w:pPr>
      <w:spacing w:after="280"/>
      <w:jc w:val="center"/>
      <w:rPr>
        <w:rFonts w:ascii="Arial" w:eastAsia="Arial" w:hAnsi="Arial" w:cs="Arial"/>
        <w:color w:val="003399"/>
        <w:u w:val="single"/>
      </w:rPr>
    </w:pPr>
  </w:p>
  <w:p w:rsidR="00683E6D" w:rsidRDefault="00400A0D">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2"/>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3E6D"/>
    <w:rsid w:val="00147DD8"/>
    <w:rsid w:val="00400A0D"/>
    <w:rsid w:val="00683E6D"/>
    <w:rsid w:val="009831CB"/>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E1F1497B-C9E3-4FF4-B0CA-DF08AB2266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table" w:customStyle="1" w:styleId="a">
    <w:basedOn w:val="TableNormal1"/>
    <w:tblPr>
      <w:tblStyleRowBandSize w:val="1"/>
      <w:tblStyleColBandSize w:val="1"/>
      <w:tblCellMar>
        <w:top w:w="0" w:type="dxa"/>
        <w:left w:w="0" w:type="dxa"/>
        <w:bottom w:w="0" w:type="dxa"/>
        <w:right w:w="0" w:type="dxa"/>
      </w:tblCellMar>
    </w:tblPr>
  </w:style>
  <w:style w:type="table" w:customStyle="1" w:styleId="a0">
    <w:basedOn w:val="TableNormal1"/>
    <w:tblPr>
      <w:tblStyleRowBandSize w:val="1"/>
      <w:tblStyleColBandSize w:val="1"/>
      <w:tblCellMar>
        <w:top w:w="0" w:type="dxa"/>
        <w:left w:w="108" w:type="dxa"/>
        <w:bottom w:w="0" w:type="dxa"/>
        <w:right w:w="108" w:type="dxa"/>
      </w:tblCellMar>
    </w:tblPr>
  </w:style>
  <w:style w:type="table" w:customStyle="1" w:styleId="a1">
    <w:basedOn w:val="TableNormal1"/>
    <w:tblPr>
      <w:tblStyleRowBandSize w:val="1"/>
      <w:tblStyleColBandSize w:val="1"/>
      <w:tblCellMar>
        <w:top w:w="0" w:type="dxa"/>
        <w:left w:w="0" w:type="dxa"/>
        <w:bottom w:w="0" w:type="dxa"/>
        <w:right w:w="0" w:type="dxa"/>
      </w:tblCellMar>
    </w:tblPr>
  </w:style>
  <w:style w:type="table" w:customStyle="1" w:styleId="a2">
    <w:basedOn w:val="TableNormal1"/>
    <w:tblPr>
      <w:tblStyleRowBandSize w:val="1"/>
      <w:tblStyleColBandSize w:val="1"/>
      <w:tblCellMar>
        <w:top w:w="0" w:type="dxa"/>
        <w:left w:w="0" w:type="dxa"/>
        <w:bottom w:w="0" w:type="dxa"/>
        <w:right w:w="0" w:type="dxa"/>
      </w:tblCellMar>
    </w:tblPr>
  </w:style>
  <w:style w:type="table" w:customStyle="1" w:styleId="a3">
    <w:basedOn w:val="TableNormal1"/>
    <w:tblPr>
      <w:tblStyleRowBandSize w:val="1"/>
      <w:tblStyleColBandSize w:val="1"/>
      <w:tblCellMar>
        <w:top w:w="0" w:type="dxa"/>
        <w:left w:w="0" w:type="dxa"/>
        <w:bottom w:w="0" w:type="dxa"/>
        <w:right w:w="0" w:type="dxa"/>
      </w:tblCellMar>
    </w:tblPr>
  </w:style>
  <w:style w:type="table" w:customStyle="1" w:styleId="a4">
    <w:basedOn w:val="TableNormal1"/>
    <w:tblPr>
      <w:tblStyleRowBandSize w:val="1"/>
      <w:tblStyleColBandSize w:val="1"/>
      <w:tblCellMar>
        <w:top w:w="0" w:type="dxa"/>
        <w:left w:w="0" w:type="dxa"/>
        <w:bottom w:w="0" w:type="dxa"/>
        <w:right w:w="0" w:type="dxa"/>
      </w:tblCellMar>
    </w:tblPr>
  </w:style>
  <w:style w:type="table" w:customStyle="1" w:styleId="a5">
    <w:basedOn w:val="TableNormal1"/>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sid w:val="002B5D84"/>
    <w:rPr>
      <w:color w:val="0000FF" w:themeColor="hyperlink"/>
      <w:u w:val="single"/>
    </w:rPr>
  </w:style>
  <w:style w:type="character" w:styleId="UnresolvedMention">
    <w:name w:val="Unresolved Mention"/>
    <w:basedOn w:val="DefaultParagraphFont"/>
    <w:uiPriority w:val="99"/>
    <w:semiHidden/>
    <w:unhideWhenUsed/>
    <w:rsid w:val="002B5D84"/>
    <w:rPr>
      <w:color w:val="605E5C"/>
      <w:shd w:val="clear" w:color="auto" w:fill="E1DFDD"/>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6">
    <w:basedOn w:val="TableNormal"/>
    <w:tblPr>
      <w:tblStyleRowBandSize w:val="1"/>
      <w:tblStyleColBandSize w:val="1"/>
      <w:tblCellMar>
        <w:left w:w="0" w:type="dxa"/>
        <w:right w:w="0" w:type="dxa"/>
      </w:tblCellMar>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jammr.com/index.php/JAMMR"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68/XCEB1NFvdSJHG7esSkBYhrNg==">CgMxLjAyDmguaHNsdmVpcGJhdWYxMg5oLjI5bmRheG1mOG9kejgAciExd2Faclh3QzBLWm1odXI5T3JNaHYyNVNaYmJlUzUyeUY=</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1099</Words>
  <Characters>6266</Characters>
  <Application>Microsoft Office Word</Application>
  <DocSecurity>0</DocSecurity>
  <Lines>52</Lines>
  <Paragraphs>14</Paragraphs>
  <ScaleCrop>false</ScaleCrop>
  <Company/>
  <LinksUpToDate>false</LinksUpToDate>
  <CharactersWithSpaces>7351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1186</cp:lastModifiedBy>
  <cp:revision>3</cp:revision>
  <dcterms:created xsi:type="dcterms:W3CDTF">2025-12-06T07:44:00Z</dcterms:created>
  <dcterms:modified xsi:type="dcterms:W3CDTF">2025-12-08T08:32:00Z</dcterms:modified>
</cp:coreProperties>
</file>