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5617E" w:rsidRDefault="00A5617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5617E">
        <w:trPr>
          <w:trHeight w:val="290"/>
        </w:trPr>
        <w:tc>
          <w:tcPr>
            <w:tcW w:w="20934" w:type="dxa"/>
            <w:gridSpan w:val="2"/>
            <w:tcBorders>
              <w:top w:val="nil"/>
              <w:left w:val="nil"/>
              <w:right w:val="nil"/>
            </w:tcBorders>
          </w:tcPr>
          <w:p w:rsidR="00A5617E" w:rsidRDefault="00A5617E">
            <w:pPr>
              <w:pStyle w:val="Heading2"/>
              <w:jc w:val="left"/>
              <w:rPr>
                <w:rFonts w:ascii="Arial" w:eastAsia="Arial" w:hAnsi="Arial" w:cs="Arial"/>
                <w:b w:val="0"/>
                <w:bCs w:val="0"/>
                <w:sz w:val="28"/>
                <w:szCs w:val="28"/>
              </w:rPr>
            </w:pPr>
          </w:p>
        </w:tc>
      </w:tr>
      <w:tr w:rsidR="00A5617E">
        <w:trPr>
          <w:trHeight w:val="290"/>
        </w:trPr>
        <w:tc>
          <w:tcPr>
            <w:tcW w:w="5167" w:type="dxa"/>
          </w:tcPr>
          <w:p w:rsidR="00A5617E" w:rsidRDefault="00B626A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A5617E" w:rsidRDefault="00B626AA">
            <w:pPr>
              <w:rPr>
                <w:rFonts w:ascii="Arial" w:eastAsia="Arial" w:hAnsi="Arial" w:cs="Arial"/>
                <w:color w:val="0000FF"/>
                <w:sz w:val="20"/>
                <w:szCs w:val="20"/>
              </w:rPr>
            </w:pPr>
            <w:hyperlink r:id="rId8">
              <w:r>
                <w:rPr>
                  <w:rFonts w:ascii="Arial" w:eastAsia="Arial" w:hAnsi="Arial" w:cs="Arial"/>
                  <w:b/>
                  <w:bCs/>
                  <w:color w:val="0000FF"/>
                  <w:sz w:val="20"/>
                  <w:szCs w:val="20"/>
                  <w:u w:val="single"/>
                </w:rPr>
                <w:t>International Journal of Plant &amp; Soil Science</w:t>
              </w:r>
            </w:hyperlink>
            <w:r>
              <w:rPr>
                <w:rFonts w:ascii="Arial" w:eastAsia="Arial" w:hAnsi="Arial" w:cs="Arial"/>
                <w:b/>
                <w:bCs/>
                <w:color w:val="0000FF"/>
                <w:sz w:val="20"/>
                <w:szCs w:val="20"/>
              </w:rPr>
              <w:t xml:space="preserve"> </w:t>
            </w:r>
          </w:p>
        </w:tc>
      </w:tr>
      <w:tr w:rsidR="00A5617E">
        <w:trPr>
          <w:trHeight w:val="290"/>
        </w:trPr>
        <w:tc>
          <w:tcPr>
            <w:tcW w:w="5167" w:type="dxa"/>
          </w:tcPr>
          <w:p w:rsidR="00A5617E" w:rsidRDefault="00B626A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A5617E" w:rsidRDefault="00B626A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Ms_IJPSS_149728</w:t>
            </w:r>
          </w:p>
        </w:tc>
      </w:tr>
      <w:tr w:rsidR="00A5617E">
        <w:trPr>
          <w:trHeight w:val="650"/>
        </w:trPr>
        <w:tc>
          <w:tcPr>
            <w:tcW w:w="5167" w:type="dxa"/>
          </w:tcPr>
          <w:p w:rsidR="00A5617E" w:rsidRDefault="00B626A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A5617E" w:rsidRDefault="00B626A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Morphological Variation, Ecological Adaptation, and Folk Classification of Ethiopian Sorghum (Sorghum bicolor) Landraces: A Comparative Analysis of Statistical Clustering and Traditional Taxonomy</w:t>
            </w:r>
          </w:p>
        </w:tc>
      </w:tr>
      <w:tr w:rsidR="00A5617E">
        <w:trPr>
          <w:trHeight w:val="332"/>
        </w:trPr>
        <w:tc>
          <w:tcPr>
            <w:tcW w:w="5167" w:type="dxa"/>
          </w:tcPr>
          <w:p w:rsidR="00A5617E" w:rsidRDefault="00B626A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A5617E" w:rsidRDefault="00B626A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Short Research Article</w:t>
            </w:r>
          </w:p>
        </w:tc>
      </w:tr>
    </w:tbl>
    <w:p w:rsidR="00A5617E" w:rsidRDefault="00A5617E">
      <w:pPr>
        <w:pBdr>
          <w:top w:val="nil"/>
          <w:left w:val="nil"/>
          <w:bottom w:val="nil"/>
          <w:right w:val="nil"/>
          <w:between w:val="nil"/>
        </w:pBdr>
        <w:jc w:val="both"/>
        <w:rPr>
          <w:rFonts w:ascii="Arial" w:eastAsia="Arial" w:hAnsi="Arial" w:cs="Arial"/>
          <w:color w:val="000000"/>
          <w:sz w:val="20"/>
          <w:szCs w:val="20"/>
          <w:u w:val="single"/>
        </w:rPr>
      </w:pPr>
      <w:bookmarkStart w:id="0" w:name="_heading=h.ktadvx32e0wx"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11341"/>
        <w:gridCol w:w="4458"/>
      </w:tblGrid>
      <w:tr w:rsidR="00A5617E">
        <w:tc>
          <w:tcPr>
            <w:tcW w:w="21150" w:type="dxa"/>
            <w:gridSpan w:val="3"/>
            <w:tcBorders>
              <w:top w:val="nil"/>
              <w:left w:val="nil"/>
              <w:right w:val="nil"/>
            </w:tcBorders>
          </w:tcPr>
          <w:p w:rsidR="00A5617E" w:rsidRDefault="00B626AA">
            <w:pPr>
              <w:pStyle w:val="Heading2"/>
              <w:jc w:val="left"/>
              <w:rPr>
                <w:rFonts w:ascii="Times New Roman" w:eastAsia="Times New Roman" w:hAnsi="Times New Roman" w:cs="Times New Roman"/>
              </w:rPr>
            </w:pPr>
            <w:bookmarkStart w:id="1" w:name="_GoBack"/>
            <w:bookmarkEnd w:id="1"/>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A5617E" w:rsidRDefault="00A5617E">
            <w:pPr>
              <w:rPr>
                <w:sz w:val="20"/>
                <w:szCs w:val="20"/>
              </w:rPr>
            </w:pPr>
          </w:p>
        </w:tc>
      </w:tr>
      <w:tr w:rsidR="00A5617E">
        <w:tc>
          <w:tcPr>
            <w:tcW w:w="5351" w:type="dxa"/>
          </w:tcPr>
          <w:p w:rsidR="00A5617E" w:rsidRDefault="00A5617E">
            <w:pPr>
              <w:pStyle w:val="Heading2"/>
              <w:jc w:val="left"/>
              <w:rPr>
                <w:rFonts w:ascii="Times New Roman" w:eastAsia="Times New Roman" w:hAnsi="Times New Roman" w:cs="Times New Roman"/>
              </w:rPr>
            </w:pPr>
          </w:p>
        </w:tc>
        <w:tc>
          <w:tcPr>
            <w:tcW w:w="11341" w:type="dxa"/>
          </w:tcPr>
          <w:p w:rsidR="00A5617E" w:rsidRDefault="00B626AA">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A5617E" w:rsidRDefault="00B626AA">
            <w:pPr>
              <w:rPr>
                <w:sz w:val="20"/>
                <w:szCs w:val="20"/>
              </w:rPr>
            </w:pPr>
            <w:r>
              <w:rPr>
                <w:b/>
                <w:bCs/>
                <w:sz w:val="20"/>
                <w:szCs w:val="20"/>
                <w:highlight w:val="yellow"/>
              </w:rPr>
              <w:t>Artificial Intelligence (AI) generated or assisted review comments are strictly prohibited during peer review.</w:t>
            </w:r>
          </w:p>
          <w:p w:rsidR="00A5617E" w:rsidRDefault="00A5617E"/>
        </w:tc>
        <w:tc>
          <w:tcPr>
            <w:tcW w:w="4458" w:type="dxa"/>
          </w:tcPr>
          <w:p w:rsidR="00A5617E" w:rsidRDefault="00B626AA">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A5617E" w:rsidRDefault="00A5617E">
            <w:pPr>
              <w:pStyle w:val="Heading2"/>
              <w:jc w:val="left"/>
              <w:rPr>
                <w:rFonts w:ascii="Times New Roman" w:eastAsia="Times New Roman" w:hAnsi="Times New Roman" w:cs="Times New Roman"/>
                <w:b w:val="0"/>
                <w:bCs w:val="0"/>
              </w:rPr>
            </w:pPr>
          </w:p>
        </w:tc>
      </w:tr>
      <w:tr w:rsidR="00A5617E">
        <w:trPr>
          <w:trHeight w:val="1264"/>
        </w:trPr>
        <w:tc>
          <w:tcPr>
            <w:tcW w:w="5351" w:type="dxa"/>
          </w:tcPr>
          <w:p w:rsidR="00A5617E" w:rsidRDefault="00B626AA">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A5617E" w:rsidRDefault="00A5617E">
            <w:pPr>
              <w:ind w:left="360"/>
              <w:rPr>
                <w:sz w:val="20"/>
                <w:szCs w:val="20"/>
              </w:rPr>
            </w:pPr>
          </w:p>
        </w:tc>
        <w:tc>
          <w:tcPr>
            <w:tcW w:w="11341" w:type="dxa"/>
          </w:tcPr>
          <w:p w:rsidR="00A5617E" w:rsidRDefault="00A5617E">
            <w:pPr>
              <w:pBdr>
                <w:top w:val="nil"/>
                <w:left w:val="nil"/>
                <w:bottom w:val="nil"/>
                <w:right w:val="nil"/>
                <w:between w:val="nil"/>
              </w:pBdr>
              <w:rPr>
                <w:color w:val="000000"/>
                <w:sz w:val="20"/>
                <w:szCs w:val="20"/>
              </w:rPr>
            </w:pPr>
          </w:p>
        </w:tc>
        <w:tc>
          <w:tcPr>
            <w:tcW w:w="4458" w:type="dxa"/>
          </w:tcPr>
          <w:p w:rsidR="00A5617E" w:rsidRDefault="00A5617E">
            <w:pPr>
              <w:pStyle w:val="Heading2"/>
              <w:jc w:val="left"/>
              <w:rPr>
                <w:rFonts w:ascii="Times New Roman" w:eastAsia="Times New Roman" w:hAnsi="Times New Roman" w:cs="Times New Roman"/>
                <w:b w:val="0"/>
                <w:bCs w:val="0"/>
              </w:rPr>
            </w:pPr>
          </w:p>
        </w:tc>
      </w:tr>
      <w:tr w:rsidR="00A5617E">
        <w:trPr>
          <w:trHeight w:val="1262"/>
        </w:trPr>
        <w:tc>
          <w:tcPr>
            <w:tcW w:w="5351" w:type="dxa"/>
          </w:tcPr>
          <w:p w:rsidR="00A5617E" w:rsidRDefault="00B626AA">
            <w:pPr>
              <w:ind w:left="360"/>
              <w:rPr>
                <w:sz w:val="20"/>
                <w:szCs w:val="20"/>
              </w:rPr>
            </w:pPr>
            <w:r>
              <w:rPr>
                <w:b/>
                <w:bCs/>
                <w:sz w:val="20"/>
                <w:szCs w:val="20"/>
              </w:rPr>
              <w:t>Is the title of the article suitable?</w:t>
            </w:r>
          </w:p>
          <w:p w:rsidR="00A5617E" w:rsidRDefault="00B626AA">
            <w:pPr>
              <w:ind w:left="360"/>
              <w:rPr>
                <w:sz w:val="20"/>
                <w:szCs w:val="20"/>
              </w:rPr>
            </w:pPr>
            <w:r>
              <w:rPr>
                <w:b/>
                <w:bCs/>
                <w:sz w:val="20"/>
                <w:szCs w:val="20"/>
              </w:rPr>
              <w:t>(If not please suggest an alternative title)</w:t>
            </w:r>
          </w:p>
          <w:p w:rsidR="00A5617E" w:rsidRDefault="00A5617E">
            <w:pPr>
              <w:pStyle w:val="Heading2"/>
              <w:jc w:val="left"/>
              <w:rPr>
                <w:rFonts w:ascii="Times New Roman" w:eastAsia="Times New Roman" w:hAnsi="Times New Roman" w:cs="Times New Roman"/>
                <w:u w:val="single"/>
              </w:rPr>
            </w:pPr>
          </w:p>
        </w:tc>
        <w:tc>
          <w:tcPr>
            <w:tcW w:w="11341" w:type="dxa"/>
          </w:tcPr>
          <w:p w:rsidR="00A5617E" w:rsidRDefault="00A5617E">
            <w:pPr>
              <w:ind w:left="360"/>
              <w:rPr>
                <w:sz w:val="20"/>
                <w:szCs w:val="20"/>
              </w:rPr>
            </w:pPr>
          </w:p>
        </w:tc>
        <w:tc>
          <w:tcPr>
            <w:tcW w:w="4458" w:type="dxa"/>
          </w:tcPr>
          <w:p w:rsidR="00A5617E" w:rsidRDefault="00A5617E">
            <w:pPr>
              <w:pStyle w:val="Heading2"/>
              <w:jc w:val="left"/>
              <w:rPr>
                <w:rFonts w:ascii="Times New Roman" w:eastAsia="Times New Roman" w:hAnsi="Times New Roman" w:cs="Times New Roman"/>
                <w:b w:val="0"/>
                <w:bCs w:val="0"/>
              </w:rPr>
            </w:pPr>
          </w:p>
        </w:tc>
      </w:tr>
      <w:tr w:rsidR="00A5617E">
        <w:trPr>
          <w:trHeight w:val="1262"/>
        </w:trPr>
        <w:tc>
          <w:tcPr>
            <w:tcW w:w="5351" w:type="dxa"/>
          </w:tcPr>
          <w:p w:rsidR="00A5617E" w:rsidRDefault="00B626AA">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A5617E" w:rsidRDefault="00A5617E">
            <w:pPr>
              <w:pStyle w:val="Heading2"/>
              <w:jc w:val="left"/>
              <w:rPr>
                <w:rFonts w:ascii="Times New Roman" w:eastAsia="Times New Roman" w:hAnsi="Times New Roman" w:cs="Times New Roman"/>
                <w:u w:val="single"/>
              </w:rPr>
            </w:pPr>
          </w:p>
        </w:tc>
        <w:tc>
          <w:tcPr>
            <w:tcW w:w="11341" w:type="dxa"/>
          </w:tcPr>
          <w:p w:rsidR="00A5617E" w:rsidRDefault="00A5617E">
            <w:pPr>
              <w:ind w:left="360"/>
              <w:rPr>
                <w:sz w:val="20"/>
                <w:szCs w:val="20"/>
              </w:rPr>
            </w:pPr>
          </w:p>
        </w:tc>
        <w:tc>
          <w:tcPr>
            <w:tcW w:w="4458" w:type="dxa"/>
          </w:tcPr>
          <w:p w:rsidR="00A5617E" w:rsidRDefault="00A5617E">
            <w:pPr>
              <w:pStyle w:val="Heading2"/>
              <w:jc w:val="left"/>
              <w:rPr>
                <w:rFonts w:ascii="Times New Roman" w:eastAsia="Times New Roman" w:hAnsi="Times New Roman" w:cs="Times New Roman"/>
                <w:b w:val="0"/>
                <w:bCs w:val="0"/>
              </w:rPr>
            </w:pPr>
          </w:p>
        </w:tc>
      </w:tr>
      <w:tr w:rsidR="00A5617E">
        <w:trPr>
          <w:trHeight w:val="704"/>
        </w:trPr>
        <w:tc>
          <w:tcPr>
            <w:tcW w:w="5351" w:type="dxa"/>
          </w:tcPr>
          <w:p w:rsidR="00A5617E" w:rsidRDefault="00B626AA">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11341" w:type="dxa"/>
          </w:tcPr>
          <w:p w:rsidR="00A5617E" w:rsidRDefault="00A5617E">
            <w:pPr>
              <w:pBdr>
                <w:top w:val="nil"/>
                <w:left w:val="nil"/>
                <w:bottom w:val="nil"/>
                <w:right w:val="nil"/>
                <w:between w:val="nil"/>
              </w:pBdr>
              <w:rPr>
                <w:color w:val="000000"/>
                <w:sz w:val="20"/>
                <w:szCs w:val="20"/>
              </w:rPr>
            </w:pPr>
          </w:p>
        </w:tc>
        <w:tc>
          <w:tcPr>
            <w:tcW w:w="4458" w:type="dxa"/>
          </w:tcPr>
          <w:p w:rsidR="00A5617E" w:rsidRDefault="00A5617E">
            <w:pPr>
              <w:pStyle w:val="Heading2"/>
              <w:jc w:val="left"/>
              <w:rPr>
                <w:rFonts w:ascii="Times New Roman" w:eastAsia="Times New Roman" w:hAnsi="Times New Roman" w:cs="Times New Roman"/>
                <w:b w:val="0"/>
                <w:bCs w:val="0"/>
              </w:rPr>
            </w:pPr>
          </w:p>
        </w:tc>
      </w:tr>
      <w:tr w:rsidR="00A5617E">
        <w:trPr>
          <w:trHeight w:val="703"/>
        </w:trPr>
        <w:tc>
          <w:tcPr>
            <w:tcW w:w="5351" w:type="dxa"/>
          </w:tcPr>
          <w:p w:rsidR="00A5617E" w:rsidRDefault="00B626AA">
            <w:pPr>
              <w:ind w:left="360"/>
              <w:rPr>
                <w:sz w:val="20"/>
                <w:szCs w:val="20"/>
              </w:rPr>
            </w:pPr>
            <w:r>
              <w:rPr>
                <w:b/>
                <w:bCs/>
                <w:sz w:val="20"/>
                <w:szCs w:val="20"/>
              </w:rPr>
              <w:t>Are the references sufficient and recent? If you have suggestions of additional references, please mention them in the review form.</w:t>
            </w:r>
          </w:p>
        </w:tc>
        <w:tc>
          <w:tcPr>
            <w:tcW w:w="11341" w:type="dxa"/>
          </w:tcPr>
          <w:p w:rsidR="00A5617E" w:rsidRDefault="00A5617E">
            <w:pPr>
              <w:pBdr>
                <w:top w:val="nil"/>
                <w:left w:val="nil"/>
                <w:bottom w:val="nil"/>
                <w:right w:val="nil"/>
                <w:between w:val="nil"/>
              </w:pBdr>
              <w:rPr>
                <w:color w:val="000000"/>
                <w:sz w:val="20"/>
                <w:szCs w:val="20"/>
              </w:rPr>
            </w:pPr>
          </w:p>
        </w:tc>
        <w:tc>
          <w:tcPr>
            <w:tcW w:w="4458" w:type="dxa"/>
          </w:tcPr>
          <w:p w:rsidR="00A5617E" w:rsidRDefault="00A5617E">
            <w:pPr>
              <w:pStyle w:val="Heading2"/>
              <w:jc w:val="left"/>
              <w:rPr>
                <w:rFonts w:ascii="Times New Roman" w:eastAsia="Times New Roman" w:hAnsi="Times New Roman" w:cs="Times New Roman"/>
                <w:b w:val="0"/>
                <w:bCs w:val="0"/>
              </w:rPr>
            </w:pPr>
          </w:p>
        </w:tc>
      </w:tr>
      <w:tr w:rsidR="00A5617E">
        <w:trPr>
          <w:trHeight w:val="386"/>
        </w:trPr>
        <w:tc>
          <w:tcPr>
            <w:tcW w:w="5351" w:type="dxa"/>
          </w:tcPr>
          <w:p w:rsidR="00A5617E" w:rsidRDefault="00B626AA">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A5617E" w:rsidRDefault="00A5617E">
            <w:pPr>
              <w:rPr>
                <w:sz w:val="20"/>
                <w:szCs w:val="20"/>
              </w:rPr>
            </w:pPr>
          </w:p>
        </w:tc>
        <w:tc>
          <w:tcPr>
            <w:tcW w:w="11341" w:type="dxa"/>
          </w:tcPr>
          <w:p w:rsidR="00A5617E" w:rsidRDefault="00A5617E">
            <w:pPr>
              <w:rPr>
                <w:sz w:val="20"/>
                <w:szCs w:val="20"/>
              </w:rPr>
            </w:pPr>
          </w:p>
        </w:tc>
        <w:tc>
          <w:tcPr>
            <w:tcW w:w="4458" w:type="dxa"/>
          </w:tcPr>
          <w:p w:rsidR="00A5617E" w:rsidRDefault="00A5617E">
            <w:pPr>
              <w:rPr>
                <w:sz w:val="20"/>
                <w:szCs w:val="20"/>
              </w:rPr>
            </w:pPr>
          </w:p>
        </w:tc>
      </w:tr>
      <w:tr w:rsidR="00A5617E">
        <w:trPr>
          <w:trHeight w:val="1178"/>
        </w:trPr>
        <w:tc>
          <w:tcPr>
            <w:tcW w:w="5351" w:type="dxa"/>
          </w:tcPr>
          <w:p w:rsidR="00A5617E" w:rsidRDefault="00B626AA">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lastRenderedPageBreak/>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A5617E" w:rsidRDefault="00A5617E">
            <w:pPr>
              <w:pStyle w:val="Heading2"/>
              <w:jc w:val="left"/>
              <w:rPr>
                <w:rFonts w:ascii="Times New Roman" w:eastAsia="Times New Roman" w:hAnsi="Times New Roman" w:cs="Times New Roman"/>
                <w:b w:val="0"/>
                <w:bCs w:val="0"/>
              </w:rPr>
            </w:pPr>
          </w:p>
        </w:tc>
        <w:tc>
          <w:tcPr>
            <w:tcW w:w="11341" w:type="dxa"/>
          </w:tcPr>
          <w:p w:rsidR="00A5617E" w:rsidRDefault="00B626AA">
            <w:pPr>
              <w:pBdr>
                <w:top w:val="nil"/>
                <w:left w:val="nil"/>
                <w:bottom w:val="nil"/>
                <w:right w:val="nil"/>
                <w:between w:val="nil"/>
              </w:pBdr>
              <w:rPr>
                <w:rFonts w:ascii="Arimo" w:eastAsia="Arimo" w:hAnsi="Arimo" w:cs="Arimo"/>
                <w:color w:val="000000"/>
              </w:rPr>
            </w:pPr>
            <w:r>
              <w:rPr>
                <w:rFonts w:ascii="Arimo" w:eastAsia="Arimo" w:hAnsi="Arimo" w:cs="Arimo"/>
                <w:color w:val="000000"/>
              </w:rPr>
              <w:t>Morphological Variation, Ecological Adaptation, and Folk Classification of Ethiopian Sorghum (Sorghum bicolor) Landraces: A Comparative Analysis of Statistical Clustering and Traditional Taxonomy</w:t>
            </w:r>
          </w:p>
          <w:p w:rsidR="00A5617E" w:rsidRDefault="00A5617E">
            <w:pPr>
              <w:pBdr>
                <w:top w:val="nil"/>
                <w:left w:val="nil"/>
                <w:bottom w:val="nil"/>
                <w:right w:val="nil"/>
                <w:between w:val="nil"/>
              </w:pBdr>
              <w:rPr>
                <w:color w:val="000000"/>
                <w:sz w:val="20"/>
                <w:szCs w:val="20"/>
              </w:rPr>
            </w:pPr>
          </w:p>
          <w:p w:rsidR="00A5617E" w:rsidRDefault="00B626AA">
            <w:pPr>
              <w:pBdr>
                <w:top w:val="nil"/>
                <w:left w:val="nil"/>
                <w:bottom w:val="nil"/>
                <w:right w:val="nil"/>
                <w:between w:val="nil"/>
              </w:pBdr>
              <w:rPr>
                <w:rFonts w:ascii="Arimo" w:eastAsia="Arimo" w:hAnsi="Arimo" w:cs="Arimo"/>
                <w:color w:val="000000"/>
              </w:rPr>
            </w:pPr>
            <w:r>
              <w:rPr>
                <w:rFonts w:ascii="Arimo" w:eastAsia="Arimo" w:hAnsi="Arimo" w:cs="Arimo"/>
                <w:color w:val="000000"/>
              </w:rPr>
              <w:t xml:space="preserve">The manuscript presents a relevant and well-designed study </w:t>
            </w:r>
            <w:r>
              <w:rPr>
                <w:rFonts w:ascii="Arimo" w:eastAsia="Arimo" w:hAnsi="Arimo" w:cs="Arimo"/>
                <w:color w:val="000000"/>
              </w:rPr>
              <w:t>exploring the morphological diversity, ecological adaptation, and folk classification of Ethiopian sorghum landraces. The use of a Randomized Block Design (RBD) is appropriate, and the statistical methods are robust and correctly applied. Overall, the stud</w:t>
            </w:r>
            <w:r>
              <w:rPr>
                <w:rFonts w:ascii="Arimo" w:eastAsia="Arimo" w:hAnsi="Arimo" w:cs="Arimo"/>
                <w:color w:val="000000"/>
              </w:rPr>
              <w:t>y contributes valuable insights to the field.</w:t>
            </w:r>
          </w:p>
          <w:p w:rsidR="00A5617E" w:rsidRDefault="00A5617E">
            <w:pPr>
              <w:pBdr>
                <w:top w:val="nil"/>
                <w:left w:val="nil"/>
                <w:bottom w:val="nil"/>
                <w:right w:val="nil"/>
                <w:between w:val="nil"/>
              </w:pBdr>
              <w:rPr>
                <w:color w:val="000000"/>
                <w:sz w:val="20"/>
                <w:szCs w:val="20"/>
              </w:rPr>
            </w:pPr>
          </w:p>
          <w:p w:rsidR="00A5617E" w:rsidRDefault="00B626AA">
            <w:pPr>
              <w:pBdr>
                <w:top w:val="nil"/>
                <w:left w:val="nil"/>
                <w:bottom w:val="nil"/>
                <w:right w:val="nil"/>
                <w:between w:val="nil"/>
              </w:pBdr>
              <w:rPr>
                <w:rFonts w:ascii="Arimo" w:eastAsia="Arimo" w:hAnsi="Arimo" w:cs="Arimo"/>
                <w:color w:val="000000"/>
              </w:rPr>
            </w:pPr>
            <w:r>
              <w:rPr>
                <w:rFonts w:ascii="Arimo" w:eastAsia="Arimo" w:hAnsi="Arimo" w:cs="Arimo"/>
                <w:color w:val="000000"/>
              </w:rPr>
              <w:t>ABSTRACT</w:t>
            </w:r>
          </w:p>
          <w:p w:rsidR="00A5617E" w:rsidRDefault="00B626AA">
            <w:pPr>
              <w:pBdr>
                <w:top w:val="nil"/>
                <w:left w:val="nil"/>
                <w:bottom w:val="nil"/>
                <w:right w:val="nil"/>
                <w:between w:val="nil"/>
              </w:pBdr>
              <w:rPr>
                <w:rFonts w:ascii="Arimo" w:eastAsia="Arimo" w:hAnsi="Arimo" w:cs="Arimo"/>
                <w:color w:val="000000"/>
              </w:rPr>
            </w:pPr>
            <w:r>
              <w:rPr>
                <w:rFonts w:ascii="Arimo" w:eastAsia="Arimo" w:hAnsi="Arimo" w:cs="Arimo"/>
                <w:color w:val="000000"/>
              </w:rPr>
              <w:t>The abstract is clear, well-organized, and effectively summarizes the study’s purpose, methods, key results, and implications. To improve clarity and maximize impact, the following refinements are recommended:</w:t>
            </w:r>
          </w:p>
          <w:p w:rsidR="00A5617E" w:rsidRDefault="00A5617E">
            <w:pPr>
              <w:pBdr>
                <w:top w:val="nil"/>
                <w:left w:val="nil"/>
                <w:bottom w:val="nil"/>
                <w:right w:val="nil"/>
                <w:between w:val="nil"/>
              </w:pBdr>
              <w:rPr>
                <w:color w:val="000000"/>
                <w:sz w:val="20"/>
                <w:szCs w:val="20"/>
              </w:rPr>
            </w:pPr>
          </w:p>
          <w:p w:rsidR="00A5617E" w:rsidRDefault="00B626AA">
            <w:pPr>
              <w:numPr>
                <w:ilvl w:val="0"/>
                <w:numId w:val="1"/>
              </w:numPr>
              <w:pBdr>
                <w:top w:val="nil"/>
                <w:left w:val="nil"/>
                <w:bottom w:val="nil"/>
                <w:right w:val="nil"/>
                <w:between w:val="nil"/>
              </w:pBdr>
              <w:rPr>
                <w:rFonts w:ascii="Arimo" w:eastAsia="Arimo" w:hAnsi="Arimo" w:cs="Arimo"/>
                <w:color w:val="000000"/>
              </w:rPr>
            </w:pPr>
            <w:r>
              <w:rPr>
                <w:rFonts w:ascii="Arimo" w:eastAsia="Arimo" w:hAnsi="Arimo" w:cs="Arimo"/>
                <w:color w:val="000000"/>
              </w:rPr>
              <w:t>Spell out and capitalize Canonical Discrimina</w:t>
            </w:r>
            <w:r>
              <w:rPr>
                <w:rFonts w:ascii="Arimo" w:eastAsia="Arimo" w:hAnsi="Arimo" w:cs="Arimo"/>
                <w:color w:val="000000"/>
              </w:rPr>
              <w:t>nt Analysis (CDA) at first mention.</w:t>
            </w:r>
          </w:p>
          <w:p w:rsidR="00A5617E" w:rsidRDefault="00B626AA">
            <w:pPr>
              <w:numPr>
                <w:ilvl w:val="0"/>
                <w:numId w:val="1"/>
              </w:numPr>
              <w:pBdr>
                <w:top w:val="nil"/>
                <w:left w:val="nil"/>
                <w:bottom w:val="nil"/>
                <w:right w:val="nil"/>
                <w:between w:val="nil"/>
              </w:pBdr>
              <w:rPr>
                <w:rFonts w:ascii="Arimo" w:eastAsia="Arimo" w:hAnsi="Arimo" w:cs="Arimo"/>
                <w:color w:val="000000"/>
              </w:rPr>
            </w:pPr>
            <w:r>
              <w:rPr>
                <w:rFonts w:ascii="Arimo" w:eastAsia="Arimo" w:hAnsi="Arimo" w:cs="Arimo"/>
                <w:color w:val="000000"/>
              </w:rPr>
              <w:t xml:space="preserve"> Italicize Latin terms such as in situ for standard scientific formatting.</w:t>
            </w:r>
          </w:p>
          <w:p w:rsidR="00A5617E" w:rsidRDefault="00A5617E">
            <w:pPr>
              <w:pBdr>
                <w:top w:val="nil"/>
                <w:left w:val="nil"/>
                <w:bottom w:val="nil"/>
                <w:right w:val="nil"/>
                <w:between w:val="nil"/>
              </w:pBdr>
              <w:rPr>
                <w:rFonts w:ascii="Arimo" w:eastAsia="Arimo" w:hAnsi="Arimo" w:cs="Arimo"/>
                <w:color w:val="000000"/>
              </w:rPr>
            </w:pPr>
          </w:p>
          <w:p w:rsidR="00A5617E" w:rsidRDefault="00B626AA">
            <w:pPr>
              <w:numPr>
                <w:ilvl w:val="0"/>
                <w:numId w:val="2"/>
              </w:numPr>
              <w:pBdr>
                <w:top w:val="nil"/>
                <w:left w:val="nil"/>
                <w:bottom w:val="nil"/>
                <w:right w:val="nil"/>
                <w:between w:val="nil"/>
              </w:pBdr>
              <w:rPr>
                <w:rFonts w:ascii="Arimo" w:eastAsia="Arimo" w:hAnsi="Arimo" w:cs="Arimo"/>
                <w:color w:val="000000"/>
              </w:rPr>
            </w:pPr>
            <w:r>
              <w:rPr>
                <w:rFonts w:ascii="Arimo" w:eastAsia="Arimo" w:hAnsi="Arimo" w:cs="Arimo"/>
                <w:color w:val="000000"/>
              </w:rPr>
              <w:t>Introduction</w:t>
            </w:r>
          </w:p>
          <w:p w:rsidR="00A5617E" w:rsidRDefault="00B626AA">
            <w:pPr>
              <w:pBdr>
                <w:top w:val="nil"/>
                <w:left w:val="nil"/>
                <w:bottom w:val="nil"/>
                <w:right w:val="nil"/>
                <w:between w:val="nil"/>
              </w:pBdr>
              <w:ind w:left="360"/>
              <w:rPr>
                <w:rFonts w:ascii="Arimo" w:eastAsia="Arimo" w:hAnsi="Arimo" w:cs="Arimo"/>
                <w:color w:val="000000"/>
              </w:rPr>
            </w:pPr>
            <w:r>
              <w:rPr>
                <w:rFonts w:ascii="Arimo" w:eastAsia="Arimo" w:hAnsi="Arimo" w:cs="Arimo"/>
                <w:color w:val="000000"/>
              </w:rPr>
              <w:t>The Introduction effectively establishes the global and national significance of sorghum, emphasizing its critical role in Ethiopia’s agriculture and food security. It clearly identifies the research gap by noting that previous studies have documented sorg</w:t>
            </w:r>
            <w:r>
              <w:rPr>
                <w:rFonts w:ascii="Arimo" w:eastAsia="Arimo" w:hAnsi="Arimo" w:cs="Arimo"/>
                <w:color w:val="000000"/>
              </w:rPr>
              <w:t>hum diversity but have not adequately examined altitude-specific influences or compared farmers’ folk classification with statistical clustering. The study’s objectives and research questions follow logically from this gap, aiming to assess morphological v</w:t>
            </w:r>
            <w:r>
              <w:rPr>
                <w:rFonts w:ascii="Arimo" w:eastAsia="Arimo" w:hAnsi="Arimo" w:cs="Arimo"/>
                <w:color w:val="000000"/>
              </w:rPr>
              <w:t>ariation, explore ecological adaptation across altitudes, and evaluate the correspondence between folk and scientific classification systems. The hypotheses are clearly stated, linking general expectations about diversity patterns with specific, testable p</w:t>
            </w:r>
            <w:r>
              <w:rPr>
                <w:rFonts w:ascii="Arimo" w:eastAsia="Arimo" w:hAnsi="Arimo" w:cs="Arimo"/>
                <w:color w:val="000000"/>
              </w:rPr>
              <w:t>redictions regarding altitude effects and classification agreement.</w:t>
            </w:r>
          </w:p>
          <w:p w:rsidR="00A5617E" w:rsidRDefault="00A5617E">
            <w:pPr>
              <w:pBdr>
                <w:top w:val="nil"/>
                <w:left w:val="nil"/>
                <w:bottom w:val="nil"/>
                <w:right w:val="nil"/>
                <w:between w:val="nil"/>
              </w:pBdr>
              <w:ind w:left="360"/>
              <w:rPr>
                <w:rFonts w:ascii="Arimo" w:eastAsia="Arimo" w:hAnsi="Arimo" w:cs="Arimo"/>
                <w:color w:val="000000"/>
              </w:rPr>
            </w:pPr>
          </w:p>
          <w:p w:rsidR="00A5617E" w:rsidRDefault="00B626AA">
            <w:pPr>
              <w:numPr>
                <w:ilvl w:val="0"/>
                <w:numId w:val="2"/>
              </w:numPr>
              <w:pBdr>
                <w:top w:val="nil"/>
                <w:left w:val="nil"/>
                <w:bottom w:val="nil"/>
                <w:right w:val="nil"/>
                <w:between w:val="nil"/>
              </w:pBdr>
              <w:rPr>
                <w:rFonts w:ascii="Arimo" w:eastAsia="Arimo" w:hAnsi="Arimo" w:cs="Arimo"/>
                <w:color w:val="000000"/>
              </w:rPr>
            </w:pPr>
            <w:r>
              <w:rPr>
                <w:rFonts w:ascii="Arimo" w:eastAsia="Arimo" w:hAnsi="Arimo" w:cs="Arimo"/>
                <w:color w:val="000000"/>
              </w:rPr>
              <w:t>Literature review</w:t>
            </w:r>
          </w:p>
          <w:p w:rsidR="00A5617E" w:rsidRDefault="00B626AA">
            <w:pPr>
              <w:pBdr>
                <w:top w:val="nil"/>
                <w:left w:val="nil"/>
                <w:bottom w:val="nil"/>
                <w:right w:val="nil"/>
                <w:between w:val="nil"/>
              </w:pBdr>
              <w:rPr>
                <w:rFonts w:ascii="Arimo" w:eastAsia="Arimo" w:hAnsi="Arimo" w:cs="Arimo"/>
                <w:color w:val="000000"/>
              </w:rPr>
            </w:pPr>
            <w:r>
              <w:rPr>
                <w:rFonts w:ascii="Arimo" w:eastAsia="Arimo" w:hAnsi="Arimo" w:cs="Arimo"/>
                <w:color w:val="000000"/>
              </w:rPr>
              <w:t>The Literature Review highlights the significance of sorghum in Ethiopia, noting its wide ecological distribution and substantial genetic diversity shaped by environment</w:t>
            </w:r>
            <w:r>
              <w:rPr>
                <w:rFonts w:ascii="Arimo" w:eastAsia="Arimo" w:hAnsi="Arimo" w:cs="Arimo"/>
                <w:color w:val="000000"/>
              </w:rPr>
              <w:t>al variation and farmer selection. It summarizes previous findings on morphological diversity, referencing key studies such as Abdi et al. (2002), which provide the foundation for examining trait variation among landraces. The review also contrasts farmers</w:t>
            </w:r>
            <w:r>
              <w:rPr>
                <w:rFonts w:ascii="Arimo" w:eastAsia="Arimo" w:hAnsi="Arimo" w:cs="Arimo"/>
                <w:color w:val="000000"/>
              </w:rPr>
              <w:t>’ folk taxonomy—based on observable traits and practical utility—with scientific classification systems grounded in morphological and genetic criteria, emphasizing the strengths and limitations of each. Finally, it underscores the value of integrating folk</w:t>
            </w:r>
            <w:r>
              <w:rPr>
                <w:rFonts w:ascii="Arimo" w:eastAsia="Arimo" w:hAnsi="Arimo" w:cs="Arimo"/>
                <w:color w:val="000000"/>
              </w:rPr>
              <w:t xml:space="preserve"> knowledge with formal scientific approaches to better understand sorghum diversity and improve classification accuracy.</w:t>
            </w:r>
          </w:p>
          <w:p w:rsidR="00A5617E" w:rsidRDefault="00A5617E">
            <w:pPr>
              <w:pBdr>
                <w:top w:val="nil"/>
                <w:left w:val="nil"/>
                <w:bottom w:val="nil"/>
                <w:right w:val="nil"/>
                <w:between w:val="nil"/>
              </w:pBdr>
              <w:rPr>
                <w:rFonts w:ascii="Arimo" w:eastAsia="Arimo" w:hAnsi="Arimo" w:cs="Arimo"/>
                <w:color w:val="000000"/>
              </w:rPr>
            </w:pPr>
          </w:p>
          <w:p w:rsidR="00A5617E" w:rsidRDefault="00B626AA">
            <w:pPr>
              <w:numPr>
                <w:ilvl w:val="0"/>
                <w:numId w:val="2"/>
              </w:numPr>
              <w:pBdr>
                <w:top w:val="nil"/>
                <w:left w:val="nil"/>
                <w:bottom w:val="nil"/>
                <w:right w:val="nil"/>
                <w:between w:val="nil"/>
              </w:pBdr>
              <w:rPr>
                <w:rFonts w:ascii="Arimo" w:eastAsia="Arimo" w:hAnsi="Arimo" w:cs="Arimo"/>
                <w:color w:val="000000"/>
              </w:rPr>
            </w:pPr>
            <w:r>
              <w:rPr>
                <w:rFonts w:ascii="Arimo" w:eastAsia="Arimo" w:hAnsi="Arimo" w:cs="Arimo"/>
                <w:color w:val="000000"/>
              </w:rPr>
              <w:t>METHODOLOGY</w:t>
            </w:r>
          </w:p>
          <w:p w:rsidR="00A5617E" w:rsidRDefault="00B626AA">
            <w:pPr>
              <w:pBdr>
                <w:top w:val="nil"/>
                <w:left w:val="nil"/>
                <w:bottom w:val="nil"/>
                <w:right w:val="nil"/>
                <w:between w:val="nil"/>
              </w:pBdr>
              <w:rPr>
                <w:rFonts w:ascii="Arimo" w:eastAsia="Arimo" w:hAnsi="Arimo" w:cs="Arimo"/>
                <w:color w:val="000000"/>
              </w:rPr>
            </w:pPr>
            <w:r>
              <w:rPr>
                <w:rFonts w:ascii="Arimo" w:eastAsia="Arimo" w:hAnsi="Arimo" w:cs="Arimo"/>
                <w:color w:val="000000"/>
              </w:rPr>
              <w:t>This methodology section is comprehensive, detailing the data sources, variables, preparation steps, and analytical method</w:t>
            </w:r>
            <w:r>
              <w:rPr>
                <w:rFonts w:ascii="Arimo" w:eastAsia="Arimo" w:hAnsi="Arimo" w:cs="Arimo"/>
                <w:color w:val="000000"/>
              </w:rPr>
              <w:t>s. It clearly grounds the current study in the foundational work of Abdi et al. (2002) and Teshome et al. (1997).</w:t>
            </w:r>
          </w:p>
          <w:p w:rsidR="00A5617E" w:rsidRDefault="00A5617E">
            <w:pPr>
              <w:pBdr>
                <w:top w:val="nil"/>
                <w:left w:val="nil"/>
                <w:bottom w:val="nil"/>
                <w:right w:val="nil"/>
                <w:between w:val="nil"/>
              </w:pBdr>
              <w:rPr>
                <w:rFonts w:ascii="Arimo" w:eastAsia="Arimo" w:hAnsi="Arimo" w:cs="Arimo"/>
                <w:color w:val="000000"/>
              </w:rPr>
            </w:pPr>
          </w:p>
          <w:p w:rsidR="00A5617E" w:rsidRDefault="00A5617E">
            <w:pPr>
              <w:pBdr>
                <w:top w:val="nil"/>
                <w:left w:val="nil"/>
                <w:bottom w:val="nil"/>
                <w:right w:val="nil"/>
                <w:between w:val="nil"/>
              </w:pBdr>
              <w:rPr>
                <w:rFonts w:ascii="Arimo" w:eastAsia="Arimo" w:hAnsi="Arimo" w:cs="Arimo"/>
                <w:color w:val="000000"/>
              </w:rPr>
            </w:pPr>
          </w:p>
          <w:p w:rsidR="00A5617E" w:rsidRDefault="00B626AA">
            <w:pPr>
              <w:numPr>
                <w:ilvl w:val="0"/>
                <w:numId w:val="2"/>
              </w:numPr>
              <w:pBdr>
                <w:top w:val="nil"/>
                <w:left w:val="nil"/>
                <w:bottom w:val="nil"/>
                <w:right w:val="nil"/>
                <w:between w:val="nil"/>
              </w:pBdr>
              <w:rPr>
                <w:rFonts w:ascii="Arimo" w:eastAsia="Arimo" w:hAnsi="Arimo" w:cs="Arimo"/>
                <w:color w:val="000000"/>
              </w:rPr>
            </w:pPr>
            <w:r>
              <w:rPr>
                <w:rFonts w:ascii="Arimo" w:eastAsia="Arimo" w:hAnsi="Arimo" w:cs="Arimo"/>
                <w:color w:val="000000"/>
              </w:rPr>
              <w:t xml:space="preserve">Results &amp; Discussion This entire section (4. Results &amp; Discussion and 5. Discussion) is highly detailed and </w:t>
            </w:r>
            <w:proofErr w:type="spellStart"/>
            <w:r>
              <w:rPr>
                <w:rFonts w:ascii="Arimo" w:eastAsia="Arimo" w:hAnsi="Arimo" w:cs="Arimo"/>
                <w:color w:val="000000"/>
              </w:rPr>
              <w:t>wellstructured</w:t>
            </w:r>
            <w:proofErr w:type="spellEnd"/>
            <w:r>
              <w:rPr>
                <w:rFonts w:ascii="Arimo" w:eastAsia="Arimo" w:hAnsi="Arimo" w:cs="Arimo"/>
                <w:color w:val="000000"/>
              </w:rPr>
              <w:t>, presenting the study's findings and interpretation logically. The information is clearly sourced from the foundational studies.</w:t>
            </w:r>
          </w:p>
          <w:p w:rsidR="00A5617E" w:rsidRDefault="00A5617E">
            <w:pPr>
              <w:pBdr>
                <w:top w:val="nil"/>
                <w:left w:val="nil"/>
                <w:bottom w:val="nil"/>
                <w:right w:val="nil"/>
                <w:between w:val="nil"/>
              </w:pBdr>
              <w:rPr>
                <w:rFonts w:ascii="Arimo" w:eastAsia="Arimo" w:hAnsi="Arimo" w:cs="Arimo"/>
                <w:color w:val="000000"/>
              </w:rPr>
            </w:pPr>
          </w:p>
          <w:p w:rsidR="00A5617E" w:rsidRDefault="00B626AA">
            <w:pPr>
              <w:numPr>
                <w:ilvl w:val="0"/>
                <w:numId w:val="2"/>
              </w:numPr>
              <w:pBdr>
                <w:top w:val="nil"/>
                <w:left w:val="nil"/>
                <w:bottom w:val="nil"/>
                <w:right w:val="nil"/>
                <w:between w:val="nil"/>
              </w:pBdr>
              <w:rPr>
                <w:rFonts w:ascii="Arimo" w:eastAsia="Arimo" w:hAnsi="Arimo" w:cs="Arimo"/>
                <w:color w:val="000000"/>
              </w:rPr>
            </w:pPr>
            <w:r>
              <w:rPr>
                <w:rFonts w:ascii="Arimo" w:eastAsia="Arimo" w:hAnsi="Arimo" w:cs="Arimo"/>
                <w:color w:val="000000"/>
              </w:rPr>
              <w:t>CON</w:t>
            </w:r>
            <w:r>
              <w:rPr>
                <w:rFonts w:ascii="Arimo" w:eastAsia="Arimo" w:hAnsi="Arimo" w:cs="Arimo"/>
                <w:color w:val="000000"/>
              </w:rPr>
              <w:t>CLUSION This final section (Conclusion, Recommendations, and Limitations) effectively summarizes the entire paper. It is brief and hits all the necessary points: key findings, main contribution, and future directions.</w:t>
            </w:r>
          </w:p>
          <w:p w:rsidR="00A5617E" w:rsidRDefault="00A5617E">
            <w:pPr>
              <w:pBdr>
                <w:top w:val="nil"/>
                <w:left w:val="nil"/>
                <w:bottom w:val="nil"/>
                <w:right w:val="nil"/>
                <w:between w:val="nil"/>
              </w:pBdr>
              <w:rPr>
                <w:rFonts w:ascii="Arimo" w:eastAsia="Arimo" w:hAnsi="Arimo" w:cs="Arimo"/>
                <w:color w:val="000000"/>
              </w:rPr>
            </w:pPr>
          </w:p>
          <w:p w:rsidR="00A5617E" w:rsidRDefault="00A5617E">
            <w:pPr>
              <w:pBdr>
                <w:top w:val="nil"/>
                <w:left w:val="nil"/>
                <w:bottom w:val="nil"/>
                <w:right w:val="nil"/>
                <w:between w:val="nil"/>
              </w:pBdr>
              <w:rPr>
                <w:rFonts w:ascii="Arimo" w:eastAsia="Arimo" w:hAnsi="Arimo" w:cs="Arimo"/>
                <w:color w:val="000000"/>
              </w:rPr>
            </w:pPr>
          </w:p>
          <w:p w:rsidR="00A5617E" w:rsidRDefault="00B626AA">
            <w:pPr>
              <w:pBdr>
                <w:top w:val="nil"/>
                <w:left w:val="nil"/>
                <w:bottom w:val="nil"/>
                <w:right w:val="nil"/>
                <w:between w:val="nil"/>
              </w:pBdr>
              <w:rPr>
                <w:rFonts w:ascii="Arimo" w:eastAsia="Arimo" w:hAnsi="Arimo" w:cs="Arimo"/>
                <w:color w:val="000000"/>
              </w:rPr>
            </w:pPr>
            <w:r>
              <w:rPr>
                <w:rFonts w:ascii="Arimo" w:eastAsia="Arimo" w:hAnsi="Arimo" w:cs="Arimo"/>
                <w:color w:val="000000"/>
              </w:rPr>
              <w:t>Final Verdict: The authors should ad</w:t>
            </w:r>
            <w:r>
              <w:rPr>
                <w:rFonts w:ascii="Arimo" w:eastAsia="Arimo" w:hAnsi="Arimo" w:cs="Arimo"/>
                <w:color w:val="000000"/>
              </w:rPr>
              <w:t xml:space="preserve">dress the three minor revisions requested by the peer reviewer and incorporate the general formatting and </w:t>
            </w:r>
            <w:proofErr w:type="spellStart"/>
            <w:r>
              <w:rPr>
                <w:rFonts w:ascii="Arimo" w:eastAsia="Arimo" w:hAnsi="Arimo" w:cs="Arimo"/>
                <w:color w:val="000000"/>
              </w:rPr>
              <w:t>standardisation</w:t>
            </w:r>
            <w:proofErr w:type="spellEnd"/>
            <w:r>
              <w:rPr>
                <w:rFonts w:ascii="Arimo" w:eastAsia="Arimo" w:hAnsi="Arimo" w:cs="Arimo"/>
                <w:color w:val="000000"/>
              </w:rPr>
              <w:t xml:space="preserve"> suggestions to ensure the manuscript meets the highest academic standards before final acceptance. 1. Standardization of Acronyms: Spe</w:t>
            </w:r>
            <w:r>
              <w:rPr>
                <w:rFonts w:ascii="Arimo" w:eastAsia="Arimo" w:hAnsi="Arimo" w:cs="Arimo"/>
                <w:color w:val="000000"/>
              </w:rPr>
              <w:t xml:space="preserve">ll out and capitalize Canonical Discriminant Analysis (CDA) at first mention in the Abstract and Methodology. 2. Formatting of Latin Terms: Italicize the Latin phrase in situ in the Recommendations section. 3. Unit Consistency: Ensure consistent use of m </w:t>
            </w:r>
            <w:proofErr w:type="spellStart"/>
            <w:r>
              <w:rPr>
                <w:rFonts w:ascii="Arimo" w:eastAsia="Arimo" w:hAnsi="Arimo" w:cs="Arimo"/>
                <w:color w:val="000000"/>
              </w:rPr>
              <w:t>a</w:t>
            </w:r>
            <w:r>
              <w:rPr>
                <w:rFonts w:ascii="Arimo" w:eastAsia="Arimo" w:hAnsi="Arimo" w:cs="Arimo"/>
                <w:color w:val="000000"/>
              </w:rPr>
              <w:t>.s.l</w:t>
            </w:r>
            <w:proofErr w:type="spellEnd"/>
            <w:r>
              <w:rPr>
                <w:rFonts w:ascii="Arimo" w:eastAsia="Arimo" w:hAnsi="Arimo" w:cs="Arimo"/>
                <w:color w:val="000000"/>
              </w:rPr>
              <w:t>. and appropriate Shannon Diversity Index symbol (H’) for better academic formatting.</w:t>
            </w:r>
          </w:p>
        </w:tc>
        <w:tc>
          <w:tcPr>
            <w:tcW w:w="4458" w:type="dxa"/>
          </w:tcPr>
          <w:p w:rsidR="00A5617E" w:rsidRDefault="00B626AA">
            <w:pPr>
              <w:rPr>
                <w:sz w:val="20"/>
                <w:szCs w:val="20"/>
              </w:rPr>
            </w:pPr>
            <w:r>
              <w:rPr>
                <w:sz w:val="20"/>
                <w:szCs w:val="20"/>
              </w:rPr>
              <w:lastRenderedPageBreak/>
              <w:t>I have addressed all the issues you mentioned and made additional edits to improve the manuscript. Please let me know if there are any further suggestions.</w:t>
            </w:r>
          </w:p>
        </w:tc>
      </w:tr>
    </w:tbl>
    <w:p w:rsidR="00A5617E" w:rsidRDefault="00A5617E">
      <w:pPr>
        <w:pBdr>
          <w:top w:val="nil"/>
          <w:left w:val="nil"/>
          <w:bottom w:val="nil"/>
          <w:right w:val="nil"/>
          <w:between w:val="nil"/>
        </w:pBdr>
        <w:jc w:val="both"/>
        <w:rPr>
          <w:color w:val="000000"/>
          <w:sz w:val="20"/>
          <w:szCs w:val="20"/>
          <w:u w:val="single"/>
        </w:rPr>
      </w:pPr>
    </w:p>
    <w:p w:rsidR="00A5617E" w:rsidRDefault="00A5617E">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5617E">
        <w:trPr>
          <w:trHeight w:val="237"/>
        </w:trPr>
        <w:tc>
          <w:tcPr>
            <w:tcW w:w="21150" w:type="dxa"/>
            <w:gridSpan w:val="3"/>
            <w:tcBorders>
              <w:top w:val="nil"/>
              <w:left w:val="nil"/>
              <w:right w:val="nil"/>
            </w:tcBorders>
            <w:tcMar>
              <w:top w:w="0" w:type="dxa"/>
              <w:left w:w="108" w:type="dxa"/>
              <w:bottom w:w="0" w:type="dxa"/>
              <w:right w:w="108" w:type="dxa"/>
            </w:tcMar>
            <w:vAlign w:val="center"/>
          </w:tcPr>
          <w:p w:rsidR="00A5617E" w:rsidRDefault="00B626AA">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A5617E" w:rsidRDefault="00A5617E">
            <w:pPr>
              <w:pBdr>
                <w:top w:val="nil"/>
                <w:left w:val="nil"/>
                <w:bottom w:val="nil"/>
                <w:right w:val="nil"/>
                <w:between w:val="nil"/>
              </w:pBdr>
              <w:rPr>
                <w:color w:val="000000"/>
                <w:sz w:val="20"/>
                <w:szCs w:val="20"/>
                <w:u w:val="single"/>
              </w:rPr>
            </w:pPr>
          </w:p>
        </w:tc>
      </w:tr>
      <w:tr w:rsidR="00A5617E">
        <w:trPr>
          <w:trHeight w:val="935"/>
        </w:trPr>
        <w:tc>
          <w:tcPr>
            <w:tcW w:w="6831" w:type="dxa"/>
            <w:tcMar>
              <w:top w:w="0" w:type="dxa"/>
              <w:left w:w="108" w:type="dxa"/>
              <w:bottom w:w="0" w:type="dxa"/>
              <w:right w:w="108" w:type="dxa"/>
            </w:tcMar>
            <w:vAlign w:val="center"/>
          </w:tcPr>
          <w:p w:rsidR="00A5617E" w:rsidRDefault="00A5617E">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A5617E" w:rsidRDefault="00B626AA">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A5617E" w:rsidRDefault="00B626AA">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A5617E" w:rsidRDefault="00A5617E">
            <w:pPr>
              <w:pStyle w:val="Heading2"/>
              <w:jc w:val="left"/>
              <w:rPr>
                <w:rFonts w:ascii="Times New Roman" w:eastAsia="Times New Roman" w:hAnsi="Times New Roman" w:cs="Times New Roman"/>
                <w:b w:val="0"/>
                <w:bCs w:val="0"/>
              </w:rPr>
            </w:pPr>
          </w:p>
        </w:tc>
      </w:tr>
      <w:tr w:rsidR="00A5617E">
        <w:trPr>
          <w:trHeight w:val="697"/>
        </w:trPr>
        <w:tc>
          <w:tcPr>
            <w:tcW w:w="6831" w:type="dxa"/>
            <w:tcMar>
              <w:top w:w="0" w:type="dxa"/>
              <w:left w:w="108" w:type="dxa"/>
              <w:bottom w:w="0" w:type="dxa"/>
              <w:right w:w="108" w:type="dxa"/>
            </w:tcMar>
            <w:vAlign w:val="center"/>
          </w:tcPr>
          <w:p w:rsidR="00A5617E" w:rsidRDefault="00B626AA">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A5617E" w:rsidRDefault="00A5617E">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A5617E" w:rsidRDefault="00B626AA">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rsidR="00A5617E" w:rsidRDefault="00A5617E">
            <w:pPr>
              <w:pBdr>
                <w:top w:val="nil"/>
                <w:left w:val="nil"/>
                <w:bottom w:val="nil"/>
                <w:right w:val="nil"/>
                <w:between w:val="nil"/>
              </w:pBdr>
              <w:rPr>
                <w:color w:val="000000"/>
                <w:sz w:val="20"/>
                <w:szCs w:val="20"/>
              </w:rPr>
            </w:pPr>
          </w:p>
          <w:p w:rsidR="00A5617E" w:rsidRDefault="00A5617E">
            <w:pPr>
              <w:pBdr>
                <w:top w:val="nil"/>
                <w:left w:val="nil"/>
                <w:bottom w:val="nil"/>
                <w:right w:val="nil"/>
                <w:between w:val="nil"/>
              </w:pBdr>
              <w:rPr>
                <w:color w:val="000000"/>
                <w:sz w:val="20"/>
                <w:szCs w:val="20"/>
              </w:rPr>
            </w:pPr>
          </w:p>
        </w:tc>
        <w:tc>
          <w:tcPr>
            <w:tcW w:w="5677" w:type="dxa"/>
            <w:vAlign w:val="center"/>
          </w:tcPr>
          <w:p w:rsidR="00A5617E" w:rsidRDefault="00A5617E">
            <w:pPr>
              <w:rPr>
                <w:sz w:val="20"/>
                <w:szCs w:val="20"/>
              </w:rPr>
            </w:pPr>
          </w:p>
          <w:p w:rsidR="00A5617E" w:rsidRDefault="00A5617E">
            <w:pPr>
              <w:rPr>
                <w:sz w:val="20"/>
                <w:szCs w:val="20"/>
              </w:rPr>
            </w:pPr>
          </w:p>
          <w:p w:rsidR="00A5617E" w:rsidRDefault="00A5617E">
            <w:pPr>
              <w:rPr>
                <w:sz w:val="20"/>
                <w:szCs w:val="20"/>
              </w:rPr>
            </w:pPr>
          </w:p>
          <w:p w:rsidR="00A5617E" w:rsidRDefault="00A5617E">
            <w:pPr>
              <w:pBdr>
                <w:top w:val="nil"/>
                <w:left w:val="nil"/>
                <w:bottom w:val="nil"/>
                <w:right w:val="nil"/>
                <w:between w:val="nil"/>
              </w:pBdr>
              <w:rPr>
                <w:color w:val="000000"/>
                <w:sz w:val="20"/>
                <w:szCs w:val="20"/>
              </w:rPr>
            </w:pPr>
          </w:p>
        </w:tc>
      </w:tr>
    </w:tbl>
    <w:p w:rsidR="00A5617E" w:rsidRDefault="00A5617E">
      <w:pPr>
        <w:pBdr>
          <w:top w:val="nil"/>
          <w:left w:val="nil"/>
          <w:bottom w:val="nil"/>
          <w:right w:val="nil"/>
          <w:between w:val="nil"/>
        </w:pBdr>
        <w:jc w:val="both"/>
        <w:rPr>
          <w:rFonts w:ascii="Arial" w:eastAsia="Arial" w:hAnsi="Arial" w:cs="Arial"/>
          <w:color w:val="000000"/>
          <w:sz w:val="20"/>
          <w:szCs w:val="20"/>
        </w:rPr>
      </w:pPr>
    </w:p>
    <w:sectPr w:rsidR="00A5617E">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626AA" w:rsidRDefault="00B626AA">
      <w:r>
        <w:separator/>
      </w:r>
    </w:p>
  </w:endnote>
  <w:endnote w:type="continuationSeparator" w:id="0">
    <w:p w:rsidR="00B626AA" w:rsidRDefault="00B626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244302D-5C5F-4529-B6B0-4D3E8364E364}"/>
  </w:font>
  <w:font w:name="Courier New">
    <w:panose1 w:val="02070309020205020404"/>
    <w:charset w:val="00"/>
    <w:family w:val="modern"/>
    <w:pitch w:val="fixed"/>
    <w:sig w:usb0="E0002EFF" w:usb1="C0007843" w:usb2="00000009" w:usb3="00000000" w:csb0="000001FF" w:csb1="00000000"/>
  </w:font>
  <w:font w:name="Helvetica Neue">
    <w:charset w:val="00"/>
    <w:family w:val="auto"/>
    <w:pitch w:val="default"/>
    <w:embedRegular r:id="rId2" w:fontKey="{C30C6B8F-ED9B-4B09-9AD2-482CEB9B2E61}"/>
    <w:embedBold r:id="rId3" w:fontKey="{5CCE161A-22CB-4D11-B9FE-492A996C027E}"/>
  </w:font>
  <w:font w:name="Arimo">
    <w:charset w:val="00"/>
    <w:family w:val="auto"/>
    <w:pitch w:val="default"/>
    <w:embedRegular r:id="rId4" w:fontKey="{EFAD73FF-D543-46A6-BC59-21ADAD759A7E}"/>
    <w:embedBold r:id="rId5" w:fontKey="{EAACBC85-5323-4C72-9241-BD6CC13621C6}"/>
  </w:font>
  <w:font w:name="Helvetica">
    <w:panose1 w:val="020B0604020202020204"/>
    <w:charset w:val="00"/>
    <w:family w:val="swiss"/>
    <w:pitch w:val="variable"/>
    <w:sig w:usb0="E0002EFF" w:usb1="C000785B" w:usb2="00000009" w:usb3="00000000" w:csb0="000001FF" w:csb1="00000000"/>
    <w:embedRegular r:id="rId6" w:fontKey="{08011841-955E-4963-90F2-2044093FFDFD}"/>
    <w:embedBold r:id="rId7" w:fontKey="{BADC11B0-98FD-472B-ADE5-998644726226}"/>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8" w:fontKey="{5621490E-8C77-485E-A79D-47B9FB293DF1}"/>
  </w:font>
  <w:font w:name="Georgia">
    <w:panose1 w:val="02040502050405020303"/>
    <w:charset w:val="00"/>
    <w:family w:val="roman"/>
    <w:pitch w:val="variable"/>
    <w:sig w:usb0="00000287" w:usb1="00000000" w:usb2="00000000" w:usb3="00000000" w:csb0="0000009F" w:csb1="00000000"/>
    <w:embedItalic r:id="rId9" w:fontKey="{F6CB768F-15D0-41C3-A68E-2DDA976BA65B}"/>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1F54B525-1CE1-46A8-9456-D27D3D84C4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617E" w:rsidRDefault="00B626A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626AA" w:rsidRDefault="00B626AA">
      <w:r>
        <w:separator/>
      </w:r>
    </w:p>
  </w:footnote>
  <w:footnote w:type="continuationSeparator" w:id="0">
    <w:p w:rsidR="00B626AA" w:rsidRDefault="00B626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617E" w:rsidRDefault="00A5617E">
    <w:pPr>
      <w:spacing w:after="280"/>
      <w:jc w:val="center"/>
      <w:rPr>
        <w:rFonts w:ascii="Arial" w:eastAsia="Arial" w:hAnsi="Arial" w:cs="Arial"/>
        <w:color w:val="003399"/>
        <w:u w:val="single"/>
      </w:rPr>
    </w:pPr>
  </w:p>
  <w:p w:rsidR="00A5617E" w:rsidRDefault="00B626AA">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9C73A5A"/>
    <w:multiLevelType w:val="multilevel"/>
    <w:tmpl w:val="81B809F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6B0445D2"/>
    <w:multiLevelType w:val="multilevel"/>
    <w:tmpl w:val="9A56735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617E"/>
    <w:rsid w:val="0057227F"/>
    <w:rsid w:val="005839B6"/>
    <w:rsid w:val="00A5617E"/>
    <w:rsid w:val="00B626A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C7BFDC1-D7C0-4D4C-87C2-DCE96AB1F1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ijpss.com/index.php/IJPS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vuvLFSI81T3PNh8j3yoaC+wAPw==">CgMxLjAyDmgua3RhZHZ4MzJlMHd4OAByITFEaE03LXZRRlZjUlR3UDdfZG1IcG9mSWYwNUhvWnN1NA==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860</Words>
  <Characters>4908</Characters>
  <Application>Microsoft Office Word</Application>
  <DocSecurity>0</DocSecurity>
  <Lines>40</Lines>
  <Paragraphs>11</Paragraphs>
  <ScaleCrop>false</ScaleCrop>
  <Company/>
  <LinksUpToDate>false</LinksUpToDate>
  <CharactersWithSpaces>5757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3</cp:revision>
  <dcterms:created xsi:type="dcterms:W3CDTF">2011-08-01T09:21:00Z</dcterms:created>
  <dcterms:modified xsi:type="dcterms:W3CDTF">2025-12-16T07:07:00Z</dcterms:modified>
</cp:coreProperties>
</file>