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09CD2A0" w14:textId="77777777" w:rsidTr="002643B3">
        <w:trPr>
          <w:trHeight w:val="290"/>
        </w:trPr>
        <w:tc>
          <w:tcPr>
            <w:tcW w:w="5000" w:type="pct"/>
            <w:gridSpan w:val="2"/>
            <w:tcBorders>
              <w:top w:val="nil"/>
              <w:left w:val="nil"/>
              <w:right w:val="nil"/>
            </w:tcBorders>
          </w:tcPr>
          <w:p w14:paraId="372D5183"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9BE8ABE" w14:textId="77777777" w:rsidTr="002643B3">
        <w:trPr>
          <w:trHeight w:val="290"/>
        </w:trPr>
        <w:tc>
          <w:tcPr>
            <w:tcW w:w="1234" w:type="pct"/>
          </w:tcPr>
          <w:p w14:paraId="7B491B4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EA7E30F" w14:textId="77777777" w:rsidR="0000007A" w:rsidRPr="00E65EB7" w:rsidRDefault="004044A4"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14:paraId="188EAE0B" w14:textId="77777777" w:rsidTr="002643B3">
        <w:trPr>
          <w:trHeight w:val="290"/>
        </w:trPr>
        <w:tc>
          <w:tcPr>
            <w:tcW w:w="1234" w:type="pct"/>
          </w:tcPr>
          <w:p w14:paraId="2DDD822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5D5DD11" w14:textId="77777777" w:rsidR="0000007A" w:rsidRPr="00F245A7" w:rsidRDefault="008233AF" w:rsidP="00F3669D">
            <w:pPr>
              <w:pStyle w:val="NormalWeb"/>
              <w:spacing w:before="0" w:beforeAutospacing="0" w:after="0" w:afterAutospacing="0"/>
              <w:rPr>
                <w:rFonts w:ascii="Arial" w:hAnsi="Arial" w:cs="Arial"/>
                <w:b/>
                <w:bCs/>
                <w:sz w:val="20"/>
                <w:szCs w:val="28"/>
                <w:lang w:val="en-GB"/>
              </w:rPr>
            </w:pPr>
            <w:r w:rsidRPr="008233AF">
              <w:rPr>
                <w:rFonts w:ascii="Arial" w:hAnsi="Arial" w:cs="Arial"/>
                <w:b/>
                <w:bCs/>
                <w:sz w:val="20"/>
                <w:szCs w:val="28"/>
                <w:lang w:val="en-GB"/>
              </w:rPr>
              <w:t>Ms_IJECC_149139</w:t>
            </w:r>
          </w:p>
        </w:tc>
      </w:tr>
      <w:tr w:rsidR="0000007A" w:rsidRPr="00F245A7" w14:paraId="0F1DB40C" w14:textId="77777777" w:rsidTr="002643B3">
        <w:trPr>
          <w:trHeight w:val="650"/>
        </w:trPr>
        <w:tc>
          <w:tcPr>
            <w:tcW w:w="1234" w:type="pct"/>
          </w:tcPr>
          <w:p w14:paraId="34B79FC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37A8A71" w14:textId="77777777" w:rsidR="0000007A" w:rsidRPr="00F245A7" w:rsidRDefault="004D2AF6" w:rsidP="000450FC">
            <w:pPr>
              <w:pStyle w:val="NormalWeb"/>
              <w:spacing w:before="0" w:beforeAutospacing="0" w:after="0" w:afterAutospacing="0"/>
              <w:rPr>
                <w:rFonts w:ascii="Arial" w:hAnsi="Arial" w:cs="Arial"/>
                <w:b/>
                <w:sz w:val="20"/>
                <w:szCs w:val="28"/>
                <w:lang w:val="en-GB"/>
              </w:rPr>
            </w:pPr>
            <w:r w:rsidRPr="004D2AF6">
              <w:rPr>
                <w:rFonts w:ascii="Arial" w:hAnsi="Arial" w:cs="Arial"/>
                <w:b/>
                <w:sz w:val="20"/>
                <w:szCs w:val="28"/>
                <w:lang w:val="en-GB"/>
              </w:rPr>
              <w:t>Internet of Things (IoT)-Linked Approaches for Soil Health Monitoring</w:t>
            </w:r>
          </w:p>
        </w:tc>
      </w:tr>
      <w:tr w:rsidR="00CF0BBB" w:rsidRPr="00F245A7" w14:paraId="5CFB9DA1" w14:textId="77777777" w:rsidTr="002643B3">
        <w:trPr>
          <w:trHeight w:val="332"/>
        </w:trPr>
        <w:tc>
          <w:tcPr>
            <w:tcW w:w="1234" w:type="pct"/>
          </w:tcPr>
          <w:p w14:paraId="0190DD2C"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D8185ED" w14:textId="77777777" w:rsidR="00CF0BBB" w:rsidRPr="00F245A7" w:rsidRDefault="00830907" w:rsidP="000450FC">
            <w:pPr>
              <w:pStyle w:val="NormalWeb"/>
              <w:spacing w:before="0" w:beforeAutospacing="0" w:after="0" w:afterAutospacing="0"/>
              <w:rPr>
                <w:rFonts w:ascii="Arial" w:hAnsi="Arial" w:cs="Arial"/>
                <w:b/>
                <w:sz w:val="20"/>
                <w:szCs w:val="28"/>
                <w:lang w:val="en-GB"/>
              </w:rPr>
            </w:pPr>
            <w:r w:rsidRPr="00830907">
              <w:rPr>
                <w:rFonts w:ascii="Arial" w:hAnsi="Arial" w:cs="Arial"/>
                <w:b/>
                <w:sz w:val="20"/>
                <w:szCs w:val="28"/>
                <w:lang w:val="en-GB"/>
              </w:rPr>
              <w:t>Review Article</w:t>
            </w:r>
          </w:p>
        </w:tc>
      </w:tr>
    </w:tbl>
    <w:p w14:paraId="3BDB083C" w14:textId="77777777"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900E9B" w14:paraId="3E2243D4" w14:textId="77777777">
        <w:tc>
          <w:tcPr>
            <w:tcW w:w="5000" w:type="pct"/>
            <w:gridSpan w:val="3"/>
            <w:tcBorders>
              <w:top w:val="nil"/>
              <w:left w:val="nil"/>
              <w:right w:val="nil"/>
            </w:tcBorders>
            <w:noWrap/>
          </w:tcPr>
          <w:p w14:paraId="1973A678" w14:textId="77777777" w:rsidR="00E303E9" w:rsidRPr="00900E9B" w:rsidRDefault="00E303E9">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4C6150D" w14:textId="77777777" w:rsidR="00E303E9" w:rsidRPr="00900E9B" w:rsidRDefault="00E303E9">
            <w:pPr>
              <w:rPr>
                <w:sz w:val="20"/>
                <w:szCs w:val="20"/>
                <w:lang w:val="en-GB"/>
              </w:rPr>
            </w:pPr>
          </w:p>
        </w:tc>
      </w:tr>
      <w:tr w:rsidR="00E303E9" w:rsidRPr="00900E9B" w14:paraId="19775C0D" w14:textId="77777777">
        <w:tc>
          <w:tcPr>
            <w:tcW w:w="1265" w:type="pct"/>
            <w:noWrap/>
          </w:tcPr>
          <w:p w14:paraId="4390E705" w14:textId="77777777" w:rsidR="00E303E9" w:rsidRPr="00900E9B" w:rsidRDefault="00E303E9">
            <w:pPr>
              <w:pStyle w:val="Heading2"/>
              <w:jc w:val="left"/>
              <w:rPr>
                <w:rFonts w:ascii="Times New Roman" w:hAnsi="Times New Roman"/>
                <w:lang w:val="en-GB"/>
              </w:rPr>
            </w:pPr>
          </w:p>
        </w:tc>
        <w:tc>
          <w:tcPr>
            <w:tcW w:w="2212" w:type="pct"/>
          </w:tcPr>
          <w:p w14:paraId="28FB7DD7" w14:textId="77777777"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14:paraId="53175E79" w14:textId="77777777"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14:paraId="429018BB" w14:textId="77777777" w:rsidR="0054621F" w:rsidRPr="0054621F" w:rsidRDefault="0054621F" w:rsidP="0054621F">
            <w:pPr>
              <w:rPr>
                <w:lang w:val="en-GB"/>
              </w:rPr>
            </w:pPr>
          </w:p>
        </w:tc>
        <w:tc>
          <w:tcPr>
            <w:tcW w:w="1523" w:type="pct"/>
          </w:tcPr>
          <w:p w14:paraId="2D11906E"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DEA547" w14:textId="77777777" w:rsidR="00E303E9" w:rsidRPr="00900E9B" w:rsidRDefault="00E303E9">
            <w:pPr>
              <w:pStyle w:val="Heading2"/>
              <w:jc w:val="left"/>
              <w:rPr>
                <w:rFonts w:ascii="Times New Roman" w:hAnsi="Times New Roman"/>
                <w:b w:val="0"/>
                <w:lang w:val="en-GB"/>
              </w:rPr>
            </w:pPr>
          </w:p>
        </w:tc>
      </w:tr>
      <w:tr w:rsidR="00E303E9" w:rsidRPr="00900E9B" w14:paraId="08704FC4" w14:textId="77777777">
        <w:trPr>
          <w:trHeight w:val="1264"/>
        </w:trPr>
        <w:tc>
          <w:tcPr>
            <w:tcW w:w="1265" w:type="pct"/>
            <w:noWrap/>
          </w:tcPr>
          <w:p w14:paraId="13132E99" w14:textId="77777777"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1EF6F2F" w14:textId="77777777" w:rsidR="00E303E9" w:rsidRPr="00900E9B" w:rsidRDefault="00E303E9">
            <w:pPr>
              <w:ind w:left="360"/>
              <w:rPr>
                <w:rFonts w:eastAsia="MS Mincho"/>
                <w:b/>
                <w:bCs/>
                <w:sz w:val="20"/>
                <w:szCs w:val="20"/>
                <w:lang w:val="en-GB"/>
              </w:rPr>
            </w:pPr>
          </w:p>
        </w:tc>
        <w:tc>
          <w:tcPr>
            <w:tcW w:w="2212" w:type="pct"/>
          </w:tcPr>
          <w:p w14:paraId="3989427B" w14:textId="77777777" w:rsidR="00564A11" w:rsidRPr="00564A11" w:rsidRDefault="00564A11" w:rsidP="00564A11">
            <w:pPr>
              <w:pStyle w:val="ListParagraph"/>
              <w:rPr>
                <w:b/>
                <w:bCs/>
                <w:sz w:val="20"/>
                <w:szCs w:val="20"/>
                <w:lang w:val="en-GB"/>
              </w:rPr>
            </w:pPr>
            <w:r w:rsidRPr="00564A11">
              <w:rPr>
                <w:b/>
                <w:bCs/>
                <w:sz w:val="20"/>
                <w:szCs w:val="20"/>
                <w:lang w:val="en-GB"/>
              </w:rPr>
              <w:t>The paper examines a pertinent and urgent subject in contemporary agriculture: the use of IoT-connected technologies for soil health assessment. As global food production confronts growing pressure from climate change, land degradation, and resource shortages, digital and sensor-based technologies promise a possible road for enhancing real-time soil diagnostics. This paper synthesizes current developments in IoT-based sensor technologies, data transmission protocols, and integrated monitoring systems. The comprehensive summary is beneficial to academics, practitioners, and policymakers pursuing scalable and accurate soil health management strategies. The text enhances the knowledge foundation for the transition to smart and sustainable agriculture.</w:t>
            </w:r>
          </w:p>
          <w:p w14:paraId="61C82B71" w14:textId="77777777" w:rsidR="00E303E9" w:rsidRPr="00900E9B" w:rsidRDefault="00E303E9">
            <w:pPr>
              <w:pStyle w:val="ListParagraph"/>
              <w:ind w:left="0"/>
              <w:rPr>
                <w:b/>
                <w:bCs/>
                <w:sz w:val="20"/>
                <w:szCs w:val="20"/>
                <w:lang w:val="en-GB"/>
              </w:rPr>
            </w:pPr>
          </w:p>
        </w:tc>
        <w:tc>
          <w:tcPr>
            <w:tcW w:w="1523" w:type="pct"/>
          </w:tcPr>
          <w:p w14:paraId="2D190BC9" w14:textId="77777777" w:rsidR="00E303E9" w:rsidRPr="00BB2D14" w:rsidRDefault="00BB2D14">
            <w:pPr>
              <w:pStyle w:val="Heading2"/>
              <w:jc w:val="left"/>
              <w:rPr>
                <w:rFonts w:ascii="Times New Roman" w:hAnsi="Times New Roman"/>
                <w:bCs w:val="0"/>
                <w:lang w:val="en-GB"/>
              </w:rPr>
            </w:pPr>
            <w:r w:rsidRPr="00BB2D14">
              <w:rPr>
                <w:rFonts w:ascii="Times New Roman" w:hAnsi="Times New Roman"/>
                <w:bCs w:val="0"/>
                <w:lang w:val="en-GB"/>
              </w:rPr>
              <w:t>This manuscript offers valuable insight into how IoT technologies can improve soil health monitoring by providing real-time and accurate information. It compiles current knowledge on sensors, data transmission, and monitoring systems, giving researchers a clear overview of existing advancements. By presenting practical case studies and highlighting gaps that still need attention, the paper supports further innovation in this growing field. Overall, it contributes to developing smarter and more efficient soil management practices.</w:t>
            </w:r>
          </w:p>
          <w:p w14:paraId="71F5CC09" w14:textId="77777777" w:rsidR="00BB2D14" w:rsidRDefault="00BB2D14" w:rsidP="00BB2D14">
            <w:pPr>
              <w:rPr>
                <w:lang w:val="en-GB"/>
              </w:rPr>
            </w:pPr>
          </w:p>
          <w:p w14:paraId="34B7650E" w14:textId="77777777" w:rsidR="00BB2D14" w:rsidRDefault="00BB2D14" w:rsidP="00BB2D14">
            <w:pPr>
              <w:rPr>
                <w:lang w:val="en-GB"/>
              </w:rPr>
            </w:pPr>
          </w:p>
          <w:p w14:paraId="71CEFA2D" w14:textId="77777777" w:rsidR="00BB2D14" w:rsidRDefault="00BB2D14" w:rsidP="00BB2D14">
            <w:pPr>
              <w:rPr>
                <w:lang w:val="en-GB"/>
              </w:rPr>
            </w:pPr>
          </w:p>
          <w:p w14:paraId="5737882F" w14:textId="7989F3EA" w:rsidR="00BB2D14" w:rsidRPr="00BB2D14" w:rsidRDefault="00BB2D14" w:rsidP="00BB2D14">
            <w:pPr>
              <w:rPr>
                <w:lang w:val="en-GB"/>
              </w:rPr>
            </w:pPr>
          </w:p>
        </w:tc>
      </w:tr>
      <w:tr w:rsidR="00E303E9" w:rsidRPr="00900E9B" w14:paraId="6FEF30F7" w14:textId="77777777">
        <w:trPr>
          <w:trHeight w:val="1262"/>
        </w:trPr>
        <w:tc>
          <w:tcPr>
            <w:tcW w:w="1265" w:type="pct"/>
            <w:noWrap/>
          </w:tcPr>
          <w:p w14:paraId="57B0B9C4" w14:textId="77777777" w:rsidR="00E303E9" w:rsidRPr="00900E9B" w:rsidRDefault="00E303E9">
            <w:pPr>
              <w:ind w:left="360"/>
              <w:rPr>
                <w:b/>
                <w:bCs/>
                <w:sz w:val="20"/>
                <w:szCs w:val="20"/>
                <w:lang w:val="en-GB"/>
              </w:rPr>
            </w:pPr>
            <w:r w:rsidRPr="00900E9B">
              <w:rPr>
                <w:b/>
                <w:bCs/>
                <w:sz w:val="20"/>
                <w:szCs w:val="20"/>
                <w:lang w:val="en-GB"/>
              </w:rPr>
              <w:t>Is the title of the article suitable?</w:t>
            </w:r>
          </w:p>
          <w:p w14:paraId="31D36A72" w14:textId="77777777" w:rsidR="00E303E9" w:rsidRPr="00900E9B" w:rsidRDefault="00E303E9">
            <w:pPr>
              <w:ind w:left="360"/>
              <w:rPr>
                <w:b/>
                <w:bCs/>
                <w:sz w:val="20"/>
                <w:szCs w:val="20"/>
                <w:lang w:val="en-GB"/>
              </w:rPr>
            </w:pPr>
            <w:r w:rsidRPr="00900E9B">
              <w:rPr>
                <w:b/>
                <w:bCs/>
                <w:sz w:val="20"/>
                <w:szCs w:val="20"/>
                <w:lang w:val="en-GB"/>
              </w:rPr>
              <w:t>(If not please suggest an alternative title)</w:t>
            </w:r>
          </w:p>
          <w:p w14:paraId="16A773E1" w14:textId="77777777" w:rsidR="00E303E9" w:rsidRPr="00900E9B" w:rsidRDefault="00E303E9">
            <w:pPr>
              <w:pStyle w:val="Heading2"/>
              <w:jc w:val="left"/>
              <w:rPr>
                <w:rFonts w:ascii="Times New Roman" w:hAnsi="Times New Roman"/>
                <w:u w:val="single"/>
                <w:lang w:val="en-GB"/>
              </w:rPr>
            </w:pPr>
          </w:p>
        </w:tc>
        <w:tc>
          <w:tcPr>
            <w:tcW w:w="2212" w:type="pct"/>
          </w:tcPr>
          <w:p w14:paraId="311537C3" w14:textId="77777777" w:rsidR="00E303E9" w:rsidRPr="00900E9B" w:rsidRDefault="00564A11">
            <w:pPr>
              <w:ind w:left="360"/>
              <w:rPr>
                <w:b/>
                <w:bCs/>
                <w:sz w:val="20"/>
                <w:szCs w:val="20"/>
                <w:lang w:val="en-GB"/>
              </w:rPr>
            </w:pPr>
            <w:r>
              <w:rPr>
                <w:b/>
                <w:bCs/>
                <w:sz w:val="20"/>
                <w:szCs w:val="20"/>
                <w:lang w:val="en-GB"/>
              </w:rPr>
              <w:t xml:space="preserve">The manuscript is suitable, appropriate and reflects the content of the article  </w:t>
            </w:r>
          </w:p>
        </w:tc>
        <w:tc>
          <w:tcPr>
            <w:tcW w:w="1523" w:type="pct"/>
          </w:tcPr>
          <w:p w14:paraId="1608F016" w14:textId="20DD29C2" w:rsidR="00E303E9" w:rsidRPr="00900E9B" w:rsidRDefault="00BB2D14">
            <w:pPr>
              <w:pStyle w:val="Heading2"/>
              <w:jc w:val="left"/>
              <w:rPr>
                <w:rFonts w:ascii="Times New Roman" w:hAnsi="Times New Roman"/>
                <w:b w:val="0"/>
                <w:lang w:val="en-GB"/>
              </w:rPr>
            </w:pPr>
            <w:r>
              <w:rPr>
                <w:rFonts w:ascii="Times New Roman" w:hAnsi="Times New Roman"/>
                <w:b w:val="0"/>
                <w:lang w:val="en-GB"/>
              </w:rPr>
              <w:t xml:space="preserve">Yes </w:t>
            </w:r>
          </w:p>
        </w:tc>
      </w:tr>
      <w:tr w:rsidR="00E303E9" w:rsidRPr="00900E9B" w14:paraId="036BBBC8" w14:textId="77777777">
        <w:trPr>
          <w:trHeight w:val="1262"/>
        </w:trPr>
        <w:tc>
          <w:tcPr>
            <w:tcW w:w="1265" w:type="pct"/>
            <w:noWrap/>
          </w:tcPr>
          <w:p w14:paraId="46365DAE" w14:textId="77777777"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EB4AFE8" w14:textId="77777777" w:rsidR="00E303E9" w:rsidRPr="00900E9B" w:rsidRDefault="00E303E9">
            <w:pPr>
              <w:pStyle w:val="Heading2"/>
              <w:jc w:val="left"/>
              <w:rPr>
                <w:rFonts w:ascii="Times New Roman" w:hAnsi="Times New Roman"/>
                <w:u w:val="single"/>
                <w:lang w:val="en-GB"/>
              </w:rPr>
            </w:pPr>
          </w:p>
        </w:tc>
        <w:tc>
          <w:tcPr>
            <w:tcW w:w="2212" w:type="pct"/>
          </w:tcPr>
          <w:p w14:paraId="64CD2CFF" w14:textId="77777777" w:rsidR="00564A11" w:rsidRPr="00564A11" w:rsidRDefault="00564A11" w:rsidP="00564A11">
            <w:pPr>
              <w:ind w:left="360"/>
              <w:rPr>
                <w:b/>
                <w:bCs/>
                <w:sz w:val="20"/>
                <w:szCs w:val="20"/>
                <w:lang w:val="en-GB"/>
              </w:rPr>
            </w:pPr>
            <w:r w:rsidRPr="00564A11">
              <w:rPr>
                <w:b/>
                <w:bCs/>
                <w:sz w:val="20"/>
                <w:szCs w:val="20"/>
                <w:lang w:val="en-GB"/>
              </w:rPr>
              <w:t xml:space="preserve">The abstract is often </w:t>
            </w:r>
            <w:r>
              <w:rPr>
                <w:b/>
                <w:bCs/>
                <w:sz w:val="20"/>
                <w:szCs w:val="20"/>
                <w:lang w:val="en-GB"/>
              </w:rPr>
              <w:t>well-organised</w:t>
            </w:r>
            <w:r w:rsidRPr="00564A11">
              <w:rPr>
                <w:b/>
                <w:bCs/>
                <w:sz w:val="20"/>
                <w:szCs w:val="20"/>
                <w:lang w:val="en-GB"/>
              </w:rPr>
              <w:t xml:space="preserve"> and informative. However:</w:t>
            </w:r>
          </w:p>
          <w:p w14:paraId="2E442B0C" w14:textId="77777777" w:rsidR="00564A11" w:rsidRPr="00564A11" w:rsidRDefault="00564A11" w:rsidP="00564A11">
            <w:pPr>
              <w:numPr>
                <w:ilvl w:val="0"/>
                <w:numId w:val="16"/>
              </w:numPr>
              <w:rPr>
                <w:b/>
                <w:bCs/>
                <w:sz w:val="20"/>
                <w:szCs w:val="20"/>
                <w:lang w:val="en-GB"/>
              </w:rPr>
            </w:pPr>
            <w:r w:rsidRPr="00564A11">
              <w:rPr>
                <w:b/>
                <w:bCs/>
                <w:sz w:val="20"/>
                <w:szCs w:val="20"/>
                <w:lang w:val="en-GB"/>
              </w:rPr>
              <w:t>It is rather lengthy; consider reducing repeated themes.</w:t>
            </w:r>
          </w:p>
          <w:p w14:paraId="0834413B" w14:textId="77777777" w:rsidR="00564A11" w:rsidRPr="00564A11" w:rsidRDefault="00564A11" w:rsidP="00564A11">
            <w:pPr>
              <w:numPr>
                <w:ilvl w:val="0"/>
                <w:numId w:val="16"/>
              </w:numPr>
              <w:rPr>
                <w:b/>
                <w:bCs/>
                <w:sz w:val="20"/>
                <w:szCs w:val="20"/>
                <w:lang w:val="en-GB"/>
              </w:rPr>
            </w:pPr>
            <w:r w:rsidRPr="00564A11">
              <w:rPr>
                <w:b/>
                <w:bCs/>
                <w:sz w:val="20"/>
                <w:szCs w:val="20"/>
                <w:lang w:val="en-GB"/>
              </w:rPr>
              <w:t>The abstract should incorporate quantitative trends or major conclusions from cited case studies to boost its informativeness.</w:t>
            </w:r>
          </w:p>
          <w:p w14:paraId="57B72E0D" w14:textId="77777777" w:rsidR="00564A11" w:rsidRPr="00564A11" w:rsidRDefault="00564A11" w:rsidP="00564A11">
            <w:pPr>
              <w:numPr>
                <w:ilvl w:val="0"/>
                <w:numId w:val="16"/>
              </w:numPr>
              <w:rPr>
                <w:b/>
                <w:bCs/>
                <w:sz w:val="20"/>
                <w:szCs w:val="20"/>
                <w:lang w:val="en-GB"/>
              </w:rPr>
            </w:pPr>
            <w:r w:rsidRPr="00564A11">
              <w:rPr>
                <w:b/>
                <w:bCs/>
                <w:sz w:val="20"/>
                <w:szCs w:val="20"/>
                <w:lang w:val="en-GB"/>
              </w:rPr>
              <w:t>The sentence structure may be enhanced for conciseness.</w:t>
            </w:r>
          </w:p>
          <w:p w14:paraId="296E9CB7" w14:textId="77777777" w:rsidR="00E303E9" w:rsidRPr="00900E9B" w:rsidRDefault="00564A11" w:rsidP="00564A11">
            <w:pPr>
              <w:numPr>
                <w:ilvl w:val="0"/>
                <w:numId w:val="16"/>
              </w:numPr>
              <w:rPr>
                <w:b/>
                <w:bCs/>
                <w:sz w:val="20"/>
                <w:szCs w:val="20"/>
                <w:lang w:val="en-GB"/>
              </w:rPr>
            </w:pPr>
            <w:r>
              <w:rPr>
                <w:b/>
                <w:bCs/>
                <w:sz w:val="20"/>
                <w:szCs w:val="20"/>
                <w:lang w:val="en-GB"/>
              </w:rPr>
              <w:t>summarise</w:t>
            </w:r>
            <w:r w:rsidRPr="00564A11">
              <w:rPr>
                <w:b/>
                <w:bCs/>
                <w:sz w:val="20"/>
                <w:szCs w:val="20"/>
                <w:lang w:val="en-GB"/>
              </w:rPr>
              <w:t xml:space="preserve"> the breadth of the study, the kinds of IoT technologies reviewed, and the major potential and difficulties, in a more concise way</w:t>
            </w:r>
          </w:p>
        </w:tc>
        <w:tc>
          <w:tcPr>
            <w:tcW w:w="1523" w:type="pct"/>
          </w:tcPr>
          <w:p w14:paraId="137ED2DA" w14:textId="4ACAA494" w:rsidR="00E303E9" w:rsidRPr="00900E9B" w:rsidRDefault="00F07250">
            <w:pPr>
              <w:pStyle w:val="Heading2"/>
              <w:jc w:val="left"/>
              <w:rPr>
                <w:rFonts w:ascii="Times New Roman" w:hAnsi="Times New Roman"/>
                <w:b w:val="0"/>
                <w:lang w:val="en-GB"/>
              </w:rPr>
            </w:pPr>
            <w:r>
              <w:rPr>
                <w:rFonts w:ascii="Times New Roman" w:hAnsi="Times New Roman"/>
                <w:b w:val="0"/>
                <w:lang w:val="en-GB"/>
              </w:rPr>
              <w:t xml:space="preserve">Yes </w:t>
            </w:r>
          </w:p>
        </w:tc>
      </w:tr>
      <w:tr w:rsidR="00E303E9" w:rsidRPr="00900E9B" w14:paraId="13093444" w14:textId="77777777">
        <w:trPr>
          <w:trHeight w:val="704"/>
        </w:trPr>
        <w:tc>
          <w:tcPr>
            <w:tcW w:w="1265" w:type="pct"/>
            <w:noWrap/>
          </w:tcPr>
          <w:p w14:paraId="570F9F2D" w14:textId="77777777"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D5A720B" w14:textId="77777777" w:rsidR="00BC213D" w:rsidRPr="00B962D8" w:rsidRDefault="00B962D8" w:rsidP="00B962D8">
            <w:pPr>
              <w:ind w:left="360"/>
              <w:rPr>
                <w:b/>
                <w:bCs/>
                <w:sz w:val="20"/>
                <w:szCs w:val="20"/>
                <w:lang w:val="en-GB"/>
              </w:rPr>
            </w:pPr>
            <w:r w:rsidRPr="00B962D8">
              <w:rPr>
                <w:b/>
                <w:bCs/>
                <w:sz w:val="20"/>
                <w:szCs w:val="20"/>
                <w:lang w:val="en-GB"/>
              </w:rPr>
              <w:t>y</w:t>
            </w:r>
            <w:r w:rsidR="00BC213D" w:rsidRPr="00B962D8">
              <w:rPr>
                <w:b/>
                <w:bCs/>
                <w:sz w:val="20"/>
                <w:szCs w:val="20"/>
                <w:lang w:val="en-GB"/>
              </w:rPr>
              <w:t xml:space="preserve">es, the manuscript is scientifically sound. It provides a </w:t>
            </w:r>
            <w:r>
              <w:rPr>
                <w:b/>
                <w:bCs/>
                <w:sz w:val="20"/>
                <w:szCs w:val="20"/>
                <w:lang w:val="en-GB"/>
              </w:rPr>
              <w:t>comprehensive synthesis of IoT architectures, sensor types, data processing</w:t>
            </w:r>
            <w:r w:rsidR="00BC213D" w:rsidRPr="00B962D8">
              <w:rPr>
                <w:b/>
                <w:bCs/>
                <w:sz w:val="20"/>
                <w:szCs w:val="20"/>
                <w:lang w:val="en-GB"/>
              </w:rPr>
              <w:t xml:space="preserve"> frameworks, and application examples for soil monitoring.</w:t>
            </w:r>
          </w:p>
          <w:p w14:paraId="61D5CAAA" w14:textId="77777777" w:rsidR="00BC213D" w:rsidRPr="00B962D8" w:rsidRDefault="00BC213D" w:rsidP="00B962D8">
            <w:pPr>
              <w:ind w:left="360"/>
              <w:rPr>
                <w:b/>
                <w:bCs/>
                <w:sz w:val="20"/>
                <w:szCs w:val="20"/>
                <w:lang w:val="en-GB"/>
              </w:rPr>
            </w:pPr>
            <w:r w:rsidRPr="00B962D8">
              <w:rPr>
                <w:b/>
                <w:bCs/>
                <w:sz w:val="20"/>
                <w:szCs w:val="20"/>
                <w:lang w:val="en-GB"/>
              </w:rPr>
              <w:t>However, some points require strengthening:</w:t>
            </w:r>
          </w:p>
          <w:p w14:paraId="61CCBE36" w14:textId="77777777" w:rsidR="00BC213D" w:rsidRPr="00B962D8" w:rsidRDefault="00BC213D" w:rsidP="00B962D8">
            <w:pPr>
              <w:ind w:left="360"/>
              <w:rPr>
                <w:b/>
                <w:bCs/>
                <w:sz w:val="20"/>
                <w:szCs w:val="20"/>
                <w:lang w:val="en-GB"/>
              </w:rPr>
            </w:pPr>
          </w:p>
          <w:p w14:paraId="06AA1163" w14:textId="77777777" w:rsidR="00BC213D" w:rsidRPr="00B962D8" w:rsidRDefault="00BC213D" w:rsidP="00B962D8">
            <w:pPr>
              <w:numPr>
                <w:ilvl w:val="0"/>
                <w:numId w:val="14"/>
              </w:numPr>
              <w:rPr>
                <w:b/>
                <w:bCs/>
                <w:sz w:val="20"/>
                <w:szCs w:val="20"/>
                <w:lang w:val="en-GB"/>
              </w:rPr>
            </w:pPr>
            <w:r w:rsidRPr="00B962D8">
              <w:rPr>
                <w:b/>
                <w:bCs/>
                <w:sz w:val="20"/>
                <w:szCs w:val="20"/>
                <w:lang w:val="en-GB"/>
              </w:rPr>
              <w:t xml:space="preserve">The review would benefit from a dedicated methodology section describing </w:t>
            </w:r>
            <w:r w:rsidR="00B962D8">
              <w:rPr>
                <w:b/>
                <w:bCs/>
                <w:sz w:val="20"/>
                <w:szCs w:val="20"/>
                <w:lang w:val="en-GB"/>
              </w:rPr>
              <w:t xml:space="preserve">the </w:t>
            </w:r>
            <w:r w:rsidRPr="00B962D8">
              <w:rPr>
                <w:b/>
                <w:bCs/>
                <w:sz w:val="20"/>
                <w:szCs w:val="20"/>
                <w:lang w:val="en-GB"/>
              </w:rPr>
              <w:t>search strategy, inclusion criteria, and scope definition.</w:t>
            </w:r>
          </w:p>
          <w:p w14:paraId="4569A86E" w14:textId="77777777" w:rsidR="00BC213D" w:rsidRPr="00B962D8" w:rsidRDefault="00BC213D" w:rsidP="00B962D8">
            <w:pPr>
              <w:ind w:left="360"/>
              <w:rPr>
                <w:b/>
                <w:bCs/>
                <w:sz w:val="20"/>
                <w:szCs w:val="20"/>
                <w:lang w:val="en-GB"/>
              </w:rPr>
            </w:pPr>
          </w:p>
          <w:p w14:paraId="016F56E9" w14:textId="77777777" w:rsidR="00BC213D" w:rsidRPr="00B962D8" w:rsidRDefault="00BC213D" w:rsidP="00B962D8">
            <w:pPr>
              <w:numPr>
                <w:ilvl w:val="0"/>
                <w:numId w:val="14"/>
              </w:numPr>
              <w:rPr>
                <w:b/>
                <w:bCs/>
                <w:sz w:val="20"/>
                <w:szCs w:val="20"/>
                <w:lang w:val="en-GB"/>
              </w:rPr>
            </w:pPr>
            <w:r w:rsidRPr="00B962D8">
              <w:rPr>
                <w:b/>
                <w:bCs/>
                <w:sz w:val="20"/>
                <w:szCs w:val="20"/>
                <w:lang w:val="en-GB"/>
              </w:rPr>
              <w:t xml:space="preserve">Section 3 (Monitoring Physical/Chemical/Biological Parameters) is comprehensive but could be better structured by </w:t>
            </w:r>
            <w:r w:rsidR="00B962D8">
              <w:rPr>
                <w:b/>
                <w:bCs/>
                <w:sz w:val="20"/>
                <w:szCs w:val="20"/>
                <w:lang w:val="en-GB"/>
              </w:rPr>
              <w:t>summarising</w:t>
            </w:r>
            <w:r w:rsidRPr="00B962D8">
              <w:rPr>
                <w:b/>
                <w:bCs/>
                <w:sz w:val="20"/>
                <w:szCs w:val="20"/>
                <w:lang w:val="en-GB"/>
              </w:rPr>
              <w:t xml:space="preserve"> findings in synthetic comparative tables.</w:t>
            </w:r>
          </w:p>
          <w:p w14:paraId="2765DF0B" w14:textId="77777777" w:rsidR="00BC213D" w:rsidRPr="00B962D8" w:rsidRDefault="00BC213D" w:rsidP="00B962D8">
            <w:pPr>
              <w:ind w:left="360"/>
              <w:rPr>
                <w:b/>
                <w:bCs/>
                <w:sz w:val="20"/>
                <w:szCs w:val="20"/>
                <w:lang w:val="en-GB"/>
              </w:rPr>
            </w:pPr>
          </w:p>
          <w:p w14:paraId="0A2A7DE5" w14:textId="77777777" w:rsidR="00E303E9" w:rsidRPr="00C115E9" w:rsidRDefault="00BC213D" w:rsidP="00B962D8">
            <w:pPr>
              <w:numPr>
                <w:ilvl w:val="0"/>
                <w:numId w:val="14"/>
              </w:numPr>
              <w:rPr>
                <w:bCs/>
                <w:sz w:val="20"/>
                <w:szCs w:val="20"/>
                <w:lang w:val="en-GB"/>
              </w:rPr>
            </w:pPr>
            <w:r w:rsidRPr="00B962D8">
              <w:rPr>
                <w:b/>
                <w:bCs/>
                <w:sz w:val="20"/>
                <w:szCs w:val="20"/>
                <w:lang w:val="en-GB"/>
              </w:rPr>
              <w:t>A more explicit critical evaluation of the limitations of existing systems (e.g., sensor calibration issues, soil heterogeneity effects, long-term accuracy) would further increase scientific rigor.</w:t>
            </w:r>
          </w:p>
        </w:tc>
        <w:tc>
          <w:tcPr>
            <w:tcW w:w="1523" w:type="pct"/>
          </w:tcPr>
          <w:p w14:paraId="1B2C7174" w14:textId="6B803994" w:rsidR="00E303E9" w:rsidRPr="00900E9B" w:rsidRDefault="00F4702C">
            <w:pPr>
              <w:pStyle w:val="Heading2"/>
              <w:jc w:val="left"/>
              <w:rPr>
                <w:rFonts w:ascii="Times New Roman" w:hAnsi="Times New Roman"/>
                <w:b w:val="0"/>
                <w:lang w:val="en-GB"/>
              </w:rPr>
            </w:pPr>
            <w:r>
              <w:rPr>
                <w:rFonts w:ascii="Times New Roman" w:hAnsi="Times New Roman"/>
                <w:b w:val="0"/>
                <w:lang w:val="en-GB"/>
              </w:rPr>
              <w:t>Correction done</w:t>
            </w:r>
            <w:bookmarkStart w:id="2" w:name="_GoBack"/>
            <w:bookmarkEnd w:id="2"/>
          </w:p>
        </w:tc>
      </w:tr>
      <w:tr w:rsidR="00E303E9" w:rsidRPr="00900E9B" w14:paraId="549560A2" w14:textId="77777777">
        <w:trPr>
          <w:trHeight w:val="703"/>
        </w:trPr>
        <w:tc>
          <w:tcPr>
            <w:tcW w:w="1265" w:type="pct"/>
            <w:noWrap/>
          </w:tcPr>
          <w:p w14:paraId="6326CA9D" w14:textId="77777777"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237CA2E" w14:textId="77777777" w:rsidR="00B962D8" w:rsidRPr="00B962D8" w:rsidRDefault="00B962D8" w:rsidP="00B962D8">
            <w:pPr>
              <w:ind w:left="360"/>
              <w:rPr>
                <w:b/>
                <w:bCs/>
                <w:sz w:val="20"/>
                <w:szCs w:val="20"/>
                <w:lang w:val="en-GB"/>
              </w:rPr>
            </w:pPr>
            <w:r w:rsidRPr="00B962D8">
              <w:rPr>
                <w:b/>
                <w:bCs/>
                <w:sz w:val="20"/>
                <w:szCs w:val="20"/>
                <w:lang w:val="en-GB"/>
              </w:rPr>
              <w:t>In general, the references are sufficient and include current publications from 2023 to 2024.</w:t>
            </w:r>
          </w:p>
          <w:p w14:paraId="1154207A" w14:textId="77777777" w:rsidR="00B962D8" w:rsidRPr="00B962D8" w:rsidRDefault="00B962D8" w:rsidP="00B962D8">
            <w:pPr>
              <w:ind w:left="360"/>
              <w:rPr>
                <w:b/>
                <w:bCs/>
                <w:sz w:val="20"/>
                <w:szCs w:val="20"/>
                <w:lang w:val="en-GB"/>
              </w:rPr>
            </w:pPr>
            <w:r w:rsidRPr="00B962D8">
              <w:rPr>
                <w:b/>
                <w:bCs/>
                <w:sz w:val="20"/>
                <w:szCs w:val="20"/>
                <w:lang w:val="en-GB"/>
              </w:rPr>
              <w:t>Recommendations for enhancing the review:</w:t>
            </w:r>
          </w:p>
          <w:p w14:paraId="636EB306" w14:textId="77777777" w:rsidR="00B962D8" w:rsidRPr="00B962D8" w:rsidRDefault="00B962D8" w:rsidP="00B962D8">
            <w:pPr>
              <w:numPr>
                <w:ilvl w:val="0"/>
                <w:numId w:val="13"/>
              </w:numPr>
              <w:rPr>
                <w:b/>
                <w:bCs/>
                <w:sz w:val="20"/>
                <w:szCs w:val="20"/>
                <w:lang w:val="en-GB"/>
              </w:rPr>
            </w:pPr>
            <w:r w:rsidRPr="00B962D8">
              <w:rPr>
                <w:b/>
                <w:bCs/>
                <w:sz w:val="20"/>
                <w:szCs w:val="20"/>
                <w:lang w:val="en-GB"/>
              </w:rPr>
              <w:t>a more international representation in South American and African literature.</w:t>
            </w:r>
          </w:p>
          <w:p w14:paraId="28D6CAB1" w14:textId="77777777" w:rsidR="00B962D8" w:rsidRPr="00B962D8" w:rsidRDefault="00B962D8" w:rsidP="00B962D8">
            <w:pPr>
              <w:numPr>
                <w:ilvl w:val="0"/>
                <w:numId w:val="13"/>
              </w:numPr>
              <w:rPr>
                <w:b/>
                <w:bCs/>
                <w:sz w:val="20"/>
                <w:szCs w:val="20"/>
                <w:lang w:val="en-GB"/>
              </w:rPr>
            </w:pPr>
            <w:r>
              <w:rPr>
                <w:b/>
                <w:bCs/>
                <w:sz w:val="20"/>
                <w:szCs w:val="20"/>
                <w:lang w:val="en-GB"/>
              </w:rPr>
              <w:t xml:space="preserve"> </w:t>
            </w:r>
            <w:r w:rsidRPr="00B962D8">
              <w:rPr>
                <w:b/>
                <w:bCs/>
                <w:sz w:val="20"/>
                <w:szCs w:val="20"/>
                <w:lang w:val="en-GB"/>
              </w:rPr>
              <w:t>Add current research on remote-proximal data fusion and soil-plant-atmosphere integrated sensing networks (2021–2024 articles).</w:t>
            </w:r>
          </w:p>
          <w:p w14:paraId="532AB627" w14:textId="77777777" w:rsidR="00E303E9" w:rsidRPr="006F5EBE" w:rsidRDefault="00B962D8" w:rsidP="00B962D8">
            <w:pPr>
              <w:numPr>
                <w:ilvl w:val="0"/>
                <w:numId w:val="13"/>
              </w:numPr>
              <w:rPr>
                <w:bCs/>
                <w:sz w:val="20"/>
                <w:szCs w:val="20"/>
                <w:lang w:val="en-GB"/>
              </w:rPr>
            </w:pPr>
            <w:r w:rsidRPr="00B962D8">
              <w:rPr>
                <w:b/>
                <w:bCs/>
                <w:sz w:val="20"/>
                <w:szCs w:val="20"/>
                <w:lang w:val="en-GB"/>
              </w:rPr>
              <w:lastRenderedPageBreak/>
              <w:t xml:space="preserve">Think about </w:t>
            </w:r>
            <w:r>
              <w:rPr>
                <w:b/>
                <w:bCs/>
                <w:sz w:val="20"/>
                <w:szCs w:val="20"/>
                <w:lang w:val="en-GB"/>
              </w:rPr>
              <w:t>including</w:t>
            </w:r>
            <w:r w:rsidRPr="00B962D8">
              <w:rPr>
                <w:b/>
                <w:bCs/>
                <w:sz w:val="20"/>
                <w:szCs w:val="20"/>
                <w:lang w:val="en-GB"/>
              </w:rPr>
              <w:t xml:space="preserve"> assessments of edge computing applications in soil sensing and IoT power-autonomous systems.</w:t>
            </w:r>
          </w:p>
        </w:tc>
        <w:tc>
          <w:tcPr>
            <w:tcW w:w="1523" w:type="pct"/>
          </w:tcPr>
          <w:p w14:paraId="289AC572" w14:textId="1074BF5A" w:rsidR="00E303E9" w:rsidRPr="00900E9B" w:rsidRDefault="000116DD">
            <w:pPr>
              <w:pStyle w:val="Heading2"/>
              <w:jc w:val="left"/>
              <w:rPr>
                <w:rFonts w:ascii="Times New Roman" w:hAnsi="Times New Roman"/>
                <w:b w:val="0"/>
                <w:lang w:val="en-GB"/>
              </w:rPr>
            </w:pPr>
            <w:r>
              <w:rPr>
                <w:rFonts w:ascii="Times New Roman" w:hAnsi="Times New Roman"/>
                <w:b w:val="0"/>
                <w:lang w:val="en-GB"/>
              </w:rPr>
              <w:lastRenderedPageBreak/>
              <w:t xml:space="preserve">Yes </w:t>
            </w:r>
          </w:p>
        </w:tc>
      </w:tr>
      <w:tr w:rsidR="00E303E9" w:rsidRPr="00900E9B" w14:paraId="149A787B" w14:textId="77777777">
        <w:trPr>
          <w:trHeight w:val="386"/>
        </w:trPr>
        <w:tc>
          <w:tcPr>
            <w:tcW w:w="1265" w:type="pct"/>
            <w:noWrap/>
          </w:tcPr>
          <w:p w14:paraId="01A905DD" w14:textId="77777777"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C52AF0C" w14:textId="77777777" w:rsidR="00E303E9" w:rsidRPr="00900E9B" w:rsidRDefault="00E303E9">
            <w:pPr>
              <w:rPr>
                <w:sz w:val="20"/>
                <w:szCs w:val="20"/>
                <w:lang w:val="en-GB"/>
              </w:rPr>
            </w:pPr>
          </w:p>
        </w:tc>
        <w:tc>
          <w:tcPr>
            <w:tcW w:w="2212" w:type="pct"/>
          </w:tcPr>
          <w:p w14:paraId="1B124F4E" w14:textId="77777777" w:rsidR="00E303E9" w:rsidRPr="00F960C8" w:rsidRDefault="00B962D8" w:rsidP="00F960C8">
            <w:pPr>
              <w:pStyle w:val="Heading2"/>
              <w:ind w:left="360"/>
              <w:jc w:val="left"/>
              <w:rPr>
                <w:rFonts w:ascii="Times New Roman" w:hAnsi="Times New Roman"/>
                <w:bCs w:val="0"/>
                <w:lang w:val="en-GB"/>
              </w:rPr>
            </w:pPr>
            <w:r w:rsidRPr="00F960C8">
              <w:rPr>
                <w:rFonts w:ascii="Times New Roman" w:hAnsi="Times New Roman"/>
                <w:bCs w:val="0"/>
                <w:lang w:val="en-GB"/>
              </w:rPr>
              <w:t>Yes</w:t>
            </w:r>
            <w:r w:rsidR="00564A11">
              <w:rPr>
                <w:rFonts w:ascii="Times New Roman" w:hAnsi="Times New Roman"/>
                <w:bCs w:val="0"/>
                <w:lang w:val="en-GB"/>
              </w:rPr>
              <w:t>,</w:t>
            </w:r>
            <w:r w:rsidRPr="00F960C8">
              <w:rPr>
                <w:rFonts w:ascii="Times New Roman" w:hAnsi="Times New Roman"/>
                <w:bCs w:val="0"/>
                <w:lang w:val="en-GB"/>
              </w:rPr>
              <w:t xml:space="preserve"> it is understandable English language. </w:t>
            </w:r>
            <w:r w:rsidR="00F960C8" w:rsidRPr="00F960C8">
              <w:rPr>
                <w:rFonts w:ascii="Times New Roman" w:hAnsi="Times New Roman"/>
                <w:bCs w:val="0"/>
                <w:lang w:val="en-GB"/>
              </w:rPr>
              <w:t>However,</w:t>
            </w:r>
            <w:r w:rsidRPr="00F960C8">
              <w:rPr>
                <w:rFonts w:ascii="Times New Roman" w:hAnsi="Times New Roman"/>
                <w:bCs w:val="0"/>
                <w:lang w:val="en-GB"/>
              </w:rPr>
              <w:t xml:space="preserve"> </w:t>
            </w:r>
            <w:r w:rsidR="00F960C8" w:rsidRPr="00F960C8">
              <w:rPr>
                <w:rFonts w:ascii="Times New Roman" w:hAnsi="Times New Roman"/>
                <w:bCs w:val="0"/>
                <w:lang w:val="en-GB"/>
              </w:rPr>
              <w:t xml:space="preserve">moderate editing is required to improve </w:t>
            </w:r>
          </w:p>
          <w:p w14:paraId="28793084" w14:textId="77777777" w:rsidR="00F960C8" w:rsidRPr="00F960C8" w:rsidRDefault="00F960C8" w:rsidP="00F960C8">
            <w:pPr>
              <w:pStyle w:val="Heading2"/>
              <w:numPr>
                <w:ilvl w:val="0"/>
                <w:numId w:val="15"/>
              </w:numPr>
              <w:jc w:val="left"/>
              <w:rPr>
                <w:rFonts w:ascii="Times New Roman" w:hAnsi="Times New Roman"/>
                <w:bCs w:val="0"/>
                <w:lang w:val="en-GB"/>
              </w:rPr>
            </w:pPr>
            <w:r w:rsidRPr="00F960C8">
              <w:rPr>
                <w:rFonts w:ascii="Times New Roman" w:hAnsi="Times New Roman"/>
                <w:bCs w:val="0"/>
                <w:lang w:val="en-GB"/>
              </w:rPr>
              <w:t>Sentence clarity</w:t>
            </w:r>
          </w:p>
          <w:p w14:paraId="4C46EEE0" w14:textId="77777777" w:rsidR="00F960C8" w:rsidRPr="00F960C8" w:rsidRDefault="00F960C8" w:rsidP="00F960C8">
            <w:pPr>
              <w:pStyle w:val="Heading2"/>
              <w:numPr>
                <w:ilvl w:val="0"/>
                <w:numId w:val="15"/>
              </w:numPr>
              <w:jc w:val="left"/>
              <w:rPr>
                <w:rFonts w:ascii="Times New Roman" w:hAnsi="Times New Roman"/>
                <w:bCs w:val="0"/>
                <w:lang w:val="en-GB"/>
              </w:rPr>
            </w:pPr>
            <w:r w:rsidRPr="00F960C8">
              <w:rPr>
                <w:rFonts w:ascii="Times New Roman" w:hAnsi="Times New Roman"/>
                <w:bCs w:val="0"/>
                <w:lang w:val="en-GB"/>
              </w:rPr>
              <w:t>Grammar consistency</w:t>
            </w:r>
          </w:p>
          <w:p w14:paraId="5846E6AF" w14:textId="77777777" w:rsidR="00F960C8" w:rsidRPr="00F960C8" w:rsidRDefault="00F960C8" w:rsidP="00F960C8">
            <w:pPr>
              <w:pStyle w:val="Heading2"/>
              <w:numPr>
                <w:ilvl w:val="0"/>
                <w:numId w:val="15"/>
              </w:numPr>
              <w:jc w:val="left"/>
              <w:rPr>
                <w:rFonts w:ascii="Times New Roman" w:hAnsi="Times New Roman"/>
                <w:bCs w:val="0"/>
                <w:lang w:val="en-GB"/>
              </w:rPr>
            </w:pPr>
            <w:r w:rsidRPr="00F960C8">
              <w:rPr>
                <w:rFonts w:ascii="Times New Roman" w:hAnsi="Times New Roman"/>
                <w:bCs w:val="0"/>
                <w:lang w:val="en-GB"/>
              </w:rPr>
              <w:t>Transitions between sections and</w:t>
            </w:r>
          </w:p>
          <w:p w14:paraId="330CA336" w14:textId="77777777" w:rsidR="00F960C8" w:rsidRPr="00F960C8" w:rsidRDefault="00F960C8" w:rsidP="00F960C8">
            <w:pPr>
              <w:pStyle w:val="Heading2"/>
              <w:numPr>
                <w:ilvl w:val="0"/>
                <w:numId w:val="15"/>
              </w:numPr>
              <w:jc w:val="left"/>
              <w:rPr>
                <w:rFonts w:ascii="Times New Roman" w:hAnsi="Times New Roman"/>
                <w:bCs w:val="0"/>
                <w:lang w:val="en-GB"/>
              </w:rPr>
            </w:pPr>
            <w:r w:rsidRPr="00F960C8">
              <w:rPr>
                <w:rFonts w:ascii="Times New Roman" w:hAnsi="Times New Roman"/>
                <w:bCs w:val="0"/>
                <w:lang w:val="en-GB"/>
              </w:rPr>
              <w:t xml:space="preserve">Reduction of repetitive phrases </w:t>
            </w:r>
            <w:proofErr w:type="gramStart"/>
            <w:r w:rsidRPr="00F960C8">
              <w:rPr>
                <w:rFonts w:ascii="Times New Roman" w:hAnsi="Times New Roman"/>
                <w:bCs w:val="0"/>
                <w:lang w:val="en-GB"/>
              </w:rPr>
              <w:t>( particularly</w:t>
            </w:r>
            <w:proofErr w:type="gramEnd"/>
            <w:r w:rsidRPr="00F960C8">
              <w:rPr>
                <w:rFonts w:ascii="Times New Roman" w:hAnsi="Times New Roman"/>
                <w:bCs w:val="0"/>
                <w:lang w:val="en-GB"/>
              </w:rPr>
              <w:t xml:space="preserve"> in sections 1 and 2</w:t>
            </w:r>
          </w:p>
        </w:tc>
        <w:tc>
          <w:tcPr>
            <w:tcW w:w="1523" w:type="pct"/>
          </w:tcPr>
          <w:p w14:paraId="06DE2E14" w14:textId="775D8E62" w:rsidR="00E303E9" w:rsidRPr="00900E9B" w:rsidRDefault="000116DD">
            <w:pPr>
              <w:rPr>
                <w:sz w:val="20"/>
                <w:szCs w:val="20"/>
                <w:lang w:val="en-GB"/>
              </w:rPr>
            </w:pPr>
            <w:r>
              <w:rPr>
                <w:sz w:val="20"/>
                <w:szCs w:val="20"/>
                <w:lang w:val="en-GB"/>
              </w:rPr>
              <w:t xml:space="preserve">Yes </w:t>
            </w:r>
          </w:p>
        </w:tc>
      </w:tr>
      <w:tr w:rsidR="00E303E9" w:rsidRPr="00900E9B" w14:paraId="6DBD433C" w14:textId="77777777">
        <w:trPr>
          <w:trHeight w:val="1178"/>
        </w:trPr>
        <w:tc>
          <w:tcPr>
            <w:tcW w:w="1265" w:type="pct"/>
            <w:noWrap/>
          </w:tcPr>
          <w:p w14:paraId="050CB78A" w14:textId="77777777"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3E9ED18" w14:textId="77777777" w:rsidR="00E303E9" w:rsidRPr="00900E9B" w:rsidRDefault="00E303E9">
            <w:pPr>
              <w:pStyle w:val="Heading2"/>
              <w:jc w:val="left"/>
              <w:rPr>
                <w:rFonts w:ascii="Times New Roman" w:hAnsi="Times New Roman"/>
                <w:b w:val="0"/>
                <w:lang w:val="en-GB"/>
              </w:rPr>
            </w:pPr>
          </w:p>
        </w:tc>
        <w:tc>
          <w:tcPr>
            <w:tcW w:w="2212" w:type="pct"/>
          </w:tcPr>
          <w:p w14:paraId="503981E4" w14:textId="77777777" w:rsidR="00F960C8" w:rsidRPr="00F960C8" w:rsidRDefault="00F960C8" w:rsidP="00F960C8">
            <w:pPr>
              <w:rPr>
                <w:rFonts w:eastAsia="MS Mincho" w:cs="Helvetica"/>
                <w:b/>
                <w:sz w:val="20"/>
                <w:szCs w:val="20"/>
                <w:lang w:val="en-GB"/>
              </w:rPr>
            </w:pPr>
            <w:r w:rsidRPr="00F960C8">
              <w:rPr>
                <w:rFonts w:eastAsia="MS Mincho" w:cs="Helvetica"/>
                <w:b/>
                <w:sz w:val="20"/>
                <w:szCs w:val="20"/>
                <w:lang w:val="en-GB"/>
              </w:rPr>
              <w:t>To graphically portray IoT-linked soil health monitoring frameworks, think about including a conceptual model or graphical summary.</w:t>
            </w:r>
            <w:r w:rsidRPr="00F960C8">
              <w:rPr>
                <w:rFonts w:eastAsia="MS Mincho" w:cs="Helvetica"/>
                <w:b/>
                <w:sz w:val="20"/>
                <w:szCs w:val="20"/>
                <w:lang w:val="en-GB"/>
              </w:rPr>
              <w:br/>
            </w:r>
            <w:r w:rsidRPr="00F960C8">
              <w:rPr>
                <w:rFonts w:eastAsia="MS Mincho" w:cs="Helvetica"/>
                <w:b/>
                <w:sz w:val="20"/>
                <w:szCs w:val="20"/>
                <w:lang w:val="en-GB"/>
              </w:rPr>
              <w:br/>
              <w:t xml:space="preserve">For better readability, include a comparison chart that </w:t>
            </w:r>
            <w:r>
              <w:rPr>
                <w:rFonts w:eastAsia="MS Mincho" w:cs="Helvetica"/>
                <w:b/>
                <w:sz w:val="20"/>
                <w:szCs w:val="20"/>
                <w:lang w:val="en-GB"/>
              </w:rPr>
              <w:t>summarises</w:t>
            </w:r>
            <w:r w:rsidRPr="00F960C8">
              <w:rPr>
                <w:rFonts w:eastAsia="MS Mincho" w:cs="Helvetica"/>
                <w:b/>
                <w:sz w:val="20"/>
                <w:szCs w:val="20"/>
                <w:lang w:val="en-GB"/>
              </w:rPr>
              <w:t xml:space="preserve"> sensor types, benefits, drawbacks, and compatibility for various soil types.</w:t>
            </w:r>
            <w:r w:rsidRPr="00F960C8">
              <w:rPr>
                <w:rFonts w:eastAsia="MS Mincho" w:cs="Helvetica"/>
                <w:b/>
                <w:sz w:val="20"/>
                <w:szCs w:val="20"/>
                <w:lang w:val="en-GB"/>
              </w:rPr>
              <w:br/>
            </w:r>
            <w:r w:rsidRPr="00F960C8">
              <w:rPr>
                <w:rFonts w:eastAsia="MS Mincho" w:cs="Helvetica"/>
                <w:b/>
                <w:sz w:val="20"/>
                <w:szCs w:val="20"/>
                <w:lang w:val="en-GB"/>
              </w:rPr>
              <w:br/>
              <w:t>Future research avenues</w:t>
            </w:r>
            <w:r>
              <w:rPr>
                <w:rFonts w:eastAsia="MS Mincho" w:cs="Helvetica"/>
                <w:b/>
                <w:sz w:val="20"/>
                <w:szCs w:val="20"/>
                <w:lang w:val="en-GB"/>
              </w:rPr>
              <w:t>,</w:t>
            </w:r>
            <w:r w:rsidRPr="00F960C8">
              <w:rPr>
                <w:rFonts w:eastAsia="MS Mincho" w:cs="Helvetica"/>
                <w:b/>
                <w:sz w:val="20"/>
                <w:szCs w:val="20"/>
                <w:lang w:val="en-GB"/>
              </w:rPr>
              <w:t xml:space="preserve"> including AI integration, machine learning for soil prediction, and energy harvesting for sensor autonomy</w:t>
            </w:r>
            <w:r>
              <w:rPr>
                <w:rFonts w:eastAsia="MS Mincho" w:cs="Helvetica"/>
                <w:b/>
                <w:sz w:val="20"/>
                <w:szCs w:val="20"/>
                <w:lang w:val="en-GB"/>
              </w:rPr>
              <w:t>,</w:t>
            </w:r>
            <w:r w:rsidRPr="00F960C8">
              <w:rPr>
                <w:rFonts w:eastAsia="MS Mincho" w:cs="Helvetica"/>
                <w:b/>
                <w:sz w:val="20"/>
                <w:szCs w:val="20"/>
                <w:lang w:val="en-GB"/>
              </w:rPr>
              <w:t xml:space="preserve"> should be highlighted in the conclusion.</w:t>
            </w:r>
            <w:r w:rsidRPr="00F960C8">
              <w:rPr>
                <w:rFonts w:eastAsia="MS Mincho" w:cs="Helvetica"/>
                <w:b/>
                <w:sz w:val="20"/>
                <w:szCs w:val="20"/>
                <w:lang w:val="en-GB"/>
              </w:rPr>
              <w:br/>
            </w:r>
            <w:r w:rsidRPr="00F960C8">
              <w:rPr>
                <w:rFonts w:eastAsia="MS Mincho" w:cs="Helvetica"/>
                <w:b/>
                <w:sz w:val="20"/>
                <w:szCs w:val="20"/>
                <w:lang w:val="en-GB"/>
              </w:rPr>
              <w:br/>
              <w:t>For politicians and farmers, a section on economic consequences or cost-benefit analysis would improve practical relevance.</w:t>
            </w:r>
          </w:p>
          <w:p w14:paraId="4938EF4E" w14:textId="77777777" w:rsidR="00E303E9" w:rsidRPr="000D0955" w:rsidRDefault="00E303E9">
            <w:pPr>
              <w:pStyle w:val="NormalWeb"/>
              <w:spacing w:before="0" w:beforeAutospacing="0" w:after="0" w:afterAutospacing="0"/>
              <w:rPr>
                <w:rFonts w:ascii="Times New Roman" w:hAnsi="Times New Roman" w:cs="Times New Roman"/>
                <w:b/>
                <w:sz w:val="20"/>
                <w:szCs w:val="20"/>
                <w:lang w:val="en-GB"/>
              </w:rPr>
            </w:pPr>
          </w:p>
        </w:tc>
        <w:tc>
          <w:tcPr>
            <w:tcW w:w="1523" w:type="pct"/>
          </w:tcPr>
          <w:p w14:paraId="28415742" w14:textId="18821761" w:rsidR="00E303E9" w:rsidRPr="00900E9B" w:rsidRDefault="00CC2CE0">
            <w:pPr>
              <w:rPr>
                <w:sz w:val="20"/>
                <w:szCs w:val="20"/>
                <w:lang w:val="en-GB"/>
              </w:rPr>
            </w:pPr>
            <w:r>
              <w:rPr>
                <w:sz w:val="20"/>
                <w:szCs w:val="20"/>
                <w:lang w:val="en-GB"/>
              </w:rPr>
              <w:t xml:space="preserve">Future research avenues included </w:t>
            </w:r>
          </w:p>
        </w:tc>
      </w:tr>
    </w:tbl>
    <w:p w14:paraId="7EE3656F" w14:textId="77777777"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F0CD2" w:rsidRPr="007F0CD2" w14:paraId="7C395209" w14:textId="77777777" w:rsidTr="00F94F09">
        <w:tc>
          <w:tcPr>
            <w:tcW w:w="5000" w:type="pct"/>
            <w:gridSpan w:val="3"/>
            <w:tcBorders>
              <w:top w:val="nil"/>
              <w:left w:val="nil"/>
              <w:right w:val="nil"/>
            </w:tcBorders>
            <w:noWrap/>
            <w:tcMar>
              <w:top w:w="0" w:type="dxa"/>
              <w:left w:w="108" w:type="dxa"/>
              <w:bottom w:w="0" w:type="dxa"/>
              <w:right w:w="108" w:type="dxa"/>
            </w:tcMar>
            <w:vAlign w:val="center"/>
          </w:tcPr>
          <w:p w14:paraId="74B7582B" w14:textId="77777777" w:rsidR="007F0CD2" w:rsidRPr="007F0CD2" w:rsidRDefault="007F0CD2" w:rsidP="007F0CD2">
            <w:pPr>
              <w:rPr>
                <w:rFonts w:ascii="Arial" w:eastAsia="Arial Unicode MS" w:hAnsi="Arial" w:cs="Arial"/>
                <w:b/>
                <w:sz w:val="20"/>
                <w:szCs w:val="20"/>
                <w:u w:val="single"/>
                <w:lang w:val="en-GB"/>
              </w:rPr>
            </w:pPr>
            <w:bookmarkStart w:id="3" w:name="_Hlk156057883"/>
            <w:bookmarkStart w:id="4" w:name="_Hlk156057704"/>
            <w:r w:rsidRPr="007F0CD2">
              <w:rPr>
                <w:rFonts w:ascii="Arial" w:eastAsia="Arial Unicode MS" w:hAnsi="Arial" w:cs="Arial"/>
                <w:b/>
                <w:sz w:val="20"/>
                <w:szCs w:val="20"/>
                <w:highlight w:val="yellow"/>
                <w:u w:val="single"/>
                <w:lang w:val="en-GB"/>
              </w:rPr>
              <w:t>PART  2:</w:t>
            </w:r>
            <w:r w:rsidRPr="007F0CD2">
              <w:rPr>
                <w:rFonts w:ascii="Arial" w:eastAsia="Arial Unicode MS" w:hAnsi="Arial" w:cs="Arial"/>
                <w:b/>
                <w:sz w:val="20"/>
                <w:szCs w:val="20"/>
                <w:u w:val="single"/>
                <w:lang w:val="en-GB"/>
              </w:rPr>
              <w:t xml:space="preserve"> </w:t>
            </w:r>
          </w:p>
          <w:p w14:paraId="38BE6BC6" w14:textId="77777777" w:rsidR="007F0CD2" w:rsidRPr="007F0CD2" w:rsidRDefault="007F0CD2" w:rsidP="007F0CD2">
            <w:pPr>
              <w:rPr>
                <w:rFonts w:ascii="Arial" w:eastAsia="Arial Unicode MS" w:hAnsi="Arial" w:cs="Arial"/>
                <w:b/>
                <w:sz w:val="20"/>
                <w:szCs w:val="20"/>
                <w:u w:val="single"/>
                <w:lang w:val="en-GB"/>
              </w:rPr>
            </w:pPr>
          </w:p>
        </w:tc>
      </w:tr>
      <w:tr w:rsidR="007F0CD2" w:rsidRPr="007F0CD2" w14:paraId="538794C6" w14:textId="77777777" w:rsidTr="00F94F09">
        <w:tc>
          <w:tcPr>
            <w:tcW w:w="1615" w:type="pct"/>
            <w:noWrap/>
            <w:tcMar>
              <w:top w:w="0" w:type="dxa"/>
              <w:left w:w="108" w:type="dxa"/>
              <w:bottom w:w="0" w:type="dxa"/>
              <w:right w:w="108" w:type="dxa"/>
            </w:tcMar>
            <w:vAlign w:val="center"/>
          </w:tcPr>
          <w:p w14:paraId="3E0D0B92" w14:textId="77777777" w:rsidR="007F0CD2" w:rsidRPr="007F0CD2" w:rsidRDefault="007F0CD2" w:rsidP="007F0CD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581B3E3" w14:textId="77777777" w:rsidR="007F0CD2" w:rsidRPr="007F0CD2" w:rsidRDefault="007F0CD2" w:rsidP="007F0CD2">
            <w:pPr>
              <w:keepNext/>
              <w:outlineLvl w:val="1"/>
              <w:rPr>
                <w:rFonts w:ascii="Arial" w:eastAsia="MS Mincho" w:hAnsi="Arial" w:cs="Arial"/>
                <w:b/>
                <w:bCs/>
                <w:sz w:val="20"/>
                <w:szCs w:val="20"/>
                <w:lang w:val="en-GB"/>
              </w:rPr>
            </w:pPr>
            <w:r w:rsidRPr="007F0CD2">
              <w:rPr>
                <w:rFonts w:ascii="Arial" w:eastAsia="MS Mincho" w:hAnsi="Arial" w:cs="Arial"/>
                <w:b/>
                <w:bCs/>
                <w:sz w:val="20"/>
                <w:szCs w:val="20"/>
                <w:lang w:val="en-GB"/>
              </w:rPr>
              <w:t>Reviewer’s comment</w:t>
            </w:r>
          </w:p>
        </w:tc>
        <w:tc>
          <w:tcPr>
            <w:tcW w:w="1691" w:type="pct"/>
          </w:tcPr>
          <w:p w14:paraId="2BDEC8C2" w14:textId="77777777" w:rsidR="007F0CD2" w:rsidRPr="007F0CD2" w:rsidRDefault="007F0CD2" w:rsidP="007F0CD2">
            <w:pPr>
              <w:spacing w:after="160" w:line="252" w:lineRule="auto"/>
              <w:rPr>
                <w:rFonts w:ascii="Arial" w:eastAsia="Calibri" w:hAnsi="Arial" w:cs="Arial"/>
                <w:kern w:val="2"/>
                <w:sz w:val="20"/>
                <w:szCs w:val="20"/>
                <w:lang w:val="en-IN"/>
              </w:rPr>
            </w:pPr>
            <w:r w:rsidRPr="007F0CD2">
              <w:rPr>
                <w:rFonts w:ascii="Arial" w:eastAsia="Calibri" w:hAnsi="Arial" w:cs="Arial"/>
                <w:b/>
                <w:kern w:val="2"/>
                <w:sz w:val="20"/>
                <w:szCs w:val="20"/>
                <w:lang w:val="en-IN"/>
              </w:rPr>
              <w:t>Author’s Feedback</w:t>
            </w:r>
            <w:r w:rsidRPr="007F0CD2">
              <w:rPr>
                <w:rFonts w:ascii="Arial" w:eastAsia="Calibri" w:hAnsi="Arial" w:cs="Arial"/>
                <w:kern w:val="2"/>
                <w:sz w:val="20"/>
                <w:szCs w:val="20"/>
                <w:lang w:val="en-IN"/>
              </w:rPr>
              <w:t xml:space="preserve"> (It is mandatory that authors should write his/her feedback here)</w:t>
            </w:r>
          </w:p>
          <w:p w14:paraId="1CC88449" w14:textId="77777777" w:rsidR="007F0CD2" w:rsidRPr="007F0CD2" w:rsidRDefault="007F0CD2" w:rsidP="007F0CD2">
            <w:pPr>
              <w:keepNext/>
              <w:outlineLvl w:val="1"/>
              <w:rPr>
                <w:rFonts w:ascii="Arial" w:eastAsia="MS Mincho" w:hAnsi="Arial" w:cs="Arial"/>
                <w:bCs/>
                <w:sz w:val="20"/>
                <w:szCs w:val="20"/>
                <w:lang w:val="en-GB"/>
              </w:rPr>
            </w:pPr>
          </w:p>
        </w:tc>
      </w:tr>
      <w:tr w:rsidR="007F0CD2" w:rsidRPr="007F0CD2" w14:paraId="7F9CEA8F" w14:textId="77777777" w:rsidTr="00F94F09">
        <w:trPr>
          <w:trHeight w:val="890"/>
        </w:trPr>
        <w:tc>
          <w:tcPr>
            <w:tcW w:w="1615" w:type="pct"/>
            <w:noWrap/>
            <w:tcMar>
              <w:top w:w="0" w:type="dxa"/>
              <w:left w:w="108" w:type="dxa"/>
              <w:bottom w:w="0" w:type="dxa"/>
              <w:right w:w="108" w:type="dxa"/>
            </w:tcMar>
            <w:vAlign w:val="center"/>
          </w:tcPr>
          <w:p w14:paraId="136348DF" w14:textId="77777777" w:rsidR="007F0CD2" w:rsidRPr="007F0CD2" w:rsidRDefault="007F0CD2" w:rsidP="007F0CD2">
            <w:pPr>
              <w:rPr>
                <w:rFonts w:ascii="Arial" w:eastAsia="Arial Unicode MS" w:hAnsi="Arial" w:cs="Arial"/>
                <w:b/>
                <w:sz w:val="20"/>
                <w:szCs w:val="20"/>
                <w:lang w:val="en-GB"/>
              </w:rPr>
            </w:pPr>
            <w:r w:rsidRPr="007F0CD2">
              <w:rPr>
                <w:rFonts w:ascii="Arial" w:eastAsia="Arial Unicode MS" w:hAnsi="Arial" w:cs="Arial"/>
                <w:b/>
                <w:sz w:val="20"/>
                <w:szCs w:val="20"/>
                <w:lang w:val="en-GB"/>
              </w:rPr>
              <w:t xml:space="preserve">Are there ethical issues in this manuscript? </w:t>
            </w:r>
          </w:p>
          <w:p w14:paraId="62EF5DCA" w14:textId="77777777" w:rsidR="007F0CD2" w:rsidRPr="007F0CD2" w:rsidRDefault="007F0CD2" w:rsidP="007F0CD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3EDF2DD" w14:textId="77777777" w:rsidR="007F0CD2" w:rsidRPr="007F0CD2" w:rsidRDefault="007F0CD2" w:rsidP="007F0CD2">
            <w:pPr>
              <w:rPr>
                <w:rFonts w:ascii="Arial" w:eastAsia="Arial Unicode MS" w:hAnsi="Arial" w:cs="Arial"/>
                <w:i/>
                <w:iCs/>
                <w:sz w:val="20"/>
                <w:szCs w:val="20"/>
                <w:u w:val="single"/>
                <w:lang w:val="en-GB"/>
              </w:rPr>
            </w:pPr>
            <w:r w:rsidRPr="007F0CD2">
              <w:rPr>
                <w:rFonts w:ascii="Arial" w:eastAsia="Arial Unicode MS" w:hAnsi="Arial" w:cs="Arial"/>
                <w:i/>
                <w:iCs/>
                <w:sz w:val="20"/>
                <w:szCs w:val="20"/>
                <w:u w:val="single"/>
                <w:lang w:val="en-GB"/>
              </w:rPr>
              <w:t xml:space="preserve">(If yes, </w:t>
            </w:r>
            <w:proofErr w:type="gramStart"/>
            <w:r w:rsidRPr="007F0CD2">
              <w:rPr>
                <w:rFonts w:ascii="Arial" w:eastAsia="Arial Unicode MS" w:hAnsi="Arial" w:cs="Arial"/>
                <w:i/>
                <w:iCs/>
                <w:sz w:val="20"/>
                <w:szCs w:val="20"/>
                <w:u w:val="single"/>
                <w:lang w:val="en-GB"/>
              </w:rPr>
              <w:t>Kindly</w:t>
            </w:r>
            <w:proofErr w:type="gramEnd"/>
            <w:r w:rsidRPr="007F0CD2">
              <w:rPr>
                <w:rFonts w:ascii="Arial" w:eastAsia="Arial Unicode MS" w:hAnsi="Arial" w:cs="Arial"/>
                <w:i/>
                <w:iCs/>
                <w:sz w:val="20"/>
                <w:szCs w:val="20"/>
                <w:u w:val="single"/>
                <w:lang w:val="en-GB"/>
              </w:rPr>
              <w:t xml:space="preserve"> please write down the ethical issues here in details)</w:t>
            </w:r>
          </w:p>
          <w:p w14:paraId="2A8AD204" w14:textId="77777777" w:rsidR="007F0CD2" w:rsidRPr="007F0CD2" w:rsidRDefault="007F0CD2" w:rsidP="007F0CD2">
            <w:pPr>
              <w:rPr>
                <w:rFonts w:ascii="Arial" w:eastAsia="Arial Unicode MS" w:hAnsi="Arial" w:cs="Arial"/>
                <w:sz w:val="20"/>
                <w:szCs w:val="20"/>
                <w:lang w:val="en-GB"/>
              </w:rPr>
            </w:pPr>
          </w:p>
        </w:tc>
        <w:tc>
          <w:tcPr>
            <w:tcW w:w="1691" w:type="pct"/>
            <w:vAlign w:val="center"/>
          </w:tcPr>
          <w:p w14:paraId="2AA7B31B" w14:textId="356B4379" w:rsidR="007F0CD2" w:rsidRPr="007F0CD2" w:rsidRDefault="00FB57FD" w:rsidP="007F0CD2">
            <w:pPr>
              <w:rPr>
                <w:rFonts w:ascii="Arial" w:eastAsia="Arial Unicode MS" w:hAnsi="Arial" w:cs="Arial"/>
                <w:sz w:val="20"/>
                <w:szCs w:val="20"/>
                <w:lang w:val="en-GB"/>
              </w:rPr>
            </w:pPr>
            <w:r>
              <w:rPr>
                <w:rFonts w:ascii="Arial" w:eastAsia="Arial Unicode MS" w:hAnsi="Arial" w:cs="Arial"/>
                <w:sz w:val="20"/>
                <w:szCs w:val="20"/>
                <w:lang w:val="en-GB"/>
              </w:rPr>
              <w:t>No</w:t>
            </w:r>
          </w:p>
          <w:p w14:paraId="7E8EC981" w14:textId="77777777" w:rsidR="007F0CD2" w:rsidRPr="007F0CD2" w:rsidRDefault="007F0CD2" w:rsidP="007F0CD2">
            <w:pPr>
              <w:rPr>
                <w:rFonts w:ascii="Arial" w:eastAsia="Arial Unicode MS" w:hAnsi="Arial" w:cs="Arial"/>
                <w:sz w:val="20"/>
                <w:szCs w:val="20"/>
                <w:lang w:val="en-GB"/>
              </w:rPr>
            </w:pPr>
          </w:p>
          <w:p w14:paraId="46D54AA1" w14:textId="77777777" w:rsidR="007F0CD2" w:rsidRPr="007F0CD2" w:rsidRDefault="007F0CD2" w:rsidP="007F0CD2">
            <w:pPr>
              <w:rPr>
                <w:rFonts w:ascii="Arial" w:eastAsia="Arial Unicode MS" w:hAnsi="Arial" w:cs="Arial"/>
                <w:sz w:val="20"/>
                <w:szCs w:val="20"/>
                <w:lang w:val="en-GB"/>
              </w:rPr>
            </w:pPr>
          </w:p>
        </w:tc>
      </w:tr>
      <w:bookmarkEnd w:id="3"/>
    </w:tbl>
    <w:p w14:paraId="41DF7B9E" w14:textId="77777777" w:rsidR="007F0CD2" w:rsidRPr="007F0CD2" w:rsidRDefault="007F0CD2" w:rsidP="007F0CD2"/>
    <w:p w14:paraId="3596260E" w14:textId="77777777" w:rsidR="007F0CD2" w:rsidRPr="007F0CD2" w:rsidRDefault="007F0CD2" w:rsidP="007F0CD2"/>
    <w:p w14:paraId="5C3EAFC4" w14:textId="77777777" w:rsidR="007F0CD2" w:rsidRPr="007F0CD2" w:rsidRDefault="007F0CD2" w:rsidP="007F0CD2">
      <w:pPr>
        <w:rPr>
          <w:bCs/>
          <w:u w:val="single"/>
          <w:lang w:val="en-GB"/>
        </w:rPr>
      </w:pPr>
    </w:p>
    <w:bookmarkEnd w:id="4"/>
    <w:p w14:paraId="6BE9D362" w14:textId="77777777" w:rsidR="007F0CD2" w:rsidRPr="007F0CD2" w:rsidRDefault="007F0CD2" w:rsidP="007F0CD2"/>
    <w:bookmarkEnd w:id="0"/>
    <w:bookmarkEnd w:id="1"/>
    <w:p w14:paraId="045F46FF" w14:textId="77777777" w:rsidR="00E303E9" w:rsidRPr="00900E9B" w:rsidRDefault="00E303E9" w:rsidP="00E303E9">
      <w:pPr>
        <w:pStyle w:val="BodyText"/>
        <w:rPr>
          <w:rFonts w:ascii="Times New Roman" w:hAnsi="Times New Roman"/>
          <w:b/>
          <w:bCs/>
          <w:sz w:val="20"/>
          <w:szCs w:val="20"/>
          <w:u w:val="single"/>
          <w:lang w:val="en-GB"/>
        </w:rPr>
      </w:pPr>
    </w:p>
    <w:sectPr w:rsidR="00E303E9" w:rsidRPr="00900E9B"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DD5B8" w14:textId="77777777" w:rsidR="004044A4" w:rsidRPr="0000007A" w:rsidRDefault="004044A4" w:rsidP="0099583E">
      <w:r>
        <w:separator/>
      </w:r>
    </w:p>
  </w:endnote>
  <w:endnote w:type="continuationSeparator" w:id="0">
    <w:p w14:paraId="3F5AC167" w14:textId="77777777" w:rsidR="004044A4" w:rsidRPr="0000007A" w:rsidRDefault="004044A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3C02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34449" w14:textId="77777777" w:rsidR="004044A4" w:rsidRPr="0000007A" w:rsidRDefault="004044A4" w:rsidP="0099583E">
      <w:r>
        <w:separator/>
      </w:r>
    </w:p>
  </w:footnote>
  <w:footnote w:type="continuationSeparator" w:id="0">
    <w:p w14:paraId="0F1F5CD8" w14:textId="77777777" w:rsidR="004044A4" w:rsidRPr="0000007A" w:rsidRDefault="004044A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4032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D5ADD6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F136B0"/>
    <w:multiLevelType w:val="hybridMultilevel"/>
    <w:tmpl w:val="84005EEC"/>
    <w:lvl w:ilvl="0" w:tplc="09E871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C5620D0"/>
    <w:multiLevelType w:val="hybridMultilevel"/>
    <w:tmpl w:val="EE1436E6"/>
    <w:lvl w:ilvl="0" w:tplc="09E871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F30749"/>
    <w:multiLevelType w:val="hybridMultilevel"/>
    <w:tmpl w:val="4CA4ABFC"/>
    <w:lvl w:ilvl="0" w:tplc="09E8711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E584CFB"/>
    <w:multiLevelType w:val="hybridMultilevel"/>
    <w:tmpl w:val="8C9A6982"/>
    <w:lvl w:ilvl="0" w:tplc="4C6E902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4"/>
  </w:num>
  <w:num w:numId="9">
    <w:abstractNumId w:val="11"/>
  </w:num>
  <w:num w:numId="10">
    <w:abstractNumId w:val="2"/>
  </w:num>
  <w:num w:numId="11">
    <w:abstractNumId w:val="1"/>
  </w:num>
  <w:num w:numId="12">
    <w:abstractNumId w:val="5"/>
  </w:num>
  <w:num w:numId="13">
    <w:abstractNumId w:val="12"/>
  </w:num>
  <w:num w:numId="14">
    <w:abstractNumId w:val="15"/>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16DD"/>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5327"/>
    <w:rsid w:val="00100577"/>
    <w:rsid w:val="00101322"/>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65A3"/>
    <w:rsid w:val="001F707F"/>
    <w:rsid w:val="002011F3"/>
    <w:rsid w:val="00201B85"/>
    <w:rsid w:val="00202E80"/>
    <w:rsid w:val="002105F7"/>
    <w:rsid w:val="00215C3D"/>
    <w:rsid w:val="0021607D"/>
    <w:rsid w:val="00220111"/>
    <w:rsid w:val="0022369C"/>
    <w:rsid w:val="002320EB"/>
    <w:rsid w:val="0023696A"/>
    <w:rsid w:val="002422CB"/>
    <w:rsid w:val="00245E23"/>
    <w:rsid w:val="0025366D"/>
    <w:rsid w:val="00254F80"/>
    <w:rsid w:val="00262634"/>
    <w:rsid w:val="002643B3"/>
    <w:rsid w:val="002739D5"/>
    <w:rsid w:val="00275984"/>
    <w:rsid w:val="00280EC9"/>
    <w:rsid w:val="00291D08"/>
    <w:rsid w:val="00293482"/>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E746A"/>
    <w:rsid w:val="003F7E90"/>
    <w:rsid w:val="004044A4"/>
    <w:rsid w:val="00421085"/>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AF6"/>
    <w:rsid w:val="004D2E36"/>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211F"/>
    <w:rsid w:val="00564A11"/>
    <w:rsid w:val="0056759D"/>
    <w:rsid w:val="00567DE0"/>
    <w:rsid w:val="005735A5"/>
    <w:rsid w:val="005A5BE0"/>
    <w:rsid w:val="005B12E0"/>
    <w:rsid w:val="005C25A0"/>
    <w:rsid w:val="005C370D"/>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B1099"/>
    <w:rsid w:val="007B6E18"/>
    <w:rsid w:val="007D0246"/>
    <w:rsid w:val="007D3353"/>
    <w:rsid w:val="007F0CD2"/>
    <w:rsid w:val="007F5873"/>
    <w:rsid w:val="00806382"/>
    <w:rsid w:val="00815F94"/>
    <w:rsid w:val="0082130C"/>
    <w:rsid w:val="008224E2"/>
    <w:rsid w:val="008233AF"/>
    <w:rsid w:val="00825DC9"/>
    <w:rsid w:val="0082676D"/>
    <w:rsid w:val="00830907"/>
    <w:rsid w:val="00831055"/>
    <w:rsid w:val="00837F69"/>
    <w:rsid w:val="008423BB"/>
    <w:rsid w:val="00846F1F"/>
    <w:rsid w:val="0087201B"/>
    <w:rsid w:val="00877F10"/>
    <w:rsid w:val="00882091"/>
    <w:rsid w:val="008913D5"/>
    <w:rsid w:val="00893E75"/>
    <w:rsid w:val="008C2778"/>
    <w:rsid w:val="008C2F62"/>
    <w:rsid w:val="008D020E"/>
    <w:rsid w:val="008D1117"/>
    <w:rsid w:val="008D15A4"/>
    <w:rsid w:val="008F36E4"/>
    <w:rsid w:val="009038C2"/>
    <w:rsid w:val="00920F9E"/>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22EF6"/>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500B4"/>
    <w:rsid w:val="00B62087"/>
    <w:rsid w:val="00B62F41"/>
    <w:rsid w:val="00B73785"/>
    <w:rsid w:val="00B760E1"/>
    <w:rsid w:val="00B807F8"/>
    <w:rsid w:val="00B858FF"/>
    <w:rsid w:val="00B962D8"/>
    <w:rsid w:val="00BA1AB3"/>
    <w:rsid w:val="00BA6421"/>
    <w:rsid w:val="00BB2D14"/>
    <w:rsid w:val="00BB34E6"/>
    <w:rsid w:val="00BB4FEC"/>
    <w:rsid w:val="00BC213D"/>
    <w:rsid w:val="00BC402F"/>
    <w:rsid w:val="00BD27BA"/>
    <w:rsid w:val="00BD6B73"/>
    <w:rsid w:val="00BE13EF"/>
    <w:rsid w:val="00BE40A5"/>
    <w:rsid w:val="00BE6454"/>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C2CE0"/>
    <w:rsid w:val="00CD093E"/>
    <w:rsid w:val="00CD1556"/>
    <w:rsid w:val="00CD1FD7"/>
    <w:rsid w:val="00CE199A"/>
    <w:rsid w:val="00CE5AC7"/>
    <w:rsid w:val="00CF0BBB"/>
    <w:rsid w:val="00CF2E4B"/>
    <w:rsid w:val="00CF50E2"/>
    <w:rsid w:val="00CF558B"/>
    <w:rsid w:val="00CF7AC8"/>
    <w:rsid w:val="00D1283A"/>
    <w:rsid w:val="00D17979"/>
    <w:rsid w:val="00D2075F"/>
    <w:rsid w:val="00D3257B"/>
    <w:rsid w:val="00D40416"/>
    <w:rsid w:val="00D45CF7"/>
    <w:rsid w:val="00D4782A"/>
    <w:rsid w:val="00D71A7B"/>
    <w:rsid w:val="00D7603E"/>
    <w:rsid w:val="00D8579C"/>
    <w:rsid w:val="00D90124"/>
    <w:rsid w:val="00D9392F"/>
    <w:rsid w:val="00D941C1"/>
    <w:rsid w:val="00DA41F5"/>
    <w:rsid w:val="00DB5B54"/>
    <w:rsid w:val="00DB7E1B"/>
    <w:rsid w:val="00DC1D81"/>
    <w:rsid w:val="00E00F9E"/>
    <w:rsid w:val="00E303E9"/>
    <w:rsid w:val="00E451EA"/>
    <w:rsid w:val="00E53E52"/>
    <w:rsid w:val="00E57F4B"/>
    <w:rsid w:val="00E63889"/>
    <w:rsid w:val="00E65EB7"/>
    <w:rsid w:val="00E71C8D"/>
    <w:rsid w:val="00E72360"/>
    <w:rsid w:val="00E972A7"/>
    <w:rsid w:val="00EA26C5"/>
    <w:rsid w:val="00EA2839"/>
    <w:rsid w:val="00EB3E91"/>
    <w:rsid w:val="00EC6894"/>
    <w:rsid w:val="00ED6B12"/>
    <w:rsid w:val="00EE0D3E"/>
    <w:rsid w:val="00EF326D"/>
    <w:rsid w:val="00EF53FE"/>
    <w:rsid w:val="00F07250"/>
    <w:rsid w:val="00F245A7"/>
    <w:rsid w:val="00F2643C"/>
    <w:rsid w:val="00F30CB7"/>
    <w:rsid w:val="00F3295A"/>
    <w:rsid w:val="00F34D8E"/>
    <w:rsid w:val="00F3669D"/>
    <w:rsid w:val="00F405F8"/>
    <w:rsid w:val="00F41154"/>
    <w:rsid w:val="00F4700F"/>
    <w:rsid w:val="00F4702C"/>
    <w:rsid w:val="00F51F7F"/>
    <w:rsid w:val="00F573EA"/>
    <w:rsid w:val="00F57E9D"/>
    <w:rsid w:val="00F94F09"/>
    <w:rsid w:val="00F960C8"/>
    <w:rsid w:val="00FA6528"/>
    <w:rsid w:val="00FB57FD"/>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E0B07"/>
  <w15:chartTrackingRefBased/>
  <w15:docId w15:val="{D88BE49A-B123-4545-9F8F-22CEC087A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 w:type="character" w:styleId="Strong">
    <w:name w:val="Strong"/>
    <w:uiPriority w:val="22"/>
    <w:qFormat/>
    <w:rsid w:val="00F960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559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091128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3594507">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982542378">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3753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AC951-04AF-4B2C-8325-89135DA46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807</Words>
  <Characters>4602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5399</CharactersWithSpaces>
  <SharedDoc>false</SharedDoc>
  <HLinks>
    <vt:vector size="6" baseType="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2025-11-28T16:37:00Z</dcterms:created>
  <dcterms:modified xsi:type="dcterms:W3CDTF">2025-11-29T06:33:00Z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775dbf25-42e6-4384-a40f-cca7925f4bd1</vt:lpwstr>
  </property>
</Properties>
</file>