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5000" w:type="pct"/>
        <w:jc w:val="left"/>
        <w:tblInd w:w="0" w:type="dxa"/>
        <w:tblCellMar>
          <w:top w:w="0" w:type="dxa"/>
          <w:left w:w="0" w:type="dxa"/>
          <w:bottom w:w="0" w:type="dxa"/>
          <w:right w:w="0" w:type="dxa"/>
        </w:tblCellMar>
        <w:tblLook w:val="0000" w:noHBand="0" w:noVBand="0" w:firstColumn="0" w:lastRow="0" w:lastColumn="0" w:firstRow="0"/>
      </w:tblPr>
      <w:tblGrid>
        <w:gridCol w:w="5165"/>
        <w:gridCol w:w="15765"/>
      </w:tblGrid>
      <w:tr>
        <w:trPr>
          <w:trHeight w:val="290" w:hRule="atLeast"/>
        </w:trPr>
        <w:tc>
          <w:tcPr>
            <w:tcW w:w="20930" w:type="dxa"/>
            <w:gridSpan w:val="2"/>
            <w:tcBorders>
              <w:bottom w:val="single" w:sz="4" w:space="0" w:color="000000"/>
            </w:tcBorders>
          </w:tcPr>
          <w:p>
            <w:pPr>
              <w:pStyle w:val="Heading2"/>
              <w:jc w:val="left"/>
              <w:rPr>
                <w:rFonts w:ascii="Arial" w:hAnsi="Arial" w:cs="Arial"/>
                <w:b w:val="false"/>
                <w:b w:val="false"/>
                <w:bCs w:val="false"/>
                <w:sz w:val="28"/>
                <w:szCs w:val="28"/>
                <w:lang w:val="en-GB"/>
              </w:rPr>
            </w:pPr>
            <w:r>
              <w:rPr>
                <w:rFonts w:cs="Arial" w:ascii="Arial" w:hAnsi="Arial"/>
                <w:b w:val="false"/>
                <w:bCs w:val="false"/>
                <w:sz w:val="28"/>
                <w:szCs w:val="28"/>
                <w:lang w:val="en-GB"/>
              </w:rPr>
            </w:r>
          </w:p>
        </w:tc>
      </w:tr>
      <w:tr>
        <w:trPr>
          <w:trHeight w:val="290" w:hRule="atLeast"/>
        </w:trPr>
        <w:tc>
          <w:tcPr>
            <w:tcW w:w="5165" w:type="dxa"/>
            <w:tcBorders>
              <w:top w:val="single" w:sz="4" w:space="0" w:color="000000"/>
              <w:left w:val="single" w:sz="4" w:space="0" w:color="000000"/>
              <w:bottom w:val="single" w:sz="4" w:space="0" w:color="000000"/>
              <w:right w:val="single" w:sz="4" w:space="0" w:color="000000"/>
            </w:tcBorders>
          </w:tcPr>
          <w:p>
            <w:pPr>
              <w:pStyle w:val="TextBody"/>
              <w:ind w:left="90" w:hanging="0"/>
              <w:jc w:val="left"/>
              <w:rPr>
                <w:rFonts w:ascii="Arial" w:hAnsi="Arial" w:cs="Arial"/>
                <w:bCs/>
                <w:sz w:val="20"/>
                <w:szCs w:val="28"/>
                <w:lang w:val="en-GB"/>
              </w:rPr>
            </w:pPr>
            <w:r>
              <w:rPr>
                <w:rFonts w:cs="Arial" w:ascii="Arial" w:hAnsi="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
              <w:rPr>
                <w:rFonts w:ascii="Arial" w:hAnsi="Arial" w:cs="Arial"/>
                <w:b/>
                <w:b/>
                <w:bCs/>
                <w:color w:val="0000FF"/>
                <w:sz w:val="20"/>
                <w:szCs w:val="20"/>
              </w:rPr>
            </w:pPr>
            <w:hyperlink r:id="rId2">
              <w:r>
                <w:rPr>
                  <w:rStyle w:val="InternetLink"/>
                  <w:rFonts w:cs="Arial" w:ascii="Arial" w:hAnsi="Arial"/>
                  <w:b/>
                  <w:bCs/>
                  <w:sz w:val="20"/>
                  <w:szCs w:val="20"/>
                </w:rPr>
                <w:t>Asian Journal of Geological Research</w:t>
              </w:r>
            </w:hyperlink>
            <w:r>
              <w:rPr>
                <w:rFonts w:cs="Arial" w:ascii="Arial" w:hAnsi="Arial"/>
                <w:b/>
                <w:bCs/>
                <w:color w:val="0000FF"/>
                <w:sz w:val="20"/>
                <w:szCs w:val="20"/>
              </w:rPr>
              <w:t xml:space="preserve"> </w:t>
            </w:r>
          </w:p>
        </w:tc>
      </w:tr>
      <w:tr>
        <w:trPr>
          <w:trHeight w:val="290" w:hRule="atLeast"/>
        </w:trPr>
        <w:tc>
          <w:tcPr>
            <w:tcW w:w="5165" w:type="dxa"/>
            <w:tcBorders>
              <w:top w:val="single" w:sz="4" w:space="0" w:color="000000"/>
              <w:left w:val="single" w:sz="4" w:space="0" w:color="000000"/>
              <w:bottom w:val="single" w:sz="4" w:space="0" w:color="000000"/>
              <w:right w:val="single" w:sz="4" w:space="0" w:color="000000"/>
            </w:tcBorders>
          </w:tcPr>
          <w:p>
            <w:pPr>
              <w:pStyle w:val="TextBody"/>
              <w:ind w:left="90" w:hanging="0"/>
              <w:jc w:val="left"/>
              <w:rPr>
                <w:rFonts w:ascii="Arial" w:hAnsi="Arial" w:cs="Arial"/>
                <w:bCs/>
                <w:sz w:val="20"/>
                <w:szCs w:val="28"/>
                <w:lang w:val="en-GB"/>
              </w:rPr>
            </w:pPr>
            <w:r>
              <w:rPr>
                <w:rFonts w:cs="Arial" w:ascii="Arial" w:hAnsi="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Autospacing="0" w:before="0" w:afterAutospacing="0" w:after="0"/>
              <w:rPr>
                <w:rFonts w:ascii="Arial" w:hAnsi="Arial" w:cs="Arial"/>
                <w:b/>
                <w:b/>
                <w:bCs/>
                <w:sz w:val="20"/>
                <w:szCs w:val="28"/>
                <w:lang w:val="en-GB"/>
              </w:rPr>
            </w:pPr>
            <w:r>
              <w:rPr>
                <w:rFonts w:cs="Arial" w:ascii="Arial" w:hAnsi="Arial"/>
                <w:b/>
                <w:bCs/>
                <w:sz w:val="20"/>
                <w:szCs w:val="28"/>
                <w:lang w:val="en-GB"/>
              </w:rPr>
              <w:t>Ms_AJOGER_148566</w:t>
            </w:r>
          </w:p>
        </w:tc>
      </w:tr>
      <w:tr>
        <w:trPr>
          <w:trHeight w:val="650" w:hRule="atLeast"/>
        </w:trPr>
        <w:tc>
          <w:tcPr>
            <w:tcW w:w="5165" w:type="dxa"/>
            <w:tcBorders>
              <w:top w:val="single" w:sz="4" w:space="0" w:color="000000"/>
              <w:left w:val="single" w:sz="4" w:space="0" w:color="000000"/>
              <w:bottom w:val="single" w:sz="4" w:space="0" w:color="000000"/>
              <w:right w:val="single" w:sz="4" w:space="0" w:color="000000"/>
            </w:tcBorders>
          </w:tcPr>
          <w:p>
            <w:pPr>
              <w:pStyle w:val="TextBody"/>
              <w:ind w:left="90" w:hanging="0"/>
              <w:jc w:val="left"/>
              <w:rPr>
                <w:rFonts w:ascii="Arial" w:hAnsi="Arial" w:cs="Arial"/>
                <w:bCs/>
                <w:sz w:val="20"/>
                <w:szCs w:val="28"/>
                <w:lang w:val="en-GB"/>
              </w:rPr>
            </w:pPr>
            <w:r>
              <w:rPr>
                <w:rFonts w:cs="Arial" w:ascii="Arial" w:hAnsi="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Autospacing="0" w:before="0" w:afterAutospacing="0" w:after="0"/>
              <w:rPr>
                <w:rFonts w:ascii="Arial" w:hAnsi="Arial" w:cs="Arial"/>
                <w:b/>
                <w:b/>
                <w:sz w:val="20"/>
                <w:szCs w:val="28"/>
                <w:lang w:val="en-GB"/>
              </w:rPr>
            </w:pPr>
            <w:r>
              <w:rPr>
                <w:rFonts w:cs="Arial" w:ascii="Arial" w:hAnsi="Arial"/>
                <w:b/>
                <w:sz w:val="20"/>
                <w:szCs w:val="28"/>
                <w:lang w:val="en-GB"/>
              </w:rPr>
              <w:t>Assessment of Topsoil Geotechnical Competency and Overburden Protective Capacity Using Geoelectrical Methods in Gwarinpa, Abuja</w:t>
            </w:r>
          </w:p>
        </w:tc>
      </w:tr>
      <w:tr>
        <w:trPr>
          <w:trHeight w:val="332" w:hRule="atLeast"/>
        </w:trPr>
        <w:tc>
          <w:tcPr>
            <w:tcW w:w="5165" w:type="dxa"/>
            <w:tcBorders>
              <w:top w:val="single" w:sz="4" w:space="0" w:color="000000"/>
              <w:left w:val="single" w:sz="4" w:space="0" w:color="000000"/>
              <w:bottom w:val="single" w:sz="4" w:space="0" w:color="000000"/>
              <w:right w:val="single" w:sz="4" w:space="0" w:color="000000"/>
            </w:tcBorders>
          </w:tcPr>
          <w:p>
            <w:pPr>
              <w:pStyle w:val="TextBody"/>
              <w:ind w:left="90" w:hanging="0"/>
              <w:jc w:val="left"/>
              <w:rPr>
                <w:rFonts w:ascii="Arial" w:hAnsi="Arial" w:cs="Arial"/>
                <w:bCs/>
                <w:sz w:val="20"/>
                <w:szCs w:val="28"/>
                <w:lang w:val="en-GB"/>
              </w:rPr>
            </w:pPr>
            <w:r>
              <w:rPr>
                <w:rFonts w:cs="Arial" w:ascii="Arial" w:hAnsi="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Autospacing="0" w:before="0" w:afterAutospacing="0" w:after="0"/>
              <w:rPr>
                <w:rFonts w:ascii="Arial" w:hAnsi="Arial" w:cs="Arial"/>
                <w:b/>
                <w:b/>
                <w:sz w:val="20"/>
                <w:szCs w:val="28"/>
                <w:lang w:val="en-GB"/>
              </w:rPr>
            </w:pPr>
            <w:r>
              <w:rPr>
                <w:rFonts w:cs="Arial" w:ascii="Arial" w:hAnsi="Arial"/>
                <w:b/>
                <w:sz w:val="20"/>
                <w:szCs w:val="28"/>
                <w:lang w:val="en-GB"/>
              </w:rPr>
              <w:t>Original Research Article</w:t>
            </w:r>
          </w:p>
        </w:tc>
      </w:tr>
    </w:tbl>
    <w:p>
      <w:pPr>
        <w:pStyle w:val="TextBody"/>
        <w:rPr>
          <w:rFonts w:ascii="Arial" w:hAnsi="Arial" w:cs="Arial"/>
          <w:b/>
          <w:b/>
          <w:bCs/>
          <w:sz w:val="20"/>
          <w:szCs w:val="20"/>
          <w:u w:val="single"/>
          <w:lang w:val="en-GB"/>
        </w:rPr>
      </w:pPr>
      <w:r>
        <w:rPr>
          <w:rFonts w:cs="Arial" w:ascii="Arial" w:hAnsi="Arial"/>
          <w:b/>
          <w:bCs/>
          <w:sz w:val="20"/>
          <w:szCs w:val="20"/>
          <w:u w:val="single"/>
          <w:lang w:val="en-GB"/>
        </w:rPr>
      </w:r>
    </w:p>
    <w:p>
      <w:pPr>
        <w:pStyle w:val="TextBody"/>
        <w:rPr>
          <w:rFonts w:ascii="Arial" w:hAnsi="Arial" w:cs="Arial"/>
          <w:b/>
          <w:b/>
          <w:bCs/>
          <w:sz w:val="20"/>
          <w:szCs w:val="20"/>
          <w:u w:val="single"/>
          <w:lang w:val="en-GB"/>
        </w:rPr>
      </w:pPr>
      <w:r>
        <w:rPr>
          <w:rFonts w:cs="Arial" w:ascii="Arial" w:hAnsi="Arial"/>
          <w:b/>
          <w:bCs/>
          <w:sz w:val="20"/>
          <w:szCs w:val="20"/>
          <w:u w:val="single"/>
          <w:lang w:val="en-GB"/>
        </w:rPr>
      </w:r>
    </w:p>
    <w:p>
      <w:pPr>
        <w:pStyle w:val="Normal"/>
        <w:rPr>
          <w:sz w:val="20"/>
          <w:szCs w:val="20"/>
        </w:rPr>
      </w:pPr>
      <w:r>
        <w:rPr>
          <w:sz w:val="20"/>
          <w:szCs w:val="20"/>
        </w:rPr>
      </w:r>
    </w:p>
    <w:tbl>
      <w:tblPr>
        <w:tblW w:w="5000" w:type="pct"/>
        <w:jc w:val="left"/>
        <w:tblInd w:w="0" w:type="dxa"/>
        <w:tblCellMar>
          <w:top w:w="0" w:type="dxa"/>
          <w:left w:w="108" w:type="dxa"/>
          <w:bottom w:w="0" w:type="dxa"/>
          <w:right w:w="108" w:type="dxa"/>
        </w:tblCellMar>
        <w:tblLook w:val="0000" w:noHBand="0" w:noVBand="0" w:firstColumn="0" w:lastRow="0" w:lastColumn="0" w:firstRow="0"/>
      </w:tblPr>
      <w:tblGrid>
        <w:gridCol w:w="5295"/>
        <w:gridCol w:w="9260"/>
        <w:gridCol w:w="6376"/>
      </w:tblGrid>
      <w:tr>
        <w:trPr/>
        <w:tc>
          <w:tcPr>
            <w:tcW w:w="20931" w:type="dxa"/>
            <w:gridSpan w:val="3"/>
            <w:tcBorders>
              <w:bottom w:val="single" w:sz="4" w:space="0" w:color="000000"/>
            </w:tcBorders>
          </w:tcPr>
          <w:p>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pPr>
              <w:pStyle w:val="Normal"/>
              <w:rPr>
                <w:sz w:val="20"/>
                <w:szCs w:val="20"/>
                <w:lang w:val="en-GB"/>
              </w:rPr>
            </w:pPr>
            <w:r>
              <w:rPr>
                <w:sz w:val="20"/>
                <w:szCs w:val="20"/>
                <w:lang w:val="en-GB"/>
              </w:rPr>
            </w:r>
          </w:p>
        </w:tc>
      </w:tr>
      <w:tr>
        <w:trPr/>
        <w:tc>
          <w:tcPr>
            <w:tcW w:w="529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rPr>
            </w:pPr>
            <w:r>
              <w:rPr>
                <w:rFonts w:ascii="Times New Roman" w:hAnsi="Times New Roman"/>
                <w:lang w:val="en-GB"/>
              </w:rPr>
            </w:r>
          </w:p>
        </w:tc>
        <w:tc>
          <w:tcPr>
            <w:tcW w:w="9260"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rPr>
            </w:pPr>
            <w:r>
              <w:rPr>
                <w:rFonts w:ascii="Times New Roman" w:hAnsi="Times New Roman"/>
                <w:lang w:val="en-GB"/>
              </w:rPr>
              <w:t>Reviewer’s comment</w:t>
            </w:r>
          </w:p>
          <w:p>
            <w:pPr>
              <w:pStyle w:val="Normal"/>
              <w:rPr>
                <w:b/>
                <w:b/>
                <w:bCs/>
                <w:sz w:val="20"/>
                <w:szCs w:val="20"/>
              </w:rPr>
            </w:pPr>
            <w:r>
              <w:rPr>
                <w:b/>
                <w:bCs/>
                <w:sz w:val="20"/>
                <w:szCs w:val="20"/>
                <w:highlight w:val="yellow"/>
              </w:rPr>
              <w:t>Artificial Intelligence (AI) generated or assisted review comments are strictly prohibited during peer review.</w:t>
            </w:r>
          </w:p>
          <w:p>
            <w:pPr>
              <w:pStyle w:val="Normal"/>
              <w:rPr>
                <w:lang w:val="en-GB"/>
              </w:rPr>
            </w:pPr>
            <w:r>
              <w:rPr>
                <w:lang w:val="en-GB"/>
              </w:rPr>
            </w:r>
          </w:p>
        </w:tc>
        <w:tc>
          <w:tcPr>
            <w:tcW w:w="6376" w:type="dxa"/>
            <w:tcBorders>
              <w:top w:val="single" w:sz="4" w:space="0" w:color="000000"/>
              <w:left w:val="single" w:sz="4" w:space="0" w:color="000000"/>
              <w:bottom w:val="single" w:sz="4" w:space="0" w:color="000000"/>
              <w:right w:val="single" w:sz="4" w:space="0" w:color="000000"/>
            </w:tcBorders>
          </w:tcPr>
          <w:p>
            <w:pPr>
              <w:pStyle w:val="Normal"/>
              <w:spacing w:lineRule="auto" w:line="252" w:before="0" w:after="160"/>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Heading2"/>
              <w:jc w:val="left"/>
              <w:rPr>
                <w:rFonts w:ascii="Times New Roman" w:hAnsi="Times New Roman"/>
                <w:b w:val="false"/>
                <w:b w:val="false"/>
                <w:lang w:val="en-GB"/>
              </w:rPr>
            </w:pPr>
            <w:r>
              <w:rPr>
                <w:rFonts w:ascii="Times New Roman" w:hAnsi="Times New Roman"/>
                <w:b w:val="false"/>
                <w:lang w:val="en-GB"/>
              </w:rPr>
            </w:r>
          </w:p>
        </w:tc>
      </w:tr>
      <w:tr>
        <w:trPr>
          <w:trHeight w:val="1264" w:hRule="atLeast"/>
        </w:trPr>
        <w:tc>
          <w:tcPr>
            <w:tcW w:w="5295" w:type="dxa"/>
            <w:tcBorders>
              <w:top w:val="single" w:sz="4" w:space="0" w:color="000000"/>
              <w:left w:val="single" w:sz="4" w:space="0" w:color="000000"/>
              <w:bottom w:val="single" w:sz="4" w:space="0" w:color="000000"/>
              <w:right w:val="single" w:sz="4" w:space="0" w:color="000000"/>
            </w:tcBorders>
          </w:tcPr>
          <w:p>
            <w:pPr>
              <w:pStyle w:val="Normal"/>
              <w:ind w:left="360" w:hanging="0"/>
              <w:rPr>
                <w:b/>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pPr>
              <w:pStyle w:val="Normal"/>
              <w:ind w:left="360" w:hanging="0"/>
              <w:rPr>
                <w:rFonts w:eastAsia="MS Mincho"/>
                <w:b/>
                <w:b/>
                <w:bCs/>
                <w:sz w:val="20"/>
                <w:szCs w:val="20"/>
                <w:lang w:val="en-GB"/>
              </w:rPr>
            </w:pPr>
            <w:r>
              <w:rPr>
                <w:rFonts w:eastAsia="MS Mincho"/>
                <w:b/>
                <w:bCs/>
                <w:sz w:val="20"/>
                <w:szCs w:val="20"/>
                <w:lang w:val="en-GB"/>
              </w:rPr>
            </w:r>
          </w:p>
        </w:tc>
        <w:tc>
          <w:tcPr>
            <w:tcW w:w="9260" w:type="dxa"/>
            <w:tcBorders>
              <w:top w:val="single" w:sz="4" w:space="0" w:color="000000"/>
              <w:left w:val="single" w:sz="4" w:space="0" w:color="000000"/>
              <w:bottom w:val="single" w:sz="4" w:space="0" w:color="000000"/>
              <w:right w:val="single" w:sz="4" w:space="0" w:color="000000"/>
            </w:tcBorders>
          </w:tcPr>
          <w:p>
            <w:pPr>
              <w:pStyle w:val="ListParagraph"/>
              <w:ind w:left="0" w:hanging="0"/>
              <w:rPr>
                <w:sz w:val="20"/>
                <w:szCs w:val="20"/>
                <w:lang w:val="en-GB"/>
              </w:rPr>
            </w:pPr>
            <w:r>
              <w:rPr>
                <w:sz w:val="20"/>
                <w:szCs w:val="20"/>
                <w:lang w:val="en-GB"/>
              </w:rPr>
              <w:t>This manuscript makes an important contribution to urban geoscience by showing how integrated geophysical and geotechnical methods can simultaneously address infrastructure safety and groundwater protection in rapidly developing areas. The dual assessment approach provides a cost-effective framework that researchers and planners can replicate in similar basement complex terrains across sub-Saharan Africa, where rapid urbanization often outpaces adequate subsurface characterization. The study's quantitative findings, particularly the identification of critically low bearing capacities (55-78 kPa) and high-vulnerability groundwater zones offer actionable data that can directly inform construction standards and land-use regulations in Abuja and similar settings.</w:t>
            </w:r>
          </w:p>
        </w:tc>
        <w:tc>
          <w:tcPr>
            <w:tcW w:w="637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b w:val="false"/>
                <w:lang w:val="en-GB"/>
              </w:rPr>
            </w:pPr>
            <w:r>
              <w:rPr>
                <w:rFonts w:ascii="Times New Roman" w:hAnsi="Times New Roman"/>
                <w:b w:val="false"/>
                <w:lang w:val="en-GB"/>
              </w:rPr>
              <w:t>Thanks for your kind and favourable assessment of our research.</w:t>
            </w:r>
          </w:p>
        </w:tc>
      </w:tr>
      <w:tr>
        <w:trPr>
          <w:trHeight w:val="1262" w:hRule="atLeast"/>
        </w:trPr>
        <w:tc>
          <w:tcPr>
            <w:tcW w:w="5295" w:type="dxa"/>
            <w:tcBorders>
              <w:top w:val="single" w:sz="4" w:space="0" w:color="000000"/>
              <w:left w:val="single" w:sz="4" w:space="0" w:color="000000"/>
              <w:bottom w:val="single" w:sz="4" w:space="0" w:color="000000"/>
              <w:right w:val="single" w:sz="4" w:space="0" w:color="000000"/>
            </w:tcBorders>
          </w:tcPr>
          <w:p>
            <w:pPr>
              <w:pStyle w:val="Normal"/>
              <w:ind w:left="360" w:hanging="0"/>
              <w:rPr>
                <w:b/>
                <w:b/>
                <w:bCs/>
                <w:sz w:val="20"/>
                <w:szCs w:val="20"/>
                <w:lang w:val="en-GB"/>
              </w:rPr>
            </w:pPr>
            <w:r>
              <w:rPr>
                <w:b/>
                <w:bCs/>
                <w:sz w:val="20"/>
                <w:szCs w:val="20"/>
                <w:lang w:val="en-GB"/>
              </w:rPr>
              <w:t>Is the title of the article suitable?</w:t>
            </w:r>
          </w:p>
          <w:p>
            <w:pPr>
              <w:pStyle w:val="Normal"/>
              <w:ind w:left="360" w:hanging="0"/>
              <w:rPr>
                <w:b/>
                <w:b/>
                <w:bCs/>
                <w:sz w:val="20"/>
                <w:szCs w:val="20"/>
                <w:lang w:val="en-GB"/>
              </w:rPr>
            </w:pPr>
            <w:r>
              <w:rPr>
                <w:b/>
                <w:bCs/>
                <w:sz w:val="20"/>
                <w:szCs w:val="20"/>
                <w:lang w:val="en-GB"/>
              </w:rPr>
              <w:t>(If not please suggest an alternative title)</w:t>
            </w:r>
          </w:p>
          <w:p>
            <w:pPr>
              <w:pStyle w:val="Heading2"/>
              <w:jc w:val="left"/>
              <w:rPr>
                <w:rFonts w:ascii="Times New Roman" w:hAnsi="Times New Roman"/>
                <w:u w:val="single"/>
                <w:lang w:val="en-GB"/>
              </w:rPr>
            </w:pPr>
            <w:r>
              <w:rPr>
                <w:rFonts w:ascii="Times New Roman" w:hAnsi="Times New Roman"/>
                <w:u w:val="single"/>
                <w:lang w:val="en-GB"/>
              </w:rPr>
            </w:r>
          </w:p>
        </w:tc>
        <w:tc>
          <w:tcPr>
            <w:tcW w:w="9260" w:type="dxa"/>
            <w:tcBorders>
              <w:top w:val="single" w:sz="4" w:space="0" w:color="000000"/>
              <w:left w:val="single" w:sz="4" w:space="0" w:color="000000"/>
              <w:bottom w:val="single" w:sz="4" w:space="0" w:color="000000"/>
              <w:right w:val="single" w:sz="4" w:space="0" w:color="000000"/>
            </w:tcBorders>
          </w:tcPr>
          <w:p>
            <w:pPr>
              <w:pStyle w:val="Normal"/>
              <w:ind w:left="360" w:hanging="0"/>
              <w:rPr>
                <w:sz w:val="20"/>
                <w:szCs w:val="20"/>
                <w:lang w:val="en-GB"/>
              </w:rPr>
            </w:pPr>
            <w:r>
              <w:rPr>
                <w:sz w:val="20"/>
                <w:szCs w:val="20"/>
                <w:lang w:val="en-GB"/>
              </w:rPr>
              <w:t>The title is generally suitable but could be improved for clarity and international appeal.</w:t>
            </w:r>
          </w:p>
          <w:p>
            <w:pPr>
              <w:pStyle w:val="Normal"/>
              <w:ind w:left="360" w:hanging="0"/>
              <w:rPr>
                <w:sz w:val="20"/>
                <w:szCs w:val="20"/>
                <w:lang w:val="en-GB"/>
              </w:rPr>
            </w:pPr>
            <w:r>
              <w:rPr>
                <w:b/>
                <w:lang w:val="en-GB"/>
              </w:rPr>
              <w:t>I believe if the topic is rephrased this way “Integrated Geophysical and Geotechnical Assessment of Soil Competency and Aquifer Vulnerability in Gwarinpa, Abuja, Nigeria” it will explicitly indicate the integrated approach even before a reader begins reading</w:t>
            </w:r>
          </w:p>
        </w:tc>
        <w:tc>
          <w:tcPr>
            <w:tcW w:w="637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cs="Helvetica"/>
                <w:b w:val="false"/>
                <w:b w:val="false"/>
                <w:lang w:val="en-GB" w:eastAsia="en-US"/>
              </w:rPr>
            </w:pPr>
            <w:r>
              <w:rPr>
                <w:rFonts w:cs="Helvetica" w:ascii="Times New Roman" w:hAnsi="Times New Roman"/>
                <w:b w:val="false"/>
                <w:lang w:val="en-GB" w:eastAsia="en-US"/>
              </w:rPr>
              <w:t xml:space="preserve">Thank you very much for the feedback. </w:t>
            </w:r>
            <w:r>
              <w:rPr>
                <w:rFonts w:cs="Helvetica" w:ascii="Times New Roman" w:hAnsi="Times New Roman"/>
                <w:b w:val="false"/>
                <w:lang w:val="en-GB" w:eastAsia="en-US"/>
              </w:rPr>
              <w:t>Based on consideration of all reviewers’ comments and discussions with the authors, we have modified the title to now read “Integrated Geotechnical and Geophysical Assessment of Topsoil Competency and Aquifer Vulnerability in Gwarinpa, Abuja”.</w:t>
            </w:r>
          </w:p>
        </w:tc>
      </w:tr>
      <w:tr>
        <w:trPr>
          <w:trHeight w:val="1262" w:hRule="atLeast"/>
        </w:trPr>
        <w:tc>
          <w:tcPr>
            <w:tcW w:w="5295" w:type="dxa"/>
            <w:tcBorders>
              <w:top w:val="single" w:sz="4" w:space="0" w:color="000000"/>
              <w:left w:val="single" w:sz="4" w:space="0" w:color="000000"/>
              <w:bottom w:val="single" w:sz="4" w:space="0" w:color="000000"/>
              <w:right w:val="single" w:sz="4" w:space="0" w:color="000000"/>
            </w:tcBorders>
          </w:tcPr>
          <w:p>
            <w:pPr>
              <w:pStyle w:val="Heading2"/>
              <w:ind w:left="360" w:hanging="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pPr>
              <w:pStyle w:val="Heading2"/>
              <w:jc w:val="left"/>
              <w:rPr>
                <w:rFonts w:ascii="Times New Roman" w:hAnsi="Times New Roman"/>
                <w:u w:val="single"/>
                <w:lang w:val="en-GB"/>
              </w:rPr>
            </w:pPr>
            <w:r>
              <w:rPr>
                <w:rFonts w:ascii="Times New Roman" w:hAnsi="Times New Roman"/>
                <w:u w:val="single"/>
                <w:lang w:val="en-GB"/>
              </w:rPr>
            </w:r>
          </w:p>
        </w:tc>
        <w:tc>
          <w:tcPr>
            <w:tcW w:w="9260" w:type="dxa"/>
            <w:tcBorders>
              <w:top w:val="single" w:sz="4" w:space="0" w:color="000000"/>
              <w:left w:val="single" w:sz="4" w:space="0" w:color="000000"/>
              <w:bottom w:val="single" w:sz="4" w:space="0" w:color="000000"/>
              <w:right w:val="single" w:sz="4" w:space="0" w:color="000000"/>
            </w:tcBorders>
          </w:tcPr>
          <w:p>
            <w:pPr>
              <w:pStyle w:val="Normal"/>
              <w:ind w:left="360" w:hanging="0"/>
              <w:rPr>
                <w:sz w:val="20"/>
                <w:szCs w:val="20"/>
                <w:lang w:val="en-GB"/>
              </w:rPr>
            </w:pPr>
            <w:r>
              <w:rPr>
                <w:sz w:val="20"/>
                <w:szCs w:val="20"/>
                <w:lang w:val="en-GB"/>
              </w:rPr>
              <w:t xml:space="preserve">The abstract is comprehensive, within the word limit of an abstract, and well structured, covering objectives, methods, key findings, and recommendations. </w:t>
            </w:r>
          </w:p>
          <w:p>
            <w:pPr>
              <w:pStyle w:val="Normal"/>
              <w:ind w:left="360" w:hanging="0"/>
              <w:rPr>
                <w:sz w:val="20"/>
                <w:szCs w:val="20"/>
                <w:lang w:val="en-GB"/>
              </w:rPr>
            </w:pPr>
            <w:r>
              <w:rPr>
                <w:sz w:val="20"/>
                <w:szCs w:val="20"/>
                <w:lang w:val="en-GB"/>
              </w:rPr>
            </w:r>
          </w:p>
          <w:p>
            <w:pPr>
              <w:pStyle w:val="Heading2"/>
              <w:jc w:val="left"/>
              <w:rPr>
                <w:rFonts w:ascii="Times New Roman" w:hAnsi="Times New Roman"/>
                <w:b w:val="false"/>
                <w:b w:val="false"/>
                <w:lang w:val="en-GB"/>
              </w:rPr>
            </w:pPr>
            <w:r>
              <w:rPr>
                <w:rFonts w:ascii="Times New Roman" w:hAnsi="Times New Roman"/>
                <w:b w:val="false"/>
                <w:lang w:val="en-GB"/>
              </w:rPr>
              <w:t>Having said the abstract is well structured, here are a few suggestions to make it stronger.</w:t>
            </w:r>
          </w:p>
          <w:p>
            <w:pPr>
              <w:pStyle w:val="Normal"/>
              <w:numPr>
                <w:ilvl w:val="0"/>
                <w:numId w:val="1"/>
              </w:numPr>
              <w:rPr>
                <w:lang w:val="en-GB"/>
              </w:rPr>
            </w:pPr>
            <w:r>
              <w:rPr>
                <w:lang w:val="en-GB"/>
              </w:rPr>
              <w:t>The author should consider changing Electrical resistivity technique to vertical electrical sounding (VES) for precision</w:t>
            </w:r>
          </w:p>
          <w:p>
            <w:pPr>
              <w:pStyle w:val="Normal"/>
              <w:numPr>
                <w:ilvl w:val="0"/>
                <w:numId w:val="1"/>
              </w:numPr>
              <w:rPr>
                <w:lang w:val="en-GB"/>
              </w:rPr>
            </w:pPr>
            <w:r>
              <w:rPr>
                <w:lang w:val="en-GB"/>
              </w:rPr>
              <w:t>The author should also consider providing clarity on the sample size. Mention “40 VES stations and 6 laboratory soil samples</w:t>
            </w:r>
          </w:p>
          <w:p>
            <w:pPr>
              <w:pStyle w:val="Normal"/>
              <w:ind w:left="360" w:hanging="0"/>
              <w:rPr>
                <w:sz w:val="20"/>
                <w:szCs w:val="20"/>
                <w:lang w:val="en-GB"/>
              </w:rPr>
            </w:pPr>
            <w:r>
              <w:rPr>
                <w:lang w:val="en-GB"/>
              </w:rPr>
              <w:t>I also think the author should lay more emphasis on the integration method since this looks like the gap the author is filling in research.</w:t>
            </w:r>
          </w:p>
        </w:tc>
        <w:tc>
          <w:tcPr>
            <w:tcW w:w="6376" w:type="dxa"/>
            <w:tcBorders>
              <w:top w:val="single" w:sz="4" w:space="0" w:color="000000"/>
              <w:left w:val="single" w:sz="4" w:space="0" w:color="000000"/>
              <w:bottom w:val="single" w:sz="4" w:space="0" w:color="000000"/>
              <w:right w:val="single" w:sz="4" w:space="0" w:color="000000"/>
            </w:tcBorders>
          </w:tcPr>
          <w:p>
            <w:pPr>
              <w:pStyle w:val="Normal"/>
              <w:rPr>
                <w:sz w:val="20"/>
                <w:szCs w:val="20"/>
                <w:lang w:val="en-GB"/>
              </w:rPr>
            </w:pPr>
            <w:r>
              <w:rPr>
                <w:sz w:val="20"/>
                <w:szCs w:val="20"/>
                <w:lang w:val="en-GB"/>
              </w:rPr>
              <w:t>Thanks for your comment. We have made the necessary revision to the abstract to reflect comment (1) and have attempted to emphasize the integration to show the research gap we aim to plug.</w:t>
            </w:r>
          </w:p>
        </w:tc>
      </w:tr>
      <w:tr>
        <w:trPr>
          <w:trHeight w:val="704" w:hRule="atLeast"/>
        </w:trPr>
        <w:tc>
          <w:tcPr>
            <w:tcW w:w="5295" w:type="dxa"/>
            <w:tcBorders>
              <w:top w:val="single" w:sz="4" w:space="0" w:color="000000"/>
              <w:left w:val="single" w:sz="4" w:space="0" w:color="000000"/>
              <w:bottom w:val="single" w:sz="4" w:space="0" w:color="000000"/>
              <w:right w:val="single" w:sz="4" w:space="0" w:color="000000"/>
            </w:tcBorders>
          </w:tcPr>
          <w:p>
            <w:pPr>
              <w:pStyle w:val="Heading2"/>
              <w:ind w:left="360" w:hanging="0"/>
              <w:jc w:val="left"/>
              <w:rPr>
                <w:b w:val="false"/>
                <w:b w:val="false"/>
                <w:bCs w:val="false"/>
                <w:u w:val="single"/>
                <w:lang w:val="en-GB"/>
              </w:rPr>
            </w:pPr>
            <w:r>
              <w:rPr>
                <w:rFonts w:ascii="Times New Roman" w:hAnsi="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pPr>
              <w:pStyle w:val="ListParagraph"/>
              <w:ind w:left="0" w:hanging="0"/>
              <w:rPr>
                <w:bCs/>
                <w:sz w:val="20"/>
                <w:szCs w:val="20"/>
              </w:rPr>
            </w:pPr>
            <w:r>
              <w:rPr>
                <w:bCs/>
                <w:sz w:val="20"/>
                <w:szCs w:val="20"/>
              </w:rPr>
              <w:t xml:space="preserve">The manuscript is largely scientifically sound with robust methodology, but it contains </w:t>
            </w:r>
            <w:r>
              <w:rPr>
                <w:sz w:val="20"/>
                <w:szCs w:val="20"/>
              </w:rPr>
              <w:t>one critical error</w:t>
            </w:r>
            <w:r>
              <w:rPr>
                <w:bCs/>
                <w:sz w:val="20"/>
                <w:szCs w:val="20"/>
              </w:rPr>
              <w:t xml:space="preserve"> and several areas requiring clarification:</w:t>
            </w:r>
          </w:p>
          <w:p>
            <w:pPr>
              <w:pStyle w:val="ListParagraph"/>
              <w:numPr>
                <w:ilvl w:val="0"/>
                <w:numId w:val="2"/>
              </w:numPr>
              <w:rPr>
                <w:bCs/>
                <w:sz w:val="20"/>
                <w:szCs w:val="20"/>
                <w:lang w:val="en-GB"/>
              </w:rPr>
            </w:pPr>
            <w:r>
              <w:rPr>
                <w:bCs/>
                <w:sz w:val="20"/>
                <w:szCs w:val="20"/>
              </w:rPr>
              <w:t xml:space="preserve">On Table 3, where the author spoke about Plasticity Index Error. Sample 4 reports 1.04% clay content but PI=67.76. This seems to be physically impossible. </w:t>
            </w:r>
          </w:p>
          <w:p>
            <w:pPr>
              <w:pStyle w:val="ListParagraph"/>
              <w:numPr>
                <w:ilvl w:val="0"/>
                <w:numId w:val="2"/>
              </w:numPr>
              <w:rPr>
                <w:bCs/>
                <w:sz w:val="20"/>
                <w:szCs w:val="20"/>
                <w:lang w:val="en-GB"/>
              </w:rPr>
            </w:pPr>
            <w:r>
              <w:rPr>
                <w:bCs/>
                <w:sz w:val="20"/>
                <w:szCs w:val="20"/>
                <w:lang w:val="en-GB"/>
              </w:rPr>
              <w:t>Author's note UCS values "originally reported in kN/m³" were corrected to kPa</w:t>
            </w:r>
          </w:p>
          <w:p>
            <w:pPr>
              <w:pStyle w:val="ListParagraph"/>
              <w:rPr>
                <w:bCs/>
                <w:sz w:val="20"/>
                <w:szCs w:val="20"/>
                <w:lang w:val="en-GB"/>
              </w:rPr>
            </w:pPr>
            <w:r>
              <w:rPr>
                <w:bCs/>
                <w:sz w:val="20"/>
                <w:szCs w:val="20"/>
                <w:lang w:val="en-GB"/>
              </w:rPr>
              <w:t>kN/m³ is a unit of unit weight, NOT strength.</w:t>
            </w:r>
          </w:p>
          <w:p>
            <w:pPr>
              <w:pStyle w:val="ListParagraph"/>
              <w:numPr>
                <w:ilvl w:val="0"/>
                <w:numId w:val="2"/>
              </w:numPr>
              <w:rPr>
                <w:bCs/>
                <w:sz w:val="20"/>
                <w:szCs w:val="20"/>
                <w:lang w:val="en-GB"/>
              </w:rPr>
            </w:pPr>
            <w:r>
              <w:rPr>
                <w:bCs/>
                <w:sz w:val="20"/>
                <w:szCs w:val="20"/>
                <w:lang w:val="en-GB"/>
              </w:rPr>
              <w:t>Lines 11-13 (Section 3.3.2): Authors claim "homogeneous geological environment" while acknowledging extreme variability (0.003-3.7 S, CV ~69%)</w:t>
            </w:r>
          </w:p>
          <w:p>
            <w:pPr>
              <w:pStyle w:val="ListParagraph"/>
              <w:numPr>
                <w:ilvl w:val="0"/>
                <w:numId w:val="2"/>
              </w:numPr>
              <w:rPr>
                <w:bCs/>
                <w:sz w:val="20"/>
                <w:szCs w:val="20"/>
                <w:lang w:val="en-GB"/>
              </w:rPr>
            </w:pPr>
            <w:r>
              <w:rPr>
                <w:bCs/>
                <w:sz w:val="20"/>
                <w:szCs w:val="20"/>
                <w:lang w:val="en-GB"/>
              </w:rPr>
              <w:t>Section 3.3.3 (lines 13-15): Authors contradict themselves, stating results are "inconsistent with a homogeneous geological environment."</w:t>
            </w:r>
          </w:p>
          <w:p>
            <w:pPr>
              <w:pStyle w:val="ListParagraph"/>
              <w:numPr>
                <w:ilvl w:val="0"/>
                <w:numId w:val="2"/>
              </w:numPr>
              <w:rPr>
                <w:bCs/>
                <w:sz w:val="20"/>
                <w:szCs w:val="20"/>
                <w:lang w:val="en-GB"/>
              </w:rPr>
            </w:pPr>
            <w:r>
              <w:rPr>
                <w:bCs/>
                <w:sz w:val="20"/>
                <w:szCs w:val="20"/>
                <w:lang w:val="en-GB"/>
              </w:rPr>
              <w:t>States values &lt;1.0 indicate "vertical fracturing"</w:t>
            </w:r>
          </w:p>
          <w:p>
            <w:pPr>
              <w:pStyle w:val="ListParagraph"/>
              <w:rPr>
                <w:bCs/>
                <w:sz w:val="20"/>
                <w:szCs w:val="20"/>
                <w:lang w:val="en-GB"/>
              </w:rPr>
            </w:pPr>
            <w:r>
              <w:rPr>
                <w:bCs/>
                <w:sz w:val="20"/>
                <w:szCs w:val="20"/>
                <w:lang w:val="en-GB"/>
              </w:rPr>
              <w:t>More commonly, λ &lt; 1 indicates horizontal preferential conductivity (e.g., bedding, horizontal fractures)</w:t>
            </w:r>
          </w:p>
          <w:p>
            <w:pPr>
              <w:pStyle w:val="ListParagraph"/>
              <w:rPr>
                <w:bCs/>
                <w:sz w:val="20"/>
                <w:szCs w:val="20"/>
                <w:lang w:val="en-GB"/>
              </w:rPr>
            </w:pPr>
            <w:r>
              <w:rPr>
                <w:bCs/>
                <w:sz w:val="20"/>
                <w:szCs w:val="20"/>
                <w:lang w:val="en-GB"/>
              </w:rPr>
            </w:r>
          </w:p>
          <w:p>
            <w:pPr>
              <w:pStyle w:val="Heading2"/>
              <w:numPr>
                <w:ilvl w:val="0"/>
                <w:numId w:val="3"/>
              </w:numPr>
              <w:jc w:val="left"/>
              <w:rPr>
                <w:lang w:val="en-GB"/>
              </w:rPr>
            </w:pPr>
            <w:r>
              <w:rPr>
                <w:rFonts w:ascii="Times New Roman" w:hAnsi="Times New Roman"/>
                <w:b w:val="false"/>
                <w:lang w:val="en-GB"/>
              </w:rPr>
              <w:t>Authors must verify and correct these values or explain if PI column contains different data</w:t>
            </w:r>
          </w:p>
          <w:p>
            <w:pPr>
              <w:pStyle w:val="Heading2"/>
              <w:numPr>
                <w:ilvl w:val="0"/>
                <w:numId w:val="3"/>
              </w:numPr>
              <w:jc w:val="left"/>
              <w:rPr>
                <w:b w:val="false"/>
                <w:b w:val="false"/>
                <w:bCs w:val="false"/>
              </w:rPr>
            </w:pPr>
            <w:r>
              <w:rPr>
                <w:b w:val="false"/>
                <w:bCs w:val="false"/>
              </w:rPr>
              <w:t>Were original values in kN/m²? This needs explicit correction in methodology.</w:t>
            </w:r>
          </w:p>
          <w:p>
            <w:pPr>
              <w:pStyle w:val="Normal"/>
              <w:numPr>
                <w:ilvl w:val="0"/>
                <w:numId w:val="3"/>
              </w:numPr>
              <w:rPr>
                <w:lang w:val="fr-FR"/>
              </w:rPr>
            </w:pPr>
            <w:r>
              <w:rPr/>
              <w:t>Remove or clarify contradictory homogeneity assumptions</w:t>
            </w:r>
          </w:p>
          <w:p>
            <w:pPr>
              <w:pStyle w:val="Normal"/>
              <w:numPr>
                <w:ilvl w:val="0"/>
                <w:numId w:val="3"/>
              </w:numPr>
              <w:rPr>
                <w:lang w:val="fr-FR"/>
              </w:rPr>
            </w:pPr>
            <w:r>
              <w:rPr/>
              <w:t>And 5  Needs citations</w:t>
            </w:r>
          </w:p>
          <w:p>
            <w:pPr>
              <w:pStyle w:val="ListParagraph"/>
              <w:rPr>
                <w:bCs/>
                <w:sz w:val="20"/>
                <w:szCs w:val="20"/>
                <w:lang w:val="en-GB"/>
              </w:rPr>
            </w:pPr>
            <w:r>
              <w:rPr/>
              <w:t>Overall, Table 3 data error must be resolved before publication.</w:t>
            </w:r>
          </w:p>
        </w:tc>
        <w:tc>
          <w:tcPr>
            <w:tcW w:w="6376"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lang w:val="fr-FR"/>
              </w:rPr>
            </w:pPr>
            <w:r>
              <w:rPr>
                <w:rFonts w:ascii="Times New Roman" w:hAnsi="Times New Roman"/>
                <w:lang w:val="fr-FR"/>
              </w:rPr>
              <w:t>1. Thank you for pointing out this inconsistency. Upon re-examining the laboratory worksheets, it appears that the Plasticity Index (PI) value for Sample 4 was either mis-read, mis-recorded, or incorrectly transferred during data compilation. A soil containing only 1.04% clay cannot exhibit a PI of 67.76; such a PI is typical of highly plastic clay, not a predominantly sandy material.</w:t>
            </w:r>
          </w:p>
          <w:p>
            <w:pPr>
              <w:pStyle w:val="Normal"/>
              <w:rPr>
                <w:rFonts w:ascii="Times New Roman" w:hAnsi="Times New Roman"/>
                <w:lang w:val="fr-FR"/>
              </w:rPr>
            </w:pPr>
            <w:r>
              <w:rPr>
                <w:rFonts w:ascii="Times New Roman" w:hAnsi="Times New Roman"/>
                <w:lang w:val="fr-FR"/>
              </w:rPr>
              <w:t>We have explained this in the relevant section but choose to leave it for transparancy. The discussion has also been revised to emphasize the corrected data and to avoid misinterpretation.</w:t>
            </w:r>
          </w:p>
          <w:p>
            <w:pPr>
              <w:pStyle w:val="Normal"/>
              <w:rPr>
                <w:rFonts w:ascii="Times New Roman" w:hAnsi="Times New Roman"/>
                <w:lang w:val="fr-FR"/>
              </w:rPr>
            </w:pPr>
            <w:r>
              <w:rPr>
                <w:rFonts w:ascii="Times New Roman" w:hAnsi="Times New Roman"/>
                <w:lang w:val="fr-FR"/>
              </w:rPr>
            </w:r>
          </w:p>
          <w:p>
            <w:pPr>
              <w:pStyle w:val="Normal"/>
              <w:rPr>
                <w:rFonts w:ascii="Times New Roman" w:hAnsi="Times New Roman"/>
                <w:lang w:val="fr-FR"/>
              </w:rPr>
            </w:pPr>
            <w:r>
              <w:rPr>
                <w:rFonts w:ascii="Times New Roman" w:hAnsi="Times New Roman"/>
                <w:lang w:val="fr-FR"/>
              </w:rPr>
              <w:t>2. Thank you for this correction. We agree fully that kN/m³ is a unit of unit weight, not strength. After reviewing the raw laboratory sheets, we discovered that the values were mistakenly labeled as kN/m³ during data transcription. The original numbers represent Unconfined Compressive Strength (UCS) but were assigned the wrong unit.</w:t>
            </w:r>
          </w:p>
          <w:p>
            <w:pPr>
              <w:pStyle w:val="Normal"/>
              <w:rPr>
                <w:rFonts w:ascii="Times New Roman" w:hAnsi="Times New Roman"/>
                <w:lang w:val="fr-FR"/>
              </w:rPr>
            </w:pPr>
            <w:r>
              <w:rPr>
                <w:rFonts w:ascii="Times New Roman" w:hAnsi="Times New Roman"/>
                <w:lang w:val="fr-FR"/>
              </w:rPr>
              <w:t>We have corrected the units to kPa, which is the appropriate unit for UCS. The text and table have been updated to reflect this clarification.</w:t>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lang w:val="fr-FR"/>
              </w:rPr>
              <w:t xml:space="preserve">3 &amp; 4. </w:t>
            </w:r>
            <w:r>
              <w:rPr>
                <w:rFonts w:ascii="Times New Roman" w:hAnsi="Times New Roman"/>
              </w:rPr>
              <w:t xml:space="preserve">We thank the reviewer for pointing out the need for clarification. Our intention was not to imply a contradiction but to highlight the difference between regional geological homogeneity and localized subsurface variability. The a priori geological understanding describes the study area as broadly homogeneous at the regional scale; however, the hydraulic resistance values show high variability (CV ≈ 69%), indicating the presence of localized heterogeneities such as variable aquifer thickness, interbedded clay layers, or abrupt lithological changes. These small-scale contrasts meaningfully influence hydraulic resistance and thus produce the observed skewed distribution. We have revised the manuscript (Section 3.3.3, lines </w:t>
            </w:r>
            <w:r>
              <w:rPr>
                <w:rFonts w:ascii="Times New Roman" w:hAnsi="Times New Roman"/>
              </w:rPr>
              <w:t>19</w:t>
            </w:r>
            <w:r>
              <w:rPr>
                <w:rFonts w:ascii="Times New Roman" w:hAnsi="Times New Roman"/>
              </w:rPr>
              <w:t>–</w:t>
            </w:r>
            <w:r>
              <w:rPr>
                <w:rFonts w:ascii="Times New Roman" w:hAnsi="Times New Roman"/>
              </w:rPr>
              <w:t>21</w:t>
            </w:r>
            <w:r>
              <w:rPr>
                <w:rFonts w:ascii="Times New Roman" w:hAnsi="Times New Roman"/>
              </w:rPr>
              <w:t>) to reflect this clarification and avoid any ambiguity.</w:t>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t xml:space="preserve">5. </w:t>
            </w:r>
            <w:r>
              <w:rPr>
                <w:rFonts w:ascii="Times New Roman" w:hAnsi="Times New Roman"/>
                <w:b w:val="false"/>
                <w:i w:val="false"/>
                <w:caps w:val="false"/>
                <w:smallCaps w:val="false"/>
                <w:color w:val="0F1115"/>
                <w:spacing w:val="0"/>
                <w:sz w:val="24"/>
              </w:rPr>
              <w:t>We thank the reviewer for this important clarification. The reviewer is correct that in a perfectly horizontal, layered 1D earth, the coefficient of anisotropy (λ) is defined to be ≥1, where λ &gt; 1 indicates higher horizontal conductivity.</w:t>
            </w:r>
          </w:p>
          <w:p>
            <w:pPr>
              <w:pStyle w:val="Normal"/>
              <w:rPr>
                <w:rFonts w:ascii="Times New Roman" w:hAnsi="Times New Roman"/>
              </w:rPr>
            </w:pPr>
            <w:r>
              <w:rPr>
                <w:rFonts w:ascii="Times New Roman" w:hAnsi="Times New Roman"/>
              </w:rPr>
            </w:r>
          </w:p>
          <w:p>
            <w:pPr>
              <w:pStyle w:val="TextBody"/>
              <w:widowControl/>
              <w:spacing w:before="240" w:after="240"/>
              <w:ind w:left="0" w:right="0" w:hanging="0"/>
              <w:rPr>
                <w:rFonts w:ascii="Times New Roman" w:hAnsi="Times New Roman"/>
              </w:rPr>
            </w:pPr>
            <w:r>
              <w:rPr>
                <w:rFonts w:ascii="Times New Roman" w:hAnsi="Times New Roman"/>
                <w:b w:val="false"/>
                <w:i w:val="false"/>
                <w:caps w:val="false"/>
                <w:smallCaps w:val="false"/>
                <w:color w:val="0F1115"/>
                <w:spacing w:val="0"/>
                <w:sz w:val="24"/>
              </w:rPr>
              <w:t xml:space="preserve">Our analysis, however, yielded values of λ &lt; 1. This result is non-physical within a strict 1D layered model and is a recognized signature that the true subsurface is not 1D. Instead, the mathematical result of λ &lt; 1 is a diagnostic flag indicating that the bulk resistivity in the vertical direction (as sensed by the VES array) is lower than in the horizontal direction. This occurs when discrete, vertically oriented conductive elements (such as fractures or faults) dominate the electrical response. </w:t>
            </w:r>
          </w:p>
          <w:p>
            <w:pPr>
              <w:pStyle w:val="TextBody"/>
              <w:widowControl/>
              <w:spacing w:before="240" w:after="240"/>
              <w:ind w:left="0" w:right="0" w:hanging="0"/>
              <w:rPr/>
            </w:pPr>
            <w:r>
              <w:rPr>
                <w:rFonts w:ascii="Times New Roman" w:hAnsi="Times New Roman"/>
                <w:b w:val="false"/>
                <w:i w:val="false"/>
                <w:caps w:val="false"/>
                <w:smallCaps w:val="false"/>
                <w:color w:val="0F1115"/>
                <w:spacing w:val="0"/>
                <w:sz w:val="24"/>
              </w:rPr>
              <w:t xml:space="preserve">In such cases, the parameter loses its textbook meaning of intrinsic anisotropy and instead becomes an </w:t>
            </w:r>
            <w:r>
              <w:rPr>
                <w:rStyle w:val="StrongEmphasis"/>
                <w:rFonts w:ascii="Times New Roman" w:hAnsi="Times New Roman"/>
                <w:b/>
                <w:i w:val="false"/>
                <w:caps w:val="false"/>
                <w:smallCaps w:val="false"/>
                <w:color w:val="0F1115"/>
                <w:spacing w:val="0"/>
                <w:sz w:val="24"/>
              </w:rPr>
              <w:t xml:space="preserve">'apparent anisotropy' </w:t>
            </w:r>
            <w:r>
              <w:rPr>
                <w:rFonts w:ascii="Times New Roman" w:hAnsi="Times New Roman"/>
                <w:b w:val="false"/>
                <w:i w:val="false"/>
                <w:caps w:val="false"/>
                <w:smallCaps w:val="false"/>
                <w:color w:val="0F1115"/>
                <w:spacing w:val="0"/>
                <w:sz w:val="24"/>
              </w:rPr>
              <w:t>parameter that signals the presence of significant 2D or 3D subsurface structures.</w:t>
            </w:r>
          </w:p>
          <w:p>
            <w:pPr>
              <w:pStyle w:val="TextBody"/>
              <w:widowControl/>
              <w:spacing w:before="240" w:after="240"/>
              <w:ind w:left="0" w:right="0" w:hanging="0"/>
              <w:rPr>
                <w:rFonts w:ascii="Times New Roman" w:hAnsi="Times New Roman"/>
                <w:b w:val="false"/>
                <w:i w:val="false"/>
                <w:caps w:val="false"/>
                <w:smallCaps w:val="false"/>
                <w:color w:val="0F1115"/>
                <w:spacing w:val="0"/>
                <w:sz w:val="24"/>
              </w:rPr>
            </w:pPr>
            <w:r>
              <w:rPr>
                <w:rFonts w:ascii="Times New Roman" w:hAnsi="Times New Roman"/>
                <w:b w:val="false"/>
                <w:i w:val="false"/>
                <w:caps w:val="false"/>
                <w:smallCaps w:val="false"/>
                <w:color w:val="0F1115"/>
                <w:spacing w:val="0"/>
                <w:sz w:val="24"/>
              </w:rPr>
              <w:t>Therefore, while our wording may have been imprecise, the underlying geological interpretation remains valid. The computed λ &lt; 1 values are a direct geoelectrical response to the very features we wish to identify: vertically interconnected pathways that pose a contamination risk.</w:t>
            </w:r>
          </w:p>
          <w:p>
            <w:pPr>
              <w:pStyle w:val="TextBody"/>
              <w:widowControl/>
              <w:spacing w:before="240" w:after="240"/>
              <w:ind w:left="0" w:right="0" w:hanging="0"/>
              <w:rPr>
                <w:rFonts w:ascii="Times New Roman" w:hAnsi="Times New Roman"/>
                <w:b w:val="false"/>
                <w:i w:val="false"/>
                <w:caps w:val="false"/>
                <w:smallCaps w:val="false"/>
                <w:color w:val="0F1115"/>
                <w:spacing w:val="0"/>
                <w:sz w:val="24"/>
              </w:rPr>
            </w:pPr>
            <w:r>
              <w:rPr>
                <w:rFonts w:ascii="Times New Roman" w:hAnsi="Times New Roman"/>
                <w:b w:val="false"/>
                <w:i w:val="false"/>
                <w:caps w:val="false"/>
                <w:smallCaps w:val="false"/>
                <w:color w:val="0F1115"/>
                <w:spacing w:val="0"/>
                <w:sz w:val="24"/>
              </w:rPr>
              <w:t xml:space="preserve">We </w:t>
            </w:r>
            <w:r>
              <w:rPr>
                <w:rFonts w:ascii="Times New Roman" w:hAnsi="Times New Roman"/>
                <w:b w:val="false"/>
                <w:i w:val="false"/>
                <w:caps w:val="false"/>
                <w:smallCaps w:val="false"/>
                <w:color w:val="0F1115"/>
                <w:spacing w:val="0"/>
                <w:sz w:val="24"/>
              </w:rPr>
              <w:t>have however</w:t>
            </w:r>
            <w:r>
              <w:rPr>
                <w:rFonts w:ascii="Times New Roman" w:hAnsi="Times New Roman"/>
                <w:b w:val="false"/>
                <w:i w:val="false"/>
                <w:caps w:val="false"/>
                <w:smallCaps w:val="false"/>
                <w:color w:val="0F1115"/>
                <w:spacing w:val="0"/>
                <w:sz w:val="24"/>
              </w:rPr>
              <w:t xml:space="preserve"> amend</w:t>
            </w:r>
            <w:r>
              <w:rPr>
                <w:rFonts w:ascii="Times New Roman" w:hAnsi="Times New Roman"/>
                <w:b w:val="false"/>
                <w:i w:val="false"/>
                <w:caps w:val="false"/>
                <w:smallCaps w:val="false"/>
                <w:color w:val="0F1115"/>
                <w:spacing w:val="0"/>
                <w:sz w:val="24"/>
              </w:rPr>
              <w:t>ed</w:t>
            </w:r>
            <w:r>
              <w:rPr>
                <w:rFonts w:ascii="Times New Roman" w:hAnsi="Times New Roman"/>
                <w:b w:val="false"/>
                <w:i w:val="false"/>
                <w:caps w:val="false"/>
                <w:smallCaps w:val="false"/>
                <w:color w:val="0F1115"/>
                <w:spacing w:val="0"/>
                <w:sz w:val="24"/>
              </w:rPr>
              <w:t xml:space="preserve"> the text to improve technical accuracy </w:t>
            </w:r>
            <w:r>
              <w:rPr>
                <w:rFonts w:ascii="Times New Roman" w:hAnsi="Times New Roman"/>
                <w:b w:val="false"/>
                <w:i w:val="false"/>
                <w:caps w:val="false"/>
                <w:smallCaps w:val="false"/>
                <w:color w:val="0F1115"/>
                <w:spacing w:val="0"/>
                <w:sz w:val="24"/>
              </w:rPr>
              <w:t>(section 3.3.4, pg 13 lines 22-25).</w:t>
            </w:r>
          </w:p>
          <w:p>
            <w:pPr>
              <w:pStyle w:val="Normal"/>
              <w:rPr>
                <w:rFonts w:ascii="Times New Roman" w:hAnsi="Times New Roman"/>
              </w:rPr>
            </w:pPr>
            <w:r>
              <w:rPr>
                <w:rFonts w:ascii="Times New Roman" w:hAnsi="Times New Roman"/>
              </w:rPr>
            </w:r>
          </w:p>
        </w:tc>
      </w:tr>
      <w:tr>
        <w:trPr>
          <w:trHeight w:val="703" w:hRule="atLeast"/>
        </w:trPr>
        <w:tc>
          <w:tcPr>
            <w:tcW w:w="5295" w:type="dxa"/>
            <w:tcBorders>
              <w:top w:val="single" w:sz="4" w:space="0" w:color="000000"/>
              <w:left w:val="single" w:sz="4" w:space="0" w:color="000000"/>
              <w:bottom w:val="single" w:sz="4" w:space="0" w:color="000000"/>
              <w:right w:val="single" w:sz="4" w:space="0" w:color="000000"/>
            </w:tcBorders>
          </w:tcPr>
          <w:p>
            <w:pPr>
              <w:pStyle w:val="Normal"/>
              <w:ind w:left="360" w:hanging="0"/>
              <w:rPr>
                <w:b/>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pPr>
              <w:pStyle w:val="Heading2"/>
              <w:jc w:val="left"/>
              <w:rPr>
                <w:b w:val="false"/>
                <w:b w:val="false"/>
                <w:bCs w:val="false"/>
              </w:rPr>
            </w:pPr>
            <w:r>
              <w:rPr>
                <w:b w:val="false"/>
                <w:bCs w:val="false"/>
              </w:rPr>
              <w:t xml:space="preserve">Cosenza, P., et al. (2006). Correlations between geotechnical and electrical data: A case study at Garchy in France." </w:t>
            </w:r>
            <w:r>
              <w:rPr>
                <w:rStyle w:val="Emphasis"/>
                <w:b w:val="false"/>
                <w:bCs w:val="false"/>
              </w:rPr>
              <w:t>Journal of Applied Geophysics</w:t>
            </w:r>
            <w:r>
              <w:rPr>
                <w:b w:val="false"/>
                <w:bCs w:val="false"/>
              </w:rPr>
              <w:t>, 60(3-4), 165-178. This would strengthen section 2.3’s theoretical basis.</w:t>
            </w:r>
          </w:p>
          <w:p>
            <w:pPr>
              <w:pStyle w:val="Normal"/>
              <w:rPr>
                <w:lang w:val="fr-FR"/>
              </w:rPr>
            </w:pPr>
            <w:r>
              <w:rPr>
                <w:lang w:val="fr-FR"/>
              </w:rPr>
            </w:r>
          </w:p>
          <w:p>
            <w:pPr>
              <w:pStyle w:val="ListParagraph"/>
              <w:ind w:left="0" w:hanging="0"/>
              <w:rPr>
                <w:bCs/>
                <w:sz w:val="20"/>
                <w:szCs w:val="20"/>
                <w:lang w:val="en-GB"/>
              </w:rPr>
            </w:pPr>
            <w:r>
              <w:rPr/>
              <w:t xml:space="preserve">Kirsch, R. (2006). </w:t>
            </w:r>
            <w:r>
              <w:rPr>
                <w:rStyle w:val="Emphasis"/>
                <w:rFonts w:eastAsia="Arial Unicode MS"/>
              </w:rPr>
              <w:t>Groundwater Geophysics: A Tool for Hydrogeology</w:t>
            </w:r>
            <w:r>
              <w:rPr/>
              <w:t>. Springer.</w:t>
            </w:r>
          </w:p>
        </w:tc>
        <w:tc>
          <w:tcPr>
            <w:tcW w:w="6376" w:type="dxa"/>
            <w:tcBorders>
              <w:top w:val="single" w:sz="4" w:space="0" w:color="000000"/>
              <w:left w:val="single" w:sz="4" w:space="0" w:color="000000"/>
              <w:bottom w:val="single" w:sz="4" w:space="0" w:color="000000"/>
              <w:right w:val="single" w:sz="4" w:space="0" w:color="000000"/>
            </w:tcBorders>
          </w:tcPr>
          <w:p>
            <w:pPr>
              <w:pStyle w:val="Normal"/>
              <w:rPr>
                <w:lang w:val="fr-FR"/>
              </w:rPr>
            </w:pPr>
            <w:r>
              <w:rPr>
                <w:lang w:val="fr-FR"/>
              </w:rPr>
              <w:t>We thanks the reviewer for these suggestions. We have included the references and our discussions are much improved.</w:t>
            </w:r>
          </w:p>
        </w:tc>
      </w:tr>
      <w:tr>
        <w:trPr>
          <w:trHeight w:val="386" w:hRule="atLeast"/>
        </w:trPr>
        <w:tc>
          <w:tcPr>
            <w:tcW w:w="5295" w:type="dxa"/>
            <w:tcBorders>
              <w:top w:val="single" w:sz="4" w:space="0" w:color="000000"/>
              <w:left w:val="single" w:sz="4" w:space="0" w:color="000000"/>
              <w:bottom w:val="single" w:sz="4" w:space="0" w:color="000000"/>
              <w:right w:val="single" w:sz="4" w:space="0" w:color="000000"/>
            </w:tcBorders>
          </w:tcPr>
          <w:p>
            <w:pPr>
              <w:pStyle w:val="Heading2"/>
              <w:ind w:left="360" w:hanging="0"/>
              <w:jc w:val="left"/>
              <w:rPr>
                <w:rFonts w:ascii="Times New Roman" w:hAnsi="Times New Roman"/>
                <w:bCs w:val="false"/>
                <w:lang w:val="en-GB"/>
              </w:rPr>
            </w:pPr>
            <w:r>
              <w:rPr>
                <w:rFonts w:ascii="Times New Roman" w:hAnsi="Times New Roman"/>
                <w:bCs w:val="false"/>
                <w:lang w:val="en-GB"/>
              </w:rPr>
              <w:t>Is the language/English quality of the article suitable for scholarly communications?</w:t>
            </w:r>
          </w:p>
          <w:p>
            <w:pPr>
              <w:pStyle w:val="Normal"/>
              <w:rPr>
                <w:sz w:val="20"/>
                <w:szCs w:val="20"/>
                <w:lang w:val="en-GB"/>
              </w:rPr>
            </w:pPr>
            <w:r>
              <w:rPr>
                <w:sz w:val="20"/>
                <w:szCs w:val="20"/>
                <w:lang w:val="en-GB"/>
              </w:rPr>
            </w:r>
          </w:p>
        </w:tc>
        <w:tc>
          <w:tcPr>
            <w:tcW w:w="9260" w:type="dxa"/>
            <w:tcBorders>
              <w:top w:val="single" w:sz="4" w:space="0" w:color="000000"/>
              <w:left w:val="single" w:sz="4" w:space="0" w:color="000000"/>
              <w:bottom w:val="single" w:sz="4" w:space="0" w:color="000000"/>
              <w:right w:val="single" w:sz="4" w:space="0" w:color="000000"/>
            </w:tcBorders>
          </w:tcPr>
          <w:p>
            <w:pPr>
              <w:pStyle w:val="Normal"/>
              <w:rPr>
                <w:sz w:val="20"/>
                <w:szCs w:val="20"/>
                <w:lang w:val="en-GB"/>
              </w:rPr>
            </w:pPr>
            <w:r>
              <w:rPr>
                <w:sz w:val="20"/>
                <w:szCs w:val="20"/>
                <w:lang w:val="en-GB"/>
              </w:rPr>
              <w:t>The English quality is generally good and suitable for publication with minor editing needed.</w:t>
            </w:r>
          </w:p>
          <w:p>
            <w:pPr>
              <w:pStyle w:val="Normal"/>
              <w:rPr>
                <w:sz w:val="20"/>
                <w:szCs w:val="20"/>
                <w:lang w:val="en-GB"/>
              </w:rPr>
            </w:pPr>
            <w:r>
              <w:rPr>
                <w:sz w:val="20"/>
                <w:szCs w:val="20"/>
                <w:lang w:val="en-GB"/>
              </w:rPr>
              <w:t>Line 26-27 (Abstract): "safe safe construction" - duplicate word</w:t>
            </w:r>
          </w:p>
          <w:p>
            <w:pPr>
              <w:pStyle w:val="Normal"/>
              <w:rPr>
                <w:sz w:val="20"/>
                <w:szCs w:val="20"/>
                <w:lang w:val="en-GB"/>
              </w:rPr>
            </w:pPr>
            <w:r>
              <w:rPr>
                <w:sz w:val="20"/>
                <w:szCs w:val="20"/>
                <w:lang w:val="en-GB"/>
              </w:rPr>
              <w:t>Section 3.3.1, lines 11-12: "help prevent" could be "prevent"</w:t>
            </w:r>
          </w:p>
        </w:tc>
        <w:tc>
          <w:tcPr>
            <w:tcW w:w="6376" w:type="dxa"/>
            <w:tcBorders>
              <w:top w:val="single" w:sz="4" w:space="0" w:color="000000"/>
              <w:left w:val="single" w:sz="4" w:space="0" w:color="000000"/>
              <w:bottom w:val="single" w:sz="4" w:space="0" w:color="000000"/>
              <w:right w:val="single" w:sz="4" w:space="0" w:color="000000"/>
            </w:tcBorders>
          </w:tcPr>
          <w:p>
            <w:pPr>
              <w:pStyle w:val="Normal"/>
              <w:rPr>
                <w:sz w:val="20"/>
                <w:szCs w:val="20"/>
                <w:lang w:val="en-GB"/>
              </w:rPr>
            </w:pPr>
            <w:r>
              <w:rPr>
                <w:sz w:val="20"/>
                <w:szCs w:val="20"/>
                <w:lang w:val="en-GB"/>
              </w:rPr>
              <w:t>We thanks the reviewer for the observation and have made the corrections and others to improve the language of our manuscript.</w:t>
            </w:r>
          </w:p>
        </w:tc>
      </w:tr>
      <w:tr>
        <w:trPr>
          <w:trHeight w:val="1178" w:hRule="atLeast"/>
        </w:trPr>
        <w:tc>
          <w:tcPr>
            <w:tcW w:w="529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b w:val="false"/>
                <w:bCs w:val="false"/>
                <w:lang w:val="en-GB"/>
              </w:rPr>
            </w:pPr>
            <w:r>
              <w:rPr>
                <w:rFonts w:ascii="Times New Roman" w:hAnsi="Times New Roman"/>
                <w:bCs w:val="false"/>
                <w:u w:val="single"/>
                <w:lang w:val="en-GB"/>
              </w:rPr>
              <w:t>Optional/General</w:t>
            </w:r>
            <w:r>
              <w:rPr>
                <w:rFonts w:ascii="Times New Roman" w:hAnsi="Times New Roman"/>
                <w:bCs w:val="false"/>
                <w:lang w:val="en-GB"/>
              </w:rPr>
              <w:t xml:space="preserve"> </w:t>
            </w:r>
            <w:r>
              <w:rPr>
                <w:rFonts w:ascii="Times New Roman" w:hAnsi="Times New Roman"/>
                <w:b w:val="false"/>
                <w:bCs w:val="false"/>
                <w:lang w:val="en-GB"/>
              </w:rPr>
              <w:t>comments</w:t>
            </w:r>
          </w:p>
          <w:p>
            <w:pPr>
              <w:pStyle w:val="Heading2"/>
              <w:jc w:val="left"/>
              <w:rPr>
                <w:rFonts w:ascii="Times New Roman" w:hAnsi="Times New Roman"/>
                <w:b w:val="false"/>
                <w:b w:val="false"/>
                <w:lang w:val="en-GB"/>
              </w:rPr>
            </w:pPr>
            <w:r>
              <w:rPr>
                <w:rFonts w:ascii="Times New Roman" w:hAnsi="Times New Roman"/>
                <w:b w:val="false"/>
                <w:lang w:val="en-GB"/>
              </w:rPr>
            </w:r>
          </w:p>
        </w:tc>
        <w:tc>
          <w:tcPr>
            <w:tcW w:w="9260" w:type="dxa"/>
            <w:tcBorders>
              <w:top w:val="single" w:sz="4" w:space="0" w:color="000000"/>
              <w:left w:val="single" w:sz="4" w:space="0" w:color="000000"/>
              <w:bottom w:val="single" w:sz="4" w:space="0" w:color="000000"/>
              <w:right w:val="single" w:sz="4" w:space="0" w:color="000000"/>
            </w:tcBorders>
          </w:tcPr>
          <w:p>
            <w:pPr>
              <w:pStyle w:val="NormalWeb"/>
              <w:spacing w:beforeAutospacing="0" w:before="0" w:afterAutospacing="0" w:after="0"/>
              <w:rPr>
                <w:rFonts w:ascii="Times New Roman" w:hAnsi="Times New Roman" w:cs="Times New Roman"/>
                <w:b/>
                <w:b/>
                <w:sz w:val="20"/>
                <w:szCs w:val="20"/>
                <w:lang w:val="en-GB"/>
              </w:rPr>
            </w:pPr>
            <w:r>
              <w:rPr>
                <w:rFonts w:ascii="Times New Roman" w:hAnsi="Times New Roman"/>
                <w:b/>
                <w:lang w:val="en-GB"/>
              </w:rPr>
              <w:t>The manuscript addresses an important topic with sound methodology and provides valuable practical outputs. However, the critical data error in Table 3 must be resolved before publication. Once this is corrected, along with addressing the statistical interpretation contradictions and minor clarifications, the manuscript will make a solid contribution to the literature on integrated urban geophysical assessment.</w:t>
            </w:r>
          </w:p>
        </w:tc>
        <w:tc>
          <w:tcPr>
            <w:tcW w:w="6376" w:type="dxa"/>
            <w:tcBorders>
              <w:top w:val="single" w:sz="4" w:space="0" w:color="000000"/>
              <w:left w:val="single" w:sz="4" w:space="0" w:color="000000"/>
              <w:bottom w:val="single" w:sz="4" w:space="0" w:color="000000"/>
              <w:right w:val="single" w:sz="4" w:space="0" w:color="000000"/>
            </w:tcBorders>
          </w:tcPr>
          <w:p>
            <w:pPr>
              <w:pStyle w:val="Normal"/>
              <w:rPr>
                <w:sz w:val="20"/>
                <w:szCs w:val="20"/>
                <w:lang w:val="en-GB"/>
              </w:rPr>
            </w:pPr>
            <w:r>
              <w:rPr>
                <w:sz w:val="20"/>
                <w:szCs w:val="20"/>
                <w:lang w:val="en-GB"/>
              </w:rPr>
              <w:t>We thank the reviewer for these observations. We have made the changes and inputs suggested in the manuscript.</w:t>
            </w:r>
          </w:p>
        </w:tc>
      </w:tr>
    </w:tbl>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p>
      <w:pPr>
        <w:pStyle w:val="TextBody"/>
        <w:rPr>
          <w:rFonts w:ascii="Times New Roman" w:hAnsi="Times New Roman"/>
          <w:b/>
          <w:b/>
          <w:bCs/>
          <w:sz w:val="20"/>
          <w:szCs w:val="20"/>
          <w:u w:val="single"/>
          <w:lang w:val="en-GB"/>
        </w:rPr>
      </w:pPr>
      <w:r>
        <w:rPr>
          <w:rFonts w:ascii="Times New Roman" w:hAnsi="Times New Roman"/>
          <w:b/>
          <w:bCs/>
          <w:sz w:val="20"/>
          <w:szCs w:val="20"/>
          <w:u w:val="single"/>
          <w:lang w:val="en-GB"/>
        </w:rPr>
      </w:r>
    </w:p>
    <w:tbl>
      <w:tblPr>
        <w:tblW w:w="5000" w:type="pct"/>
        <w:jc w:val="left"/>
        <w:tblInd w:w="108" w:type="dxa"/>
        <w:tblCellMar>
          <w:top w:w="0" w:type="dxa"/>
          <w:left w:w="108" w:type="dxa"/>
          <w:bottom w:w="0" w:type="dxa"/>
          <w:right w:w="108" w:type="dxa"/>
        </w:tblCellMar>
        <w:tblLook w:val="0000" w:noHBand="0" w:noVBand="0" w:firstColumn="0" w:lastRow="0" w:lastColumn="0" w:firstRow="0"/>
      </w:tblPr>
      <w:tblGrid>
        <w:gridCol w:w="6760"/>
        <w:gridCol w:w="8552"/>
        <w:gridCol w:w="5619"/>
      </w:tblGrid>
      <w:tr>
        <w:trPr>
          <w:trHeight w:val="237" w:hRule="atLeast"/>
        </w:trPr>
        <w:tc>
          <w:tcPr>
            <w:tcW w:w="20931" w:type="dxa"/>
            <w:gridSpan w:val="3"/>
            <w:tcBorders>
              <w:bottom w:val="single" w:sz="4" w:space="0" w:color="000000"/>
            </w:tcBorders>
            <w:vAlign w:val="center"/>
          </w:tcPr>
          <w:p>
            <w:pPr>
              <w:pStyle w:val="NormalWeb"/>
              <w:spacing w:beforeAutospacing="0" w:before="0" w:afterAutospacing="0" w:after="0"/>
              <w:rPr>
                <w:rFonts w:ascii="Times New Roman" w:hAnsi="Times New Roman" w:cs="Times New Roman"/>
                <w:b/>
                <w:b/>
                <w:sz w:val="20"/>
                <w:szCs w:val="20"/>
                <w:u w:val="single"/>
                <w:lang w:val="en-GB"/>
              </w:rPr>
            </w:pPr>
            <w:r>
              <w:rPr>
                <w:rFonts w:cs="Times New Roman" w:ascii="Times New Roman" w:hAnsi="Times New Roman"/>
                <w:b/>
                <w:sz w:val="20"/>
                <w:szCs w:val="20"/>
                <w:highlight w:val="yellow"/>
                <w:u w:val="single"/>
                <w:lang w:val="en-GB"/>
              </w:rPr>
              <w:t>PART  2:</w:t>
            </w:r>
            <w:r>
              <w:rPr>
                <w:rFonts w:cs="Times New Roman" w:ascii="Times New Roman" w:hAnsi="Times New Roman"/>
                <w:b/>
                <w:sz w:val="20"/>
                <w:szCs w:val="20"/>
                <w:u w:val="single"/>
                <w:lang w:val="en-GB"/>
              </w:rPr>
              <w:t xml:space="preserve"> </w:t>
            </w:r>
          </w:p>
          <w:p>
            <w:pPr>
              <w:pStyle w:val="NormalWeb"/>
              <w:spacing w:beforeAutospacing="0" w:before="0" w:afterAutospacing="0" w:after="0"/>
              <w:rPr>
                <w:rFonts w:ascii="Times New Roman" w:hAnsi="Times New Roman" w:cs="Times New Roman"/>
                <w:b/>
                <w:b/>
                <w:sz w:val="20"/>
                <w:szCs w:val="20"/>
                <w:u w:val="single"/>
                <w:lang w:val="en-GB"/>
              </w:rPr>
            </w:pPr>
            <w:r>
              <w:rPr>
                <w:rFonts w:cs="Times New Roman" w:ascii="Times New Roman" w:hAnsi="Times New Roman"/>
                <w:b/>
                <w:sz w:val="20"/>
                <w:szCs w:val="20"/>
                <w:u w:val="single"/>
                <w:lang w:val="en-GB"/>
              </w:rPr>
            </w:r>
          </w:p>
        </w:tc>
      </w:tr>
      <w:tr>
        <w:trPr>
          <w:trHeight w:val="935" w:hRule="atLeast"/>
        </w:trPr>
        <w:tc>
          <w:tcPr>
            <w:tcW w:w="6760" w:type="dxa"/>
            <w:tcBorders>
              <w:top w:val="single" w:sz="4" w:space="0" w:color="000000"/>
              <w:left w:val="single" w:sz="4" w:space="0" w:color="000000"/>
              <w:bottom w:val="single" w:sz="4" w:space="0" w:color="000000"/>
              <w:right w:val="single" w:sz="4" w:space="0" w:color="000000"/>
            </w:tcBorders>
            <w:vAlign w:val="center"/>
          </w:tcPr>
          <w:p>
            <w:pPr>
              <w:pStyle w:val="NormalWeb"/>
              <w:spacing w:beforeAutospacing="0" w:before="0" w:afterAutospacing="0" w:after="0"/>
              <w:rPr>
                <w:rFonts w:ascii="Times New Roman" w:hAnsi="Times New Roman" w:cs="Times New Roman"/>
                <w:sz w:val="20"/>
                <w:szCs w:val="20"/>
                <w:lang w:val="en-GB"/>
              </w:rPr>
            </w:pPr>
            <w:r>
              <w:rPr>
                <w:rFonts w:cs="Times New Roman" w:ascii="Times New Roman" w:hAnsi="Times New Roman"/>
                <w:sz w:val="20"/>
                <w:szCs w:val="20"/>
                <w:lang w:val="en-GB"/>
              </w:rPr>
            </w:r>
          </w:p>
        </w:tc>
        <w:tc>
          <w:tcPr>
            <w:tcW w:w="8552"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rPr>
            </w:pPr>
            <w:r>
              <w:rPr>
                <w:rFonts w:ascii="Times New Roman" w:hAnsi="Times New Roman"/>
                <w:lang w:val="en-GB"/>
              </w:rPr>
              <w:t>Reviewer’s comment</w:t>
            </w: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tcPr>
          <w:p>
            <w:pPr>
              <w:pStyle w:val="Normal"/>
              <w:spacing w:lineRule="auto" w:line="252" w:before="0" w:after="160"/>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Heading2"/>
              <w:jc w:val="left"/>
              <w:rPr>
                <w:rFonts w:ascii="Times New Roman" w:hAnsi="Times New Roman"/>
                <w:b w:val="false"/>
                <w:b w:val="false"/>
                <w:lang w:val="en-GB"/>
              </w:rPr>
            </w:pPr>
            <w:r>
              <w:rPr>
                <w:rFonts w:ascii="Times New Roman" w:hAnsi="Times New Roman"/>
                <w:b w:val="false"/>
                <w:lang w:val="en-GB"/>
              </w:rPr>
            </w:r>
          </w:p>
        </w:tc>
      </w:tr>
      <w:tr>
        <w:trPr>
          <w:trHeight w:val="697" w:hRule="atLeast"/>
        </w:trPr>
        <w:tc>
          <w:tcPr>
            <w:tcW w:w="6760" w:type="dxa"/>
            <w:tcBorders>
              <w:top w:val="single" w:sz="4" w:space="0" w:color="000000"/>
              <w:left w:val="single" w:sz="4" w:space="0" w:color="000000"/>
              <w:bottom w:val="single" w:sz="4" w:space="0" w:color="000000"/>
              <w:right w:val="single" w:sz="4" w:space="0" w:color="000000"/>
            </w:tcBorders>
            <w:vAlign w:val="center"/>
          </w:tcPr>
          <w:p>
            <w:pPr>
              <w:pStyle w:val="NormalWeb"/>
              <w:spacing w:beforeAutospacing="0" w:before="0" w:afterAutospacing="0" w:after="0"/>
              <w:rPr>
                <w:rFonts w:ascii="Times New Roman" w:hAnsi="Times New Roman" w:cs="Times New Roman"/>
                <w:b/>
                <w:b/>
                <w:sz w:val="20"/>
                <w:szCs w:val="20"/>
                <w:lang w:val="en-GB"/>
              </w:rPr>
            </w:pPr>
            <w:r>
              <w:rPr>
                <w:rFonts w:cs="Times New Roman" w:ascii="Times New Roman" w:hAnsi="Times New Roman"/>
                <w:b/>
                <w:sz w:val="20"/>
                <w:szCs w:val="20"/>
                <w:lang w:val="en-GB"/>
              </w:rPr>
              <w:t xml:space="preserve">Are there ethical issues in this manuscript? </w:t>
            </w:r>
          </w:p>
          <w:p>
            <w:pPr>
              <w:pStyle w:val="NormalWeb"/>
              <w:spacing w:beforeAutospacing="0" w:before="0" w:afterAutospacing="0" w:after="0"/>
              <w:rPr>
                <w:rFonts w:ascii="Times New Roman" w:hAnsi="Times New Roman" w:cs="Times New Roman"/>
                <w:sz w:val="20"/>
                <w:szCs w:val="20"/>
                <w:lang w:val="en-GB"/>
              </w:rPr>
            </w:pPr>
            <w:r>
              <w:rPr>
                <w:rFonts w:cs="Times New Roman" w:ascii="Times New Roman" w:hAnsi="Times New Roman"/>
                <w:sz w:val="20"/>
                <w:szCs w:val="20"/>
                <w:lang w:val="en-GB"/>
              </w:rPr>
            </w:r>
          </w:p>
        </w:tc>
        <w:tc>
          <w:tcPr>
            <w:tcW w:w="8552" w:type="dxa"/>
            <w:tcBorders>
              <w:top w:val="single" w:sz="4" w:space="0" w:color="000000"/>
              <w:left w:val="single" w:sz="4" w:space="0" w:color="000000"/>
              <w:bottom w:val="single" w:sz="4" w:space="0" w:color="000000"/>
              <w:right w:val="single" w:sz="4" w:space="0" w:color="000000"/>
            </w:tcBorders>
            <w:vAlign w:val="center"/>
          </w:tcPr>
          <w:p>
            <w:pPr>
              <w:pStyle w:val="NormalWeb"/>
              <w:spacing w:beforeAutospacing="0" w:before="0" w:afterAutospacing="0" w:after="0"/>
              <w:rPr>
                <w:rFonts w:ascii="Times New Roman" w:hAnsi="Times New Roman" w:cs="Times New Roman"/>
                <w:i/>
                <w:i/>
                <w:iCs/>
                <w:sz w:val="20"/>
                <w:szCs w:val="20"/>
                <w:u w:val="single"/>
                <w:lang w:val="en-GB"/>
              </w:rPr>
            </w:pPr>
            <w:r>
              <w:rPr>
                <w:rFonts w:cs="Times New Roman" w:ascii="Times New Roman" w:hAnsi="Times New Roman"/>
                <w:i/>
                <w:iCs/>
                <w:sz w:val="20"/>
                <w:szCs w:val="20"/>
                <w:u w:val="single"/>
                <w:lang w:val="en-GB"/>
              </w:rPr>
              <w:t>(If yes, Kindly please write down the ethical issues here in detail)</w:t>
            </w:r>
          </w:p>
          <w:p>
            <w:pPr>
              <w:pStyle w:val="NormalWeb"/>
              <w:spacing w:beforeAutospacing="0" w:before="0" w:afterAutospacing="0" w:after="0"/>
              <w:rPr>
                <w:rFonts w:ascii="Times New Roman" w:hAnsi="Times New Roman" w:cs="Times New Roman"/>
                <w:sz w:val="20"/>
                <w:szCs w:val="20"/>
              </w:rPr>
            </w:pPr>
            <w:r>
              <w:rPr>
                <w:rFonts w:cs="Times New Roman" w:ascii="Times New Roman" w:hAnsi="Times New Roman"/>
                <w:sz w:val="20"/>
                <w:szCs w:val="20"/>
              </w:rPr>
            </w:r>
          </w:p>
          <w:p>
            <w:pPr>
              <w:pStyle w:val="NormalWeb"/>
              <w:spacing w:beforeAutospacing="0" w:before="0" w:afterAutospacing="0" w:after="0"/>
              <w:rPr>
                <w:rFonts w:ascii="Times New Roman" w:hAnsi="Times New Roman" w:cs="Times New Roman"/>
                <w:sz w:val="20"/>
                <w:szCs w:val="20"/>
                <w:lang w:val="en-GB"/>
              </w:rPr>
            </w:pPr>
            <w:r>
              <w:rPr>
                <w:rFonts w:cs="Times New Roman" w:ascii="Times New Roman" w:hAnsi="Times New Roman"/>
                <w:sz w:val="20"/>
                <w:szCs w:val="20"/>
                <w:lang w:val="en-GB"/>
              </w:rPr>
              <w:t>No major ethical issues detected, but minor concersn require clarifications .</w:t>
            </w:r>
          </w:p>
          <w:p>
            <w:pPr>
              <w:pStyle w:val="NormalWeb"/>
              <w:spacing w:before="280" w:after="280"/>
              <w:rPr>
                <w:rFonts w:ascii="Times New Roman" w:hAnsi="Times New Roman" w:cs="Times New Roman"/>
                <w:sz w:val="20"/>
                <w:szCs w:val="20"/>
                <w:lang w:val="en-GB"/>
              </w:rPr>
            </w:pPr>
            <w:r>
              <w:rPr>
                <w:rFonts w:cs="Times New Roman" w:ascii="Times New Roman" w:hAnsi="Times New Roman"/>
                <w:sz w:val="20"/>
                <w:szCs w:val="20"/>
                <w:lang w:val="en-GB"/>
              </w:rPr>
              <w:t>The manuscript does not explicitly state whether permissions were obtained to:</w:t>
            </w:r>
          </w:p>
          <w:p>
            <w:pPr>
              <w:pStyle w:val="NormalWeb"/>
              <w:spacing w:before="280" w:after="280"/>
              <w:rPr>
                <w:rFonts w:ascii="Times New Roman" w:hAnsi="Times New Roman" w:cs="Times New Roman"/>
                <w:sz w:val="20"/>
                <w:szCs w:val="20"/>
                <w:lang w:val="en-GB"/>
              </w:rPr>
            </w:pPr>
            <w:r>
              <w:rPr>
                <w:rFonts w:cs="Times New Roman" w:ascii="Times New Roman" w:hAnsi="Times New Roman"/>
                <w:sz w:val="20"/>
                <w:szCs w:val="20"/>
                <w:lang w:val="en-GB"/>
              </w:rPr>
              <w:t>Conduct VES surveys across the 40 stations in Gwarinpa (some may be on private property).</w:t>
            </w:r>
          </w:p>
          <w:p>
            <w:pPr>
              <w:pStyle w:val="NormalWeb"/>
              <w:spacing w:before="280" w:after="280"/>
              <w:rPr>
                <w:rFonts w:ascii="Times New Roman" w:hAnsi="Times New Roman" w:cs="Times New Roman"/>
                <w:sz w:val="20"/>
                <w:szCs w:val="20"/>
                <w:lang w:val="en-GB"/>
              </w:rPr>
            </w:pPr>
            <w:r>
              <w:rPr>
                <w:rFonts w:cs="Times New Roman" w:ascii="Times New Roman" w:hAnsi="Times New Roman"/>
                <w:sz w:val="20"/>
                <w:szCs w:val="20"/>
                <w:lang w:val="en-GB"/>
              </w:rPr>
              <w:t>No mention of how the 6 shallow pits (0.2-0.3 m depth) were handled after sampling</w:t>
            </w:r>
          </w:p>
          <w:p>
            <w:pPr>
              <w:pStyle w:val="NormalWeb"/>
              <w:spacing w:before="280" w:after="280"/>
              <w:rPr>
                <w:rFonts w:ascii="Times New Roman" w:hAnsi="Times New Roman" w:cs="Times New Roman"/>
                <w:sz w:val="20"/>
                <w:szCs w:val="20"/>
                <w:lang w:val="en-GB"/>
              </w:rPr>
            </w:pPr>
            <w:r>
              <w:rPr>
                <w:rFonts w:cs="Times New Roman" w:ascii="Times New Roman" w:hAnsi="Times New Roman"/>
                <w:sz w:val="20"/>
                <w:szCs w:val="20"/>
                <w:lang w:val="en-GB"/>
              </w:rPr>
            </w:r>
          </w:p>
          <w:p>
            <w:pPr>
              <w:pStyle w:val="Normal"/>
              <w:rPr>
                <w:rFonts w:eastAsia="Arial Unicode MS"/>
                <w:sz w:val="20"/>
                <w:szCs w:val="20"/>
                <w:lang w:val="en-GB"/>
              </w:rPr>
            </w:pPr>
            <w:r>
              <w:rPr>
                <w:rFonts w:eastAsia="Arial Unicode MS"/>
                <w:sz w:val="20"/>
                <w:szCs w:val="20"/>
                <w:lang w:val="en-GB"/>
              </w:rPr>
              <w:t>Authors should add a brief statement confirming that appropriate permissions/permits were obtained from landowners or relevant authorities in the Federal Capital Territory.</w:t>
            </w:r>
          </w:p>
          <w:p>
            <w:pPr>
              <w:pStyle w:val="Normal"/>
              <w:rPr>
                <w:rFonts w:eastAsia="Arial Unicode MS"/>
                <w:sz w:val="20"/>
                <w:szCs w:val="20"/>
                <w:lang w:val="en-GB"/>
              </w:rPr>
            </w:pPr>
            <w:r>
              <w:rPr>
                <w:rFonts w:eastAsia="Arial Unicode MS"/>
                <w:sz w:val="20"/>
                <w:szCs w:val="20"/>
                <w:lang w:val="en-GB"/>
              </w:rPr>
            </w:r>
          </w:p>
          <w:p>
            <w:pPr>
              <w:pStyle w:val="Normal"/>
              <w:rPr>
                <w:rFonts w:eastAsia="Arial Unicode MS"/>
                <w:sz w:val="20"/>
                <w:szCs w:val="20"/>
                <w:lang w:val="en-GB"/>
              </w:rPr>
            </w:pPr>
            <w:r>
              <w:rPr>
                <w:rFonts w:eastAsia="Arial Unicode MS"/>
                <w:sz w:val="20"/>
                <w:szCs w:val="20"/>
                <w:lang w:val="en-GB"/>
              </w:rPr>
              <w:t>Confirm that pits were properly backfilled to avoid safety hazards</w:t>
            </w:r>
          </w:p>
          <w:p>
            <w:pPr>
              <w:pStyle w:val="NormalWeb"/>
              <w:spacing w:before="280" w:after="0"/>
              <w:rPr>
                <w:rFonts w:ascii="Times New Roman" w:hAnsi="Times New Roman" w:cs="Times New Roman"/>
                <w:sz w:val="20"/>
                <w:szCs w:val="20"/>
                <w:lang w:val="en-GB"/>
              </w:rPr>
            </w:pPr>
            <w:r>
              <w:rPr>
                <w:rFonts w:cs="Times New Roman" w:ascii="Times New Roman" w:hAnsi="Times New Roman"/>
                <w:sz w:val="20"/>
                <w:szCs w:val="20"/>
                <w:lang w:val="en-GB"/>
              </w:rPr>
            </w: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rPr>
                <w:rFonts w:eastAsia="Arial Unicode MS"/>
                <w:sz w:val="20"/>
                <w:szCs w:val="20"/>
                <w:lang w:val="en-GB"/>
              </w:rPr>
            </w:pPr>
            <w:r>
              <w:rPr>
                <w:rFonts w:eastAsia="Arial Unicode MS"/>
                <w:sz w:val="20"/>
                <w:szCs w:val="20"/>
                <w:lang w:val="en-GB"/>
              </w:rPr>
              <w:t>We thank the reviewer for these insightful comments. We have modified the relevant sections to include these important details.</w:t>
            </w:r>
          </w:p>
          <w:p>
            <w:pPr>
              <w:pStyle w:val="Normal"/>
              <w:rPr>
                <w:rFonts w:eastAsia="Arial Unicode MS"/>
                <w:sz w:val="20"/>
                <w:szCs w:val="20"/>
                <w:lang w:val="en-GB"/>
              </w:rPr>
            </w:pPr>
            <w:r>
              <w:rPr>
                <w:rFonts w:eastAsia="Arial Unicode MS"/>
                <w:sz w:val="20"/>
                <w:szCs w:val="20"/>
                <w:lang w:val="en-GB"/>
              </w:rPr>
              <w:t>(Page 2, lines 49-50; Page 5, lines 28-29)</w:t>
            </w:r>
          </w:p>
          <w:p>
            <w:pPr>
              <w:pStyle w:val="NormalWeb"/>
              <w:spacing w:beforeAutospacing="0" w:before="0" w:afterAutospacing="0" w:after="0"/>
              <w:rPr>
                <w:rFonts w:ascii="Times New Roman" w:hAnsi="Times New Roman" w:cs="Times New Roman"/>
                <w:sz w:val="20"/>
                <w:szCs w:val="20"/>
                <w:lang w:val="en-GB"/>
              </w:rPr>
            </w:pPr>
            <w:r>
              <w:rPr>
                <w:rFonts w:cs="Times New Roman" w:ascii="Times New Roman" w:hAnsi="Times New Roman"/>
                <w:sz w:val="20"/>
                <w:szCs w:val="20"/>
                <w:lang w:val="en-GB"/>
              </w:rPr>
            </w:r>
            <w:bookmarkStart w:id="0" w:name="_Hlk170903434"/>
            <w:bookmarkStart w:id="1" w:name="_Hlk171324449"/>
            <w:bookmarkStart w:id="2" w:name="_Hlk170903434"/>
            <w:bookmarkStart w:id="3" w:name="_Hlk171324449"/>
            <w:bookmarkEnd w:id="2"/>
            <w:bookmarkEnd w:id="3"/>
          </w:p>
        </w:tc>
      </w:tr>
    </w:tbl>
    <w:p>
      <w:pPr>
        <w:pStyle w:val="TextBody"/>
        <w:numPr>
          <w:ilvl w:val="0"/>
          <w:numId w:val="0"/>
        </w:numPr>
        <w:outlineLvl w:val="0"/>
        <w:rPr>
          <w:rFonts w:ascii="Arial" w:hAnsi="Arial" w:cs="Arial"/>
          <w:sz w:val="20"/>
          <w:szCs w:val="20"/>
          <w:lang w:val="en-GB"/>
        </w:rPr>
      </w:pPr>
      <w:r>
        <w:rPr/>
      </w:r>
    </w:p>
    <w:sectPr>
      <w:headerReference w:type="default" r:id="rId3"/>
      <w:footerReference w:type="default" r:id="rId4"/>
      <w:type w:val="nextPage"/>
      <w:pgSz w:orient="landscape" w:w="23811" w:h="16838"/>
      <w:pgMar w:left="1440" w:right="1440" w:header="720" w:top="1440" w:footer="72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Helvetica">
    <w:altName w:val="Arial"/>
    <w:charset w:val="01"/>
    <w:family w:val="roman"/>
    <w:pitch w:val="variable"/>
  </w:font>
  <w:font w:name="Arial Unicode MS">
    <w:charset w:val="01"/>
    <w:family w:val="roman"/>
    <w:pitch w:val="variable"/>
  </w:font>
  <w:font w:name="Liberation Sans">
    <w:altName w:val="Arial"/>
    <w:charset w:val="01"/>
    <w:family w:val="swiss"/>
    <w:pitch w:val="variable"/>
  </w:font>
  <w:font w:name="Arial">
    <w:charset w:val="01"/>
    <w:family w:val="roman"/>
    <w:pitch w:val="variable"/>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sz w:val="16"/>
      </w:rPr>
    </w:pPr>
    <w:r>
      <w:rPr>
        <w:sz w:val="16"/>
      </w:rPr>
      <w:t>Created by: DR</w:t>
      <w:tab/>
      <w:t xml:space="preserve">              Checked by: PM                                           Approved by: MBM</w:t>
      <w:tab/>
      <w:t xml:space="preserve">   </w:t>
      <w:tab/>
      <w:t>Version: 3 (07-07-2024)</w:t>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Autospacing="1" w:afterAutospacing="1"/>
      <w:jc w:val="center"/>
      <w:rPr>
        <w:rFonts w:ascii="Arial" w:hAnsi="Arial" w:cs="Arial"/>
        <w:b/>
        <w:b/>
        <w:bCs/>
        <w:color w:val="003399"/>
        <w:szCs w:val="20"/>
        <w:u w:val="single"/>
        <w:lang w:val="en-GB"/>
      </w:rPr>
    </w:pPr>
    <w:r>
      <w:rPr>
        <w:rFonts w:cs="Arial" w:ascii="Arial" w:hAnsi="Arial"/>
        <w:b/>
        <w:bCs/>
        <w:color w:val="003399"/>
        <w:szCs w:val="20"/>
        <w:u w:val="single"/>
        <w:lang w:val="en-GB"/>
      </w:rPr>
    </w:r>
  </w:p>
  <w:p>
    <w:pPr>
      <w:pStyle w:val="Normal"/>
      <w:spacing w:beforeAutospacing="1" w:afterAutospacing="1"/>
      <w:rPr/>
    </w:pPr>
    <w:r>
      <w:rPr>
        <w:rFonts w:cs="Arial" w:ascii="Arial" w:hAnsi="Arial"/>
        <w:b/>
        <w:bCs/>
        <w:color w:val="003399"/>
        <w:u w:val="single"/>
        <w:lang w:val="en-GB"/>
      </w:rPr>
      <w:t>Review Form 3</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75"/>
  <w:defaultTabStop w:val="720"/>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hyphenationZone w:val="425"/>
  <w:themeFontLang w:val="en-N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en-NG" w:eastAsia="en-NG"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007a"/>
    <w:pPr>
      <w:widowControl/>
      <w:bidi w:val="0"/>
      <w:spacing w:before="0" w:after="0"/>
      <w:jc w:val="left"/>
    </w:pPr>
    <w:rPr>
      <w:rFonts w:ascii="Times New Roman" w:hAnsi="Times New Roman" w:eastAsia="Times New Roman" w:cs="Times New Roman"/>
      <w:color w:val="auto"/>
      <w:kern w:val="0"/>
      <w:sz w:val="24"/>
      <w:szCs w:val="24"/>
      <w:lang w:val="en-US" w:eastAsia="en-US" w:bidi="ar-SA"/>
    </w:rPr>
  </w:style>
  <w:style w:type="paragraph" w:styleId="Heading2">
    <w:name w:val="Heading 2"/>
    <w:basedOn w:val="Normal"/>
    <w:next w:val="Normal"/>
    <w:link w:val="Heading2Char"/>
    <w:qFormat/>
    <w:rsid w:val="0000007a"/>
    <w:pPr>
      <w:keepNext w:val="true"/>
      <w:jc w:val="both"/>
      <w:outlineLvl w:val="1"/>
    </w:pPr>
    <w:rPr>
      <w:rFonts w:ascii="Helvetica" w:hAnsi="Helvetica" w:eastAsia="MS Mincho" w:cs="Helvetica"/>
      <w:b/>
      <w:bCs/>
      <w:sz w:val="20"/>
      <w:szCs w:val="20"/>
      <w:lang w:val="fr-FR"/>
    </w:rPr>
  </w:style>
  <w:style w:type="paragraph" w:styleId="Heading4">
    <w:name w:val="Heading 4"/>
    <w:basedOn w:val="Normal"/>
    <w:link w:val="Heading4Char"/>
    <w:qFormat/>
    <w:rsid w:val="0000007a"/>
    <w:pPr>
      <w:spacing w:beforeAutospacing="1" w:afterAutospacing="1"/>
      <w:outlineLvl w:val="3"/>
    </w:pPr>
    <w:rPr>
      <w:rFonts w:ascii="Arial Unicode MS" w:hAnsi="Arial Unicode MS" w:eastAsia="Arial Unicode MS" w:cs="Arial Unicode MS"/>
      <w:b/>
      <w:bCs/>
    </w:rPr>
  </w:style>
  <w:style w:type="character" w:styleId="DefaultParagraphFont" w:default="1">
    <w:name w:val="Default Paragraph Font"/>
    <w:uiPriority w:val="1"/>
    <w:unhideWhenUsed/>
    <w:qFormat/>
    <w:rPr/>
  </w:style>
  <w:style w:type="character" w:styleId="Heading2Char" w:customStyle="1">
    <w:name w:val="Heading 2 Char"/>
    <w:link w:val="Heading2"/>
    <w:qFormat/>
    <w:rsid w:val="0000007a"/>
    <w:rPr>
      <w:rFonts w:ascii="Helvetica" w:hAnsi="Helvetica" w:eastAsia="MS Mincho" w:cs="Helvetica"/>
      <w:b/>
      <w:bCs/>
      <w:sz w:val="20"/>
      <w:szCs w:val="20"/>
      <w:lang w:val="fr-FR"/>
    </w:rPr>
  </w:style>
  <w:style w:type="character" w:styleId="Heading4Char" w:customStyle="1">
    <w:name w:val="Heading 4 Char"/>
    <w:link w:val="Heading4"/>
    <w:qFormat/>
    <w:rsid w:val="0000007a"/>
    <w:rPr>
      <w:rFonts w:ascii="Arial Unicode MS" w:hAnsi="Arial Unicode MS" w:eastAsia="Arial Unicode MS" w:cs="Arial Unicode MS"/>
      <w:b/>
      <w:bCs/>
      <w:sz w:val="24"/>
      <w:szCs w:val="24"/>
      <w:lang w:val="en-US"/>
    </w:rPr>
  </w:style>
  <w:style w:type="character" w:styleId="BodyTextChar" w:customStyle="1">
    <w:name w:val="Body Text Char"/>
    <w:link w:val="BodyText"/>
    <w:qFormat/>
    <w:rsid w:val="0000007a"/>
    <w:rPr>
      <w:rFonts w:ascii="Helvetica" w:hAnsi="Helvetica" w:eastAsia="MS Mincho" w:cs="Helvetica"/>
      <w:sz w:val="24"/>
      <w:szCs w:val="24"/>
      <w:lang w:val="fr-FR"/>
    </w:rPr>
  </w:style>
  <w:style w:type="character" w:styleId="HeaderChar" w:customStyle="1">
    <w:name w:val="Header Char"/>
    <w:link w:val="Header"/>
    <w:uiPriority w:val="99"/>
    <w:qFormat/>
    <w:rsid w:val="0000007a"/>
    <w:rPr>
      <w:rFonts w:ascii="Times New Roman" w:hAnsi="Times New Roman" w:eastAsia="Times New Roman" w:cs="Times New Roman"/>
      <w:sz w:val="24"/>
      <w:szCs w:val="24"/>
      <w:lang w:val="en-US"/>
    </w:rPr>
  </w:style>
  <w:style w:type="character" w:styleId="FooterChar" w:customStyle="1">
    <w:name w:val="Footer Char"/>
    <w:link w:val="Footer"/>
    <w:uiPriority w:val="99"/>
    <w:qFormat/>
    <w:rsid w:val="0099583e"/>
    <w:rPr>
      <w:rFonts w:ascii="Times New Roman" w:hAnsi="Times New Roman" w:eastAsia="Times New Roman" w:cs="Times New Roman"/>
      <w:sz w:val="24"/>
      <w:szCs w:val="24"/>
      <w:lang w:val="en-US"/>
    </w:rPr>
  </w:style>
  <w:style w:type="character" w:styleId="InternetLink">
    <w:name w:val="Hyperlink"/>
    <w:uiPriority w:val="99"/>
    <w:unhideWhenUsed/>
    <w:rsid w:val="00c635b6"/>
    <w:rPr>
      <w:color w:val="0000FF"/>
      <w:u w:val="single"/>
    </w:rPr>
  </w:style>
  <w:style w:type="character" w:styleId="VisitedInternetLink">
    <w:name w:val="FollowedHyperlink"/>
    <w:uiPriority w:val="99"/>
    <w:semiHidden/>
    <w:unhideWhenUsed/>
    <w:rsid w:val="00091112"/>
    <w:rPr>
      <w:color w:val="800080"/>
      <w:u w:val="single"/>
    </w:rPr>
  </w:style>
  <w:style w:type="character" w:styleId="UnresolvedMention">
    <w:name w:val="Unresolved Mention"/>
    <w:uiPriority w:val="99"/>
    <w:semiHidden/>
    <w:unhideWhenUsed/>
    <w:qFormat/>
    <w:rsid w:val="00ea0004"/>
    <w:rPr>
      <w:color w:val="605E5C"/>
      <w:shd w:fill="E1DFDD" w:val="clear"/>
    </w:rPr>
  </w:style>
  <w:style w:type="character" w:styleId="Emphasis">
    <w:name w:val="Emphasis"/>
    <w:uiPriority w:val="20"/>
    <w:qFormat/>
    <w:rsid w:val="00c6235e"/>
    <w:rPr>
      <w:i/>
      <w:iCs/>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rsid w:val="0000007a"/>
    <w:pPr>
      <w:jc w:val="both"/>
    </w:pPr>
    <w:rPr>
      <w:rFonts w:ascii="Helvetica" w:hAnsi="Helvetica" w:eastAsia="MS Mincho" w:cs="Helvetica"/>
      <w:lang w:val="fr-F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NormalWeb">
    <w:name w:val="Normal (Web)"/>
    <w:basedOn w:val="Normal"/>
    <w:qFormat/>
    <w:rsid w:val="0000007a"/>
    <w:pPr>
      <w:spacing w:beforeAutospacing="1" w:afterAutospacing="1"/>
    </w:pPr>
    <w:rPr>
      <w:rFonts w:ascii="Arial Unicode MS" w:hAnsi="Arial Unicode MS" w:eastAsia="Arial Unicode MS" w:cs="Arial Unicode MS"/>
    </w:rPr>
  </w:style>
  <w:style w:type="paragraph" w:styleId="HeaderandFooter">
    <w:name w:val="Header and Footer"/>
    <w:basedOn w:val="Normal"/>
    <w:qFormat/>
    <w:pPr/>
    <w:rPr/>
  </w:style>
  <w:style w:type="paragraph" w:styleId="Header">
    <w:name w:val="Header"/>
    <w:basedOn w:val="Normal"/>
    <w:link w:val="HeaderChar"/>
    <w:uiPriority w:val="99"/>
    <w:rsid w:val="0000007a"/>
    <w:pPr>
      <w:tabs>
        <w:tab w:val="clear" w:pos="720"/>
        <w:tab w:val="center" w:pos="4680" w:leader="none"/>
        <w:tab w:val="right" w:pos="9360" w:leader="none"/>
      </w:tabs>
    </w:pPr>
    <w:rPr/>
  </w:style>
  <w:style w:type="paragraph" w:styleId="Footer">
    <w:name w:val="Footer"/>
    <w:basedOn w:val="Normal"/>
    <w:link w:val="FooterChar"/>
    <w:uiPriority w:val="99"/>
    <w:unhideWhenUsed/>
    <w:rsid w:val="0099583e"/>
    <w:pPr>
      <w:tabs>
        <w:tab w:val="clear" w:pos="720"/>
        <w:tab w:val="center" w:pos="4513" w:leader="none"/>
        <w:tab w:val="right" w:pos="9026" w:leader="none"/>
      </w:tabs>
    </w:pPr>
    <w:rPr/>
  </w:style>
  <w:style w:type="paragraph" w:styleId="ListParagraph">
    <w:name w:val="List Paragraph"/>
    <w:basedOn w:val="Normal"/>
    <w:uiPriority w:val="34"/>
    <w:qFormat/>
    <w:rsid w:val="00be13ef"/>
    <w:pPr>
      <w:spacing w:before="0" w:after="0"/>
      <w:ind w:left="720" w:hanging="0"/>
      <w:contextualSpacing/>
    </w:pPr>
    <w:rPr/>
  </w:style>
  <w:style w:type="paragraph" w:styleId="Revision">
    <w:name w:val="Revision"/>
    <w:uiPriority w:val="99"/>
    <w:semiHidden/>
    <w:qFormat/>
    <w:rsid w:val="00e57f4b"/>
    <w:pPr>
      <w:widowControl/>
      <w:bidi w:val="0"/>
      <w:spacing w:before="0" w:after="0"/>
      <w:jc w:val="left"/>
    </w:pPr>
    <w:rPr>
      <w:rFonts w:ascii="Calibri" w:hAnsi="Calibri" w:eastAsia="Calibri" w:cs="Times New Roman"/>
      <w:color w:val="auto"/>
      <w:kern w:val="0"/>
      <w:sz w:val="22"/>
      <w:szCs w:val="22"/>
      <w:lang w:val="en-US" w:eastAsia="en-US" w:bidi="ar-SA"/>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uiPriority w:val="59"/>
    <w:rsid w:val="008913d5"/>
    <w:rPr>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journalajoger.com/index.php/AJOGER"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25B49-FBD1-4588-B8B0-4C2B8848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Application>LibreOffice/6.4.7.2$Linux_X86_64 LibreOffice_project/40$Build-2</Application>
  <Pages>4</Pages>
  <Words>1515</Words>
  <Characters>8750</Characters>
  <CharactersWithSpaces>10239</CharactersWithSpaces>
  <Paragraphs>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2025-11-20T19:20:00Z</dcterms:created>
  <dc:creator>anonymous</dc:creator>
  <dc:description/>
  <dc:language>en-US</dc:language>
  <cp:lastModifiedBy/>
  <dcterms:modified xsi:type="dcterms:W3CDTF">2025-11-25T22:05:46Z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138db778-f533-437d-9b86-cee2fb7a666e</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