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70A3E" w14:textId="77777777" w:rsidR="00296FF2" w:rsidRDefault="00296FF2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96FF2" w14:paraId="2CFC2A6D" w14:textId="77777777">
        <w:trPr>
          <w:trHeight w:val="290"/>
        </w:trPr>
        <w:tc>
          <w:tcPr>
            <w:tcW w:w="5168" w:type="dxa"/>
          </w:tcPr>
          <w:p w14:paraId="2710C551" w14:textId="77777777" w:rsidR="00296FF2" w:rsidRDefault="00B37D7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96E7144" w14:textId="77777777" w:rsidR="00296FF2" w:rsidRDefault="0032710F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 w:rsidR="00B37D7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B37D7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37D7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37D7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37D7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37D7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37D7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Chemical</w:t>
              </w:r>
              <w:r w:rsidR="00B37D7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37D7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296FF2" w14:paraId="542E3C69" w14:textId="77777777">
        <w:trPr>
          <w:trHeight w:val="290"/>
        </w:trPr>
        <w:tc>
          <w:tcPr>
            <w:tcW w:w="5168" w:type="dxa"/>
          </w:tcPr>
          <w:p w14:paraId="60F46093" w14:textId="77777777" w:rsidR="00296FF2" w:rsidRDefault="00B37D7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A29E476" w14:textId="77777777" w:rsidR="00296FF2" w:rsidRDefault="00B37D70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Ms_AJOCS_150071</w:t>
            </w:r>
          </w:p>
        </w:tc>
      </w:tr>
      <w:tr w:rsidR="00296FF2" w14:paraId="0B366BBF" w14:textId="77777777">
        <w:trPr>
          <w:trHeight w:val="650"/>
        </w:trPr>
        <w:tc>
          <w:tcPr>
            <w:tcW w:w="5168" w:type="dxa"/>
          </w:tcPr>
          <w:p w14:paraId="0CD0752B" w14:textId="77777777" w:rsidR="00296FF2" w:rsidRDefault="00B37D7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42BB11D" w14:textId="77777777" w:rsidR="00296FF2" w:rsidRDefault="00B37D70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Synthesis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Antiaspergyllar</w:t>
            </w:r>
            <w:proofErr w:type="spellEnd"/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Activity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6-chloroimidazo[1,2-</w:t>
            </w:r>
            <w:proofErr w:type="gramStart"/>
            <w:r>
              <w:rPr>
                <w:rFonts w:ascii="Arial"/>
                <w:b/>
                <w:sz w:val="20"/>
              </w:rPr>
              <w:t>a]pyridinyl</w:t>
            </w:r>
            <w:proofErr w:type="gramEnd"/>
            <w:r>
              <w:rPr>
                <w:rFonts w:ascii="Arial"/>
                <w:b/>
                <w:sz w:val="20"/>
              </w:rPr>
              <w:t>-chalcone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derivatives</w:t>
            </w:r>
          </w:p>
        </w:tc>
      </w:tr>
      <w:tr w:rsidR="00296FF2" w14:paraId="3DC6A35A" w14:textId="77777777">
        <w:trPr>
          <w:trHeight w:val="333"/>
        </w:trPr>
        <w:tc>
          <w:tcPr>
            <w:tcW w:w="5168" w:type="dxa"/>
          </w:tcPr>
          <w:p w14:paraId="41D0396E" w14:textId="77777777" w:rsidR="00296FF2" w:rsidRDefault="00B37D7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C380FE5" w14:textId="77777777" w:rsidR="00296FF2" w:rsidRDefault="00B37D70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EF7A723" w14:textId="77777777" w:rsidR="00296FF2" w:rsidRDefault="00296FF2">
      <w:pPr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7"/>
        <w:gridCol w:w="9831"/>
        <w:gridCol w:w="6444"/>
      </w:tblGrid>
      <w:tr w:rsidR="00296FF2" w14:paraId="5B44E6D5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DD3A3F0" w14:textId="77777777" w:rsidR="00296FF2" w:rsidRDefault="00B37D7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96FF2" w14:paraId="5D8293B6" w14:textId="77777777">
        <w:trPr>
          <w:trHeight w:val="875"/>
        </w:trPr>
        <w:tc>
          <w:tcPr>
            <w:tcW w:w="4877" w:type="dxa"/>
          </w:tcPr>
          <w:p w14:paraId="7D585F81" w14:textId="77777777" w:rsidR="00296FF2" w:rsidRDefault="00296F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31" w:type="dxa"/>
          </w:tcPr>
          <w:p w14:paraId="4254C7CE" w14:textId="77777777" w:rsidR="00296FF2" w:rsidRDefault="00B37D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9821210" w14:textId="77777777" w:rsidR="00296FF2" w:rsidRDefault="00B37D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DFBBCB1" w14:textId="77777777" w:rsidR="00296FF2" w:rsidRDefault="00B37D70">
            <w:pPr>
              <w:pStyle w:val="TableParagraph"/>
              <w:spacing w:line="252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96FF2" w14:paraId="4647D898" w14:textId="77777777">
        <w:trPr>
          <w:trHeight w:val="1379"/>
        </w:trPr>
        <w:tc>
          <w:tcPr>
            <w:tcW w:w="4877" w:type="dxa"/>
          </w:tcPr>
          <w:p w14:paraId="75699CE8" w14:textId="77777777" w:rsidR="00296FF2" w:rsidRDefault="00B37D7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minimum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 required for this part.</w:t>
            </w:r>
          </w:p>
        </w:tc>
        <w:tc>
          <w:tcPr>
            <w:tcW w:w="9831" w:type="dxa"/>
          </w:tcPr>
          <w:p w14:paraId="6FB570C8" w14:textId="215E9951" w:rsidR="00296FF2" w:rsidRDefault="00B37D70">
            <w:pPr>
              <w:pStyle w:val="TableParagraph"/>
              <w:spacing w:line="360" w:lineRule="auto"/>
              <w:ind w:left="184" w:right="92"/>
              <w:jc w:val="both"/>
              <w:rPr>
                <w:sz w:val="20"/>
              </w:rPr>
            </w:pPr>
            <w:r>
              <w:rPr>
                <w:sz w:val="20"/>
              </w:rPr>
              <w:t>The identification of novel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antifungal scaffolds against Aspergillus flavus is a significant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medical need that the project attempts to fill. The Claisen-Schmidt condensation synthesis approach is suitable and effectively implemented. Using 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>H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13</w:t>
            </w:r>
            <w:r>
              <w:rPr>
                <w:sz w:val="20"/>
              </w:rPr>
              <w:t>C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NMR,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structural</w:t>
            </w:r>
            <w:r>
              <w:rPr>
                <w:spacing w:val="72"/>
                <w:sz w:val="20"/>
              </w:rPr>
              <w:t xml:space="preserve"> </w:t>
            </w:r>
            <w:r w:rsidR="00E56C73">
              <w:rPr>
                <w:sz w:val="20"/>
              </w:rPr>
              <w:t>characterization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understandable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manner.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MIC</w:t>
            </w:r>
          </w:p>
          <w:p w14:paraId="1EB49647" w14:textId="77777777" w:rsidR="00296FF2" w:rsidRDefault="00B37D70">
            <w:pPr>
              <w:pStyle w:val="TableParagraph"/>
              <w:spacing w:before="2"/>
              <w:ind w:left="184"/>
              <w:jc w:val="both"/>
              <w:rPr>
                <w:sz w:val="20"/>
              </w:rPr>
            </w:pPr>
            <w:r>
              <w:rPr>
                <w:sz w:val="20"/>
              </w:rPr>
              <w:t>determination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repeatable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antifungal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activity.</w:t>
            </w:r>
          </w:p>
        </w:tc>
        <w:tc>
          <w:tcPr>
            <w:tcW w:w="6444" w:type="dxa"/>
          </w:tcPr>
          <w:p w14:paraId="10F5F1BF" w14:textId="5F982A47" w:rsidR="00296FF2" w:rsidRDefault="009561F4">
            <w:pPr>
              <w:pStyle w:val="TableParagraph"/>
              <w:ind w:left="0"/>
              <w:rPr>
                <w:sz w:val="20"/>
              </w:rPr>
            </w:pPr>
            <w:r w:rsidRPr="009561F4">
              <w:rPr>
                <w:sz w:val="20"/>
              </w:rPr>
              <w:t>Nothing has changed</w:t>
            </w:r>
          </w:p>
        </w:tc>
      </w:tr>
      <w:tr w:rsidR="00296FF2" w14:paraId="0CC326D5" w14:textId="77777777">
        <w:trPr>
          <w:trHeight w:val="1262"/>
        </w:trPr>
        <w:tc>
          <w:tcPr>
            <w:tcW w:w="4877" w:type="dxa"/>
          </w:tcPr>
          <w:p w14:paraId="4D4D1F80" w14:textId="77777777" w:rsidR="00296FF2" w:rsidRDefault="00B37D70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2BE5B00" w14:textId="77777777" w:rsidR="00296FF2" w:rsidRDefault="00B37D7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831" w:type="dxa"/>
          </w:tcPr>
          <w:p w14:paraId="7BB5DF3F" w14:textId="77777777" w:rsidR="00296FF2" w:rsidRDefault="00B37D70">
            <w:pPr>
              <w:pStyle w:val="TableParagraph"/>
              <w:spacing w:before="1"/>
              <w:ind w:left="18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</w:t>
            </w:r>
          </w:p>
        </w:tc>
        <w:tc>
          <w:tcPr>
            <w:tcW w:w="6444" w:type="dxa"/>
          </w:tcPr>
          <w:p w14:paraId="0B426256" w14:textId="7AF5F9C6" w:rsidR="00296FF2" w:rsidRPr="009561F4" w:rsidRDefault="009561F4">
            <w:pPr>
              <w:pStyle w:val="TableParagraph"/>
              <w:ind w:left="0"/>
              <w:rPr>
                <w:bCs/>
                <w:sz w:val="20"/>
              </w:rPr>
            </w:pPr>
            <w:r w:rsidRPr="009561F4">
              <w:rPr>
                <w:bCs/>
                <w:lang w:val="en-GB"/>
              </w:rPr>
              <w:t>Nothing has changed</w:t>
            </w:r>
          </w:p>
        </w:tc>
      </w:tr>
      <w:tr w:rsidR="00296FF2" w14:paraId="5C5A1035" w14:textId="77777777">
        <w:trPr>
          <w:trHeight w:val="1261"/>
        </w:trPr>
        <w:tc>
          <w:tcPr>
            <w:tcW w:w="4877" w:type="dxa"/>
          </w:tcPr>
          <w:p w14:paraId="35B56596" w14:textId="77777777" w:rsidR="00296FF2" w:rsidRDefault="00B37D70">
            <w:pPr>
              <w:pStyle w:val="TableParagraph"/>
              <w:ind w:left="467" w:right="8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 you suggest the addition (or deletion) of some points in this section? Please write your suggestions here.</w:t>
            </w:r>
          </w:p>
        </w:tc>
        <w:tc>
          <w:tcPr>
            <w:tcW w:w="9831" w:type="dxa"/>
          </w:tcPr>
          <w:p w14:paraId="0B070BC7" w14:textId="77777777" w:rsidR="00296FF2" w:rsidRDefault="00B37D7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think,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accordingly.</w:t>
            </w:r>
          </w:p>
        </w:tc>
        <w:tc>
          <w:tcPr>
            <w:tcW w:w="6444" w:type="dxa"/>
          </w:tcPr>
          <w:p w14:paraId="285B946E" w14:textId="0D823CFC" w:rsidR="00296FF2" w:rsidRDefault="009561F4">
            <w:pPr>
              <w:pStyle w:val="TableParagraph"/>
              <w:ind w:left="0"/>
              <w:rPr>
                <w:sz w:val="20"/>
              </w:rPr>
            </w:pPr>
            <w:r w:rsidRPr="009561F4">
              <w:rPr>
                <w:sz w:val="20"/>
              </w:rPr>
              <w:t xml:space="preserve">The </w:t>
            </w:r>
            <w:r>
              <w:rPr>
                <w:sz w:val="20"/>
              </w:rPr>
              <w:t>abstract</w:t>
            </w:r>
            <w:r w:rsidRPr="009561F4">
              <w:rPr>
                <w:sz w:val="20"/>
              </w:rPr>
              <w:t xml:space="preserve"> has been expanded to reach 200 words.</w:t>
            </w:r>
          </w:p>
        </w:tc>
      </w:tr>
      <w:tr w:rsidR="00296FF2" w14:paraId="4DF92AD4" w14:textId="77777777">
        <w:trPr>
          <w:trHeight w:val="705"/>
        </w:trPr>
        <w:tc>
          <w:tcPr>
            <w:tcW w:w="4877" w:type="dxa"/>
          </w:tcPr>
          <w:p w14:paraId="062CAFB4" w14:textId="77777777" w:rsidR="00296FF2" w:rsidRDefault="00B37D70">
            <w:pPr>
              <w:pStyle w:val="TableParagraph"/>
              <w:ind w:left="467" w:right="8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 write here.</w:t>
            </w:r>
          </w:p>
        </w:tc>
        <w:tc>
          <w:tcPr>
            <w:tcW w:w="9831" w:type="dxa"/>
          </w:tcPr>
          <w:p w14:paraId="7B5D35D3" w14:textId="77777777" w:rsidR="00296FF2" w:rsidRDefault="00B37D7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potentially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publishable</w:t>
            </w:r>
          </w:p>
        </w:tc>
        <w:tc>
          <w:tcPr>
            <w:tcW w:w="6444" w:type="dxa"/>
          </w:tcPr>
          <w:p w14:paraId="41E6CAA6" w14:textId="15910100" w:rsidR="00296FF2" w:rsidRPr="009561F4" w:rsidRDefault="009561F4">
            <w:pPr>
              <w:pStyle w:val="TableParagraph"/>
              <w:ind w:left="0"/>
              <w:rPr>
                <w:bCs/>
                <w:sz w:val="20"/>
              </w:rPr>
            </w:pPr>
            <w:r w:rsidRPr="009561F4">
              <w:rPr>
                <w:bCs/>
                <w:lang w:val="en-GB"/>
              </w:rPr>
              <w:t>Nothing has changed</w:t>
            </w:r>
          </w:p>
        </w:tc>
      </w:tr>
      <w:tr w:rsidR="00296FF2" w14:paraId="254EF01A" w14:textId="77777777">
        <w:trPr>
          <w:trHeight w:val="703"/>
        </w:trPr>
        <w:tc>
          <w:tcPr>
            <w:tcW w:w="4877" w:type="dxa"/>
          </w:tcPr>
          <w:p w14:paraId="6AECEFC3" w14:textId="77777777" w:rsidR="00296FF2" w:rsidRDefault="00B37D70">
            <w:pPr>
              <w:pStyle w:val="TableParagraph"/>
              <w:spacing w:line="230" w:lineRule="atLeast"/>
              <w:ind w:left="467" w:right="86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suggestions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 mention them in the review form.</w:t>
            </w:r>
          </w:p>
        </w:tc>
        <w:tc>
          <w:tcPr>
            <w:tcW w:w="9831" w:type="dxa"/>
          </w:tcPr>
          <w:p w14:paraId="1EB7097F" w14:textId="77777777" w:rsidR="00296FF2" w:rsidRDefault="00B37D7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articles</w:t>
            </w:r>
          </w:p>
        </w:tc>
        <w:tc>
          <w:tcPr>
            <w:tcW w:w="6444" w:type="dxa"/>
          </w:tcPr>
          <w:p w14:paraId="56A54653" w14:textId="77777777" w:rsidR="00296FF2" w:rsidRDefault="00E56C73">
            <w:pPr>
              <w:pStyle w:val="TableParagraph"/>
              <w:ind w:left="0"/>
              <w:rPr>
                <w:sz w:val="20"/>
              </w:rPr>
            </w:pPr>
            <w:r w:rsidRPr="00E56C73">
              <w:rPr>
                <w:sz w:val="20"/>
              </w:rPr>
              <w:t>The references are recent except for two references, one dating from 2003 and the other from 2009.</w:t>
            </w:r>
          </w:p>
          <w:p w14:paraId="6EF41823" w14:textId="0F8BB6C5" w:rsidR="005332A5" w:rsidRDefault="005332A5">
            <w:pPr>
              <w:pStyle w:val="TableParagraph"/>
              <w:ind w:left="0"/>
              <w:rPr>
                <w:sz w:val="20"/>
              </w:rPr>
            </w:pPr>
            <w:r w:rsidRPr="005332A5">
              <w:rPr>
                <w:sz w:val="20"/>
              </w:rPr>
              <w:t>The references have been completed and arranged in alphabetical order.</w:t>
            </w:r>
          </w:p>
        </w:tc>
      </w:tr>
      <w:tr w:rsidR="00296FF2" w14:paraId="5AD7E2F9" w14:textId="77777777">
        <w:trPr>
          <w:trHeight w:val="690"/>
        </w:trPr>
        <w:tc>
          <w:tcPr>
            <w:tcW w:w="4877" w:type="dxa"/>
          </w:tcPr>
          <w:p w14:paraId="605DD2CF" w14:textId="77777777" w:rsidR="00296FF2" w:rsidRDefault="00B37D70">
            <w:pPr>
              <w:pStyle w:val="TableParagraph"/>
              <w:ind w:left="467" w:right="8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 suitable for scholarly communications?</w:t>
            </w:r>
          </w:p>
        </w:tc>
        <w:tc>
          <w:tcPr>
            <w:tcW w:w="9831" w:type="dxa"/>
          </w:tcPr>
          <w:p w14:paraId="0A6D4657" w14:textId="77777777" w:rsidR="00296FF2" w:rsidRDefault="00B37D70">
            <w:pPr>
              <w:pStyle w:val="TableParagraph"/>
              <w:spacing w:line="230" w:lineRule="atLeast"/>
              <w:ind w:left="108" w:right="151"/>
              <w:rPr>
                <w:sz w:val="20"/>
              </w:rPr>
            </w:pP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typographical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careful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editing.</w:t>
            </w:r>
            <w:r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6444" w:type="dxa"/>
          </w:tcPr>
          <w:p w14:paraId="1D3023BE" w14:textId="6E76843B" w:rsidR="00296FF2" w:rsidRDefault="009561F4">
            <w:pPr>
              <w:pStyle w:val="TableParagraph"/>
              <w:ind w:left="0"/>
              <w:rPr>
                <w:sz w:val="20"/>
              </w:rPr>
            </w:pPr>
            <w:r w:rsidRPr="009561F4">
              <w:rPr>
                <w:sz w:val="20"/>
              </w:rPr>
              <w:t>The grammar mistakes have been corrected.</w:t>
            </w:r>
          </w:p>
        </w:tc>
      </w:tr>
      <w:tr w:rsidR="00296FF2" w14:paraId="2419D2DA" w14:textId="77777777">
        <w:trPr>
          <w:trHeight w:val="4653"/>
        </w:trPr>
        <w:tc>
          <w:tcPr>
            <w:tcW w:w="4877" w:type="dxa"/>
          </w:tcPr>
          <w:p w14:paraId="272B5814" w14:textId="77777777" w:rsidR="00296FF2" w:rsidRDefault="00B37D7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831" w:type="dxa"/>
          </w:tcPr>
          <w:p w14:paraId="44DEC724" w14:textId="77777777" w:rsidR="00296FF2" w:rsidRDefault="00B37D70">
            <w:pPr>
              <w:pStyle w:val="TableParagraph"/>
              <w:spacing w:before="1" w:line="276" w:lineRule="auto"/>
              <w:ind w:left="108" w:right="89"/>
              <w:jc w:val="both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synthesis,</w:t>
            </w:r>
            <w:r>
              <w:rPr>
                <w:spacing w:val="-2"/>
              </w:rPr>
              <w:t xml:space="preserve"> </w:t>
            </w:r>
            <w:r>
              <w:t>structural</w:t>
            </w:r>
            <w:r>
              <w:rPr>
                <w:spacing w:val="-1"/>
              </w:rPr>
              <w:t xml:space="preserve"> </w:t>
            </w:r>
            <w:r>
              <w:t>characterization,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antifungal</w:t>
            </w:r>
            <w:r>
              <w:rPr>
                <w:spacing w:val="-1"/>
              </w:rPr>
              <w:t xml:space="preserve"> </w:t>
            </w:r>
            <w:r>
              <w:t>evaluation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novel</w:t>
            </w:r>
            <w:r>
              <w:rPr>
                <w:spacing w:val="-1"/>
              </w:rPr>
              <w:t xml:space="preserve"> </w:t>
            </w:r>
            <w:r>
              <w:t>series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6-</w:t>
            </w:r>
            <w:proofErr w:type="gramStart"/>
            <w:r>
              <w:t>chloroimidazo[</w:t>
            </w:r>
            <w:proofErr w:type="gramEnd"/>
            <w:r>
              <w:t>1,2- a]pyridinyl-chalcone hybrids against Aspergillus flavus are reported in this manuscript. The topic is</w:t>
            </w:r>
            <w:r>
              <w:rPr>
                <w:spacing w:val="80"/>
              </w:rPr>
              <w:t xml:space="preserve"> </w:t>
            </w:r>
            <w:r>
              <w:t>pertinent to pharmaceutical and medicinal chemistry, especially in light of the emergence of antifungal resistance. The work is well-written, methodologically sound, and generally suitable for publication following minor revisions.</w:t>
            </w:r>
          </w:p>
          <w:p w14:paraId="318A7BAF" w14:textId="77777777" w:rsidR="00296FF2" w:rsidRDefault="00296FF2">
            <w:pPr>
              <w:pStyle w:val="TableParagraph"/>
              <w:spacing w:before="37"/>
              <w:ind w:left="0"/>
            </w:pPr>
          </w:p>
          <w:p w14:paraId="28B7A69E" w14:textId="77777777" w:rsidR="00296FF2" w:rsidRDefault="00B37D7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1188"/>
              </w:tabs>
              <w:spacing w:line="276" w:lineRule="auto"/>
              <w:ind w:right="100" w:hanging="720"/>
              <w:jc w:val="both"/>
            </w:pPr>
            <w:r>
              <w:t>The MIC values presented in the Abstract, Table 1, and Discussion sections differ from one another. The manuscript should carefully align these values.</w:t>
            </w:r>
          </w:p>
          <w:p w14:paraId="287FBE29" w14:textId="77777777" w:rsidR="00296FF2" w:rsidRDefault="00B37D7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1188"/>
              </w:tabs>
              <w:spacing w:before="2" w:line="276" w:lineRule="auto"/>
              <w:ind w:right="96" w:hanging="720"/>
              <w:jc w:val="both"/>
            </w:pPr>
            <w:r>
              <w:t>The biological relevance would be strengthened by a more explicit quantitative comparison and discussion of potency gaps, even though itraconazole is given as a reference.</w:t>
            </w:r>
          </w:p>
          <w:p w14:paraId="47AEFEAA" w14:textId="77777777" w:rsidR="00296FF2" w:rsidRDefault="00B37D70">
            <w:pPr>
              <w:pStyle w:val="TableParagraph"/>
              <w:numPr>
                <w:ilvl w:val="0"/>
                <w:numId w:val="1"/>
              </w:numPr>
              <w:tabs>
                <w:tab w:val="left" w:pos="880"/>
                <w:tab w:val="left" w:pos="1188"/>
              </w:tabs>
              <w:spacing w:line="276" w:lineRule="auto"/>
              <w:ind w:right="101" w:hanging="720"/>
              <w:jc w:val="both"/>
            </w:pPr>
            <w:r>
              <w:t>Only one strain of A. flavus is tested for antifungals. The study's impact would be increased by testing against different fungus strains or species.</w:t>
            </w:r>
          </w:p>
          <w:p w14:paraId="1F6C9C72" w14:textId="77777777" w:rsidR="00296FF2" w:rsidRDefault="00B37D7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1188"/>
              </w:tabs>
              <w:spacing w:line="276" w:lineRule="auto"/>
              <w:ind w:right="100" w:hanging="720"/>
              <w:jc w:val="both"/>
            </w:pPr>
            <w:r>
              <w:t xml:space="preserve">There is no discussion of molecular targets or mechanistic hypotheses. The text might benefit with even a brief speculative explanation or future direction (e.g., membrane contact, enzyme </w:t>
            </w:r>
            <w:r>
              <w:rPr>
                <w:spacing w:val="-2"/>
              </w:rPr>
              <w:t>inhibition).</w:t>
            </w:r>
          </w:p>
        </w:tc>
        <w:tc>
          <w:tcPr>
            <w:tcW w:w="6444" w:type="dxa"/>
          </w:tcPr>
          <w:p w14:paraId="5DA94FAA" w14:textId="3FEC59C7" w:rsidR="009561F4" w:rsidRPr="009561F4" w:rsidRDefault="009561F4" w:rsidP="009561F4">
            <w:pPr>
              <w:pStyle w:val="TableParagraph"/>
              <w:rPr>
                <w:sz w:val="20"/>
              </w:rPr>
            </w:pPr>
            <w:r w:rsidRPr="009561F4">
              <w:rPr>
                <w:sz w:val="20"/>
              </w:rPr>
              <w:t>(</w:t>
            </w:r>
            <w:proofErr w:type="spellStart"/>
            <w:r w:rsidRPr="009561F4">
              <w:rPr>
                <w:sz w:val="20"/>
              </w:rPr>
              <w:t>i</w:t>
            </w:r>
            <w:proofErr w:type="spellEnd"/>
            <w:r w:rsidRPr="009561F4">
              <w:rPr>
                <w:sz w:val="20"/>
              </w:rPr>
              <w:t>): The MIC values have been corrected.</w:t>
            </w:r>
          </w:p>
          <w:p w14:paraId="436215A8" w14:textId="77777777" w:rsidR="009561F4" w:rsidRPr="009561F4" w:rsidRDefault="009561F4" w:rsidP="009561F4">
            <w:pPr>
              <w:pStyle w:val="TableParagraph"/>
              <w:rPr>
                <w:sz w:val="20"/>
              </w:rPr>
            </w:pPr>
            <w:r w:rsidRPr="009561F4">
              <w:rPr>
                <w:sz w:val="20"/>
              </w:rPr>
              <w:t>(ii): Since itraconazole is a fully developed and already marketed drug, and given that we are in the early stages of developing this chemical series, I deliberately avoided comparing it to the reference substance. We are currently in the molecular hit research stage.</w:t>
            </w:r>
          </w:p>
          <w:p w14:paraId="24E5B343" w14:textId="77777777" w:rsidR="009561F4" w:rsidRPr="009561F4" w:rsidRDefault="009561F4" w:rsidP="009561F4">
            <w:pPr>
              <w:pStyle w:val="TableParagraph"/>
              <w:rPr>
                <w:sz w:val="20"/>
              </w:rPr>
            </w:pPr>
            <w:r w:rsidRPr="009561F4">
              <w:rPr>
                <w:sz w:val="20"/>
              </w:rPr>
              <w:t>(iii): We plan to extend the evaluation to other pathogens later to establish the antifungal spectrum.</w:t>
            </w:r>
          </w:p>
          <w:p w14:paraId="24BA8F57" w14:textId="1B1AD407" w:rsidR="00296FF2" w:rsidRDefault="009561F4" w:rsidP="009561F4">
            <w:pPr>
              <w:pStyle w:val="TableParagraph"/>
              <w:ind w:left="0"/>
              <w:rPr>
                <w:sz w:val="20"/>
              </w:rPr>
            </w:pPr>
            <w:r w:rsidRPr="009561F4">
              <w:rPr>
                <w:sz w:val="20"/>
              </w:rPr>
              <w:t>(iv): We opened the door to investigating the mechanism of action of these molecules at the end of the discussion.</w:t>
            </w:r>
          </w:p>
        </w:tc>
      </w:tr>
    </w:tbl>
    <w:p w14:paraId="0DBAAB4C" w14:textId="77777777" w:rsidR="00296FF2" w:rsidRDefault="00296FF2" w:rsidP="00844553">
      <w:pPr>
        <w:pStyle w:val="TableParagraph"/>
        <w:ind w:left="0"/>
        <w:rPr>
          <w:sz w:val="20"/>
        </w:rPr>
        <w:sectPr w:rsidR="00296FF2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  <w:bookmarkStart w:id="0" w:name="_GoBack"/>
      <w:bookmarkEnd w:id="0"/>
    </w:p>
    <w:p w14:paraId="31514631" w14:textId="77777777" w:rsidR="00296FF2" w:rsidRDefault="00296FF2">
      <w:pPr>
        <w:rPr>
          <w:sz w:val="20"/>
        </w:rPr>
      </w:pPr>
    </w:p>
    <w:p w14:paraId="15FE8F9C" w14:textId="77777777" w:rsidR="00296FF2" w:rsidRDefault="00296FF2">
      <w:pPr>
        <w:spacing w:before="56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296FF2" w14:paraId="371B740A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61D803ED" w14:textId="77777777" w:rsidR="00296FF2" w:rsidRDefault="00B37D7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96FF2" w14:paraId="70413E34" w14:textId="77777777">
        <w:trPr>
          <w:trHeight w:val="933"/>
        </w:trPr>
        <w:tc>
          <w:tcPr>
            <w:tcW w:w="6831" w:type="dxa"/>
          </w:tcPr>
          <w:p w14:paraId="333F6E6A" w14:textId="77777777" w:rsidR="00296FF2" w:rsidRDefault="00296FF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14:paraId="237B96A0" w14:textId="77777777" w:rsidR="00296FF2" w:rsidRDefault="00B37D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574E41DA" w14:textId="77777777" w:rsidR="00296FF2" w:rsidRDefault="00B37D70">
            <w:pPr>
              <w:pStyle w:val="TableParagraph"/>
              <w:spacing w:line="252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96FF2" w14:paraId="668FF890" w14:textId="77777777">
        <w:trPr>
          <w:trHeight w:val="921"/>
        </w:trPr>
        <w:tc>
          <w:tcPr>
            <w:tcW w:w="6831" w:type="dxa"/>
          </w:tcPr>
          <w:p w14:paraId="11FC5451" w14:textId="77777777" w:rsidR="00296FF2" w:rsidRDefault="00296FF2">
            <w:pPr>
              <w:pStyle w:val="TableParagraph"/>
              <w:ind w:left="0"/>
              <w:rPr>
                <w:sz w:val="20"/>
              </w:rPr>
            </w:pPr>
          </w:p>
          <w:p w14:paraId="183B71FB" w14:textId="77777777" w:rsidR="00296FF2" w:rsidRDefault="00B37D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3B9079C2" w14:textId="77777777" w:rsidR="00296FF2" w:rsidRDefault="00B37D70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  <w:u w:val="single"/>
              </w:rPr>
              <w:t>NO</w:t>
            </w:r>
          </w:p>
        </w:tc>
        <w:tc>
          <w:tcPr>
            <w:tcW w:w="5678" w:type="dxa"/>
          </w:tcPr>
          <w:p w14:paraId="309BDD92" w14:textId="2EF0441B" w:rsidR="00296FF2" w:rsidRPr="009561F4" w:rsidRDefault="009561F4">
            <w:pPr>
              <w:pStyle w:val="TableParagraph"/>
              <w:ind w:left="0"/>
              <w:rPr>
                <w:bCs/>
                <w:sz w:val="18"/>
              </w:rPr>
            </w:pPr>
            <w:r w:rsidRPr="009561F4">
              <w:rPr>
                <w:bCs/>
                <w:lang w:val="en-GB"/>
              </w:rPr>
              <w:t>Nothing has changed</w:t>
            </w:r>
          </w:p>
        </w:tc>
      </w:tr>
    </w:tbl>
    <w:p w14:paraId="3C3F93F0" w14:textId="77777777" w:rsidR="00B37D70" w:rsidRDefault="00B37D70"/>
    <w:sectPr w:rsidR="00B37D70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BD75A" w14:textId="77777777" w:rsidR="0032710F" w:rsidRDefault="0032710F">
      <w:r>
        <w:separator/>
      </w:r>
    </w:p>
  </w:endnote>
  <w:endnote w:type="continuationSeparator" w:id="0">
    <w:p w14:paraId="642DDE92" w14:textId="77777777" w:rsidR="0032710F" w:rsidRDefault="0032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86227" w14:textId="77777777" w:rsidR="00296FF2" w:rsidRDefault="00B37D7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2F46AE3D" wp14:editId="45971AF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0DF1E3" w14:textId="77777777" w:rsidR="00296FF2" w:rsidRDefault="00B37D7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6AE3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630DF1E3" w14:textId="77777777" w:rsidR="00296FF2" w:rsidRDefault="00B37D7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0F2A0DE" wp14:editId="0712396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DBF62" w14:textId="77777777" w:rsidR="00296FF2" w:rsidRDefault="00B37D7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F2A0DE"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52DDBF62" w14:textId="77777777" w:rsidR="00296FF2" w:rsidRDefault="00B37D7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61309BE0" wp14:editId="20D8C57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E8B8D8" w14:textId="77777777" w:rsidR="00296FF2" w:rsidRDefault="00B37D7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309BE0"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51E8B8D8" w14:textId="77777777" w:rsidR="00296FF2" w:rsidRDefault="00B37D7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371BCE41" wp14:editId="40C468A8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0D87E5" w14:textId="77777777" w:rsidR="00296FF2" w:rsidRDefault="00B37D7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1BCE41" id="Textbox 5" o:spid="_x0000_s1030" type="#_x0000_t202" style="position:absolute;margin-left:539.05pt;margin-top:796.2pt;width:80.4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14:paraId="170D87E5" w14:textId="77777777" w:rsidR="00296FF2" w:rsidRDefault="00B37D7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4E1FB" w14:textId="77777777" w:rsidR="0032710F" w:rsidRDefault="0032710F">
      <w:r>
        <w:separator/>
      </w:r>
    </w:p>
  </w:footnote>
  <w:footnote w:type="continuationSeparator" w:id="0">
    <w:p w14:paraId="063F7FCF" w14:textId="77777777" w:rsidR="0032710F" w:rsidRDefault="00327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E65C7" w14:textId="77777777" w:rsidR="00296FF2" w:rsidRDefault="00B37D7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1E899749" wp14:editId="1F7D9194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EFD517" w14:textId="77777777" w:rsidR="00296FF2" w:rsidRDefault="00B37D7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974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49EFD517" w14:textId="77777777" w:rsidR="00296FF2" w:rsidRDefault="00B37D7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B91B4F"/>
    <w:multiLevelType w:val="hybridMultilevel"/>
    <w:tmpl w:val="AE962B60"/>
    <w:lvl w:ilvl="0" w:tplc="6F547C0C">
      <w:start w:val="1"/>
      <w:numFmt w:val="lowerRoman"/>
      <w:lvlText w:val="(%1)"/>
      <w:lvlJc w:val="left"/>
      <w:pPr>
        <w:ind w:left="11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C67D74">
      <w:numFmt w:val="bullet"/>
      <w:lvlText w:val="•"/>
      <w:lvlJc w:val="left"/>
      <w:pPr>
        <w:ind w:left="2044" w:hanging="360"/>
      </w:pPr>
      <w:rPr>
        <w:rFonts w:hint="default"/>
        <w:lang w:val="en-US" w:eastAsia="en-US" w:bidi="ar-SA"/>
      </w:rPr>
    </w:lvl>
    <w:lvl w:ilvl="2" w:tplc="65A4D93A">
      <w:numFmt w:val="bullet"/>
      <w:lvlText w:val="•"/>
      <w:lvlJc w:val="left"/>
      <w:pPr>
        <w:ind w:left="2908" w:hanging="360"/>
      </w:pPr>
      <w:rPr>
        <w:rFonts w:hint="default"/>
        <w:lang w:val="en-US" w:eastAsia="en-US" w:bidi="ar-SA"/>
      </w:rPr>
    </w:lvl>
    <w:lvl w:ilvl="3" w:tplc="235C06CA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4" w:tplc="BB982BF6">
      <w:numFmt w:val="bullet"/>
      <w:lvlText w:val="•"/>
      <w:lvlJc w:val="left"/>
      <w:pPr>
        <w:ind w:left="4636" w:hanging="360"/>
      </w:pPr>
      <w:rPr>
        <w:rFonts w:hint="default"/>
        <w:lang w:val="en-US" w:eastAsia="en-US" w:bidi="ar-SA"/>
      </w:rPr>
    </w:lvl>
    <w:lvl w:ilvl="5" w:tplc="D4EAA1C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C1D224D0">
      <w:numFmt w:val="bullet"/>
      <w:lvlText w:val="•"/>
      <w:lvlJc w:val="left"/>
      <w:pPr>
        <w:ind w:left="6364" w:hanging="360"/>
      </w:pPr>
      <w:rPr>
        <w:rFonts w:hint="default"/>
        <w:lang w:val="en-US" w:eastAsia="en-US" w:bidi="ar-SA"/>
      </w:rPr>
    </w:lvl>
    <w:lvl w:ilvl="7" w:tplc="A3C2F90C">
      <w:numFmt w:val="bullet"/>
      <w:lvlText w:val="•"/>
      <w:lvlJc w:val="left"/>
      <w:pPr>
        <w:ind w:left="7228" w:hanging="360"/>
      </w:pPr>
      <w:rPr>
        <w:rFonts w:hint="default"/>
        <w:lang w:val="en-US" w:eastAsia="en-US" w:bidi="ar-SA"/>
      </w:rPr>
    </w:lvl>
    <w:lvl w:ilvl="8" w:tplc="07EAD8DE">
      <w:numFmt w:val="bullet"/>
      <w:lvlText w:val="•"/>
      <w:lvlJc w:val="left"/>
      <w:pPr>
        <w:ind w:left="809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F2"/>
    <w:rsid w:val="001476BC"/>
    <w:rsid w:val="00153A17"/>
    <w:rsid w:val="00262D84"/>
    <w:rsid w:val="00296FF2"/>
    <w:rsid w:val="0032710F"/>
    <w:rsid w:val="0044085C"/>
    <w:rsid w:val="005332A5"/>
    <w:rsid w:val="0056464B"/>
    <w:rsid w:val="00650E90"/>
    <w:rsid w:val="00697581"/>
    <w:rsid w:val="00844553"/>
    <w:rsid w:val="009561F4"/>
    <w:rsid w:val="00B37D70"/>
    <w:rsid w:val="00C84FDB"/>
    <w:rsid w:val="00E56C73"/>
    <w:rsid w:val="00EB7C47"/>
    <w:rsid w:val="00E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B55E"/>
  <w15:docId w15:val="{5EE71D4B-7686-42FE-9821-F3A170C2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97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cs.com/index.php/AJO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2025-12-16T16:44:00Z</dcterms:created>
  <dcterms:modified xsi:type="dcterms:W3CDTF">2025-12-17T08:29:00Z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Word 2016</vt:lpwstr>
  </property>
</Properties>
</file>