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rPr>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Asian Journal of Medical Principles and Clinical Practice</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Ms_AJMPCP_149951</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Access to Sexual and Reproductive Health Services for Adolescents and Young People (10</w:t>
            </w:r>
            <w:r w:rsidDel="00000000" w:rsidR="00000000" w:rsidRPr="00000000">
              <w:rPr>
                <w:rFonts w:ascii="Cambria Math" w:cs="Cambria Math" w:eastAsia="Cambria Math" w:hAnsi="Cambria Math"/>
                <w:b w:val="1"/>
                <w:bCs w:val="1"/>
                <w:i w:val="0"/>
                <w:iCs w:val="0"/>
                <w:smallCaps w:val="0"/>
                <w:strike w:val="0"/>
                <w:color w:val="000000"/>
                <w:sz w:val="20"/>
                <w:szCs w:val="20"/>
                <w:u w:val="none"/>
                <w:shd w:fill="auto" w:val="clear"/>
                <w:vertAlign w:val="baseline"/>
                <w:rtl w:val="0"/>
              </w:rPr>
              <w:t xml:space="preserve">‑</w:t>
            </w: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24 years) in Sub-Saharan Africa: A Scoping Review</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nm2k3jtd5eyn" w:id="0"/>
      <w:bookmarkEnd w:id="0"/>
      <w:r w:rsidDel="00000000" w:rsidR="00000000" w:rsidRPr="00000000">
        <w:rPr>
          <w:rtl w:val="0"/>
        </w:rPr>
      </w:r>
    </w:p>
    <w:p w:rsidR="00000000" w:rsidDel="00000000" w:rsidP="00000000" w:rsidRDefault="00000000" w:rsidRPr="00000000" w14:paraId="0000000D">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E">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0F">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4">
            <w:pPr>
              <w:rPr>
                <w:b w:val="0"/>
                <w:bCs w:val="0"/>
                <w:sz w:val="20"/>
                <w:szCs w:val="20"/>
                <w:vertAlign w:val="baseline"/>
              </w:rPr>
            </w:pPr>
            <w:r w:rsidDel="00000000" w:rsidR="00000000" w:rsidRPr="00000000">
              <w:rPr>
                <w:b w:val="1"/>
                <w:bCs w:val="1"/>
                <w:sz w:val="20"/>
                <w:szCs w:val="20"/>
                <w:highlight w:val="yellow"/>
                <w:vertAlign w:val="baseline"/>
                <w:rtl w:val="0"/>
              </w:rPr>
              <w:t xml:space="preserve">Artificial Intelligence (AI) generated or assisted review comments are strictly prohibited during peer review.</w:t>
            </w:r>
            <w:r w:rsidDel="00000000" w:rsidR="00000000" w:rsidRPr="00000000">
              <w:rPr>
                <w:rtl w:val="0"/>
              </w:rPr>
            </w:r>
          </w:p>
          <w:p w:rsidR="00000000" w:rsidDel="00000000" w:rsidP="00000000" w:rsidRDefault="00000000" w:rsidRPr="00000000" w14:paraId="00000015">
            <w:pPr>
              <w:rPr>
                <w:vertAlign w:val="baseline"/>
              </w:rPr>
            </w:pPr>
            <w:r w:rsidDel="00000000" w:rsidR="00000000" w:rsidRPr="00000000">
              <w:rPr>
                <w:rtl w:val="0"/>
              </w:rPr>
            </w:r>
          </w:p>
        </w:tc>
        <w:tc>
          <w:tcPr>
            <w:vAlign w:val="top"/>
          </w:tcPr>
          <w:p w:rsidR="00000000" w:rsidDel="00000000" w:rsidP="00000000" w:rsidRDefault="00000000" w:rsidRPr="00000000" w14:paraId="00000016">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7">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8">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9">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This manuscript addresses a persistent and high-impact challenge in global adolescent health: uneven access to sexual and reproductive health (SRH) services for adolescents and young people across Sub-Saharan Africa, including the disproportionate disadvantages faced in rural settings. </w:t>
            </w: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By mapping barriers (e.g., stigma, confidentiality concerns, economic constraints) alongside interventions (e.g., digital tools and peer-led models), the review provides a useful “evidence landscape” that can guide program designers and policy actors toward more youth-responsive services. </w:t>
            </w: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The inclusion of both peer-reviewed studies and policy documents strengthens the practical relevance of the work, helping bridge research-to-policy translation in a field where implementation gaps remain substantial.  Overall, the manuscript has clear value for researchers and practitioners seeking to prioritize scalable, equitable strategies to improve adolescent SRH access in SSA</w:t>
            </w:r>
            <w:r w:rsidDel="00000000" w:rsidR="00000000" w:rsidRPr="00000000">
              <w:rPr>
                <w:rtl w:val="0"/>
              </w:rPr>
            </w:r>
          </w:p>
        </w:tc>
        <w:tc>
          <w:tcPr>
            <w:vAlign w:val="top"/>
          </w:tcPr>
          <w:p w:rsidR="00000000" w:rsidDel="00000000" w:rsidP="00000000" w:rsidRDefault="00000000" w:rsidRPr="00000000" w14:paraId="0000001D">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No correction requested</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E">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F">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20">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1">
            <w:pPr>
              <w:rPr>
                <w:b w:val="0"/>
                <w:bCs w:val="0"/>
                <w:sz w:val="20"/>
                <w:szCs w:val="20"/>
                <w:vertAlign w:val="baseline"/>
              </w:rPr>
            </w:pPr>
            <w:r w:rsidDel="00000000" w:rsidR="00000000" w:rsidRPr="00000000">
              <w:rPr>
                <w:b w:val="1"/>
                <w:bCs w:val="1"/>
                <w:sz w:val="20"/>
                <w:szCs w:val="20"/>
                <w:vertAlign w:val="baseline"/>
                <w:rtl w:val="0"/>
              </w:rPr>
              <w:t xml:space="preserve">The title is generally suitable: it is specific (population, region, age range) and correctly signals the review type (“scoping review”). That said, it could be slightly tightened for readability and to better reflect the manuscript’s emphasis on barriers, interventions, and policy gaps. </w:t>
            </w:r>
            <w:r w:rsidDel="00000000" w:rsidR="00000000" w:rsidRPr="00000000">
              <w:rPr>
                <w:rtl w:val="0"/>
              </w:rPr>
            </w:r>
          </w:p>
          <w:p w:rsidR="00000000" w:rsidDel="00000000" w:rsidP="00000000" w:rsidRDefault="00000000" w:rsidRPr="00000000" w14:paraId="00000022">
            <w:pPr>
              <w:rPr>
                <w:b w:val="0"/>
                <w:bCs w:val="0"/>
                <w:sz w:val="20"/>
                <w:szCs w:val="20"/>
                <w:vertAlign w:val="baseline"/>
              </w:rPr>
            </w:pPr>
            <w:r w:rsidDel="00000000" w:rsidR="00000000" w:rsidRPr="00000000">
              <w:rPr>
                <w:b w:val="1"/>
                <w:bCs w:val="1"/>
                <w:sz w:val="20"/>
                <w:szCs w:val="20"/>
                <w:vertAlign w:val="baseline"/>
                <w:rtl w:val="0"/>
              </w:rPr>
              <w:t xml:space="preserve">Suggested alternative: “Access to Sexual and Reproductive Health Services among Adolescents and Young People (10–24 years) in Sub-Saharan Africa: A Scoping Review of Barriers, Interventions, and Policy Gaps.”</w:t>
            </w:r>
            <w:r w:rsidDel="00000000" w:rsidR="00000000" w:rsidRPr="00000000">
              <w:rPr>
                <w:rtl w:val="0"/>
              </w:rPr>
            </w:r>
          </w:p>
        </w:tc>
        <w:tc>
          <w:tcPr>
            <w:vAlign w:val="top"/>
          </w:tcPr>
          <w:p w:rsidR="00000000" w:rsidDel="00000000" w:rsidP="00000000" w:rsidRDefault="00000000" w:rsidRPr="00000000" w14:paraId="00000023">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The suggestion has been reflected in the title</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4">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5">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6">
            <w:pPr>
              <w:rPr>
                <w:b w:val="0"/>
                <w:bCs w:val="0"/>
                <w:sz w:val="20"/>
                <w:szCs w:val="20"/>
                <w:vertAlign w:val="baseline"/>
              </w:rPr>
            </w:pPr>
            <w:r w:rsidDel="00000000" w:rsidR="00000000" w:rsidRPr="00000000">
              <w:rPr>
                <w:b w:val="1"/>
                <w:bCs w:val="1"/>
                <w:sz w:val="20"/>
                <w:szCs w:val="20"/>
                <w:vertAlign w:val="baseline"/>
                <w:rtl w:val="0"/>
              </w:rPr>
              <w:t xml:space="preserve">Clarify scope and study mix: you mention “21 studies… including policy documents,” but it would help to state how many were peer-reviewed research articles versus policy/grey literature.</w:t>
            </w:r>
            <w:r w:rsidDel="00000000" w:rsidR="00000000" w:rsidRPr="00000000">
              <w:rPr>
                <w:rtl w:val="0"/>
              </w:rPr>
            </w:r>
          </w:p>
          <w:p w:rsidR="00000000" w:rsidDel="00000000" w:rsidP="00000000" w:rsidRDefault="00000000" w:rsidRPr="00000000" w14:paraId="00000027">
            <w:pPr>
              <w:rPr>
                <w:b w:val="0"/>
                <w:bCs w:val="0"/>
                <w:sz w:val="20"/>
                <w:szCs w:val="20"/>
                <w:vertAlign w:val="baseline"/>
              </w:rPr>
            </w:pPr>
            <w:r w:rsidDel="00000000" w:rsidR="00000000" w:rsidRPr="00000000">
              <w:rPr>
                <w:b w:val="1"/>
                <w:bCs w:val="1"/>
                <w:sz w:val="20"/>
                <w:szCs w:val="20"/>
                <w:vertAlign w:val="baseline"/>
                <w:rtl w:val="0"/>
              </w:rPr>
              <w:t xml:space="preserve">Reconsider “evaluate effectiveness” wording: scoping reviews typically map evidence; if no formal critical appraisal or synthesis of effect sizes is done, consider reframing to “summarize reported interventions and outcomes” rather than “evaluate effectiveness.”</w:t>
            </w:r>
            <w:r w:rsidDel="00000000" w:rsidR="00000000" w:rsidRPr="00000000">
              <w:rPr>
                <w:rtl w:val="0"/>
              </w:rPr>
            </w:r>
          </w:p>
        </w:tc>
        <w:tc>
          <w:tcPr>
            <w:vAlign w:val="top"/>
          </w:tcPr>
          <w:p w:rsidR="00000000" w:rsidDel="00000000" w:rsidP="00000000" w:rsidRDefault="00000000" w:rsidRPr="00000000" w14:paraId="00000028">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The observations in the abstract have been addressed.</w:t>
            </w: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9">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Overall, the topic framing, the research question, and the choice of a scoping review approach are appropriate for a broad and heterogeneous evidence base. That said, I recommend addressing points to strengthen methodological rigor and internal consistency:</w:t>
            </w:r>
            <w:r w:rsidDel="00000000" w:rsidR="00000000" w:rsidRPr="00000000">
              <w:rPr>
                <w:rtl w:val="0"/>
              </w:rPr>
            </w:r>
          </w:p>
          <w:p w:rsidR="00000000" w:rsidDel="00000000" w:rsidP="00000000" w:rsidRDefault="00000000" w:rsidRPr="00000000" w14:paraId="0000002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Database reporting inconsistency: the manuscript states “three main academic databases” but then lists only PubMed and AJOL. This should be corrected (either add the missing database or revise the wording).</w:t>
            </w:r>
            <w:r w:rsidDel="00000000" w:rsidR="00000000" w:rsidRPr="00000000">
              <w:rPr>
                <w:rtl w:val="0"/>
              </w:rPr>
            </w:r>
          </w:p>
          <w:p w:rsidR="00000000" w:rsidDel="00000000" w:rsidP="00000000" w:rsidRDefault="00000000" w:rsidRPr="00000000" w14:paraId="0000002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Interpretation of intervention “effects”: if the narrative synthesis includes specific quantitative impacts from single studies (e.g., percentage changes), it would be helpful to consistently attribute these as study-level findings and avoid wording that implies pooled or generalized effectiveness across SSA.</w:t>
            </w:r>
            <w:r w:rsidDel="00000000" w:rsidR="00000000" w:rsidRPr="00000000">
              <w:rPr>
                <w:rtl w:val="0"/>
              </w:rPr>
            </w:r>
          </w:p>
        </w:tc>
        <w:tc>
          <w:tcPr>
            <w:vAlign w:val="top"/>
          </w:tcPr>
          <w:p w:rsidR="00000000" w:rsidDel="00000000" w:rsidP="00000000" w:rsidRDefault="00000000" w:rsidRPr="00000000" w14:paraId="0000002D">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The inconsistency with the number of databases searched has been resolved. Only PubMed and AJOL were searched.</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The narrative synthesis was reviewed and updated as well.</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30">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Suggested additions (to strengthen methods reporting and conceptual grounding):</w:t>
            </w:r>
            <w:r w:rsidDel="00000000" w:rsidR="00000000" w:rsidRPr="00000000">
              <w:rPr>
                <w:rtl w:val="0"/>
              </w:rPr>
            </w:r>
          </w:p>
          <w:p w:rsidR="00000000" w:rsidDel="00000000" w:rsidP="00000000" w:rsidRDefault="00000000" w:rsidRPr="00000000" w14:paraId="0000003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PRISMA-ScR (scoping review reporting guideline): Tricco et al., 2018 (PRISMA extension for scoping reviews).</w:t>
            </w: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JBI guidance for scoping reviews: Peters et al. (Joanna Briggs Institute guidance; updated versions).</w:t>
            </w: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Access-to-healthcare framework (optional but helpful if you want a stronger conceptual definition of “access”): Levesque et al. (patient-centred access framework).</w:t>
            </w:r>
            <w:r w:rsidDel="00000000" w:rsidR="00000000" w:rsidRPr="00000000">
              <w:rPr>
                <w:rtl w:val="0"/>
              </w:rPr>
            </w:r>
          </w:p>
          <w:p w:rsidR="00000000" w:rsidDel="00000000" w:rsidP="00000000" w:rsidRDefault="00000000" w:rsidRPr="00000000" w14:paraId="0000003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WHO adolescent health/SRH service quality guidance (for stronger policy anchoring): e.g., WHO “Global standards for quality health-care services for adolescents” and/or WHO AA-HA! guidance (if aligned with your framing).</w:t>
            </w:r>
            <w:r w:rsidDel="00000000" w:rsidR="00000000" w:rsidRPr="00000000">
              <w:rPr>
                <w:rtl w:val="0"/>
              </w:rPr>
            </w:r>
          </w:p>
        </w:tc>
        <w:tc>
          <w:tcPr>
            <w:vAlign w:val="top"/>
          </w:tcPr>
          <w:p w:rsidR="00000000" w:rsidDel="00000000" w:rsidP="00000000" w:rsidRDefault="00000000" w:rsidRPr="00000000" w14:paraId="00000036">
            <w:pPr>
              <w:pStyle w:val="Heading2"/>
              <w:jc w:val="left"/>
              <w:rPr>
                <w:rFonts w:ascii="Times New Roman" w:cs="Times New Roman" w:eastAsia="Times New Roman" w:hAnsi="Times New Roman"/>
                <w:b w:val="0"/>
                <w:bCs w:val="0"/>
                <w:highlight w:val="white"/>
                <w:vertAlign w:val="baseline"/>
              </w:rPr>
            </w:pPr>
            <w:r w:rsidDel="00000000" w:rsidR="00000000" w:rsidRPr="00000000">
              <w:rPr>
                <w:rFonts w:ascii="Times New Roman" w:cs="Times New Roman" w:eastAsia="Times New Roman" w:hAnsi="Times New Roman"/>
                <w:b w:val="0"/>
                <w:bCs w:val="0"/>
                <w:highlight w:val="white"/>
                <w:rtl w:val="0"/>
              </w:rPr>
              <w:t xml:space="preserve">One of the reference for reporting scoping review has been added: </w:t>
            </w:r>
            <w:r w:rsidDel="00000000" w:rsidR="00000000" w:rsidRPr="00000000">
              <w:rPr>
                <w:rFonts w:ascii="Times New Roman" w:cs="Times New Roman" w:eastAsia="Times New Roman" w:hAnsi="Times New Roman"/>
                <w:b w:val="0"/>
                <w:bCs w:val="0"/>
                <w:highlight w:val="white"/>
                <w:rtl w:val="0"/>
              </w:rPr>
              <w:t xml:space="preserve">McGowan, J., Straus, S., Moher, D., Langlois, E. V., O'Brien, K. K., Horsley, T., Aldcroft, A., Zarin, W., Garitty, C. M., Hempel, S., Lillie, E., Tunçalp, Ӧ., &amp; Tricco, A. C. (2020). Reporting scoping reviews-PRISMA ScR extension. </w:t>
            </w:r>
            <w:r w:rsidDel="00000000" w:rsidR="00000000" w:rsidRPr="00000000">
              <w:rPr>
                <w:rFonts w:ascii="Times New Roman" w:cs="Times New Roman" w:eastAsia="Times New Roman" w:hAnsi="Times New Roman"/>
                <w:b w:val="0"/>
                <w:bCs w:val="0"/>
                <w:i w:val="1"/>
                <w:iCs w:val="1"/>
                <w:highlight w:val="white"/>
                <w:rtl w:val="0"/>
              </w:rPr>
              <w:t xml:space="preserve">Journal of clinical epidemiology</w:t>
            </w:r>
            <w:r w:rsidDel="00000000" w:rsidR="00000000" w:rsidRPr="00000000">
              <w:rPr>
                <w:rFonts w:ascii="Times New Roman" w:cs="Times New Roman" w:eastAsia="Times New Roman" w:hAnsi="Times New Roman"/>
                <w:b w:val="0"/>
                <w:bCs w:val="0"/>
                <w:highlight w:val="white"/>
                <w:rtl w:val="0"/>
              </w:rPr>
              <w:t xml:space="preserve">, </w:t>
            </w:r>
            <w:r w:rsidDel="00000000" w:rsidR="00000000" w:rsidRPr="00000000">
              <w:rPr>
                <w:rFonts w:ascii="Times New Roman" w:cs="Times New Roman" w:eastAsia="Times New Roman" w:hAnsi="Times New Roman"/>
                <w:b w:val="0"/>
                <w:bCs w:val="0"/>
                <w:i w:val="1"/>
                <w:iCs w:val="1"/>
                <w:highlight w:val="white"/>
                <w:rtl w:val="0"/>
              </w:rPr>
              <w:t xml:space="preserve">123</w:t>
            </w:r>
            <w:r w:rsidDel="00000000" w:rsidR="00000000" w:rsidRPr="00000000">
              <w:rPr>
                <w:rFonts w:ascii="Times New Roman" w:cs="Times New Roman" w:eastAsia="Times New Roman" w:hAnsi="Times New Roman"/>
                <w:b w:val="0"/>
                <w:bCs w:val="0"/>
                <w:highlight w:val="white"/>
                <w:rtl w:val="0"/>
              </w:rPr>
              <w:t xml:space="preserve">, 177–179. </w:t>
            </w:r>
            <w:hyperlink r:id="rId8">
              <w:r w:rsidDel="00000000" w:rsidR="00000000" w:rsidRPr="00000000">
                <w:rPr>
                  <w:rFonts w:ascii="Times New Roman" w:cs="Times New Roman" w:eastAsia="Times New Roman" w:hAnsi="Times New Roman"/>
                  <w:b w:val="0"/>
                  <w:bCs w:val="0"/>
                  <w:highlight w:val="white"/>
                  <w:u w:val="single"/>
                  <w:rtl w:val="0"/>
                </w:rPr>
                <w:t xml:space="preserve">https://doi.org/10.1016/j.jclinepi.2020.03.016</w:t>
              </w:r>
            </w:hyperlink>
            <w:r w:rsidDel="00000000" w:rsidR="00000000" w:rsidRPr="00000000">
              <w:rPr>
                <w:rFonts w:ascii="Times New Roman" w:cs="Times New Roman" w:eastAsia="Times New Roman" w:hAnsi="Times New Roman"/>
                <w:b w:val="0"/>
                <w:bCs w:val="0"/>
                <w:highlight w:val="white"/>
                <w:rtl w:val="0"/>
              </w:rPr>
              <w:t xml:space="preserve">     However the other references from WHO and Levesque et al were not added as they were published prior to 2020. Our scoping review focused on recent publications 2020 to the search date in 2025</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37">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38">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39">
            <w:pPr>
              <w:rPr>
                <w:b w:val="0"/>
                <w:bCs w:val="0"/>
                <w:sz w:val="20"/>
                <w:szCs w:val="20"/>
                <w:vertAlign w:val="baseline"/>
              </w:rPr>
            </w:pPr>
            <w:r w:rsidDel="00000000" w:rsidR="00000000" w:rsidRPr="00000000">
              <w:rPr>
                <w:b w:val="1"/>
                <w:bCs w:val="1"/>
                <w:sz w:val="20"/>
                <w:szCs w:val="20"/>
                <w:vertAlign w:val="baseline"/>
                <w:rtl w:val="0"/>
              </w:rPr>
              <w:t xml:space="preserve">The English is generally understandable and the manuscript reads coherently at a high level, but it would benefit from professional language polishing before publication. I also recommend checking consistency of terminology and abbreviations across the manuscript (e.g., “youth-friendly services” labels), tightening long sentences in the Discussion, and ensuring uniform style for hyphenation and age-range formatting throughout.</w:t>
            </w:r>
            <w:r w:rsidDel="00000000" w:rsidR="00000000" w:rsidRPr="00000000">
              <w:rPr>
                <w:rtl w:val="0"/>
              </w:rPr>
            </w:r>
          </w:p>
        </w:tc>
        <w:tc>
          <w:tcPr>
            <w:vAlign w:val="top"/>
          </w:tcPr>
          <w:p w:rsidR="00000000" w:rsidDel="00000000" w:rsidP="00000000" w:rsidRDefault="00000000" w:rsidRPr="00000000" w14:paraId="0000003A">
            <w:pPr>
              <w:rPr>
                <w:sz w:val="20"/>
                <w:szCs w:val="20"/>
                <w:vertAlign w:val="baseline"/>
              </w:rPr>
            </w:pPr>
            <w:r w:rsidDel="00000000" w:rsidR="00000000" w:rsidRPr="00000000">
              <w:rPr>
                <w:sz w:val="20"/>
                <w:szCs w:val="20"/>
                <w:rtl w:val="0"/>
              </w:rPr>
              <w:t xml:space="preserve"> The entire manuscript was reviewed and updates made at places within the manuscript.</w:t>
            </w: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3B">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3C">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3E">
            <w:pPr>
              <w:rPr>
                <w:sz w:val="20"/>
                <w:szCs w:val="20"/>
                <w:vertAlign w:val="baseline"/>
              </w:rPr>
            </w:pPr>
            <w:r w:rsidDel="00000000" w:rsidR="00000000" w:rsidRPr="00000000">
              <w:rPr>
                <w:rtl w:val="0"/>
              </w:rPr>
            </w:r>
          </w:p>
        </w:tc>
      </w:tr>
    </w:tbl>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bookmarkStart w:colFirst="0" w:colLast="0" w:name="_heading=h.v3tg8hg9hkvu" w:id="1"/>
      <w:bookmarkEnd w:id="1"/>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7166"/>
        <w:gridCol w:w="7153"/>
        <w:tblGridChange w:id="0">
          <w:tblGrid>
            <w:gridCol w:w="6831"/>
            <w:gridCol w:w="7166"/>
            <w:gridCol w:w="7153"/>
          </w:tblGrid>
        </w:tblGridChange>
      </w:tblGrid>
      <w:tr>
        <w:trPr>
          <w:cantSplit w:val="0"/>
          <w:tblHeader w:val="0"/>
        </w:trPr>
        <w:tc>
          <w:tcPr>
            <w:gridSpan w:val="3"/>
            <w:tcBorders>
              <w:top w:color="000000" w:space="0" w:sz="0" w:val="nil"/>
              <w:left w:color="000000" w:space="0" w:sz="0" w:val="nil"/>
              <w:bottom w:color="000000" w:space="0" w:sz="4" w:val="single"/>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41">
            <w:pPr>
              <w:spacing w:line="276" w:lineRule="auto"/>
              <w:rPr>
                <w:rFonts w:ascii="Arial" w:cs="Arial" w:eastAsia="Arial" w:hAnsi="Arial"/>
                <w:b w:val="0"/>
                <w:bCs w:val="0"/>
                <w:sz w:val="20"/>
                <w:szCs w:val="20"/>
                <w:u w:val="single"/>
                <w:vertAlign w:val="baseline"/>
              </w:rPr>
            </w:pPr>
            <w:r w:rsidDel="00000000" w:rsidR="00000000" w:rsidRPr="00000000">
              <w:rPr>
                <w:rFonts w:ascii="Arial" w:cs="Arial" w:eastAsia="Arial" w:hAnsi="Arial"/>
                <w:b w:val="1"/>
                <w:bCs w:val="1"/>
                <w:sz w:val="20"/>
                <w:szCs w:val="20"/>
                <w:highlight w:val="yellow"/>
                <w:u w:val="single"/>
                <w:vertAlign w:val="baseline"/>
                <w:rtl w:val="0"/>
              </w:rPr>
              <w:t xml:space="preserve">PART  2:</w:t>
            </w:r>
            <w:r w:rsidDel="00000000" w:rsidR="00000000" w:rsidRPr="00000000">
              <w:rPr>
                <w:rFonts w:ascii="Arial" w:cs="Arial" w:eastAsia="Arial" w:hAnsi="Arial"/>
                <w:b w:val="1"/>
                <w:bCs w:val="1"/>
                <w:sz w:val="20"/>
                <w:szCs w:val="20"/>
                <w:u w:val="single"/>
                <w:vertAlign w:val="baseline"/>
                <w:rtl w:val="0"/>
              </w:rPr>
              <w:t xml:space="preserve"> </w:t>
            </w:r>
            <w:r w:rsidDel="00000000" w:rsidR="00000000" w:rsidRPr="00000000">
              <w:rPr>
                <w:rtl w:val="0"/>
              </w:rPr>
            </w:r>
          </w:p>
          <w:p w:rsidR="00000000" w:rsidDel="00000000" w:rsidP="00000000" w:rsidRDefault="00000000" w:rsidRPr="00000000" w14:paraId="00000042">
            <w:pPr>
              <w:spacing w:line="276" w:lineRule="auto"/>
              <w:rPr>
                <w:rFonts w:ascii="Arial" w:cs="Arial" w:eastAsia="Arial" w:hAnsi="Arial"/>
                <w:b w:val="0"/>
                <w:bCs w:val="0"/>
                <w:sz w:val="20"/>
                <w:szCs w:val="20"/>
                <w:u w:val="single"/>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5">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top"/>
          </w:tcPr>
          <w:p w:rsidR="00000000" w:rsidDel="00000000" w:rsidP="00000000" w:rsidRDefault="00000000" w:rsidRPr="00000000" w14:paraId="00000046">
            <w:pPr>
              <w:keepNext w:val="1"/>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Reviewer’s comment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47">
            <w:pPr>
              <w:spacing w:after="160" w:line="252.00000000000003" w:lineRule="auto"/>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Author’s Feedback</w:t>
            </w:r>
            <w:r w:rsidDel="00000000" w:rsidR="00000000" w:rsidRPr="00000000">
              <w:rPr>
                <w:rFonts w:ascii="Arial" w:cs="Arial" w:eastAsia="Arial" w:hAnsi="Arial"/>
                <w:sz w:val="20"/>
                <w:szCs w:val="20"/>
                <w:vertAlign w:val="baseline"/>
                <w:rtl w:val="0"/>
              </w:rPr>
              <w:t xml:space="preserve"> (It is mandatory that authors should write his/her feedback here)</w:t>
            </w:r>
          </w:p>
          <w:p w:rsidR="00000000" w:rsidDel="00000000" w:rsidP="00000000" w:rsidRDefault="00000000" w:rsidRPr="00000000" w14:paraId="00000048">
            <w:pPr>
              <w:keepNext w:val="1"/>
              <w:spacing w:line="276" w:lineRule="auto"/>
              <w:rPr>
                <w:rFonts w:ascii="Arial" w:cs="Arial" w:eastAsia="Arial" w:hAnsi="Arial"/>
                <w:sz w:val="20"/>
                <w:szCs w:val="20"/>
                <w:vertAlign w:val="baseline"/>
              </w:rPr>
            </w:pPr>
            <w:r w:rsidDel="00000000" w:rsidR="00000000" w:rsidRPr="00000000">
              <w:rPr>
                <w:rtl w:val="0"/>
              </w:rPr>
            </w:r>
          </w:p>
        </w:tc>
      </w:tr>
      <w:tr>
        <w:trPr>
          <w:cantSplit w:val="0"/>
          <w:trHeight w:val="89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9">
            <w:pPr>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4A">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B">
            <w:pPr>
              <w:spacing w:line="276" w:lineRule="auto"/>
              <w:rPr>
                <w:rFonts w:ascii="Arial" w:cs="Arial" w:eastAsia="Arial" w:hAnsi="Arial"/>
                <w:i w:val="0"/>
                <w:iCs w:val="0"/>
                <w:sz w:val="20"/>
                <w:szCs w:val="20"/>
                <w:u w:val="single"/>
                <w:vertAlign w:val="baseline"/>
              </w:rPr>
            </w:pPr>
            <w:r w:rsidDel="00000000" w:rsidR="00000000" w:rsidRPr="00000000">
              <w:rPr>
                <w:rFonts w:ascii="Arial" w:cs="Arial" w:eastAsia="Arial" w:hAnsi="Arial"/>
                <w:i w:val="1"/>
                <w:iCs w:val="1"/>
                <w:sz w:val="20"/>
                <w:szCs w:val="20"/>
                <w:u w:val="single"/>
                <w:vertAlign w:val="baseline"/>
                <w:rtl w:val="0"/>
              </w:rPr>
              <w:t xml:space="preserve">(If yes, Kindly please write down the ethical issues here in details)</w:t>
            </w:r>
            <w:r w:rsidDel="00000000" w:rsidR="00000000" w:rsidRPr="00000000">
              <w:rPr>
                <w:rtl w:val="0"/>
              </w:rPr>
            </w:r>
          </w:p>
          <w:p w:rsidR="00000000" w:rsidDel="00000000" w:rsidP="00000000" w:rsidRDefault="00000000" w:rsidRPr="00000000" w14:paraId="0000004C">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D">
            <w:pPr>
              <w:spacing w:line="276" w:lineRule="auto"/>
              <w:rPr>
                <w:rFonts w:ascii="Arial" w:cs="Arial" w:eastAsia="Arial" w:hAnsi="Arial"/>
                <w:sz w:val="20"/>
                <w:szCs w:val="20"/>
                <w:vertAlign w:val="baseline"/>
              </w:rPr>
            </w:pPr>
            <w:r w:rsidDel="00000000" w:rsidR="00000000" w:rsidRPr="00000000">
              <w:rPr>
                <w:rFonts w:ascii="Arial" w:cs="Arial" w:eastAsia="Arial" w:hAnsi="Arial"/>
                <w:sz w:val="20"/>
                <w:szCs w:val="20"/>
                <w:rtl w:val="0"/>
              </w:rPr>
              <w:t xml:space="preserve">No comment from reviwer</w:t>
            </w:r>
            <w:r w:rsidDel="00000000" w:rsidR="00000000" w:rsidRPr="00000000">
              <w:rPr>
                <w:rtl w:val="0"/>
              </w:rPr>
            </w:r>
          </w:p>
          <w:p w:rsidR="00000000" w:rsidDel="00000000" w:rsidP="00000000" w:rsidRDefault="00000000" w:rsidRPr="00000000" w14:paraId="0000004E">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4F">
            <w:pPr>
              <w:spacing w:line="276" w:lineRule="auto"/>
              <w:rPr>
                <w:rFonts w:ascii="Arial" w:cs="Arial" w:eastAsia="Arial" w:hAnsi="Arial"/>
                <w:sz w:val="20"/>
                <w:szCs w:val="20"/>
                <w:vertAlign w:val="baseline"/>
              </w:rPr>
            </w:pPr>
            <w:r w:rsidDel="00000000" w:rsidR="00000000" w:rsidRPr="00000000">
              <w:rPr>
                <w:rtl w:val="0"/>
              </w:rPr>
            </w:r>
          </w:p>
        </w:tc>
      </w:tr>
    </w:tbl>
    <w:p w:rsidR="00000000" w:rsidDel="00000000" w:rsidP="00000000" w:rsidRDefault="00000000" w:rsidRPr="00000000" w14:paraId="00000050">
      <w:pPr>
        <w:rPr>
          <w:vertAlign w:val="baseline"/>
        </w:rPr>
      </w:pPr>
      <w:r w:rsidDel="00000000" w:rsidR="00000000" w:rsidRPr="00000000">
        <w:rPr>
          <w:rtl w:val="0"/>
        </w:rPr>
      </w:r>
    </w:p>
    <w:p w:rsidR="00000000" w:rsidDel="00000000" w:rsidP="00000000" w:rsidRDefault="00000000" w:rsidRPr="00000000" w14:paraId="00000051">
      <w:pPr>
        <w:rPr>
          <w:vertAlign w:val="baseline"/>
        </w:rPr>
      </w:pPr>
      <w:r w:rsidDel="00000000" w:rsidR="00000000" w:rsidRPr="00000000">
        <w:rPr>
          <w:rtl w:val="0"/>
        </w:rPr>
      </w:r>
    </w:p>
    <w:p w:rsidR="00000000" w:rsidDel="00000000" w:rsidP="00000000" w:rsidRDefault="00000000" w:rsidRPr="00000000" w14:paraId="00000052">
      <w:pPr>
        <w:rPr>
          <w:u w:val="single"/>
          <w:vertAlign w:val="baseline"/>
        </w:rPr>
      </w:pPr>
      <w:r w:rsidDel="00000000" w:rsidR="00000000" w:rsidRPr="00000000">
        <w:rPr>
          <w:rtl w:val="0"/>
        </w:rPr>
      </w:r>
    </w:p>
    <w:p w:rsidR="00000000" w:rsidDel="00000000" w:rsidP="00000000" w:rsidRDefault="00000000" w:rsidRPr="00000000" w14:paraId="00000053">
      <w:pPr>
        <w:rP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sectPr>
      <w:headerReference r:id="rId9" w:type="default"/>
      <w:footerReference r:id="rId10"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Cambria Math">
    <w:embedRegular w:fontKey="{00000000-0000-0000-0000-000000000000}" r:id="rId1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5">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56">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720" w:hanging="360"/>
      </w:pPr>
      <w:rPr>
        <w:rFonts w:ascii="Times New Roman" w:cs="Times New Roman" w:eastAsia="Times New Roman" w:hAnsi="Times New Roman"/>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mpcp.com/index.php/AJMPCP" TargetMode="External"/><Relationship Id="rId8" Type="http://schemas.openxmlformats.org/officeDocument/2006/relationships/hyperlink" Target="https://doi.org/10.1016/j.jclinepi.2020.03.016"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1" Type="http://schemas.openxmlformats.org/officeDocument/2006/relationships/font" Target="fonts/CambriaMath-regular.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G5MhjjEm9noO/trJSxGRhwTupA==">CgMxLjAyDmgubm0yazNqdGQ1ZXluMg5oLnYzdGc4aGc5aGt2dTgAciExN0pfWHM5bFA4dzRSWWUtZzdWY2RJamcwMnlCWkRGZGM=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file>