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713F9" w:rsidRDefault="000713F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0713F9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0713F9" w:rsidRDefault="000713F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0713F9">
        <w:trPr>
          <w:trHeight w:val="290"/>
        </w:trPr>
        <w:tc>
          <w:tcPr>
            <w:tcW w:w="5167" w:type="dxa"/>
          </w:tcPr>
          <w:p w:rsidR="000713F9" w:rsidRDefault="001E08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13F9" w:rsidRDefault="001E08BE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Medical Principles and Clinical Practice</w:t>
              </w:r>
            </w:hyperlink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0713F9">
        <w:trPr>
          <w:trHeight w:val="290"/>
        </w:trPr>
        <w:tc>
          <w:tcPr>
            <w:tcW w:w="5167" w:type="dxa"/>
          </w:tcPr>
          <w:p w:rsidR="000713F9" w:rsidRDefault="001E08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13F9" w:rsidRDefault="001E08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Ms_AJMPCP_149951</w:t>
            </w:r>
          </w:p>
        </w:tc>
      </w:tr>
      <w:tr w:rsidR="000713F9">
        <w:trPr>
          <w:trHeight w:val="650"/>
        </w:trPr>
        <w:tc>
          <w:tcPr>
            <w:tcW w:w="5167" w:type="dxa"/>
          </w:tcPr>
          <w:p w:rsidR="000713F9" w:rsidRDefault="001E08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13F9" w:rsidRDefault="001E08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Access to Sexual and Reproductive Health Services for Adolescents and Young People (10</w:t>
            </w:r>
            <w:r>
              <w:rPr>
                <w:rFonts w:ascii="Cambria Math" w:eastAsia="Cambria Math" w:hAnsi="Cambria Math" w:cs="Cambria Math"/>
                <w:b/>
                <w:bCs/>
                <w:color w:val="000000"/>
                <w:sz w:val="20"/>
                <w:szCs w:val="20"/>
              </w:rPr>
              <w:t>‑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24 years) in Sub-Saharan Africa: A Scoping Review</w:t>
            </w:r>
          </w:p>
        </w:tc>
      </w:tr>
      <w:tr w:rsidR="000713F9">
        <w:trPr>
          <w:trHeight w:val="332"/>
        </w:trPr>
        <w:tc>
          <w:tcPr>
            <w:tcW w:w="5167" w:type="dxa"/>
          </w:tcPr>
          <w:p w:rsidR="000713F9" w:rsidRDefault="001E08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13F9" w:rsidRDefault="000713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:rsidR="000713F9" w:rsidRDefault="000713F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xp7w3m58c3wk" w:colFirst="0" w:colLast="0"/>
      <w:bookmarkEnd w:id="0"/>
    </w:p>
    <w:p w:rsidR="000713F9" w:rsidRDefault="000713F9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0713F9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0713F9" w:rsidRDefault="001E08B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0713F9" w:rsidRDefault="000713F9">
            <w:pPr>
              <w:rPr>
                <w:sz w:val="20"/>
                <w:szCs w:val="20"/>
              </w:rPr>
            </w:pPr>
          </w:p>
        </w:tc>
      </w:tr>
      <w:tr w:rsidR="000713F9">
        <w:tc>
          <w:tcPr>
            <w:tcW w:w="5351" w:type="dxa"/>
          </w:tcPr>
          <w:p w:rsidR="000713F9" w:rsidRDefault="000713F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0713F9" w:rsidRDefault="001E08B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0713F9" w:rsidRDefault="001E08BE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0713F9" w:rsidRDefault="000713F9"/>
        </w:tc>
        <w:tc>
          <w:tcPr>
            <w:tcW w:w="6442" w:type="dxa"/>
          </w:tcPr>
          <w:p w:rsidR="000713F9" w:rsidRDefault="001E08BE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0713F9" w:rsidRDefault="000713F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0713F9">
        <w:trPr>
          <w:trHeight w:val="1264"/>
        </w:trPr>
        <w:tc>
          <w:tcPr>
            <w:tcW w:w="5351" w:type="dxa"/>
          </w:tcPr>
          <w:p w:rsidR="000713F9" w:rsidRDefault="001E08BE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</w:t>
            </w:r>
            <w:r>
              <w:rPr>
                <w:b/>
                <w:bCs/>
                <w:sz w:val="20"/>
                <w:szCs w:val="20"/>
              </w:rPr>
              <w:t>his manuscript for the scientific community. A minimum of 3-4 sentences may be required for this part.</w:t>
            </w:r>
          </w:p>
          <w:p w:rsidR="000713F9" w:rsidRDefault="000713F9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0713F9" w:rsidRDefault="001E08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The manuscript topic is important to the health scientific community because it provides a comprehensive mapping of existing evidence on access to sexual and reproductive health services for adolescents and young people in Sub-Saharan Africa. By systematic</w:t>
            </w:r>
            <w:r>
              <w:rPr>
                <w:b/>
                <w:bCs/>
                <w:color w:val="000000"/>
                <w:sz w:val="20"/>
                <w:szCs w:val="20"/>
              </w:rPr>
              <w:t>ally identifying key barriers, facilitators, and intervention strategies, the review highlights persistent structural, socio-cultural, and policy gaps that limit effective service delivery, particularly in rural and underserved settings. The study also str</w:t>
            </w:r>
            <w:r>
              <w:rPr>
                <w:b/>
                <w:bCs/>
                <w:color w:val="000000"/>
                <w:sz w:val="20"/>
                <w:szCs w:val="20"/>
              </w:rPr>
              <w:t>engthens the evidence base needed to inform youth-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centered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>, context-appropriate interventions and policies aimed at improving adolescent SRH outcomes in the region.</w:t>
            </w:r>
          </w:p>
        </w:tc>
        <w:tc>
          <w:tcPr>
            <w:tcW w:w="6442" w:type="dxa"/>
          </w:tcPr>
          <w:p w:rsidR="000713F9" w:rsidRDefault="001E08B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 correction required here</w:t>
            </w:r>
          </w:p>
        </w:tc>
      </w:tr>
      <w:tr w:rsidR="000713F9">
        <w:trPr>
          <w:trHeight w:val="1262"/>
        </w:trPr>
        <w:tc>
          <w:tcPr>
            <w:tcW w:w="5351" w:type="dxa"/>
          </w:tcPr>
          <w:p w:rsidR="000713F9" w:rsidRDefault="001E08BE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0713F9" w:rsidRDefault="001E08BE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</w:t>
            </w:r>
            <w:r>
              <w:rPr>
                <w:b/>
                <w:bCs/>
                <w:sz w:val="20"/>
                <w:szCs w:val="20"/>
              </w:rPr>
              <w:t>n alternative title)</w:t>
            </w:r>
          </w:p>
          <w:p w:rsidR="000713F9" w:rsidRDefault="000713F9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0713F9" w:rsidRDefault="001E08BE">
            <w:pPr>
              <w:rPr>
                <w:sz w:val="20"/>
                <w:szCs w:val="20"/>
              </w:rPr>
            </w:pPr>
            <w:proofErr w:type="gramStart"/>
            <w:r>
              <w:rPr>
                <w:b/>
                <w:bCs/>
                <w:sz w:val="20"/>
                <w:szCs w:val="20"/>
              </w:rPr>
              <w:t>Its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seem a repetition for using </w:t>
            </w:r>
            <w:proofErr w:type="spellStart"/>
            <w:r>
              <w:rPr>
                <w:b/>
                <w:bCs/>
                <w:sz w:val="20"/>
                <w:szCs w:val="20"/>
              </w:rPr>
              <w:t>Adolecents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and young people. </w:t>
            </w:r>
            <w:proofErr w:type="spellStart"/>
            <w:r>
              <w:rPr>
                <w:b/>
                <w:bCs/>
                <w:sz w:val="20"/>
                <w:szCs w:val="20"/>
              </w:rPr>
              <w:t>Its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better to use one of the terminologies. I </w:t>
            </w:r>
            <w:proofErr w:type="spellStart"/>
            <w:r>
              <w:rPr>
                <w:b/>
                <w:bCs/>
                <w:sz w:val="20"/>
                <w:szCs w:val="20"/>
              </w:rPr>
              <w:t>sugest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using only Young People</w:t>
            </w:r>
          </w:p>
        </w:tc>
        <w:tc>
          <w:tcPr>
            <w:tcW w:w="6442" w:type="dxa"/>
          </w:tcPr>
          <w:p w:rsidR="000713F9" w:rsidRDefault="001E08B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title was updated based on your suggestion.</w:t>
            </w:r>
          </w:p>
        </w:tc>
      </w:tr>
      <w:tr w:rsidR="000713F9">
        <w:trPr>
          <w:trHeight w:val="1262"/>
        </w:trPr>
        <w:tc>
          <w:tcPr>
            <w:tcW w:w="5351" w:type="dxa"/>
          </w:tcPr>
          <w:p w:rsidR="000713F9" w:rsidRDefault="001E08BE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0713F9" w:rsidRDefault="000713F9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0713F9" w:rsidRDefault="001E08BE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The abstract of the article is comprehensive. I suggest adding a time limit (years) for data extrac</w:t>
            </w:r>
            <w:r>
              <w:rPr>
                <w:b/>
                <w:bCs/>
                <w:sz w:val="20"/>
                <w:szCs w:val="20"/>
              </w:rPr>
              <w:t>tion from PubMed.</w:t>
            </w:r>
          </w:p>
        </w:tc>
        <w:tc>
          <w:tcPr>
            <w:tcW w:w="6442" w:type="dxa"/>
          </w:tcPr>
          <w:p w:rsidR="000713F9" w:rsidRDefault="001E08B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The information was added </w:t>
            </w:r>
          </w:p>
        </w:tc>
      </w:tr>
      <w:tr w:rsidR="000713F9">
        <w:trPr>
          <w:trHeight w:val="704"/>
        </w:trPr>
        <w:tc>
          <w:tcPr>
            <w:tcW w:w="5351" w:type="dxa"/>
          </w:tcPr>
          <w:p w:rsidR="000713F9" w:rsidRDefault="001E08BE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cally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, correct? Please write here.</w:t>
            </w:r>
          </w:p>
        </w:tc>
        <w:tc>
          <w:tcPr>
            <w:tcW w:w="9357" w:type="dxa"/>
          </w:tcPr>
          <w:p w:rsidR="000713F9" w:rsidRDefault="001E08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Sure. The content, methods, as well as the structure are I suggest adding a time limit (years) for data extraction from PubMed. Please pay attention to the font and the size of all content in the manuscript</w:t>
            </w:r>
          </w:p>
          <w:p w:rsidR="000713F9" w:rsidRDefault="000713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0713F9" w:rsidRDefault="001E08B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Already added as it is the exact observation mad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e in the abstract.  The font used in the current form of the manuscript is Times New Roman</w:t>
            </w:r>
          </w:p>
        </w:tc>
      </w:tr>
      <w:tr w:rsidR="000713F9">
        <w:trPr>
          <w:trHeight w:val="703"/>
        </w:trPr>
        <w:tc>
          <w:tcPr>
            <w:tcW w:w="5351" w:type="dxa"/>
          </w:tcPr>
          <w:p w:rsidR="000713F9" w:rsidRDefault="001E08BE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0713F9" w:rsidRDefault="001E08BE">
            <w:pPr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Yes. Most of articles are 10 years update. Only one articles </w:t>
            </w:r>
            <w:proofErr w:type="spellStart"/>
            <w:r>
              <w:rPr>
                <w:b/>
                <w:bCs/>
                <w:sz w:val="20"/>
                <w:szCs w:val="20"/>
              </w:rPr>
              <w:t>publishd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on 2005. Please use the same font for all references. For </w:t>
            </w:r>
            <w:proofErr w:type="gramStart"/>
            <w:r>
              <w:rPr>
                <w:b/>
                <w:bCs/>
                <w:sz w:val="20"/>
                <w:szCs w:val="20"/>
              </w:rPr>
              <w:t>example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this references using </w:t>
            </w:r>
            <w:proofErr w:type="spellStart"/>
            <w:r>
              <w:rPr>
                <w:b/>
                <w:bCs/>
                <w:sz w:val="20"/>
                <w:szCs w:val="20"/>
              </w:rPr>
              <w:t>arial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United Nations Population Fund (UNFPA). (2022a, December 21). Strengthening resilience for s</w:t>
            </w:r>
            <w:r>
              <w:rPr>
                <w:b/>
                <w:bCs/>
                <w:sz w:val="20"/>
                <w:szCs w:val="20"/>
              </w:rPr>
              <w:t xml:space="preserve">exual and reproductive health in West and Central Africa. </w:t>
            </w:r>
            <w:hyperlink r:id="rId8">
              <w:r>
                <w:rPr>
                  <w:b/>
                  <w:bCs/>
                  <w:color w:val="0000FF"/>
                  <w:sz w:val="20"/>
                  <w:szCs w:val="20"/>
                  <w:u w:val="single"/>
                </w:rPr>
                <w:t>https://wcaro.unfpa.org/en/publications/strengthening-resil</w:t>
              </w:r>
              <w:r>
                <w:rPr>
                  <w:b/>
                  <w:bCs/>
                  <w:color w:val="0000FF"/>
                  <w:sz w:val="20"/>
                  <w:szCs w:val="20"/>
                  <w:u w:val="single"/>
                </w:rPr>
                <w:t>ience-sexual-and-reproductive-health-west-and-central-africa</w:t>
              </w:r>
            </w:hyperlink>
          </w:p>
          <w:p w:rsidR="000713F9" w:rsidRDefault="000713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0713F9" w:rsidRDefault="001E08B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issue with fonts was addressed.</w:t>
            </w:r>
          </w:p>
        </w:tc>
      </w:tr>
      <w:tr w:rsidR="000713F9">
        <w:trPr>
          <w:trHeight w:val="386"/>
        </w:trPr>
        <w:tc>
          <w:tcPr>
            <w:tcW w:w="5351" w:type="dxa"/>
          </w:tcPr>
          <w:p w:rsidR="000713F9" w:rsidRDefault="001E08BE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0713F9" w:rsidRDefault="000713F9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0713F9" w:rsidRDefault="001E08B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0713F9" w:rsidRDefault="001E08B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correction needed.</w:t>
            </w:r>
          </w:p>
        </w:tc>
      </w:tr>
      <w:tr w:rsidR="000713F9">
        <w:trPr>
          <w:trHeight w:val="1178"/>
        </w:trPr>
        <w:tc>
          <w:tcPr>
            <w:tcW w:w="5351" w:type="dxa"/>
          </w:tcPr>
          <w:p w:rsidR="000713F9" w:rsidRDefault="001E08B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0713F9" w:rsidRDefault="000713F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0713F9" w:rsidRDefault="000713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0713F9" w:rsidRDefault="000713F9">
            <w:pPr>
              <w:rPr>
                <w:sz w:val="20"/>
                <w:szCs w:val="20"/>
              </w:rPr>
            </w:pPr>
          </w:p>
        </w:tc>
      </w:tr>
    </w:tbl>
    <w:p w:rsidR="000713F9" w:rsidRDefault="000713F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0713F9" w:rsidRDefault="000713F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1" w:name="_heading=h.rnk0g744oj7a" w:colFirst="0" w:colLast="0"/>
      <w:bookmarkEnd w:id="1"/>
    </w:p>
    <w:p w:rsidR="00566626" w:rsidRDefault="0056662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566626" w:rsidRDefault="0056662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566626" w:rsidRDefault="0056662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566626" w:rsidRDefault="0056662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2" w:name="_GoBack"/>
      <w:bookmarkEnd w:id="2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0713F9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13F9" w:rsidRDefault="001E08BE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lastRenderedPageBreak/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0713F9" w:rsidRDefault="000713F9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0713F9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13F9" w:rsidRDefault="000713F9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713F9" w:rsidRDefault="001E08BE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:rsidR="000713F9" w:rsidRDefault="001E08BE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0713F9" w:rsidRDefault="000713F9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0713F9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13F9" w:rsidRDefault="001E08BE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0713F9" w:rsidRDefault="000713F9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13F9" w:rsidRDefault="001E08BE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0713F9" w:rsidRDefault="000713F9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:rsidR="000713F9" w:rsidRDefault="001E08BE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 comment from Reviewer</w:t>
            </w:r>
          </w:p>
          <w:p w:rsidR="000713F9" w:rsidRDefault="000713F9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0713F9" w:rsidRDefault="000713F9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0713F9" w:rsidRDefault="000713F9"/>
    <w:p w:rsidR="000713F9" w:rsidRDefault="000713F9"/>
    <w:p w:rsidR="000713F9" w:rsidRDefault="000713F9">
      <w:pPr>
        <w:rPr>
          <w:u w:val="single"/>
        </w:rPr>
      </w:pPr>
    </w:p>
    <w:p w:rsidR="000713F9" w:rsidRDefault="000713F9"/>
    <w:p w:rsidR="000713F9" w:rsidRDefault="000713F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sectPr w:rsidR="000713F9">
      <w:headerReference w:type="default" r:id="rId9"/>
      <w:footerReference w:type="default" r:id="rId10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E08BE" w:rsidRDefault="001E08BE">
      <w:r>
        <w:separator/>
      </w:r>
    </w:p>
  </w:endnote>
  <w:endnote w:type="continuationSeparator" w:id="0">
    <w:p w:rsidR="001E08BE" w:rsidRDefault="001E08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C3B58B08-1095-497A-9F81-1D2325119A50}"/>
    <w:embedBold r:id="rId2" w:fontKey="{26FB0567-535F-4813-BDD3-BF4122ED1876}"/>
  </w:font>
  <w:font w:name="Arimo">
    <w:charset w:val="00"/>
    <w:family w:val="auto"/>
    <w:pitch w:val="default"/>
    <w:embedBold r:id="rId3" w:fontKey="{37B11134-7E9D-44C3-9324-ACBC73E1F38F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4" w:fontKey="{90D0D7F8-AC80-4CDC-903E-775F1142CF72}"/>
    <w:embedBold r:id="rId5" w:fontKey="{99A4D878-BED3-4090-A603-0D066D2EE737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  <w:embedRegular r:id="rId6" w:fontKey="{2798A9EE-9C26-429A-A2E0-0A50664969C1}"/>
    <w:embedBold r:id="rId7" w:fontKey="{91F772C4-81A3-4AA9-B560-3929DB9B281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38028B5F-7BBD-4E72-8B08-DF64FA4C3E4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B9E90704-4227-4916-B28A-7FD70D7BC38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10" w:fontKey="{7469FC0D-C8D6-4869-9AAA-3CA955AAB85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DCCB0865-EB45-4AEC-A1E9-A3350D2F336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713F9" w:rsidRDefault="001E08BE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E08BE" w:rsidRDefault="001E08BE">
      <w:r>
        <w:separator/>
      </w:r>
    </w:p>
  </w:footnote>
  <w:footnote w:type="continuationSeparator" w:id="0">
    <w:p w:rsidR="001E08BE" w:rsidRDefault="001E08B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713F9" w:rsidRDefault="000713F9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0713F9" w:rsidRDefault="001E08BE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13F9"/>
    <w:rsid w:val="000713F9"/>
    <w:rsid w:val="001E08BE"/>
    <w:rsid w:val="005666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493FBF"/>
  <w15:docId w15:val="{13B3AEF2-E2DB-472A-9087-8AA05B2AFA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caro.unfpa.org/en/publications/strengthening-resilience-sexual-and-reproductive-health-west-and-central-africa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journalajmpcp.com/index.php/AJMPCP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j2nBHKImr/E4zxJiCu1RWkO6anw==">CgMxLjAyDmgueHA3dzNtNThjM3drMg5oLnJuazBnNzQ0b2o3YTgAciExUmdDTXlpTXFfbDFKS3ZzTG9OOUIxcXNiWlFPdjVVMS0=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538</Words>
  <Characters>3068</Characters>
  <Application>Microsoft Office Word</Application>
  <DocSecurity>0</DocSecurity>
  <Lines>25</Lines>
  <Paragraphs>7</Paragraphs>
  <ScaleCrop>false</ScaleCrop>
  <Company/>
  <LinksUpToDate>false</LinksUpToDate>
  <CharactersWithSpaces>3599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2</cp:revision>
  <dcterms:created xsi:type="dcterms:W3CDTF">2025-12-15T03:43:00Z</dcterms:created>
  <dcterms:modified xsi:type="dcterms:W3CDTF">2025-12-24T13:34:00Z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84b032a1-48e8-4416-b3b0-e6246fc04385</vt:lpwstr>
  </property>
</Properties>
</file>