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CA5536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</w:tr>
      <w:tr w:rsidR="00CA5536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A5536" w:rsidRDefault="002D0FE0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hyperlink r:id="rId7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Asian Journal of Dental Sciences </w:t>
              </w:r>
            </w:hyperlink>
            <w:r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CA5536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A5536" w:rsidRDefault="002D0FE0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Ms_AJDS_150154</w:t>
            </w:r>
          </w:p>
        </w:tc>
      </w:tr>
      <w:tr w:rsidR="00CA5536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A5536" w:rsidRDefault="002D0FE0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 xml:space="preserve">Lock and Glide: A Novel Technique for </w:t>
            </w:r>
            <w:proofErr w:type="spellStart"/>
            <w:r>
              <w:rPr>
                <w:b/>
                <w:bCs/>
                <w:sz w:val="20"/>
                <w:szCs w:val="20"/>
              </w:rPr>
              <w:t>Lipswitch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Vestibuloplasty</w:t>
            </w:r>
            <w:proofErr w:type="spellEnd"/>
          </w:p>
        </w:tc>
      </w:tr>
      <w:tr w:rsidR="00CA5536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A5536" w:rsidRDefault="002D0FE0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</w:pPr>
            <w:r>
              <w:rPr>
                <w:b/>
                <w:bCs/>
                <w:sz w:val="20"/>
                <w:szCs w:val="20"/>
              </w:rPr>
              <w:t>Case report</w:t>
            </w:r>
          </w:p>
        </w:tc>
      </w:tr>
    </w:tbl>
    <w:p w:rsidR="00CA5536" w:rsidRDefault="00CA5536">
      <w:pPr>
        <w:rPr>
          <w:sz w:val="20"/>
          <w:szCs w:val="20"/>
        </w:rPr>
      </w:pPr>
      <w:bookmarkStart w:id="0" w:name="_Hlk170903434"/>
    </w:p>
    <w:tbl>
      <w:tblPr>
        <w:tblW w:w="2092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2"/>
        <w:gridCol w:w="9255"/>
        <w:gridCol w:w="6373"/>
      </w:tblGrid>
      <w:tr w:rsidR="00CA5536">
        <w:trPr>
          <w:trHeight w:val="447"/>
        </w:trPr>
        <w:tc>
          <w:tcPr>
            <w:tcW w:w="209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CA5536">
        <w:trPr>
          <w:trHeight w:val="9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  <w:p w:rsidR="00CA5536" w:rsidRDefault="002D0FE0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spacing w:after="160" w:line="256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CA5536">
        <w:trPr>
          <w:trHeight w:val="110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</w:tr>
      <w:tr w:rsidR="00CA5536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:rsidR="00CA5536" w:rsidRDefault="002D0FE0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Needs </w:t>
            </w:r>
            <w:r>
              <w:rPr>
                <w:b/>
                <w:bCs/>
                <w:sz w:val="20"/>
                <w:szCs w:val="20"/>
              </w:rPr>
              <w:t>Modification</w:t>
            </w:r>
          </w:p>
          <w:p w:rsidR="00CA5536" w:rsidRDefault="002D0FE0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Include that it is a case report in the title.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</w:pPr>
            <w:proofErr w:type="spellStart"/>
            <w:r>
              <w:rPr>
                <w:rFonts w:ascii="Times New Roman" w:hAnsi="Times New Roman"/>
                <w:color w:val="111111"/>
                <w:sz w:val="20"/>
                <w:szCs w:val="20"/>
              </w:rPr>
              <w:t>Lipswitch</w:t>
            </w:r>
            <w:proofErr w:type="spellEnd"/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11111"/>
                <w:sz w:val="20"/>
                <w:szCs w:val="20"/>
              </w:rPr>
              <w:t>Vestibuloplasty</w:t>
            </w:r>
            <w:proofErr w:type="spellEnd"/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Using the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‘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Lock &amp; Glide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’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Technique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 Case Report</w:t>
            </w:r>
          </w:p>
        </w:tc>
      </w:tr>
      <w:tr w:rsidR="00CA5536">
        <w:trPr>
          <w:trHeight w:val="110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 xml:space="preserve">Is the abstract of the article comprehensive? Do you suggest the addition (or deletion) of some points in this </w:t>
            </w:r>
            <w:r>
              <w:rPr>
                <w:rFonts w:ascii="Times New Roman" w:hAnsi="Times New Roman"/>
                <w:lang w:val="en-US"/>
              </w:rPr>
              <w:t>section? Please write your suggestions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CA5536"/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</w:tr>
      <w:tr w:rsidR="00CA5536">
        <w:trPr>
          <w:trHeight w:val="544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</w:tr>
      <w:tr w:rsidR="00CA5536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ListParagraph"/>
              <w:ind w:left="0"/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CA5536"/>
        </w:tc>
      </w:tr>
      <w:tr w:rsidR="00CA5536">
        <w:trPr>
          <w:trHeight w:val="66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ind w:left="360"/>
              <w:jc w:val="left"/>
            </w:pPr>
            <w:proofErr w:type="spellStart"/>
            <w:r>
              <w:rPr>
                <w:rFonts w:ascii="Times New Roman" w:hAnsi="Times New Roman"/>
                <w:lang w:val="en-US"/>
              </w:rPr>
              <w:t>oIs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the language/English quality of the article suitable for scholarly communications?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roofErr w:type="spellStart"/>
            <w:r>
              <w:rPr>
                <w:sz w:val="20"/>
                <w:szCs w:val="20"/>
              </w:rPr>
              <w:t>Grammer</w:t>
            </w:r>
            <w:proofErr w:type="spellEnd"/>
            <w:r>
              <w:rPr>
                <w:sz w:val="20"/>
                <w:szCs w:val="20"/>
              </w:rPr>
              <w:t xml:space="preserve"> check needed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r>
              <w:rPr>
                <w:sz w:val="20"/>
                <w:szCs w:val="20"/>
              </w:rPr>
              <w:t>Grammatical errors have been corrected</w:t>
            </w:r>
          </w:p>
        </w:tc>
      </w:tr>
      <w:tr w:rsidR="00CA5536">
        <w:trPr>
          <w:trHeight w:val="275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rationale for using pterygium</w:t>
            </w:r>
            <w:r>
              <w:rPr>
                <w:rFonts w:ascii="Arial Unicode MS" w:hAnsi="Arial Unicode MS"/>
                <w:sz w:val="20"/>
                <w:szCs w:val="20"/>
              </w:rPr>
              <w:sym w:font="Arial Unicode MS" w:char="001E"/>
            </w:r>
            <w:r>
              <w:rPr>
                <w:sz w:val="20"/>
                <w:szCs w:val="20"/>
              </w:rPr>
              <w:t>style sutures needs stronger justification, ideally with comparison to existing periodontal anchorage methods.</w:t>
            </w:r>
          </w:p>
          <w:p w:rsidR="00CA5536" w:rsidRDefault="002D0FE0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Baseline assessment should include objective measures such as </w:t>
            </w:r>
            <w:r>
              <w:rPr>
                <w:sz w:val="20"/>
                <w:szCs w:val="20"/>
              </w:rPr>
              <w:t>plaque/gingival indices, keratinized tissue width, or standardized photographs.</w:t>
            </w:r>
          </w:p>
          <w:p w:rsidR="00CA5536" w:rsidRDefault="002D0FE0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Key procedural details—suture material, needle type, and flap thickness—are missing and are necessary for reproducibility.</w:t>
            </w:r>
          </w:p>
          <w:p w:rsidR="00CA5536" w:rsidRDefault="002D0FE0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Patient</w:t>
            </w:r>
            <w:r>
              <w:rPr>
                <w:rFonts w:ascii="Arial Unicode MS" w:hAnsi="Arial Unicode MS"/>
                <w:sz w:val="20"/>
                <w:szCs w:val="20"/>
              </w:rPr>
              <w:sym w:font="Arial Unicode MS" w:char="001E"/>
            </w:r>
            <w:r>
              <w:rPr>
                <w:sz w:val="20"/>
                <w:szCs w:val="20"/>
              </w:rPr>
              <w:t xml:space="preserve">reported outcomes are mentioned but not </w:t>
            </w:r>
            <w:r>
              <w:rPr>
                <w:sz w:val="20"/>
                <w:szCs w:val="20"/>
              </w:rPr>
              <w:t>evaluated with validated assessment tools, weakening the conclusions.</w:t>
            </w:r>
          </w:p>
          <w:p w:rsidR="00CA5536" w:rsidRDefault="002D0FE0">
            <w:pPr>
              <w:pStyle w:val="NormalWeb"/>
              <w:numPr>
                <w:ilvl w:val="0"/>
                <w:numId w:val="1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Conclusions are too broad for a single case report; the discussion should emphasize the preliminary nature of the findings and the need for controlled studies.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rPr>
                <w:rFonts w:eastAsia="Times New Roman" w:cs="Times New Roman"/>
                <w:color w:val="322D29"/>
                <w:sz w:val="20"/>
                <w:szCs w:val="20"/>
                <w:u w:color="322D29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color w:val="322D29"/>
                <w:sz w:val="20"/>
                <w:szCs w:val="20"/>
                <w:u w:color="322D29"/>
              </w:rPr>
              <w:t xml:space="preserve">Conventional anchorage methods in </w:t>
            </w:r>
            <w:proofErr w:type="spellStart"/>
            <w:r>
              <w:rPr>
                <w:color w:val="322D29"/>
                <w:sz w:val="20"/>
                <w:szCs w:val="20"/>
                <w:u w:color="322D29"/>
              </w:rPr>
              <w:t>vestibuloplasty</w:t>
            </w:r>
            <w:proofErr w:type="spellEnd"/>
            <w:r>
              <w:rPr>
                <w:color w:val="322D29"/>
                <w:sz w:val="20"/>
                <w:szCs w:val="20"/>
                <w:u w:color="322D29"/>
              </w:rPr>
              <w:t>, including periosteal fixation, composite button sutures, and transcutaneous sutures, primarily provi</w:t>
            </w:r>
            <w:r>
              <w:rPr>
                <w:color w:val="322D29"/>
                <w:sz w:val="20"/>
                <w:szCs w:val="20"/>
                <w:u w:color="322D29"/>
              </w:rPr>
              <w:t>de vertical stabilization but may not effectively resist the</w:t>
            </w:r>
            <w:r>
              <w:rPr>
                <w:color w:val="322D29"/>
                <w:sz w:val="20"/>
                <w:szCs w:val="20"/>
                <w:u w:color="322D29"/>
                <w:lang w:val="fr-FR"/>
              </w:rPr>
              <w:t xml:space="preserve"> </w:t>
            </w:r>
            <w:proofErr w:type="spellStart"/>
            <w:r>
              <w:rPr>
                <w:color w:val="322D29"/>
                <w:sz w:val="20"/>
                <w:szCs w:val="20"/>
                <w:u w:color="322D29"/>
                <w:lang w:val="fr-FR"/>
              </w:rPr>
              <w:t>multidirectional</w:t>
            </w:r>
            <w:proofErr w:type="spellEnd"/>
            <w:r>
              <w:rPr>
                <w:color w:val="322D29"/>
                <w:sz w:val="20"/>
                <w:szCs w:val="20"/>
                <w:u w:color="322D29"/>
                <w:lang w:val="fr-FR"/>
              </w:rPr>
              <w:t xml:space="preserve"> forces </w:t>
            </w:r>
            <w:r>
              <w:rPr>
                <w:color w:val="322D29"/>
                <w:sz w:val="20"/>
                <w:szCs w:val="20"/>
                <w:u w:color="322D29"/>
              </w:rPr>
              <w:t xml:space="preserve">exerted by the </w:t>
            </w:r>
            <w:r>
              <w:rPr>
                <w:color w:val="322D29"/>
                <w:sz w:val="20"/>
                <w:szCs w:val="20"/>
                <w:u w:color="322D29"/>
                <w:lang w:val="pt-PT"/>
              </w:rPr>
              <w:t>mentalis muscle.</w:t>
            </w:r>
            <w:r>
              <w:rPr>
                <w:color w:val="322D29"/>
                <w:sz w:val="20"/>
                <w:szCs w:val="20"/>
                <w:u w:color="322D29"/>
              </w:rPr>
              <w:t xml:space="preserve"> In contrast, pterygium-inspired sutures, adapted from ophthalmic surgery, offer enhanced tissue anchorage by evenly distributing tensio</w:t>
            </w:r>
            <w:r>
              <w:rPr>
                <w:color w:val="322D29"/>
                <w:sz w:val="20"/>
                <w:szCs w:val="20"/>
                <w:u w:color="322D29"/>
              </w:rPr>
              <w:t>n over a wide area, thereby enhancing resistance to relapse.</w:t>
            </w:r>
          </w:p>
          <w:p w:rsidR="00CA5536" w:rsidRDefault="002D0FE0">
            <w:pPr>
              <w:rPr>
                <w:rFonts w:eastAsia="Times New Roman" w:cs="Times New Roman"/>
                <w:sz w:val="20"/>
                <w:szCs w:val="20"/>
                <w:u w:color="322D29"/>
              </w:rPr>
            </w:pPr>
            <w:r>
              <w:rPr>
                <w:color w:val="322D29"/>
                <w:sz w:val="20"/>
                <w:szCs w:val="20"/>
                <w:u w:color="322D29"/>
              </w:rPr>
              <w:t xml:space="preserve">3. Simple interrupted sutures: These </w:t>
            </w:r>
            <w:r>
              <w:rPr>
                <w:sz w:val="20"/>
                <w:szCs w:val="20"/>
                <w:u w:color="322D29"/>
              </w:rPr>
              <w:t>sutures were placed using 4-0 resorbable polyglactin (</w:t>
            </w:r>
            <w:proofErr w:type="spellStart"/>
            <w:r>
              <w:rPr>
                <w:sz w:val="20"/>
                <w:szCs w:val="20"/>
                <w:u w:color="322D29"/>
              </w:rPr>
              <w:t>Vicryl</w:t>
            </w:r>
            <w:proofErr w:type="spellEnd"/>
            <w:r>
              <w:rPr>
                <w:sz w:val="20"/>
                <w:szCs w:val="20"/>
                <w:u w:color="322D29"/>
              </w:rPr>
              <w:t>) sutures with a reverse-cutting needle.</w:t>
            </w:r>
          </w:p>
          <w:p w:rsidR="00CA5536" w:rsidRDefault="002D0FE0">
            <w:r>
              <w:rPr>
                <w:sz w:val="20"/>
                <w:szCs w:val="20"/>
                <w:u w:color="322D29"/>
              </w:rPr>
              <w:t>Interlocking and pterygium-inspired sutures: These sutures were placed using 4-0 non-resorbable silk sutures on a round-bodied needle.</w:t>
            </w:r>
          </w:p>
        </w:tc>
      </w:tr>
    </w:tbl>
    <w:p w:rsidR="00CA5536" w:rsidRDefault="00CA5536">
      <w:pPr>
        <w:widowControl w:val="0"/>
        <w:rPr>
          <w:sz w:val="20"/>
          <w:szCs w:val="20"/>
        </w:rPr>
      </w:pPr>
      <w:bookmarkStart w:id="1" w:name="_Hlk171324449"/>
    </w:p>
    <w:p w:rsidR="00CA5536" w:rsidRDefault="00CA5536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:rsidR="00CA5536" w:rsidRDefault="00CA5536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  <w:bookmarkStart w:id="2" w:name="_GoBack"/>
      <w:bookmarkEnd w:id="2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CA5536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shd w:val="clear" w:color="auto" w:fill="FFFF00"/>
              </w:rPr>
              <w:t>PART  2: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</w:tr>
      <w:tr w:rsidR="00CA5536">
        <w:trPr>
          <w:trHeight w:val="8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CA5536"/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pStyle w:val="Heading2"/>
              <w:jc w:val="left"/>
            </w:pPr>
            <w:r>
              <w:rPr>
                <w:rFonts w:ascii="Times New Roman" w:hAnsi="Times New Roman"/>
                <w:lang w:val="en-US"/>
              </w:rPr>
              <w:t>Reviewer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en-US"/>
              </w:rPr>
              <w:t>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536" w:rsidRDefault="002D0FE0">
            <w:pPr>
              <w:spacing w:after="160" w:line="256" w:lineRule="auto"/>
              <w:rPr>
                <w:kern w:val="2"/>
                <w:sz w:val="20"/>
                <w:szCs w:val="20"/>
              </w:rPr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:rsidR="00CA5536" w:rsidRDefault="002D0FE0">
            <w:pPr>
              <w:pStyle w:val="Heading2"/>
              <w:jc w:val="left"/>
            </w:pPr>
            <w:r>
              <w:rPr>
                <w:rFonts w:ascii="Times New Roman" w:hAnsi="Times New Roman"/>
                <w:b w:val="0"/>
                <w:bCs w:val="0"/>
                <w:i/>
                <w:iCs/>
                <w:lang w:val="en-US"/>
              </w:rPr>
              <w:t>)</w:t>
            </w:r>
          </w:p>
        </w:tc>
      </w:tr>
      <w:tr w:rsidR="00CA5536">
        <w:trPr>
          <w:trHeight w:val="132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NormalWeb"/>
              <w:spacing w:before="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Give statement that the patient has consented for publication</w:t>
            </w:r>
          </w:p>
          <w:p w:rsidR="00CA5536" w:rsidRDefault="00CA5536">
            <w:pPr>
              <w:pStyle w:val="NormalWeb"/>
              <w:spacing w:before="0" w:after="0"/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5536" w:rsidRDefault="002D0FE0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740"/>
                <w:tab w:val="left" w:pos="6760"/>
                <w:tab w:val="left" w:pos="6780"/>
                <w:tab w:val="left" w:pos="6800"/>
                <w:tab w:val="left" w:pos="6820"/>
                <w:tab w:val="left" w:pos="6840"/>
                <w:tab w:val="left" w:pos="6860"/>
                <w:tab w:val="left" w:pos="6880"/>
                <w:tab w:val="left" w:pos="6900"/>
                <w:tab w:val="left" w:pos="6920"/>
                <w:tab w:val="left" w:pos="6940"/>
                <w:tab w:val="left" w:pos="6960"/>
                <w:tab w:val="left" w:pos="6980"/>
                <w:tab w:val="left" w:pos="7000"/>
                <w:tab w:val="left" w:pos="7020"/>
                <w:tab w:val="left" w:pos="7040"/>
                <w:tab w:val="left" w:pos="7060"/>
                <w:tab w:val="left" w:pos="7080"/>
                <w:tab w:val="left" w:pos="7100"/>
                <w:tab w:val="left" w:pos="7120"/>
                <w:tab w:val="left" w:pos="7140"/>
                <w:tab w:val="left" w:pos="7160"/>
                <w:tab w:val="left" w:pos="7180"/>
                <w:tab w:val="left" w:pos="7200"/>
                <w:tab w:val="left" w:pos="7220"/>
                <w:tab w:val="left" w:pos="7240"/>
                <w:tab w:val="left" w:pos="7260"/>
                <w:tab w:val="left" w:pos="7280"/>
                <w:tab w:val="left" w:pos="7300"/>
                <w:tab w:val="left" w:pos="7320"/>
                <w:tab w:val="left" w:pos="7340"/>
                <w:tab w:val="left" w:pos="7360"/>
                <w:tab w:val="left" w:pos="7380"/>
                <w:tab w:val="left" w:pos="7400"/>
                <w:tab w:val="left" w:pos="7420"/>
                <w:tab w:val="left" w:pos="7440"/>
                <w:tab w:val="left" w:pos="7460"/>
                <w:tab w:val="left" w:pos="7480"/>
                <w:tab w:val="left" w:pos="7500"/>
                <w:tab w:val="left" w:pos="7520"/>
                <w:tab w:val="left" w:pos="7540"/>
                <w:tab w:val="left" w:pos="7560"/>
                <w:tab w:val="left" w:pos="7580"/>
                <w:tab w:val="left" w:pos="7600"/>
                <w:tab w:val="left" w:pos="7620"/>
                <w:tab w:val="left" w:pos="7640"/>
                <w:tab w:val="left" w:pos="7660"/>
                <w:tab w:val="left" w:pos="7680"/>
                <w:tab w:val="left" w:pos="7700"/>
                <w:tab w:val="left" w:pos="7720"/>
                <w:tab w:val="left" w:pos="7740"/>
                <w:tab w:val="left" w:pos="7760"/>
              </w:tabs>
              <w:suppressAutoHyphens/>
              <w:spacing w:before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color w:val="322D29"/>
                <w:sz w:val="20"/>
                <w:szCs w:val="20"/>
                <w:u w:color="322D29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Written informed consent was obtained from the patient prior to surgery and for the publication of this case report and accompanying images.</w:t>
            </w:r>
          </w:p>
          <w:p w:rsidR="00CA5536" w:rsidRDefault="00CA5536">
            <w:pPr>
              <w:rPr>
                <w:sz w:val="20"/>
                <w:szCs w:val="20"/>
              </w:rPr>
            </w:pPr>
          </w:p>
          <w:p w:rsidR="00CA5536" w:rsidRDefault="00CA5536"/>
        </w:tc>
      </w:tr>
      <w:bookmarkEnd w:id="0"/>
      <w:bookmarkEnd w:id="1"/>
    </w:tbl>
    <w:p w:rsidR="00CA5536" w:rsidRDefault="00CA5536">
      <w:pPr>
        <w:pStyle w:val="BodyText"/>
        <w:widowControl w:val="0"/>
      </w:pPr>
    </w:p>
    <w:sectPr w:rsidR="00CA5536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FE0" w:rsidRDefault="002D0FE0">
      <w:r>
        <w:separator/>
      </w:r>
    </w:p>
  </w:endnote>
  <w:endnote w:type="continuationSeparator" w:id="0">
    <w:p w:rsidR="002D0FE0" w:rsidRDefault="002D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536" w:rsidRDefault="002D0FE0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</w:r>
    <w:r>
      <w:rPr>
        <w:sz w:val="16"/>
        <w:szCs w:val="16"/>
      </w:rPr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FE0" w:rsidRDefault="002D0FE0">
      <w:r>
        <w:separator/>
      </w:r>
    </w:p>
  </w:footnote>
  <w:footnote w:type="continuationSeparator" w:id="0">
    <w:p w:rsidR="002D0FE0" w:rsidRDefault="002D0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5536" w:rsidRDefault="00CA5536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CA5536" w:rsidRDefault="002D0FE0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0905"/>
    <w:multiLevelType w:val="hybridMultilevel"/>
    <w:tmpl w:val="4B06982E"/>
    <w:lvl w:ilvl="0" w:tplc="A3B8328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E8B1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D68EE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6801C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8023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AECDBE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3E4A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30EE5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D83AF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536"/>
    <w:rsid w:val="002D0FE0"/>
    <w:rsid w:val="00B70562"/>
    <w:rsid w:val="00CA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4EFBA"/>
  <w15:docId w15:val="{99CF9932-2DB3-44E2-9EDF-EB07B17F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index.php/AJ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2025-12-24T07:00:00Z</dcterms:created>
  <dcterms:modified xsi:type="dcterms:W3CDTF">2025-12-24T07:01:00Z</dcterms:modified>
</cp:coreProperties>
</file>