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2B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B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A5F4D" w:rsidRPr="00E52B56" w:rsidRDefault="00AA5F4D" w:rsidP="00AA5F4D">
      <w:pPr>
        <w:rPr>
          <w:rFonts w:ascii="Arial" w:hAnsi="Arial" w:cs="Arial"/>
          <w:sz w:val="20"/>
          <w:szCs w:val="20"/>
        </w:rPr>
      </w:pPr>
      <w:r w:rsidRPr="00E52B56">
        <w:rPr>
          <w:rFonts w:ascii="Arial" w:hAnsi="Arial" w:cs="Arial"/>
          <w:sz w:val="20"/>
          <w:szCs w:val="20"/>
        </w:rPr>
        <w:t>Pulmonary embolism (PE) and acute aortic dissection (AAD) are two life</w:t>
      </w:r>
      <w:r w:rsidRPr="00E52B56">
        <w:rPr>
          <w:rFonts w:ascii="Cambria Math" w:hAnsi="Cambria Math" w:cs="Cambria Math"/>
          <w:sz w:val="20"/>
          <w:szCs w:val="20"/>
        </w:rPr>
        <w:t>‑</w:t>
      </w:r>
      <w:r w:rsidRPr="00E52B56">
        <w:rPr>
          <w:rFonts w:ascii="Arial" w:hAnsi="Arial" w:cs="Arial"/>
          <w:sz w:val="20"/>
          <w:szCs w:val="20"/>
        </w:rPr>
        <w:t>threatening cardiovascular emergencies. Their coexistence is exceptionally rare and presents a diagnostic challenge. This manuscript presents an unusual clinical sequence, pulmonary embolism followed by acute aortic dissection. This case serves as a valuable guide for clinicians in managing patients. Also, to detect new symptoms, which is important for a better outcome.</w:t>
      </w:r>
    </w:p>
    <w:p w:rsidR="009344FF" w:rsidRPr="00E52B56" w:rsidRDefault="00AA5F4D" w:rsidP="00AA5F4D">
      <w:pPr>
        <w:rPr>
          <w:rFonts w:ascii="Arial" w:hAnsi="Arial" w:cs="Arial"/>
          <w:sz w:val="20"/>
          <w:szCs w:val="20"/>
        </w:rPr>
      </w:pPr>
      <w:r w:rsidRPr="00E52B56">
        <w:rPr>
          <w:rFonts w:ascii="Arial" w:hAnsi="Arial" w:cs="Arial"/>
          <w:sz w:val="20"/>
          <w:szCs w:val="20"/>
        </w:rPr>
        <w:t>With due consideration of the reviewer's comments and the revisions made, the decision is Accepted.</w:t>
      </w:r>
    </w:p>
    <w:p w:rsidR="000F2F46" w:rsidRPr="00E52B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B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0859" w:rsidRPr="00E52B56" w:rsidRDefault="0080695E" w:rsidP="009344FF">
      <w:pPr>
        <w:rPr>
          <w:rFonts w:ascii="Arial" w:hAnsi="Arial" w:cs="Arial"/>
          <w:sz w:val="20"/>
          <w:szCs w:val="20"/>
        </w:rPr>
      </w:pPr>
      <w:r w:rsidRPr="00E52B5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52B56">
        <w:rPr>
          <w:rFonts w:ascii="Arial" w:hAnsi="Arial" w:cs="Arial"/>
          <w:sz w:val="20"/>
          <w:szCs w:val="20"/>
        </w:rPr>
        <w:t>Abha</w:t>
      </w:r>
      <w:proofErr w:type="spellEnd"/>
      <w:r w:rsidRPr="00E52B56">
        <w:rPr>
          <w:rFonts w:ascii="Arial" w:hAnsi="Arial" w:cs="Arial"/>
          <w:sz w:val="20"/>
          <w:szCs w:val="20"/>
        </w:rPr>
        <w:t xml:space="preserve"> Chandra, Integral University, India</w:t>
      </w:r>
      <w:bookmarkStart w:id="0" w:name="_GoBack"/>
      <w:bookmarkEnd w:id="0"/>
    </w:p>
    <w:sectPr w:rsidR="00FB0859" w:rsidRPr="00E52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0MDY0NDazMDc3MjFR0lEKTi0uzszPAykwrAUATy/OliwAAAA="/>
  </w:docVars>
  <w:rsids>
    <w:rsidRoot w:val="00A72896"/>
    <w:rsid w:val="00112229"/>
    <w:rsid w:val="00140485"/>
    <w:rsid w:val="002C0B2C"/>
    <w:rsid w:val="0059625E"/>
    <w:rsid w:val="0080695E"/>
    <w:rsid w:val="008A3B80"/>
    <w:rsid w:val="009344FF"/>
    <w:rsid w:val="009F328F"/>
    <w:rsid w:val="00A72896"/>
    <w:rsid w:val="00AA5F4D"/>
    <w:rsid w:val="00DC7D1E"/>
    <w:rsid w:val="00E52B56"/>
    <w:rsid w:val="00E73D0D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A8EC"/>
  <w15:docId w15:val="{C5C40830-DE63-4E95-A579-8E9D39E2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2025-12-13T12:41:00Z</dcterms:modified>
</cp:coreProperties>
</file>