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37618C" w14:textId="55F14B94" w:rsidR="009E0B7D" w:rsidRPr="00F9224C" w:rsidRDefault="008E0109" w:rsidP="00273559">
      <w:pPr>
        <w:spacing w:line="360" w:lineRule="auto"/>
        <w:jc w:val="both"/>
        <w:rPr>
          <w:b/>
          <w:sz w:val="32"/>
          <w:szCs w:val="32"/>
        </w:rPr>
      </w:pPr>
      <w:r w:rsidRPr="00F9224C">
        <w:rPr>
          <w:b/>
          <w:sz w:val="32"/>
          <w:szCs w:val="32"/>
        </w:rPr>
        <w:t>Exploring the Long-Term Dynamics Between Economic Indicators and Suicide Rates in Bangladesh: An ARDL Approach</w:t>
      </w:r>
    </w:p>
    <w:p w14:paraId="686DC37C" w14:textId="77777777" w:rsidR="004C71F9" w:rsidRPr="00F9224C" w:rsidRDefault="004C71F9" w:rsidP="00273559">
      <w:pPr>
        <w:spacing w:line="360" w:lineRule="auto"/>
        <w:jc w:val="both"/>
        <w:rPr>
          <w:b/>
          <w:sz w:val="32"/>
          <w:szCs w:val="32"/>
        </w:rPr>
      </w:pPr>
    </w:p>
    <w:p w14:paraId="2892F839" w14:textId="76684A34" w:rsidR="00684087" w:rsidRPr="00F9224C" w:rsidRDefault="0063473D" w:rsidP="00684087">
      <w:pPr>
        <w:pStyle w:val="NormalWeb"/>
        <w:spacing w:line="360" w:lineRule="auto"/>
        <w:jc w:val="both"/>
        <w:rPr>
          <w:rFonts w:eastAsia="Calibri"/>
        </w:rPr>
      </w:pPr>
      <w:r w:rsidRPr="00F9224C">
        <w:rPr>
          <w:rFonts w:eastAsia="Calibri"/>
          <w:b/>
        </w:rPr>
        <w:t>Abstract:</w:t>
      </w:r>
      <w:r w:rsidR="0031446A" w:rsidRPr="00F9224C">
        <w:rPr>
          <w:rFonts w:eastAsia="Calibri"/>
        </w:rPr>
        <w:t xml:space="preserve"> This study examines the ongoing connection between economic variables and the suicide rate in Bangladesh using the Autoregressive Distributed Lag (ARDL) approach. Suicide rates continue to escalate in Bangladesh, and the present study seeks to examine the relationship between unemployment, Inflation, GDP, and suicide rates over the long term. The study investigates the association between unemployment, Inflation, GDP, and suicide rates from 2000 to 2021, utilizing time-series data from the Bangladesh Bureau of Statistics (BBS) and the World Bank. The ARDL framework reveals significant short-term and long-term effects, suggesting to policymakers that while unemployment, Inflation, and GDP have an influence, they do not solely account for the causes of suicide.</w:t>
      </w:r>
      <w:r w:rsidR="008A0B1E" w:rsidRPr="008A0B1E">
        <w:t xml:space="preserve"> </w:t>
      </w:r>
      <w:r w:rsidR="008A0B1E" w:rsidRPr="008A0B1E">
        <w:rPr>
          <w:rFonts w:eastAsia="Calibri"/>
          <w:highlight w:val="yellow"/>
        </w:rPr>
        <w:t>This study applies an ARDL (2,2,0,2) model to depicts the short- and long-run dynamics of the variables, with the resulting F-statistic of 9.5 indicating a strong and significant relationship between unemployment, inflation, GDP, and suicide rates.</w:t>
      </w:r>
      <w:r w:rsidR="0031446A" w:rsidRPr="00F9224C">
        <w:rPr>
          <w:rFonts w:eastAsia="Calibri"/>
        </w:rPr>
        <w:t xml:space="preserve"> The Error Correction Model (ECM) indicates that approximately 51% of the fluctuations in the suicide rate are corrected in the following period. The present investigation offers important insights for decision-makers, emphasizing the need to address economic stressors to reduce suicide rates and subsequently enhance mental well-being in low- to middle-income nations such as Bangladesh.</w:t>
      </w:r>
    </w:p>
    <w:p w14:paraId="62BDECE6" w14:textId="6CE2336A" w:rsidR="00B77B28" w:rsidRPr="00F9224C" w:rsidRDefault="0014508F" w:rsidP="00E23690">
      <w:pPr>
        <w:pStyle w:val="NormalWeb"/>
        <w:spacing w:line="360" w:lineRule="auto"/>
        <w:jc w:val="both"/>
        <w:rPr>
          <w:shd w:val="clear" w:color="auto" w:fill="FFFFFF"/>
        </w:rPr>
      </w:pPr>
      <w:r w:rsidRPr="00F9224C">
        <w:rPr>
          <w:b/>
          <w:shd w:val="clear" w:color="auto" w:fill="FFFFFF"/>
        </w:rPr>
        <w:t>K</w:t>
      </w:r>
      <w:r w:rsidR="00B77B28" w:rsidRPr="00F9224C">
        <w:rPr>
          <w:b/>
          <w:shd w:val="clear" w:color="auto" w:fill="FFFFFF"/>
        </w:rPr>
        <w:t>eywords:</w:t>
      </w:r>
      <w:r w:rsidR="00B77B28" w:rsidRPr="00F9224C">
        <w:rPr>
          <w:shd w:val="clear" w:color="auto" w:fill="FFFFFF"/>
        </w:rPr>
        <w:t xml:space="preserve"> Suicide rate, Unemployment, Inflation rate, GDP, ARDL</w:t>
      </w:r>
      <w:r w:rsidR="00C76D50" w:rsidRPr="00F9224C">
        <w:rPr>
          <w:shd w:val="clear" w:color="auto" w:fill="FFFFFF"/>
        </w:rPr>
        <w:t>, Bangladesh.</w:t>
      </w:r>
    </w:p>
    <w:p w14:paraId="746B084C" w14:textId="77777777" w:rsidR="00815C7C" w:rsidRPr="00F9224C" w:rsidRDefault="00815C7C" w:rsidP="00750E98">
      <w:pPr>
        <w:spacing w:line="360" w:lineRule="auto"/>
        <w:jc w:val="both"/>
        <w:rPr>
          <w:b/>
        </w:rPr>
      </w:pPr>
      <w:r w:rsidRPr="00F9224C">
        <w:rPr>
          <w:b/>
        </w:rPr>
        <w:t xml:space="preserve">1. </w:t>
      </w:r>
      <w:r w:rsidR="0063473D" w:rsidRPr="00F9224C">
        <w:rPr>
          <w:b/>
        </w:rPr>
        <w:t>Introduction</w:t>
      </w:r>
    </w:p>
    <w:p w14:paraId="74B43C3D" w14:textId="492A3F26" w:rsidR="00750E98" w:rsidRPr="00F9224C" w:rsidRDefault="00750E98" w:rsidP="00750E98">
      <w:pPr>
        <w:spacing w:line="360" w:lineRule="auto"/>
        <w:jc w:val="both"/>
      </w:pPr>
      <w:r w:rsidRPr="00F9224C">
        <w:t>In Bangladesh, the number of suicide incidents is increasing, and its impact extends far beyond individuals to affect families and communities. Bangladesh has made significant progress in several fields, yet it continues to overlook mental health issues. The global economy has expanded significantly; however, its benefits have not been shared equitably. Numerous individuals are still struggling with financial issues, which is leading to increased worry, anxiety, and even suicidal thoughts.</w:t>
      </w:r>
    </w:p>
    <w:p w14:paraId="4177F2AF" w14:textId="77777777" w:rsidR="00750E98" w:rsidRPr="00F9224C" w:rsidRDefault="00750E98" w:rsidP="00750E98">
      <w:pPr>
        <w:spacing w:line="360" w:lineRule="auto"/>
        <w:jc w:val="both"/>
      </w:pPr>
      <w:r w:rsidRPr="00F9224C">
        <w:t xml:space="preserve">According to the BBC News Bangla (10th September 2015), Bangladesh ranks 10th in the world in terms of suicide rate. Additionally, according to local surveys, despite a slight decrease worldwide, the suicide rate in Bangladesh remains relatively high. In 2023, an average of 56 people in Bangladesh committed suicide every day (Prothom Alo, 4th March, 2025). Therefore, </w:t>
      </w:r>
      <w:r w:rsidRPr="00F9224C">
        <w:lastRenderedPageBreak/>
        <w:t>it is critically important to understand the connection between economic conditions and suicide to effectively address this complex issue. This study underscored the interrelationship between the suicide rates in Bangladesh and significant economic factors, such as GDP, Inflation, and unemployment. In contemporary economic concepts, human capital is a key component of a country's pragmatic wealth. From an economic viewpoint, an individual suicide is a net diminution of human capital for the nation. The overall purpose of this study is to explore how changes in unemployment, Inflation, and GDP influence trends in the suicide rate over time. This study reviews the Autoregressive Distributed Lag (ARDL) model, specifically using the lag structure of (2,2,0,2), to capture both the short and long-term dynamics of these three variables under study.</w:t>
      </w:r>
    </w:p>
    <w:p w14:paraId="0B9C80C2" w14:textId="77777777" w:rsidR="005522D9" w:rsidRPr="00F9224C" w:rsidRDefault="00750E98" w:rsidP="00750E98">
      <w:pPr>
        <w:spacing w:line="360" w:lineRule="auto"/>
        <w:jc w:val="both"/>
      </w:pPr>
      <w:r w:rsidRPr="00F9224C">
        <w:t>The aforementioned ARDL estimation approach is useful for analyzing how economic conditions affect suicide rates with reasonable short- and long-term dynamic influence. The ARDL model estimates returned an F-statistic of 9.5, suggesting a strongly suspected relationship between unemployment, Inflation, and GDP and their effect on suicide rates. Of particular interest to the study, the ECM estimates suggest that 51% of disequilibrium would be corrected in the subsequent lags, which suggests a considerable long-run influence of economic conditions on rates of suicide in Bangladesh. The research is significant because it can assist in developing effective suicide prevention strategies and shape public health policies. By examining the impact of economic challenges, which are growing Inflation and unemployment, on mental well-being, policymakers are better prepared to tackle the fundamental causes of suicide and enhance mental health services.</w:t>
      </w:r>
    </w:p>
    <w:p w14:paraId="0CBF1F7D" w14:textId="19F392DF" w:rsidR="00750E98" w:rsidRDefault="00750E98" w:rsidP="00750E98">
      <w:pPr>
        <w:spacing w:line="360" w:lineRule="auto"/>
        <w:jc w:val="both"/>
      </w:pPr>
      <w:r w:rsidRPr="00F9224C">
        <w:t>The importance of this research lies in its essential role in creating effective suicide prevention plans and health policies. For example, examining the effects of economic stressors like severe unemployment and Inflation on mental well-being will enable policymakers to be fully aware of the true causes of suicide itself and the mental health services available. This study demonstrates the basic need for policymakers to develop both social support systems and alleviate economic disparity as a way to lessen suicide rates in Bangladesh. Overall, the important contribution of the research for health practitioners and policymakers is to show how shifts in economic status have an impact on public health outcomes like suicide. It aims to reveal a wider lens of mental health and economic stressors in combination with social and psychological variables to facilitate a meaningful change in relationships and an environment that is safer and healthier for all.</w:t>
      </w:r>
    </w:p>
    <w:p w14:paraId="30563C45" w14:textId="77777777" w:rsidR="008A0B1E" w:rsidRPr="00F9224C" w:rsidRDefault="008A0B1E" w:rsidP="00750E98">
      <w:pPr>
        <w:spacing w:line="360" w:lineRule="auto"/>
        <w:jc w:val="both"/>
      </w:pPr>
    </w:p>
    <w:p w14:paraId="1B27AA78" w14:textId="77777777" w:rsidR="00750E98" w:rsidRPr="00F9224C" w:rsidRDefault="00750E98" w:rsidP="00750E98">
      <w:pPr>
        <w:spacing w:line="360" w:lineRule="auto"/>
        <w:jc w:val="both"/>
      </w:pPr>
    </w:p>
    <w:p w14:paraId="64842576" w14:textId="3AD71854" w:rsidR="00750E98" w:rsidRPr="00F9224C" w:rsidRDefault="00815C7C" w:rsidP="00750E98">
      <w:pPr>
        <w:spacing w:line="360" w:lineRule="auto"/>
        <w:jc w:val="both"/>
        <w:rPr>
          <w:b/>
        </w:rPr>
      </w:pPr>
      <w:r w:rsidRPr="00F9224C">
        <w:rPr>
          <w:b/>
        </w:rPr>
        <w:lastRenderedPageBreak/>
        <w:t xml:space="preserve">2. </w:t>
      </w:r>
      <w:r w:rsidR="00750E98" w:rsidRPr="00F9224C">
        <w:rPr>
          <w:b/>
        </w:rPr>
        <w:t>Objective</w:t>
      </w:r>
    </w:p>
    <w:p w14:paraId="3C9E1E0C" w14:textId="77777777" w:rsidR="00750E98" w:rsidRPr="00F9224C" w:rsidRDefault="00750E98" w:rsidP="00750E98">
      <w:pPr>
        <w:pStyle w:val="ListParagraph"/>
        <w:numPr>
          <w:ilvl w:val="0"/>
          <w:numId w:val="22"/>
        </w:numPr>
        <w:spacing w:line="360" w:lineRule="auto"/>
        <w:jc w:val="both"/>
        <w:rPr>
          <w:rFonts w:ascii="Times New Roman" w:hAnsi="Times New Roman" w:cs="Times New Roman"/>
          <w:sz w:val="24"/>
          <w:szCs w:val="24"/>
        </w:rPr>
      </w:pPr>
      <w:r w:rsidRPr="00F9224C">
        <w:rPr>
          <w:rFonts w:ascii="Times New Roman" w:hAnsi="Times New Roman" w:cs="Times New Roman"/>
          <w:sz w:val="24"/>
          <w:szCs w:val="24"/>
        </w:rPr>
        <w:t>To examine the relationship between economic indicators (unemployment, Inflation, and GDP) and suicide rates in Bangladesh from 2000 to 2021.</w:t>
      </w:r>
    </w:p>
    <w:p w14:paraId="18F387B5" w14:textId="77777777" w:rsidR="00750E98" w:rsidRPr="00F9224C" w:rsidRDefault="00750E98" w:rsidP="00750E98">
      <w:pPr>
        <w:pStyle w:val="ListParagraph"/>
        <w:numPr>
          <w:ilvl w:val="0"/>
          <w:numId w:val="22"/>
        </w:numPr>
        <w:spacing w:line="360" w:lineRule="auto"/>
        <w:jc w:val="both"/>
        <w:rPr>
          <w:rFonts w:ascii="Times New Roman" w:hAnsi="Times New Roman" w:cs="Times New Roman"/>
          <w:sz w:val="24"/>
          <w:szCs w:val="24"/>
        </w:rPr>
      </w:pPr>
      <w:r w:rsidRPr="00F9224C">
        <w:rPr>
          <w:rFonts w:ascii="Times New Roman" w:hAnsi="Times New Roman" w:cs="Times New Roman"/>
          <w:sz w:val="24"/>
          <w:szCs w:val="24"/>
        </w:rPr>
        <w:t>To evaluate the nexus between economic conditions and suicide rates over both short and extended time frames, employing the ARDL model.</w:t>
      </w:r>
    </w:p>
    <w:p w14:paraId="51A9D9F5" w14:textId="77777777" w:rsidR="00750E98" w:rsidRPr="00F9224C" w:rsidRDefault="00750E98" w:rsidP="00750E98">
      <w:pPr>
        <w:pStyle w:val="ListParagraph"/>
        <w:numPr>
          <w:ilvl w:val="0"/>
          <w:numId w:val="22"/>
        </w:numPr>
        <w:spacing w:line="360" w:lineRule="auto"/>
        <w:jc w:val="both"/>
        <w:rPr>
          <w:rFonts w:ascii="Times New Roman" w:hAnsi="Times New Roman" w:cs="Times New Roman"/>
          <w:sz w:val="24"/>
          <w:szCs w:val="24"/>
        </w:rPr>
      </w:pPr>
      <w:r w:rsidRPr="00F9224C">
        <w:rPr>
          <w:rFonts w:ascii="Times New Roman" w:hAnsi="Times New Roman" w:cs="Times New Roman"/>
          <w:sz w:val="24"/>
          <w:szCs w:val="24"/>
        </w:rPr>
        <w:t>To investigate the speed of adjustment in suicide rates in response to economic shocks using the Error Correction Model (ECM).</w:t>
      </w:r>
    </w:p>
    <w:p w14:paraId="0CBADDAD" w14:textId="27A783CF" w:rsidR="00284B53" w:rsidRPr="00F9224C" w:rsidRDefault="00750E98" w:rsidP="00750E98">
      <w:pPr>
        <w:pStyle w:val="ListParagraph"/>
        <w:numPr>
          <w:ilvl w:val="0"/>
          <w:numId w:val="22"/>
        </w:numPr>
        <w:spacing w:line="360" w:lineRule="auto"/>
        <w:jc w:val="both"/>
      </w:pPr>
      <w:r w:rsidRPr="00F9224C">
        <w:rPr>
          <w:rFonts w:ascii="Times New Roman" w:hAnsi="Times New Roman" w:cs="Times New Roman"/>
          <w:sz w:val="24"/>
          <w:szCs w:val="24"/>
        </w:rPr>
        <w:t>To offer policy suggestions aimed at enhancing mental health and decreasing suicide rates via economic stabilization initiatives in Bangladesh</w:t>
      </w:r>
      <w:r w:rsidRPr="00F9224C">
        <w:t>.</w:t>
      </w:r>
    </w:p>
    <w:p w14:paraId="2B709119" w14:textId="22FEA9D2" w:rsidR="003D46AD" w:rsidRPr="00F9224C" w:rsidRDefault="00815C7C" w:rsidP="003D46AD">
      <w:pPr>
        <w:spacing w:line="360" w:lineRule="auto"/>
        <w:jc w:val="both"/>
      </w:pPr>
      <w:r w:rsidRPr="00F9224C">
        <w:rPr>
          <w:b/>
        </w:rPr>
        <w:t xml:space="preserve">3. </w:t>
      </w:r>
      <w:r w:rsidR="003D46AD" w:rsidRPr="00F9224C">
        <w:rPr>
          <w:b/>
        </w:rPr>
        <w:t>Literature Review</w:t>
      </w:r>
    </w:p>
    <w:p w14:paraId="62A727F5" w14:textId="3F360139" w:rsidR="003D46AD" w:rsidRPr="00F9224C" w:rsidRDefault="003D46AD" w:rsidP="003D46AD">
      <w:pPr>
        <w:spacing w:line="360" w:lineRule="auto"/>
        <w:jc w:val="both"/>
      </w:pPr>
      <w:r w:rsidRPr="00F9224C">
        <w:t xml:space="preserve">Suicide is a complex social and public health phenomenon, with foundational theories rooted in sociology and economics. Émile Durkheim (1897) was the first to conceptualize suicide as a social issue rather than merely an individual act, introducing a typology that categorized suicide into four distinct classifications. </w:t>
      </w:r>
      <w:r w:rsidR="00BF6529">
        <w:t xml:space="preserve">1. </w:t>
      </w:r>
      <w:r w:rsidRPr="00F9224C">
        <w:t>Altruistic 2. Anomic 3. Egoistic and 4. Fatalistic. According to Durkheim, these forms are influenced by the level of social integration and moral control within society. For instance, weak social ties lead to egoistic suicide, while periods of economic or societal disruption trigger anomic suicide.</w:t>
      </w:r>
    </w:p>
    <w:p w14:paraId="41B4DF0F" w14:textId="77777777" w:rsidR="003D46AD" w:rsidRPr="00F9224C" w:rsidRDefault="003D46AD" w:rsidP="003D46AD">
      <w:pPr>
        <w:spacing w:line="360" w:lineRule="auto"/>
        <w:jc w:val="both"/>
      </w:pPr>
      <w:r w:rsidRPr="00F9224C">
        <w:t>Later, Hamermesh and Soss (1974) introduced an initiatory monetary suicide framework, depicting persons as logical, optimized actors who decide to terminate their lives once their overall discounted lifetime utility reaches zero. This theory predicted that the rate of suicide increased with age as well as declined in relation to income, and Hamermesh and Soss (1974) indicated these forecasts are compatible throughout the course of time and among multiple states in the United States (US). Brainerd (2001) stated that one's remaining expectancy of life might influence the choice to die by suicide. A higher probability of survival indicates that a person possesses an extended life expectancy, while a decrease in life expectancy increases the suicide rate; this increase further reduces life expectancy, initiating a vicious cycle that leads to even higher suicide rates.</w:t>
      </w:r>
    </w:p>
    <w:p w14:paraId="52DE225B" w14:textId="77777777" w:rsidR="003D46AD" w:rsidRPr="00F9224C" w:rsidRDefault="003D46AD" w:rsidP="003D46AD">
      <w:pPr>
        <w:spacing w:line="360" w:lineRule="auto"/>
        <w:jc w:val="both"/>
      </w:pPr>
      <w:r w:rsidRPr="00F9224C">
        <w:t xml:space="preserve">The relationship between unemployment and suicide has been consistently documented across countries. Lin (2006) conducted a comprehensive study using panel data from Taiwan's 23 cities and seven other Asia-Pacific countries, identifying a positive and statistically significant correlation between suicide rates and unemployment. Lin attributed this association to the psychological and financial stress associated with joblessness, which deteriorates both mental and physical health. These findings align with studies by </w:t>
      </w:r>
      <w:proofErr w:type="spellStart"/>
      <w:r w:rsidRPr="00F9224C">
        <w:t>Kõlves</w:t>
      </w:r>
      <w:proofErr w:type="spellEnd"/>
      <w:r w:rsidRPr="00F9224C">
        <w:t xml:space="preserve"> et al. (2013), Watanabe et al. </w:t>
      </w:r>
      <w:r w:rsidRPr="00F9224C">
        <w:lastRenderedPageBreak/>
        <w:t xml:space="preserve">(2006), and Ying and Chang (2009). While numerous studies (e.g., Andrés et al., 2011; </w:t>
      </w:r>
      <w:proofErr w:type="spellStart"/>
      <w:r w:rsidRPr="00F9224C">
        <w:t>Jalles</w:t>
      </w:r>
      <w:proofErr w:type="spellEnd"/>
      <w:r w:rsidRPr="00F9224C">
        <w:t xml:space="preserve"> &amp; Andresen, 2015; Machado et al., 2015) found that increased income typically reduces suicide risk, Mitra and Shroff (2006) reported a contradictory finding in India, where income was positively associated with suicide rates. Neumayer (2003) offered a nuanced view by identifying a non-linear relationship, wherein suicide rates decline with rising income up to a point but begin to increase again at higher income levels, suggesting that income effects are context-dependent.</w:t>
      </w:r>
    </w:p>
    <w:p w14:paraId="2ED8EA15" w14:textId="05F612B2" w:rsidR="003D46AD" w:rsidRPr="00F9224C" w:rsidRDefault="003D46AD" w:rsidP="003D46AD">
      <w:pPr>
        <w:spacing w:line="360" w:lineRule="auto"/>
        <w:jc w:val="both"/>
      </w:pPr>
      <w:r w:rsidRPr="00F9224C">
        <w:t xml:space="preserve">Along with unemployment and income, other macroeconomic indicators, such as </w:t>
      </w:r>
      <w:r w:rsidR="008E1418">
        <w:t>i</w:t>
      </w:r>
      <w:r w:rsidRPr="00F9224C">
        <w:t xml:space="preserve">nflation, industrial output, and access to welfare benefits, have been investigated. For instance, Akyuz and Karul (2022) and </w:t>
      </w:r>
      <w:proofErr w:type="spellStart"/>
      <w:r w:rsidRPr="00F9224C">
        <w:t>Lari</w:t>
      </w:r>
      <w:proofErr w:type="spellEnd"/>
      <w:r w:rsidRPr="00F9224C">
        <w:t xml:space="preserve"> and </w:t>
      </w:r>
      <w:proofErr w:type="spellStart"/>
      <w:r w:rsidRPr="00F9224C">
        <w:t>Sefiddashti</w:t>
      </w:r>
      <w:proofErr w:type="spellEnd"/>
      <w:r w:rsidRPr="00F9224C">
        <w:t xml:space="preserve"> (2023) found that inflation and industrial fluctuations significantly influenced suicide rates in Türkiye. Antonakakis and Collins (2015) and Mattei and Pistoresi (2019) found that unemployment benefits helped reduce suicide. </w:t>
      </w:r>
    </w:p>
    <w:p w14:paraId="5298E61E" w14:textId="4E47EA67" w:rsidR="003D46AD" w:rsidRPr="00F9224C" w:rsidRDefault="003D46AD" w:rsidP="003D46AD">
      <w:pPr>
        <w:spacing w:line="360" w:lineRule="auto"/>
        <w:jc w:val="both"/>
      </w:pPr>
      <w:r w:rsidRPr="00F9224C">
        <w:t xml:space="preserve">National-level analyses indicate that unfavorable macroeconomic shifts such as a sharp rise in negative GDP growth rates and unemployment are linked with higher suicide rates in a few countries (Australia, Canada, United Kingdom, Italy, Ireland, Greece, Japan, Korea, Latvia, Taiwan, Russia, Singapore, Spain, USA) whereas a fall in suicide rates in another (Sweden or Finland). Changes in the interventions are attributed to the welfare system, policies of social protection, welfare culture, social structures of countries, and culture (Coope et al., 2014; </w:t>
      </w:r>
      <w:proofErr w:type="spellStart"/>
      <w:r w:rsidRPr="00F9224C">
        <w:t>Rajmil</w:t>
      </w:r>
      <w:proofErr w:type="spellEnd"/>
      <w:r w:rsidRPr="00F9224C">
        <w:t xml:space="preserve"> et al., 2014; </w:t>
      </w:r>
      <w:proofErr w:type="spellStart"/>
      <w:r w:rsidRPr="00F9224C">
        <w:t>Gajewski</w:t>
      </w:r>
      <w:proofErr w:type="spellEnd"/>
      <w:r w:rsidRPr="00F9224C">
        <w:t xml:space="preserve"> &amp; </w:t>
      </w:r>
      <w:proofErr w:type="spellStart"/>
      <w:r w:rsidRPr="00F9224C">
        <w:t>Zhukovska</w:t>
      </w:r>
      <w:proofErr w:type="spellEnd"/>
      <w:r w:rsidRPr="00F9224C">
        <w:t xml:space="preserve">, 2017; </w:t>
      </w:r>
      <w:proofErr w:type="spellStart"/>
      <w:r w:rsidRPr="00F9224C">
        <w:t>Jacop</w:t>
      </w:r>
      <w:proofErr w:type="spellEnd"/>
      <w:r w:rsidRPr="00F9224C">
        <w:t xml:space="preserve"> et al., 2019; Gilmour et al., 2019).</w:t>
      </w:r>
    </w:p>
    <w:p w14:paraId="4EC0F978" w14:textId="797421DC" w:rsidR="003D46AD" w:rsidRPr="00F9224C" w:rsidRDefault="003D46AD" w:rsidP="003D46AD">
      <w:pPr>
        <w:spacing w:line="360" w:lineRule="auto"/>
        <w:jc w:val="both"/>
      </w:pPr>
      <w:r w:rsidRPr="00F9224C">
        <w:t xml:space="preserve">Multiple cross-national studies have confirmed the socioeconomic determinants of suicide. Similarly, Milner et al. (2012) emphasized the strong link between male suicide and unemployment. Additionally, subjective well-being, shaped by cultural values, social inequality, and cohesion, plays a significant role (Steel et al., 2018; </w:t>
      </w:r>
      <w:proofErr w:type="spellStart"/>
      <w:r w:rsidRPr="00F9224C">
        <w:t>Ngamaba</w:t>
      </w:r>
      <w:proofErr w:type="spellEnd"/>
      <w:r w:rsidRPr="00F9224C">
        <w:t xml:space="preserve">, 2017; </w:t>
      </w:r>
      <w:proofErr w:type="spellStart"/>
      <w:r w:rsidRPr="00F9224C">
        <w:t>Ugur</w:t>
      </w:r>
      <w:proofErr w:type="spellEnd"/>
      <w:r w:rsidRPr="00F9224C">
        <w:t xml:space="preserve">, 2021). While these findings only partially align with Durkheim's original sociological theory, they collectively underscore that suicide is shaped by a dynamic interplay of economic, psychological, and social variables. Cylus, J., </w:t>
      </w:r>
      <w:proofErr w:type="spellStart"/>
      <w:r w:rsidRPr="00F9224C">
        <w:t>Glymour</w:t>
      </w:r>
      <w:proofErr w:type="spellEnd"/>
      <w:r w:rsidRPr="00F9224C">
        <w:t>, M. M., &amp; Avendano, M. (2014). The study utilizes variations between states in the generosity of unemployment benefit programs between 1968 and 2008 to examine the hypothesis that more generous programs reduced the impact of unsustainable economic slump effects on suicides. Using linear fixed-effect models at the state level, increases in unemployment rates negatively interacted with benefits for the working-age population of the United States (20 - 64 years). Kuroki, M. (2010). This research contributes to the body of work that uses two semi-aggregate-level datasets in Japan. Outcomes demonstrate that unemployment is significantly associated with male suicide rates, especially prime-age working men, while the results are not as clean for female suicide rates.</w:t>
      </w:r>
      <w:r w:rsidR="008E1418" w:rsidRPr="008E1418">
        <w:t xml:space="preserve"> Several </w:t>
      </w:r>
      <w:r w:rsidR="008E1418" w:rsidRPr="008E1418">
        <w:lastRenderedPageBreak/>
        <w:t xml:space="preserve">studies have applied the </w:t>
      </w:r>
      <w:r w:rsidR="008E1418" w:rsidRPr="009A5516">
        <w:rPr>
          <w:highlight w:val="yellow"/>
        </w:rPr>
        <w:t>ARDL approach to examine the dynamic relationship between key economic variables and growth outcomes. For instance, Jahan</w:t>
      </w:r>
      <w:r w:rsidR="009A5516">
        <w:rPr>
          <w:highlight w:val="yellow"/>
        </w:rPr>
        <w:t>, S.</w:t>
      </w:r>
      <w:r w:rsidR="008E1418" w:rsidRPr="009A5516">
        <w:rPr>
          <w:highlight w:val="yellow"/>
        </w:rPr>
        <w:t xml:space="preserve"> (2025) employs an ARDL model to forecast Bangladesh’s defense budget and assess its short-</w:t>
      </w:r>
      <w:r w:rsidR="009A5516">
        <w:rPr>
          <w:highlight w:val="yellow"/>
        </w:rPr>
        <w:t xml:space="preserve">run </w:t>
      </w:r>
      <w:r w:rsidR="008E1418" w:rsidRPr="009A5516">
        <w:rPr>
          <w:highlight w:val="yellow"/>
        </w:rPr>
        <w:t>and long-term impact on economic growth, highlighting the method’s suitability for capturing both immediate and persistent effects.</w:t>
      </w:r>
      <w:r w:rsidR="00611610" w:rsidRPr="009A5516">
        <w:rPr>
          <w:highlight w:val="yellow"/>
        </w:rPr>
        <w:t xml:space="preserve"> On the other side Chang et al. (2013) use time-trend analysis across 54 countries to show that the 2008 global financial crisis significantly increased suicide rates, highlighting the impact of macroeconomic shocks on mental health. </w:t>
      </w:r>
      <w:r w:rsidR="009A5516" w:rsidRPr="009A5516">
        <w:rPr>
          <w:highlight w:val="yellow"/>
        </w:rPr>
        <w:t>While several studies have examined the relationship between macroeconomic factors and suicide globally, there is a lack of empirical research specifically analyzing how economic variables influence suicide rates in Bangladesh, highlighting the need for a focused study to inform evidence-based policy interventions.</w:t>
      </w:r>
    </w:p>
    <w:p w14:paraId="21D2E161" w14:textId="77777777" w:rsidR="00815C7C" w:rsidRPr="00F9224C" w:rsidRDefault="00815C7C" w:rsidP="003D46AD">
      <w:pPr>
        <w:spacing w:line="360" w:lineRule="auto"/>
        <w:jc w:val="both"/>
        <w:rPr>
          <w:b/>
        </w:rPr>
      </w:pPr>
    </w:p>
    <w:p w14:paraId="5C2F5200" w14:textId="4DDB6CE4" w:rsidR="003D46AD" w:rsidRPr="00F9224C" w:rsidRDefault="00815C7C" w:rsidP="003D46AD">
      <w:pPr>
        <w:spacing w:line="360" w:lineRule="auto"/>
        <w:jc w:val="both"/>
        <w:rPr>
          <w:b/>
        </w:rPr>
      </w:pPr>
      <w:r w:rsidRPr="00F9224C">
        <w:rPr>
          <w:b/>
        </w:rPr>
        <w:t xml:space="preserve">4. </w:t>
      </w:r>
      <w:r w:rsidR="003D46AD" w:rsidRPr="00F9224C">
        <w:rPr>
          <w:b/>
        </w:rPr>
        <w:t xml:space="preserve">Data Description </w:t>
      </w:r>
    </w:p>
    <w:p w14:paraId="1E69A8F0" w14:textId="77777777" w:rsidR="003D46AD" w:rsidRPr="00F9224C" w:rsidRDefault="003D46AD" w:rsidP="003D46AD">
      <w:pPr>
        <w:spacing w:line="360" w:lineRule="auto"/>
        <w:jc w:val="both"/>
      </w:pPr>
      <w:r w:rsidRPr="00F9224C">
        <w:t>This study exercises a dataset that includes yearly time-series data spanning from 2000 to 2021, meticulously gathered from reputable sources that include the Bangladesh Bureau of Statistics and the World Bank. This involves essential economic indicators like rates of suicide, presented per 10 million population, which quantifies the suicide incidence within the country annually.</w:t>
      </w:r>
    </w:p>
    <w:p w14:paraId="5682B7FB" w14:textId="77777777" w:rsidR="003D46AD" w:rsidRPr="00F9224C" w:rsidRDefault="003D46AD" w:rsidP="003D46AD">
      <w:pPr>
        <w:spacing w:line="360" w:lineRule="auto"/>
        <w:jc w:val="both"/>
      </w:pPr>
      <w:r w:rsidRPr="00F9224C">
        <w:t>The rate of unemployment is also included, reflecting the labor force percentage that actively seeks work but is unable to find employment. Inflation rate, calculated as the yearly percentage change in the Consumer Price Index (CPI), presents insight into the rising cost of living in Bangladesh. Furthermore, the data on Gross Domestic Product (GDP) is presented, reflecting the overall monetary rate of all services and goods generated in Bangladesh each year, quantified in billions of Bangladeshi Taka.</w:t>
      </w:r>
    </w:p>
    <w:p w14:paraId="6FD90C3F" w14:textId="77777777" w:rsidR="003D46AD" w:rsidRPr="00F9224C" w:rsidRDefault="003D46AD" w:rsidP="003D46AD">
      <w:pPr>
        <w:spacing w:line="360" w:lineRule="auto"/>
        <w:jc w:val="both"/>
      </w:pPr>
      <w:r w:rsidRPr="00F9224C">
        <w:t>This dataset is critical for understanding the relationship between economic factors like unemployment, Inflation, and GDP and their potential impact on suicide rates over time. The investigation uses an Autoregressive Distributed Lag (ARDL) scheme to test the short- and long-run dynamics among these specific variables, offering an in-depth look at their possible interactions.</w:t>
      </w:r>
    </w:p>
    <w:p w14:paraId="74B7B496" w14:textId="2D73A9A6" w:rsidR="003D46AD" w:rsidRPr="00F9224C" w:rsidRDefault="00E1297F" w:rsidP="003D46AD">
      <w:pPr>
        <w:spacing w:line="360" w:lineRule="auto"/>
        <w:jc w:val="both"/>
        <w:rPr>
          <w:b/>
        </w:rPr>
      </w:pPr>
      <w:r w:rsidRPr="00F9224C">
        <w:rPr>
          <w:b/>
        </w:rPr>
        <w:t>5</w:t>
      </w:r>
      <w:r w:rsidR="00815C7C" w:rsidRPr="00F9224C">
        <w:rPr>
          <w:b/>
        </w:rPr>
        <w:t xml:space="preserve">. </w:t>
      </w:r>
      <w:r w:rsidR="003D46AD" w:rsidRPr="00F9224C">
        <w:rPr>
          <w:b/>
        </w:rPr>
        <w:t>Methodology</w:t>
      </w:r>
    </w:p>
    <w:p w14:paraId="4697C751" w14:textId="77777777" w:rsidR="003D46AD" w:rsidRPr="00F9224C" w:rsidRDefault="003D46AD" w:rsidP="003D46AD">
      <w:pPr>
        <w:spacing w:line="360" w:lineRule="auto"/>
        <w:jc w:val="both"/>
      </w:pPr>
      <w:r w:rsidRPr="00F9224C">
        <w:t xml:space="preserve">This analysis employs the Autoregressive Distributed Lag (ARDL) model to investigate both strong short and long-term associations between the suicide rate and major economic indicators: inflation rate (INR), unemployment rate, and GDP in Bangladesh, spanning from 2000 to 2021. This econometrics model is a great option for time-series data that contains variables exhibiting varying orders of integration I (0) and I (1)) since it can manage long-term </w:t>
      </w:r>
      <w:r w:rsidRPr="00F9224C">
        <w:lastRenderedPageBreak/>
        <w:t>as well as short-term trends. We must adhere to a few steps to apply the ARDL model, which are described below:</w:t>
      </w:r>
    </w:p>
    <w:p w14:paraId="47C64CC3" w14:textId="3A933026" w:rsidR="003D46AD" w:rsidRPr="00F9224C" w:rsidRDefault="00E1297F" w:rsidP="003D46AD">
      <w:pPr>
        <w:spacing w:line="360" w:lineRule="auto"/>
        <w:jc w:val="both"/>
        <w:rPr>
          <w:b/>
        </w:rPr>
      </w:pPr>
      <w:r w:rsidRPr="00F9224C">
        <w:rPr>
          <w:b/>
        </w:rPr>
        <w:t>5</w:t>
      </w:r>
      <w:r w:rsidR="00815C7C" w:rsidRPr="00F9224C">
        <w:rPr>
          <w:b/>
        </w:rPr>
        <w:t xml:space="preserve">.1 </w:t>
      </w:r>
      <w:r w:rsidR="003D46AD" w:rsidRPr="00F9224C">
        <w:rPr>
          <w:b/>
        </w:rPr>
        <w:t>Unit Root Tests</w:t>
      </w:r>
    </w:p>
    <w:p w14:paraId="503CA435" w14:textId="3F7157CE" w:rsidR="00BA2502" w:rsidRPr="00F9224C" w:rsidRDefault="003D46AD" w:rsidP="00815C7C">
      <w:pPr>
        <w:spacing w:line="360" w:lineRule="auto"/>
        <w:jc w:val="both"/>
      </w:pPr>
      <w:r w:rsidRPr="00F9224C">
        <w:t>Unit root tests, including the Phillips-Perron (PP) and Augmented Dickey-Fuller (ADF) tests, are carried out to guarantee that the factors do not exhibit any changes throughout the process. In light of the data, it has been established that the suicide rate, the inflation rate (INR), and the unemployment rate are all equal to I (1); however, the GDP growth rate is equal to I (0). As a consequence, the data are appropriate for ARDL estimation, which is able to deal with variables that require mixed integration orders.</w:t>
      </w:r>
    </w:p>
    <w:p w14:paraId="49CF091A" w14:textId="77777777" w:rsidR="00815C7C" w:rsidRPr="00F9224C" w:rsidRDefault="00B65E42" w:rsidP="00815C7C">
      <w:pPr>
        <w:spacing w:line="360" w:lineRule="auto"/>
        <w:jc w:val="both"/>
        <w:rPr>
          <w:b/>
        </w:rPr>
      </w:pPr>
      <w:bookmarkStart w:id="0" w:name="_Hlk200970736"/>
      <m:oMathPara>
        <m:oMath>
          <m:r>
            <m:rPr>
              <m:sty m:val="bi"/>
            </m:rPr>
            <w:rPr>
              <w:rFonts w:ascii="Cambria Math" w:hAnsi="Cambria Math"/>
            </w:rPr>
            <m:t>∆</m:t>
          </m:r>
          <w:bookmarkStart w:id="1" w:name="_Hlk200881151"/>
          <m:sSub>
            <m:sSubPr>
              <m:ctrlPr>
                <w:rPr>
                  <w:rFonts w:ascii="Cambria Math" w:hAnsi="Cambria Math"/>
                  <w:b/>
                  <w:i/>
                </w:rPr>
              </m:ctrlPr>
            </m:sSubPr>
            <m:e>
              <m:r>
                <m:rPr>
                  <m:sty m:val="bi"/>
                </m:rPr>
                <w:rPr>
                  <w:rFonts w:ascii="Cambria Math" w:hAnsi="Cambria Math"/>
                </w:rPr>
                <m:t>Y</m:t>
              </m:r>
            </m:e>
            <m:sub>
              <m:r>
                <m:rPr>
                  <m:sty m:val="bi"/>
                </m:rPr>
                <w:rPr>
                  <w:rFonts w:ascii="Cambria Math" w:hAnsi="Cambria Math"/>
                </w:rPr>
                <m:t>t</m:t>
              </m:r>
            </m:sub>
          </m:sSub>
          <w:bookmarkEnd w:id="0"/>
          <w:bookmarkEnd w:id="1"/>
          <m:r>
            <w:rPr>
              <w:rFonts w:ascii="Cambria Math" w:hAnsi="Cambria Math"/>
            </w:rPr>
            <m:t xml:space="preserve">= </m:t>
          </m:r>
          <m:r>
            <m:rPr>
              <m:sty m:val="bi"/>
            </m:rPr>
            <w:rPr>
              <w:rFonts w:ascii="Cambria Math" w:hAnsi="Cambria Math"/>
            </w:rPr>
            <m:t>α+ β</m:t>
          </m:r>
          <w:bookmarkStart w:id="2" w:name="_Hlk200970947"/>
          <m:sSub>
            <m:sSubPr>
              <m:ctrlPr>
                <w:rPr>
                  <w:rFonts w:ascii="Cambria Math" w:hAnsi="Cambria Math"/>
                  <w:b/>
                  <w:i/>
                </w:rPr>
              </m:ctrlPr>
            </m:sSubPr>
            <m:e>
              <m:r>
                <m:rPr>
                  <m:sty m:val="bi"/>
                </m:rPr>
                <w:rPr>
                  <w:rFonts w:ascii="Cambria Math" w:hAnsi="Cambria Math"/>
                </w:rPr>
                <m:t>Y</m:t>
              </m:r>
            </m:e>
            <m:sub>
              <m:r>
                <m:rPr>
                  <m:sty m:val="bi"/>
                </m:rPr>
                <w:rPr>
                  <w:rFonts w:ascii="Cambria Math" w:hAnsi="Cambria Math"/>
                </w:rPr>
                <m:t xml:space="preserve">t-1 </m:t>
              </m:r>
            </m:sub>
          </m:sSub>
          <w:bookmarkEnd w:id="2"/>
          <m:r>
            <m:rPr>
              <m:sty m:val="bi"/>
            </m:rPr>
            <w:rPr>
              <w:rFonts w:ascii="Cambria Math" w:hAnsi="Cambria Math"/>
            </w:rPr>
            <m:t>+</m:t>
          </m:r>
          <m:nary>
            <m:naryPr>
              <m:chr m:val="∑"/>
              <m:limLoc m:val="undOvr"/>
              <m:ctrlPr>
                <w:rPr>
                  <w:rFonts w:ascii="Cambria Math" w:hAnsi="Cambria Math"/>
                  <w:b/>
                  <w:i/>
                </w:rPr>
              </m:ctrlPr>
            </m:naryPr>
            <m:sub>
              <m:r>
                <m:rPr>
                  <m:sty m:val="bi"/>
                </m:rPr>
                <w:rPr>
                  <w:rFonts w:ascii="Cambria Math" w:hAnsi="Cambria Math"/>
                </w:rPr>
                <m:t>i=1</m:t>
              </m:r>
            </m:sub>
            <m:sup>
              <m:r>
                <m:rPr>
                  <m:sty m:val="bi"/>
                </m:rPr>
                <w:rPr>
                  <w:rFonts w:ascii="Cambria Math" w:hAnsi="Cambria Math"/>
                </w:rPr>
                <m:t>p</m:t>
              </m:r>
            </m:sup>
            <m:e>
              <w:bookmarkStart w:id="3" w:name="_Hlk200970983"/>
              <m:sSub>
                <m:sSubPr>
                  <m:ctrlPr>
                    <w:rPr>
                      <w:rFonts w:ascii="Cambria Math" w:hAnsi="Cambria Math"/>
                      <w:b/>
                      <w:i/>
                    </w:rPr>
                  </m:ctrlPr>
                </m:sSubPr>
                <m:e>
                  <m:r>
                    <m:rPr>
                      <m:sty m:val="bi"/>
                    </m:rPr>
                    <w:rPr>
                      <w:rFonts w:ascii="Cambria Math" w:hAnsi="Cambria Math"/>
                    </w:rPr>
                    <m:t>γ</m:t>
                  </m:r>
                </m:e>
                <m:sub>
                  <m:r>
                    <m:rPr>
                      <m:sty m:val="bi"/>
                    </m:rPr>
                    <w:rPr>
                      <w:rFonts w:ascii="Cambria Math" w:hAnsi="Cambria Math"/>
                    </w:rPr>
                    <m:t xml:space="preserve">i </m:t>
                  </m:r>
                </m:sub>
              </m:sSub>
              <w:bookmarkEnd w:id="3"/>
              <m:sSub>
                <m:sSubPr>
                  <m:ctrlPr>
                    <w:rPr>
                      <w:rFonts w:ascii="Cambria Math" w:hAnsi="Cambria Math"/>
                      <w:b/>
                      <w:i/>
                    </w:rPr>
                  </m:ctrlPr>
                </m:sSubPr>
                <m:e>
                  <m:r>
                    <m:rPr>
                      <m:sty m:val="bi"/>
                    </m:rPr>
                    <w:rPr>
                      <w:rFonts w:ascii="Cambria Math" w:hAnsi="Cambria Math"/>
                    </w:rPr>
                    <m:t>∆ Y</m:t>
                  </m:r>
                </m:e>
                <m:sub>
                  <m:r>
                    <m:rPr>
                      <m:sty m:val="bi"/>
                    </m:rPr>
                    <w:rPr>
                      <w:rFonts w:ascii="Cambria Math" w:hAnsi="Cambria Math"/>
                    </w:rPr>
                    <m:t>t-i</m:t>
                  </m:r>
                </m:sub>
              </m:sSub>
            </m:e>
          </m:nary>
          <m:r>
            <m:rPr>
              <m:sty m:val="bi"/>
            </m:rPr>
            <w:rPr>
              <w:rFonts w:ascii="Cambria Math" w:hAnsi="Cambria Math"/>
            </w:rPr>
            <m:t>+</m:t>
          </m:r>
          <w:bookmarkStart w:id="4" w:name="_Hlk200971058"/>
          <m:sSub>
            <m:sSubPr>
              <m:ctrlPr>
                <w:rPr>
                  <w:rFonts w:ascii="Cambria Math" w:hAnsi="Cambria Math"/>
                  <w:b/>
                  <w:i/>
                </w:rPr>
              </m:ctrlPr>
            </m:sSubPr>
            <m:e>
              <m:r>
                <m:rPr>
                  <m:sty m:val="bi"/>
                </m:rPr>
                <w:rPr>
                  <w:rFonts w:ascii="Cambria Math" w:hAnsi="Cambria Math"/>
                </w:rPr>
                <m:t>ϵ</m:t>
              </m:r>
            </m:e>
            <m:sub>
              <m:r>
                <m:rPr>
                  <m:sty m:val="bi"/>
                </m:rPr>
                <w:rPr>
                  <w:rFonts w:ascii="Cambria Math" w:hAnsi="Cambria Math"/>
                </w:rPr>
                <m:t>t</m:t>
              </m:r>
            </m:sub>
          </m:sSub>
          <w:bookmarkEnd w:id="4"/>
          <m:r>
            <m:rPr>
              <m:sty m:val="bi"/>
            </m:rPr>
            <w:rPr>
              <w:rFonts w:ascii="Cambria Math" w:hAnsi="Cambria Math"/>
            </w:rPr>
            <m:t xml:space="preserve"> </m:t>
          </m:r>
        </m:oMath>
      </m:oMathPara>
    </w:p>
    <w:p w14:paraId="567BAB32" w14:textId="149F9976" w:rsidR="00605E6B" w:rsidRPr="00F9224C" w:rsidRDefault="00605E6B" w:rsidP="00815C7C">
      <w:pPr>
        <w:spacing w:line="360" w:lineRule="auto"/>
        <w:jc w:val="both"/>
      </w:pPr>
      <w:r w:rsidRPr="00F9224C">
        <w:t>Where,</w:t>
      </w:r>
      <w:r w:rsidR="002F10F8" w:rsidRPr="00F9224C">
        <w:tab/>
      </w:r>
    </w:p>
    <w:p w14:paraId="616392A6" w14:textId="38A17557" w:rsidR="00605E6B" w:rsidRPr="00F9224C" w:rsidRDefault="00605E6B" w:rsidP="00273559">
      <w:pPr>
        <w:pStyle w:val="NormalWeb"/>
        <w:numPr>
          <w:ilvl w:val="0"/>
          <w:numId w:val="4"/>
        </w:numPr>
        <w:spacing w:line="360" w:lineRule="auto"/>
        <w:jc w:val="both"/>
      </w:pPr>
      <m:oMath>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t</m:t>
            </m:r>
          </m:sub>
        </m:sSub>
        <m:r>
          <w:rPr>
            <w:rFonts w:ascii="Cambria Math" w:hAnsi="Cambria Math"/>
          </w:rPr>
          <m:t xml:space="preserve"> </m:t>
        </m:r>
      </m:oMath>
      <w:r w:rsidRPr="00F9224C">
        <w:t xml:space="preserve"> </w:t>
      </w:r>
      <w:r w:rsidR="003D46AD" w:rsidRPr="00F9224C">
        <w:t xml:space="preserve">is the first </w:t>
      </w:r>
      <w:r w:rsidRPr="00F9224C">
        <w:t>difference of variable Y (</w:t>
      </w:r>
      <w:r w:rsidR="00C227A3" w:rsidRPr="00F9224C">
        <w:t xml:space="preserve">suicide rate, inflation rate (INR), </w:t>
      </w:r>
      <w:r w:rsidR="00E23690" w:rsidRPr="00F9224C">
        <w:t>GDP,</w:t>
      </w:r>
      <w:r w:rsidR="00C227A3" w:rsidRPr="00F9224C">
        <w:t xml:space="preserve"> unemployment rate</w:t>
      </w:r>
      <w:r w:rsidRPr="00F9224C">
        <w:t>)</w:t>
      </w:r>
    </w:p>
    <w:p w14:paraId="43FDE350" w14:textId="598A3335" w:rsidR="00605E6B" w:rsidRPr="00F9224C" w:rsidRDefault="00605E6B" w:rsidP="00273559">
      <w:pPr>
        <w:pStyle w:val="NormalWeb"/>
        <w:numPr>
          <w:ilvl w:val="0"/>
          <w:numId w:val="4"/>
        </w:numPr>
        <w:spacing w:line="360" w:lineRule="auto"/>
        <w:jc w:val="both"/>
      </w:pPr>
      <m:oMath>
        <m:r>
          <w:rPr>
            <w:rFonts w:ascii="Cambria Math" w:hAnsi="Cambria Math"/>
          </w:rPr>
          <m:t>α</m:t>
        </m:r>
      </m:oMath>
      <w:r w:rsidR="003D46AD" w:rsidRPr="00F9224C">
        <w:t xml:space="preserve">  is </w:t>
      </w:r>
      <w:r w:rsidRPr="00F9224C">
        <w:t>constant term</w:t>
      </w:r>
    </w:p>
    <w:p w14:paraId="7E065B4F" w14:textId="1034F8F4" w:rsidR="00605E6B" w:rsidRPr="00F9224C" w:rsidRDefault="00605E6B" w:rsidP="00273559">
      <w:pPr>
        <w:pStyle w:val="NormalWeb"/>
        <w:numPr>
          <w:ilvl w:val="0"/>
          <w:numId w:val="4"/>
        </w:numPr>
        <w:spacing w:line="360" w:lineRule="auto"/>
        <w:jc w:val="both"/>
      </w:pPr>
      <m:oMath>
        <m:r>
          <w:rPr>
            <w:rFonts w:ascii="Cambria Math" w:hAnsi="Cambria Math"/>
          </w:rPr>
          <m:t>β</m:t>
        </m:r>
      </m:oMath>
      <w:r w:rsidR="003D46AD" w:rsidRPr="00F9224C">
        <w:t xml:space="preserve"> is </w:t>
      </w:r>
      <w:r w:rsidRPr="00F9224C">
        <w:t xml:space="preserve">coefficient of lagged variable </w:t>
      </w:r>
      <m:oMath>
        <m:sSub>
          <m:sSubPr>
            <m:ctrlPr>
              <w:rPr>
                <w:rFonts w:ascii="Cambria Math" w:hAnsi="Cambria Math"/>
                <w:i/>
              </w:rPr>
            </m:ctrlPr>
          </m:sSubPr>
          <m:e>
            <m:r>
              <w:rPr>
                <w:rFonts w:ascii="Cambria Math" w:hAnsi="Cambria Math"/>
              </w:rPr>
              <m:t>Y</m:t>
            </m:r>
          </m:e>
          <m:sub>
            <m:r>
              <w:rPr>
                <w:rFonts w:ascii="Cambria Math" w:hAnsi="Cambria Math"/>
              </w:rPr>
              <m:t xml:space="preserve">t-1 </m:t>
            </m:r>
          </m:sub>
        </m:sSub>
      </m:oMath>
    </w:p>
    <w:p w14:paraId="54E9F171" w14:textId="208DA358" w:rsidR="00605E6B" w:rsidRPr="00F9224C" w:rsidRDefault="002C79BB" w:rsidP="00273559">
      <w:pPr>
        <w:pStyle w:val="NormalWeb"/>
        <w:numPr>
          <w:ilvl w:val="0"/>
          <w:numId w:val="4"/>
        </w:numPr>
        <w:spacing w:line="360" w:lineRule="auto"/>
        <w:jc w:val="both"/>
      </w:pPr>
      <m:oMath>
        <m:sSub>
          <m:sSubPr>
            <m:ctrlPr>
              <w:rPr>
                <w:rFonts w:ascii="Cambria Math" w:hAnsi="Cambria Math"/>
                <w:i/>
              </w:rPr>
            </m:ctrlPr>
          </m:sSubPr>
          <m:e>
            <m:r>
              <w:rPr>
                <w:rFonts w:ascii="Cambria Math" w:hAnsi="Cambria Math"/>
              </w:rPr>
              <m:t>γ</m:t>
            </m:r>
          </m:e>
          <m:sub>
            <m:r>
              <w:rPr>
                <w:rFonts w:ascii="Cambria Math" w:hAnsi="Cambria Math"/>
              </w:rPr>
              <m:t>i</m:t>
            </m:r>
            <m:r>
              <w:rPr>
                <w:rFonts w:ascii="Cambria Math" w:hAnsi="Cambria Math"/>
              </w:rPr>
              <m:t xml:space="preserve"> </m:t>
            </m:r>
          </m:sub>
        </m:sSub>
        <m:r>
          <m:rPr>
            <m:sty m:val="p"/>
          </m:rPr>
          <w:rPr>
            <w:rFonts w:ascii="Cambria Math" w:hAnsi="Cambria Math"/>
          </w:rPr>
          <m:t xml:space="preserve"> is coefficient of lagged difference</m:t>
        </m:r>
      </m:oMath>
    </w:p>
    <w:p w14:paraId="10ED2D48" w14:textId="34008C66" w:rsidR="00605E6B" w:rsidRPr="00F9224C" w:rsidRDefault="002C79BB" w:rsidP="00273559">
      <w:pPr>
        <w:pStyle w:val="NormalWeb"/>
        <w:numPr>
          <w:ilvl w:val="0"/>
          <w:numId w:val="4"/>
        </w:numPr>
        <w:spacing w:line="360" w:lineRule="auto"/>
        <w:jc w:val="both"/>
      </w:pPr>
      <m:oMath>
        <m:sSub>
          <m:sSubPr>
            <m:ctrlPr>
              <w:rPr>
                <w:rFonts w:ascii="Cambria Math" w:hAnsi="Cambria Math"/>
                <w:i/>
              </w:rPr>
            </m:ctrlPr>
          </m:sSubPr>
          <m:e>
            <m:r>
              <w:rPr>
                <w:rFonts w:ascii="Cambria Math" w:hAnsi="Cambria Math"/>
              </w:rPr>
              <m:t>ϵ</m:t>
            </m:r>
          </m:e>
          <m:sub>
            <m:r>
              <w:rPr>
                <w:rFonts w:ascii="Cambria Math" w:hAnsi="Cambria Math"/>
              </w:rPr>
              <m:t>t</m:t>
            </m:r>
          </m:sub>
        </m:sSub>
      </m:oMath>
      <w:r w:rsidR="00605E6B" w:rsidRPr="00F9224C">
        <w:t xml:space="preserve"> </w:t>
      </w:r>
      <w:r w:rsidR="003D46AD" w:rsidRPr="00F9224C">
        <w:t xml:space="preserve">is </w:t>
      </w:r>
      <w:r w:rsidR="00605E6B" w:rsidRPr="00F9224C">
        <w:t>Error term</w:t>
      </w:r>
    </w:p>
    <w:p w14:paraId="75EEDA3A" w14:textId="2B4AE62E" w:rsidR="00605E6B" w:rsidRPr="00F9224C" w:rsidRDefault="00E1297F" w:rsidP="00273559">
      <w:pPr>
        <w:pStyle w:val="NormalWeb"/>
        <w:spacing w:line="360" w:lineRule="auto"/>
        <w:jc w:val="both"/>
        <w:rPr>
          <w:b/>
          <w:bCs/>
        </w:rPr>
      </w:pPr>
      <w:r w:rsidRPr="00F9224C">
        <w:rPr>
          <w:b/>
          <w:bCs/>
        </w:rPr>
        <w:t>5</w:t>
      </w:r>
      <w:r w:rsidR="00815C7C" w:rsidRPr="00F9224C">
        <w:rPr>
          <w:b/>
          <w:bCs/>
        </w:rPr>
        <w:t xml:space="preserve">.2 </w:t>
      </w:r>
      <w:r w:rsidR="00605E6B" w:rsidRPr="00F9224C">
        <w:rPr>
          <w:b/>
          <w:bCs/>
        </w:rPr>
        <w:t>ARDL model estimation</w:t>
      </w:r>
    </w:p>
    <w:p w14:paraId="584E32B9" w14:textId="2F01C550" w:rsidR="00D65C47" w:rsidRPr="00F9224C" w:rsidRDefault="00605E6B" w:rsidP="00273559">
      <w:pPr>
        <w:pStyle w:val="NormalWeb"/>
        <w:spacing w:line="360" w:lineRule="auto"/>
        <w:jc w:val="both"/>
      </w:pPr>
      <w:r w:rsidRPr="00F9224C">
        <w:t>For this study, we use the ARDL model, and the equation is specified as:</w:t>
      </w:r>
    </w:p>
    <w:p w14:paraId="5EDE90A8" w14:textId="42155E8E" w:rsidR="00D65C47" w:rsidRPr="00F9224C" w:rsidRDefault="00D65C47" w:rsidP="00273559">
      <w:pPr>
        <w:pStyle w:val="NormalWeb"/>
        <w:spacing w:line="360" w:lineRule="auto"/>
        <w:jc w:val="both"/>
      </w:pPr>
      <m:oMathPara>
        <m:oMath>
          <m:r>
            <m:rPr>
              <m:sty m:val="bi"/>
            </m:rPr>
            <w:rPr>
              <w:rFonts w:ascii="Cambria Math" w:hAnsi="Cambria Math"/>
              <w:color w:val="2F5496" w:themeColor="accent1" w:themeShade="BF"/>
              <w:sz w:val="22"/>
              <w:szCs w:val="22"/>
            </w:rPr>
            <m:t xml:space="preserve"> </m:t>
          </m:r>
          <m:sSub>
            <m:sSubPr>
              <m:ctrlPr>
                <w:rPr>
                  <w:rFonts w:ascii="Cambria Math" w:hAnsi="Cambria Math"/>
                  <w:b/>
                  <w:i/>
                  <w:sz w:val="22"/>
                  <w:szCs w:val="22"/>
                </w:rPr>
              </m:ctrlPr>
            </m:sSubPr>
            <m:e>
              <m:r>
                <m:rPr>
                  <m:sty m:val="bi"/>
                </m:rPr>
                <w:rPr>
                  <w:rFonts w:ascii="Cambria Math" w:hAnsi="Cambria Math"/>
                  <w:sz w:val="22"/>
                  <w:szCs w:val="22"/>
                </w:rPr>
                <m:t>Suicide rate</m:t>
              </m:r>
            </m:e>
            <m:sub>
              <m:r>
                <m:rPr>
                  <m:sty m:val="bi"/>
                </m:rPr>
                <w:rPr>
                  <w:rFonts w:ascii="Cambria Math" w:hAnsi="Cambria Math"/>
                  <w:sz w:val="22"/>
                  <w:szCs w:val="22"/>
                </w:rPr>
                <m:t>t</m:t>
              </m:r>
            </m:sub>
          </m:sSub>
          <m:r>
            <m:rPr>
              <m:sty m:val="bi"/>
            </m:rPr>
            <w:rPr>
              <w:rFonts w:ascii="Cambria Math" w:hAnsi="Cambria Math"/>
              <w:sz w:val="22"/>
              <w:szCs w:val="22"/>
            </w:rPr>
            <m:t xml:space="preserve">=α+ </m:t>
          </m:r>
          <m:nary>
            <m:naryPr>
              <m:chr m:val="∑"/>
              <m:limLoc m:val="undOvr"/>
              <m:ctrlPr>
                <w:rPr>
                  <w:rFonts w:ascii="Cambria Math" w:hAnsi="Cambria Math"/>
                  <w:b/>
                  <w:i/>
                  <w:sz w:val="22"/>
                  <w:szCs w:val="22"/>
                </w:rPr>
              </m:ctrlPr>
            </m:naryPr>
            <m:sub>
              <m:r>
                <m:rPr>
                  <m:sty m:val="bi"/>
                </m:rPr>
                <w:rPr>
                  <w:rFonts w:ascii="Cambria Math" w:hAnsi="Cambria Math"/>
                  <w:sz w:val="22"/>
                  <w:szCs w:val="22"/>
                </w:rPr>
                <m:t>i=1</m:t>
              </m:r>
            </m:sub>
            <m:sup>
              <m:r>
                <m:rPr>
                  <m:sty m:val="bi"/>
                </m:rPr>
                <w:rPr>
                  <w:rFonts w:ascii="Cambria Math" w:hAnsi="Cambria Math"/>
                  <w:sz w:val="22"/>
                  <w:szCs w:val="22"/>
                </w:rPr>
                <m:t>p</m:t>
              </m:r>
            </m:sup>
            <m:e>
              <m:sSub>
                <m:sSubPr>
                  <m:ctrlPr>
                    <w:rPr>
                      <w:rFonts w:ascii="Cambria Math" w:hAnsi="Cambria Math"/>
                      <w:b/>
                      <w:i/>
                      <w:sz w:val="22"/>
                      <w:szCs w:val="22"/>
                    </w:rPr>
                  </m:ctrlPr>
                </m:sSubPr>
                <m:e>
                  <m:r>
                    <m:rPr>
                      <m:sty m:val="bi"/>
                    </m:rPr>
                    <w:rPr>
                      <w:rFonts w:ascii="Cambria Math" w:hAnsi="Cambria Math"/>
                      <w:sz w:val="22"/>
                      <w:szCs w:val="22"/>
                    </w:rPr>
                    <m:t>β</m:t>
                  </m:r>
                </m:e>
                <m:sub>
                  <m:r>
                    <m:rPr>
                      <m:sty m:val="bi"/>
                    </m:rPr>
                    <w:rPr>
                      <w:rFonts w:ascii="Cambria Math" w:hAnsi="Cambria Math"/>
                      <w:sz w:val="22"/>
                      <w:szCs w:val="22"/>
                    </w:rPr>
                    <m:t xml:space="preserve">1 </m:t>
                  </m:r>
                </m:sub>
              </m:sSub>
              <m:sSub>
                <m:sSubPr>
                  <m:ctrlPr>
                    <w:rPr>
                      <w:rFonts w:ascii="Cambria Math" w:hAnsi="Cambria Math"/>
                      <w:b/>
                      <w:i/>
                      <w:sz w:val="22"/>
                      <w:szCs w:val="22"/>
                    </w:rPr>
                  </m:ctrlPr>
                </m:sSubPr>
                <m:e>
                  <m:r>
                    <m:rPr>
                      <m:sty m:val="bi"/>
                    </m:rPr>
                    <w:rPr>
                      <w:rFonts w:ascii="Cambria Math" w:hAnsi="Cambria Math"/>
                      <w:sz w:val="22"/>
                      <w:szCs w:val="22"/>
                    </w:rPr>
                    <m:t>SuR</m:t>
                  </m:r>
                </m:e>
                <m:sub>
                  <m:r>
                    <m:rPr>
                      <m:sty m:val="bi"/>
                    </m:rPr>
                    <w:rPr>
                      <w:rFonts w:ascii="Cambria Math" w:hAnsi="Cambria Math"/>
                      <w:sz w:val="22"/>
                      <w:szCs w:val="22"/>
                    </w:rPr>
                    <m:t>t-i</m:t>
                  </m:r>
                </m:sub>
              </m:sSub>
            </m:e>
          </m:nary>
          <m:r>
            <m:rPr>
              <m:sty m:val="bi"/>
            </m:rPr>
            <w:rPr>
              <w:rFonts w:ascii="Cambria Math" w:hAnsi="Cambria Math"/>
              <w:sz w:val="22"/>
              <w:szCs w:val="22"/>
            </w:rPr>
            <m:t>+</m:t>
          </m:r>
          <m:nary>
            <m:naryPr>
              <m:chr m:val="∑"/>
              <m:limLoc m:val="undOvr"/>
              <m:ctrlPr>
                <w:rPr>
                  <w:rFonts w:ascii="Cambria Math" w:hAnsi="Cambria Math"/>
                  <w:b/>
                  <w:i/>
                  <w:sz w:val="22"/>
                  <w:szCs w:val="22"/>
                </w:rPr>
              </m:ctrlPr>
            </m:naryPr>
            <m:sub>
              <m:r>
                <m:rPr>
                  <m:sty m:val="bi"/>
                </m:rPr>
                <w:rPr>
                  <w:rFonts w:ascii="Cambria Math" w:hAnsi="Cambria Math"/>
                  <w:sz w:val="22"/>
                  <w:szCs w:val="22"/>
                </w:rPr>
                <m:t>j=1</m:t>
              </m:r>
            </m:sub>
            <m:sup>
              <m:r>
                <m:rPr>
                  <m:sty m:val="bi"/>
                </m:rPr>
                <w:rPr>
                  <w:rFonts w:ascii="Cambria Math" w:hAnsi="Cambria Math"/>
                  <w:sz w:val="22"/>
                  <w:szCs w:val="22"/>
                </w:rPr>
                <m:t>q</m:t>
              </m:r>
            </m:sup>
            <m:e>
              <m:sSub>
                <m:sSubPr>
                  <m:ctrlPr>
                    <w:rPr>
                      <w:rFonts w:ascii="Cambria Math" w:hAnsi="Cambria Math"/>
                      <w:b/>
                      <w:i/>
                      <w:sz w:val="22"/>
                      <w:szCs w:val="22"/>
                    </w:rPr>
                  </m:ctrlPr>
                </m:sSubPr>
                <m:e>
                  <m:r>
                    <m:rPr>
                      <m:sty m:val="bi"/>
                    </m:rPr>
                    <w:rPr>
                      <w:rFonts w:ascii="Cambria Math" w:hAnsi="Cambria Math"/>
                      <w:sz w:val="22"/>
                      <w:szCs w:val="22"/>
                    </w:rPr>
                    <m:t>β</m:t>
                  </m:r>
                </m:e>
                <m:sub>
                  <m:r>
                    <m:rPr>
                      <m:sty m:val="bi"/>
                    </m:rPr>
                    <w:rPr>
                      <w:rFonts w:ascii="Cambria Math" w:hAnsi="Cambria Math"/>
                      <w:sz w:val="22"/>
                      <w:szCs w:val="22"/>
                    </w:rPr>
                    <m:t xml:space="preserve">2 </m:t>
                  </m:r>
                </m:sub>
              </m:sSub>
              <m:sSub>
                <m:sSubPr>
                  <m:ctrlPr>
                    <w:rPr>
                      <w:rFonts w:ascii="Cambria Math" w:hAnsi="Cambria Math"/>
                      <w:b/>
                      <w:i/>
                      <w:sz w:val="22"/>
                      <w:szCs w:val="22"/>
                    </w:rPr>
                  </m:ctrlPr>
                </m:sSubPr>
                <m:e>
                  <m:r>
                    <m:rPr>
                      <m:sty m:val="bi"/>
                    </m:rPr>
                    <w:rPr>
                      <w:rFonts w:ascii="Cambria Math" w:hAnsi="Cambria Math"/>
                      <w:sz w:val="22"/>
                      <w:szCs w:val="22"/>
                    </w:rPr>
                    <m:t>UnR</m:t>
                  </m:r>
                </m:e>
                <m:sub>
                  <m:r>
                    <m:rPr>
                      <m:sty m:val="bi"/>
                    </m:rPr>
                    <w:rPr>
                      <w:rFonts w:ascii="Cambria Math" w:hAnsi="Cambria Math"/>
                      <w:sz w:val="22"/>
                      <w:szCs w:val="22"/>
                    </w:rPr>
                    <m:t>t-j</m:t>
                  </m:r>
                </m:sub>
              </m:sSub>
            </m:e>
          </m:nary>
          <m:r>
            <m:rPr>
              <m:sty m:val="bi"/>
            </m:rPr>
            <w:rPr>
              <w:rFonts w:ascii="Cambria Math" w:hAnsi="Cambria Math"/>
              <w:sz w:val="22"/>
              <w:szCs w:val="22"/>
            </w:rPr>
            <m:t>+</m:t>
          </m:r>
          <m:nary>
            <m:naryPr>
              <m:chr m:val="∑"/>
              <m:limLoc m:val="undOvr"/>
              <m:ctrlPr>
                <w:rPr>
                  <w:rFonts w:ascii="Cambria Math" w:hAnsi="Cambria Math"/>
                  <w:b/>
                  <w:i/>
                  <w:sz w:val="22"/>
                  <w:szCs w:val="22"/>
                </w:rPr>
              </m:ctrlPr>
            </m:naryPr>
            <m:sub>
              <m:r>
                <m:rPr>
                  <m:sty m:val="bi"/>
                </m:rPr>
                <w:rPr>
                  <w:rFonts w:ascii="Cambria Math" w:hAnsi="Cambria Math"/>
                  <w:sz w:val="22"/>
                  <w:szCs w:val="22"/>
                </w:rPr>
                <m:t>k=1</m:t>
              </m:r>
            </m:sub>
            <m:sup>
              <m:r>
                <m:rPr>
                  <m:sty m:val="bi"/>
                </m:rPr>
                <w:rPr>
                  <w:rFonts w:ascii="Cambria Math" w:hAnsi="Cambria Math"/>
                  <w:sz w:val="22"/>
                  <w:szCs w:val="22"/>
                </w:rPr>
                <m:t>r</m:t>
              </m:r>
            </m:sup>
            <m:e>
              <m:sSub>
                <m:sSubPr>
                  <m:ctrlPr>
                    <w:rPr>
                      <w:rFonts w:ascii="Cambria Math" w:hAnsi="Cambria Math"/>
                      <w:b/>
                      <w:i/>
                      <w:sz w:val="22"/>
                      <w:szCs w:val="22"/>
                    </w:rPr>
                  </m:ctrlPr>
                </m:sSubPr>
                <m:e>
                  <m:r>
                    <m:rPr>
                      <m:sty m:val="bi"/>
                    </m:rPr>
                    <w:rPr>
                      <w:rFonts w:ascii="Cambria Math" w:hAnsi="Cambria Math"/>
                      <w:sz w:val="22"/>
                      <w:szCs w:val="22"/>
                    </w:rPr>
                    <m:t>β</m:t>
                  </m:r>
                </m:e>
                <m:sub>
                  <m:r>
                    <m:rPr>
                      <m:sty m:val="bi"/>
                    </m:rPr>
                    <w:rPr>
                      <w:rFonts w:ascii="Cambria Math" w:hAnsi="Cambria Math"/>
                      <w:sz w:val="22"/>
                      <w:szCs w:val="22"/>
                    </w:rPr>
                    <m:t xml:space="preserve">3 </m:t>
                  </m:r>
                </m:sub>
              </m:sSub>
              <m:sSub>
                <m:sSubPr>
                  <m:ctrlPr>
                    <w:rPr>
                      <w:rFonts w:ascii="Cambria Math" w:hAnsi="Cambria Math"/>
                      <w:b/>
                      <w:i/>
                      <w:sz w:val="22"/>
                      <w:szCs w:val="22"/>
                    </w:rPr>
                  </m:ctrlPr>
                </m:sSubPr>
                <m:e>
                  <m:r>
                    <m:rPr>
                      <m:sty m:val="bi"/>
                    </m:rPr>
                    <w:rPr>
                      <w:rFonts w:ascii="Cambria Math" w:hAnsi="Cambria Math"/>
                      <w:sz w:val="22"/>
                      <w:szCs w:val="22"/>
                    </w:rPr>
                    <m:t>INR</m:t>
                  </m:r>
                </m:e>
                <m:sub>
                  <m:r>
                    <m:rPr>
                      <m:sty m:val="bi"/>
                    </m:rPr>
                    <w:rPr>
                      <w:rFonts w:ascii="Cambria Math" w:hAnsi="Cambria Math"/>
                      <w:sz w:val="22"/>
                      <w:szCs w:val="22"/>
                    </w:rPr>
                    <m:t>t-k</m:t>
                  </m:r>
                </m:sub>
              </m:sSub>
            </m:e>
          </m:nary>
          <m:r>
            <m:rPr>
              <m:sty m:val="bi"/>
            </m:rPr>
            <w:rPr>
              <w:rFonts w:ascii="Cambria Math" w:hAnsi="Cambria Math"/>
              <w:sz w:val="22"/>
              <w:szCs w:val="22"/>
            </w:rPr>
            <m:t>+</m:t>
          </m:r>
          <m:nary>
            <m:naryPr>
              <m:chr m:val="∑"/>
              <m:limLoc m:val="undOvr"/>
              <m:ctrlPr>
                <w:rPr>
                  <w:rFonts w:ascii="Cambria Math" w:hAnsi="Cambria Math"/>
                  <w:b/>
                  <w:i/>
                  <w:sz w:val="22"/>
                  <w:szCs w:val="22"/>
                </w:rPr>
              </m:ctrlPr>
            </m:naryPr>
            <m:sub>
              <m:r>
                <m:rPr>
                  <m:sty m:val="bi"/>
                </m:rPr>
                <w:rPr>
                  <w:rFonts w:ascii="Cambria Math" w:hAnsi="Cambria Math"/>
                  <w:sz w:val="22"/>
                  <w:szCs w:val="22"/>
                </w:rPr>
                <m:t>l=1</m:t>
              </m:r>
            </m:sub>
            <m:sup>
              <m:r>
                <m:rPr>
                  <m:sty m:val="bi"/>
                </m:rPr>
                <w:rPr>
                  <w:rFonts w:ascii="Cambria Math" w:hAnsi="Cambria Math"/>
                  <w:sz w:val="22"/>
                  <w:szCs w:val="22"/>
                </w:rPr>
                <m:t>s</m:t>
              </m:r>
            </m:sup>
            <m:e>
              <m:sSub>
                <m:sSubPr>
                  <m:ctrlPr>
                    <w:rPr>
                      <w:rFonts w:ascii="Cambria Math" w:hAnsi="Cambria Math"/>
                      <w:b/>
                      <w:i/>
                      <w:sz w:val="22"/>
                      <w:szCs w:val="22"/>
                    </w:rPr>
                  </m:ctrlPr>
                </m:sSubPr>
                <m:e>
                  <m:r>
                    <m:rPr>
                      <m:sty m:val="bi"/>
                    </m:rPr>
                    <w:rPr>
                      <w:rFonts w:ascii="Cambria Math" w:hAnsi="Cambria Math"/>
                      <w:sz w:val="22"/>
                      <w:szCs w:val="22"/>
                    </w:rPr>
                    <m:t>β</m:t>
                  </m:r>
                </m:e>
                <m:sub>
                  <m:r>
                    <m:rPr>
                      <m:sty m:val="bi"/>
                    </m:rPr>
                    <w:rPr>
                      <w:rFonts w:ascii="Cambria Math" w:hAnsi="Cambria Math"/>
                      <w:sz w:val="22"/>
                      <w:szCs w:val="22"/>
                    </w:rPr>
                    <m:t xml:space="preserve">4 </m:t>
                  </m:r>
                </m:sub>
              </m:sSub>
              <m:sSub>
                <m:sSubPr>
                  <m:ctrlPr>
                    <w:rPr>
                      <w:rFonts w:ascii="Cambria Math" w:hAnsi="Cambria Math"/>
                      <w:b/>
                      <w:i/>
                      <w:sz w:val="22"/>
                      <w:szCs w:val="22"/>
                    </w:rPr>
                  </m:ctrlPr>
                </m:sSubPr>
                <m:e>
                  <m:r>
                    <m:rPr>
                      <m:sty m:val="bi"/>
                    </m:rPr>
                    <w:rPr>
                      <w:rFonts w:ascii="Cambria Math" w:hAnsi="Cambria Math"/>
                      <w:sz w:val="22"/>
                      <w:szCs w:val="22"/>
                    </w:rPr>
                    <m:t>GDP</m:t>
                  </m:r>
                </m:e>
                <m:sub>
                  <m:r>
                    <m:rPr>
                      <m:sty m:val="bi"/>
                    </m:rPr>
                    <w:rPr>
                      <w:rFonts w:ascii="Cambria Math" w:hAnsi="Cambria Math"/>
                      <w:sz w:val="22"/>
                      <w:szCs w:val="22"/>
                    </w:rPr>
                    <m:t>t-l</m:t>
                  </m:r>
                </m:sub>
              </m:sSub>
            </m:e>
          </m:nary>
          <m:r>
            <m:rPr>
              <m:sty m:val="bi"/>
            </m:rPr>
            <w:rPr>
              <w:rFonts w:ascii="Cambria Math" w:hAnsi="Cambria Math"/>
              <w:sz w:val="22"/>
              <w:szCs w:val="22"/>
            </w:rPr>
            <m:t xml:space="preserve">+  </m:t>
          </m:r>
          <m:sSub>
            <m:sSubPr>
              <m:ctrlPr>
                <w:rPr>
                  <w:rFonts w:ascii="Cambria Math" w:hAnsi="Cambria Math"/>
                  <w:b/>
                  <w:i/>
                  <w:sz w:val="22"/>
                  <w:szCs w:val="22"/>
                </w:rPr>
              </m:ctrlPr>
            </m:sSubPr>
            <m:e>
              <m:r>
                <m:rPr>
                  <m:sty m:val="bi"/>
                </m:rPr>
                <w:rPr>
                  <w:rFonts w:ascii="Cambria Math" w:hAnsi="Cambria Math"/>
                  <w:sz w:val="22"/>
                  <w:szCs w:val="22"/>
                </w:rPr>
                <m:t>ϵ</m:t>
              </m:r>
            </m:e>
            <m:sub>
              <m:r>
                <m:rPr>
                  <m:sty m:val="bi"/>
                </m:rPr>
                <w:rPr>
                  <w:rFonts w:ascii="Cambria Math" w:hAnsi="Cambria Math"/>
                  <w:sz w:val="22"/>
                  <w:szCs w:val="22"/>
                </w:rPr>
                <m:t>t</m:t>
              </m:r>
            </m:sub>
          </m:sSub>
          <m:r>
            <m:rPr>
              <m:sty m:val="bi"/>
            </m:rPr>
            <w:rPr>
              <w:rFonts w:ascii="Cambria Math" w:hAnsi="Cambria Math"/>
              <w:sz w:val="22"/>
              <w:szCs w:val="22"/>
            </w:rPr>
            <m:t xml:space="preserve">  </m:t>
          </m:r>
        </m:oMath>
      </m:oMathPara>
    </w:p>
    <w:p w14:paraId="76243C7B" w14:textId="77777777" w:rsidR="00605E6B" w:rsidRPr="00F9224C" w:rsidRDefault="00605E6B" w:rsidP="00273559">
      <w:pPr>
        <w:pStyle w:val="NormalWeb"/>
        <w:spacing w:line="360" w:lineRule="auto"/>
        <w:jc w:val="both"/>
      </w:pPr>
      <w:r w:rsidRPr="00F9224C">
        <w:t>Where,</w:t>
      </w:r>
    </w:p>
    <w:p w14:paraId="673126F4" w14:textId="6B51C4A2" w:rsidR="00605E6B" w:rsidRPr="00F9224C" w:rsidRDefault="002C79BB" w:rsidP="00273559">
      <w:pPr>
        <w:pStyle w:val="NormalWeb"/>
        <w:numPr>
          <w:ilvl w:val="0"/>
          <w:numId w:val="5"/>
        </w:numPr>
        <w:spacing w:line="360" w:lineRule="auto"/>
        <w:jc w:val="both"/>
      </w:pPr>
      <m:oMath>
        <m:sSub>
          <m:sSubPr>
            <m:ctrlPr>
              <w:rPr>
                <w:rFonts w:ascii="Cambria Math" w:hAnsi="Cambria Math"/>
                <w:i/>
              </w:rPr>
            </m:ctrlPr>
          </m:sSubPr>
          <m:e>
            <m:r>
              <w:rPr>
                <w:rFonts w:ascii="Cambria Math" w:hAnsi="Cambria Math"/>
              </w:rPr>
              <m:t>Suicide</m:t>
            </m:r>
            <m:r>
              <w:rPr>
                <w:rFonts w:ascii="Cambria Math" w:hAnsi="Cambria Math"/>
              </w:rPr>
              <m:t xml:space="preserve"> </m:t>
            </m:r>
            <m:r>
              <w:rPr>
                <w:rFonts w:ascii="Cambria Math" w:hAnsi="Cambria Math"/>
              </w:rPr>
              <m:t>rate</m:t>
            </m:r>
          </m:e>
          <m:sub>
            <m:r>
              <w:rPr>
                <w:rFonts w:ascii="Cambria Math" w:hAnsi="Cambria Math"/>
              </w:rPr>
              <m:t>t</m:t>
            </m:r>
          </m:sub>
        </m:sSub>
      </m:oMath>
      <w:r w:rsidR="00605E6B" w:rsidRPr="00F9224C">
        <w:t xml:space="preserve"> denotes th</w:t>
      </w:r>
      <w:r w:rsidR="00024072" w:rsidRPr="00F9224C">
        <w:t xml:space="preserve">e suicide rate </w:t>
      </w:r>
      <w:r w:rsidR="00605E6B" w:rsidRPr="00F9224C">
        <w:t>at time t.</w:t>
      </w:r>
    </w:p>
    <w:p w14:paraId="63B04A9C" w14:textId="3862D282" w:rsidR="00605E6B" w:rsidRPr="00F9224C" w:rsidRDefault="002C79BB" w:rsidP="00273559">
      <w:pPr>
        <w:pStyle w:val="NormalWeb"/>
        <w:numPr>
          <w:ilvl w:val="0"/>
          <w:numId w:val="5"/>
        </w:numPr>
        <w:spacing w:line="360" w:lineRule="auto"/>
        <w:jc w:val="both"/>
      </w:pPr>
      <m:oMath>
        <m:sSub>
          <m:sSubPr>
            <m:ctrlPr>
              <w:rPr>
                <w:rFonts w:ascii="Cambria Math" w:hAnsi="Cambria Math"/>
                <w:i/>
              </w:rPr>
            </m:ctrlPr>
          </m:sSubPr>
          <m:e>
            <m:r>
              <w:rPr>
                <w:rFonts w:ascii="Cambria Math" w:hAnsi="Cambria Math"/>
              </w:rPr>
              <m:t>GDP</m:t>
            </m:r>
          </m:e>
          <m:sub>
            <m:r>
              <w:rPr>
                <w:rFonts w:ascii="Cambria Math" w:hAnsi="Cambria Math"/>
              </w:rPr>
              <m:t>t</m:t>
            </m:r>
          </m:sub>
        </m:sSub>
      </m:oMath>
      <w:r w:rsidR="00605E6B" w:rsidRPr="00F9224C">
        <w:t xml:space="preserve"> ,</w:t>
      </w:r>
      <m:oMath>
        <m:r>
          <w:rPr>
            <w:rFonts w:ascii="Cambria Math" w:hAnsi="Cambria Math"/>
          </w:rPr>
          <m:t xml:space="preserve"> </m:t>
        </m:r>
        <m:sSub>
          <m:sSubPr>
            <m:ctrlPr>
              <w:rPr>
                <w:rFonts w:ascii="Cambria Math" w:hAnsi="Cambria Math"/>
                <w:i/>
              </w:rPr>
            </m:ctrlPr>
          </m:sSubPr>
          <m:e>
            <m:r>
              <w:rPr>
                <w:rFonts w:ascii="Cambria Math" w:hAnsi="Cambria Math"/>
              </w:rPr>
              <m:t>INR</m:t>
            </m:r>
          </m:e>
          <m:sub>
            <m:r>
              <w:rPr>
                <w:rFonts w:ascii="Cambria Math" w:hAnsi="Cambria Math"/>
              </w:rPr>
              <m:t>t</m:t>
            </m:r>
          </m:sub>
        </m:sSub>
      </m:oMath>
      <w:r w:rsidR="00605E6B" w:rsidRPr="00F9224C">
        <w:t>,</w:t>
      </w:r>
      <m:oMath>
        <m:r>
          <w:rPr>
            <w:rFonts w:ascii="Cambria Math" w:hAnsi="Cambria Math"/>
          </w:rPr>
          <m:t xml:space="preserve"> </m:t>
        </m:r>
        <m:sSub>
          <m:sSubPr>
            <m:ctrlPr>
              <w:rPr>
                <w:rFonts w:ascii="Cambria Math" w:hAnsi="Cambria Math"/>
                <w:i/>
              </w:rPr>
            </m:ctrlPr>
          </m:sSubPr>
          <m:e>
            <m:r>
              <w:rPr>
                <w:rFonts w:ascii="Cambria Math" w:hAnsi="Cambria Math"/>
              </w:rPr>
              <m:t>UnR</m:t>
            </m:r>
          </m:e>
          <m:sub>
            <m:r>
              <w:rPr>
                <w:rFonts w:ascii="Cambria Math" w:hAnsi="Cambria Math"/>
              </w:rPr>
              <m:t>t</m:t>
            </m:r>
          </m:sub>
        </m:sSub>
      </m:oMath>
      <w:r w:rsidR="00605E6B" w:rsidRPr="00F9224C">
        <w:t xml:space="preserve"> denote GDP growth rate, inflation rate and </w:t>
      </w:r>
      <w:r w:rsidR="00E23690" w:rsidRPr="00F9224C">
        <w:t>Unemployment</w:t>
      </w:r>
      <w:r w:rsidR="00605E6B" w:rsidRPr="00F9224C">
        <w:t xml:space="preserve"> rate at time t,</w:t>
      </w:r>
    </w:p>
    <w:p w14:paraId="7D2B390E" w14:textId="77777777" w:rsidR="00605E6B" w:rsidRPr="00F9224C" w:rsidRDefault="00605E6B" w:rsidP="00273559">
      <w:pPr>
        <w:pStyle w:val="NormalWeb"/>
        <w:numPr>
          <w:ilvl w:val="0"/>
          <w:numId w:val="5"/>
        </w:numPr>
        <w:spacing w:line="360" w:lineRule="auto"/>
        <w:jc w:val="both"/>
      </w:pPr>
      <m:oMath>
        <m:r>
          <w:rPr>
            <w:rFonts w:ascii="Cambria Math" w:hAnsi="Cambria Math"/>
          </w:rPr>
          <m:t>α</m:t>
        </m:r>
      </m:oMath>
      <w:r w:rsidRPr="00F9224C">
        <w:t xml:space="preserve"> is the constant term,</w:t>
      </w:r>
    </w:p>
    <w:p w14:paraId="7E38CDFC" w14:textId="51A2218E" w:rsidR="00605E6B" w:rsidRPr="00F9224C" w:rsidRDefault="002C79BB" w:rsidP="00273559">
      <w:pPr>
        <w:pStyle w:val="NormalWeb"/>
        <w:numPr>
          <w:ilvl w:val="0"/>
          <w:numId w:val="5"/>
        </w:numPr>
        <w:spacing w:line="360" w:lineRule="auto"/>
        <w:jc w:val="both"/>
      </w:pPr>
      <m:oMath>
        <m:sSub>
          <m:sSubPr>
            <m:ctrlPr>
              <w:rPr>
                <w:rFonts w:ascii="Cambria Math" w:hAnsi="Cambria Math"/>
                <w:i/>
              </w:rPr>
            </m:ctrlPr>
          </m:sSubPr>
          <m:e>
            <m:r>
              <w:rPr>
                <w:rFonts w:ascii="Cambria Math" w:hAnsi="Cambria Math"/>
              </w:rPr>
              <m:t>β</m:t>
            </m:r>
          </m:e>
          <m:sub>
            <m:r>
              <w:rPr>
                <w:rFonts w:ascii="Cambria Math" w:hAnsi="Cambria Math"/>
              </w:rPr>
              <m:t xml:space="preserve">1 </m:t>
            </m:r>
          </m:sub>
        </m:sSub>
        <m:r>
          <w:rPr>
            <w:rFonts w:ascii="Cambria Math" w:hAnsi="Cambria Math"/>
          </w:rPr>
          <m:t xml:space="preserve"> , </m:t>
        </m:r>
        <m:sSub>
          <m:sSubPr>
            <m:ctrlPr>
              <w:rPr>
                <w:rFonts w:ascii="Cambria Math" w:hAnsi="Cambria Math"/>
                <w:i/>
              </w:rPr>
            </m:ctrlPr>
          </m:sSubPr>
          <m:e>
            <m:r>
              <w:rPr>
                <w:rFonts w:ascii="Cambria Math" w:hAnsi="Cambria Math"/>
              </w:rPr>
              <m:t>β</m:t>
            </m:r>
          </m:e>
          <m:sub>
            <m:r>
              <w:rPr>
                <w:rFonts w:ascii="Cambria Math" w:hAnsi="Cambria Math"/>
              </w:rPr>
              <m:t xml:space="preserve">2 </m:t>
            </m:r>
          </m:sub>
        </m:sSub>
        <m:r>
          <w:rPr>
            <w:rFonts w:ascii="Cambria Math" w:hAnsi="Cambria Math"/>
          </w:rPr>
          <m:t xml:space="preserve">, </m:t>
        </m:r>
        <m:sSub>
          <m:sSubPr>
            <m:ctrlPr>
              <w:rPr>
                <w:rFonts w:ascii="Cambria Math" w:hAnsi="Cambria Math"/>
                <w:i/>
              </w:rPr>
            </m:ctrlPr>
          </m:sSubPr>
          <m:e>
            <m:r>
              <w:rPr>
                <w:rFonts w:ascii="Cambria Math" w:hAnsi="Cambria Math"/>
              </w:rPr>
              <m:t>β</m:t>
            </m:r>
          </m:e>
          <m:sub>
            <m:r>
              <w:rPr>
                <w:rFonts w:ascii="Cambria Math" w:hAnsi="Cambria Math"/>
              </w:rPr>
              <m:t xml:space="preserve">3 </m:t>
            </m:r>
          </m:sub>
        </m:sSub>
      </m:oMath>
      <w:r w:rsidR="00605E6B" w:rsidRPr="00F9224C">
        <w:t xml:space="preserve">are the coefficients for the respective lagged </w:t>
      </w:r>
      <w:r w:rsidR="00E23690" w:rsidRPr="00F9224C">
        <w:t>variable</w:t>
      </w:r>
      <w:r w:rsidR="00180FD1" w:rsidRPr="00F9224C">
        <w:t>s</w:t>
      </w:r>
    </w:p>
    <w:p w14:paraId="64433F25" w14:textId="77777777" w:rsidR="00605E6B" w:rsidRPr="00F9224C" w:rsidRDefault="002C79BB" w:rsidP="00273559">
      <w:pPr>
        <w:pStyle w:val="NormalWeb"/>
        <w:numPr>
          <w:ilvl w:val="0"/>
          <w:numId w:val="5"/>
        </w:numPr>
        <w:spacing w:line="360" w:lineRule="auto"/>
        <w:jc w:val="both"/>
      </w:pPr>
      <m:oMath>
        <m:sSub>
          <m:sSubPr>
            <m:ctrlPr>
              <w:rPr>
                <w:rFonts w:ascii="Cambria Math" w:hAnsi="Cambria Math"/>
                <w:i/>
              </w:rPr>
            </m:ctrlPr>
          </m:sSubPr>
          <m:e>
            <m:r>
              <w:rPr>
                <w:rFonts w:ascii="Cambria Math" w:hAnsi="Cambria Math"/>
              </w:rPr>
              <m:t>ϵ</m:t>
            </m:r>
          </m:e>
          <m:sub>
            <m:r>
              <w:rPr>
                <w:rFonts w:ascii="Cambria Math" w:hAnsi="Cambria Math"/>
              </w:rPr>
              <m:t>t</m:t>
            </m:r>
          </m:sub>
        </m:sSub>
      </m:oMath>
      <w:r w:rsidR="00605E6B" w:rsidRPr="00F9224C">
        <w:t>is the error term.</w:t>
      </w:r>
    </w:p>
    <w:p w14:paraId="62AB2001" w14:textId="43358DDC" w:rsidR="00913E8A" w:rsidRPr="00F9224C" w:rsidRDefault="00E1297F" w:rsidP="00913E8A">
      <w:pPr>
        <w:pStyle w:val="NormalWeb"/>
        <w:spacing w:line="276" w:lineRule="auto"/>
        <w:rPr>
          <w:b/>
          <w:bCs/>
        </w:rPr>
      </w:pPr>
      <w:r w:rsidRPr="00F9224C">
        <w:rPr>
          <w:b/>
          <w:bCs/>
        </w:rPr>
        <w:t>5</w:t>
      </w:r>
      <w:r w:rsidR="00815C7C" w:rsidRPr="00F9224C">
        <w:rPr>
          <w:b/>
          <w:bCs/>
        </w:rPr>
        <w:t xml:space="preserve">.3 </w:t>
      </w:r>
      <w:r w:rsidR="00605E6B" w:rsidRPr="00F9224C">
        <w:rPr>
          <w:b/>
          <w:bCs/>
        </w:rPr>
        <w:t>Lag Length Selection</w:t>
      </w:r>
    </w:p>
    <w:p w14:paraId="0E891C00" w14:textId="61FA841C" w:rsidR="00605E6B" w:rsidRPr="00F9224C" w:rsidRDefault="00E9698F" w:rsidP="00FD3418">
      <w:pPr>
        <w:pStyle w:val="NormalWeb"/>
        <w:spacing w:line="360" w:lineRule="auto"/>
        <w:jc w:val="both"/>
        <w:rPr>
          <w:b/>
          <w:bCs/>
        </w:rPr>
      </w:pPr>
      <w:r w:rsidRPr="00F9224C">
        <w:rPr>
          <w:shd w:val="clear" w:color="auto" w:fill="FFFFFF"/>
        </w:rPr>
        <w:t xml:space="preserve">The Akaike Information Criterion (AIC) and the Schwarz Bayesian Criterion (SBC) are employed to determine the optimal lag length for all variables. For this study, optimal lag length of 2 has been chosen and it offers the best balance between capturing the dynamics of the variables and avoiding overfitting of the model. </w:t>
      </w:r>
    </w:p>
    <w:p w14:paraId="3193DF6E" w14:textId="49BD23B8" w:rsidR="00605E6B" w:rsidRPr="00F9224C" w:rsidRDefault="00E1297F" w:rsidP="00273559">
      <w:pPr>
        <w:pStyle w:val="NormalWeb"/>
        <w:spacing w:line="360" w:lineRule="auto"/>
        <w:jc w:val="both"/>
        <w:rPr>
          <w:b/>
          <w:bCs/>
        </w:rPr>
      </w:pPr>
      <w:r w:rsidRPr="00F9224C">
        <w:rPr>
          <w:b/>
          <w:bCs/>
        </w:rPr>
        <w:t>5</w:t>
      </w:r>
      <w:r w:rsidR="00815C7C" w:rsidRPr="00F9224C">
        <w:rPr>
          <w:b/>
          <w:bCs/>
        </w:rPr>
        <w:t xml:space="preserve">.4 </w:t>
      </w:r>
      <w:r w:rsidR="00605E6B" w:rsidRPr="00F9224C">
        <w:rPr>
          <w:b/>
          <w:bCs/>
        </w:rPr>
        <w:t>ARDL Bounds Test for Cointegration</w:t>
      </w:r>
    </w:p>
    <w:p w14:paraId="28B931B5" w14:textId="77777777" w:rsidR="00E9698F" w:rsidRPr="00F9224C" w:rsidRDefault="00E9698F" w:rsidP="00913E8A">
      <w:pPr>
        <w:spacing w:before="100" w:beforeAutospacing="1" w:after="100" w:afterAutospacing="1" w:line="360" w:lineRule="auto"/>
        <w:jc w:val="both"/>
        <w:rPr>
          <w:shd w:val="clear" w:color="auto" w:fill="FFFFFF"/>
        </w:rPr>
      </w:pPr>
      <w:r w:rsidRPr="00F9224C">
        <w:rPr>
          <w:shd w:val="clear" w:color="auto" w:fill="FFFFFF"/>
        </w:rPr>
        <w:t>Cointegration is assessed using the ARDL Bounds Test, which determines if a long-term link exists between the defense budget and macroeconomic issues. If a long-run equilibrium exists, an Error Correction Model or ECM can be applied to depict short-term changes and how this system eventually returns to the equilibrium.</w:t>
      </w:r>
    </w:p>
    <w:p w14:paraId="5B9731BB" w14:textId="442E08F4" w:rsidR="0083083D" w:rsidRPr="00F9224C" w:rsidRDefault="00605E6B" w:rsidP="00913E8A">
      <w:pPr>
        <w:pStyle w:val="NormalWeb"/>
        <w:spacing w:line="360" w:lineRule="auto"/>
        <w:jc w:val="both"/>
      </w:pPr>
      <w:r w:rsidRPr="00F9224C">
        <w:t xml:space="preserve">The ECM equation is </w:t>
      </w:r>
      <w:r w:rsidR="0083083D" w:rsidRPr="00F9224C">
        <w:t>–</w:t>
      </w:r>
    </w:p>
    <w:p w14:paraId="6CE505D3" w14:textId="6B887502" w:rsidR="0083083D" w:rsidRPr="00F9224C" w:rsidRDefault="002C79BB" w:rsidP="00273559">
      <w:pPr>
        <w:pStyle w:val="NormalWeb"/>
        <w:spacing w:line="360" w:lineRule="auto"/>
        <w:jc w:val="both"/>
        <w:rPr>
          <w:b/>
          <w:sz w:val="20"/>
          <w:szCs w:val="20"/>
        </w:rPr>
      </w:pPr>
      <m:oMathPara>
        <m:oMath>
          <m:sSub>
            <m:sSubPr>
              <m:ctrlPr>
                <w:rPr>
                  <w:rFonts w:ascii="Cambria Math" w:hAnsi="Cambria Math"/>
                  <w:b/>
                  <w:i/>
                  <w:sz w:val="20"/>
                  <w:szCs w:val="20"/>
                </w:rPr>
              </m:ctrlPr>
            </m:sSubPr>
            <m:e>
              <m:r>
                <m:rPr>
                  <m:sty m:val="bi"/>
                </m:rPr>
                <w:rPr>
                  <w:rFonts w:ascii="Cambria Math" w:hAnsi="Cambria Math"/>
                  <w:sz w:val="20"/>
                  <w:szCs w:val="20"/>
                </w:rPr>
                <m:t>ΔSuicide</m:t>
              </m:r>
              <m:r>
                <m:rPr>
                  <m:sty m:val="bi"/>
                </m:rPr>
                <w:rPr>
                  <w:rFonts w:ascii="Cambria Math" w:hAnsi="Cambria Math"/>
                  <w:sz w:val="20"/>
                  <w:szCs w:val="20"/>
                </w:rPr>
                <m:t xml:space="preserve"> </m:t>
              </m:r>
              <m:r>
                <m:rPr>
                  <m:sty m:val="bi"/>
                </m:rPr>
                <w:rPr>
                  <w:rFonts w:ascii="Cambria Math" w:hAnsi="Cambria Math"/>
                  <w:sz w:val="20"/>
                  <w:szCs w:val="20"/>
                </w:rPr>
                <m:t>rate</m:t>
              </m:r>
            </m:e>
            <m:sub>
              <m:r>
                <m:rPr>
                  <m:sty m:val="bi"/>
                </m:rPr>
                <w:rPr>
                  <w:rFonts w:ascii="Cambria Math" w:hAnsi="Cambria Math"/>
                  <w:sz w:val="20"/>
                  <w:szCs w:val="20"/>
                </w:rPr>
                <m:t>t</m:t>
              </m:r>
            </m:sub>
          </m:sSub>
          <m:r>
            <m:rPr>
              <m:sty m:val="bi"/>
            </m:rPr>
            <w:rPr>
              <w:rFonts w:ascii="Cambria Math" w:hAnsi="Cambria Math"/>
              <w:sz w:val="20"/>
              <w:szCs w:val="20"/>
            </w:rPr>
            <m:t>=</m:t>
          </m:r>
          <m:r>
            <m:rPr>
              <m:sty m:val="bi"/>
            </m:rPr>
            <w:rPr>
              <w:rFonts w:ascii="Cambria Math" w:hAnsi="Cambria Math"/>
              <w:sz w:val="20"/>
              <w:szCs w:val="20"/>
            </w:rPr>
            <m:t>α</m:t>
          </m:r>
          <m:r>
            <m:rPr>
              <m:sty m:val="bi"/>
            </m:rPr>
            <w:rPr>
              <w:rFonts w:ascii="Cambria Math" w:hAnsi="Cambria Math"/>
              <w:sz w:val="20"/>
              <w:szCs w:val="20"/>
            </w:rPr>
            <m:t>+</m:t>
          </m:r>
          <m:nary>
            <m:naryPr>
              <m:chr m:val="∑"/>
              <m:limLoc m:val="undOvr"/>
              <m:ctrlPr>
                <w:rPr>
                  <w:rFonts w:ascii="Cambria Math" w:hAnsi="Cambria Math"/>
                  <w:b/>
                  <w:i/>
                  <w:sz w:val="20"/>
                  <w:szCs w:val="20"/>
                </w:rPr>
              </m:ctrlPr>
            </m:naryPr>
            <m:sub>
              <m:r>
                <m:rPr>
                  <m:sty m:val="bi"/>
                </m:rPr>
                <w:rPr>
                  <w:rFonts w:ascii="Cambria Math" w:hAnsi="Cambria Math"/>
                  <w:sz w:val="20"/>
                  <w:szCs w:val="20"/>
                </w:rPr>
                <m:t>i</m:t>
              </m:r>
              <m:r>
                <m:rPr>
                  <m:sty m:val="bi"/>
                </m:rPr>
                <w:rPr>
                  <w:rFonts w:ascii="Cambria Math" w:hAnsi="Cambria Math"/>
                  <w:sz w:val="20"/>
                  <w:szCs w:val="20"/>
                </w:rPr>
                <m:t>=</m:t>
              </m:r>
              <m:r>
                <m:rPr>
                  <m:sty m:val="bi"/>
                </m:rPr>
                <w:rPr>
                  <w:rFonts w:ascii="Cambria Math" w:hAnsi="Cambria Math"/>
                  <w:sz w:val="20"/>
                  <w:szCs w:val="20"/>
                </w:rPr>
                <m:t>1</m:t>
              </m:r>
            </m:sub>
            <m:sup>
              <m:r>
                <m:rPr>
                  <m:sty m:val="bi"/>
                </m:rPr>
                <w:rPr>
                  <w:rFonts w:ascii="Cambria Math" w:hAnsi="Cambria Math"/>
                  <w:sz w:val="20"/>
                  <w:szCs w:val="20"/>
                </w:rPr>
                <m:t>p</m:t>
              </m:r>
            </m:sup>
            <m:e>
              <m:sSub>
                <m:sSubPr>
                  <m:ctrlPr>
                    <w:rPr>
                      <w:rFonts w:ascii="Cambria Math" w:hAnsi="Cambria Math"/>
                      <w:b/>
                      <w:i/>
                      <w:sz w:val="20"/>
                      <w:szCs w:val="20"/>
                    </w:rPr>
                  </m:ctrlPr>
                </m:sSubPr>
                <m:e>
                  <m:r>
                    <m:rPr>
                      <m:sty m:val="bi"/>
                    </m:rPr>
                    <w:rPr>
                      <w:rFonts w:ascii="Cambria Math" w:hAnsi="Cambria Math"/>
                      <w:sz w:val="20"/>
                      <w:szCs w:val="20"/>
                    </w:rPr>
                    <m:t>β</m:t>
                  </m:r>
                </m:e>
                <m:sub>
                  <m:r>
                    <m:rPr>
                      <m:sty m:val="bi"/>
                    </m:rPr>
                    <w:rPr>
                      <w:rFonts w:ascii="Cambria Math" w:hAnsi="Cambria Math"/>
                      <w:sz w:val="20"/>
                      <w:szCs w:val="20"/>
                    </w:rPr>
                    <m:t>1</m:t>
                  </m:r>
                  <m:r>
                    <m:rPr>
                      <m:sty m:val="bi"/>
                    </m:rPr>
                    <w:rPr>
                      <w:rFonts w:ascii="Cambria Math" w:hAnsi="Cambria Math"/>
                      <w:sz w:val="20"/>
                      <w:szCs w:val="20"/>
                    </w:rPr>
                    <m:t xml:space="preserve"> </m:t>
                  </m:r>
                </m:sub>
              </m:sSub>
              <m:r>
                <m:rPr>
                  <m:sty m:val="bi"/>
                </m:rPr>
                <w:rPr>
                  <w:rFonts w:ascii="Cambria Math" w:hAnsi="Cambria Math"/>
                  <w:sz w:val="20"/>
                  <w:szCs w:val="20"/>
                </w:rPr>
                <m:t>Δ</m:t>
              </m:r>
              <m:sSub>
                <m:sSubPr>
                  <m:ctrlPr>
                    <w:rPr>
                      <w:rFonts w:ascii="Cambria Math" w:hAnsi="Cambria Math"/>
                      <w:b/>
                      <w:i/>
                      <w:sz w:val="20"/>
                      <w:szCs w:val="20"/>
                    </w:rPr>
                  </m:ctrlPr>
                </m:sSubPr>
                <m:e>
                  <m:r>
                    <m:rPr>
                      <m:sty m:val="bi"/>
                    </m:rPr>
                    <w:rPr>
                      <w:rFonts w:ascii="Cambria Math" w:hAnsi="Cambria Math"/>
                      <w:sz w:val="20"/>
                      <w:szCs w:val="20"/>
                    </w:rPr>
                    <m:t>UnR</m:t>
                  </m:r>
                </m:e>
                <m:sub>
                  <m:r>
                    <m:rPr>
                      <m:sty m:val="bi"/>
                    </m:rPr>
                    <w:rPr>
                      <w:rFonts w:ascii="Cambria Math" w:hAnsi="Cambria Math"/>
                      <w:sz w:val="20"/>
                      <w:szCs w:val="20"/>
                    </w:rPr>
                    <m:t>t</m:t>
                  </m:r>
                  <m:r>
                    <m:rPr>
                      <m:sty m:val="bi"/>
                    </m:rPr>
                    <w:rPr>
                      <w:rFonts w:ascii="Cambria Math" w:hAnsi="Cambria Math"/>
                      <w:sz w:val="20"/>
                      <w:szCs w:val="20"/>
                    </w:rPr>
                    <m:t>-</m:t>
                  </m:r>
                  <m:r>
                    <m:rPr>
                      <m:sty m:val="bi"/>
                    </m:rPr>
                    <w:rPr>
                      <w:rFonts w:ascii="Cambria Math" w:hAnsi="Cambria Math"/>
                      <w:sz w:val="20"/>
                      <w:szCs w:val="20"/>
                    </w:rPr>
                    <m:t>i</m:t>
                  </m:r>
                </m:sub>
              </m:sSub>
            </m:e>
          </m:nary>
          <m:r>
            <m:rPr>
              <m:sty m:val="bi"/>
            </m:rPr>
            <w:rPr>
              <w:rFonts w:ascii="Cambria Math" w:hAnsi="Cambria Math"/>
              <w:sz w:val="20"/>
              <w:szCs w:val="20"/>
            </w:rPr>
            <m:t>+</m:t>
          </m:r>
          <m:nary>
            <m:naryPr>
              <m:chr m:val="∑"/>
              <m:limLoc m:val="undOvr"/>
              <m:ctrlPr>
                <w:rPr>
                  <w:rFonts w:ascii="Cambria Math" w:hAnsi="Cambria Math"/>
                  <w:b/>
                  <w:i/>
                  <w:sz w:val="20"/>
                  <w:szCs w:val="20"/>
                </w:rPr>
              </m:ctrlPr>
            </m:naryPr>
            <m:sub>
              <m:r>
                <m:rPr>
                  <m:sty m:val="bi"/>
                </m:rPr>
                <w:rPr>
                  <w:rFonts w:ascii="Cambria Math" w:hAnsi="Cambria Math"/>
                  <w:sz w:val="20"/>
                  <w:szCs w:val="20"/>
                </w:rPr>
                <m:t>j</m:t>
              </m:r>
              <m:r>
                <m:rPr>
                  <m:sty m:val="bi"/>
                </m:rPr>
                <w:rPr>
                  <w:rFonts w:ascii="Cambria Math" w:hAnsi="Cambria Math"/>
                  <w:sz w:val="20"/>
                  <w:szCs w:val="20"/>
                </w:rPr>
                <m:t>=</m:t>
              </m:r>
              <m:r>
                <m:rPr>
                  <m:sty m:val="bi"/>
                </m:rPr>
                <w:rPr>
                  <w:rFonts w:ascii="Cambria Math" w:hAnsi="Cambria Math"/>
                  <w:sz w:val="20"/>
                  <w:szCs w:val="20"/>
                </w:rPr>
                <m:t>1</m:t>
              </m:r>
            </m:sub>
            <m:sup>
              <m:r>
                <m:rPr>
                  <m:sty m:val="bi"/>
                </m:rPr>
                <w:rPr>
                  <w:rFonts w:ascii="Cambria Math" w:hAnsi="Cambria Math"/>
                  <w:sz w:val="20"/>
                  <w:szCs w:val="20"/>
                </w:rPr>
                <m:t>q</m:t>
              </m:r>
            </m:sup>
            <m:e>
              <m:sSub>
                <m:sSubPr>
                  <m:ctrlPr>
                    <w:rPr>
                      <w:rFonts w:ascii="Cambria Math" w:hAnsi="Cambria Math"/>
                      <w:b/>
                      <w:i/>
                      <w:sz w:val="20"/>
                      <w:szCs w:val="20"/>
                    </w:rPr>
                  </m:ctrlPr>
                </m:sSubPr>
                <m:e>
                  <m:r>
                    <m:rPr>
                      <m:sty m:val="bi"/>
                    </m:rPr>
                    <w:rPr>
                      <w:rFonts w:ascii="Cambria Math" w:hAnsi="Cambria Math"/>
                      <w:sz w:val="20"/>
                      <w:szCs w:val="20"/>
                    </w:rPr>
                    <m:t>β</m:t>
                  </m:r>
                </m:e>
                <m:sub>
                  <m:r>
                    <m:rPr>
                      <m:sty m:val="bi"/>
                    </m:rPr>
                    <w:rPr>
                      <w:rFonts w:ascii="Cambria Math" w:hAnsi="Cambria Math"/>
                      <w:sz w:val="20"/>
                      <w:szCs w:val="20"/>
                    </w:rPr>
                    <m:t>2</m:t>
                  </m:r>
                  <m:r>
                    <m:rPr>
                      <m:sty m:val="bi"/>
                    </m:rPr>
                    <w:rPr>
                      <w:rFonts w:ascii="Cambria Math" w:hAnsi="Cambria Math"/>
                      <w:sz w:val="20"/>
                      <w:szCs w:val="20"/>
                    </w:rPr>
                    <m:t xml:space="preserve"> </m:t>
                  </m:r>
                </m:sub>
              </m:sSub>
              <m:sSub>
                <m:sSubPr>
                  <m:ctrlPr>
                    <w:rPr>
                      <w:rFonts w:ascii="Cambria Math" w:hAnsi="Cambria Math"/>
                      <w:b/>
                      <w:i/>
                      <w:sz w:val="20"/>
                      <w:szCs w:val="20"/>
                    </w:rPr>
                  </m:ctrlPr>
                </m:sSubPr>
                <m:e>
                  <m:r>
                    <m:rPr>
                      <m:sty m:val="bi"/>
                    </m:rPr>
                    <w:rPr>
                      <w:rFonts w:ascii="Cambria Math" w:hAnsi="Cambria Math"/>
                      <w:sz w:val="20"/>
                      <w:szCs w:val="20"/>
                    </w:rPr>
                    <m:t>ΔINR</m:t>
                  </m:r>
                </m:e>
                <m:sub>
                  <m:r>
                    <m:rPr>
                      <m:sty m:val="bi"/>
                    </m:rPr>
                    <w:rPr>
                      <w:rFonts w:ascii="Cambria Math" w:hAnsi="Cambria Math"/>
                      <w:sz w:val="20"/>
                      <w:szCs w:val="20"/>
                    </w:rPr>
                    <m:t>t</m:t>
                  </m:r>
                  <m:r>
                    <m:rPr>
                      <m:sty m:val="bi"/>
                    </m:rPr>
                    <w:rPr>
                      <w:rFonts w:ascii="Cambria Math" w:hAnsi="Cambria Math"/>
                      <w:sz w:val="20"/>
                      <w:szCs w:val="20"/>
                    </w:rPr>
                    <m:t>-</m:t>
                  </m:r>
                  <m:r>
                    <m:rPr>
                      <m:sty m:val="bi"/>
                    </m:rPr>
                    <w:rPr>
                      <w:rFonts w:ascii="Cambria Math" w:hAnsi="Cambria Math"/>
                      <w:sz w:val="20"/>
                      <w:szCs w:val="20"/>
                    </w:rPr>
                    <m:t>j</m:t>
                  </m:r>
                </m:sub>
              </m:sSub>
            </m:e>
          </m:nary>
          <m:r>
            <m:rPr>
              <m:sty m:val="bi"/>
            </m:rPr>
            <w:rPr>
              <w:rFonts w:ascii="Cambria Math" w:hAnsi="Cambria Math"/>
              <w:sz w:val="20"/>
              <w:szCs w:val="20"/>
            </w:rPr>
            <m:t>+</m:t>
          </m:r>
          <m:nary>
            <m:naryPr>
              <m:chr m:val="∑"/>
              <m:limLoc m:val="undOvr"/>
              <m:ctrlPr>
                <w:rPr>
                  <w:rFonts w:ascii="Cambria Math" w:hAnsi="Cambria Math"/>
                  <w:b/>
                  <w:i/>
                  <w:sz w:val="20"/>
                  <w:szCs w:val="20"/>
                </w:rPr>
              </m:ctrlPr>
            </m:naryPr>
            <m:sub>
              <m:r>
                <m:rPr>
                  <m:sty m:val="bi"/>
                </m:rPr>
                <w:rPr>
                  <w:rFonts w:ascii="Cambria Math" w:hAnsi="Cambria Math"/>
                  <w:sz w:val="20"/>
                  <w:szCs w:val="20"/>
                </w:rPr>
                <m:t>k</m:t>
              </m:r>
              <m:r>
                <m:rPr>
                  <m:sty m:val="bi"/>
                </m:rPr>
                <w:rPr>
                  <w:rFonts w:ascii="Cambria Math" w:hAnsi="Cambria Math"/>
                  <w:sz w:val="20"/>
                  <w:szCs w:val="20"/>
                </w:rPr>
                <m:t>=</m:t>
              </m:r>
              <m:r>
                <m:rPr>
                  <m:sty m:val="bi"/>
                </m:rPr>
                <w:rPr>
                  <w:rFonts w:ascii="Cambria Math" w:hAnsi="Cambria Math"/>
                  <w:sz w:val="20"/>
                  <w:szCs w:val="20"/>
                </w:rPr>
                <m:t>1</m:t>
              </m:r>
            </m:sub>
            <m:sup>
              <m:r>
                <m:rPr>
                  <m:sty m:val="bi"/>
                </m:rPr>
                <w:rPr>
                  <w:rFonts w:ascii="Cambria Math" w:hAnsi="Cambria Math"/>
                  <w:sz w:val="20"/>
                  <w:szCs w:val="20"/>
                </w:rPr>
                <m:t>r</m:t>
              </m:r>
            </m:sup>
            <m:e>
              <m:sSub>
                <m:sSubPr>
                  <m:ctrlPr>
                    <w:rPr>
                      <w:rFonts w:ascii="Cambria Math" w:hAnsi="Cambria Math"/>
                      <w:b/>
                      <w:i/>
                      <w:sz w:val="20"/>
                      <w:szCs w:val="20"/>
                    </w:rPr>
                  </m:ctrlPr>
                </m:sSubPr>
                <m:e>
                  <m:r>
                    <m:rPr>
                      <m:sty m:val="bi"/>
                    </m:rPr>
                    <w:rPr>
                      <w:rFonts w:ascii="Cambria Math" w:hAnsi="Cambria Math"/>
                      <w:sz w:val="20"/>
                      <w:szCs w:val="20"/>
                    </w:rPr>
                    <m:t>β</m:t>
                  </m:r>
                </m:e>
                <m:sub>
                  <m:r>
                    <m:rPr>
                      <m:sty m:val="bi"/>
                    </m:rPr>
                    <w:rPr>
                      <w:rFonts w:ascii="Cambria Math" w:hAnsi="Cambria Math"/>
                      <w:sz w:val="20"/>
                      <w:szCs w:val="20"/>
                    </w:rPr>
                    <m:t>3</m:t>
                  </m:r>
                  <m:r>
                    <m:rPr>
                      <m:sty m:val="bi"/>
                    </m:rPr>
                    <w:rPr>
                      <w:rFonts w:ascii="Cambria Math" w:hAnsi="Cambria Math"/>
                      <w:sz w:val="20"/>
                      <w:szCs w:val="20"/>
                    </w:rPr>
                    <m:t xml:space="preserve"> </m:t>
                  </m:r>
                </m:sub>
              </m:sSub>
              <m:sSub>
                <m:sSubPr>
                  <m:ctrlPr>
                    <w:rPr>
                      <w:rFonts w:ascii="Cambria Math" w:hAnsi="Cambria Math"/>
                      <w:b/>
                      <w:i/>
                      <w:sz w:val="20"/>
                      <w:szCs w:val="20"/>
                    </w:rPr>
                  </m:ctrlPr>
                </m:sSubPr>
                <m:e>
                  <m:r>
                    <m:rPr>
                      <m:sty m:val="bi"/>
                    </m:rPr>
                    <w:rPr>
                      <w:rFonts w:ascii="Cambria Math" w:hAnsi="Cambria Math"/>
                      <w:sz w:val="20"/>
                      <w:szCs w:val="20"/>
                    </w:rPr>
                    <m:t>ΔGDP</m:t>
                  </m:r>
                </m:e>
                <m:sub>
                  <m:r>
                    <m:rPr>
                      <m:sty m:val="bi"/>
                    </m:rPr>
                    <w:rPr>
                      <w:rFonts w:ascii="Cambria Math" w:hAnsi="Cambria Math"/>
                      <w:sz w:val="20"/>
                      <w:szCs w:val="20"/>
                    </w:rPr>
                    <m:t>t</m:t>
                  </m:r>
                  <m:r>
                    <m:rPr>
                      <m:sty m:val="bi"/>
                    </m:rPr>
                    <w:rPr>
                      <w:rFonts w:ascii="Cambria Math" w:hAnsi="Cambria Math"/>
                      <w:sz w:val="20"/>
                      <w:szCs w:val="20"/>
                    </w:rPr>
                    <m:t>-</m:t>
                  </m:r>
                  <m:r>
                    <m:rPr>
                      <m:sty m:val="bi"/>
                    </m:rPr>
                    <w:rPr>
                      <w:rFonts w:ascii="Cambria Math" w:hAnsi="Cambria Math"/>
                      <w:sz w:val="20"/>
                      <w:szCs w:val="20"/>
                    </w:rPr>
                    <m:t>k</m:t>
                  </m:r>
                </m:sub>
              </m:sSub>
            </m:e>
          </m:nary>
          <m:r>
            <m:rPr>
              <m:sty m:val="bi"/>
            </m:rPr>
            <w:rPr>
              <w:rFonts w:ascii="Cambria Math" w:hAnsi="Cambria Math"/>
              <w:sz w:val="20"/>
              <w:szCs w:val="20"/>
            </w:rPr>
            <m:t xml:space="preserve">+ </m:t>
          </m:r>
          <m:r>
            <m:rPr>
              <m:sty m:val="bi"/>
            </m:rPr>
            <w:rPr>
              <w:rFonts w:ascii="Cambria Math" w:hAnsi="Cambria Math"/>
              <w:sz w:val="20"/>
              <w:szCs w:val="20"/>
            </w:rPr>
            <m:t>λ</m:t>
          </m:r>
          <m:d>
            <m:dPr>
              <m:ctrlPr>
                <w:rPr>
                  <w:rFonts w:ascii="Cambria Math" w:hAnsi="Cambria Math"/>
                  <w:b/>
                  <w:i/>
                  <w:sz w:val="20"/>
                  <w:szCs w:val="20"/>
                </w:rPr>
              </m:ctrlPr>
            </m:dPr>
            <m:e>
              <m:r>
                <m:rPr>
                  <m:sty m:val="bi"/>
                </m:rPr>
                <w:rPr>
                  <w:rFonts w:ascii="Cambria Math" w:hAnsi="Cambria Math"/>
                  <w:sz w:val="20"/>
                  <w:szCs w:val="20"/>
                </w:rPr>
                <m:t xml:space="preserve"> </m:t>
              </m:r>
              <m:sSub>
                <m:sSubPr>
                  <m:ctrlPr>
                    <w:rPr>
                      <w:rFonts w:ascii="Cambria Math" w:hAnsi="Cambria Math"/>
                      <w:b/>
                      <w:i/>
                      <w:sz w:val="20"/>
                      <w:szCs w:val="20"/>
                    </w:rPr>
                  </m:ctrlPr>
                </m:sSubPr>
                <m:e>
                  <m:r>
                    <m:rPr>
                      <m:sty m:val="bi"/>
                    </m:rPr>
                    <w:rPr>
                      <w:rFonts w:ascii="Cambria Math" w:hAnsi="Cambria Math"/>
                      <w:sz w:val="20"/>
                      <w:szCs w:val="20"/>
                    </w:rPr>
                    <m:t>SuiR</m:t>
                  </m:r>
                </m:e>
                <m:sub>
                  <m:r>
                    <m:rPr>
                      <m:sty m:val="bi"/>
                    </m:rPr>
                    <w:rPr>
                      <w:rFonts w:ascii="Cambria Math" w:hAnsi="Cambria Math"/>
                      <w:sz w:val="20"/>
                      <w:szCs w:val="20"/>
                    </w:rPr>
                    <m:t>t</m:t>
                  </m:r>
                  <m:r>
                    <m:rPr>
                      <m:sty m:val="bi"/>
                    </m:rPr>
                    <w:rPr>
                      <w:rFonts w:ascii="Cambria Math" w:hAnsi="Cambria Math"/>
                      <w:sz w:val="20"/>
                      <w:szCs w:val="20"/>
                    </w:rPr>
                    <m:t>-</m:t>
                  </m:r>
                  <m:r>
                    <m:rPr>
                      <m:sty m:val="bi"/>
                    </m:rPr>
                    <w:rPr>
                      <w:rFonts w:ascii="Cambria Math" w:hAnsi="Cambria Math"/>
                      <w:sz w:val="20"/>
                      <w:szCs w:val="20"/>
                    </w:rPr>
                    <m:t>1</m:t>
                  </m:r>
                  <m:r>
                    <m:rPr>
                      <m:sty m:val="bi"/>
                    </m:rPr>
                    <w:rPr>
                      <w:rFonts w:ascii="Cambria Math" w:hAnsi="Cambria Math"/>
                      <w:sz w:val="20"/>
                      <w:szCs w:val="20"/>
                    </w:rPr>
                    <m:t xml:space="preserve"> </m:t>
                  </m:r>
                </m:sub>
              </m:sSub>
              <m:r>
                <m:rPr>
                  <m:sty m:val="bi"/>
                </m:rPr>
                <w:rPr>
                  <w:rFonts w:ascii="Cambria Math" w:hAnsi="Cambria Math"/>
                  <w:sz w:val="20"/>
                  <w:szCs w:val="20"/>
                </w:rPr>
                <m:t>-</m:t>
              </m:r>
              <m:r>
                <m:rPr>
                  <m:sty m:val="bi"/>
                </m:rPr>
                <w:rPr>
                  <w:rFonts w:ascii="Cambria Math" w:hAnsi="Cambria Math"/>
                  <w:sz w:val="20"/>
                  <w:szCs w:val="20"/>
                </w:rPr>
                <m:t>θ</m:t>
              </m:r>
            </m:e>
          </m:d>
          <m:r>
            <m:rPr>
              <m:sty m:val="bi"/>
            </m:rPr>
            <w:rPr>
              <w:rFonts w:ascii="Cambria Math" w:hAnsi="Cambria Math"/>
              <w:sz w:val="20"/>
              <w:szCs w:val="20"/>
            </w:rPr>
            <m:t xml:space="preserve">+ </m:t>
          </m:r>
          <m:sSub>
            <m:sSubPr>
              <m:ctrlPr>
                <w:rPr>
                  <w:rFonts w:ascii="Cambria Math" w:hAnsi="Cambria Math"/>
                  <w:b/>
                  <w:i/>
                  <w:sz w:val="20"/>
                  <w:szCs w:val="20"/>
                </w:rPr>
              </m:ctrlPr>
            </m:sSubPr>
            <m:e>
              <m:r>
                <m:rPr>
                  <m:sty m:val="bi"/>
                </m:rPr>
                <w:rPr>
                  <w:rFonts w:ascii="Cambria Math" w:hAnsi="Cambria Math"/>
                  <w:sz w:val="20"/>
                  <w:szCs w:val="20"/>
                </w:rPr>
                <m:t>ϵ</m:t>
              </m:r>
            </m:e>
            <m:sub>
              <m:r>
                <m:rPr>
                  <m:sty m:val="bi"/>
                </m:rPr>
                <w:rPr>
                  <w:rFonts w:ascii="Cambria Math" w:hAnsi="Cambria Math"/>
                  <w:sz w:val="20"/>
                  <w:szCs w:val="20"/>
                </w:rPr>
                <m:t>t</m:t>
              </m:r>
            </m:sub>
          </m:sSub>
          <m:r>
            <m:rPr>
              <m:sty m:val="bi"/>
            </m:rPr>
            <w:rPr>
              <w:rFonts w:ascii="Cambria Math" w:hAnsi="Cambria Math"/>
              <w:sz w:val="20"/>
              <w:szCs w:val="20"/>
            </w:rPr>
            <m:t xml:space="preserve">  </m:t>
          </m:r>
        </m:oMath>
      </m:oMathPara>
    </w:p>
    <w:p w14:paraId="1698F5CF" w14:textId="77777777" w:rsidR="00605E6B" w:rsidRPr="00F9224C" w:rsidRDefault="00605E6B" w:rsidP="00273559">
      <w:pPr>
        <w:pStyle w:val="NormalWeb"/>
        <w:spacing w:line="360" w:lineRule="auto"/>
        <w:jc w:val="both"/>
      </w:pPr>
      <w:r w:rsidRPr="00F9224C">
        <w:t>Where,</w:t>
      </w:r>
    </w:p>
    <w:p w14:paraId="051ACCEF" w14:textId="48327632" w:rsidR="00605E6B" w:rsidRPr="00F9224C" w:rsidRDefault="002C79BB" w:rsidP="00273559">
      <w:pPr>
        <w:pStyle w:val="NormalWeb"/>
        <w:numPr>
          <w:ilvl w:val="0"/>
          <w:numId w:val="5"/>
        </w:numPr>
        <w:spacing w:line="360" w:lineRule="auto"/>
        <w:jc w:val="both"/>
      </w:pPr>
      <m:oMath>
        <m:sSub>
          <m:sSubPr>
            <m:ctrlPr>
              <w:rPr>
                <w:rFonts w:ascii="Cambria Math" w:hAnsi="Cambria Math"/>
                <w:i/>
              </w:rPr>
            </m:ctrlPr>
          </m:sSubPr>
          <m:e>
            <m:r>
              <w:rPr>
                <w:rFonts w:ascii="Cambria Math" w:hAnsi="Cambria Math"/>
              </w:rPr>
              <m:t>∆</m:t>
            </m:r>
            <m:r>
              <w:rPr>
                <w:rFonts w:ascii="Cambria Math" w:hAnsi="Cambria Math"/>
              </w:rPr>
              <m:t>suicide</m:t>
            </m:r>
            <m:r>
              <w:rPr>
                <w:rFonts w:ascii="Cambria Math" w:hAnsi="Cambria Math"/>
              </w:rPr>
              <m:t xml:space="preserve"> </m:t>
            </m:r>
            <m:r>
              <w:rPr>
                <w:rFonts w:ascii="Cambria Math" w:hAnsi="Cambria Math"/>
              </w:rPr>
              <m:t>rate</m:t>
            </m:r>
          </m:e>
          <m:sub>
            <m:r>
              <w:rPr>
                <w:rFonts w:ascii="Cambria Math" w:hAnsi="Cambria Math"/>
              </w:rPr>
              <m:t>t</m:t>
            </m:r>
          </m:sub>
        </m:sSub>
      </m:oMath>
      <w:r w:rsidR="00605E6B" w:rsidRPr="00F9224C">
        <w:t xml:space="preserve"> denotes the change in </w:t>
      </w:r>
      <w:r w:rsidR="00855E93" w:rsidRPr="00F9224C">
        <w:t xml:space="preserve">suicide rate </w:t>
      </w:r>
      <w:r w:rsidR="00605E6B" w:rsidRPr="00F9224C">
        <w:t>at time t.</w:t>
      </w:r>
    </w:p>
    <w:p w14:paraId="7034B248" w14:textId="4BB50874" w:rsidR="00605E6B" w:rsidRPr="00F9224C" w:rsidRDefault="002C79BB" w:rsidP="00273559">
      <w:pPr>
        <w:pStyle w:val="NormalWeb"/>
        <w:numPr>
          <w:ilvl w:val="0"/>
          <w:numId w:val="5"/>
        </w:numPr>
        <w:spacing w:line="360" w:lineRule="auto"/>
        <w:jc w:val="both"/>
      </w:pPr>
      <m:oMath>
        <m:sSub>
          <m:sSubPr>
            <m:ctrlPr>
              <w:rPr>
                <w:rFonts w:ascii="Cambria Math" w:hAnsi="Cambria Math"/>
                <w:i/>
              </w:rPr>
            </m:ctrlPr>
          </m:sSubPr>
          <m:e>
            <m:r>
              <w:rPr>
                <w:rFonts w:ascii="Cambria Math" w:hAnsi="Cambria Math"/>
              </w:rPr>
              <m:t>∆</m:t>
            </m:r>
            <m:r>
              <w:rPr>
                <w:rFonts w:ascii="Cambria Math" w:hAnsi="Cambria Math"/>
              </w:rPr>
              <m:t>GDP</m:t>
            </m:r>
          </m:e>
          <m:sub>
            <m:r>
              <w:rPr>
                <w:rFonts w:ascii="Cambria Math" w:hAnsi="Cambria Math"/>
              </w:rPr>
              <m:t>t</m:t>
            </m:r>
          </m:sub>
        </m:sSub>
      </m:oMath>
      <w:r w:rsidR="00605E6B" w:rsidRPr="00F9224C">
        <w:t>,</w:t>
      </w:r>
      <m:oMath>
        <m:r>
          <w:rPr>
            <w:rFonts w:ascii="Cambria Math" w:hAnsi="Cambria Math"/>
          </w:rPr>
          <m:t xml:space="preserve"> </m:t>
        </m:r>
        <m:sSub>
          <m:sSubPr>
            <m:ctrlPr>
              <w:rPr>
                <w:rFonts w:ascii="Cambria Math" w:hAnsi="Cambria Math"/>
                <w:i/>
              </w:rPr>
            </m:ctrlPr>
          </m:sSubPr>
          <m:e>
            <m:r>
              <w:rPr>
                <w:rFonts w:ascii="Cambria Math" w:hAnsi="Cambria Math"/>
              </w:rPr>
              <m:t>∆</m:t>
            </m:r>
            <m:r>
              <w:rPr>
                <w:rFonts w:ascii="Cambria Math" w:hAnsi="Cambria Math"/>
              </w:rPr>
              <m:t>INR</m:t>
            </m:r>
          </m:e>
          <m:sub>
            <m:r>
              <w:rPr>
                <w:rFonts w:ascii="Cambria Math" w:hAnsi="Cambria Math"/>
              </w:rPr>
              <m:t>t</m:t>
            </m:r>
          </m:sub>
        </m:sSub>
      </m:oMath>
      <w:r w:rsidR="00605E6B" w:rsidRPr="00F9224C">
        <w:t>,</w:t>
      </w:r>
      <m:oMath>
        <m:r>
          <w:rPr>
            <w:rFonts w:ascii="Cambria Math" w:hAnsi="Cambria Math"/>
          </w:rPr>
          <m:t xml:space="preserve">  </m:t>
        </m:r>
        <m:sSub>
          <m:sSubPr>
            <m:ctrlPr>
              <w:rPr>
                <w:rFonts w:ascii="Cambria Math" w:hAnsi="Cambria Math"/>
                <w:i/>
              </w:rPr>
            </m:ctrlPr>
          </m:sSubPr>
          <m:e>
            <m:r>
              <w:rPr>
                <w:rFonts w:ascii="Cambria Math" w:hAnsi="Cambria Math"/>
              </w:rPr>
              <m:t>∆</m:t>
            </m:r>
            <m:r>
              <w:rPr>
                <w:rFonts w:ascii="Cambria Math" w:hAnsi="Cambria Math"/>
              </w:rPr>
              <m:t>UnR</m:t>
            </m:r>
          </m:e>
          <m:sub>
            <m:r>
              <w:rPr>
                <w:rFonts w:ascii="Cambria Math" w:hAnsi="Cambria Math"/>
              </w:rPr>
              <m:t>t</m:t>
            </m:r>
          </m:sub>
        </m:sSub>
      </m:oMath>
      <w:r w:rsidR="00605E6B" w:rsidRPr="00F9224C">
        <w:t xml:space="preserve"> denote first difference respective GDP growth rate, inflation rate and </w:t>
      </w:r>
      <w:r w:rsidR="00855E93" w:rsidRPr="00F9224C">
        <w:t>unemployment</w:t>
      </w:r>
      <w:r w:rsidR="00605E6B" w:rsidRPr="00F9224C">
        <w:t xml:space="preserve"> rate at time t,</w:t>
      </w:r>
    </w:p>
    <w:p w14:paraId="30A85C9C" w14:textId="77777777" w:rsidR="00605E6B" w:rsidRPr="00F9224C" w:rsidRDefault="00605E6B" w:rsidP="00273559">
      <w:pPr>
        <w:pStyle w:val="NormalWeb"/>
        <w:numPr>
          <w:ilvl w:val="0"/>
          <w:numId w:val="5"/>
        </w:numPr>
        <w:spacing w:line="360" w:lineRule="auto"/>
        <w:jc w:val="both"/>
      </w:pPr>
      <m:oMath>
        <m:r>
          <w:rPr>
            <w:rFonts w:ascii="Cambria Math" w:hAnsi="Cambria Math"/>
          </w:rPr>
          <m:t>α</m:t>
        </m:r>
      </m:oMath>
      <w:r w:rsidRPr="00F9224C">
        <w:t xml:space="preserve"> is constant term,</w:t>
      </w:r>
    </w:p>
    <w:p w14:paraId="45F5883D" w14:textId="2F8EED7C" w:rsidR="00605E6B" w:rsidRPr="00F9224C" w:rsidRDefault="002C79BB" w:rsidP="00273559">
      <w:pPr>
        <w:pStyle w:val="NormalWeb"/>
        <w:numPr>
          <w:ilvl w:val="0"/>
          <w:numId w:val="5"/>
        </w:numPr>
        <w:spacing w:line="360" w:lineRule="auto"/>
        <w:jc w:val="both"/>
      </w:pPr>
      <m:oMath>
        <m:sSub>
          <m:sSubPr>
            <m:ctrlPr>
              <w:rPr>
                <w:rFonts w:ascii="Cambria Math" w:hAnsi="Cambria Math"/>
                <w:i/>
              </w:rPr>
            </m:ctrlPr>
          </m:sSubPr>
          <m:e>
            <m:r>
              <w:rPr>
                <w:rFonts w:ascii="Cambria Math" w:hAnsi="Cambria Math"/>
              </w:rPr>
              <m:t>β</m:t>
            </m:r>
          </m:e>
          <m:sub>
            <m:r>
              <w:rPr>
                <w:rFonts w:ascii="Cambria Math" w:hAnsi="Cambria Math"/>
              </w:rPr>
              <m:t xml:space="preserve">1 </m:t>
            </m:r>
          </m:sub>
        </m:sSub>
        <m:r>
          <w:rPr>
            <w:rFonts w:ascii="Cambria Math" w:hAnsi="Cambria Math"/>
          </w:rPr>
          <m:t xml:space="preserve">,  </m:t>
        </m:r>
        <m:sSub>
          <m:sSubPr>
            <m:ctrlPr>
              <w:rPr>
                <w:rFonts w:ascii="Cambria Math" w:hAnsi="Cambria Math"/>
                <w:i/>
              </w:rPr>
            </m:ctrlPr>
          </m:sSubPr>
          <m:e>
            <m:r>
              <w:rPr>
                <w:rFonts w:ascii="Cambria Math" w:hAnsi="Cambria Math"/>
              </w:rPr>
              <m:t>β</m:t>
            </m:r>
          </m:e>
          <m:sub>
            <m:r>
              <w:rPr>
                <w:rFonts w:ascii="Cambria Math" w:hAnsi="Cambria Math"/>
              </w:rPr>
              <m:t xml:space="preserve">2 </m:t>
            </m:r>
          </m:sub>
        </m:sSub>
        <m:r>
          <w:rPr>
            <w:rFonts w:ascii="Cambria Math" w:hAnsi="Cambria Math"/>
          </w:rPr>
          <m:t xml:space="preserve">,  </m:t>
        </m:r>
        <m:sSub>
          <m:sSubPr>
            <m:ctrlPr>
              <w:rPr>
                <w:rFonts w:ascii="Cambria Math" w:hAnsi="Cambria Math"/>
                <w:i/>
              </w:rPr>
            </m:ctrlPr>
          </m:sSubPr>
          <m:e>
            <m:r>
              <w:rPr>
                <w:rFonts w:ascii="Cambria Math" w:hAnsi="Cambria Math"/>
              </w:rPr>
              <m:t>β</m:t>
            </m:r>
          </m:e>
          <m:sub>
            <m:r>
              <w:rPr>
                <w:rFonts w:ascii="Cambria Math" w:hAnsi="Cambria Math"/>
              </w:rPr>
              <m:t xml:space="preserve">3 </m:t>
            </m:r>
          </m:sub>
        </m:sSub>
      </m:oMath>
      <w:r w:rsidR="00605E6B" w:rsidRPr="00F9224C">
        <w:t>are the co-efficient for the respective lagged variable,</w:t>
      </w:r>
    </w:p>
    <w:p w14:paraId="77787582" w14:textId="337791F3" w:rsidR="00605E6B" w:rsidRPr="00F9224C" w:rsidRDefault="00605E6B" w:rsidP="00273559">
      <w:pPr>
        <w:pStyle w:val="NormalWeb"/>
        <w:numPr>
          <w:ilvl w:val="0"/>
          <w:numId w:val="5"/>
        </w:numPr>
        <w:spacing w:line="360" w:lineRule="auto"/>
        <w:jc w:val="both"/>
      </w:pPr>
      <m:oMath>
        <m:r>
          <w:rPr>
            <w:rFonts w:ascii="Cambria Math" w:hAnsi="Cambria Math"/>
          </w:rPr>
          <m:t>λ</m:t>
        </m:r>
        <m:d>
          <m:dPr>
            <m:ctrlPr>
              <w:rPr>
                <w:rFonts w:ascii="Cambria Math" w:hAnsi="Cambria Math"/>
                <w:i/>
              </w:rPr>
            </m:ctrlPr>
          </m:dPr>
          <m:e>
            <m:r>
              <w:rPr>
                <w:rFonts w:ascii="Cambria Math" w:hAnsi="Cambria Math"/>
              </w:rPr>
              <m:t xml:space="preserve"> </m:t>
            </m:r>
            <m:sSub>
              <m:sSubPr>
                <m:ctrlPr>
                  <w:rPr>
                    <w:rFonts w:ascii="Cambria Math" w:hAnsi="Cambria Math"/>
                    <w:i/>
                  </w:rPr>
                </m:ctrlPr>
              </m:sSubPr>
              <m:e>
                <m:r>
                  <w:rPr>
                    <w:rFonts w:ascii="Cambria Math" w:hAnsi="Cambria Math"/>
                  </w:rPr>
                  <m:t>SuiR</m:t>
                </m:r>
              </m:e>
              <m:sub>
                <m:r>
                  <w:rPr>
                    <w:rFonts w:ascii="Cambria Math" w:hAnsi="Cambria Math"/>
                  </w:rPr>
                  <m:t xml:space="preserve">t-1 </m:t>
                </m:r>
              </m:sub>
            </m:sSub>
            <m:r>
              <w:rPr>
                <w:rFonts w:ascii="Cambria Math" w:hAnsi="Cambria Math"/>
              </w:rPr>
              <m:t>-θ</m:t>
            </m:r>
          </m:e>
        </m:d>
        <m:r>
          <w:rPr>
            <w:rFonts w:ascii="Cambria Math" w:hAnsi="Cambria Math"/>
          </w:rPr>
          <m:t xml:space="preserve">, </m:t>
        </m:r>
      </m:oMath>
      <w:r w:rsidRPr="00F9224C">
        <w:t xml:space="preserve">this term is the error correction mechanism part of this model and coefficient </w:t>
      </w:r>
      <m:oMath>
        <m:r>
          <w:rPr>
            <w:rFonts w:ascii="Cambria Math" w:hAnsi="Cambria Math"/>
          </w:rPr>
          <m:t>λ</m:t>
        </m:r>
      </m:oMath>
      <w:r w:rsidRPr="00F9224C">
        <w:t xml:space="preserve"> measures how quickly the system corrects to return to this equilibrium,</w:t>
      </w:r>
    </w:p>
    <w:p w14:paraId="1085B2E4" w14:textId="3655A3AB" w:rsidR="00FD3418" w:rsidRPr="00F9224C" w:rsidRDefault="002C79BB" w:rsidP="0014508F">
      <w:pPr>
        <w:pStyle w:val="NormalWeb"/>
        <w:numPr>
          <w:ilvl w:val="0"/>
          <w:numId w:val="5"/>
        </w:numPr>
        <w:spacing w:line="360" w:lineRule="auto"/>
        <w:jc w:val="both"/>
      </w:pPr>
      <m:oMath>
        <m:sSub>
          <m:sSubPr>
            <m:ctrlPr>
              <w:rPr>
                <w:rFonts w:ascii="Cambria Math" w:hAnsi="Cambria Math"/>
                <w:i/>
              </w:rPr>
            </m:ctrlPr>
          </m:sSubPr>
          <m:e>
            <m:r>
              <w:rPr>
                <w:rFonts w:ascii="Cambria Math" w:hAnsi="Cambria Math"/>
              </w:rPr>
              <m:t>ϵ</m:t>
            </m:r>
          </m:e>
          <m:sub>
            <m:r>
              <w:rPr>
                <w:rFonts w:ascii="Cambria Math" w:hAnsi="Cambria Math"/>
              </w:rPr>
              <m:t>t</m:t>
            </m:r>
          </m:sub>
        </m:sSub>
      </m:oMath>
      <w:r w:rsidR="00605E6B" w:rsidRPr="00F9224C">
        <w:t>is the error term.</w:t>
      </w:r>
    </w:p>
    <w:p w14:paraId="282C0CAB" w14:textId="1C69D6F1" w:rsidR="00E9698F" w:rsidRPr="00F9224C" w:rsidRDefault="00E1297F" w:rsidP="0014508F">
      <w:pPr>
        <w:pStyle w:val="NormalWeb"/>
        <w:spacing w:line="360" w:lineRule="auto"/>
        <w:jc w:val="both"/>
      </w:pPr>
      <w:r w:rsidRPr="00F9224C">
        <w:rPr>
          <w:b/>
          <w:bCs/>
          <w:shd w:val="clear" w:color="auto" w:fill="FFFFFF"/>
        </w:rPr>
        <w:t>5</w:t>
      </w:r>
      <w:r w:rsidR="00815C7C" w:rsidRPr="00F9224C">
        <w:rPr>
          <w:b/>
          <w:bCs/>
          <w:shd w:val="clear" w:color="auto" w:fill="FFFFFF"/>
        </w:rPr>
        <w:t xml:space="preserve">.5 </w:t>
      </w:r>
      <w:r w:rsidR="00E9698F" w:rsidRPr="00F9224C">
        <w:rPr>
          <w:b/>
          <w:bCs/>
          <w:shd w:val="clear" w:color="auto" w:fill="FFFFFF"/>
        </w:rPr>
        <w:t>Estimation of Long-Run and Short-Run Impacts</w:t>
      </w:r>
    </w:p>
    <w:p w14:paraId="3CEEC9D2" w14:textId="77777777" w:rsidR="00E9698F" w:rsidRPr="00F9224C" w:rsidRDefault="00E9698F" w:rsidP="00913E8A">
      <w:pPr>
        <w:numPr>
          <w:ilvl w:val="0"/>
          <w:numId w:val="16"/>
        </w:numPr>
        <w:spacing w:before="100" w:beforeAutospacing="1" w:after="100" w:afterAutospacing="1" w:line="276" w:lineRule="auto"/>
        <w:jc w:val="both"/>
        <w:rPr>
          <w:shd w:val="clear" w:color="auto" w:fill="FFFFFF"/>
        </w:rPr>
      </w:pPr>
      <w:r w:rsidRPr="00F9224C">
        <w:rPr>
          <w:bCs/>
          <w:shd w:val="clear" w:color="auto" w:fill="FFFFFF"/>
        </w:rPr>
        <w:t>Long-term Coefficients</w:t>
      </w:r>
      <w:r w:rsidRPr="00F9224C">
        <w:rPr>
          <w:shd w:val="clear" w:color="auto" w:fill="FFFFFF"/>
        </w:rPr>
        <w:t xml:space="preserve">: The Autoregressive Distributed Lag (ARDL) model's long-run coefficients help us to comprehend how </w:t>
      </w:r>
      <w:r w:rsidRPr="00F9224C">
        <w:rPr>
          <w:bCs/>
          <w:shd w:val="clear" w:color="auto" w:fill="FFFFFF"/>
        </w:rPr>
        <w:t>GDP growth rate</w:t>
      </w:r>
      <w:r w:rsidRPr="00F9224C">
        <w:rPr>
          <w:shd w:val="clear" w:color="auto" w:fill="FFFFFF"/>
        </w:rPr>
        <w:t xml:space="preserve">, </w:t>
      </w:r>
      <w:r w:rsidRPr="00F9224C">
        <w:rPr>
          <w:bCs/>
          <w:shd w:val="clear" w:color="auto" w:fill="FFFFFF"/>
        </w:rPr>
        <w:t>inflation rate,</w:t>
      </w:r>
      <w:r w:rsidRPr="00F9224C">
        <w:rPr>
          <w:shd w:val="clear" w:color="auto" w:fill="FFFFFF"/>
        </w:rPr>
        <w:t xml:space="preserve"> and </w:t>
      </w:r>
      <w:r w:rsidRPr="00F9224C">
        <w:rPr>
          <w:shd w:val="clear" w:color="auto" w:fill="FFFFFF"/>
        </w:rPr>
        <w:lastRenderedPageBreak/>
        <w:t>Unemployment rate influence Suicide rate over the long term, providing valuable insights into the economic forces that drive suicide rate.</w:t>
      </w:r>
    </w:p>
    <w:p w14:paraId="2FC164FE" w14:textId="77777777" w:rsidR="00E9698F" w:rsidRPr="00F9224C" w:rsidRDefault="00E9698F" w:rsidP="00913E8A">
      <w:pPr>
        <w:numPr>
          <w:ilvl w:val="0"/>
          <w:numId w:val="16"/>
        </w:numPr>
        <w:spacing w:before="100" w:beforeAutospacing="1" w:after="100" w:afterAutospacing="1" w:line="276" w:lineRule="auto"/>
        <w:jc w:val="both"/>
        <w:rPr>
          <w:shd w:val="clear" w:color="auto" w:fill="FFFFFF"/>
        </w:rPr>
      </w:pPr>
      <w:r w:rsidRPr="00F9224C">
        <w:rPr>
          <w:bCs/>
          <w:shd w:val="clear" w:color="auto" w:fill="FFFFFF"/>
        </w:rPr>
        <w:t>Error Correction Model (ECM)</w:t>
      </w:r>
      <w:r w:rsidRPr="00F9224C">
        <w:rPr>
          <w:shd w:val="clear" w:color="auto" w:fill="FFFFFF"/>
        </w:rPr>
        <w:t>: The ECM reveals how quickly any short-term imbalances in suicide rate are corrected, with the error correction factor representing how quickly the system returns to the system’s long-term equilibrium.</w:t>
      </w:r>
    </w:p>
    <w:p w14:paraId="6976D88E" w14:textId="55225164" w:rsidR="00E9698F" w:rsidRPr="00F9224C" w:rsidRDefault="00E1297F" w:rsidP="00E9698F">
      <w:pPr>
        <w:spacing w:before="100" w:beforeAutospacing="1" w:after="100" w:afterAutospacing="1" w:line="276" w:lineRule="auto"/>
        <w:rPr>
          <w:b/>
          <w:bCs/>
          <w:shd w:val="clear" w:color="auto" w:fill="FFFFFF"/>
        </w:rPr>
      </w:pPr>
      <w:r w:rsidRPr="00F9224C">
        <w:rPr>
          <w:b/>
          <w:bCs/>
          <w:shd w:val="clear" w:color="auto" w:fill="FFFFFF"/>
        </w:rPr>
        <w:t>5</w:t>
      </w:r>
      <w:r w:rsidR="00815C7C" w:rsidRPr="00F9224C">
        <w:rPr>
          <w:b/>
          <w:bCs/>
          <w:shd w:val="clear" w:color="auto" w:fill="FFFFFF"/>
        </w:rPr>
        <w:t xml:space="preserve">.6 </w:t>
      </w:r>
      <w:r w:rsidR="00E9698F" w:rsidRPr="00F9224C">
        <w:rPr>
          <w:b/>
          <w:bCs/>
          <w:shd w:val="clear" w:color="auto" w:fill="FFFFFF"/>
        </w:rPr>
        <w:t>Diagnostic Tests</w:t>
      </w:r>
    </w:p>
    <w:p w14:paraId="0E2DD0DD" w14:textId="5BCD347B" w:rsidR="00615876" w:rsidRPr="00F9224C" w:rsidRDefault="00615876" w:rsidP="00615876">
      <w:pPr>
        <w:spacing w:line="360" w:lineRule="auto"/>
        <w:jc w:val="both"/>
      </w:pPr>
      <w:r w:rsidRPr="00F9224C">
        <w:t>We perform multiple diagnostic test procedures to ensure the model's reliability. The Breusch-Godfrey test is utilized to assess serial correlation by identifying autocorrelation within the residuals. Subsequently, we examine heteroscedasticity. The White test or Breusch-Pagan test is employed to verify that the residuals maintain constant variance.</w:t>
      </w:r>
      <w:r w:rsidR="00180FD1" w:rsidRPr="00F9224C">
        <w:t xml:space="preserve"> </w:t>
      </w:r>
      <w:r w:rsidRPr="00F9224C">
        <w:t xml:space="preserve">Finally, we evaluate the Model Stability Test: The CUSUM test serves as a tool to examine the long-term stability of the model. </w:t>
      </w:r>
    </w:p>
    <w:p w14:paraId="37BA21C3" w14:textId="33C68DE1" w:rsidR="00815C7C" w:rsidRPr="00F9224C" w:rsidRDefault="00E1297F" w:rsidP="00913E8A">
      <w:pPr>
        <w:spacing w:before="100" w:beforeAutospacing="1" w:after="100" w:afterAutospacing="1" w:line="360" w:lineRule="auto"/>
        <w:jc w:val="both"/>
        <w:rPr>
          <w:shd w:val="clear" w:color="auto" w:fill="FFFFFF"/>
        </w:rPr>
      </w:pPr>
      <w:r w:rsidRPr="00F9224C">
        <w:rPr>
          <w:b/>
          <w:shd w:val="clear" w:color="auto" w:fill="FFFFFF"/>
        </w:rPr>
        <w:t>5</w:t>
      </w:r>
      <w:r w:rsidR="00815C7C" w:rsidRPr="00F9224C">
        <w:rPr>
          <w:b/>
          <w:shd w:val="clear" w:color="auto" w:fill="FFFFFF"/>
        </w:rPr>
        <w:t xml:space="preserve">.7 </w:t>
      </w:r>
      <w:r w:rsidR="00E9698F" w:rsidRPr="00F9224C">
        <w:rPr>
          <w:b/>
          <w:shd w:val="clear" w:color="auto" w:fill="FFFFFF"/>
        </w:rPr>
        <w:t xml:space="preserve">Policy </w:t>
      </w:r>
      <w:r w:rsidR="00FD3418" w:rsidRPr="00F9224C">
        <w:rPr>
          <w:b/>
          <w:shd w:val="clear" w:color="auto" w:fill="FFFFFF"/>
        </w:rPr>
        <w:t>recommendations</w:t>
      </w:r>
      <w:r w:rsidR="00A54432" w:rsidRPr="00F9224C">
        <w:rPr>
          <w:shd w:val="clear" w:color="auto" w:fill="FFFFFF"/>
        </w:rPr>
        <w:t xml:space="preserve"> </w:t>
      </w:r>
    </w:p>
    <w:p w14:paraId="19999B9A" w14:textId="633DBE23" w:rsidR="00E9698F" w:rsidRPr="00F9224C" w:rsidRDefault="00A54432" w:rsidP="00913E8A">
      <w:pPr>
        <w:spacing w:before="100" w:beforeAutospacing="1" w:after="100" w:afterAutospacing="1" w:line="360" w:lineRule="auto"/>
        <w:jc w:val="both"/>
        <w:rPr>
          <w:shd w:val="clear" w:color="auto" w:fill="FFFFFF"/>
        </w:rPr>
      </w:pPr>
      <w:r w:rsidRPr="00F9224C">
        <w:rPr>
          <w:shd w:val="clear" w:color="auto" w:fill="FFFFFF"/>
        </w:rPr>
        <w:t>T</w:t>
      </w:r>
      <w:r w:rsidR="00E9698F" w:rsidRPr="00F9224C">
        <w:rPr>
          <w:shd w:val="clear" w:color="auto" w:fill="FFFFFF"/>
        </w:rPr>
        <w:t>hese models allow us to</w:t>
      </w:r>
      <w:r w:rsidRPr="00F9224C">
        <w:rPr>
          <w:shd w:val="clear" w:color="auto" w:fill="FFFFFF"/>
        </w:rPr>
        <w:t xml:space="preserve"> </w:t>
      </w:r>
      <w:r w:rsidR="00E9698F" w:rsidRPr="00F9224C">
        <w:rPr>
          <w:shd w:val="clear" w:color="auto" w:fill="FFFFFF"/>
        </w:rPr>
        <w:t>analyze both long-term trends and short-term fluctuations, giving us invaluable information about the relationship between suicide rate and economic performance. By understanding these dynamics, policymakers are able to make well informed strategies that align with national priorities and economic stability. These predictions will help policymakers to find a way to balance the suicide rate with wider economic goals so that the country can thrive in the long run and stay safe.</w:t>
      </w:r>
    </w:p>
    <w:p w14:paraId="6FA8FF81" w14:textId="74C2DCA9" w:rsidR="008F721F" w:rsidRPr="00F9224C" w:rsidRDefault="00E1297F" w:rsidP="00273559">
      <w:pPr>
        <w:pStyle w:val="NormalWeb"/>
        <w:spacing w:line="360" w:lineRule="auto"/>
        <w:jc w:val="both"/>
        <w:rPr>
          <w:b/>
          <w:bCs/>
        </w:rPr>
      </w:pPr>
      <w:r w:rsidRPr="00F9224C">
        <w:rPr>
          <w:b/>
          <w:bCs/>
        </w:rPr>
        <w:t>6</w:t>
      </w:r>
      <w:r w:rsidR="00815C7C" w:rsidRPr="00F9224C">
        <w:rPr>
          <w:b/>
          <w:bCs/>
        </w:rPr>
        <w:t xml:space="preserve">. </w:t>
      </w:r>
      <w:r w:rsidR="00C441C0" w:rsidRPr="00F9224C">
        <w:rPr>
          <w:b/>
          <w:bCs/>
        </w:rPr>
        <w:t xml:space="preserve">Empirical </w:t>
      </w:r>
      <w:r w:rsidR="00815C7C" w:rsidRPr="00F9224C">
        <w:rPr>
          <w:b/>
          <w:bCs/>
        </w:rPr>
        <w:t>R</w:t>
      </w:r>
      <w:r w:rsidR="00C441C0" w:rsidRPr="00F9224C">
        <w:rPr>
          <w:b/>
          <w:bCs/>
        </w:rPr>
        <w:t>esult</w:t>
      </w:r>
      <w:r w:rsidR="00815C7C" w:rsidRPr="00F9224C">
        <w:rPr>
          <w:b/>
          <w:bCs/>
        </w:rPr>
        <w:t xml:space="preserve"> </w:t>
      </w:r>
      <w:r w:rsidR="0053103A">
        <w:rPr>
          <w:b/>
          <w:bCs/>
        </w:rPr>
        <w:t>and Discussion</w:t>
      </w:r>
    </w:p>
    <w:p w14:paraId="0F023AF8" w14:textId="77777777" w:rsidR="006D0966" w:rsidRPr="00F9224C" w:rsidRDefault="006D0966" w:rsidP="00273559">
      <w:pPr>
        <w:spacing w:line="360" w:lineRule="auto"/>
        <w:jc w:val="both"/>
      </w:pPr>
      <w:r w:rsidRPr="00F9224C">
        <w:t>This analysis utilizes time series data obtained from the World Bank database, encompassing the period from 2000 to 2021. The time series statistics for the rate of suicides, unemployment rate, GDP, and inflation rate are presented as percentages.</w:t>
      </w:r>
    </w:p>
    <w:p w14:paraId="76A6EBAD" w14:textId="4C66A320" w:rsidR="00DF36F8" w:rsidRPr="00F9224C" w:rsidRDefault="006D0966" w:rsidP="00273559">
      <w:pPr>
        <w:spacing w:line="360" w:lineRule="auto"/>
        <w:jc w:val="both"/>
      </w:pPr>
      <w:r w:rsidRPr="00F9224C">
        <w:t>We are now examining the graphical trends of macroeconomic variables: suicide rate, unemployment rate, GDP, and inflation rate.</w:t>
      </w:r>
      <w:r w:rsidR="00180FD1" w:rsidRPr="00F9224C">
        <w:t xml:space="preserve"> </w:t>
      </w:r>
      <w:r w:rsidRPr="00F9224C">
        <w:t xml:space="preserve">Figure </w:t>
      </w:r>
      <w:r w:rsidR="00180FD1" w:rsidRPr="00F9224C">
        <w:t>1</w:t>
      </w:r>
      <w:r w:rsidRPr="00F9224C">
        <w:t xml:space="preserve"> illustrates the trend of four variables. </w:t>
      </w:r>
    </w:p>
    <w:p w14:paraId="65659A87" w14:textId="77777777" w:rsidR="00913E8A" w:rsidRPr="00F9224C" w:rsidRDefault="00913E8A" w:rsidP="00273559">
      <w:pPr>
        <w:spacing w:line="360" w:lineRule="auto"/>
        <w:jc w:val="both"/>
      </w:pPr>
    </w:p>
    <w:tbl>
      <w:tblPr>
        <w:tblStyle w:val="TableGrid"/>
        <w:tblW w:w="9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849"/>
      </w:tblGrid>
      <w:tr w:rsidR="007407B4" w:rsidRPr="00F9224C" w14:paraId="729F978A" w14:textId="77777777" w:rsidTr="009773D0">
        <w:tc>
          <w:tcPr>
            <w:tcW w:w="4945" w:type="dxa"/>
          </w:tcPr>
          <w:p w14:paraId="2BBAA449" w14:textId="4F8028A0" w:rsidR="007407B4" w:rsidRPr="00F9224C" w:rsidRDefault="009773D0" w:rsidP="00273559">
            <w:pPr>
              <w:spacing w:line="360" w:lineRule="auto"/>
              <w:jc w:val="both"/>
              <w:rPr>
                <w:u w:val="single"/>
              </w:rPr>
            </w:pPr>
            <w:r w:rsidRPr="00F9224C">
              <w:rPr>
                <w:noProof/>
                <w:u w:val="single"/>
              </w:rPr>
              <w:lastRenderedPageBreak/>
              <w:drawing>
                <wp:inline distT="0" distB="0" distL="0" distR="0" wp14:anchorId="58690ED6" wp14:editId="0C4A6F27">
                  <wp:extent cx="2971800" cy="2430145"/>
                  <wp:effectExtent l="19050" t="19050" r="19050" b="2730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3940" cy="2440072"/>
                          </a:xfrm>
                          <a:prstGeom prst="rect">
                            <a:avLst/>
                          </a:prstGeom>
                          <a:noFill/>
                          <a:ln>
                            <a:solidFill>
                              <a:schemeClr val="tx1"/>
                            </a:solidFill>
                          </a:ln>
                        </pic:spPr>
                      </pic:pic>
                    </a:graphicData>
                  </a:graphic>
                </wp:inline>
              </w:drawing>
            </w:r>
          </w:p>
        </w:tc>
        <w:tc>
          <w:tcPr>
            <w:tcW w:w="4860" w:type="dxa"/>
          </w:tcPr>
          <w:p w14:paraId="323D3ED1" w14:textId="016D33EF" w:rsidR="007407B4" w:rsidRPr="00F9224C" w:rsidRDefault="007407B4" w:rsidP="00273559">
            <w:pPr>
              <w:spacing w:line="360" w:lineRule="auto"/>
              <w:jc w:val="both"/>
              <w:rPr>
                <w:u w:val="single"/>
              </w:rPr>
            </w:pPr>
            <w:r w:rsidRPr="00F9224C">
              <w:rPr>
                <w:noProof/>
                <w:u w:val="single"/>
              </w:rPr>
              <w:drawing>
                <wp:inline distT="0" distB="0" distL="0" distR="0" wp14:anchorId="783A9CCD" wp14:editId="257DBCFD">
                  <wp:extent cx="2852420" cy="2407458"/>
                  <wp:effectExtent l="19050" t="19050" r="24130" b="1206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2420" cy="2407458"/>
                          </a:xfrm>
                          <a:prstGeom prst="rect">
                            <a:avLst/>
                          </a:prstGeom>
                          <a:noFill/>
                          <a:ln>
                            <a:solidFill>
                              <a:schemeClr val="tx1"/>
                            </a:solidFill>
                          </a:ln>
                        </pic:spPr>
                      </pic:pic>
                    </a:graphicData>
                  </a:graphic>
                </wp:inline>
              </w:drawing>
            </w:r>
          </w:p>
        </w:tc>
      </w:tr>
      <w:tr w:rsidR="009773D0" w:rsidRPr="00F9224C" w14:paraId="7C596848" w14:textId="77777777" w:rsidTr="009773D0">
        <w:tc>
          <w:tcPr>
            <w:tcW w:w="4945" w:type="dxa"/>
          </w:tcPr>
          <w:p w14:paraId="02BB24DF" w14:textId="6DBF80D5" w:rsidR="009773D0" w:rsidRPr="00F9224C" w:rsidRDefault="00A54432" w:rsidP="00273559">
            <w:pPr>
              <w:spacing w:line="360" w:lineRule="auto"/>
              <w:jc w:val="both"/>
              <w:rPr>
                <w:noProof/>
              </w:rPr>
            </w:pPr>
            <w:r w:rsidRPr="00F9224C">
              <w:rPr>
                <w:noProof/>
                <w:u w:val="single"/>
              </w:rPr>
              <w:drawing>
                <wp:inline distT="0" distB="0" distL="0" distR="0" wp14:anchorId="66BE4C2F" wp14:editId="2D7D9AFD">
                  <wp:extent cx="2948940" cy="2263113"/>
                  <wp:effectExtent l="19050" t="19050" r="22860" b="2349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67204" cy="2277130"/>
                          </a:xfrm>
                          <a:prstGeom prst="rect">
                            <a:avLst/>
                          </a:prstGeom>
                          <a:noFill/>
                          <a:ln>
                            <a:solidFill>
                              <a:schemeClr val="tx1"/>
                            </a:solidFill>
                          </a:ln>
                        </pic:spPr>
                      </pic:pic>
                    </a:graphicData>
                  </a:graphic>
                </wp:inline>
              </w:drawing>
            </w:r>
          </w:p>
        </w:tc>
        <w:tc>
          <w:tcPr>
            <w:tcW w:w="4860" w:type="dxa"/>
          </w:tcPr>
          <w:p w14:paraId="60822885" w14:textId="3CACE2B3" w:rsidR="009773D0" w:rsidRPr="00F9224C" w:rsidRDefault="00A54432" w:rsidP="00273559">
            <w:pPr>
              <w:spacing w:line="360" w:lineRule="auto"/>
              <w:jc w:val="both"/>
              <w:rPr>
                <w:noProof/>
                <w:u w:val="single"/>
              </w:rPr>
            </w:pPr>
            <w:r w:rsidRPr="00F9224C">
              <w:rPr>
                <w:noProof/>
                <w:u w:val="single"/>
              </w:rPr>
              <w:drawing>
                <wp:inline distT="0" distB="0" distL="0" distR="0" wp14:anchorId="4F81BE79" wp14:editId="3F7512CE">
                  <wp:extent cx="2852420" cy="2262222"/>
                  <wp:effectExtent l="19050" t="19050" r="24130" b="2413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8972" cy="2275349"/>
                          </a:xfrm>
                          <a:prstGeom prst="rect">
                            <a:avLst/>
                          </a:prstGeom>
                          <a:noFill/>
                          <a:ln>
                            <a:solidFill>
                              <a:schemeClr val="tx1"/>
                            </a:solidFill>
                          </a:ln>
                        </pic:spPr>
                      </pic:pic>
                    </a:graphicData>
                  </a:graphic>
                </wp:inline>
              </w:drawing>
            </w:r>
          </w:p>
        </w:tc>
      </w:tr>
      <w:tr w:rsidR="007407B4" w:rsidRPr="00F9224C" w14:paraId="08632D8A" w14:textId="77777777" w:rsidTr="009773D0">
        <w:tc>
          <w:tcPr>
            <w:tcW w:w="4945" w:type="dxa"/>
          </w:tcPr>
          <w:p w14:paraId="6F856B23" w14:textId="2A38AA69" w:rsidR="007407B4" w:rsidRPr="00F9224C" w:rsidRDefault="007407B4" w:rsidP="00273559">
            <w:pPr>
              <w:spacing w:line="360" w:lineRule="auto"/>
              <w:jc w:val="both"/>
              <w:rPr>
                <w:u w:val="single"/>
              </w:rPr>
            </w:pPr>
          </w:p>
        </w:tc>
        <w:tc>
          <w:tcPr>
            <w:tcW w:w="4860" w:type="dxa"/>
          </w:tcPr>
          <w:p w14:paraId="6C6C0E08" w14:textId="206D4D14" w:rsidR="007407B4" w:rsidRPr="00F9224C" w:rsidRDefault="007407B4" w:rsidP="00273559">
            <w:pPr>
              <w:spacing w:line="360" w:lineRule="auto"/>
              <w:jc w:val="both"/>
              <w:rPr>
                <w:u w:val="single"/>
              </w:rPr>
            </w:pPr>
          </w:p>
        </w:tc>
      </w:tr>
    </w:tbl>
    <w:p w14:paraId="11B51532" w14:textId="00B79C78" w:rsidR="00180FD1" w:rsidRPr="00F9224C" w:rsidRDefault="00A54432" w:rsidP="00180FD1">
      <w:pPr>
        <w:spacing w:line="360" w:lineRule="auto"/>
        <w:jc w:val="both"/>
      </w:pPr>
      <w:r w:rsidRPr="00F9224C">
        <w:t xml:space="preserve">                                 F</w:t>
      </w:r>
      <w:r w:rsidR="00180FD1" w:rsidRPr="00F9224C">
        <w:t>igure 1: Graphical trend of four variables</w:t>
      </w:r>
    </w:p>
    <w:p w14:paraId="34F69DAA" w14:textId="77777777" w:rsidR="00180FD1" w:rsidRPr="00F9224C" w:rsidRDefault="00180FD1" w:rsidP="00180FD1">
      <w:pPr>
        <w:spacing w:line="360" w:lineRule="auto"/>
        <w:jc w:val="both"/>
      </w:pPr>
    </w:p>
    <w:p w14:paraId="6F5FD41E" w14:textId="1D4D3288" w:rsidR="00180FD1" w:rsidRPr="00F9224C" w:rsidRDefault="00A54432" w:rsidP="00180FD1">
      <w:pPr>
        <w:spacing w:line="360" w:lineRule="auto"/>
        <w:jc w:val="both"/>
      </w:pPr>
      <w:r w:rsidRPr="00F9224C">
        <w:t>In this study, we use the annual time series data. So, we need to check first whether the data is stationary or not. To ascertain the stationarity of the series, we do a unit root test on each variable to identify the order of integration.</w:t>
      </w:r>
    </w:p>
    <w:p w14:paraId="359844CD" w14:textId="2D944B8F" w:rsidR="00B86FA9" w:rsidRPr="00F9224C" w:rsidRDefault="00B86FA9" w:rsidP="00180FD1">
      <w:pPr>
        <w:spacing w:line="360" w:lineRule="auto"/>
        <w:jc w:val="both"/>
      </w:pPr>
    </w:p>
    <w:p w14:paraId="2D2373AF" w14:textId="77777777" w:rsidR="00B86FA9" w:rsidRPr="00F9224C" w:rsidRDefault="00B86FA9" w:rsidP="00180FD1">
      <w:pPr>
        <w:spacing w:line="360" w:lineRule="auto"/>
        <w:jc w:val="both"/>
      </w:pPr>
    </w:p>
    <w:p w14:paraId="6F2336C6" w14:textId="593BB582" w:rsidR="00913E8A" w:rsidRPr="00F9224C" w:rsidRDefault="00815C7C" w:rsidP="00273559">
      <w:pPr>
        <w:spacing w:line="360" w:lineRule="auto"/>
        <w:jc w:val="both"/>
        <w:rPr>
          <w:b/>
        </w:rPr>
      </w:pPr>
      <w:r w:rsidRPr="00F9224C">
        <w:rPr>
          <w:b/>
        </w:rPr>
        <w:t xml:space="preserve">Table </w:t>
      </w:r>
      <w:r w:rsidR="00AF086C">
        <w:rPr>
          <w:b/>
        </w:rPr>
        <w:t>1</w:t>
      </w:r>
      <w:r w:rsidRPr="00F9224C">
        <w:rPr>
          <w:b/>
        </w:rPr>
        <w:t>. Unit root Test:</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2702"/>
        <w:gridCol w:w="2041"/>
        <w:gridCol w:w="2245"/>
        <w:gridCol w:w="2028"/>
      </w:tblGrid>
      <w:tr w:rsidR="00322E96" w:rsidRPr="00F9224C" w14:paraId="6D972824" w14:textId="311DADA0" w:rsidTr="005522D9">
        <w:trPr>
          <w:trHeight w:val="1061"/>
        </w:trPr>
        <w:tc>
          <w:tcPr>
            <w:tcW w:w="2702" w:type="dxa"/>
            <w:tcBorders>
              <w:bottom w:val="single" w:sz="4" w:space="0" w:color="auto"/>
              <w:right w:val="nil"/>
            </w:tcBorders>
          </w:tcPr>
          <w:p w14:paraId="02FB90C5" w14:textId="0488BE8C" w:rsidR="00322E96" w:rsidRPr="00F9224C" w:rsidRDefault="00322E96" w:rsidP="005522D9">
            <w:pPr>
              <w:spacing w:line="360" w:lineRule="auto"/>
              <w:jc w:val="center"/>
              <w:rPr>
                <w:b/>
              </w:rPr>
            </w:pPr>
            <w:r w:rsidRPr="00F9224C">
              <w:rPr>
                <w:b/>
              </w:rPr>
              <w:t>Variables</w:t>
            </w:r>
          </w:p>
        </w:tc>
        <w:tc>
          <w:tcPr>
            <w:tcW w:w="2041" w:type="dxa"/>
            <w:tcBorders>
              <w:left w:val="nil"/>
              <w:bottom w:val="single" w:sz="4" w:space="0" w:color="auto"/>
              <w:right w:val="nil"/>
            </w:tcBorders>
          </w:tcPr>
          <w:p w14:paraId="07ED87EC" w14:textId="36B7AF8C" w:rsidR="00322E96" w:rsidRPr="00F9224C" w:rsidRDefault="00322E96" w:rsidP="005522D9">
            <w:pPr>
              <w:spacing w:line="360" w:lineRule="auto"/>
              <w:jc w:val="center"/>
              <w:rPr>
                <w:b/>
              </w:rPr>
            </w:pPr>
            <w:r w:rsidRPr="00F9224C">
              <w:rPr>
                <w:b/>
              </w:rPr>
              <w:t>Unit root test in levels</w:t>
            </w:r>
          </w:p>
        </w:tc>
        <w:tc>
          <w:tcPr>
            <w:tcW w:w="2245" w:type="dxa"/>
            <w:tcBorders>
              <w:left w:val="nil"/>
              <w:bottom w:val="single" w:sz="4" w:space="0" w:color="auto"/>
              <w:right w:val="nil"/>
            </w:tcBorders>
          </w:tcPr>
          <w:p w14:paraId="3E841E9C" w14:textId="70CD68B7" w:rsidR="00322E96" w:rsidRPr="00F9224C" w:rsidRDefault="00322E96" w:rsidP="005522D9">
            <w:pPr>
              <w:spacing w:line="360" w:lineRule="auto"/>
              <w:jc w:val="center"/>
              <w:rPr>
                <w:b/>
              </w:rPr>
            </w:pPr>
            <w:r w:rsidRPr="00F9224C">
              <w:rPr>
                <w:b/>
              </w:rPr>
              <w:t>Unit root test in First difference</w:t>
            </w:r>
          </w:p>
        </w:tc>
        <w:tc>
          <w:tcPr>
            <w:tcW w:w="2028" w:type="dxa"/>
            <w:tcBorders>
              <w:left w:val="nil"/>
              <w:bottom w:val="single" w:sz="4" w:space="0" w:color="auto"/>
            </w:tcBorders>
          </w:tcPr>
          <w:p w14:paraId="5A9A8F97" w14:textId="722C9190" w:rsidR="00322E96" w:rsidRPr="00F9224C" w:rsidRDefault="00322E96" w:rsidP="005522D9">
            <w:pPr>
              <w:spacing w:line="360" w:lineRule="auto"/>
              <w:jc w:val="center"/>
              <w:rPr>
                <w:b/>
              </w:rPr>
            </w:pPr>
            <w:r w:rsidRPr="00F9224C">
              <w:rPr>
                <w:b/>
              </w:rPr>
              <w:t>Order of Integration</w:t>
            </w:r>
          </w:p>
        </w:tc>
      </w:tr>
      <w:tr w:rsidR="00322E96" w:rsidRPr="00F9224C" w14:paraId="52AFA549" w14:textId="090DC505" w:rsidTr="005522D9">
        <w:tc>
          <w:tcPr>
            <w:tcW w:w="2702" w:type="dxa"/>
            <w:tcBorders>
              <w:bottom w:val="nil"/>
              <w:right w:val="nil"/>
            </w:tcBorders>
          </w:tcPr>
          <w:p w14:paraId="5AEBEA0F" w14:textId="1177B636" w:rsidR="00322E96" w:rsidRPr="00F9224C" w:rsidRDefault="00322E96" w:rsidP="005522D9">
            <w:pPr>
              <w:spacing w:line="360" w:lineRule="auto"/>
              <w:jc w:val="center"/>
              <w:rPr>
                <w:b/>
              </w:rPr>
            </w:pPr>
            <w:r w:rsidRPr="00F9224C">
              <w:rPr>
                <w:b/>
              </w:rPr>
              <w:t>Suicide Rate</w:t>
            </w:r>
          </w:p>
        </w:tc>
        <w:tc>
          <w:tcPr>
            <w:tcW w:w="2041" w:type="dxa"/>
            <w:tcBorders>
              <w:left w:val="nil"/>
              <w:bottom w:val="nil"/>
              <w:right w:val="nil"/>
            </w:tcBorders>
          </w:tcPr>
          <w:p w14:paraId="1C1171D1" w14:textId="77777777" w:rsidR="00322E96" w:rsidRPr="00F9224C" w:rsidRDefault="00030F97" w:rsidP="005522D9">
            <w:pPr>
              <w:spacing w:line="360" w:lineRule="auto"/>
              <w:jc w:val="center"/>
            </w:pPr>
            <w:r w:rsidRPr="00F9224C">
              <w:t>-1.37</w:t>
            </w:r>
            <w:r w:rsidR="005522D9" w:rsidRPr="00F9224C">
              <w:t>6971</w:t>
            </w:r>
          </w:p>
          <w:p w14:paraId="277F1A64" w14:textId="627CDE65" w:rsidR="005522D9" w:rsidRPr="00F9224C" w:rsidRDefault="005522D9" w:rsidP="005522D9">
            <w:pPr>
              <w:spacing w:line="360" w:lineRule="auto"/>
              <w:jc w:val="center"/>
            </w:pPr>
            <w:r w:rsidRPr="00F9224C">
              <w:t>(0.5735)</w:t>
            </w:r>
          </w:p>
        </w:tc>
        <w:tc>
          <w:tcPr>
            <w:tcW w:w="2245" w:type="dxa"/>
            <w:tcBorders>
              <w:left w:val="nil"/>
              <w:bottom w:val="nil"/>
              <w:right w:val="nil"/>
            </w:tcBorders>
          </w:tcPr>
          <w:p w14:paraId="204CBA5A" w14:textId="4F46A9A7" w:rsidR="00322E96" w:rsidRPr="00F9224C" w:rsidRDefault="005522D9" w:rsidP="005522D9">
            <w:pPr>
              <w:spacing w:line="360" w:lineRule="auto"/>
              <w:jc w:val="center"/>
              <w:rPr>
                <w:b/>
              </w:rPr>
            </w:pPr>
            <w:r w:rsidRPr="00F9224C">
              <w:rPr>
                <w:b/>
              </w:rPr>
              <w:t>-</w:t>
            </w:r>
            <w:r w:rsidR="00322E96" w:rsidRPr="00F9224C">
              <w:rPr>
                <w:b/>
              </w:rPr>
              <w:t>3.502790</w:t>
            </w:r>
          </w:p>
          <w:p w14:paraId="5224391B" w14:textId="55B5624D" w:rsidR="00322E96" w:rsidRPr="00F9224C" w:rsidRDefault="00322E96" w:rsidP="005522D9">
            <w:pPr>
              <w:spacing w:line="360" w:lineRule="auto"/>
              <w:jc w:val="center"/>
              <w:rPr>
                <w:b/>
              </w:rPr>
            </w:pPr>
            <w:r w:rsidRPr="00F9224C">
              <w:rPr>
                <w:b/>
              </w:rPr>
              <w:t>(0.0190)</w:t>
            </w:r>
          </w:p>
        </w:tc>
        <w:tc>
          <w:tcPr>
            <w:tcW w:w="2028" w:type="dxa"/>
            <w:tcBorders>
              <w:left w:val="nil"/>
              <w:bottom w:val="nil"/>
            </w:tcBorders>
          </w:tcPr>
          <w:p w14:paraId="704BFC92" w14:textId="32D923FF" w:rsidR="00322E96" w:rsidRPr="00F9224C" w:rsidRDefault="00FD3418" w:rsidP="005522D9">
            <w:pPr>
              <w:spacing w:line="360" w:lineRule="auto"/>
              <w:jc w:val="center"/>
              <w:rPr>
                <w:b/>
              </w:rPr>
            </w:pPr>
            <w:r w:rsidRPr="00F9224C">
              <w:rPr>
                <w:b/>
              </w:rPr>
              <w:t>I (</w:t>
            </w:r>
            <w:r w:rsidR="00322E96" w:rsidRPr="00F9224C">
              <w:rPr>
                <w:b/>
              </w:rPr>
              <w:t>1)</w:t>
            </w:r>
          </w:p>
        </w:tc>
      </w:tr>
      <w:tr w:rsidR="00322E96" w:rsidRPr="00F9224C" w14:paraId="2DE1D09F" w14:textId="2523840D" w:rsidTr="005522D9">
        <w:tc>
          <w:tcPr>
            <w:tcW w:w="2702" w:type="dxa"/>
            <w:tcBorders>
              <w:top w:val="nil"/>
              <w:bottom w:val="nil"/>
              <w:right w:val="nil"/>
            </w:tcBorders>
          </w:tcPr>
          <w:p w14:paraId="3764D19D" w14:textId="0A4158C3" w:rsidR="00322E96" w:rsidRPr="00F9224C" w:rsidRDefault="00322E96" w:rsidP="005522D9">
            <w:pPr>
              <w:spacing w:line="360" w:lineRule="auto"/>
              <w:jc w:val="center"/>
              <w:rPr>
                <w:b/>
              </w:rPr>
            </w:pPr>
            <w:r w:rsidRPr="00F9224C">
              <w:rPr>
                <w:b/>
              </w:rPr>
              <w:lastRenderedPageBreak/>
              <w:t>Unemployment</w:t>
            </w:r>
          </w:p>
        </w:tc>
        <w:tc>
          <w:tcPr>
            <w:tcW w:w="2041" w:type="dxa"/>
            <w:tcBorders>
              <w:top w:val="nil"/>
              <w:left w:val="nil"/>
              <w:bottom w:val="nil"/>
              <w:right w:val="nil"/>
            </w:tcBorders>
          </w:tcPr>
          <w:p w14:paraId="1AEBAEA6" w14:textId="77777777" w:rsidR="00322E96" w:rsidRPr="00F9224C" w:rsidRDefault="005522D9" w:rsidP="005522D9">
            <w:pPr>
              <w:spacing w:line="360" w:lineRule="auto"/>
              <w:jc w:val="center"/>
            </w:pPr>
            <w:r w:rsidRPr="00F9224C">
              <w:t>-2.433261</w:t>
            </w:r>
          </w:p>
          <w:p w14:paraId="31CA43AF" w14:textId="009DB27E" w:rsidR="005522D9" w:rsidRPr="00F9224C" w:rsidRDefault="005522D9" w:rsidP="005522D9">
            <w:pPr>
              <w:spacing w:line="360" w:lineRule="auto"/>
              <w:jc w:val="center"/>
            </w:pPr>
            <w:r w:rsidRPr="00F9224C">
              <w:t>(0.1452)</w:t>
            </w:r>
          </w:p>
        </w:tc>
        <w:tc>
          <w:tcPr>
            <w:tcW w:w="2245" w:type="dxa"/>
            <w:tcBorders>
              <w:top w:val="nil"/>
              <w:left w:val="nil"/>
              <w:bottom w:val="nil"/>
              <w:right w:val="nil"/>
            </w:tcBorders>
          </w:tcPr>
          <w:p w14:paraId="7C869882" w14:textId="77777777" w:rsidR="00322E96" w:rsidRPr="00F9224C" w:rsidRDefault="00322E96" w:rsidP="005522D9">
            <w:pPr>
              <w:spacing w:line="360" w:lineRule="auto"/>
              <w:jc w:val="center"/>
              <w:rPr>
                <w:b/>
              </w:rPr>
            </w:pPr>
            <w:r w:rsidRPr="00F9224C">
              <w:rPr>
                <w:b/>
              </w:rPr>
              <w:t>-4.908233</w:t>
            </w:r>
          </w:p>
          <w:p w14:paraId="37936DA3" w14:textId="1C804D7E" w:rsidR="00322E96" w:rsidRPr="00F9224C" w:rsidRDefault="00322E96" w:rsidP="005522D9">
            <w:pPr>
              <w:spacing w:line="360" w:lineRule="auto"/>
              <w:jc w:val="center"/>
              <w:rPr>
                <w:b/>
              </w:rPr>
            </w:pPr>
            <w:r w:rsidRPr="00F9224C">
              <w:rPr>
                <w:b/>
              </w:rPr>
              <w:t>(0.0012)</w:t>
            </w:r>
          </w:p>
        </w:tc>
        <w:tc>
          <w:tcPr>
            <w:tcW w:w="2028" w:type="dxa"/>
            <w:tcBorders>
              <w:top w:val="nil"/>
              <w:left w:val="nil"/>
              <w:bottom w:val="nil"/>
            </w:tcBorders>
          </w:tcPr>
          <w:p w14:paraId="5E8DBFF6" w14:textId="6AB62395" w:rsidR="00322E96" w:rsidRPr="00F9224C" w:rsidRDefault="00FD3418" w:rsidP="005522D9">
            <w:pPr>
              <w:spacing w:line="360" w:lineRule="auto"/>
              <w:jc w:val="center"/>
              <w:rPr>
                <w:b/>
              </w:rPr>
            </w:pPr>
            <w:r w:rsidRPr="00F9224C">
              <w:rPr>
                <w:b/>
              </w:rPr>
              <w:t>I (</w:t>
            </w:r>
            <w:r w:rsidR="00322E96" w:rsidRPr="00F9224C">
              <w:rPr>
                <w:b/>
              </w:rPr>
              <w:t>1)</w:t>
            </w:r>
          </w:p>
        </w:tc>
      </w:tr>
      <w:tr w:rsidR="00322E96" w:rsidRPr="00F9224C" w14:paraId="7A348E1C" w14:textId="49AFFCDD" w:rsidTr="005522D9">
        <w:tc>
          <w:tcPr>
            <w:tcW w:w="2702" w:type="dxa"/>
            <w:tcBorders>
              <w:top w:val="nil"/>
              <w:bottom w:val="nil"/>
              <w:right w:val="nil"/>
            </w:tcBorders>
          </w:tcPr>
          <w:p w14:paraId="4B0D2566" w14:textId="55FCF71D" w:rsidR="00322E96" w:rsidRPr="00F9224C" w:rsidRDefault="00322E96" w:rsidP="005522D9">
            <w:pPr>
              <w:spacing w:line="360" w:lineRule="auto"/>
              <w:jc w:val="center"/>
              <w:rPr>
                <w:b/>
              </w:rPr>
            </w:pPr>
            <w:r w:rsidRPr="00F9224C">
              <w:rPr>
                <w:b/>
              </w:rPr>
              <w:t>Inflation</w:t>
            </w:r>
          </w:p>
        </w:tc>
        <w:tc>
          <w:tcPr>
            <w:tcW w:w="2041" w:type="dxa"/>
            <w:tcBorders>
              <w:top w:val="nil"/>
              <w:left w:val="nil"/>
              <w:bottom w:val="nil"/>
              <w:right w:val="nil"/>
            </w:tcBorders>
          </w:tcPr>
          <w:p w14:paraId="0715ED6B" w14:textId="77777777" w:rsidR="00322E96" w:rsidRPr="00F9224C" w:rsidRDefault="005522D9" w:rsidP="005522D9">
            <w:pPr>
              <w:spacing w:line="360" w:lineRule="auto"/>
              <w:jc w:val="center"/>
            </w:pPr>
            <w:r w:rsidRPr="00F9224C">
              <w:t>-2.826775</w:t>
            </w:r>
          </w:p>
          <w:p w14:paraId="52609863" w14:textId="24A30A27" w:rsidR="005522D9" w:rsidRPr="00F9224C" w:rsidRDefault="005522D9" w:rsidP="005522D9">
            <w:pPr>
              <w:spacing w:line="360" w:lineRule="auto"/>
              <w:jc w:val="center"/>
            </w:pPr>
            <w:r w:rsidRPr="00F9224C">
              <w:t>(0.0715)</w:t>
            </w:r>
          </w:p>
        </w:tc>
        <w:tc>
          <w:tcPr>
            <w:tcW w:w="2245" w:type="dxa"/>
            <w:tcBorders>
              <w:top w:val="nil"/>
              <w:left w:val="nil"/>
              <w:bottom w:val="nil"/>
              <w:right w:val="nil"/>
            </w:tcBorders>
          </w:tcPr>
          <w:p w14:paraId="7313CB6E" w14:textId="77777777" w:rsidR="00322E96" w:rsidRPr="00F9224C" w:rsidRDefault="00322E96" w:rsidP="005522D9">
            <w:pPr>
              <w:spacing w:line="360" w:lineRule="auto"/>
              <w:jc w:val="center"/>
              <w:rPr>
                <w:b/>
              </w:rPr>
            </w:pPr>
            <w:r w:rsidRPr="00F9224C">
              <w:rPr>
                <w:b/>
              </w:rPr>
              <w:t>-5.290104</w:t>
            </w:r>
          </w:p>
          <w:p w14:paraId="5EC3021A" w14:textId="3C3628FD" w:rsidR="00322E96" w:rsidRPr="00F9224C" w:rsidRDefault="00322E96" w:rsidP="005522D9">
            <w:pPr>
              <w:spacing w:line="360" w:lineRule="auto"/>
              <w:jc w:val="center"/>
              <w:rPr>
                <w:b/>
              </w:rPr>
            </w:pPr>
            <w:r w:rsidRPr="00F9224C">
              <w:rPr>
                <w:b/>
              </w:rPr>
              <w:t>(.0005)</w:t>
            </w:r>
          </w:p>
        </w:tc>
        <w:tc>
          <w:tcPr>
            <w:tcW w:w="2028" w:type="dxa"/>
            <w:tcBorders>
              <w:top w:val="nil"/>
              <w:left w:val="nil"/>
              <w:bottom w:val="nil"/>
            </w:tcBorders>
          </w:tcPr>
          <w:p w14:paraId="7F84992D" w14:textId="76E911ED" w:rsidR="00322E96" w:rsidRPr="00F9224C" w:rsidRDefault="00FD3418" w:rsidP="005522D9">
            <w:pPr>
              <w:spacing w:line="360" w:lineRule="auto"/>
              <w:jc w:val="center"/>
              <w:rPr>
                <w:b/>
              </w:rPr>
            </w:pPr>
            <w:r w:rsidRPr="00F9224C">
              <w:rPr>
                <w:b/>
              </w:rPr>
              <w:t>I (</w:t>
            </w:r>
            <w:r w:rsidR="00322E96" w:rsidRPr="00F9224C">
              <w:rPr>
                <w:b/>
              </w:rPr>
              <w:t>1)</w:t>
            </w:r>
          </w:p>
        </w:tc>
      </w:tr>
      <w:tr w:rsidR="00322E96" w:rsidRPr="00F9224C" w14:paraId="5A4192E0" w14:textId="6023B912" w:rsidTr="005522D9">
        <w:tc>
          <w:tcPr>
            <w:tcW w:w="2702" w:type="dxa"/>
            <w:tcBorders>
              <w:top w:val="nil"/>
              <w:right w:val="nil"/>
            </w:tcBorders>
          </w:tcPr>
          <w:p w14:paraId="4D3CD33D" w14:textId="0E8DA896" w:rsidR="00322E96" w:rsidRPr="00F9224C" w:rsidRDefault="00322E96" w:rsidP="005522D9">
            <w:pPr>
              <w:spacing w:line="360" w:lineRule="auto"/>
              <w:jc w:val="center"/>
              <w:rPr>
                <w:b/>
              </w:rPr>
            </w:pPr>
            <w:r w:rsidRPr="00F9224C">
              <w:rPr>
                <w:b/>
              </w:rPr>
              <w:t>GDP</w:t>
            </w:r>
          </w:p>
        </w:tc>
        <w:tc>
          <w:tcPr>
            <w:tcW w:w="2041" w:type="dxa"/>
            <w:tcBorders>
              <w:top w:val="nil"/>
              <w:left w:val="nil"/>
              <w:right w:val="nil"/>
            </w:tcBorders>
          </w:tcPr>
          <w:p w14:paraId="688E845A" w14:textId="77777777" w:rsidR="00322E96" w:rsidRPr="00F9224C" w:rsidRDefault="00322E96" w:rsidP="005522D9">
            <w:pPr>
              <w:spacing w:line="360" w:lineRule="auto"/>
              <w:jc w:val="center"/>
              <w:rPr>
                <w:b/>
              </w:rPr>
            </w:pPr>
            <w:r w:rsidRPr="00F9224C">
              <w:rPr>
                <w:b/>
              </w:rPr>
              <w:t>3.558678</w:t>
            </w:r>
          </w:p>
          <w:p w14:paraId="3180A9CC" w14:textId="27725920" w:rsidR="00322E96" w:rsidRPr="00F9224C" w:rsidRDefault="00322E96" w:rsidP="005522D9">
            <w:pPr>
              <w:spacing w:line="360" w:lineRule="auto"/>
              <w:jc w:val="center"/>
              <w:rPr>
                <w:b/>
              </w:rPr>
            </w:pPr>
            <w:r w:rsidRPr="00F9224C">
              <w:rPr>
                <w:b/>
              </w:rPr>
              <w:t>(0.0163)</w:t>
            </w:r>
          </w:p>
        </w:tc>
        <w:tc>
          <w:tcPr>
            <w:tcW w:w="2245" w:type="dxa"/>
            <w:tcBorders>
              <w:top w:val="nil"/>
              <w:left w:val="nil"/>
              <w:right w:val="nil"/>
            </w:tcBorders>
          </w:tcPr>
          <w:p w14:paraId="420DC1B5" w14:textId="77777777" w:rsidR="00322E96" w:rsidRPr="00F9224C" w:rsidRDefault="005522D9" w:rsidP="005522D9">
            <w:pPr>
              <w:spacing w:line="360" w:lineRule="auto"/>
              <w:jc w:val="center"/>
            </w:pPr>
            <w:r w:rsidRPr="00F9224C">
              <w:t>-6.417330</w:t>
            </w:r>
          </w:p>
          <w:p w14:paraId="2FFEBA65" w14:textId="241013F8" w:rsidR="005522D9" w:rsidRPr="00F9224C" w:rsidRDefault="005522D9" w:rsidP="005522D9">
            <w:pPr>
              <w:spacing w:line="360" w:lineRule="auto"/>
              <w:jc w:val="center"/>
              <w:rPr>
                <w:b/>
              </w:rPr>
            </w:pPr>
            <w:r w:rsidRPr="00F9224C">
              <w:t>(0.0000)</w:t>
            </w:r>
          </w:p>
        </w:tc>
        <w:tc>
          <w:tcPr>
            <w:tcW w:w="2028" w:type="dxa"/>
            <w:tcBorders>
              <w:top w:val="nil"/>
              <w:left w:val="nil"/>
            </w:tcBorders>
          </w:tcPr>
          <w:p w14:paraId="557FDD66" w14:textId="2D8C0DCD" w:rsidR="00322E96" w:rsidRPr="00F9224C" w:rsidRDefault="00FD3418" w:rsidP="005522D9">
            <w:pPr>
              <w:spacing w:line="360" w:lineRule="auto"/>
              <w:jc w:val="center"/>
              <w:rPr>
                <w:b/>
              </w:rPr>
            </w:pPr>
            <w:r w:rsidRPr="00F9224C">
              <w:rPr>
                <w:b/>
              </w:rPr>
              <w:t>I (</w:t>
            </w:r>
            <w:r w:rsidR="00322E96" w:rsidRPr="00F9224C">
              <w:rPr>
                <w:b/>
              </w:rPr>
              <w:t>0)</w:t>
            </w:r>
          </w:p>
        </w:tc>
      </w:tr>
    </w:tbl>
    <w:p w14:paraId="2B0618C4" w14:textId="77777777" w:rsidR="00B86FA9" w:rsidRPr="00F9224C" w:rsidRDefault="00B86FA9" w:rsidP="00A54432">
      <w:pPr>
        <w:spacing w:line="360" w:lineRule="auto"/>
        <w:jc w:val="both"/>
      </w:pPr>
    </w:p>
    <w:p w14:paraId="15D5A900" w14:textId="4419C608" w:rsidR="00A54432" w:rsidRPr="00F9224C" w:rsidRDefault="00A54432" w:rsidP="00A54432">
      <w:pPr>
        <w:spacing w:line="360" w:lineRule="auto"/>
        <w:jc w:val="both"/>
      </w:pPr>
      <w:r w:rsidRPr="00F9224C">
        <w:t>The outcomes of the unit root analysis, conducted through the Augmented Dickey–Fuller (ADF) test, reveal that the variables exhibit different orders of integration. Specifically, gross domestic product (GDP) is found to be stationary at its level, while unemployment, Inflation, and suicide rates achieve stationarity only after first differencing. This combination of I</w:t>
      </w:r>
      <w:r w:rsidR="00B86FA9" w:rsidRPr="00F9224C">
        <w:t xml:space="preserve"> </w:t>
      </w:r>
      <w:r w:rsidRPr="00F9224C">
        <w:t>(0) and I</w:t>
      </w:r>
      <w:r w:rsidR="00B86FA9" w:rsidRPr="00F9224C">
        <w:t xml:space="preserve"> </w:t>
      </w:r>
      <w:r w:rsidRPr="00F9224C">
        <w:t>(1) series confirms the presence of mixed integration.</w:t>
      </w:r>
    </w:p>
    <w:p w14:paraId="2BCF095C" w14:textId="77777777" w:rsidR="00B86FA9" w:rsidRPr="00F9224C" w:rsidRDefault="00B86FA9" w:rsidP="00A54432">
      <w:pPr>
        <w:spacing w:line="360" w:lineRule="auto"/>
        <w:jc w:val="both"/>
      </w:pPr>
    </w:p>
    <w:p w14:paraId="58CE1304" w14:textId="35F1C3A6" w:rsidR="00B86FA9" w:rsidRPr="00F9224C" w:rsidRDefault="00A54432" w:rsidP="00273559">
      <w:pPr>
        <w:spacing w:line="360" w:lineRule="auto"/>
        <w:jc w:val="both"/>
      </w:pPr>
      <w:r w:rsidRPr="00F9224C">
        <w:t>Given this outcome, the autoregressive distributed lag (ARDL) model provides an appropriate methodological framework for the analysis. The ARDL bounds testing approach is particularly suitable in such circumstances, as it allows for the estimation of both short and long-run connections among variables that are integrated of different orders, provided none are integrated of order two or higher.</w:t>
      </w:r>
    </w:p>
    <w:p w14:paraId="7AF1A91E" w14:textId="77777777" w:rsidR="00B86FA9" w:rsidRPr="00F9224C" w:rsidRDefault="00B86FA9" w:rsidP="00273559">
      <w:pPr>
        <w:spacing w:line="360" w:lineRule="auto"/>
        <w:jc w:val="both"/>
        <w:rPr>
          <w:b/>
        </w:rPr>
      </w:pPr>
    </w:p>
    <w:p w14:paraId="6863FE49" w14:textId="2EF0A50A" w:rsidR="0070141C" w:rsidRPr="00F9224C" w:rsidRDefault="00EB27D9" w:rsidP="00273559">
      <w:pPr>
        <w:spacing w:line="360" w:lineRule="auto"/>
        <w:jc w:val="both"/>
        <w:rPr>
          <w:b/>
        </w:rPr>
      </w:pPr>
      <w:r w:rsidRPr="00F9224C">
        <w:rPr>
          <w:b/>
        </w:rPr>
        <w:t>Table</w:t>
      </w:r>
      <w:r w:rsidR="0053103A">
        <w:rPr>
          <w:b/>
        </w:rPr>
        <w:t xml:space="preserve"> </w:t>
      </w:r>
      <w:r w:rsidR="00AF086C">
        <w:rPr>
          <w:b/>
        </w:rPr>
        <w:t>2</w:t>
      </w:r>
      <w:r w:rsidRPr="00F9224C">
        <w:rPr>
          <w:b/>
        </w:rPr>
        <w:t>: ARDL mode</w:t>
      </w:r>
      <w:r w:rsidR="0040236E" w:rsidRPr="00F9224C">
        <w:rPr>
          <w:b/>
        </w:rPr>
        <w:t>l</w:t>
      </w:r>
      <w:r w:rsidR="00C441C0" w:rsidRPr="00F9224C">
        <w:rPr>
          <w:b/>
        </w:rPr>
        <w:t xml:space="preserve"> Estimation</w:t>
      </w:r>
    </w:p>
    <w:tbl>
      <w:tblPr>
        <w:tblStyle w:val="TableGrid"/>
        <w:tblpPr w:leftFromText="180" w:rightFromText="180" w:vertAnchor="text" w:horzAnchor="margin" w:tblpX="-95" w:tblpY="154"/>
        <w:tblW w:w="9111" w:type="dxa"/>
        <w:tblLook w:val="04A0" w:firstRow="1" w:lastRow="0" w:firstColumn="1" w:lastColumn="0" w:noHBand="0" w:noVBand="1"/>
      </w:tblPr>
      <w:tblGrid>
        <w:gridCol w:w="2871"/>
        <w:gridCol w:w="1296"/>
        <w:gridCol w:w="1663"/>
        <w:gridCol w:w="1735"/>
        <w:gridCol w:w="1546"/>
      </w:tblGrid>
      <w:tr w:rsidR="000C7064" w:rsidRPr="00F9224C" w14:paraId="54BCF7C8" w14:textId="77777777" w:rsidTr="00C441C0">
        <w:tc>
          <w:tcPr>
            <w:tcW w:w="9111" w:type="dxa"/>
            <w:gridSpan w:val="5"/>
            <w:tcBorders>
              <w:left w:val="nil"/>
              <w:bottom w:val="single" w:sz="4" w:space="0" w:color="auto"/>
              <w:right w:val="nil"/>
            </w:tcBorders>
          </w:tcPr>
          <w:p w14:paraId="23C1B85E" w14:textId="7AE24CC6" w:rsidR="000C7064" w:rsidRPr="00F9224C" w:rsidRDefault="000C7064" w:rsidP="00C441C0">
            <w:pPr>
              <w:spacing w:line="276" w:lineRule="auto"/>
              <w:jc w:val="both"/>
            </w:pPr>
            <w:r w:rsidRPr="00F9224C">
              <w:t>Dependent Variable: D</w:t>
            </w:r>
            <w:r w:rsidR="0070141C" w:rsidRPr="00F9224C">
              <w:t xml:space="preserve"> </w:t>
            </w:r>
            <w:r w:rsidRPr="00F9224C">
              <w:t>(Suicide Rate)</w:t>
            </w:r>
          </w:p>
          <w:p w14:paraId="59CAC524" w14:textId="77777777" w:rsidR="000C7064" w:rsidRPr="00F9224C" w:rsidRDefault="000C7064" w:rsidP="00C441C0">
            <w:pPr>
              <w:spacing w:line="276" w:lineRule="auto"/>
              <w:jc w:val="both"/>
            </w:pPr>
            <w:r w:rsidRPr="00F9224C">
              <w:t xml:space="preserve">Method: ARDL </w:t>
            </w:r>
          </w:p>
          <w:p w14:paraId="52F9CB7F" w14:textId="77777777" w:rsidR="000C7064" w:rsidRPr="00F9224C" w:rsidRDefault="000C7064" w:rsidP="00C441C0">
            <w:pPr>
              <w:spacing w:line="276" w:lineRule="auto"/>
              <w:jc w:val="both"/>
            </w:pPr>
            <w:r w:rsidRPr="00F9224C">
              <w:t>Model selection method: Hannan-Quinn criterion (HQ)</w:t>
            </w:r>
          </w:p>
          <w:p w14:paraId="5400A3AC" w14:textId="4E451794" w:rsidR="000C7064" w:rsidRPr="00F9224C" w:rsidRDefault="000C7064" w:rsidP="00C441C0">
            <w:pPr>
              <w:spacing w:line="276" w:lineRule="auto"/>
              <w:jc w:val="both"/>
            </w:pPr>
            <w:r w:rsidRPr="00F9224C">
              <w:t>Dynamic regressors (2 lags, automatic): D(Unemployment) D(Inflation) D(GDP)</w:t>
            </w:r>
          </w:p>
          <w:p w14:paraId="3F98673A" w14:textId="13C80130" w:rsidR="000C7064" w:rsidRPr="00F9224C" w:rsidRDefault="000C7064" w:rsidP="00C441C0">
            <w:pPr>
              <w:spacing w:line="276" w:lineRule="auto"/>
              <w:jc w:val="both"/>
            </w:pPr>
            <w:r w:rsidRPr="00F9224C">
              <w:t>Fixed regressors: C     selected Model: ARDL</w:t>
            </w:r>
            <w:r w:rsidR="0070141C" w:rsidRPr="00F9224C">
              <w:t xml:space="preserve"> </w:t>
            </w:r>
            <w:r w:rsidRPr="00F9224C">
              <w:t>(</w:t>
            </w:r>
            <w:r w:rsidR="0040236E" w:rsidRPr="00F9224C">
              <w:t>2,2,0,2</w:t>
            </w:r>
            <w:r w:rsidRPr="00F9224C">
              <w:t>)</w:t>
            </w:r>
          </w:p>
        </w:tc>
      </w:tr>
      <w:tr w:rsidR="000C7064" w:rsidRPr="00F9224C" w14:paraId="73C0C043" w14:textId="77777777" w:rsidTr="00C441C0">
        <w:tc>
          <w:tcPr>
            <w:tcW w:w="2871" w:type="dxa"/>
            <w:tcBorders>
              <w:left w:val="nil"/>
              <w:bottom w:val="nil"/>
              <w:right w:val="nil"/>
            </w:tcBorders>
          </w:tcPr>
          <w:p w14:paraId="707A9A15" w14:textId="62A16202" w:rsidR="000C7064" w:rsidRPr="00F9224C" w:rsidRDefault="000C7064" w:rsidP="00C441C0">
            <w:pPr>
              <w:spacing w:line="360" w:lineRule="auto"/>
              <w:jc w:val="center"/>
            </w:pPr>
            <w:r w:rsidRPr="00F9224C">
              <w:t>Variable</w:t>
            </w:r>
          </w:p>
        </w:tc>
        <w:tc>
          <w:tcPr>
            <w:tcW w:w="1296" w:type="dxa"/>
            <w:tcBorders>
              <w:left w:val="nil"/>
              <w:bottom w:val="nil"/>
              <w:right w:val="nil"/>
            </w:tcBorders>
          </w:tcPr>
          <w:p w14:paraId="2A75FD15" w14:textId="4452DC98" w:rsidR="000C7064" w:rsidRPr="00F9224C" w:rsidRDefault="000C7064" w:rsidP="00C441C0">
            <w:pPr>
              <w:spacing w:line="360" w:lineRule="auto"/>
              <w:jc w:val="center"/>
            </w:pPr>
            <w:r w:rsidRPr="00F9224C">
              <w:t>Coefficient</w:t>
            </w:r>
          </w:p>
        </w:tc>
        <w:tc>
          <w:tcPr>
            <w:tcW w:w="1663" w:type="dxa"/>
            <w:tcBorders>
              <w:left w:val="nil"/>
              <w:bottom w:val="nil"/>
              <w:right w:val="nil"/>
            </w:tcBorders>
          </w:tcPr>
          <w:p w14:paraId="0B7AE660" w14:textId="01F13EAB" w:rsidR="000C7064" w:rsidRPr="00F9224C" w:rsidRDefault="000C7064" w:rsidP="00C441C0">
            <w:pPr>
              <w:spacing w:line="360" w:lineRule="auto"/>
              <w:jc w:val="center"/>
            </w:pPr>
            <w:r w:rsidRPr="00F9224C">
              <w:t>Standard Error</w:t>
            </w:r>
          </w:p>
        </w:tc>
        <w:tc>
          <w:tcPr>
            <w:tcW w:w="1735" w:type="dxa"/>
            <w:tcBorders>
              <w:left w:val="nil"/>
              <w:bottom w:val="nil"/>
              <w:right w:val="nil"/>
            </w:tcBorders>
          </w:tcPr>
          <w:p w14:paraId="04E498E4" w14:textId="3C1055EF" w:rsidR="000C7064" w:rsidRPr="00F9224C" w:rsidRDefault="000C7064" w:rsidP="00C441C0">
            <w:pPr>
              <w:spacing w:line="360" w:lineRule="auto"/>
              <w:jc w:val="center"/>
            </w:pPr>
            <w:r w:rsidRPr="00F9224C">
              <w:t>T statistic</w:t>
            </w:r>
          </w:p>
        </w:tc>
        <w:tc>
          <w:tcPr>
            <w:tcW w:w="1546" w:type="dxa"/>
            <w:tcBorders>
              <w:left w:val="nil"/>
              <w:bottom w:val="nil"/>
              <w:right w:val="nil"/>
            </w:tcBorders>
          </w:tcPr>
          <w:p w14:paraId="50CA1627" w14:textId="7E894048" w:rsidR="000C7064" w:rsidRPr="00F9224C" w:rsidRDefault="000C7064" w:rsidP="00C441C0">
            <w:pPr>
              <w:spacing w:line="360" w:lineRule="auto"/>
              <w:jc w:val="center"/>
            </w:pPr>
            <w:r w:rsidRPr="00F9224C">
              <w:t>probability</w:t>
            </w:r>
          </w:p>
        </w:tc>
      </w:tr>
      <w:tr w:rsidR="0040236E" w:rsidRPr="00F9224C" w14:paraId="65A1CB2E" w14:textId="77777777" w:rsidTr="00C441C0">
        <w:tc>
          <w:tcPr>
            <w:tcW w:w="2871" w:type="dxa"/>
            <w:tcBorders>
              <w:top w:val="nil"/>
              <w:left w:val="nil"/>
              <w:bottom w:val="nil"/>
              <w:right w:val="nil"/>
            </w:tcBorders>
          </w:tcPr>
          <w:p w14:paraId="0ABF12CB" w14:textId="6FA24BF3" w:rsidR="0040236E" w:rsidRPr="00F9224C" w:rsidRDefault="0040236E" w:rsidP="00C441C0">
            <w:pPr>
              <w:spacing w:line="360" w:lineRule="auto"/>
              <w:jc w:val="center"/>
            </w:pPr>
            <w:r w:rsidRPr="00F9224C">
              <w:t>D</w:t>
            </w:r>
            <w:r w:rsidR="0070141C" w:rsidRPr="00F9224C">
              <w:t xml:space="preserve"> </w:t>
            </w:r>
            <w:r w:rsidRPr="00F9224C">
              <w:t>(suicide Rate</w:t>
            </w:r>
            <w:r w:rsidR="0070141C" w:rsidRPr="00F9224C">
              <w:t xml:space="preserve"> </w:t>
            </w:r>
            <w:r w:rsidRPr="00F9224C">
              <w:t>(-2)</w:t>
            </w:r>
            <w:r w:rsidR="0070141C" w:rsidRPr="00F9224C">
              <w:t>)</w:t>
            </w:r>
          </w:p>
        </w:tc>
        <w:tc>
          <w:tcPr>
            <w:tcW w:w="1296" w:type="dxa"/>
            <w:tcBorders>
              <w:top w:val="nil"/>
              <w:left w:val="nil"/>
              <w:bottom w:val="nil"/>
              <w:right w:val="nil"/>
            </w:tcBorders>
          </w:tcPr>
          <w:p w14:paraId="5F40B01D" w14:textId="78E7F18C" w:rsidR="0040236E" w:rsidRPr="00F9224C" w:rsidRDefault="0040236E" w:rsidP="00C441C0">
            <w:pPr>
              <w:spacing w:line="360" w:lineRule="auto"/>
              <w:jc w:val="center"/>
            </w:pPr>
            <w:r w:rsidRPr="00F9224C">
              <w:t>0.274162</w:t>
            </w:r>
          </w:p>
        </w:tc>
        <w:tc>
          <w:tcPr>
            <w:tcW w:w="1663" w:type="dxa"/>
            <w:tcBorders>
              <w:top w:val="nil"/>
              <w:left w:val="nil"/>
              <w:bottom w:val="nil"/>
              <w:right w:val="nil"/>
            </w:tcBorders>
          </w:tcPr>
          <w:p w14:paraId="4FB1357B" w14:textId="23E94185" w:rsidR="0040236E" w:rsidRPr="00F9224C" w:rsidRDefault="0040236E" w:rsidP="00C441C0">
            <w:pPr>
              <w:spacing w:line="360" w:lineRule="auto"/>
              <w:jc w:val="center"/>
            </w:pPr>
            <w:r w:rsidRPr="00F9224C">
              <w:t>0.206971</w:t>
            </w:r>
          </w:p>
        </w:tc>
        <w:tc>
          <w:tcPr>
            <w:tcW w:w="1735" w:type="dxa"/>
            <w:tcBorders>
              <w:top w:val="nil"/>
              <w:left w:val="nil"/>
              <w:bottom w:val="nil"/>
              <w:right w:val="nil"/>
            </w:tcBorders>
          </w:tcPr>
          <w:p w14:paraId="5C5D8D91" w14:textId="1E70D2EA" w:rsidR="0040236E" w:rsidRPr="00F9224C" w:rsidRDefault="0040236E" w:rsidP="00C441C0">
            <w:pPr>
              <w:spacing w:line="360" w:lineRule="auto"/>
              <w:jc w:val="center"/>
            </w:pPr>
            <w:r w:rsidRPr="00F9224C">
              <w:t>1.324637</w:t>
            </w:r>
          </w:p>
        </w:tc>
        <w:tc>
          <w:tcPr>
            <w:tcW w:w="1546" w:type="dxa"/>
            <w:tcBorders>
              <w:top w:val="nil"/>
              <w:left w:val="nil"/>
              <w:bottom w:val="nil"/>
              <w:right w:val="nil"/>
            </w:tcBorders>
          </w:tcPr>
          <w:p w14:paraId="0C0CE45F" w14:textId="11E4E967" w:rsidR="0040236E" w:rsidRPr="00F9224C" w:rsidRDefault="0040236E" w:rsidP="00C441C0">
            <w:pPr>
              <w:spacing w:line="360" w:lineRule="auto"/>
              <w:jc w:val="center"/>
            </w:pPr>
            <w:r w:rsidRPr="00F9224C">
              <w:t>0.2179</w:t>
            </w:r>
          </w:p>
        </w:tc>
      </w:tr>
      <w:tr w:rsidR="0040236E" w:rsidRPr="00F9224C" w14:paraId="1E15CAC8" w14:textId="77777777" w:rsidTr="00C441C0">
        <w:tc>
          <w:tcPr>
            <w:tcW w:w="2871" w:type="dxa"/>
            <w:tcBorders>
              <w:top w:val="nil"/>
              <w:left w:val="nil"/>
              <w:bottom w:val="nil"/>
              <w:right w:val="nil"/>
            </w:tcBorders>
          </w:tcPr>
          <w:p w14:paraId="0AFC862C" w14:textId="52DFC4CF" w:rsidR="0040236E" w:rsidRPr="00F9224C" w:rsidRDefault="0040236E" w:rsidP="00C441C0">
            <w:pPr>
              <w:spacing w:line="360" w:lineRule="auto"/>
              <w:jc w:val="center"/>
            </w:pPr>
            <w:r w:rsidRPr="00F9224C">
              <w:t>D</w:t>
            </w:r>
            <w:r w:rsidR="0070141C" w:rsidRPr="00F9224C">
              <w:t xml:space="preserve"> </w:t>
            </w:r>
            <w:r w:rsidRPr="00F9224C">
              <w:t>(Une</w:t>
            </w:r>
            <w:r w:rsidR="0070141C" w:rsidRPr="00F9224C">
              <w:t>m</w:t>
            </w:r>
            <w:r w:rsidRPr="00F9224C">
              <w:t>ployment</w:t>
            </w:r>
            <w:r w:rsidR="0070141C" w:rsidRPr="00F9224C">
              <w:t xml:space="preserve"> </w:t>
            </w:r>
            <w:r w:rsidRPr="00F9224C">
              <w:t>(-2)</w:t>
            </w:r>
            <w:r w:rsidR="0070141C" w:rsidRPr="00F9224C">
              <w:t>)</w:t>
            </w:r>
          </w:p>
        </w:tc>
        <w:tc>
          <w:tcPr>
            <w:tcW w:w="1296" w:type="dxa"/>
            <w:tcBorders>
              <w:top w:val="nil"/>
              <w:left w:val="nil"/>
              <w:bottom w:val="nil"/>
              <w:right w:val="nil"/>
            </w:tcBorders>
          </w:tcPr>
          <w:p w14:paraId="14B3ED06" w14:textId="618BBAD5" w:rsidR="0040236E" w:rsidRPr="00F9224C" w:rsidRDefault="0040236E" w:rsidP="00C441C0">
            <w:pPr>
              <w:spacing w:line="360" w:lineRule="auto"/>
              <w:jc w:val="center"/>
            </w:pPr>
            <w:r w:rsidRPr="00F9224C">
              <w:t>0.182670</w:t>
            </w:r>
          </w:p>
        </w:tc>
        <w:tc>
          <w:tcPr>
            <w:tcW w:w="1663" w:type="dxa"/>
            <w:tcBorders>
              <w:top w:val="nil"/>
              <w:left w:val="nil"/>
              <w:bottom w:val="nil"/>
              <w:right w:val="nil"/>
            </w:tcBorders>
          </w:tcPr>
          <w:p w14:paraId="5598CB02" w14:textId="433E4601" w:rsidR="0040236E" w:rsidRPr="00F9224C" w:rsidRDefault="0040236E" w:rsidP="00C441C0">
            <w:pPr>
              <w:spacing w:line="360" w:lineRule="auto"/>
              <w:jc w:val="center"/>
            </w:pPr>
            <w:r w:rsidRPr="00F9224C">
              <w:t>0.066396</w:t>
            </w:r>
          </w:p>
        </w:tc>
        <w:tc>
          <w:tcPr>
            <w:tcW w:w="1735" w:type="dxa"/>
            <w:tcBorders>
              <w:top w:val="nil"/>
              <w:left w:val="nil"/>
              <w:bottom w:val="nil"/>
              <w:right w:val="nil"/>
            </w:tcBorders>
          </w:tcPr>
          <w:p w14:paraId="61B0DEAC" w14:textId="4545C6BF" w:rsidR="0040236E" w:rsidRPr="00F9224C" w:rsidRDefault="0040236E" w:rsidP="00C441C0">
            <w:pPr>
              <w:spacing w:line="360" w:lineRule="auto"/>
              <w:jc w:val="center"/>
            </w:pPr>
            <w:r w:rsidRPr="00F9224C">
              <w:t>2.751163</w:t>
            </w:r>
          </w:p>
        </w:tc>
        <w:tc>
          <w:tcPr>
            <w:tcW w:w="1546" w:type="dxa"/>
            <w:tcBorders>
              <w:top w:val="nil"/>
              <w:left w:val="nil"/>
              <w:bottom w:val="nil"/>
              <w:right w:val="nil"/>
            </w:tcBorders>
          </w:tcPr>
          <w:p w14:paraId="595B493F" w14:textId="13F99B34" w:rsidR="0040236E" w:rsidRPr="00F9224C" w:rsidRDefault="0040236E" w:rsidP="00C441C0">
            <w:pPr>
              <w:spacing w:line="360" w:lineRule="auto"/>
              <w:jc w:val="center"/>
            </w:pPr>
            <w:r w:rsidRPr="00F9224C">
              <w:t>0.0224</w:t>
            </w:r>
          </w:p>
        </w:tc>
      </w:tr>
      <w:tr w:rsidR="0040236E" w:rsidRPr="00F9224C" w14:paraId="3D03E737" w14:textId="77777777" w:rsidTr="00C441C0">
        <w:tc>
          <w:tcPr>
            <w:tcW w:w="2871" w:type="dxa"/>
            <w:tcBorders>
              <w:top w:val="nil"/>
              <w:left w:val="nil"/>
              <w:bottom w:val="nil"/>
              <w:right w:val="nil"/>
            </w:tcBorders>
          </w:tcPr>
          <w:p w14:paraId="45112CC7" w14:textId="797314FE" w:rsidR="0040236E" w:rsidRPr="00F9224C" w:rsidRDefault="0040236E" w:rsidP="00C441C0">
            <w:pPr>
              <w:spacing w:line="360" w:lineRule="auto"/>
              <w:jc w:val="center"/>
            </w:pPr>
            <w:r w:rsidRPr="00F9224C">
              <w:t>D(Inflation)</w:t>
            </w:r>
          </w:p>
        </w:tc>
        <w:tc>
          <w:tcPr>
            <w:tcW w:w="1296" w:type="dxa"/>
            <w:tcBorders>
              <w:top w:val="nil"/>
              <w:left w:val="nil"/>
              <w:bottom w:val="nil"/>
              <w:right w:val="nil"/>
            </w:tcBorders>
          </w:tcPr>
          <w:p w14:paraId="3EEFAB21" w14:textId="13E323C1" w:rsidR="0040236E" w:rsidRPr="00F9224C" w:rsidRDefault="0040236E" w:rsidP="00C441C0">
            <w:pPr>
              <w:spacing w:line="360" w:lineRule="auto"/>
              <w:jc w:val="center"/>
            </w:pPr>
            <w:r w:rsidRPr="00F9224C">
              <w:t>-0.044346</w:t>
            </w:r>
          </w:p>
        </w:tc>
        <w:tc>
          <w:tcPr>
            <w:tcW w:w="1663" w:type="dxa"/>
            <w:tcBorders>
              <w:top w:val="nil"/>
              <w:left w:val="nil"/>
              <w:bottom w:val="nil"/>
              <w:right w:val="nil"/>
            </w:tcBorders>
          </w:tcPr>
          <w:p w14:paraId="0B84ECDB" w14:textId="139F5DCF" w:rsidR="0040236E" w:rsidRPr="00F9224C" w:rsidRDefault="0040236E" w:rsidP="00C441C0">
            <w:pPr>
              <w:spacing w:line="360" w:lineRule="auto"/>
              <w:jc w:val="center"/>
            </w:pPr>
            <w:r w:rsidRPr="00F9224C">
              <w:t>0.013893</w:t>
            </w:r>
          </w:p>
        </w:tc>
        <w:tc>
          <w:tcPr>
            <w:tcW w:w="1735" w:type="dxa"/>
            <w:tcBorders>
              <w:top w:val="nil"/>
              <w:left w:val="nil"/>
              <w:bottom w:val="nil"/>
              <w:right w:val="nil"/>
            </w:tcBorders>
          </w:tcPr>
          <w:p w14:paraId="057F3533" w14:textId="294CD20F" w:rsidR="0040236E" w:rsidRPr="00F9224C" w:rsidRDefault="0040236E" w:rsidP="00C441C0">
            <w:pPr>
              <w:spacing w:line="360" w:lineRule="auto"/>
              <w:jc w:val="center"/>
            </w:pPr>
            <w:r w:rsidRPr="00F9224C">
              <w:t>-3.192013</w:t>
            </w:r>
          </w:p>
        </w:tc>
        <w:tc>
          <w:tcPr>
            <w:tcW w:w="1546" w:type="dxa"/>
            <w:tcBorders>
              <w:top w:val="nil"/>
              <w:left w:val="nil"/>
              <w:bottom w:val="nil"/>
              <w:right w:val="nil"/>
            </w:tcBorders>
          </w:tcPr>
          <w:p w14:paraId="7C289C5F" w14:textId="4E878663" w:rsidR="0040236E" w:rsidRPr="00F9224C" w:rsidRDefault="0040236E" w:rsidP="00C441C0">
            <w:pPr>
              <w:spacing w:line="360" w:lineRule="auto"/>
              <w:jc w:val="center"/>
            </w:pPr>
            <w:r w:rsidRPr="00F9224C">
              <w:t>0.0110</w:t>
            </w:r>
          </w:p>
        </w:tc>
      </w:tr>
      <w:tr w:rsidR="0040236E" w:rsidRPr="00F9224C" w14:paraId="1A9F5433" w14:textId="77777777" w:rsidTr="00C441C0">
        <w:tc>
          <w:tcPr>
            <w:tcW w:w="2871" w:type="dxa"/>
            <w:tcBorders>
              <w:top w:val="nil"/>
              <w:left w:val="nil"/>
              <w:bottom w:val="nil"/>
              <w:right w:val="nil"/>
            </w:tcBorders>
          </w:tcPr>
          <w:p w14:paraId="5D8BEE86" w14:textId="39537C99" w:rsidR="0040236E" w:rsidRPr="00F9224C" w:rsidRDefault="0040236E" w:rsidP="00C441C0">
            <w:pPr>
              <w:spacing w:line="360" w:lineRule="auto"/>
              <w:jc w:val="center"/>
            </w:pPr>
            <w:r w:rsidRPr="00F9224C">
              <w:t>D</w:t>
            </w:r>
            <w:r w:rsidR="0070141C" w:rsidRPr="00F9224C">
              <w:t xml:space="preserve"> </w:t>
            </w:r>
            <w:r w:rsidRPr="00F9224C">
              <w:t>(GDP</w:t>
            </w:r>
            <w:r w:rsidR="0070141C" w:rsidRPr="00F9224C">
              <w:t xml:space="preserve"> </w:t>
            </w:r>
            <w:r w:rsidRPr="00F9224C">
              <w:t>(-2)</w:t>
            </w:r>
            <w:r w:rsidR="0070141C" w:rsidRPr="00F9224C">
              <w:t>)</w:t>
            </w:r>
          </w:p>
        </w:tc>
        <w:tc>
          <w:tcPr>
            <w:tcW w:w="1296" w:type="dxa"/>
            <w:tcBorders>
              <w:top w:val="nil"/>
              <w:left w:val="nil"/>
              <w:bottom w:val="nil"/>
              <w:right w:val="nil"/>
            </w:tcBorders>
          </w:tcPr>
          <w:p w14:paraId="5C4A6724" w14:textId="4AD18D07" w:rsidR="0040236E" w:rsidRPr="00F9224C" w:rsidRDefault="0040236E" w:rsidP="00C441C0">
            <w:pPr>
              <w:spacing w:line="360" w:lineRule="auto"/>
              <w:jc w:val="center"/>
            </w:pPr>
            <w:r w:rsidRPr="00F9224C">
              <w:t>0.115149</w:t>
            </w:r>
          </w:p>
        </w:tc>
        <w:tc>
          <w:tcPr>
            <w:tcW w:w="1663" w:type="dxa"/>
            <w:tcBorders>
              <w:top w:val="nil"/>
              <w:left w:val="nil"/>
              <w:bottom w:val="nil"/>
              <w:right w:val="nil"/>
            </w:tcBorders>
          </w:tcPr>
          <w:p w14:paraId="2D63AF77" w14:textId="0B2CE464" w:rsidR="0040236E" w:rsidRPr="00F9224C" w:rsidRDefault="0070141C" w:rsidP="00C441C0">
            <w:pPr>
              <w:spacing w:line="360" w:lineRule="auto"/>
              <w:jc w:val="center"/>
            </w:pPr>
            <w:r w:rsidRPr="00F9224C">
              <w:t>0.038238</w:t>
            </w:r>
          </w:p>
        </w:tc>
        <w:tc>
          <w:tcPr>
            <w:tcW w:w="1735" w:type="dxa"/>
            <w:tcBorders>
              <w:top w:val="nil"/>
              <w:left w:val="nil"/>
              <w:bottom w:val="nil"/>
              <w:right w:val="nil"/>
            </w:tcBorders>
          </w:tcPr>
          <w:p w14:paraId="644F2479" w14:textId="45E2ED77" w:rsidR="0040236E" w:rsidRPr="00F9224C" w:rsidRDefault="0070141C" w:rsidP="00C441C0">
            <w:pPr>
              <w:spacing w:line="360" w:lineRule="auto"/>
              <w:jc w:val="center"/>
            </w:pPr>
            <w:r w:rsidRPr="00F9224C">
              <w:t>3.011363</w:t>
            </w:r>
          </w:p>
        </w:tc>
        <w:tc>
          <w:tcPr>
            <w:tcW w:w="1546" w:type="dxa"/>
            <w:tcBorders>
              <w:top w:val="nil"/>
              <w:left w:val="nil"/>
              <w:bottom w:val="nil"/>
              <w:right w:val="nil"/>
            </w:tcBorders>
          </w:tcPr>
          <w:p w14:paraId="4B37114B" w14:textId="186834C9" w:rsidR="0040236E" w:rsidRPr="00F9224C" w:rsidRDefault="0070141C" w:rsidP="00C441C0">
            <w:pPr>
              <w:spacing w:line="360" w:lineRule="auto"/>
              <w:jc w:val="center"/>
            </w:pPr>
            <w:r w:rsidRPr="00F9224C">
              <w:t>0.0147</w:t>
            </w:r>
          </w:p>
        </w:tc>
      </w:tr>
      <w:tr w:rsidR="0070141C" w:rsidRPr="00F9224C" w14:paraId="679A6CA5" w14:textId="77777777" w:rsidTr="00C441C0">
        <w:tc>
          <w:tcPr>
            <w:tcW w:w="2871" w:type="dxa"/>
            <w:tcBorders>
              <w:top w:val="nil"/>
              <w:left w:val="nil"/>
              <w:right w:val="nil"/>
            </w:tcBorders>
          </w:tcPr>
          <w:p w14:paraId="1B8EC76A" w14:textId="7DA2739D" w:rsidR="0070141C" w:rsidRPr="00F9224C" w:rsidRDefault="0070141C" w:rsidP="00C441C0">
            <w:pPr>
              <w:spacing w:line="360" w:lineRule="auto"/>
              <w:jc w:val="center"/>
            </w:pPr>
            <w:r w:rsidRPr="00F9224C">
              <w:t>C</w:t>
            </w:r>
          </w:p>
        </w:tc>
        <w:tc>
          <w:tcPr>
            <w:tcW w:w="1296" w:type="dxa"/>
            <w:tcBorders>
              <w:top w:val="nil"/>
              <w:left w:val="nil"/>
              <w:right w:val="nil"/>
            </w:tcBorders>
          </w:tcPr>
          <w:p w14:paraId="4F84E16F" w14:textId="5C9D3103" w:rsidR="0070141C" w:rsidRPr="00F9224C" w:rsidRDefault="0070141C" w:rsidP="00C441C0">
            <w:pPr>
              <w:spacing w:line="360" w:lineRule="auto"/>
              <w:jc w:val="center"/>
            </w:pPr>
            <w:r w:rsidRPr="00F9224C">
              <w:t>-0.080613</w:t>
            </w:r>
          </w:p>
        </w:tc>
        <w:tc>
          <w:tcPr>
            <w:tcW w:w="1663" w:type="dxa"/>
            <w:tcBorders>
              <w:top w:val="nil"/>
              <w:left w:val="nil"/>
              <w:right w:val="nil"/>
            </w:tcBorders>
          </w:tcPr>
          <w:p w14:paraId="37C93472" w14:textId="18BA57F0" w:rsidR="0070141C" w:rsidRPr="00F9224C" w:rsidRDefault="0070141C" w:rsidP="00C441C0">
            <w:pPr>
              <w:spacing w:line="360" w:lineRule="auto"/>
              <w:jc w:val="center"/>
            </w:pPr>
            <w:r w:rsidRPr="00F9224C">
              <w:t>0.027566</w:t>
            </w:r>
          </w:p>
        </w:tc>
        <w:tc>
          <w:tcPr>
            <w:tcW w:w="1735" w:type="dxa"/>
            <w:tcBorders>
              <w:top w:val="nil"/>
              <w:left w:val="nil"/>
              <w:right w:val="nil"/>
            </w:tcBorders>
          </w:tcPr>
          <w:p w14:paraId="3CEDBA14" w14:textId="322CE6FD" w:rsidR="0070141C" w:rsidRPr="00F9224C" w:rsidRDefault="0070141C" w:rsidP="00C441C0">
            <w:pPr>
              <w:spacing w:line="360" w:lineRule="auto"/>
              <w:jc w:val="center"/>
            </w:pPr>
            <w:r w:rsidRPr="00F9224C">
              <w:t>-2.924342</w:t>
            </w:r>
          </w:p>
        </w:tc>
        <w:tc>
          <w:tcPr>
            <w:tcW w:w="1546" w:type="dxa"/>
            <w:tcBorders>
              <w:top w:val="nil"/>
              <w:left w:val="nil"/>
              <w:right w:val="nil"/>
            </w:tcBorders>
          </w:tcPr>
          <w:p w14:paraId="070861BE" w14:textId="71D28E67" w:rsidR="0070141C" w:rsidRPr="00F9224C" w:rsidRDefault="0070141C" w:rsidP="00C441C0">
            <w:pPr>
              <w:spacing w:line="360" w:lineRule="auto"/>
              <w:jc w:val="center"/>
            </w:pPr>
            <w:r w:rsidRPr="00F9224C">
              <w:t>0.0169</w:t>
            </w:r>
          </w:p>
        </w:tc>
      </w:tr>
      <w:tr w:rsidR="0040236E" w:rsidRPr="00F9224C" w14:paraId="3423B1EF" w14:textId="77777777" w:rsidTr="00C441C0">
        <w:tc>
          <w:tcPr>
            <w:tcW w:w="9111" w:type="dxa"/>
            <w:gridSpan w:val="5"/>
            <w:tcBorders>
              <w:left w:val="nil"/>
              <w:right w:val="nil"/>
            </w:tcBorders>
          </w:tcPr>
          <w:p w14:paraId="65A48B6C" w14:textId="4BE5E884" w:rsidR="0040236E" w:rsidRPr="00F9224C" w:rsidRDefault="0040236E" w:rsidP="00C441C0">
            <w:pPr>
              <w:spacing w:line="276" w:lineRule="auto"/>
            </w:pPr>
            <w:r w:rsidRPr="00F9224C">
              <w:t>R-squared = 0.</w:t>
            </w:r>
            <w:r w:rsidR="0070141C" w:rsidRPr="00F9224C">
              <w:t>838480</w:t>
            </w:r>
            <w:r w:rsidRPr="00F9224C">
              <w:t xml:space="preserve">                             Hannan-Quinn criteria = </w:t>
            </w:r>
            <w:r w:rsidR="0070141C" w:rsidRPr="00F9224C">
              <w:t>-1.777051</w:t>
            </w:r>
          </w:p>
          <w:p w14:paraId="74859BB4" w14:textId="4E15EC3A" w:rsidR="0040236E" w:rsidRPr="00F9224C" w:rsidRDefault="0040236E" w:rsidP="00C441C0">
            <w:pPr>
              <w:spacing w:line="276" w:lineRule="auto"/>
            </w:pPr>
            <w:r w:rsidRPr="00F9224C">
              <w:t xml:space="preserve">Adjusted R-squared = </w:t>
            </w:r>
            <w:r w:rsidR="0070141C" w:rsidRPr="00F9224C">
              <w:t>0.676960</w:t>
            </w:r>
            <w:r w:rsidRPr="00F9224C">
              <w:t xml:space="preserve">               Durbin-Watson test = 2</w:t>
            </w:r>
            <w:r w:rsidR="0070141C" w:rsidRPr="00F9224C">
              <w:t>.633285</w:t>
            </w:r>
          </w:p>
          <w:p w14:paraId="3AE667AA" w14:textId="40E06723" w:rsidR="0040236E" w:rsidRPr="00F9224C" w:rsidRDefault="0040236E" w:rsidP="00C441C0">
            <w:pPr>
              <w:spacing w:line="276" w:lineRule="auto"/>
            </w:pPr>
            <w:r w:rsidRPr="00F9224C">
              <w:t xml:space="preserve">F-Statistic = </w:t>
            </w:r>
            <w:r w:rsidR="0070141C" w:rsidRPr="00F9224C">
              <w:t>5.191182</w:t>
            </w:r>
          </w:p>
        </w:tc>
      </w:tr>
    </w:tbl>
    <w:p w14:paraId="1315FC31" w14:textId="77777777" w:rsidR="00B86FA9" w:rsidRPr="00F9224C" w:rsidRDefault="00B86FA9" w:rsidP="00A54432">
      <w:pPr>
        <w:spacing w:line="360" w:lineRule="auto"/>
        <w:jc w:val="both"/>
      </w:pPr>
    </w:p>
    <w:p w14:paraId="798DA752" w14:textId="1845804D" w:rsidR="00A54432" w:rsidRPr="00F9224C" w:rsidRDefault="00A54432" w:rsidP="00A54432">
      <w:pPr>
        <w:spacing w:line="360" w:lineRule="auto"/>
        <w:jc w:val="both"/>
      </w:pPr>
      <w:r w:rsidRPr="00F9224C">
        <w:lastRenderedPageBreak/>
        <w:t xml:space="preserve">The ARDL model was estimated to have the suicide rate as the dependent variable and unemployment, Inflation, and GDP as the explanatory variables. The Hannan–Quinn information criterion suggested an ARDL (2,2,0,2) specification as the most appropriate. The estimation </w:t>
      </w:r>
      <w:bookmarkStart w:id="5" w:name="_GoBack"/>
      <w:r w:rsidRPr="00F9224C">
        <w:t>result</w:t>
      </w:r>
      <w:bookmarkEnd w:id="5"/>
      <w:r w:rsidRPr="00F9224C">
        <w:t>s are summarized in Table</w:t>
      </w:r>
      <w:r w:rsidR="00AF086C">
        <w:t xml:space="preserve"> 2</w:t>
      </w:r>
      <w:r w:rsidRPr="00F9224C">
        <w:t>.</w:t>
      </w:r>
    </w:p>
    <w:p w14:paraId="4A58F24B" w14:textId="4A49C88E" w:rsidR="00A54432" w:rsidRPr="00F9224C" w:rsidRDefault="00A54432" w:rsidP="00A54432">
      <w:pPr>
        <w:spacing w:line="360" w:lineRule="auto"/>
        <w:jc w:val="both"/>
      </w:pPr>
      <w:r w:rsidRPr="00F9224C">
        <w:t xml:space="preserve">The coefficient of unemployment lagged by two periods is positive and statistically significant (0.183, p = 0.022). This suggests that increases in unemployment contribute to higher suicide rates after a lag of two periods. </w:t>
      </w:r>
    </w:p>
    <w:p w14:paraId="0B9FD6B1" w14:textId="77777777" w:rsidR="00B86FA9" w:rsidRPr="00F9224C" w:rsidRDefault="00B86FA9" w:rsidP="00A54432">
      <w:pPr>
        <w:spacing w:line="360" w:lineRule="auto"/>
        <w:jc w:val="both"/>
      </w:pPr>
    </w:p>
    <w:p w14:paraId="51540AAD" w14:textId="0DFBF562" w:rsidR="00A54432" w:rsidRPr="00F9224C" w:rsidRDefault="00A54432" w:rsidP="00A54432">
      <w:pPr>
        <w:spacing w:line="360" w:lineRule="auto"/>
        <w:jc w:val="both"/>
      </w:pPr>
      <w:r w:rsidRPr="00F9224C">
        <w:t>On the contrary, Inflation displays an inverse and statistically significant nexus with suicide rates (–0.044, p = 0.011). Although counterintuitive at first glance, this may reflect the fact that moderate Inflation can coincide with economic activity and income growth, which may temporarily buffer vulnerable groups from extreme distress. Alternatively, this could suggest that price increases shift household priorities towards economic survival, thereby altering the short-term dynamics of mental health outcomes.</w:t>
      </w:r>
    </w:p>
    <w:p w14:paraId="1601631B" w14:textId="77777777" w:rsidR="00B86FA9" w:rsidRPr="00F9224C" w:rsidRDefault="00B86FA9" w:rsidP="00A54432">
      <w:pPr>
        <w:spacing w:line="360" w:lineRule="auto"/>
        <w:jc w:val="both"/>
      </w:pPr>
    </w:p>
    <w:p w14:paraId="19278400" w14:textId="77777777" w:rsidR="00B86FA9" w:rsidRPr="00F9224C" w:rsidRDefault="00A54432" w:rsidP="00A54432">
      <w:pPr>
        <w:spacing w:line="360" w:lineRule="auto"/>
        <w:jc w:val="both"/>
      </w:pPr>
      <w:r w:rsidRPr="00F9224C">
        <w:t>GDP, lagged by two periods, is also positively associated with suicide rates (0.115, p = 0.015). This indicates that economic expansion does not necessarily translate into improved well-being for all sections of society.</w:t>
      </w:r>
    </w:p>
    <w:p w14:paraId="655651F2" w14:textId="1BFFBD5B" w:rsidR="000C7064" w:rsidRPr="00F9224C" w:rsidRDefault="00A54432" w:rsidP="00A54432">
      <w:pPr>
        <w:spacing w:line="360" w:lineRule="auto"/>
        <w:jc w:val="both"/>
      </w:pPr>
      <w:r w:rsidRPr="00F9224C">
        <w:t>The constant term is negative and significant (–0.081, p = 0.017), capturing structural or unobserved influences on suicide rates that are not fully elaborated by the included regressors. The study reveals an R-squared value of 0.838480, suggesting that the explanatory variable explains around 83% of the variance in the suicide rate. The F-statistic for the model is 5.191182, with a Prob(F-statistic) of 0.011069, indicating that the estimated model is jointly significant. Furthermore, the result of the Durbin-Watson test is 2.633285, indicating that there is no first-order autocorrelation in the residuals, given its proximity to 2. The findings further suggest that the model does not exhibit issues related to autocorrelation.</w:t>
      </w:r>
    </w:p>
    <w:p w14:paraId="3D101F3B" w14:textId="2E8AE5BD" w:rsidR="00B86FA9" w:rsidRPr="00F9224C" w:rsidRDefault="00B86FA9" w:rsidP="00A54432">
      <w:pPr>
        <w:spacing w:line="360" w:lineRule="auto"/>
        <w:jc w:val="both"/>
      </w:pPr>
    </w:p>
    <w:p w14:paraId="219C4C31" w14:textId="77777777" w:rsidR="00B86FA9" w:rsidRPr="00F9224C" w:rsidRDefault="00B86FA9" w:rsidP="00A54432">
      <w:pPr>
        <w:spacing w:line="360" w:lineRule="auto"/>
        <w:jc w:val="both"/>
      </w:pPr>
    </w:p>
    <w:p w14:paraId="17DA6BCF" w14:textId="006EB43A" w:rsidR="00EB27D9" w:rsidRPr="00F9224C" w:rsidRDefault="00EB27D9" w:rsidP="00273559">
      <w:pPr>
        <w:spacing w:line="360" w:lineRule="auto"/>
        <w:jc w:val="both"/>
        <w:rPr>
          <w:u w:val="single"/>
        </w:rPr>
      </w:pPr>
      <w:r w:rsidRPr="00F9224C">
        <w:rPr>
          <w:noProof/>
        </w:rPr>
        <w:lastRenderedPageBreak/>
        <w:drawing>
          <wp:inline distT="0" distB="0" distL="0" distR="0" wp14:anchorId="1DBF02E0" wp14:editId="0B74673C">
            <wp:extent cx="5539740" cy="384048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l="1" r="953" b="37482"/>
                    <a:stretch/>
                  </pic:blipFill>
                  <pic:spPr bwMode="auto">
                    <a:xfrm>
                      <a:off x="0" y="0"/>
                      <a:ext cx="5539740" cy="3840480"/>
                    </a:xfrm>
                    <a:prstGeom prst="rect">
                      <a:avLst/>
                    </a:prstGeom>
                    <a:noFill/>
                    <a:ln>
                      <a:noFill/>
                    </a:ln>
                    <a:extLst>
                      <a:ext uri="{53640926-AAD7-44D8-BBD7-CCE9431645EC}">
                        <a14:shadowObscured xmlns:a14="http://schemas.microsoft.com/office/drawing/2010/main"/>
                      </a:ext>
                    </a:extLst>
                  </pic:spPr>
                </pic:pic>
              </a:graphicData>
            </a:graphic>
          </wp:inline>
        </w:drawing>
      </w:r>
    </w:p>
    <w:p w14:paraId="4B05F4CA" w14:textId="0423C70D" w:rsidR="00EB27D9" w:rsidRPr="00F9224C" w:rsidRDefault="00AE0DB9" w:rsidP="00273559">
      <w:pPr>
        <w:spacing w:line="360" w:lineRule="auto"/>
        <w:jc w:val="both"/>
      </w:pPr>
      <w:r w:rsidRPr="00F9224C">
        <w:t xml:space="preserve">                                              Figure 2: Hannan Quinn Criteria </w:t>
      </w:r>
    </w:p>
    <w:p w14:paraId="6B97E9A1" w14:textId="3DEAB043" w:rsidR="00B86FA9" w:rsidRPr="00F9224C" w:rsidRDefault="00B86FA9" w:rsidP="00273559">
      <w:pPr>
        <w:spacing w:line="360" w:lineRule="auto"/>
        <w:jc w:val="both"/>
      </w:pPr>
    </w:p>
    <w:p w14:paraId="6F78CE08" w14:textId="77777777" w:rsidR="00B86FA9" w:rsidRPr="00F9224C" w:rsidRDefault="00B86FA9" w:rsidP="00273559">
      <w:pPr>
        <w:spacing w:line="360" w:lineRule="auto"/>
        <w:jc w:val="both"/>
      </w:pPr>
    </w:p>
    <w:p w14:paraId="34D6DD85" w14:textId="088504FE" w:rsidR="00347D4E" w:rsidRPr="00F9224C" w:rsidRDefault="00FB477C" w:rsidP="00273559">
      <w:pPr>
        <w:spacing w:line="360" w:lineRule="auto"/>
        <w:jc w:val="both"/>
      </w:pPr>
      <w:r w:rsidRPr="00F9224C">
        <w:t>Figure 2 shows the results of testing 54 different ARDL models with varying lag structures, and based on the Hannan-Quinn Criterion (HQC), the top 20 models are displayed. The HQC helps to choose the optimal model by minimizing the trade-off between model fit and complexity, and the ARDL (2,2,0,2) model is chosen as the best, as it has the lowest HQC value, indicating it balances accuracy and simplicity well.</w:t>
      </w:r>
    </w:p>
    <w:p w14:paraId="721D2FF4" w14:textId="77777777" w:rsidR="00B86FA9" w:rsidRPr="00F9224C" w:rsidRDefault="00B86FA9" w:rsidP="00273559">
      <w:pPr>
        <w:spacing w:line="360" w:lineRule="auto"/>
        <w:jc w:val="both"/>
      </w:pPr>
    </w:p>
    <w:p w14:paraId="6D23C0A5" w14:textId="5B21A1B9" w:rsidR="00AE0DB9" w:rsidRPr="00F9224C" w:rsidRDefault="00AE0DB9" w:rsidP="00273559">
      <w:pPr>
        <w:spacing w:line="360" w:lineRule="auto"/>
        <w:jc w:val="both"/>
        <w:rPr>
          <w:b/>
        </w:rPr>
      </w:pPr>
      <w:r w:rsidRPr="00F9224C">
        <w:rPr>
          <w:b/>
        </w:rPr>
        <w:t>Table</w:t>
      </w:r>
      <w:r w:rsidR="00AF086C">
        <w:rPr>
          <w:b/>
        </w:rPr>
        <w:t xml:space="preserve"> 3</w:t>
      </w:r>
      <w:r w:rsidR="00B86FA9" w:rsidRPr="00F9224C">
        <w:rPr>
          <w:b/>
        </w:rPr>
        <w:t>.</w:t>
      </w:r>
      <w:r w:rsidRPr="00F9224C">
        <w:rPr>
          <w:b/>
        </w:rPr>
        <w:t xml:space="preserve"> ARDL Long </w:t>
      </w:r>
      <w:r w:rsidR="00B86FA9" w:rsidRPr="00F9224C">
        <w:rPr>
          <w:b/>
        </w:rPr>
        <w:t>R</w:t>
      </w:r>
      <w:r w:rsidRPr="00F9224C">
        <w:rPr>
          <w:b/>
        </w:rPr>
        <w:t xml:space="preserve">un </w:t>
      </w:r>
      <w:r w:rsidR="00B86FA9" w:rsidRPr="00F9224C">
        <w:rPr>
          <w:b/>
        </w:rPr>
        <w:t>F</w:t>
      </w:r>
      <w:r w:rsidRPr="00F9224C">
        <w:rPr>
          <w:b/>
        </w:rPr>
        <w:t xml:space="preserve">orm and </w:t>
      </w:r>
      <w:r w:rsidR="00B86FA9" w:rsidRPr="00F9224C">
        <w:rPr>
          <w:b/>
        </w:rPr>
        <w:t>B</w:t>
      </w:r>
      <w:r w:rsidRPr="00F9224C">
        <w:rPr>
          <w:b/>
        </w:rPr>
        <w:t xml:space="preserve">ounds </w:t>
      </w:r>
      <w:r w:rsidR="00B86FA9" w:rsidRPr="00F9224C">
        <w:rPr>
          <w:b/>
        </w:rPr>
        <w:t>T</w:t>
      </w:r>
      <w:r w:rsidRPr="00F9224C">
        <w:rPr>
          <w:b/>
        </w:rPr>
        <w:t>est</w:t>
      </w:r>
    </w:p>
    <w:p w14:paraId="2ADAE7AA" w14:textId="77777777" w:rsidR="00B86FA9" w:rsidRPr="00F9224C" w:rsidRDefault="00B86FA9" w:rsidP="00273559">
      <w:pPr>
        <w:spacing w:line="360" w:lineRule="auto"/>
        <w:jc w:val="both"/>
        <w:rPr>
          <w:b/>
        </w:rPr>
      </w:pPr>
    </w:p>
    <w:tbl>
      <w:tblPr>
        <w:tblStyle w:val="TableGrid"/>
        <w:tblW w:w="9051" w:type="dxa"/>
        <w:tblLook w:val="04A0" w:firstRow="1" w:lastRow="0" w:firstColumn="1" w:lastColumn="0" w:noHBand="0" w:noVBand="1"/>
      </w:tblPr>
      <w:tblGrid>
        <w:gridCol w:w="3325"/>
        <w:gridCol w:w="1353"/>
        <w:gridCol w:w="1365"/>
        <w:gridCol w:w="1585"/>
        <w:gridCol w:w="1423"/>
      </w:tblGrid>
      <w:tr w:rsidR="00347D4E" w:rsidRPr="00F9224C" w14:paraId="75C2727F" w14:textId="77777777" w:rsidTr="00A54432">
        <w:trPr>
          <w:trHeight w:val="1511"/>
        </w:trPr>
        <w:tc>
          <w:tcPr>
            <w:tcW w:w="9051" w:type="dxa"/>
            <w:gridSpan w:val="5"/>
            <w:tcBorders>
              <w:left w:val="nil"/>
              <w:right w:val="nil"/>
            </w:tcBorders>
          </w:tcPr>
          <w:p w14:paraId="5E6F03DF" w14:textId="77777777" w:rsidR="00347D4E" w:rsidRPr="00F9224C" w:rsidRDefault="00347D4E" w:rsidP="00347D4E">
            <w:pPr>
              <w:rPr>
                <w:b/>
              </w:rPr>
            </w:pPr>
            <w:r w:rsidRPr="00F9224C">
              <w:rPr>
                <w:b/>
              </w:rPr>
              <w:t xml:space="preserve">ARDL Long Run Form and Bounds Test </w:t>
            </w:r>
          </w:p>
          <w:p w14:paraId="63F46404" w14:textId="31FD10B5" w:rsidR="00347D4E" w:rsidRPr="00F9224C" w:rsidRDefault="00347D4E" w:rsidP="00347D4E">
            <w:pPr>
              <w:rPr>
                <w:b/>
              </w:rPr>
            </w:pPr>
            <w:r w:rsidRPr="00F9224C">
              <w:rPr>
                <w:b/>
              </w:rPr>
              <w:t xml:space="preserve">Dependent Variable: D (SUICIDE RATE,2) </w:t>
            </w:r>
          </w:p>
          <w:p w14:paraId="31ADDDC6" w14:textId="75B3F029" w:rsidR="00347D4E" w:rsidRPr="00F9224C" w:rsidRDefault="00347D4E" w:rsidP="00347D4E">
            <w:pPr>
              <w:rPr>
                <w:b/>
              </w:rPr>
            </w:pPr>
            <w:r w:rsidRPr="00F9224C">
              <w:rPr>
                <w:b/>
              </w:rPr>
              <w:t>Selected Model: ARDL (2, 2, 0, 2)</w:t>
            </w:r>
          </w:p>
          <w:p w14:paraId="7621B31E" w14:textId="6A6311EF" w:rsidR="00347D4E" w:rsidRPr="00F9224C" w:rsidRDefault="00347D4E" w:rsidP="00347D4E">
            <w:pPr>
              <w:rPr>
                <w:b/>
              </w:rPr>
            </w:pPr>
            <w:r w:rsidRPr="00F9224C">
              <w:rPr>
                <w:b/>
              </w:rPr>
              <w:t>Case 2: Restricted Constant and No Trend</w:t>
            </w:r>
          </w:p>
          <w:p w14:paraId="05E17CF7" w14:textId="77777777" w:rsidR="00347D4E" w:rsidRPr="00F9224C" w:rsidRDefault="00347D4E" w:rsidP="00347D4E">
            <w:pPr>
              <w:rPr>
                <w:b/>
              </w:rPr>
            </w:pPr>
            <w:r w:rsidRPr="00F9224C">
              <w:rPr>
                <w:b/>
              </w:rPr>
              <w:t>Sample: 2000 2021</w:t>
            </w:r>
            <w:r w:rsidRPr="00F9224C">
              <w:rPr>
                <w:b/>
              </w:rPr>
              <w:tab/>
            </w:r>
          </w:p>
          <w:p w14:paraId="3683B4F9" w14:textId="77777777" w:rsidR="00347D4E" w:rsidRPr="00F9224C" w:rsidRDefault="00347D4E" w:rsidP="00347D4E">
            <w:r w:rsidRPr="00F9224C">
              <w:rPr>
                <w:b/>
              </w:rPr>
              <w:t>Included observations: 19</w:t>
            </w:r>
          </w:p>
        </w:tc>
      </w:tr>
      <w:tr w:rsidR="00347D4E" w:rsidRPr="00F9224C" w14:paraId="6E195ABC" w14:textId="77777777" w:rsidTr="00A54432">
        <w:trPr>
          <w:trHeight w:val="431"/>
        </w:trPr>
        <w:tc>
          <w:tcPr>
            <w:tcW w:w="9051" w:type="dxa"/>
            <w:gridSpan w:val="5"/>
            <w:tcBorders>
              <w:left w:val="nil"/>
              <w:bottom w:val="single" w:sz="4" w:space="0" w:color="auto"/>
              <w:right w:val="nil"/>
            </w:tcBorders>
          </w:tcPr>
          <w:p w14:paraId="333407BB" w14:textId="3D2F3C8B" w:rsidR="00347D4E" w:rsidRPr="00F9224C" w:rsidRDefault="00347D4E" w:rsidP="00347D4E">
            <w:r w:rsidRPr="00F9224C">
              <w:t xml:space="preserve">                                        </w:t>
            </w:r>
            <w:r w:rsidRPr="00F9224C">
              <w:rPr>
                <w:b/>
              </w:rPr>
              <w:t>Conditional Error Correction Regressio</w:t>
            </w:r>
            <w:r w:rsidR="00A54432" w:rsidRPr="00F9224C">
              <w:rPr>
                <w:b/>
              </w:rPr>
              <w:t>n</w:t>
            </w:r>
          </w:p>
        </w:tc>
      </w:tr>
      <w:tr w:rsidR="00347D4E" w:rsidRPr="00F9224C" w14:paraId="7094B486" w14:textId="77777777" w:rsidTr="00A54432">
        <w:trPr>
          <w:trHeight w:val="240"/>
        </w:trPr>
        <w:tc>
          <w:tcPr>
            <w:tcW w:w="3325" w:type="dxa"/>
            <w:tcBorders>
              <w:left w:val="nil"/>
              <w:bottom w:val="nil"/>
              <w:right w:val="nil"/>
            </w:tcBorders>
          </w:tcPr>
          <w:p w14:paraId="5DBADB47" w14:textId="77777777" w:rsidR="00347D4E" w:rsidRPr="00F9224C" w:rsidRDefault="00347D4E" w:rsidP="00724811">
            <w:pPr>
              <w:jc w:val="center"/>
              <w:rPr>
                <w:b/>
              </w:rPr>
            </w:pPr>
            <w:r w:rsidRPr="00F9224C">
              <w:rPr>
                <w:b/>
              </w:rPr>
              <w:t>Variable</w:t>
            </w:r>
          </w:p>
        </w:tc>
        <w:tc>
          <w:tcPr>
            <w:tcW w:w="1353" w:type="dxa"/>
            <w:tcBorders>
              <w:left w:val="nil"/>
              <w:bottom w:val="nil"/>
              <w:right w:val="nil"/>
            </w:tcBorders>
          </w:tcPr>
          <w:p w14:paraId="647B0BBB" w14:textId="77777777" w:rsidR="00347D4E" w:rsidRPr="00F9224C" w:rsidRDefault="00347D4E" w:rsidP="00724811">
            <w:pPr>
              <w:jc w:val="center"/>
              <w:rPr>
                <w:b/>
              </w:rPr>
            </w:pPr>
            <w:r w:rsidRPr="00F9224C">
              <w:rPr>
                <w:b/>
              </w:rPr>
              <w:t>Coefficient</w:t>
            </w:r>
          </w:p>
        </w:tc>
        <w:tc>
          <w:tcPr>
            <w:tcW w:w="1365" w:type="dxa"/>
            <w:tcBorders>
              <w:left w:val="nil"/>
              <w:bottom w:val="nil"/>
              <w:right w:val="nil"/>
            </w:tcBorders>
          </w:tcPr>
          <w:p w14:paraId="5F7DF613" w14:textId="77777777" w:rsidR="00347D4E" w:rsidRPr="00F9224C" w:rsidRDefault="00347D4E" w:rsidP="00724811">
            <w:pPr>
              <w:jc w:val="center"/>
              <w:rPr>
                <w:b/>
              </w:rPr>
            </w:pPr>
            <w:r w:rsidRPr="00F9224C">
              <w:rPr>
                <w:b/>
              </w:rPr>
              <w:t>Std. Error</w:t>
            </w:r>
          </w:p>
        </w:tc>
        <w:tc>
          <w:tcPr>
            <w:tcW w:w="1585" w:type="dxa"/>
            <w:tcBorders>
              <w:left w:val="nil"/>
              <w:bottom w:val="nil"/>
              <w:right w:val="nil"/>
            </w:tcBorders>
          </w:tcPr>
          <w:p w14:paraId="7E561B61" w14:textId="77777777" w:rsidR="00347D4E" w:rsidRPr="00F9224C" w:rsidRDefault="00347D4E" w:rsidP="00724811">
            <w:pPr>
              <w:jc w:val="center"/>
              <w:rPr>
                <w:b/>
              </w:rPr>
            </w:pPr>
            <w:r w:rsidRPr="00F9224C">
              <w:rPr>
                <w:b/>
              </w:rPr>
              <w:t>t-Statistic</w:t>
            </w:r>
          </w:p>
        </w:tc>
        <w:tc>
          <w:tcPr>
            <w:tcW w:w="1422" w:type="dxa"/>
            <w:tcBorders>
              <w:left w:val="nil"/>
              <w:bottom w:val="nil"/>
              <w:right w:val="nil"/>
            </w:tcBorders>
          </w:tcPr>
          <w:p w14:paraId="48654855" w14:textId="77777777" w:rsidR="00347D4E" w:rsidRPr="00F9224C" w:rsidRDefault="00347D4E" w:rsidP="00724811">
            <w:pPr>
              <w:jc w:val="center"/>
              <w:rPr>
                <w:b/>
              </w:rPr>
            </w:pPr>
            <w:r w:rsidRPr="00F9224C">
              <w:rPr>
                <w:b/>
              </w:rPr>
              <w:t>Prob.</w:t>
            </w:r>
          </w:p>
        </w:tc>
      </w:tr>
      <w:tr w:rsidR="00347D4E" w:rsidRPr="00F9224C" w14:paraId="6522C1F2" w14:textId="77777777" w:rsidTr="00A54432">
        <w:trPr>
          <w:trHeight w:val="251"/>
        </w:trPr>
        <w:tc>
          <w:tcPr>
            <w:tcW w:w="3325" w:type="dxa"/>
            <w:tcBorders>
              <w:top w:val="nil"/>
              <w:left w:val="nil"/>
              <w:bottom w:val="nil"/>
              <w:right w:val="nil"/>
            </w:tcBorders>
          </w:tcPr>
          <w:p w14:paraId="13DE7C1B" w14:textId="77777777" w:rsidR="00347D4E" w:rsidRPr="00F9224C" w:rsidRDefault="00347D4E" w:rsidP="00724811">
            <w:pPr>
              <w:jc w:val="center"/>
            </w:pPr>
            <w:r w:rsidRPr="00F9224C">
              <w:t>C</w:t>
            </w:r>
          </w:p>
        </w:tc>
        <w:tc>
          <w:tcPr>
            <w:tcW w:w="1353" w:type="dxa"/>
            <w:tcBorders>
              <w:top w:val="nil"/>
              <w:left w:val="nil"/>
              <w:bottom w:val="nil"/>
              <w:right w:val="nil"/>
            </w:tcBorders>
          </w:tcPr>
          <w:p w14:paraId="594BE25C" w14:textId="77777777" w:rsidR="00347D4E" w:rsidRPr="00F9224C" w:rsidRDefault="00347D4E" w:rsidP="00724811">
            <w:pPr>
              <w:jc w:val="center"/>
            </w:pPr>
            <w:r w:rsidRPr="00F9224C">
              <w:t>-0.080613</w:t>
            </w:r>
          </w:p>
        </w:tc>
        <w:tc>
          <w:tcPr>
            <w:tcW w:w="1365" w:type="dxa"/>
            <w:tcBorders>
              <w:top w:val="nil"/>
              <w:left w:val="nil"/>
              <w:bottom w:val="nil"/>
              <w:right w:val="nil"/>
            </w:tcBorders>
          </w:tcPr>
          <w:p w14:paraId="4F37D95C" w14:textId="77777777" w:rsidR="00347D4E" w:rsidRPr="00F9224C" w:rsidRDefault="00347D4E" w:rsidP="00724811">
            <w:pPr>
              <w:jc w:val="center"/>
            </w:pPr>
            <w:r w:rsidRPr="00F9224C">
              <w:t>0.027566</w:t>
            </w:r>
          </w:p>
        </w:tc>
        <w:tc>
          <w:tcPr>
            <w:tcW w:w="1585" w:type="dxa"/>
            <w:tcBorders>
              <w:top w:val="nil"/>
              <w:left w:val="nil"/>
              <w:bottom w:val="nil"/>
              <w:right w:val="nil"/>
            </w:tcBorders>
          </w:tcPr>
          <w:p w14:paraId="2C9A7484" w14:textId="77777777" w:rsidR="00347D4E" w:rsidRPr="00F9224C" w:rsidRDefault="00347D4E" w:rsidP="00724811">
            <w:pPr>
              <w:jc w:val="center"/>
            </w:pPr>
            <w:r w:rsidRPr="00F9224C">
              <w:t>-2.924342</w:t>
            </w:r>
          </w:p>
        </w:tc>
        <w:tc>
          <w:tcPr>
            <w:tcW w:w="1422" w:type="dxa"/>
            <w:tcBorders>
              <w:top w:val="nil"/>
              <w:left w:val="nil"/>
              <w:bottom w:val="nil"/>
              <w:right w:val="nil"/>
            </w:tcBorders>
          </w:tcPr>
          <w:p w14:paraId="3C74BA7B" w14:textId="77777777" w:rsidR="00347D4E" w:rsidRPr="00F9224C" w:rsidRDefault="00347D4E" w:rsidP="00724811">
            <w:pPr>
              <w:jc w:val="center"/>
            </w:pPr>
            <w:r w:rsidRPr="00F9224C">
              <w:t>0.0169</w:t>
            </w:r>
          </w:p>
        </w:tc>
      </w:tr>
      <w:tr w:rsidR="00347D4E" w:rsidRPr="00F9224C" w14:paraId="62E455F0" w14:textId="77777777" w:rsidTr="00A54432">
        <w:trPr>
          <w:trHeight w:val="251"/>
        </w:trPr>
        <w:tc>
          <w:tcPr>
            <w:tcW w:w="3325" w:type="dxa"/>
            <w:tcBorders>
              <w:top w:val="nil"/>
              <w:left w:val="nil"/>
              <w:bottom w:val="nil"/>
              <w:right w:val="nil"/>
            </w:tcBorders>
          </w:tcPr>
          <w:p w14:paraId="017742C6" w14:textId="77777777" w:rsidR="00347D4E" w:rsidRPr="00F9224C" w:rsidRDefault="00347D4E" w:rsidP="00724811">
            <w:pPr>
              <w:jc w:val="center"/>
            </w:pPr>
            <w:r w:rsidRPr="00F9224C">
              <w:t>D(SUICIDE_</w:t>
            </w:r>
            <w:proofErr w:type="gramStart"/>
            <w:r w:rsidRPr="00F9224C">
              <w:t>RATE(</w:t>
            </w:r>
            <w:proofErr w:type="gramEnd"/>
            <w:r w:rsidRPr="00F9224C">
              <w:t>-1))*</w:t>
            </w:r>
          </w:p>
        </w:tc>
        <w:tc>
          <w:tcPr>
            <w:tcW w:w="1353" w:type="dxa"/>
            <w:tcBorders>
              <w:top w:val="nil"/>
              <w:left w:val="nil"/>
              <w:bottom w:val="nil"/>
              <w:right w:val="nil"/>
            </w:tcBorders>
          </w:tcPr>
          <w:p w14:paraId="574961F2" w14:textId="77777777" w:rsidR="00347D4E" w:rsidRPr="00F9224C" w:rsidRDefault="00347D4E" w:rsidP="00724811">
            <w:pPr>
              <w:jc w:val="center"/>
            </w:pPr>
            <w:r w:rsidRPr="00F9224C">
              <w:t>-0.511021</w:t>
            </w:r>
          </w:p>
        </w:tc>
        <w:tc>
          <w:tcPr>
            <w:tcW w:w="1365" w:type="dxa"/>
            <w:tcBorders>
              <w:top w:val="nil"/>
              <w:left w:val="nil"/>
              <w:bottom w:val="nil"/>
              <w:right w:val="nil"/>
            </w:tcBorders>
          </w:tcPr>
          <w:p w14:paraId="353F6DB6" w14:textId="77777777" w:rsidR="00347D4E" w:rsidRPr="00F9224C" w:rsidRDefault="00347D4E" w:rsidP="00724811">
            <w:pPr>
              <w:jc w:val="center"/>
            </w:pPr>
            <w:r w:rsidRPr="00F9224C">
              <w:t>0.200247</w:t>
            </w:r>
          </w:p>
        </w:tc>
        <w:tc>
          <w:tcPr>
            <w:tcW w:w="1585" w:type="dxa"/>
            <w:tcBorders>
              <w:top w:val="nil"/>
              <w:left w:val="nil"/>
              <w:bottom w:val="nil"/>
              <w:right w:val="nil"/>
            </w:tcBorders>
          </w:tcPr>
          <w:p w14:paraId="5D60BA87" w14:textId="77777777" w:rsidR="00347D4E" w:rsidRPr="00F9224C" w:rsidRDefault="00347D4E" w:rsidP="00724811">
            <w:pPr>
              <w:jc w:val="center"/>
            </w:pPr>
            <w:r w:rsidRPr="00F9224C">
              <w:t>-2.551957</w:t>
            </w:r>
          </w:p>
        </w:tc>
        <w:tc>
          <w:tcPr>
            <w:tcW w:w="1422" w:type="dxa"/>
            <w:tcBorders>
              <w:top w:val="nil"/>
              <w:left w:val="nil"/>
              <w:bottom w:val="nil"/>
              <w:right w:val="nil"/>
            </w:tcBorders>
          </w:tcPr>
          <w:p w14:paraId="62E0BDF5" w14:textId="77777777" w:rsidR="00347D4E" w:rsidRPr="00F9224C" w:rsidRDefault="00347D4E" w:rsidP="00724811">
            <w:pPr>
              <w:jc w:val="center"/>
            </w:pPr>
            <w:r w:rsidRPr="00F9224C">
              <w:t>0.0311</w:t>
            </w:r>
          </w:p>
        </w:tc>
      </w:tr>
      <w:tr w:rsidR="00347D4E" w:rsidRPr="00F9224C" w14:paraId="3BB9A843" w14:textId="77777777" w:rsidTr="00A54432">
        <w:trPr>
          <w:trHeight w:val="251"/>
        </w:trPr>
        <w:tc>
          <w:tcPr>
            <w:tcW w:w="3325" w:type="dxa"/>
            <w:tcBorders>
              <w:top w:val="nil"/>
              <w:left w:val="nil"/>
              <w:bottom w:val="nil"/>
              <w:right w:val="nil"/>
            </w:tcBorders>
          </w:tcPr>
          <w:p w14:paraId="6CC1D4A4" w14:textId="77777777" w:rsidR="00347D4E" w:rsidRPr="00F9224C" w:rsidRDefault="00347D4E" w:rsidP="00724811">
            <w:pPr>
              <w:jc w:val="center"/>
            </w:pPr>
            <w:r w:rsidRPr="00F9224C">
              <w:lastRenderedPageBreak/>
              <w:t>D(</w:t>
            </w:r>
            <w:proofErr w:type="gramStart"/>
            <w:r w:rsidRPr="00F9224C">
              <w:t>UNEMPLOYMENT(</w:t>
            </w:r>
            <w:proofErr w:type="gramEnd"/>
            <w:r w:rsidRPr="00F9224C">
              <w:t>-1))</w:t>
            </w:r>
          </w:p>
        </w:tc>
        <w:tc>
          <w:tcPr>
            <w:tcW w:w="1353" w:type="dxa"/>
            <w:tcBorders>
              <w:top w:val="nil"/>
              <w:left w:val="nil"/>
              <w:bottom w:val="nil"/>
              <w:right w:val="nil"/>
            </w:tcBorders>
          </w:tcPr>
          <w:p w14:paraId="63078C77" w14:textId="77777777" w:rsidR="00347D4E" w:rsidRPr="00F9224C" w:rsidRDefault="00347D4E" w:rsidP="00724811">
            <w:pPr>
              <w:jc w:val="center"/>
            </w:pPr>
            <w:r w:rsidRPr="00F9224C">
              <w:t>0.262359</w:t>
            </w:r>
          </w:p>
        </w:tc>
        <w:tc>
          <w:tcPr>
            <w:tcW w:w="1365" w:type="dxa"/>
            <w:tcBorders>
              <w:top w:val="nil"/>
              <w:left w:val="nil"/>
              <w:bottom w:val="nil"/>
              <w:right w:val="nil"/>
            </w:tcBorders>
          </w:tcPr>
          <w:p w14:paraId="33A498DB" w14:textId="77777777" w:rsidR="00347D4E" w:rsidRPr="00F9224C" w:rsidRDefault="00347D4E" w:rsidP="00724811">
            <w:pPr>
              <w:jc w:val="center"/>
            </w:pPr>
            <w:r w:rsidRPr="00F9224C">
              <w:t>0.113677</w:t>
            </w:r>
          </w:p>
        </w:tc>
        <w:tc>
          <w:tcPr>
            <w:tcW w:w="1585" w:type="dxa"/>
            <w:tcBorders>
              <w:top w:val="nil"/>
              <w:left w:val="nil"/>
              <w:bottom w:val="nil"/>
              <w:right w:val="nil"/>
            </w:tcBorders>
          </w:tcPr>
          <w:p w14:paraId="4C88EB6A" w14:textId="77777777" w:rsidR="00347D4E" w:rsidRPr="00F9224C" w:rsidRDefault="00347D4E" w:rsidP="00724811">
            <w:pPr>
              <w:jc w:val="center"/>
            </w:pPr>
            <w:r w:rsidRPr="00F9224C">
              <w:t>2.307925</w:t>
            </w:r>
          </w:p>
        </w:tc>
        <w:tc>
          <w:tcPr>
            <w:tcW w:w="1422" w:type="dxa"/>
            <w:tcBorders>
              <w:top w:val="nil"/>
              <w:left w:val="nil"/>
              <w:bottom w:val="nil"/>
              <w:right w:val="nil"/>
            </w:tcBorders>
          </w:tcPr>
          <w:p w14:paraId="3BBC23E4" w14:textId="77777777" w:rsidR="00347D4E" w:rsidRPr="00F9224C" w:rsidRDefault="00347D4E" w:rsidP="00724811">
            <w:pPr>
              <w:jc w:val="center"/>
            </w:pPr>
            <w:r w:rsidRPr="00F9224C">
              <w:t>0.0464</w:t>
            </w:r>
          </w:p>
        </w:tc>
      </w:tr>
      <w:tr w:rsidR="00347D4E" w:rsidRPr="00F9224C" w14:paraId="2749E3F1" w14:textId="77777777" w:rsidTr="00A54432">
        <w:trPr>
          <w:trHeight w:val="251"/>
        </w:trPr>
        <w:tc>
          <w:tcPr>
            <w:tcW w:w="3325" w:type="dxa"/>
            <w:tcBorders>
              <w:top w:val="nil"/>
              <w:left w:val="nil"/>
              <w:bottom w:val="nil"/>
              <w:right w:val="nil"/>
            </w:tcBorders>
          </w:tcPr>
          <w:p w14:paraId="5C78E249" w14:textId="77777777" w:rsidR="00347D4E" w:rsidRPr="00F9224C" w:rsidRDefault="00347D4E" w:rsidP="00724811">
            <w:pPr>
              <w:jc w:val="center"/>
            </w:pPr>
            <w:r w:rsidRPr="00F9224C">
              <w:t>D(INFLATION)**</w:t>
            </w:r>
          </w:p>
        </w:tc>
        <w:tc>
          <w:tcPr>
            <w:tcW w:w="1353" w:type="dxa"/>
            <w:tcBorders>
              <w:top w:val="nil"/>
              <w:left w:val="nil"/>
              <w:bottom w:val="nil"/>
              <w:right w:val="nil"/>
            </w:tcBorders>
          </w:tcPr>
          <w:p w14:paraId="248E0375" w14:textId="77777777" w:rsidR="00347D4E" w:rsidRPr="00F9224C" w:rsidRDefault="00347D4E" w:rsidP="00724811">
            <w:pPr>
              <w:jc w:val="center"/>
            </w:pPr>
            <w:r w:rsidRPr="00F9224C">
              <w:t>-0.044346</w:t>
            </w:r>
          </w:p>
        </w:tc>
        <w:tc>
          <w:tcPr>
            <w:tcW w:w="1365" w:type="dxa"/>
            <w:tcBorders>
              <w:top w:val="nil"/>
              <w:left w:val="nil"/>
              <w:bottom w:val="nil"/>
              <w:right w:val="nil"/>
            </w:tcBorders>
          </w:tcPr>
          <w:p w14:paraId="7727596C" w14:textId="77777777" w:rsidR="00347D4E" w:rsidRPr="00F9224C" w:rsidRDefault="00347D4E" w:rsidP="00724811">
            <w:pPr>
              <w:jc w:val="center"/>
            </w:pPr>
            <w:r w:rsidRPr="00F9224C">
              <w:t>0.013893</w:t>
            </w:r>
          </w:p>
        </w:tc>
        <w:tc>
          <w:tcPr>
            <w:tcW w:w="1585" w:type="dxa"/>
            <w:tcBorders>
              <w:top w:val="nil"/>
              <w:left w:val="nil"/>
              <w:bottom w:val="nil"/>
              <w:right w:val="nil"/>
            </w:tcBorders>
          </w:tcPr>
          <w:p w14:paraId="3B9E6DBC" w14:textId="77777777" w:rsidR="00347D4E" w:rsidRPr="00F9224C" w:rsidRDefault="00347D4E" w:rsidP="00724811">
            <w:pPr>
              <w:jc w:val="center"/>
            </w:pPr>
            <w:r w:rsidRPr="00F9224C">
              <w:t>-3.192013</w:t>
            </w:r>
          </w:p>
        </w:tc>
        <w:tc>
          <w:tcPr>
            <w:tcW w:w="1422" w:type="dxa"/>
            <w:tcBorders>
              <w:top w:val="nil"/>
              <w:left w:val="nil"/>
              <w:bottom w:val="nil"/>
              <w:right w:val="nil"/>
            </w:tcBorders>
          </w:tcPr>
          <w:p w14:paraId="47E4958B" w14:textId="77777777" w:rsidR="00347D4E" w:rsidRPr="00F9224C" w:rsidRDefault="00347D4E" w:rsidP="00724811">
            <w:pPr>
              <w:jc w:val="center"/>
            </w:pPr>
            <w:r w:rsidRPr="00F9224C">
              <w:t>0.0110</w:t>
            </w:r>
          </w:p>
        </w:tc>
      </w:tr>
      <w:tr w:rsidR="00347D4E" w:rsidRPr="00F9224C" w14:paraId="732E5E54" w14:textId="77777777" w:rsidTr="00A54432">
        <w:trPr>
          <w:trHeight w:val="251"/>
        </w:trPr>
        <w:tc>
          <w:tcPr>
            <w:tcW w:w="3325" w:type="dxa"/>
            <w:tcBorders>
              <w:top w:val="nil"/>
              <w:left w:val="nil"/>
              <w:bottom w:val="nil"/>
              <w:right w:val="nil"/>
            </w:tcBorders>
          </w:tcPr>
          <w:p w14:paraId="58BA6459" w14:textId="36ED8575" w:rsidR="00347D4E" w:rsidRPr="00F9224C" w:rsidRDefault="00347D4E" w:rsidP="00724811">
            <w:pPr>
              <w:jc w:val="center"/>
            </w:pPr>
            <w:r w:rsidRPr="00F9224C">
              <w:t>D (GDP (-1))</w:t>
            </w:r>
          </w:p>
        </w:tc>
        <w:tc>
          <w:tcPr>
            <w:tcW w:w="1353" w:type="dxa"/>
            <w:tcBorders>
              <w:top w:val="nil"/>
              <w:left w:val="nil"/>
              <w:bottom w:val="nil"/>
              <w:right w:val="nil"/>
            </w:tcBorders>
          </w:tcPr>
          <w:p w14:paraId="01A89555" w14:textId="77777777" w:rsidR="00347D4E" w:rsidRPr="00F9224C" w:rsidRDefault="00347D4E" w:rsidP="00724811">
            <w:pPr>
              <w:jc w:val="center"/>
            </w:pPr>
            <w:r w:rsidRPr="00F9224C">
              <w:t>0.235462</w:t>
            </w:r>
          </w:p>
        </w:tc>
        <w:tc>
          <w:tcPr>
            <w:tcW w:w="1365" w:type="dxa"/>
            <w:tcBorders>
              <w:top w:val="nil"/>
              <w:left w:val="nil"/>
              <w:bottom w:val="nil"/>
              <w:right w:val="nil"/>
            </w:tcBorders>
          </w:tcPr>
          <w:p w14:paraId="3B75A00B" w14:textId="77777777" w:rsidR="00347D4E" w:rsidRPr="00F9224C" w:rsidRDefault="00347D4E" w:rsidP="00724811">
            <w:pPr>
              <w:jc w:val="center"/>
            </w:pPr>
            <w:r w:rsidRPr="00F9224C">
              <w:t>0.059073</w:t>
            </w:r>
          </w:p>
        </w:tc>
        <w:tc>
          <w:tcPr>
            <w:tcW w:w="1585" w:type="dxa"/>
            <w:tcBorders>
              <w:top w:val="nil"/>
              <w:left w:val="nil"/>
              <w:bottom w:val="nil"/>
              <w:right w:val="nil"/>
            </w:tcBorders>
          </w:tcPr>
          <w:p w14:paraId="2A898863" w14:textId="77777777" w:rsidR="00347D4E" w:rsidRPr="00F9224C" w:rsidRDefault="00347D4E" w:rsidP="00724811">
            <w:pPr>
              <w:jc w:val="center"/>
            </w:pPr>
            <w:r w:rsidRPr="00F9224C">
              <w:t>3.985955</w:t>
            </w:r>
          </w:p>
        </w:tc>
        <w:tc>
          <w:tcPr>
            <w:tcW w:w="1422" w:type="dxa"/>
            <w:tcBorders>
              <w:top w:val="nil"/>
              <w:left w:val="nil"/>
              <w:bottom w:val="nil"/>
              <w:right w:val="nil"/>
            </w:tcBorders>
          </w:tcPr>
          <w:p w14:paraId="7941FA5B" w14:textId="77777777" w:rsidR="00347D4E" w:rsidRPr="00F9224C" w:rsidRDefault="00347D4E" w:rsidP="00724811">
            <w:pPr>
              <w:jc w:val="center"/>
            </w:pPr>
            <w:r w:rsidRPr="00F9224C">
              <w:t>0.0032</w:t>
            </w:r>
          </w:p>
        </w:tc>
      </w:tr>
      <w:tr w:rsidR="00347D4E" w:rsidRPr="00F9224C" w14:paraId="2AAB56F4" w14:textId="77777777" w:rsidTr="00A54432">
        <w:trPr>
          <w:trHeight w:val="251"/>
        </w:trPr>
        <w:tc>
          <w:tcPr>
            <w:tcW w:w="3325" w:type="dxa"/>
            <w:tcBorders>
              <w:top w:val="nil"/>
              <w:left w:val="nil"/>
              <w:bottom w:val="nil"/>
              <w:right w:val="nil"/>
            </w:tcBorders>
          </w:tcPr>
          <w:p w14:paraId="54E5C4A9" w14:textId="51259825" w:rsidR="00347D4E" w:rsidRPr="00F9224C" w:rsidRDefault="00347D4E" w:rsidP="00724811">
            <w:pPr>
              <w:jc w:val="center"/>
            </w:pPr>
            <w:r w:rsidRPr="00F9224C">
              <w:t>D (SUICIDE_RATE (-1),2)</w:t>
            </w:r>
          </w:p>
        </w:tc>
        <w:tc>
          <w:tcPr>
            <w:tcW w:w="1353" w:type="dxa"/>
            <w:tcBorders>
              <w:top w:val="nil"/>
              <w:left w:val="nil"/>
              <w:bottom w:val="nil"/>
              <w:right w:val="nil"/>
            </w:tcBorders>
          </w:tcPr>
          <w:p w14:paraId="0DB662E3" w14:textId="77777777" w:rsidR="00347D4E" w:rsidRPr="00F9224C" w:rsidRDefault="00347D4E" w:rsidP="00724811">
            <w:pPr>
              <w:jc w:val="center"/>
            </w:pPr>
            <w:r w:rsidRPr="00F9224C">
              <w:t>-0.274162</w:t>
            </w:r>
          </w:p>
        </w:tc>
        <w:tc>
          <w:tcPr>
            <w:tcW w:w="1365" w:type="dxa"/>
            <w:tcBorders>
              <w:top w:val="nil"/>
              <w:left w:val="nil"/>
              <w:bottom w:val="nil"/>
              <w:right w:val="nil"/>
            </w:tcBorders>
          </w:tcPr>
          <w:p w14:paraId="28FC49A0" w14:textId="77777777" w:rsidR="00347D4E" w:rsidRPr="00F9224C" w:rsidRDefault="00347D4E" w:rsidP="00724811">
            <w:pPr>
              <w:jc w:val="center"/>
            </w:pPr>
            <w:r w:rsidRPr="00F9224C">
              <w:t>0.206971</w:t>
            </w:r>
          </w:p>
        </w:tc>
        <w:tc>
          <w:tcPr>
            <w:tcW w:w="1585" w:type="dxa"/>
            <w:tcBorders>
              <w:top w:val="nil"/>
              <w:left w:val="nil"/>
              <w:bottom w:val="nil"/>
              <w:right w:val="nil"/>
            </w:tcBorders>
          </w:tcPr>
          <w:p w14:paraId="71A14A93" w14:textId="77777777" w:rsidR="00347D4E" w:rsidRPr="00F9224C" w:rsidRDefault="00347D4E" w:rsidP="00724811">
            <w:pPr>
              <w:jc w:val="center"/>
            </w:pPr>
            <w:r w:rsidRPr="00F9224C">
              <w:t>-1.324637</w:t>
            </w:r>
          </w:p>
        </w:tc>
        <w:tc>
          <w:tcPr>
            <w:tcW w:w="1422" w:type="dxa"/>
            <w:tcBorders>
              <w:top w:val="nil"/>
              <w:left w:val="nil"/>
              <w:bottom w:val="nil"/>
              <w:right w:val="nil"/>
            </w:tcBorders>
          </w:tcPr>
          <w:p w14:paraId="53B6E63B" w14:textId="77777777" w:rsidR="00347D4E" w:rsidRPr="00F9224C" w:rsidRDefault="00347D4E" w:rsidP="00724811">
            <w:pPr>
              <w:jc w:val="center"/>
            </w:pPr>
            <w:r w:rsidRPr="00F9224C">
              <w:t>0.2179</w:t>
            </w:r>
          </w:p>
        </w:tc>
      </w:tr>
      <w:tr w:rsidR="00347D4E" w:rsidRPr="00F9224C" w14:paraId="0EF326C4" w14:textId="77777777" w:rsidTr="00A54432">
        <w:trPr>
          <w:trHeight w:val="251"/>
        </w:trPr>
        <w:tc>
          <w:tcPr>
            <w:tcW w:w="3325" w:type="dxa"/>
            <w:tcBorders>
              <w:top w:val="nil"/>
              <w:left w:val="nil"/>
              <w:bottom w:val="nil"/>
              <w:right w:val="nil"/>
            </w:tcBorders>
          </w:tcPr>
          <w:p w14:paraId="0A33893D" w14:textId="77777777" w:rsidR="00347D4E" w:rsidRPr="00F9224C" w:rsidRDefault="00347D4E" w:rsidP="00724811">
            <w:pPr>
              <w:jc w:val="center"/>
            </w:pPr>
            <w:r w:rsidRPr="00F9224C">
              <w:t>D(UNEMPLOYMENT,2)</w:t>
            </w:r>
          </w:p>
        </w:tc>
        <w:tc>
          <w:tcPr>
            <w:tcW w:w="1353" w:type="dxa"/>
            <w:tcBorders>
              <w:top w:val="nil"/>
              <w:left w:val="nil"/>
              <w:bottom w:val="nil"/>
              <w:right w:val="nil"/>
            </w:tcBorders>
          </w:tcPr>
          <w:p w14:paraId="76249E48" w14:textId="77777777" w:rsidR="00347D4E" w:rsidRPr="00F9224C" w:rsidRDefault="00347D4E" w:rsidP="00724811">
            <w:pPr>
              <w:jc w:val="center"/>
            </w:pPr>
            <w:r w:rsidRPr="00F9224C">
              <w:t>-0.059724</w:t>
            </w:r>
          </w:p>
        </w:tc>
        <w:tc>
          <w:tcPr>
            <w:tcW w:w="1365" w:type="dxa"/>
            <w:tcBorders>
              <w:top w:val="nil"/>
              <w:left w:val="nil"/>
              <w:bottom w:val="nil"/>
              <w:right w:val="nil"/>
            </w:tcBorders>
          </w:tcPr>
          <w:p w14:paraId="75D9280A" w14:textId="77777777" w:rsidR="00347D4E" w:rsidRPr="00F9224C" w:rsidRDefault="00347D4E" w:rsidP="00724811">
            <w:pPr>
              <w:jc w:val="center"/>
            </w:pPr>
            <w:r w:rsidRPr="00F9224C">
              <w:t>0.059484</w:t>
            </w:r>
          </w:p>
        </w:tc>
        <w:tc>
          <w:tcPr>
            <w:tcW w:w="1585" w:type="dxa"/>
            <w:tcBorders>
              <w:top w:val="nil"/>
              <w:left w:val="nil"/>
              <w:bottom w:val="nil"/>
              <w:right w:val="nil"/>
            </w:tcBorders>
          </w:tcPr>
          <w:p w14:paraId="26E1F973" w14:textId="77777777" w:rsidR="00347D4E" w:rsidRPr="00F9224C" w:rsidRDefault="00347D4E" w:rsidP="00724811">
            <w:pPr>
              <w:jc w:val="center"/>
            </w:pPr>
            <w:r w:rsidRPr="00F9224C">
              <w:t>-1.004028</w:t>
            </w:r>
          </w:p>
        </w:tc>
        <w:tc>
          <w:tcPr>
            <w:tcW w:w="1422" w:type="dxa"/>
            <w:tcBorders>
              <w:top w:val="nil"/>
              <w:left w:val="nil"/>
              <w:bottom w:val="nil"/>
              <w:right w:val="nil"/>
            </w:tcBorders>
          </w:tcPr>
          <w:p w14:paraId="462B8752" w14:textId="77777777" w:rsidR="00347D4E" w:rsidRPr="00F9224C" w:rsidRDefault="00347D4E" w:rsidP="00724811">
            <w:pPr>
              <w:jc w:val="center"/>
            </w:pPr>
            <w:r w:rsidRPr="00F9224C">
              <w:t>0.3416</w:t>
            </w:r>
          </w:p>
        </w:tc>
      </w:tr>
      <w:tr w:rsidR="00347D4E" w:rsidRPr="00F9224C" w14:paraId="419795C0" w14:textId="77777777" w:rsidTr="00A54432">
        <w:trPr>
          <w:trHeight w:val="251"/>
        </w:trPr>
        <w:tc>
          <w:tcPr>
            <w:tcW w:w="3325" w:type="dxa"/>
            <w:tcBorders>
              <w:top w:val="nil"/>
              <w:left w:val="nil"/>
              <w:bottom w:val="nil"/>
              <w:right w:val="nil"/>
            </w:tcBorders>
          </w:tcPr>
          <w:p w14:paraId="2122D5BE" w14:textId="2B35EA5C" w:rsidR="00347D4E" w:rsidRPr="00F9224C" w:rsidRDefault="00347D4E" w:rsidP="00724811">
            <w:pPr>
              <w:jc w:val="center"/>
            </w:pPr>
            <w:r w:rsidRPr="00F9224C">
              <w:t>D (</w:t>
            </w:r>
            <w:proofErr w:type="gramStart"/>
            <w:r w:rsidRPr="00F9224C">
              <w:t>UNEMPLOYMENT(</w:t>
            </w:r>
            <w:proofErr w:type="gramEnd"/>
            <w:r w:rsidRPr="00F9224C">
              <w:t>-...</w:t>
            </w:r>
          </w:p>
        </w:tc>
        <w:tc>
          <w:tcPr>
            <w:tcW w:w="1353" w:type="dxa"/>
            <w:tcBorders>
              <w:top w:val="nil"/>
              <w:left w:val="nil"/>
              <w:bottom w:val="nil"/>
              <w:right w:val="nil"/>
            </w:tcBorders>
          </w:tcPr>
          <w:p w14:paraId="506E97C4" w14:textId="77777777" w:rsidR="00347D4E" w:rsidRPr="00F9224C" w:rsidRDefault="00347D4E" w:rsidP="00724811">
            <w:pPr>
              <w:jc w:val="center"/>
            </w:pPr>
            <w:r w:rsidRPr="00F9224C">
              <w:t>-0.182670</w:t>
            </w:r>
          </w:p>
        </w:tc>
        <w:tc>
          <w:tcPr>
            <w:tcW w:w="1365" w:type="dxa"/>
            <w:tcBorders>
              <w:top w:val="nil"/>
              <w:left w:val="nil"/>
              <w:bottom w:val="nil"/>
              <w:right w:val="nil"/>
            </w:tcBorders>
          </w:tcPr>
          <w:p w14:paraId="3DC10774" w14:textId="77777777" w:rsidR="00347D4E" w:rsidRPr="00F9224C" w:rsidRDefault="00347D4E" w:rsidP="00724811">
            <w:pPr>
              <w:jc w:val="center"/>
            </w:pPr>
            <w:r w:rsidRPr="00F9224C">
              <w:t>0.066397</w:t>
            </w:r>
          </w:p>
        </w:tc>
        <w:tc>
          <w:tcPr>
            <w:tcW w:w="1585" w:type="dxa"/>
            <w:tcBorders>
              <w:top w:val="nil"/>
              <w:left w:val="nil"/>
              <w:bottom w:val="nil"/>
              <w:right w:val="nil"/>
            </w:tcBorders>
          </w:tcPr>
          <w:p w14:paraId="3147D165" w14:textId="77777777" w:rsidR="00347D4E" w:rsidRPr="00F9224C" w:rsidRDefault="00347D4E" w:rsidP="00724811">
            <w:pPr>
              <w:jc w:val="center"/>
            </w:pPr>
            <w:r w:rsidRPr="00F9224C">
              <w:t>-2.751163</w:t>
            </w:r>
          </w:p>
        </w:tc>
        <w:tc>
          <w:tcPr>
            <w:tcW w:w="1422" w:type="dxa"/>
            <w:tcBorders>
              <w:top w:val="nil"/>
              <w:left w:val="nil"/>
              <w:bottom w:val="nil"/>
              <w:right w:val="nil"/>
            </w:tcBorders>
          </w:tcPr>
          <w:p w14:paraId="2B38EAE1" w14:textId="77777777" w:rsidR="00347D4E" w:rsidRPr="00F9224C" w:rsidRDefault="00347D4E" w:rsidP="00724811">
            <w:pPr>
              <w:jc w:val="center"/>
            </w:pPr>
            <w:r w:rsidRPr="00F9224C">
              <w:t>0.0224</w:t>
            </w:r>
          </w:p>
        </w:tc>
      </w:tr>
      <w:tr w:rsidR="00347D4E" w:rsidRPr="00F9224C" w14:paraId="4F64D653" w14:textId="77777777" w:rsidTr="00A54432">
        <w:trPr>
          <w:trHeight w:val="251"/>
        </w:trPr>
        <w:tc>
          <w:tcPr>
            <w:tcW w:w="3325" w:type="dxa"/>
            <w:tcBorders>
              <w:top w:val="nil"/>
              <w:left w:val="nil"/>
              <w:bottom w:val="nil"/>
              <w:right w:val="nil"/>
            </w:tcBorders>
          </w:tcPr>
          <w:p w14:paraId="6F58C2AF" w14:textId="1159559C" w:rsidR="00347D4E" w:rsidRPr="00F9224C" w:rsidRDefault="00347D4E" w:rsidP="00724811">
            <w:pPr>
              <w:jc w:val="center"/>
            </w:pPr>
            <w:r w:rsidRPr="00F9224C">
              <w:t>D (GDP ,2)</w:t>
            </w:r>
          </w:p>
        </w:tc>
        <w:tc>
          <w:tcPr>
            <w:tcW w:w="1353" w:type="dxa"/>
            <w:tcBorders>
              <w:top w:val="nil"/>
              <w:left w:val="nil"/>
              <w:bottom w:val="nil"/>
              <w:right w:val="nil"/>
            </w:tcBorders>
          </w:tcPr>
          <w:p w14:paraId="3B31AEE8" w14:textId="77777777" w:rsidR="00347D4E" w:rsidRPr="00F9224C" w:rsidRDefault="00347D4E" w:rsidP="00724811">
            <w:pPr>
              <w:jc w:val="center"/>
            </w:pPr>
            <w:r w:rsidRPr="00F9224C">
              <w:t>0.053631</w:t>
            </w:r>
          </w:p>
        </w:tc>
        <w:tc>
          <w:tcPr>
            <w:tcW w:w="1365" w:type="dxa"/>
            <w:tcBorders>
              <w:top w:val="nil"/>
              <w:left w:val="nil"/>
              <w:bottom w:val="nil"/>
              <w:right w:val="nil"/>
            </w:tcBorders>
          </w:tcPr>
          <w:p w14:paraId="7C0FD384" w14:textId="77777777" w:rsidR="00347D4E" w:rsidRPr="00F9224C" w:rsidRDefault="00347D4E" w:rsidP="00724811">
            <w:pPr>
              <w:jc w:val="center"/>
            </w:pPr>
            <w:r w:rsidRPr="00F9224C">
              <w:t>0.020800</w:t>
            </w:r>
          </w:p>
        </w:tc>
        <w:tc>
          <w:tcPr>
            <w:tcW w:w="1585" w:type="dxa"/>
            <w:tcBorders>
              <w:top w:val="nil"/>
              <w:left w:val="nil"/>
              <w:bottom w:val="nil"/>
              <w:right w:val="nil"/>
            </w:tcBorders>
          </w:tcPr>
          <w:p w14:paraId="06327BF9" w14:textId="77777777" w:rsidR="00347D4E" w:rsidRPr="00F9224C" w:rsidRDefault="00347D4E" w:rsidP="00724811">
            <w:pPr>
              <w:jc w:val="center"/>
            </w:pPr>
            <w:r w:rsidRPr="00F9224C">
              <w:t>2.578429</w:t>
            </w:r>
          </w:p>
        </w:tc>
        <w:tc>
          <w:tcPr>
            <w:tcW w:w="1422" w:type="dxa"/>
            <w:tcBorders>
              <w:top w:val="nil"/>
              <w:left w:val="nil"/>
              <w:bottom w:val="nil"/>
              <w:right w:val="nil"/>
            </w:tcBorders>
          </w:tcPr>
          <w:p w14:paraId="59CAAD3D" w14:textId="77777777" w:rsidR="00347D4E" w:rsidRPr="00F9224C" w:rsidRDefault="00347D4E" w:rsidP="00724811">
            <w:pPr>
              <w:jc w:val="center"/>
            </w:pPr>
            <w:r w:rsidRPr="00F9224C">
              <w:t>0.0298</w:t>
            </w:r>
          </w:p>
        </w:tc>
      </w:tr>
      <w:tr w:rsidR="00347D4E" w:rsidRPr="00F9224C" w14:paraId="3AA145DB" w14:textId="77777777" w:rsidTr="00A54432">
        <w:trPr>
          <w:trHeight w:val="251"/>
        </w:trPr>
        <w:tc>
          <w:tcPr>
            <w:tcW w:w="3325" w:type="dxa"/>
            <w:tcBorders>
              <w:top w:val="nil"/>
              <w:left w:val="nil"/>
              <w:right w:val="nil"/>
            </w:tcBorders>
          </w:tcPr>
          <w:p w14:paraId="6A7F0DD5" w14:textId="4292B5E8" w:rsidR="00347D4E" w:rsidRPr="00F9224C" w:rsidRDefault="00347D4E" w:rsidP="00724811">
            <w:pPr>
              <w:jc w:val="center"/>
            </w:pPr>
            <w:r w:rsidRPr="00F9224C">
              <w:t>D (GDP (-1),2)</w:t>
            </w:r>
          </w:p>
        </w:tc>
        <w:tc>
          <w:tcPr>
            <w:tcW w:w="1353" w:type="dxa"/>
            <w:tcBorders>
              <w:top w:val="nil"/>
              <w:left w:val="nil"/>
              <w:right w:val="nil"/>
            </w:tcBorders>
          </w:tcPr>
          <w:p w14:paraId="2742A2DC" w14:textId="77777777" w:rsidR="00347D4E" w:rsidRPr="00F9224C" w:rsidRDefault="00347D4E" w:rsidP="00724811">
            <w:pPr>
              <w:jc w:val="center"/>
            </w:pPr>
            <w:r w:rsidRPr="00F9224C">
              <w:t>-0.115149</w:t>
            </w:r>
          </w:p>
        </w:tc>
        <w:tc>
          <w:tcPr>
            <w:tcW w:w="1365" w:type="dxa"/>
            <w:tcBorders>
              <w:top w:val="nil"/>
              <w:left w:val="nil"/>
              <w:right w:val="nil"/>
            </w:tcBorders>
          </w:tcPr>
          <w:p w14:paraId="426E9CC7" w14:textId="77777777" w:rsidR="00347D4E" w:rsidRPr="00F9224C" w:rsidRDefault="00347D4E" w:rsidP="00724811">
            <w:pPr>
              <w:jc w:val="center"/>
            </w:pPr>
            <w:r w:rsidRPr="00F9224C">
              <w:t>0.038238</w:t>
            </w:r>
          </w:p>
        </w:tc>
        <w:tc>
          <w:tcPr>
            <w:tcW w:w="1585" w:type="dxa"/>
            <w:tcBorders>
              <w:top w:val="nil"/>
              <w:left w:val="nil"/>
              <w:right w:val="nil"/>
            </w:tcBorders>
          </w:tcPr>
          <w:p w14:paraId="28814361" w14:textId="77777777" w:rsidR="00347D4E" w:rsidRPr="00F9224C" w:rsidRDefault="00347D4E" w:rsidP="00724811">
            <w:pPr>
              <w:jc w:val="center"/>
            </w:pPr>
            <w:r w:rsidRPr="00F9224C">
              <w:t>-3.011363</w:t>
            </w:r>
          </w:p>
        </w:tc>
        <w:tc>
          <w:tcPr>
            <w:tcW w:w="1422" w:type="dxa"/>
            <w:tcBorders>
              <w:top w:val="nil"/>
              <w:left w:val="nil"/>
              <w:right w:val="nil"/>
            </w:tcBorders>
          </w:tcPr>
          <w:p w14:paraId="0202A5DA" w14:textId="77777777" w:rsidR="00347D4E" w:rsidRPr="00F9224C" w:rsidRDefault="00347D4E" w:rsidP="00724811">
            <w:pPr>
              <w:jc w:val="center"/>
            </w:pPr>
            <w:r w:rsidRPr="00F9224C">
              <w:t>0.0147</w:t>
            </w:r>
          </w:p>
        </w:tc>
      </w:tr>
      <w:tr w:rsidR="00347D4E" w:rsidRPr="00F9224C" w14:paraId="71AE4482" w14:textId="77777777" w:rsidTr="00A54432">
        <w:trPr>
          <w:trHeight w:val="705"/>
        </w:trPr>
        <w:tc>
          <w:tcPr>
            <w:tcW w:w="9051" w:type="dxa"/>
            <w:gridSpan w:val="5"/>
            <w:tcBorders>
              <w:left w:val="nil"/>
              <w:bottom w:val="single" w:sz="4" w:space="0" w:color="auto"/>
              <w:right w:val="nil"/>
            </w:tcBorders>
          </w:tcPr>
          <w:p w14:paraId="61EF8217" w14:textId="77777777" w:rsidR="00347D4E" w:rsidRPr="00F9224C" w:rsidRDefault="00347D4E" w:rsidP="00347D4E">
            <w:pPr>
              <w:rPr>
                <w:b/>
              </w:rPr>
            </w:pPr>
          </w:p>
          <w:p w14:paraId="3C5E89DE" w14:textId="77777777" w:rsidR="00347D4E" w:rsidRPr="00F9224C" w:rsidRDefault="00347D4E" w:rsidP="00347D4E">
            <w:pPr>
              <w:jc w:val="center"/>
              <w:rPr>
                <w:b/>
              </w:rPr>
            </w:pPr>
            <w:r w:rsidRPr="00F9224C">
              <w:rPr>
                <w:b/>
              </w:rPr>
              <w:t>Levels Equation</w:t>
            </w:r>
          </w:p>
          <w:p w14:paraId="11DBD781" w14:textId="77777777" w:rsidR="00347D4E" w:rsidRPr="00F9224C" w:rsidRDefault="00347D4E" w:rsidP="00347D4E">
            <w:pPr>
              <w:jc w:val="center"/>
              <w:rPr>
                <w:b/>
              </w:rPr>
            </w:pPr>
            <w:r w:rsidRPr="00F9224C">
              <w:rPr>
                <w:b/>
              </w:rPr>
              <w:t>Case 2: Restricted Constant and No Trend</w:t>
            </w:r>
          </w:p>
          <w:p w14:paraId="39E718C6" w14:textId="77777777" w:rsidR="00347D4E" w:rsidRPr="00F9224C" w:rsidRDefault="00347D4E" w:rsidP="00347D4E">
            <w:pPr>
              <w:jc w:val="center"/>
              <w:rPr>
                <w:b/>
              </w:rPr>
            </w:pPr>
          </w:p>
        </w:tc>
      </w:tr>
      <w:tr w:rsidR="00347D4E" w:rsidRPr="00F9224C" w14:paraId="0D3B621E" w14:textId="77777777" w:rsidTr="00A54432">
        <w:trPr>
          <w:trHeight w:val="251"/>
        </w:trPr>
        <w:tc>
          <w:tcPr>
            <w:tcW w:w="3325" w:type="dxa"/>
            <w:tcBorders>
              <w:left w:val="nil"/>
              <w:bottom w:val="nil"/>
              <w:right w:val="nil"/>
            </w:tcBorders>
          </w:tcPr>
          <w:p w14:paraId="45873499" w14:textId="77777777" w:rsidR="00347D4E" w:rsidRPr="00F9224C" w:rsidRDefault="00347D4E" w:rsidP="00A54432">
            <w:pPr>
              <w:jc w:val="center"/>
              <w:rPr>
                <w:b/>
              </w:rPr>
            </w:pPr>
            <w:r w:rsidRPr="00F9224C">
              <w:rPr>
                <w:b/>
              </w:rPr>
              <w:t>Variable</w:t>
            </w:r>
          </w:p>
        </w:tc>
        <w:tc>
          <w:tcPr>
            <w:tcW w:w="1353" w:type="dxa"/>
            <w:tcBorders>
              <w:left w:val="nil"/>
              <w:bottom w:val="nil"/>
              <w:right w:val="nil"/>
            </w:tcBorders>
          </w:tcPr>
          <w:p w14:paraId="6EF9B7B5" w14:textId="77777777" w:rsidR="00347D4E" w:rsidRPr="00F9224C" w:rsidRDefault="00347D4E" w:rsidP="00A54432">
            <w:pPr>
              <w:jc w:val="center"/>
              <w:rPr>
                <w:b/>
              </w:rPr>
            </w:pPr>
            <w:r w:rsidRPr="00F9224C">
              <w:rPr>
                <w:b/>
              </w:rPr>
              <w:t>Coefficient</w:t>
            </w:r>
          </w:p>
        </w:tc>
        <w:tc>
          <w:tcPr>
            <w:tcW w:w="1365" w:type="dxa"/>
            <w:tcBorders>
              <w:left w:val="nil"/>
              <w:bottom w:val="nil"/>
              <w:right w:val="nil"/>
            </w:tcBorders>
          </w:tcPr>
          <w:p w14:paraId="7D098AB2" w14:textId="77777777" w:rsidR="00347D4E" w:rsidRPr="00F9224C" w:rsidRDefault="00347D4E" w:rsidP="00A54432">
            <w:pPr>
              <w:jc w:val="center"/>
              <w:rPr>
                <w:b/>
              </w:rPr>
            </w:pPr>
            <w:r w:rsidRPr="00F9224C">
              <w:rPr>
                <w:b/>
              </w:rPr>
              <w:t>Std. Error</w:t>
            </w:r>
          </w:p>
        </w:tc>
        <w:tc>
          <w:tcPr>
            <w:tcW w:w="1585" w:type="dxa"/>
            <w:tcBorders>
              <w:left w:val="nil"/>
              <w:bottom w:val="nil"/>
              <w:right w:val="nil"/>
            </w:tcBorders>
          </w:tcPr>
          <w:p w14:paraId="721AB6E3" w14:textId="77777777" w:rsidR="00347D4E" w:rsidRPr="00F9224C" w:rsidRDefault="00347D4E" w:rsidP="00A54432">
            <w:pPr>
              <w:jc w:val="center"/>
              <w:rPr>
                <w:b/>
              </w:rPr>
            </w:pPr>
            <w:r w:rsidRPr="00F9224C">
              <w:rPr>
                <w:b/>
              </w:rPr>
              <w:t>t-Statistic</w:t>
            </w:r>
          </w:p>
        </w:tc>
        <w:tc>
          <w:tcPr>
            <w:tcW w:w="1422" w:type="dxa"/>
            <w:tcBorders>
              <w:left w:val="nil"/>
              <w:bottom w:val="nil"/>
              <w:right w:val="nil"/>
            </w:tcBorders>
          </w:tcPr>
          <w:p w14:paraId="05E715C9" w14:textId="77777777" w:rsidR="00347D4E" w:rsidRPr="00F9224C" w:rsidRDefault="00347D4E" w:rsidP="00A54432">
            <w:pPr>
              <w:jc w:val="center"/>
              <w:rPr>
                <w:b/>
              </w:rPr>
            </w:pPr>
            <w:r w:rsidRPr="00F9224C">
              <w:rPr>
                <w:b/>
              </w:rPr>
              <w:t>Prob.</w:t>
            </w:r>
          </w:p>
        </w:tc>
      </w:tr>
      <w:tr w:rsidR="00347D4E" w:rsidRPr="00F9224C" w14:paraId="6EA55BF6" w14:textId="77777777" w:rsidTr="00A54432">
        <w:trPr>
          <w:trHeight w:val="251"/>
        </w:trPr>
        <w:tc>
          <w:tcPr>
            <w:tcW w:w="3325" w:type="dxa"/>
            <w:tcBorders>
              <w:top w:val="nil"/>
              <w:left w:val="nil"/>
              <w:bottom w:val="nil"/>
              <w:right w:val="nil"/>
            </w:tcBorders>
          </w:tcPr>
          <w:p w14:paraId="3A2FBED0" w14:textId="77777777" w:rsidR="00347D4E" w:rsidRPr="00F9224C" w:rsidRDefault="00347D4E" w:rsidP="00A54432">
            <w:pPr>
              <w:jc w:val="center"/>
            </w:pPr>
            <w:r w:rsidRPr="00F9224C">
              <w:t>D(UNEMPLOYMENT)</w:t>
            </w:r>
          </w:p>
        </w:tc>
        <w:tc>
          <w:tcPr>
            <w:tcW w:w="1353" w:type="dxa"/>
            <w:tcBorders>
              <w:top w:val="nil"/>
              <w:left w:val="nil"/>
              <w:bottom w:val="nil"/>
              <w:right w:val="nil"/>
            </w:tcBorders>
          </w:tcPr>
          <w:p w14:paraId="54B807F4" w14:textId="77777777" w:rsidR="00347D4E" w:rsidRPr="00F9224C" w:rsidRDefault="00347D4E" w:rsidP="00A54432">
            <w:pPr>
              <w:jc w:val="center"/>
            </w:pPr>
            <w:r w:rsidRPr="00F9224C">
              <w:t>0.513402</w:t>
            </w:r>
          </w:p>
        </w:tc>
        <w:tc>
          <w:tcPr>
            <w:tcW w:w="1365" w:type="dxa"/>
            <w:tcBorders>
              <w:top w:val="nil"/>
              <w:left w:val="nil"/>
              <w:bottom w:val="nil"/>
              <w:right w:val="nil"/>
            </w:tcBorders>
          </w:tcPr>
          <w:p w14:paraId="3316060A" w14:textId="77777777" w:rsidR="00347D4E" w:rsidRPr="00F9224C" w:rsidRDefault="00347D4E" w:rsidP="00A54432">
            <w:pPr>
              <w:jc w:val="center"/>
            </w:pPr>
            <w:r w:rsidRPr="00F9224C">
              <w:t>0.336283</w:t>
            </w:r>
          </w:p>
        </w:tc>
        <w:tc>
          <w:tcPr>
            <w:tcW w:w="1585" w:type="dxa"/>
            <w:tcBorders>
              <w:top w:val="nil"/>
              <w:left w:val="nil"/>
              <w:bottom w:val="nil"/>
              <w:right w:val="nil"/>
            </w:tcBorders>
          </w:tcPr>
          <w:p w14:paraId="6EF284C6" w14:textId="77777777" w:rsidR="00347D4E" w:rsidRPr="00F9224C" w:rsidRDefault="00347D4E" w:rsidP="00A54432">
            <w:pPr>
              <w:jc w:val="center"/>
            </w:pPr>
            <w:r w:rsidRPr="00F9224C">
              <w:t>1.526696</w:t>
            </w:r>
          </w:p>
        </w:tc>
        <w:tc>
          <w:tcPr>
            <w:tcW w:w="1422" w:type="dxa"/>
            <w:tcBorders>
              <w:top w:val="nil"/>
              <w:left w:val="nil"/>
              <w:bottom w:val="nil"/>
              <w:right w:val="nil"/>
            </w:tcBorders>
          </w:tcPr>
          <w:p w14:paraId="68DC8348" w14:textId="77777777" w:rsidR="00347D4E" w:rsidRPr="00F9224C" w:rsidRDefault="00347D4E" w:rsidP="00A54432">
            <w:pPr>
              <w:jc w:val="center"/>
            </w:pPr>
            <w:r w:rsidRPr="00F9224C">
              <w:t>0.1612</w:t>
            </w:r>
          </w:p>
        </w:tc>
      </w:tr>
      <w:tr w:rsidR="00347D4E" w:rsidRPr="00F9224C" w14:paraId="2D4BEDD9" w14:textId="77777777" w:rsidTr="00A54432">
        <w:trPr>
          <w:trHeight w:val="251"/>
        </w:trPr>
        <w:tc>
          <w:tcPr>
            <w:tcW w:w="3325" w:type="dxa"/>
            <w:tcBorders>
              <w:top w:val="nil"/>
              <w:left w:val="nil"/>
              <w:bottom w:val="nil"/>
              <w:right w:val="nil"/>
            </w:tcBorders>
          </w:tcPr>
          <w:p w14:paraId="58C5E167" w14:textId="77777777" w:rsidR="00347D4E" w:rsidRPr="00F9224C" w:rsidRDefault="00347D4E" w:rsidP="00A54432">
            <w:pPr>
              <w:jc w:val="center"/>
            </w:pPr>
            <w:r w:rsidRPr="00F9224C">
              <w:t>D(INFLATION)</w:t>
            </w:r>
          </w:p>
        </w:tc>
        <w:tc>
          <w:tcPr>
            <w:tcW w:w="1353" w:type="dxa"/>
            <w:tcBorders>
              <w:top w:val="nil"/>
              <w:left w:val="nil"/>
              <w:bottom w:val="nil"/>
              <w:right w:val="nil"/>
            </w:tcBorders>
          </w:tcPr>
          <w:p w14:paraId="3A652222" w14:textId="77777777" w:rsidR="00347D4E" w:rsidRPr="00F9224C" w:rsidRDefault="00347D4E" w:rsidP="00A54432">
            <w:pPr>
              <w:jc w:val="center"/>
            </w:pPr>
            <w:r w:rsidRPr="00F9224C">
              <w:t>-0.086779</w:t>
            </w:r>
          </w:p>
        </w:tc>
        <w:tc>
          <w:tcPr>
            <w:tcW w:w="1365" w:type="dxa"/>
            <w:tcBorders>
              <w:top w:val="nil"/>
              <w:left w:val="nil"/>
              <w:bottom w:val="nil"/>
              <w:right w:val="nil"/>
            </w:tcBorders>
          </w:tcPr>
          <w:p w14:paraId="54DB338A" w14:textId="77777777" w:rsidR="00347D4E" w:rsidRPr="00F9224C" w:rsidRDefault="00347D4E" w:rsidP="00A54432">
            <w:pPr>
              <w:jc w:val="center"/>
            </w:pPr>
            <w:r w:rsidRPr="00F9224C">
              <w:t>0.048403</w:t>
            </w:r>
          </w:p>
        </w:tc>
        <w:tc>
          <w:tcPr>
            <w:tcW w:w="1585" w:type="dxa"/>
            <w:tcBorders>
              <w:top w:val="nil"/>
              <w:left w:val="nil"/>
              <w:bottom w:val="nil"/>
              <w:right w:val="nil"/>
            </w:tcBorders>
          </w:tcPr>
          <w:p w14:paraId="78551005" w14:textId="77777777" w:rsidR="00347D4E" w:rsidRPr="00F9224C" w:rsidRDefault="00347D4E" w:rsidP="00A54432">
            <w:pPr>
              <w:jc w:val="center"/>
            </w:pPr>
            <w:r w:rsidRPr="00F9224C">
              <w:t>-1.792866</w:t>
            </w:r>
          </w:p>
        </w:tc>
        <w:tc>
          <w:tcPr>
            <w:tcW w:w="1422" w:type="dxa"/>
            <w:tcBorders>
              <w:top w:val="nil"/>
              <w:left w:val="nil"/>
              <w:bottom w:val="nil"/>
              <w:right w:val="nil"/>
            </w:tcBorders>
          </w:tcPr>
          <w:p w14:paraId="72547651" w14:textId="77777777" w:rsidR="00347D4E" w:rsidRPr="00F9224C" w:rsidRDefault="00347D4E" w:rsidP="00A54432">
            <w:pPr>
              <w:jc w:val="center"/>
            </w:pPr>
            <w:r w:rsidRPr="00F9224C">
              <w:t>0.1066</w:t>
            </w:r>
          </w:p>
        </w:tc>
      </w:tr>
      <w:tr w:rsidR="00347D4E" w:rsidRPr="00F9224C" w14:paraId="59371B2C" w14:textId="77777777" w:rsidTr="00A54432">
        <w:trPr>
          <w:trHeight w:val="251"/>
        </w:trPr>
        <w:tc>
          <w:tcPr>
            <w:tcW w:w="3325" w:type="dxa"/>
            <w:tcBorders>
              <w:top w:val="nil"/>
              <w:left w:val="nil"/>
              <w:bottom w:val="nil"/>
              <w:right w:val="nil"/>
            </w:tcBorders>
          </w:tcPr>
          <w:p w14:paraId="54F07160" w14:textId="602EBA60" w:rsidR="00347D4E" w:rsidRPr="00F9224C" w:rsidRDefault="00347D4E" w:rsidP="00A54432">
            <w:pPr>
              <w:jc w:val="center"/>
            </w:pPr>
            <w:r w:rsidRPr="00F9224C">
              <w:t>D(GDP_)</w:t>
            </w:r>
          </w:p>
        </w:tc>
        <w:tc>
          <w:tcPr>
            <w:tcW w:w="1353" w:type="dxa"/>
            <w:tcBorders>
              <w:top w:val="nil"/>
              <w:left w:val="nil"/>
              <w:bottom w:val="nil"/>
              <w:right w:val="nil"/>
            </w:tcBorders>
          </w:tcPr>
          <w:p w14:paraId="273A5E05" w14:textId="77777777" w:rsidR="00347D4E" w:rsidRPr="00F9224C" w:rsidRDefault="00347D4E" w:rsidP="00A54432">
            <w:pPr>
              <w:jc w:val="center"/>
            </w:pPr>
            <w:r w:rsidRPr="00F9224C">
              <w:t>0.460767</w:t>
            </w:r>
          </w:p>
        </w:tc>
        <w:tc>
          <w:tcPr>
            <w:tcW w:w="1365" w:type="dxa"/>
            <w:tcBorders>
              <w:top w:val="nil"/>
              <w:left w:val="nil"/>
              <w:bottom w:val="nil"/>
              <w:right w:val="nil"/>
            </w:tcBorders>
          </w:tcPr>
          <w:p w14:paraId="0535C01C" w14:textId="77777777" w:rsidR="00347D4E" w:rsidRPr="00F9224C" w:rsidRDefault="00347D4E" w:rsidP="00A54432">
            <w:pPr>
              <w:jc w:val="center"/>
            </w:pPr>
            <w:r w:rsidRPr="00F9224C">
              <w:t>0.223065</w:t>
            </w:r>
          </w:p>
        </w:tc>
        <w:tc>
          <w:tcPr>
            <w:tcW w:w="1585" w:type="dxa"/>
            <w:tcBorders>
              <w:top w:val="nil"/>
              <w:left w:val="nil"/>
              <w:bottom w:val="nil"/>
              <w:right w:val="nil"/>
            </w:tcBorders>
          </w:tcPr>
          <w:p w14:paraId="7A17A0ED" w14:textId="77777777" w:rsidR="00347D4E" w:rsidRPr="00F9224C" w:rsidRDefault="00347D4E" w:rsidP="00A54432">
            <w:pPr>
              <w:jc w:val="center"/>
            </w:pPr>
            <w:r w:rsidRPr="00F9224C">
              <w:t>2.065616</w:t>
            </w:r>
          </w:p>
        </w:tc>
        <w:tc>
          <w:tcPr>
            <w:tcW w:w="1422" w:type="dxa"/>
            <w:tcBorders>
              <w:top w:val="nil"/>
              <w:left w:val="nil"/>
              <w:bottom w:val="nil"/>
              <w:right w:val="nil"/>
            </w:tcBorders>
          </w:tcPr>
          <w:p w14:paraId="77858B1F" w14:textId="77777777" w:rsidR="00347D4E" w:rsidRPr="00F9224C" w:rsidRDefault="00347D4E" w:rsidP="00A54432">
            <w:pPr>
              <w:jc w:val="center"/>
            </w:pPr>
            <w:r w:rsidRPr="00F9224C">
              <w:t>0.0689</w:t>
            </w:r>
          </w:p>
        </w:tc>
      </w:tr>
      <w:tr w:rsidR="00347D4E" w:rsidRPr="00F9224C" w14:paraId="2002779F" w14:textId="77777777" w:rsidTr="00A54432">
        <w:trPr>
          <w:trHeight w:val="251"/>
        </w:trPr>
        <w:tc>
          <w:tcPr>
            <w:tcW w:w="3325" w:type="dxa"/>
            <w:tcBorders>
              <w:top w:val="nil"/>
              <w:left w:val="nil"/>
              <w:right w:val="nil"/>
            </w:tcBorders>
          </w:tcPr>
          <w:p w14:paraId="321A4B04" w14:textId="77777777" w:rsidR="00347D4E" w:rsidRPr="00F9224C" w:rsidRDefault="00347D4E" w:rsidP="00A54432">
            <w:pPr>
              <w:jc w:val="center"/>
            </w:pPr>
            <w:r w:rsidRPr="00F9224C">
              <w:t>C</w:t>
            </w:r>
          </w:p>
        </w:tc>
        <w:tc>
          <w:tcPr>
            <w:tcW w:w="1353" w:type="dxa"/>
            <w:tcBorders>
              <w:top w:val="nil"/>
              <w:left w:val="nil"/>
              <w:right w:val="nil"/>
            </w:tcBorders>
          </w:tcPr>
          <w:p w14:paraId="35BC9EBD" w14:textId="77777777" w:rsidR="00347D4E" w:rsidRPr="00F9224C" w:rsidRDefault="00347D4E" w:rsidP="00A54432">
            <w:pPr>
              <w:jc w:val="center"/>
            </w:pPr>
            <w:r w:rsidRPr="00F9224C">
              <w:t>-0.157749</w:t>
            </w:r>
          </w:p>
        </w:tc>
        <w:tc>
          <w:tcPr>
            <w:tcW w:w="1365" w:type="dxa"/>
            <w:tcBorders>
              <w:top w:val="nil"/>
              <w:left w:val="nil"/>
              <w:right w:val="nil"/>
            </w:tcBorders>
          </w:tcPr>
          <w:p w14:paraId="20227AAD" w14:textId="77777777" w:rsidR="00347D4E" w:rsidRPr="00F9224C" w:rsidRDefault="00347D4E" w:rsidP="00A54432">
            <w:pPr>
              <w:jc w:val="center"/>
            </w:pPr>
            <w:r w:rsidRPr="00F9224C">
              <w:t>0.051211</w:t>
            </w:r>
          </w:p>
        </w:tc>
        <w:tc>
          <w:tcPr>
            <w:tcW w:w="1585" w:type="dxa"/>
            <w:tcBorders>
              <w:top w:val="nil"/>
              <w:left w:val="nil"/>
              <w:right w:val="nil"/>
            </w:tcBorders>
          </w:tcPr>
          <w:p w14:paraId="65C8F34C" w14:textId="77777777" w:rsidR="00347D4E" w:rsidRPr="00F9224C" w:rsidRDefault="00347D4E" w:rsidP="00A54432">
            <w:pPr>
              <w:jc w:val="center"/>
            </w:pPr>
            <w:r w:rsidRPr="00F9224C">
              <w:t>-3.080395</w:t>
            </w:r>
          </w:p>
        </w:tc>
        <w:tc>
          <w:tcPr>
            <w:tcW w:w="1422" w:type="dxa"/>
            <w:tcBorders>
              <w:top w:val="nil"/>
              <w:left w:val="nil"/>
              <w:right w:val="nil"/>
            </w:tcBorders>
          </w:tcPr>
          <w:p w14:paraId="692A8A24" w14:textId="77777777" w:rsidR="00347D4E" w:rsidRPr="00F9224C" w:rsidRDefault="00347D4E" w:rsidP="00A54432">
            <w:pPr>
              <w:jc w:val="center"/>
            </w:pPr>
            <w:r w:rsidRPr="00F9224C">
              <w:t>0.0131</w:t>
            </w:r>
          </w:p>
        </w:tc>
      </w:tr>
      <w:tr w:rsidR="00347D4E" w:rsidRPr="00F9224C" w14:paraId="7A7F7336" w14:textId="77777777" w:rsidTr="00A54432">
        <w:trPr>
          <w:trHeight w:val="1007"/>
        </w:trPr>
        <w:tc>
          <w:tcPr>
            <w:tcW w:w="9051" w:type="dxa"/>
            <w:gridSpan w:val="5"/>
            <w:tcBorders>
              <w:left w:val="nil"/>
              <w:right w:val="nil"/>
            </w:tcBorders>
          </w:tcPr>
          <w:p w14:paraId="19B3E1DC" w14:textId="77777777" w:rsidR="00347D4E" w:rsidRPr="00F9224C" w:rsidRDefault="00347D4E" w:rsidP="00347D4E">
            <w:pPr>
              <w:jc w:val="center"/>
              <w:rPr>
                <w:b/>
              </w:rPr>
            </w:pPr>
          </w:p>
          <w:p w14:paraId="24EC7942" w14:textId="5D932AF4" w:rsidR="00347D4E" w:rsidRPr="00F9224C" w:rsidRDefault="00347D4E" w:rsidP="00347D4E">
            <w:pPr>
              <w:rPr>
                <w:b/>
              </w:rPr>
            </w:pPr>
            <w:r w:rsidRPr="00F9224C">
              <w:rPr>
                <w:b/>
              </w:rPr>
              <w:t xml:space="preserve">EC = D (SUICIDE RATE) - (0.5134*D(UNEMPLOYMENT) -0.0868 </w:t>
            </w:r>
          </w:p>
          <w:p w14:paraId="1EF4A5A1" w14:textId="77777777" w:rsidR="00347D4E" w:rsidRPr="00F9224C" w:rsidRDefault="00347D4E" w:rsidP="00347D4E">
            <w:pPr>
              <w:rPr>
                <w:b/>
              </w:rPr>
            </w:pPr>
            <w:r w:rsidRPr="00F9224C">
              <w:rPr>
                <w:b/>
              </w:rPr>
              <w:t>*D(INFLATION) + 0.4608*D(GDP_) - 0.1577)</w:t>
            </w:r>
            <w:r w:rsidRPr="00F9224C">
              <w:rPr>
                <w:b/>
              </w:rPr>
              <w:tab/>
            </w:r>
          </w:p>
          <w:p w14:paraId="2A82E45C" w14:textId="77777777" w:rsidR="00347D4E" w:rsidRPr="00F9224C" w:rsidRDefault="00347D4E" w:rsidP="00347D4E"/>
        </w:tc>
      </w:tr>
      <w:tr w:rsidR="00347D4E" w:rsidRPr="00F9224C" w14:paraId="0DF6FCF6" w14:textId="77777777" w:rsidTr="00A54432">
        <w:trPr>
          <w:trHeight w:val="335"/>
        </w:trPr>
        <w:tc>
          <w:tcPr>
            <w:tcW w:w="9051" w:type="dxa"/>
            <w:gridSpan w:val="5"/>
            <w:tcBorders>
              <w:left w:val="nil"/>
              <w:bottom w:val="single" w:sz="4" w:space="0" w:color="auto"/>
              <w:right w:val="nil"/>
            </w:tcBorders>
          </w:tcPr>
          <w:p w14:paraId="0673DE00" w14:textId="77777777" w:rsidR="00347D4E" w:rsidRPr="00F9224C" w:rsidRDefault="00347D4E" w:rsidP="00347D4E">
            <w:pPr>
              <w:rPr>
                <w:b/>
              </w:rPr>
            </w:pPr>
            <w:r w:rsidRPr="00F9224C">
              <w:rPr>
                <w:b/>
              </w:rPr>
              <w:t>F-Bounds Test                                                   Null Hypothesis: No levels relationship</w:t>
            </w:r>
          </w:p>
          <w:p w14:paraId="26185163" w14:textId="77777777" w:rsidR="00347D4E" w:rsidRPr="00F9224C" w:rsidRDefault="00347D4E" w:rsidP="00347D4E"/>
        </w:tc>
      </w:tr>
      <w:tr w:rsidR="00347D4E" w:rsidRPr="00F9224C" w14:paraId="19EF36B9" w14:textId="77777777" w:rsidTr="00A54432">
        <w:trPr>
          <w:trHeight w:val="251"/>
        </w:trPr>
        <w:tc>
          <w:tcPr>
            <w:tcW w:w="3325" w:type="dxa"/>
            <w:tcBorders>
              <w:left w:val="nil"/>
              <w:right w:val="nil"/>
            </w:tcBorders>
          </w:tcPr>
          <w:p w14:paraId="57533378" w14:textId="77777777" w:rsidR="00347D4E" w:rsidRPr="00F9224C" w:rsidRDefault="00347D4E" w:rsidP="00347D4E">
            <w:pPr>
              <w:rPr>
                <w:b/>
              </w:rPr>
            </w:pPr>
            <w:r w:rsidRPr="00F9224C">
              <w:rPr>
                <w:b/>
              </w:rPr>
              <w:t>Test Statistic</w:t>
            </w:r>
          </w:p>
        </w:tc>
        <w:tc>
          <w:tcPr>
            <w:tcW w:w="1353" w:type="dxa"/>
            <w:tcBorders>
              <w:left w:val="nil"/>
              <w:right w:val="nil"/>
            </w:tcBorders>
          </w:tcPr>
          <w:p w14:paraId="2DEA7516" w14:textId="77777777" w:rsidR="00347D4E" w:rsidRPr="00F9224C" w:rsidRDefault="00347D4E" w:rsidP="00347D4E">
            <w:pPr>
              <w:jc w:val="center"/>
              <w:rPr>
                <w:b/>
              </w:rPr>
            </w:pPr>
            <w:r w:rsidRPr="00F9224C">
              <w:rPr>
                <w:b/>
              </w:rPr>
              <w:t>Value</w:t>
            </w:r>
          </w:p>
        </w:tc>
        <w:tc>
          <w:tcPr>
            <w:tcW w:w="1365" w:type="dxa"/>
            <w:tcBorders>
              <w:left w:val="nil"/>
              <w:right w:val="nil"/>
            </w:tcBorders>
          </w:tcPr>
          <w:p w14:paraId="169A9573" w14:textId="77777777" w:rsidR="00347D4E" w:rsidRPr="00F9224C" w:rsidRDefault="00347D4E" w:rsidP="00347D4E">
            <w:pPr>
              <w:rPr>
                <w:b/>
              </w:rPr>
            </w:pPr>
            <w:proofErr w:type="spellStart"/>
            <w:r w:rsidRPr="00F9224C">
              <w:rPr>
                <w:b/>
              </w:rPr>
              <w:t>Signif</w:t>
            </w:r>
            <w:proofErr w:type="spellEnd"/>
            <w:r w:rsidRPr="00F9224C">
              <w:rPr>
                <w:b/>
              </w:rPr>
              <w:t>.</w:t>
            </w:r>
          </w:p>
        </w:tc>
        <w:tc>
          <w:tcPr>
            <w:tcW w:w="1585" w:type="dxa"/>
            <w:tcBorders>
              <w:left w:val="nil"/>
              <w:right w:val="nil"/>
            </w:tcBorders>
          </w:tcPr>
          <w:p w14:paraId="4364290E" w14:textId="77777777" w:rsidR="00347D4E" w:rsidRPr="00F9224C" w:rsidRDefault="00347D4E" w:rsidP="00347D4E">
            <w:pPr>
              <w:jc w:val="center"/>
              <w:rPr>
                <w:b/>
              </w:rPr>
            </w:pPr>
            <w:r w:rsidRPr="00F9224C">
              <w:rPr>
                <w:b/>
              </w:rPr>
              <w:t>1(0)</w:t>
            </w:r>
          </w:p>
        </w:tc>
        <w:tc>
          <w:tcPr>
            <w:tcW w:w="1422" w:type="dxa"/>
            <w:tcBorders>
              <w:left w:val="nil"/>
              <w:right w:val="nil"/>
            </w:tcBorders>
          </w:tcPr>
          <w:p w14:paraId="7487D47A" w14:textId="77777777" w:rsidR="00347D4E" w:rsidRPr="00F9224C" w:rsidRDefault="00347D4E" w:rsidP="00347D4E">
            <w:pPr>
              <w:rPr>
                <w:b/>
              </w:rPr>
            </w:pPr>
            <w:r w:rsidRPr="00F9224C">
              <w:rPr>
                <w:b/>
              </w:rPr>
              <w:t>I(1)</w:t>
            </w:r>
          </w:p>
        </w:tc>
      </w:tr>
      <w:tr w:rsidR="00347D4E" w:rsidRPr="00F9224C" w14:paraId="3A2631E7" w14:textId="77777777" w:rsidTr="00A54432">
        <w:trPr>
          <w:trHeight w:val="240"/>
        </w:trPr>
        <w:tc>
          <w:tcPr>
            <w:tcW w:w="9051" w:type="dxa"/>
            <w:gridSpan w:val="5"/>
            <w:tcBorders>
              <w:left w:val="nil"/>
              <w:bottom w:val="single" w:sz="4" w:space="0" w:color="auto"/>
              <w:right w:val="nil"/>
            </w:tcBorders>
          </w:tcPr>
          <w:p w14:paraId="091307FD" w14:textId="77777777" w:rsidR="00347D4E" w:rsidRPr="00F9224C" w:rsidRDefault="00347D4E" w:rsidP="00347D4E">
            <w:pPr>
              <w:tabs>
                <w:tab w:val="right" w:pos="6503"/>
              </w:tabs>
              <w:jc w:val="center"/>
              <w:rPr>
                <w:b/>
              </w:rPr>
            </w:pPr>
            <w:r w:rsidRPr="00F9224C">
              <w:rPr>
                <w:b/>
              </w:rPr>
              <w:t xml:space="preserve">                                                       Asymptotic: n=1000</w:t>
            </w:r>
          </w:p>
        </w:tc>
      </w:tr>
      <w:tr w:rsidR="00347D4E" w:rsidRPr="00F9224C" w14:paraId="375E276C" w14:textId="77777777" w:rsidTr="00A54432">
        <w:trPr>
          <w:trHeight w:val="251"/>
        </w:trPr>
        <w:tc>
          <w:tcPr>
            <w:tcW w:w="3325" w:type="dxa"/>
            <w:tcBorders>
              <w:top w:val="nil"/>
              <w:left w:val="nil"/>
              <w:bottom w:val="nil"/>
              <w:right w:val="nil"/>
            </w:tcBorders>
          </w:tcPr>
          <w:p w14:paraId="66553F36" w14:textId="77777777" w:rsidR="00347D4E" w:rsidRPr="00F9224C" w:rsidRDefault="00347D4E" w:rsidP="00347D4E">
            <w:r w:rsidRPr="00F9224C">
              <w:t>F-statistic</w:t>
            </w:r>
          </w:p>
        </w:tc>
        <w:tc>
          <w:tcPr>
            <w:tcW w:w="1353" w:type="dxa"/>
            <w:tcBorders>
              <w:left w:val="nil"/>
              <w:bottom w:val="nil"/>
              <w:right w:val="nil"/>
            </w:tcBorders>
          </w:tcPr>
          <w:p w14:paraId="6F66E1B7" w14:textId="77777777" w:rsidR="00347D4E" w:rsidRPr="00F9224C" w:rsidRDefault="00347D4E" w:rsidP="00347D4E">
            <w:r w:rsidRPr="00F9224C">
              <w:t>9.552506</w:t>
            </w:r>
          </w:p>
        </w:tc>
        <w:tc>
          <w:tcPr>
            <w:tcW w:w="1365" w:type="dxa"/>
            <w:tcBorders>
              <w:left w:val="nil"/>
              <w:bottom w:val="nil"/>
              <w:right w:val="nil"/>
            </w:tcBorders>
          </w:tcPr>
          <w:p w14:paraId="58EE2749" w14:textId="77777777" w:rsidR="00347D4E" w:rsidRPr="00F9224C" w:rsidRDefault="00347D4E" w:rsidP="00347D4E">
            <w:r w:rsidRPr="00F9224C">
              <w:t>10%</w:t>
            </w:r>
          </w:p>
        </w:tc>
        <w:tc>
          <w:tcPr>
            <w:tcW w:w="1585" w:type="dxa"/>
            <w:tcBorders>
              <w:left w:val="nil"/>
              <w:bottom w:val="nil"/>
              <w:right w:val="nil"/>
            </w:tcBorders>
          </w:tcPr>
          <w:p w14:paraId="4365F476" w14:textId="77777777" w:rsidR="00347D4E" w:rsidRPr="00F9224C" w:rsidRDefault="00347D4E" w:rsidP="00347D4E">
            <w:r w:rsidRPr="00F9224C">
              <w:t>2.37</w:t>
            </w:r>
          </w:p>
        </w:tc>
        <w:tc>
          <w:tcPr>
            <w:tcW w:w="1422" w:type="dxa"/>
            <w:tcBorders>
              <w:left w:val="nil"/>
              <w:bottom w:val="nil"/>
              <w:right w:val="nil"/>
            </w:tcBorders>
          </w:tcPr>
          <w:p w14:paraId="39601DA5" w14:textId="77777777" w:rsidR="00347D4E" w:rsidRPr="00F9224C" w:rsidRDefault="00347D4E" w:rsidP="00347D4E">
            <w:r w:rsidRPr="00F9224C">
              <w:t>3.2</w:t>
            </w:r>
          </w:p>
        </w:tc>
      </w:tr>
      <w:tr w:rsidR="00347D4E" w:rsidRPr="00F9224C" w14:paraId="24D0EDB6" w14:textId="77777777" w:rsidTr="00A54432">
        <w:trPr>
          <w:trHeight w:val="251"/>
        </w:trPr>
        <w:tc>
          <w:tcPr>
            <w:tcW w:w="3325" w:type="dxa"/>
            <w:tcBorders>
              <w:top w:val="nil"/>
              <w:left w:val="nil"/>
              <w:bottom w:val="nil"/>
              <w:right w:val="nil"/>
            </w:tcBorders>
          </w:tcPr>
          <w:p w14:paraId="321B23F7" w14:textId="6CA21403" w:rsidR="00347D4E" w:rsidRPr="00F9224C" w:rsidRDefault="00AC7204" w:rsidP="00347D4E">
            <w:r w:rsidRPr="00F9224C">
              <w:t>K</w:t>
            </w:r>
          </w:p>
        </w:tc>
        <w:tc>
          <w:tcPr>
            <w:tcW w:w="1353" w:type="dxa"/>
            <w:tcBorders>
              <w:top w:val="nil"/>
              <w:left w:val="nil"/>
              <w:bottom w:val="nil"/>
              <w:right w:val="nil"/>
            </w:tcBorders>
          </w:tcPr>
          <w:p w14:paraId="563F8A61" w14:textId="77777777" w:rsidR="00347D4E" w:rsidRPr="00F9224C" w:rsidRDefault="00347D4E" w:rsidP="00347D4E">
            <w:r w:rsidRPr="00F9224C">
              <w:t>3</w:t>
            </w:r>
          </w:p>
        </w:tc>
        <w:tc>
          <w:tcPr>
            <w:tcW w:w="1365" w:type="dxa"/>
            <w:tcBorders>
              <w:top w:val="nil"/>
              <w:left w:val="nil"/>
              <w:bottom w:val="nil"/>
              <w:right w:val="nil"/>
            </w:tcBorders>
          </w:tcPr>
          <w:p w14:paraId="5EAC884C" w14:textId="77777777" w:rsidR="00347D4E" w:rsidRPr="00F9224C" w:rsidRDefault="00347D4E" w:rsidP="00347D4E">
            <w:r w:rsidRPr="00F9224C">
              <w:t>5%</w:t>
            </w:r>
          </w:p>
        </w:tc>
        <w:tc>
          <w:tcPr>
            <w:tcW w:w="1585" w:type="dxa"/>
            <w:tcBorders>
              <w:top w:val="nil"/>
              <w:left w:val="nil"/>
              <w:bottom w:val="nil"/>
              <w:right w:val="nil"/>
            </w:tcBorders>
          </w:tcPr>
          <w:p w14:paraId="1BF5BC61" w14:textId="77777777" w:rsidR="00347D4E" w:rsidRPr="00F9224C" w:rsidRDefault="00347D4E" w:rsidP="00347D4E">
            <w:r w:rsidRPr="00F9224C">
              <w:t>2.79</w:t>
            </w:r>
          </w:p>
        </w:tc>
        <w:tc>
          <w:tcPr>
            <w:tcW w:w="1422" w:type="dxa"/>
            <w:tcBorders>
              <w:top w:val="nil"/>
              <w:left w:val="nil"/>
              <w:bottom w:val="nil"/>
              <w:right w:val="nil"/>
            </w:tcBorders>
          </w:tcPr>
          <w:p w14:paraId="3D4896E0" w14:textId="77777777" w:rsidR="00347D4E" w:rsidRPr="00F9224C" w:rsidRDefault="00347D4E" w:rsidP="00347D4E">
            <w:r w:rsidRPr="00F9224C">
              <w:t>3.67</w:t>
            </w:r>
          </w:p>
        </w:tc>
      </w:tr>
      <w:tr w:rsidR="00347D4E" w:rsidRPr="00F9224C" w14:paraId="5B72D816" w14:textId="77777777" w:rsidTr="00A54432">
        <w:trPr>
          <w:trHeight w:val="251"/>
        </w:trPr>
        <w:tc>
          <w:tcPr>
            <w:tcW w:w="3325" w:type="dxa"/>
            <w:vMerge w:val="restart"/>
            <w:tcBorders>
              <w:top w:val="nil"/>
              <w:left w:val="nil"/>
              <w:bottom w:val="single" w:sz="4" w:space="0" w:color="auto"/>
              <w:right w:val="nil"/>
            </w:tcBorders>
          </w:tcPr>
          <w:p w14:paraId="7E3C2CE4" w14:textId="77777777" w:rsidR="00347D4E" w:rsidRPr="00F9224C" w:rsidRDefault="00347D4E" w:rsidP="00347D4E"/>
        </w:tc>
        <w:tc>
          <w:tcPr>
            <w:tcW w:w="1353" w:type="dxa"/>
            <w:tcBorders>
              <w:top w:val="nil"/>
              <w:left w:val="nil"/>
              <w:bottom w:val="nil"/>
              <w:right w:val="nil"/>
            </w:tcBorders>
          </w:tcPr>
          <w:p w14:paraId="6593157F" w14:textId="77777777" w:rsidR="00347D4E" w:rsidRPr="00F9224C" w:rsidRDefault="00347D4E" w:rsidP="00347D4E">
            <w:pPr>
              <w:jc w:val="center"/>
            </w:pPr>
          </w:p>
        </w:tc>
        <w:tc>
          <w:tcPr>
            <w:tcW w:w="1365" w:type="dxa"/>
            <w:tcBorders>
              <w:top w:val="nil"/>
              <w:left w:val="nil"/>
              <w:bottom w:val="nil"/>
              <w:right w:val="nil"/>
            </w:tcBorders>
          </w:tcPr>
          <w:p w14:paraId="56AC8DEA" w14:textId="77777777" w:rsidR="00347D4E" w:rsidRPr="00F9224C" w:rsidRDefault="00347D4E" w:rsidP="00347D4E">
            <w:r w:rsidRPr="00F9224C">
              <w:t>2.5%</w:t>
            </w:r>
          </w:p>
        </w:tc>
        <w:tc>
          <w:tcPr>
            <w:tcW w:w="1585" w:type="dxa"/>
            <w:tcBorders>
              <w:top w:val="nil"/>
              <w:left w:val="nil"/>
              <w:bottom w:val="nil"/>
              <w:right w:val="nil"/>
            </w:tcBorders>
          </w:tcPr>
          <w:p w14:paraId="34CD2F9D" w14:textId="77777777" w:rsidR="00347D4E" w:rsidRPr="00F9224C" w:rsidRDefault="00347D4E" w:rsidP="00347D4E">
            <w:r w:rsidRPr="00F9224C">
              <w:t>3.15</w:t>
            </w:r>
          </w:p>
        </w:tc>
        <w:tc>
          <w:tcPr>
            <w:tcW w:w="1422" w:type="dxa"/>
            <w:tcBorders>
              <w:top w:val="nil"/>
              <w:left w:val="nil"/>
              <w:bottom w:val="nil"/>
              <w:right w:val="nil"/>
            </w:tcBorders>
          </w:tcPr>
          <w:p w14:paraId="3EA85933" w14:textId="77777777" w:rsidR="00347D4E" w:rsidRPr="00F9224C" w:rsidRDefault="00347D4E" w:rsidP="00347D4E">
            <w:r w:rsidRPr="00F9224C">
              <w:t>4.08</w:t>
            </w:r>
          </w:p>
        </w:tc>
      </w:tr>
      <w:tr w:rsidR="00347D4E" w:rsidRPr="00F9224C" w14:paraId="67B75627" w14:textId="77777777" w:rsidTr="00A54432">
        <w:trPr>
          <w:trHeight w:val="262"/>
        </w:trPr>
        <w:tc>
          <w:tcPr>
            <w:tcW w:w="3325" w:type="dxa"/>
            <w:vMerge/>
            <w:tcBorders>
              <w:top w:val="nil"/>
              <w:left w:val="nil"/>
              <w:bottom w:val="nil"/>
              <w:right w:val="nil"/>
            </w:tcBorders>
          </w:tcPr>
          <w:p w14:paraId="5FD8A6AC" w14:textId="77777777" w:rsidR="00347D4E" w:rsidRPr="00F9224C" w:rsidRDefault="00347D4E" w:rsidP="00347D4E"/>
        </w:tc>
        <w:tc>
          <w:tcPr>
            <w:tcW w:w="1353" w:type="dxa"/>
            <w:tcBorders>
              <w:top w:val="nil"/>
              <w:left w:val="nil"/>
              <w:bottom w:val="nil"/>
              <w:right w:val="nil"/>
            </w:tcBorders>
          </w:tcPr>
          <w:p w14:paraId="157EF6CB" w14:textId="77777777" w:rsidR="00347D4E" w:rsidRPr="00F9224C" w:rsidRDefault="00347D4E" w:rsidP="00347D4E">
            <w:pPr>
              <w:jc w:val="center"/>
            </w:pPr>
          </w:p>
        </w:tc>
        <w:tc>
          <w:tcPr>
            <w:tcW w:w="1365" w:type="dxa"/>
            <w:tcBorders>
              <w:top w:val="nil"/>
              <w:left w:val="nil"/>
              <w:bottom w:val="nil"/>
              <w:right w:val="nil"/>
            </w:tcBorders>
          </w:tcPr>
          <w:p w14:paraId="42CE8936" w14:textId="77777777" w:rsidR="00347D4E" w:rsidRPr="00F9224C" w:rsidRDefault="00347D4E" w:rsidP="00347D4E">
            <w:r w:rsidRPr="00F9224C">
              <w:t>1%</w:t>
            </w:r>
          </w:p>
        </w:tc>
        <w:tc>
          <w:tcPr>
            <w:tcW w:w="1585" w:type="dxa"/>
            <w:tcBorders>
              <w:top w:val="nil"/>
              <w:left w:val="nil"/>
              <w:bottom w:val="nil"/>
              <w:right w:val="nil"/>
            </w:tcBorders>
          </w:tcPr>
          <w:p w14:paraId="0872B0B1" w14:textId="77777777" w:rsidR="00347D4E" w:rsidRPr="00F9224C" w:rsidRDefault="00347D4E" w:rsidP="00347D4E">
            <w:r w:rsidRPr="00F9224C">
              <w:t>3.65</w:t>
            </w:r>
          </w:p>
        </w:tc>
        <w:tc>
          <w:tcPr>
            <w:tcW w:w="1422" w:type="dxa"/>
            <w:tcBorders>
              <w:top w:val="nil"/>
              <w:left w:val="nil"/>
              <w:bottom w:val="nil"/>
              <w:right w:val="nil"/>
            </w:tcBorders>
          </w:tcPr>
          <w:p w14:paraId="32F12223" w14:textId="77777777" w:rsidR="00347D4E" w:rsidRPr="00F9224C" w:rsidRDefault="00347D4E" w:rsidP="00347D4E">
            <w:r w:rsidRPr="00F9224C">
              <w:t>4.66</w:t>
            </w:r>
          </w:p>
        </w:tc>
      </w:tr>
      <w:tr w:rsidR="00FB477C" w:rsidRPr="00F9224C" w14:paraId="199E5DC6" w14:textId="77777777" w:rsidTr="00A54432">
        <w:trPr>
          <w:trHeight w:val="251"/>
        </w:trPr>
        <w:tc>
          <w:tcPr>
            <w:tcW w:w="3325" w:type="dxa"/>
            <w:tcBorders>
              <w:top w:val="nil"/>
              <w:left w:val="nil"/>
              <w:bottom w:val="single" w:sz="4" w:space="0" w:color="auto"/>
              <w:right w:val="nil"/>
            </w:tcBorders>
          </w:tcPr>
          <w:p w14:paraId="603CDBD8" w14:textId="77777777" w:rsidR="00FB477C" w:rsidRPr="00F9224C" w:rsidRDefault="00FB477C" w:rsidP="00347D4E"/>
        </w:tc>
        <w:tc>
          <w:tcPr>
            <w:tcW w:w="1353" w:type="dxa"/>
            <w:tcBorders>
              <w:top w:val="nil"/>
              <w:left w:val="nil"/>
              <w:right w:val="nil"/>
            </w:tcBorders>
          </w:tcPr>
          <w:p w14:paraId="19CACE21" w14:textId="77777777" w:rsidR="00FB477C" w:rsidRPr="00F9224C" w:rsidRDefault="00FB477C" w:rsidP="00347D4E">
            <w:pPr>
              <w:jc w:val="center"/>
            </w:pPr>
          </w:p>
        </w:tc>
        <w:tc>
          <w:tcPr>
            <w:tcW w:w="1365" w:type="dxa"/>
            <w:tcBorders>
              <w:top w:val="nil"/>
              <w:left w:val="nil"/>
              <w:right w:val="nil"/>
            </w:tcBorders>
          </w:tcPr>
          <w:p w14:paraId="1452879B" w14:textId="77777777" w:rsidR="00FB477C" w:rsidRPr="00F9224C" w:rsidRDefault="00FB477C" w:rsidP="00347D4E"/>
        </w:tc>
        <w:tc>
          <w:tcPr>
            <w:tcW w:w="1585" w:type="dxa"/>
            <w:tcBorders>
              <w:top w:val="nil"/>
              <w:left w:val="nil"/>
              <w:right w:val="nil"/>
            </w:tcBorders>
          </w:tcPr>
          <w:p w14:paraId="3D2900F4" w14:textId="77777777" w:rsidR="00FB477C" w:rsidRPr="00F9224C" w:rsidRDefault="00FB477C" w:rsidP="00347D4E"/>
        </w:tc>
        <w:tc>
          <w:tcPr>
            <w:tcW w:w="1422" w:type="dxa"/>
            <w:tcBorders>
              <w:top w:val="nil"/>
              <w:left w:val="nil"/>
              <w:right w:val="nil"/>
            </w:tcBorders>
          </w:tcPr>
          <w:p w14:paraId="69165A98" w14:textId="77777777" w:rsidR="00FB477C" w:rsidRPr="00F9224C" w:rsidRDefault="00FB477C" w:rsidP="00347D4E"/>
        </w:tc>
      </w:tr>
    </w:tbl>
    <w:p w14:paraId="32FBFD04" w14:textId="77777777" w:rsidR="00FB477C" w:rsidRPr="00F9224C" w:rsidRDefault="00FB477C" w:rsidP="00FB477C">
      <w:pPr>
        <w:spacing w:line="360" w:lineRule="auto"/>
        <w:jc w:val="both"/>
      </w:pPr>
    </w:p>
    <w:p w14:paraId="1294DE17" w14:textId="3EFF61FB" w:rsidR="00FB477C" w:rsidRPr="00F9224C" w:rsidRDefault="00FB477C" w:rsidP="00FB477C">
      <w:pPr>
        <w:spacing w:line="360" w:lineRule="auto"/>
        <w:jc w:val="both"/>
      </w:pPr>
      <w:r w:rsidRPr="00F9224C">
        <w:t>Table</w:t>
      </w:r>
      <w:r w:rsidR="00AF086C">
        <w:t xml:space="preserve"> 3</w:t>
      </w:r>
      <w:r w:rsidRPr="00F9224C">
        <w:t>, represented by the lagged dependent variable D(SUICIDE_</w:t>
      </w:r>
      <w:proofErr w:type="gramStart"/>
      <w:r w:rsidRPr="00F9224C">
        <w:t>RATE(</w:t>
      </w:r>
      <w:proofErr w:type="gramEnd"/>
      <w:r w:rsidRPr="00F9224C">
        <w:t>–1)), is negative and statistically significant (–0.511, p = 0.031). This confirms the existence of a stable long-run equilibrium, with approximately 51 percent of short-term disequilibria corrected within a year. The significance of the ECT underscores the robustness of the model and the validity of the long-run relationship.</w:t>
      </w:r>
    </w:p>
    <w:p w14:paraId="59B0388E" w14:textId="77777777" w:rsidR="00B86FA9" w:rsidRPr="00F9224C" w:rsidRDefault="00B86FA9" w:rsidP="00FB477C">
      <w:pPr>
        <w:spacing w:line="360" w:lineRule="auto"/>
        <w:jc w:val="both"/>
      </w:pPr>
    </w:p>
    <w:p w14:paraId="7418DC16" w14:textId="7D320D82" w:rsidR="00FB477C" w:rsidRPr="00F9224C" w:rsidRDefault="00FB477C" w:rsidP="00FB477C">
      <w:pPr>
        <w:spacing w:line="360" w:lineRule="auto"/>
        <w:jc w:val="both"/>
      </w:pPr>
      <w:r w:rsidRPr="00F9224C">
        <w:t>In the short run, unemployment exerts a positive</w:t>
      </w:r>
      <w:r w:rsidR="00B86FA9" w:rsidRPr="00F9224C">
        <w:t xml:space="preserve"> </w:t>
      </w:r>
      <w:r w:rsidRPr="00F9224C">
        <w:t xml:space="preserve">and significant impact on suicide rates (0.262, p = 0.046), indicating that rising joblessness contributes to increased suicidality, likely through heightened financial and psychological stress. Inflation shows a negative and significant effect (–0.044, p = 0.011), suggesting that periods of higher Inflation may temporarily reduce suicide rates, possibly due to concurrent economic activity or labor demand. GDP demonstrates a consistently positive and significant effect in both the first (0.235, p = 0.003) and second lags </w:t>
      </w:r>
      <w:r w:rsidRPr="00F9224C">
        <w:lastRenderedPageBreak/>
        <w:t>(0.054, p = 0.030), implying that economic expansion, while raising aggregate output, may exacerbate inequality or social pressures that elevate suicide risk.</w:t>
      </w:r>
    </w:p>
    <w:p w14:paraId="043D418C" w14:textId="77777777" w:rsidR="00B86FA9" w:rsidRPr="00F9224C" w:rsidRDefault="00B86FA9" w:rsidP="00FB477C">
      <w:pPr>
        <w:spacing w:line="360" w:lineRule="auto"/>
        <w:jc w:val="both"/>
      </w:pPr>
    </w:p>
    <w:p w14:paraId="78C03FFC" w14:textId="3D083B27" w:rsidR="00FB477C" w:rsidRPr="00F9224C" w:rsidRDefault="00FB477C" w:rsidP="00FB477C">
      <w:pPr>
        <w:spacing w:line="360" w:lineRule="auto"/>
        <w:jc w:val="both"/>
      </w:pPr>
      <w:r w:rsidRPr="00F9224C">
        <w:t>The long-run coefficients reinforce these findings. Both unemployment (0.513) and GDP (0.461) are positively associated with suicide rates, while Inflation (–0.087) is negatively related. Although only GDP approaches statistical significance (p = 0.069), the overall pattern suggests that structural economic conditions, particularly those linked to labor markets and the distribution of growth, are central to long-term suicide trends.</w:t>
      </w:r>
    </w:p>
    <w:p w14:paraId="7FD20FD8" w14:textId="77777777" w:rsidR="00B86FA9" w:rsidRPr="00F9224C" w:rsidRDefault="00B86FA9" w:rsidP="00FB477C">
      <w:pPr>
        <w:spacing w:line="360" w:lineRule="auto"/>
        <w:jc w:val="both"/>
      </w:pPr>
    </w:p>
    <w:p w14:paraId="13BFDEF2" w14:textId="6B91B23F" w:rsidR="00FB477C" w:rsidRPr="00F9224C" w:rsidRDefault="00FB477C" w:rsidP="00273559">
      <w:pPr>
        <w:spacing w:line="360" w:lineRule="auto"/>
        <w:jc w:val="both"/>
      </w:pPr>
      <w:r w:rsidRPr="00F9224C">
        <w:t>The computed F-statistic (9.552) exceeds the upper critical bounds at the 1%, 5%, and 10% significance levels. This provides sufficient evidence to reject the null hypothesis of no cointegration. Accordingly, the outcomes confirm the existence of a stable long-run relationship between suicide rates and the selected macroeconomic factors, indicating that these variables move together over time despite short-term fluctuations.</w:t>
      </w:r>
    </w:p>
    <w:p w14:paraId="0D1D5FDB" w14:textId="77777777" w:rsidR="00FB477C" w:rsidRPr="00F9224C" w:rsidRDefault="00FB477C" w:rsidP="00273559">
      <w:pPr>
        <w:spacing w:line="360" w:lineRule="auto"/>
        <w:jc w:val="both"/>
        <w:rPr>
          <w:b/>
        </w:rPr>
      </w:pPr>
    </w:p>
    <w:p w14:paraId="57CED1B8" w14:textId="77777777" w:rsidR="00B86FA9" w:rsidRPr="00F9224C" w:rsidRDefault="00B86FA9" w:rsidP="00273559">
      <w:pPr>
        <w:spacing w:line="360" w:lineRule="auto"/>
        <w:jc w:val="both"/>
        <w:rPr>
          <w:b/>
        </w:rPr>
      </w:pPr>
    </w:p>
    <w:p w14:paraId="1AFA0339" w14:textId="04E2286C" w:rsidR="00C400BE" w:rsidRPr="00F9224C" w:rsidRDefault="001075DB" w:rsidP="00273559">
      <w:pPr>
        <w:spacing w:line="360" w:lineRule="auto"/>
        <w:jc w:val="both"/>
        <w:rPr>
          <w:b/>
        </w:rPr>
      </w:pPr>
      <w:r w:rsidRPr="00F9224C">
        <w:rPr>
          <w:b/>
        </w:rPr>
        <w:t>Table</w:t>
      </w:r>
      <w:r w:rsidR="00AF086C">
        <w:rPr>
          <w:b/>
        </w:rPr>
        <w:t xml:space="preserve"> 4</w:t>
      </w:r>
      <w:r w:rsidRPr="00F9224C">
        <w:rPr>
          <w:b/>
        </w:rPr>
        <w:t xml:space="preserve">: </w:t>
      </w:r>
      <w:r w:rsidR="00C441C0" w:rsidRPr="00F9224C">
        <w:rPr>
          <w:b/>
        </w:rPr>
        <w:t xml:space="preserve">Error </w:t>
      </w:r>
      <w:r w:rsidRPr="00F9224C">
        <w:rPr>
          <w:b/>
        </w:rPr>
        <w:t>C</w:t>
      </w:r>
      <w:r w:rsidR="00C441C0" w:rsidRPr="00F9224C">
        <w:rPr>
          <w:b/>
        </w:rPr>
        <w:t xml:space="preserve">orrection </w:t>
      </w:r>
      <w:r w:rsidRPr="00F9224C">
        <w:rPr>
          <w:b/>
        </w:rPr>
        <w:t>regression</w:t>
      </w:r>
    </w:p>
    <w:p w14:paraId="6B3C5B6A" w14:textId="77777777" w:rsidR="005439BB" w:rsidRPr="00F9224C" w:rsidRDefault="005439BB" w:rsidP="00273559">
      <w:pPr>
        <w:spacing w:line="360" w:lineRule="auto"/>
        <w:jc w:val="both"/>
        <w:rPr>
          <w:b/>
          <w:u w:val="thick"/>
        </w:rPr>
      </w:pPr>
    </w:p>
    <w:tbl>
      <w:tblPr>
        <w:tblStyle w:val="TableGrid"/>
        <w:tblW w:w="0" w:type="auto"/>
        <w:tblBorders>
          <w:insideV w:val="none" w:sz="0" w:space="0" w:color="auto"/>
        </w:tblBorders>
        <w:tblLook w:val="04A0" w:firstRow="1" w:lastRow="0" w:firstColumn="1" w:lastColumn="0" w:noHBand="0" w:noVBand="1"/>
      </w:tblPr>
      <w:tblGrid>
        <w:gridCol w:w="2743"/>
        <w:gridCol w:w="1648"/>
        <w:gridCol w:w="1491"/>
        <w:gridCol w:w="1223"/>
        <w:gridCol w:w="490"/>
        <w:gridCol w:w="1421"/>
      </w:tblGrid>
      <w:tr w:rsidR="00E915CC" w:rsidRPr="00F9224C" w14:paraId="07C96048" w14:textId="77777777" w:rsidTr="00FB477C">
        <w:trPr>
          <w:trHeight w:val="1700"/>
        </w:trPr>
        <w:tc>
          <w:tcPr>
            <w:tcW w:w="9016" w:type="dxa"/>
            <w:gridSpan w:val="6"/>
            <w:tcBorders>
              <w:left w:val="nil"/>
              <w:right w:val="nil"/>
            </w:tcBorders>
          </w:tcPr>
          <w:p w14:paraId="4792AA68" w14:textId="77777777" w:rsidR="00E915CC" w:rsidRPr="00F9224C" w:rsidRDefault="00E915CC" w:rsidP="008B6FAA">
            <w:r w:rsidRPr="00F9224C">
              <w:t>ARDL Error Correction Regression</w:t>
            </w:r>
          </w:p>
          <w:p w14:paraId="60A022EF" w14:textId="7219D2F1" w:rsidR="00E915CC" w:rsidRPr="00F9224C" w:rsidRDefault="00E915CC" w:rsidP="008B6FAA">
            <w:r w:rsidRPr="00F9224C">
              <w:t>Dependent Variable: D</w:t>
            </w:r>
            <w:r w:rsidR="00C441C0" w:rsidRPr="00F9224C">
              <w:t xml:space="preserve"> </w:t>
            </w:r>
            <w:r w:rsidRPr="00F9224C">
              <w:t>(SUICIDE RATE,2)</w:t>
            </w:r>
          </w:p>
          <w:p w14:paraId="7A691A2A" w14:textId="7A56E19A" w:rsidR="00E915CC" w:rsidRPr="00F9224C" w:rsidRDefault="00E915CC" w:rsidP="008B6FAA">
            <w:r w:rsidRPr="00F9224C">
              <w:t>Selected Model: ARDL</w:t>
            </w:r>
            <w:r w:rsidR="00C441C0" w:rsidRPr="00F9224C">
              <w:t xml:space="preserve"> </w:t>
            </w:r>
            <w:r w:rsidRPr="00F9224C">
              <w:t>(2, 2, 0, 2)</w:t>
            </w:r>
          </w:p>
          <w:p w14:paraId="2D1DBA51" w14:textId="77777777" w:rsidR="00E915CC" w:rsidRPr="00F9224C" w:rsidRDefault="00E915CC" w:rsidP="008B6FAA">
            <w:r w:rsidRPr="00F9224C">
              <w:t xml:space="preserve">Case 2: Restricted Constant and No Trend </w:t>
            </w:r>
          </w:p>
          <w:p w14:paraId="68816F0B" w14:textId="77777777" w:rsidR="00E915CC" w:rsidRPr="00F9224C" w:rsidRDefault="00E915CC" w:rsidP="008B6FAA">
            <w:r w:rsidRPr="00F9224C">
              <w:t>Sample: 2000 2021</w:t>
            </w:r>
          </w:p>
          <w:p w14:paraId="488DECFC" w14:textId="77777777" w:rsidR="00E915CC" w:rsidRPr="00F9224C" w:rsidRDefault="00E915CC" w:rsidP="008B6FAA">
            <w:r w:rsidRPr="00F9224C">
              <w:t>Included observations: 19</w:t>
            </w:r>
          </w:p>
        </w:tc>
      </w:tr>
      <w:tr w:rsidR="00E915CC" w:rsidRPr="00F9224C" w14:paraId="4AF72530" w14:textId="77777777" w:rsidTr="00FB477C">
        <w:tc>
          <w:tcPr>
            <w:tcW w:w="9016" w:type="dxa"/>
            <w:gridSpan w:val="6"/>
            <w:tcBorders>
              <w:left w:val="nil"/>
              <w:bottom w:val="single" w:sz="4" w:space="0" w:color="auto"/>
              <w:right w:val="nil"/>
            </w:tcBorders>
          </w:tcPr>
          <w:p w14:paraId="537F70BD" w14:textId="77777777" w:rsidR="00E915CC" w:rsidRPr="00F9224C" w:rsidRDefault="00E915CC" w:rsidP="008B6FAA">
            <w:pPr>
              <w:jc w:val="center"/>
              <w:rPr>
                <w:b/>
              </w:rPr>
            </w:pPr>
            <w:r w:rsidRPr="00F9224C">
              <w:rPr>
                <w:b/>
              </w:rPr>
              <w:t>ECM Regression</w:t>
            </w:r>
          </w:p>
          <w:p w14:paraId="6B34D3A0" w14:textId="77777777" w:rsidR="00E915CC" w:rsidRPr="00F9224C" w:rsidRDefault="00E915CC" w:rsidP="008B6FAA">
            <w:pPr>
              <w:jc w:val="center"/>
              <w:rPr>
                <w:b/>
              </w:rPr>
            </w:pPr>
            <w:r w:rsidRPr="00F9224C">
              <w:rPr>
                <w:b/>
              </w:rPr>
              <w:t>Case 2: Restricted Constant and No Trend</w:t>
            </w:r>
          </w:p>
          <w:p w14:paraId="5B14E08B" w14:textId="08C0E599" w:rsidR="00FB477C" w:rsidRPr="00F9224C" w:rsidRDefault="00FB477C" w:rsidP="008B6FAA">
            <w:pPr>
              <w:jc w:val="center"/>
            </w:pPr>
          </w:p>
        </w:tc>
      </w:tr>
      <w:tr w:rsidR="00E915CC" w:rsidRPr="00F9224C" w14:paraId="58003DC1" w14:textId="77777777" w:rsidTr="00FB477C">
        <w:tc>
          <w:tcPr>
            <w:tcW w:w="2743" w:type="dxa"/>
            <w:tcBorders>
              <w:left w:val="nil"/>
              <w:bottom w:val="nil"/>
            </w:tcBorders>
          </w:tcPr>
          <w:p w14:paraId="065A8379" w14:textId="77777777" w:rsidR="00E915CC" w:rsidRPr="00F9224C" w:rsidRDefault="00E915CC" w:rsidP="008B6FAA">
            <w:pPr>
              <w:rPr>
                <w:b/>
              </w:rPr>
            </w:pPr>
            <w:r w:rsidRPr="00F9224C">
              <w:rPr>
                <w:b/>
              </w:rPr>
              <w:t xml:space="preserve">Variable  </w:t>
            </w:r>
          </w:p>
        </w:tc>
        <w:tc>
          <w:tcPr>
            <w:tcW w:w="1648" w:type="dxa"/>
            <w:tcBorders>
              <w:bottom w:val="nil"/>
            </w:tcBorders>
          </w:tcPr>
          <w:p w14:paraId="5972750C" w14:textId="77777777" w:rsidR="00E915CC" w:rsidRPr="00F9224C" w:rsidRDefault="00E915CC" w:rsidP="008B6FAA">
            <w:pPr>
              <w:rPr>
                <w:b/>
              </w:rPr>
            </w:pPr>
            <w:r w:rsidRPr="00F9224C">
              <w:rPr>
                <w:b/>
              </w:rPr>
              <w:t xml:space="preserve">Coefficient </w:t>
            </w:r>
          </w:p>
        </w:tc>
        <w:tc>
          <w:tcPr>
            <w:tcW w:w="1491" w:type="dxa"/>
            <w:tcBorders>
              <w:bottom w:val="nil"/>
            </w:tcBorders>
          </w:tcPr>
          <w:p w14:paraId="17014120" w14:textId="77777777" w:rsidR="00E915CC" w:rsidRPr="00F9224C" w:rsidRDefault="00E915CC" w:rsidP="008B6FAA">
            <w:pPr>
              <w:rPr>
                <w:b/>
              </w:rPr>
            </w:pPr>
            <w:r w:rsidRPr="00F9224C">
              <w:rPr>
                <w:b/>
              </w:rPr>
              <w:t xml:space="preserve">Std. Error  </w:t>
            </w:r>
          </w:p>
        </w:tc>
        <w:tc>
          <w:tcPr>
            <w:tcW w:w="1713" w:type="dxa"/>
            <w:gridSpan w:val="2"/>
            <w:tcBorders>
              <w:bottom w:val="nil"/>
            </w:tcBorders>
          </w:tcPr>
          <w:p w14:paraId="262C3474" w14:textId="77777777" w:rsidR="00E915CC" w:rsidRPr="00F9224C" w:rsidRDefault="00E915CC" w:rsidP="008B6FAA">
            <w:pPr>
              <w:rPr>
                <w:b/>
              </w:rPr>
            </w:pPr>
            <w:r w:rsidRPr="00F9224C">
              <w:rPr>
                <w:b/>
              </w:rPr>
              <w:t xml:space="preserve">t-Statistic  </w:t>
            </w:r>
          </w:p>
        </w:tc>
        <w:tc>
          <w:tcPr>
            <w:tcW w:w="1421" w:type="dxa"/>
            <w:tcBorders>
              <w:bottom w:val="nil"/>
              <w:right w:val="nil"/>
            </w:tcBorders>
          </w:tcPr>
          <w:p w14:paraId="08E51917" w14:textId="77777777" w:rsidR="00E915CC" w:rsidRPr="00F9224C" w:rsidRDefault="00E915CC" w:rsidP="008B6FAA">
            <w:pPr>
              <w:rPr>
                <w:b/>
              </w:rPr>
            </w:pPr>
            <w:r w:rsidRPr="00F9224C">
              <w:rPr>
                <w:b/>
              </w:rPr>
              <w:t xml:space="preserve">Prob.  </w:t>
            </w:r>
          </w:p>
        </w:tc>
      </w:tr>
      <w:tr w:rsidR="00E915CC" w:rsidRPr="00F9224C" w14:paraId="6EBE86F5" w14:textId="77777777" w:rsidTr="00FB477C">
        <w:tc>
          <w:tcPr>
            <w:tcW w:w="2743" w:type="dxa"/>
            <w:tcBorders>
              <w:top w:val="nil"/>
              <w:left w:val="nil"/>
              <w:bottom w:val="nil"/>
            </w:tcBorders>
          </w:tcPr>
          <w:p w14:paraId="1C4DEA02" w14:textId="77777777" w:rsidR="00E915CC" w:rsidRPr="00F9224C" w:rsidRDefault="00E915CC" w:rsidP="008B6FAA">
            <w:r w:rsidRPr="00F9224C">
              <w:t>D(SUICIDE_RATE(-1), 2)</w:t>
            </w:r>
          </w:p>
        </w:tc>
        <w:tc>
          <w:tcPr>
            <w:tcW w:w="1648" w:type="dxa"/>
            <w:tcBorders>
              <w:top w:val="nil"/>
              <w:bottom w:val="nil"/>
            </w:tcBorders>
          </w:tcPr>
          <w:p w14:paraId="741720D8" w14:textId="77777777" w:rsidR="00E915CC" w:rsidRPr="00F9224C" w:rsidRDefault="00E915CC" w:rsidP="008B6FAA">
            <w:r w:rsidRPr="00F9224C">
              <w:t>-0.274162</w:t>
            </w:r>
          </w:p>
        </w:tc>
        <w:tc>
          <w:tcPr>
            <w:tcW w:w="1491" w:type="dxa"/>
            <w:tcBorders>
              <w:top w:val="nil"/>
              <w:bottom w:val="nil"/>
            </w:tcBorders>
          </w:tcPr>
          <w:p w14:paraId="365401AB" w14:textId="77777777" w:rsidR="00E915CC" w:rsidRPr="00F9224C" w:rsidRDefault="00E915CC" w:rsidP="008B6FAA">
            <w:r w:rsidRPr="00F9224C">
              <w:t>0.145097</w:t>
            </w:r>
          </w:p>
        </w:tc>
        <w:tc>
          <w:tcPr>
            <w:tcW w:w="1713" w:type="dxa"/>
            <w:gridSpan w:val="2"/>
            <w:tcBorders>
              <w:top w:val="nil"/>
              <w:bottom w:val="nil"/>
            </w:tcBorders>
          </w:tcPr>
          <w:p w14:paraId="4FD0D90F" w14:textId="77777777" w:rsidR="00E915CC" w:rsidRPr="00F9224C" w:rsidRDefault="00E915CC" w:rsidP="008B6FAA">
            <w:r w:rsidRPr="00F9224C">
              <w:t>-1.889508</w:t>
            </w:r>
          </w:p>
        </w:tc>
        <w:tc>
          <w:tcPr>
            <w:tcW w:w="1421" w:type="dxa"/>
            <w:tcBorders>
              <w:top w:val="nil"/>
              <w:bottom w:val="nil"/>
              <w:right w:val="nil"/>
            </w:tcBorders>
          </w:tcPr>
          <w:p w14:paraId="1A23E96C" w14:textId="77777777" w:rsidR="00E915CC" w:rsidRPr="00F9224C" w:rsidRDefault="00E915CC" w:rsidP="008B6FAA">
            <w:r w:rsidRPr="00F9224C">
              <w:t>0.0914</w:t>
            </w:r>
          </w:p>
        </w:tc>
      </w:tr>
      <w:tr w:rsidR="00E915CC" w:rsidRPr="00F9224C" w14:paraId="61FD7B41" w14:textId="77777777" w:rsidTr="00FB477C">
        <w:tc>
          <w:tcPr>
            <w:tcW w:w="2743" w:type="dxa"/>
            <w:tcBorders>
              <w:top w:val="nil"/>
              <w:left w:val="nil"/>
              <w:bottom w:val="nil"/>
            </w:tcBorders>
          </w:tcPr>
          <w:p w14:paraId="1E4C6416" w14:textId="77777777" w:rsidR="00E915CC" w:rsidRPr="00F9224C" w:rsidRDefault="00E915CC" w:rsidP="008B6FAA">
            <w:r w:rsidRPr="00F9224C">
              <w:t>D(UNEMPLOYMENT,2)</w:t>
            </w:r>
          </w:p>
        </w:tc>
        <w:tc>
          <w:tcPr>
            <w:tcW w:w="1648" w:type="dxa"/>
            <w:tcBorders>
              <w:top w:val="nil"/>
              <w:bottom w:val="nil"/>
            </w:tcBorders>
          </w:tcPr>
          <w:p w14:paraId="73A855DD" w14:textId="77777777" w:rsidR="00E915CC" w:rsidRPr="00F9224C" w:rsidRDefault="00E915CC" w:rsidP="008B6FAA">
            <w:r w:rsidRPr="00F9224C">
              <w:t>-0.059724</w:t>
            </w:r>
          </w:p>
        </w:tc>
        <w:tc>
          <w:tcPr>
            <w:tcW w:w="1491" w:type="dxa"/>
            <w:tcBorders>
              <w:top w:val="nil"/>
              <w:bottom w:val="nil"/>
            </w:tcBorders>
          </w:tcPr>
          <w:p w14:paraId="1BF2F021" w14:textId="77777777" w:rsidR="00E915CC" w:rsidRPr="00F9224C" w:rsidRDefault="00E915CC" w:rsidP="008B6FAA">
            <w:r w:rsidRPr="00F9224C">
              <w:t>0.036807</w:t>
            </w:r>
          </w:p>
        </w:tc>
        <w:tc>
          <w:tcPr>
            <w:tcW w:w="1713" w:type="dxa"/>
            <w:gridSpan w:val="2"/>
            <w:tcBorders>
              <w:top w:val="nil"/>
              <w:bottom w:val="nil"/>
            </w:tcBorders>
          </w:tcPr>
          <w:p w14:paraId="51F2EABE" w14:textId="77777777" w:rsidR="00E915CC" w:rsidRPr="00F9224C" w:rsidRDefault="00E915CC" w:rsidP="008B6FAA">
            <w:r w:rsidRPr="00F9224C">
              <w:t>-1.622634</w:t>
            </w:r>
          </w:p>
        </w:tc>
        <w:tc>
          <w:tcPr>
            <w:tcW w:w="1421" w:type="dxa"/>
            <w:tcBorders>
              <w:top w:val="nil"/>
              <w:bottom w:val="nil"/>
              <w:right w:val="nil"/>
            </w:tcBorders>
          </w:tcPr>
          <w:p w14:paraId="6F24632C" w14:textId="77777777" w:rsidR="00E915CC" w:rsidRPr="00F9224C" w:rsidRDefault="00E915CC" w:rsidP="008B6FAA">
            <w:r w:rsidRPr="00F9224C">
              <w:t>0.1391</w:t>
            </w:r>
          </w:p>
        </w:tc>
      </w:tr>
      <w:tr w:rsidR="00E915CC" w:rsidRPr="00F9224C" w14:paraId="4AB39DC1" w14:textId="77777777" w:rsidTr="00FB477C">
        <w:tc>
          <w:tcPr>
            <w:tcW w:w="2743" w:type="dxa"/>
            <w:tcBorders>
              <w:top w:val="nil"/>
              <w:left w:val="nil"/>
              <w:bottom w:val="nil"/>
            </w:tcBorders>
          </w:tcPr>
          <w:p w14:paraId="546E5896" w14:textId="77777777" w:rsidR="00E915CC" w:rsidRPr="00F9224C" w:rsidRDefault="00E915CC" w:rsidP="008B6FAA">
            <w:proofErr w:type="gramStart"/>
            <w:r w:rsidRPr="00F9224C">
              <w:t>D(</w:t>
            </w:r>
            <w:proofErr w:type="gramEnd"/>
            <w:r w:rsidRPr="00F9224C">
              <w:t>UNEMPLOYMENT(-...</w:t>
            </w:r>
          </w:p>
        </w:tc>
        <w:tc>
          <w:tcPr>
            <w:tcW w:w="1648" w:type="dxa"/>
            <w:tcBorders>
              <w:top w:val="nil"/>
              <w:bottom w:val="nil"/>
            </w:tcBorders>
          </w:tcPr>
          <w:p w14:paraId="28494284" w14:textId="77777777" w:rsidR="00E915CC" w:rsidRPr="00F9224C" w:rsidRDefault="00E915CC" w:rsidP="008B6FAA">
            <w:r w:rsidRPr="00F9224C">
              <w:t>-0.182670</w:t>
            </w:r>
          </w:p>
        </w:tc>
        <w:tc>
          <w:tcPr>
            <w:tcW w:w="1491" w:type="dxa"/>
            <w:tcBorders>
              <w:top w:val="nil"/>
              <w:bottom w:val="nil"/>
            </w:tcBorders>
          </w:tcPr>
          <w:p w14:paraId="1D899B7F" w14:textId="77777777" w:rsidR="00E915CC" w:rsidRPr="00F9224C" w:rsidRDefault="00E915CC" w:rsidP="008B6FAA">
            <w:r w:rsidRPr="00F9224C">
              <w:t>0.050114</w:t>
            </w:r>
          </w:p>
        </w:tc>
        <w:tc>
          <w:tcPr>
            <w:tcW w:w="1713" w:type="dxa"/>
            <w:gridSpan w:val="2"/>
            <w:tcBorders>
              <w:top w:val="nil"/>
              <w:bottom w:val="nil"/>
            </w:tcBorders>
          </w:tcPr>
          <w:p w14:paraId="431F0CEF" w14:textId="77777777" w:rsidR="00E915CC" w:rsidRPr="00F9224C" w:rsidRDefault="00E915CC" w:rsidP="008B6FAA">
            <w:r w:rsidRPr="00F9224C">
              <w:t>-3.645066</w:t>
            </w:r>
          </w:p>
        </w:tc>
        <w:tc>
          <w:tcPr>
            <w:tcW w:w="1421" w:type="dxa"/>
            <w:tcBorders>
              <w:top w:val="nil"/>
              <w:bottom w:val="nil"/>
              <w:right w:val="nil"/>
            </w:tcBorders>
          </w:tcPr>
          <w:p w14:paraId="194016B3" w14:textId="77777777" w:rsidR="00E915CC" w:rsidRPr="00F9224C" w:rsidRDefault="00E915CC" w:rsidP="008B6FAA">
            <w:r w:rsidRPr="00F9224C">
              <w:t>0.0054</w:t>
            </w:r>
          </w:p>
        </w:tc>
      </w:tr>
      <w:tr w:rsidR="00E915CC" w:rsidRPr="00F9224C" w14:paraId="7C59BCF8" w14:textId="77777777" w:rsidTr="00FB477C">
        <w:tc>
          <w:tcPr>
            <w:tcW w:w="2743" w:type="dxa"/>
            <w:tcBorders>
              <w:top w:val="nil"/>
              <w:left w:val="nil"/>
              <w:bottom w:val="nil"/>
            </w:tcBorders>
          </w:tcPr>
          <w:p w14:paraId="67B7CEF3" w14:textId="77777777" w:rsidR="00E915CC" w:rsidRPr="00F9224C" w:rsidRDefault="00E915CC" w:rsidP="008B6FAA">
            <w:r w:rsidRPr="00F9224C">
              <w:t>D(GDP,2)</w:t>
            </w:r>
          </w:p>
        </w:tc>
        <w:tc>
          <w:tcPr>
            <w:tcW w:w="1648" w:type="dxa"/>
            <w:tcBorders>
              <w:top w:val="nil"/>
              <w:bottom w:val="nil"/>
            </w:tcBorders>
          </w:tcPr>
          <w:p w14:paraId="118B3851" w14:textId="77777777" w:rsidR="00E915CC" w:rsidRPr="00F9224C" w:rsidRDefault="00E915CC" w:rsidP="008B6FAA">
            <w:r w:rsidRPr="00F9224C">
              <w:t>0.053631</w:t>
            </w:r>
          </w:p>
        </w:tc>
        <w:tc>
          <w:tcPr>
            <w:tcW w:w="1491" w:type="dxa"/>
            <w:tcBorders>
              <w:top w:val="nil"/>
              <w:bottom w:val="nil"/>
            </w:tcBorders>
          </w:tcPr>
          <w:p w14:paraId="24FC2E74" w14:textId="77777777" w:rsidR="00E915CC" w:rsidRPr="00F9224C" w:rsidRDefault="00E915CC" w:rsidP="008B6FAA">
            <w:r w:rsidRPr="00F9224C">
              <w:t>0.014822</w:t>
            </w:r>
          </w:p>
        </w:tc>
        <w:tc>
          <w:tcPr>
            <w:tcW w:w="1713" w:type="dxa"/>
            <w:gridSpan w:val="2"/>
            <w:tcBorders>
              <w:top w:val="nil"/>
              <w:bottom w:val="nil"/>
            </w:tcBorders>
          </w:tcPr>
          <w:p w14:paraId="798EE65D" w14:textId="77777777" w:rsidR="00E915CC" w:rsidRPr="00F9224C" w:rsidRDefault="00E915CC" w:rsidP="008B6FAA">
            <w:r w:rsidRPr="00F9224C">
              <w:t xml:space="preserve"> 3.618400</w:t>
            </w:r>
          </w:p>
        </w:tc>
        <w:tc>
          <w:tcPr>
            <w:tcW w:w="1421" w:type="dxa"/>
            <w:tcBorders>
              <w:top w:val="nil"/>
              <w:bottom w:val="nil"/>
              <w:right w:val="nil"/>
            </w:tcBorders>
          </w:tcPr>
          <w:p w14:paraId="7A286FE6" w14:textId="77777777" w:rsidR="00E915CC" w:rsidRPr="00F9224C" w:rsidRDefault="00E915CC" w:rsidP="008B6FAA">
            <w:r w:rsidRPr="00F9224C">
              <w:t>0.0056</w:t>
            </w:r>
          </w:p>
        </w:tc>
      </w:tr>
      <w:tr w:rsidR="00E915CC" w:rsidRPr="00F9224C" w14:paraId="0C3C730D" w14:textId="77777777" w:rsidTr="00FB477C">
        <w:tc>
          <w:tcPr>
            <w:tcW w:w="2743" w:type="dxa"/>
            <w:tcBorders>
              <w:top w:val="nil"/>
              <w:left w:val="nil"/>
              <w:bottom w:val="nil"/>
            </w:tcBorders>
          </w:tcPr>
          <w:p w14:paraId="19B35E06" w14:textId="77777777" w:rsidR="00E915CC" w:rsidRPr="00F9224C" w:rsidRDefault="00E915CC" w:rsidP="008B6FAA">
            <w:r w:rsidRPr="00F9224C">
              <w:t>D(GDP_(-1),2)</w:t>
            </w:r>
          </w:p>
        </w:tc>
        <w:tc>
          <w:tcPr>
            <w:tcW w:w="1648" w:type="dxa"/>
            <w:tcBorders>
              <w:top w:val="nil"/>
              <w:bottom w:val="nil"/>
            </w:tcBorders>
          </w:tcPr>
          <w:p w14:paraId="112ABD43" w14:textId="77777777" w:rsidR="00E915CC" w:rsidRPr="00F9224C" w:rsidRDefault="00E915CC" w:rsidP="008B6FAA">
            <w:r w:rsidRPr="00F9224C">
              <w:t>-0.115149</w:t>
            </w:r>
          </w:p>
        </w:tc>
        <w:tc>
          <w:tcPr>
            <w:tcW w:w="1491" w:type="dxa"/>
            <w:tcBorders>
              <w:top w:val="nil"/>
              <w:bottom w:val="nil"/>
            </w:tcBorders>
          </w:tcPr>
          <w:p w14:paraId="2FAB65D8" w14:textId="77777777" w:rsidR="00E915CC" w:rsidRPr="00F9224C" w:rsidRDefault="00E915CC" w:rsidP="008B6FAA">
            <w:r w:rsidRPr="00F9224C">
              <w:t>0.023157</w:t>
            </w:r>
          </w:p>
        </w:tc>
        <w:tc>
          <w:tcPr>
            <w:tcW w:w="1713" w:type="dxa"/>
            <w:gridSpan w:val="2"/>
            <w:tcBorders>
              <w:top w:val="nil"/>
              <w:bottom w:val="nil"/>
            </w:tcBorders>
          </w:tcPr>
          <w:p w14:paraId="5D6ED347" w14:textId="77777777" w:rsidR="00E915CC" w:rsidRPr="00F9224C" w:rsidRDefault="00E915CC" w:rsidP="008B6FAA">
            <w:r w:rsidRPr="00F9224C">
              <w:t>-4.972623</w:t>
            </w:r>
          </w:p>
        </w:tc>
        <w:tc>
          <w:tcPr>
            <w:tcW w:w="1421" w:type="dxa"/>
            <w:tcBorders>
              <w:top w:val="nil"/>
              <w:bottom w:val="nil"/>
              <w:right w:val="nil"/>
            </w:tcBorders>
          </w:tcPr>
          <w:p w14:paraId="7FAC3364" w14:textId="77777777" w:rsidR="00E915CC" w:rsidRPr="00F9224C" w:rsidRDefault="00E915CC" w:rsidP="008B6FAA">
            <w:r w:rsidRPr="00F9224C">
              <w:t>0.0008</w:t>
            </w:r>
          </w:p>
        </w:tc>
      </w:tr>
      <w:tr w:rsidR="00E915CC" w:rsidRPr="00F9224C" w14:paraId="40D38174" w14:textId="77777777" w:rsidTr="00FB477C">
        <w:trPr>
          <w:trHeight w:val="450"/>
        </w:trPr>
        <w:tc>
          <w:tcPr>
            <w:tcW w:w="2743" w:type="dxa"/>
            <w:tcBorders>
              <w:top w:val="nil"/>
              <w:left w:val="nil"/>
              <w:bottom w:val="single" w:sz="4" w:space="0" w:color="auto"/>
            </w:tcBorders>
          </w:tcPr>
          <w:p w14:paraId="0616669C" w14:textId="77EC8D3B" w:rsidR="00E915CC" w:rsidRPr="00F9224C" w:rsidRDefault="00E915CC" w:rsidP="008B6FAA">
            <w:proofErr w:type="spellStart"/>
            <w:r w:rsidRPr="00F9224C">
              <w:t>Coint</w:t>
            </w:r>
            <w:proofErr w:type="spellEnd"/>
            <w:r w:rsidR="00FB477C" w:rsidRPr="00F9224C">
              <w:t xml:space="preserve"> </w:t>
            </w:r>
            <w:r w:rsidRPr="00F9224C">
              <w:t>Eq</w:t>
            </w:r>
            <w:r w:rsidR="00FB477C" w:rsidRPr="00F9224C">
              <w:t xml:space="preserve"> </w:t>
            </w:r>
            <w:r w:rsidRPr="00F9224C">
              <w:t>(-</w:t>
            </w:r>
            <w:proofErr w:type="gramStart"/>
            <w:r w:rsidRPr="00F9224C">
              <w:t>1)*</w:t>
            </w:r>
            <w:proofErr w:type="gramEnd"/>
          </w:p>
        </w:tc>
        <w:tc>
          <w:tcPr>
            <w:tcW w:w="1648" w:type="dxa"/>
            <w:tcBorders>
              <w:top w:val="nil"/>
              <w:bottom w:val="single" w:sz="4" w:space="0" w:color="auto"/>
            </w:tcBorders>
          </w:tcPr>
          <w:p w14:paraId="246B1A95" w14:textId="77777777" w:rsidR="00E915CC" w:rsidRPr="00F9224C" w:rsidRDefault="00E915CC" w:rsidP="008B6FAA">
            <w:r w:rsidRPr="00F9224C">
              <w:t>-0.511021</w:t>
            </w:r>
          </w:p>
        </w:tc>
        <w:tc>
          <w:tcPr>
            <w:tcW w:w="1491" w:type="dxa"/>
            <w:tcBorders>
              <w:top w:val="nil"/>
              <w:bottom w:val="single" w:sz="4" w:space="0" w:color="auto"/>
            </w:tcBorders>
          </w:tcPr>
          <w:p w14:paraId="3BE78A8A" w14:textId="77777777" w:rsidR="00E915CC" w:rsidRPr="00F9224C" w:rsidRDefault="00E915CC" w:rsidP="008B6FAA">
            <w:r w:rsidRPr="00F9224C">
              <w:t>0.061524</w:t>
            </w:r>
          </w:p>
        </w:tc>
        <w:tc>
          <w:tcPr>
            <w:tcW w:w="1713" w:type="dxa"/>
            <w:gridSpan w:val="2"/>
            <w:tcBorders>
              <w:top w:val="nil"/>
              <w:bottom w:val="single" w:sz="4" w:space="0" w:color="auto"/>
            </w:tcBorders>
          </w:tcPr>
          <w:p w14:paraId="3CBAA3C1" w14:textId="77777777" w:rsidR="00E915CC" w:rsidRPr="00F9224C" w:rsidRDefault="00E915CC" w:rsidP="008B6FAA">
            <w:r w:rsidRPr="00F9224C">
              <w:t>-8.306041</w:t>
            </w:r>
          </w:p>
        </w:tc>
        <w:tc>
          <w:tcPr>
            <w:tcW w:w="1421" w:type="dxa"/>
            <w:tcBorders>
              <w:top w:val="nil"/>
              <w:bottom w:val="single" w:sz="4" w:space="0" w:color="auto"/>
              <w:right w:val="nil"/>
            </w:tcBorders>
          </w:tcPr>
          <w:p w14:paraId="5F28F1DD" w14:textId="77777777" w:rsidR="00E915CC" w:rsidRPr="00F9224C" w:rsidRDefault="00E915CC" w:rsidP="008B6FAA">
            <w:r w:rsidRPr="00F9224C">
              <w:t>0.0000</w:t>
            </w:r>
          </w:p>
        </w:tc>
      </w:tr>
      <w:tr w:rsidR="00E915CC" w:rsidRPr="00F9224C" w14:paraId="3C966E5B" w14:textId="77777777" w:rsidTr="00FB477C">
        <w:tc>
          <w:tcPr>
            <w:tcW w:w="9016" w:type="dxa"/>
            <w:gridSpan w:val="6"/>
            <w:tcBorders>
              <w:left w:val="nil"/>
              <w:bottom w:val="nil"/>
              <w:right w:val="nil"/>
            </w:tcBorders>
          </w:tcPr>
          <w:p w14:paraId="0D1A14A3" w14:textId="77777777" w:rsidR="00E915CC" w:rsidRPr="00F9224C" w:rsidRDefault="00E915CC" w:rsidP="008B6FAA"/>
        </w:tc>
      </w:tr>
      <w:tr w:rsidR="00E915CC" w:rsidRPr="00F9224C" w14:paraId="1FEBB3BB" w14:textId="77777777" w:rsidTr="00FB477C">
        <w:tc>
          <w:tcPr>
            <w:tcW w:w="2743" w:type="dxa"/>
            <w:tcBorders>
              <w:top w:val="nil"/>
              <w:left w:val="nil"/>
              <w:bottom w:val="nil"/>
            </w:tcBorders>
          </w:tcPr>
          <w:p w14:paraId="72147B49" w14:textId="77777777" w:rsidR="00E915CC" w:rsidRPr="00F9224C" w:rsidRDefault="00E915CC" w:rsidP="00C441C0">
            <w:r w:rsidRPr="00F9224C">
              <w:t>R-squared</w:t>
            </w:r>
          </w:p>
        </w:tc>
        <w:tc>
          <w:tcPr>
            <w:tcW w:w="1648" w:type="dxa"/>
            <w:tcBorders>
              <w:top w:val="nil"/>
              <w:bottom w:val="nil"/>
            </w:tcBorders>
          </w:tcPr>
          <w:p w14:paraId="16CAA4BF" w14:textId="77777777" w:rsidR="00E915CC" w:rsidRPr="00F9224C" w:rsidRDefault="00E915CC" w:rsidP="00C441C0">
            <w:r w:rsidRPr="00F9224C">
              <w:t>0.900652</w:t>
            </w:r>
          </w:p>
        </w:tc>
        <w:tc>
          <w:tcPr>
            <w:tcW w:w="2714" w:type="dxa"/>
            <w:gridSpan w:val="2"/>
            <w:tcBorders>
              <w:top w:val="nil"/>
              <w:bottom w:val="nil"/>
            </w:tcBorders>
          </w:tcPr>
          <w:p w14:paraId="771EE55C" w14:textId="77777777" w:rsidR="00E915CC" w:rsidRPr="00F9224C" w:rsidRDefault="00E915CC" w:rsidP="00C441C0">
            <w:r w:rsidRPr="00F9224C">
              <w:t>Mean dependent var</w:t>
            </w:r>
          </w:p>
        </w:tc>
        <w:tc>
          <w:tcPr>
            <w:tcW w:w="1911" w:type="dxa"/>
            <w:gridSpan w:val="2"/>
            <w:tcBorders>
              <w:top w:val="nil"/>
              <w:bottom w:val="nil"/>
              <w:right w:val="nil"/>
            </w:tcBorders>
          </w:tcPr>
          <w:p w14:paraId="7752008A" w14:textId="77777777" w:rsidR="00E915CC" w:rsidRPr="00F9224C" w:rsidRDefault="00E915CC" w:rsidP="00C441C0">
            <w:r w:rsidRPr="00F9224C">
              <w:t>0.005263</w:t>
            </w:r>
          </w:p>
        </w:tc>
      </w:tr>
      <w:tr w:rsidR="00E915CC" w:rsidRPr="00F9224C" w14:paraId="366B2B41" w14:textId="77777777" w:rsidTr="00FB477C">
        <w:tc>
          <w:tcPr>
            <w:tcW w:w="2743" w:type="dxa"/>
            <w:tcBorders>
              <w:top w:val="nil"/>
              <w:left w:val="nil"/>
              <w:bottom w:val="nil"/>
            </w:tcBorders>
          </w:tcPr>
          <w:p w14:paraId="305AE1AE" w14:textId="77777777" w:rsidR="00E915CC" w:rsidRPr="00F9224C" w:rsidRDefault="00E915CC" w:rsidP="00C441C0">
            <w:r w:rsidRPr="00F9224C">
              <w:t>Adjusted R-squared</w:t>
            </w:r>
          </w:p>
        </w:tc>
        <w:tc>
          <w:tcPr>
            <w:tcW w:w="1648" w:type="dxa"/>
            <w:tcBorders>
              <w:top w:val="nil"/>
              <w:bottom w:val="nil"/>
            </w:tcBorders>
          </w:tcPr>
          <w:p w14:paraId="29909466" w14:textId="77777777" w:rsidR="00E915CC" w:rsidRPr="00F9224C" w:rsidRDefault="00E915CC" w:rsidP="00C441C0">
            <w:r w:rsidRPr="00F9224C">
              <w:t>0.862441</w:t>
            </w:r>
          </w:p>
        </w:tc>
        <w:tc>
          <w:tcPr>
            <w:tcW w:w="2714" w:type="dxa"/>
            <w:gridSpan w:val="2"/>
            <w:tcBorders>
              <w:top w:val="nil"/>
              <w:bottom w:val="nil"/>
            </w:tcBorders>
          </w:tcPr>
          <w:p w14:paraId="2A99CBC5" w14:textId="77777777" w:rsidR="00E915CC" w:rsidRPr="00F9224C" w:rsidRDefault="00E915CC" w:rsidP="00C441C0">
            <w:r w:rsidRPr="00F9224C">
              <w:t>S.D. dependent var</w:t>
            </w:r>
          </w:p>
        </w:tc>
        <w:tc>
          <w:tcPr>
            <w:tcW w:w="1911" w:type="dxa"/>
            <w:gridSpan w:val="2"/>
            <w:tcBorders>
              <w:top w:val="nil"/>
              <w:bottom w:val="nil"/>
              <w:right w:val="nil"/>
            </w:tcBorders>
          </w:tcPr>
          <w:p w14:paraId="692B1FAD" w14:textId="77777777" w:rsidR="00E915CC" w:rsidRPr="00F9224C" w:rsidRDefault="00E915CC" w:rsidP="00C441C0">
            <w:r w:rsidRPr="00F9224C">
              <w:t>0.183738</w:t>
            </w:r>
          </w:p>
        </w:tc>
      </w:tr>
      <w:tr w:rsidR="00E915CC" w:rsidRPr="00F9224C" w14:paraId="52264307" w14:textId="77777777" w:rsidTr="00FB477C">
        <w:tc>
          <w:tcPr>
            <w:tcW w:w="2743" w:type="dxa"/>
            <w:tcBorders>
              <w:top w:val="nil"/>
              <w:left w:val="nil"/>
              <w:bottom w:val="nil"/>
            </w:tcBorders>
          </w:tcPr>
          <w:p w14:paraId="48673CAC" w14:textId="77777777" w:rsidR="00E915CC" w:rsidRPr="00F9224C" w:rsidRDefault="00E915CC" w:rsidP="00C441C0">
            <w:r w:rsidRPr="00F9224C">
              <w:t>S.E. of regression</w:t>
            </w:r>
          </w:p>
        </w:tc>
        <w:tc>
          <w:tcPr>
            <w:tcW w:w="1648" w:type="dxa"/>
            <w:tcBorders>
              <w:top w:val="nil"/>
              <w:bottom w:val="nil"/>
            </w:tcBorders>
          </w:tcPr>
          <w:p w14:paraId="3B8F6714" w14:textId="77777777" w:rsidR="00E915CC" w:rsidRPr="00F9224C" w:rsidRDefault="00E915CC" w:rsidP="00C441C0">
            <w:r w:rsidRPr="00F9224C">
              <w:t>0.068146</w:t>
            </w:r>
          </w:p>
        </w:tc>
        <w:tc>
          <w:tcPr>
            <w:tcW w:w="2714" w:type="dxa"/>
            <w:gridSpan w:val="2"/>
            <w:tcBorders>
              <w:top w:val="nil"/>
              <w:bottom w:val="nil"/>
            </w:tcBorders>
          </w:tcPr>
          <w:p w14:paraId="077246E1" w14:textId="77777777" w:rsidR="00E915CC" w:rsidRPr="00F9224C" w:rsidRDefault="00E915CC" w:rsidP="00C441C0">
            <w:r w:rsidRPr="00F9224C">
              <w:t>Akaike info criterion</w:t>
            </w:r>
          </w:p>
        </w:tc>
        <w:tc>
          <w:tcPr>
            <w:tcW w:w="1911" w:type="dxa"/>
            <w:gridSpan w:val="2"/>
            <w:tcBorders>
              <w:top w:val="nil"/>
              <w:bottom w:val="nil"/>
              <w:right w:val="nil"/>
            </w:tcBorders>
          </w:tcPr>
          <w:p w14:paraId="4615ECB2" w14:textId="77777777" w:rsidR="00E915CC" w:rsidRPr="00F9224C" w:rsidRDefault="00E915CC" w:rsidP="00C441C0">
            <w:r w:rsidRPr="00F9224C">
              <w:t>-2.282228</w:t>
            </w:r>
          </w:p>
        </w:tc>
      </w:tr>
      <w:tr w:rsidR="00E915CC" w:rsidRPr="00F9224C" w14:paraId="731816C6" w14:textId="77777777" w:rsidTr="00FB477C">
        <w:tc>
          <w:tcPr>
            <w:tcW w:w="2743" w:type="dxa"/>
            <w:tcBorders>
              <w:top w:val="nil"/>
              <w:left w:val="nil"/>
              <w:bottom w:val="nil"/>
            </w:tcBorders>
          </w:tcPr>
          <w:p w14:paraId="20E63FA2" w14:textId="5E1EED5F" w:rsidR="00E915CC" w:rsidRPr="00F9224C" w:rsidRDefault="00E915CC" w:rsidP="00C441C0">
            <w:r w:rsidRPr="00F9224C">
              <w:lastRenderedPageBreak/>
              <w:t>Sum squared resid</w:t>
            </w:r>
            <w:r w:rsidR="00FB477C" w:rsidRPr="00F9224C">
              <w:t>ual</w:t>
            </w:r>
          </w:p>
        </w:tc>
        <w:tc>
          <w:tcPr>
            <w:tcW w:w="1648" w:type="dxa"/>
            <w:tcBorders>
              <w:top w:val="nil"/>
              <w:bottom w:val="nil"/>
            </w:tcBorders>
          </w:tcPr>
          <w:p w14:paraId="3C23E665" w14:textId="77777777" w:rsidR="00E915CC" w:rsidRPr="00F9224C" w:rsidRDefault="00E915CC" w:rsidP="00C441C0">
            <w:r w:rsidRPr="00F9224C">
              <w:t>0.060371</w:t>
            </w:r>
          </w:p>
        </w:tc>
        <w:tc>
          <w:tcPr>
            <w:tcW w:w="2714" w:type="dxa"/>
            <w:gridSpan w:val="2"/>
            <w:tcBorders>
              <w:top w:val="nil"/>
              <w:bottom w:val="nil"/>
            </w:tcBorders>
          </w:tcPr>
          <w:p w14:paraId="484A818A" w14:textId="77777777" w:rsidR="00E915CC" w:rsidRPr="00F9224C" w:rsidRDefault="00E915CC" w:rsidP="00C441C0">
            <w:r w:rsidRPr="00F9224C">
              <w:t>Schwarz criterion</w:t>
            </w:r>
          </w:p>
        </w:tc>
        <w:tc>
          <w:tcPr>
            <w:tcW w:w="1911" w:type="dxa"/>
            <w:gridSpan w:val="2"/>
            <w:tcBorders>
              <w:top w:val="nil"/>
              <w:bottom w:val="nil"/>
              <w:right w:val="nil"/>
            </w:tcBorders>
          </w:tcPr>
          <w:p w14:paraId="6D586498" w14:textId="77777777" w:rsidR="00E915CC" w:rsidRPr="00F9224C" w:rsidRDefault="00E915CC" w:rsidP="00C441C0">
            <w:r w:rsidRPr="00F9224C">
              <w:t>-1.983984</w:t>
            </w:r>
          </w:p>
        </w:tc>
      </w:tr>
      <w:tr w:rsidR="00E915CC" w:rsidRPr="00F9224C" w14:paraId="1DA80541" w14:textId="77777777" w:rsidTr="00FB477C">
        <w:tc>
          <w:tcPr>
            <w:tcW w:w="2743" w:type="dxa"/>
            <w:tcBorders>
              <w:top w:val="nil"/>
              <w:left w:val="nil"/>
              <w:bottom w:val="nil"/>
            </w:tcBorders>
          </w:tcPr>
          <w:p w14:paraId="7E2E97FF" w14:textId="77777777" w:rsidR="00E915CC" w:rsidRPr="00F9224C" w:rsidRDefault="00E915CC" w:rsidP="00C441C0">
            <w:r w:rsidRPr="00F9224C">
              <w:t>Log likelihood</w:t>
            </w:r>
          </w:p>
        </w:tc>
        <w:tc>
          <w:tcPr>
            <w:tcW w:w="1648" w:type="dxa"/>
            <w:tcBorders>
              <w:top w:val="nil"/>
              <w:bottom w:val="nil"/>
            </w:tcBorders>
          </w:tcPr>
          <w:p w14:paraId="5C8A0B65" w14:textId="77777777" w:rsidR="00E915CC" w:rsidRPr="00F9224C" w:rsidRDefault="00E915CC" w:rsidP="00C441C0">
            <w:r w:rsidRPr="00F9224C">
              <w:t>27.68116</w:t>
            </w:r>
          </w:p>
        </w:tc>
        <w:tc>
          <w:tcPr>
            <w:tcW w:w="2714" w:type="dxa"/>
            <w:gridSpan w:val="2"/>
            <w:tcBorders>
              <w:top w:val="nil"/>
              <w:bottom w:val="nil"/>
            </w:tcBorders>
          </w:tcPr>
          <w:p w14:paraId="36E401FA" w14:textId="390CCBF4" w:rsidR="00E915CC" w:rsidRPr="00F9224C" w:rsidRDefault="00E915CC" w:rsidP="00C441C0">
            <w:r w:rsidRPr="00F9224C">
              <w:t>Hannan-Quinn crite</w:t>
            </w:r>
            <w:r w:rsidR="00FB477C" w:rsidRPr="00F9224C">
              <w:t>rion</w:t>
            </w:r>
          </w:p>
        </w:tc>
        <w:tc>
          <w:tcPr>
            <w:tcW w:w="1911" w:type="dxa"/>
            <w:gridSpan w:val="2"/>
            <w:tcBorders>
              <w:top w:val="nil"/>
              <w:bottom w:val="nil"/>
              <w:right w:val="nil"/>
            </w:tcBorders>
          </w:tcPr>
          <w:p w14:paraId="642C96F4" w14:textId="77777777" w:rsidR="00E915CC" w:rsidRPr="00F9224C" w:rsidRDefault="00E915CC" w:rsidP="00C441C0">
            <w:r w:rsidRPr="00F9224C">
              <w:t>-2.231753</w:t>
            </w:r>
          </w:p>
        </w:tc>
      </w:tr>
      <w:tr w:rsidR="00E915CC" w:rsidRPr="00F9224C" w14:paraId="7886DF05" w14:textId="77777777" w:rsidTr="00FB477C">
        <w:tc>
          <w:tcPr>
            <w:tcW w:w="2743" w:type="dxa"/>
            <w:tcBorders>
              <w:top w:val="nil"/>
              <w:left w:val="nil"/>
            </w:tcBorders>
          </w:tcPr>
          <w:p w14:paraId="51DE56B2" w14:textId="77777777" w:rsidR="00E915CC" w:rsidRPr="00F9224C" w:rsidRDefault="00E915CC" w:rsidP="00C441C0">
            <w:r w:rsidRPr="00F9224C">
              <w:t>Durbin-Watson stat</w:t>
            </w:r>
          </w:p>
        </w:tc>
        <w:tc>
          <w:tcPr>
            <w:tcW w:w="1648" w:type="dxa"/>
            <w:tcBorders>
              <w:top w:val="nil"/>
            </w:tcBorders>
          </w:tcPr>
          <w:p w14:paraId="59B0BA76" w14:textId="77777777" w:rsidR="00E915CC" w:rsidRPr="00F9224C" w:rsidRDefault="00E915CC" w:rsidP="00C441C0">
            <w:r w:rsidRPr="00F9224C">
              <w:t>2.633285</w:t>
            </w:r>
          </w:p>
        </w:tc>
        <w:tc>
          <w:tcPr>
            <w:tcW w:w="2714" w:type="dxa"/>
            <w:gridSpan w:val="2"/>
            <w:tcBorders>
              <w:top w:val="nil"/>
            </w:tcBorders>
          </w:tcPr>
          <w:p w14:paraId="6BEE2BDD" w14:textId="77777777" w:rsidR="00E915CC" w:rsidRPr="00F9224C" w:rsidRDefault="00E915CC" w:rsidP="00C441C0"/>
        </w:tc>
        <w:tc>
          <w:tcPr>
            <w:tcW w:w="1911" w:type="dxa"/>
            <w:gridSpan w:val="2"/>
            <w:tcBorders>
              <w:top w:val="nil"/>
              <w:right w:val="nil"/>
            </w:tcBorders>
          </w:tcPr>
          <w:p w14:paraId="2B15A5D0" w14:textId="77777777" w:rsidR="00E915CC" w:rsidRPr="00F9224C" w:rsidRDefault="00E915CC" w:rsidP="00C441C0"/>
        </w:tc>
      </w:tr>
    </w:tbl>
    <w:p w14:paraId="03768522" w14:textId="641F81B8" w:rsidR="00EB27D9" w:rsidRPr="00F9224C" w:rsidRDefault="00EB27D9" w:rsidP="00273559">
      <w:pPr>
        <w:spacing w:line="360" w:lineRule="auto"/>
        <w:jc w:val="both"/>
        <w:rPr>
          <w:b/>
          <w:u w:val="thick"/>
        </w:rPr>
      </w:pPr>
    </w:p>
    <w:p w14:paraId="7247AE2E" w14:textId="64143A68" w:rsidR="00B86FA9" w:rsidRPr="00F9224C" w:rsidRDefault="00255174" w:rsidP="00255174">
      <w:pPr>
        <w:spacing w:line="360" w:lineRule="auto"/>
        <w:jc w:val="both"/>
      </w:pPr>
      <w:r w:rsidRPr="00F9224C">
        <w:t xml:space="preserve">Table </w:t>
      </w:r>
      <w:r w:rsidR="00AF086C">
        <w:t>4</w:t>
      </w:r>
      <w:r w:rsidR="00B86FA9" w:rsidRPr="00F9224C">
        <w:t xml:space="preserve"> </w:t>
      </w:r>
      <w:r w:rsidRPr="00F9224C">
        <w:t>shows the ECM estimation, which provides strong evidence of a stable long-run relationship, as demonstrated by the negative and highly significant error correction term (–0.511, p &lt; 0.001). The coefficient indicates that nearly 51 percent of short-term disequilibria in suicide rates are corrected within a single period, confirming a relatively rapid adjustment toward equilibrium. Moreover, the high explanatory power of the model (Adj. R² = 0.862) reinforces the reliability and robustness of these results. There is no autocorrelation in the residuals, according to the Durbin-Watson statistic, which is 2.633285. The model has a high R-squared value of 0.90, which demonstrates that it is a strong match.</w:t>
      </w:r>
    </w:p>
    <w:p w14:paraId="59E038B5" w14:textId="77777777" w:rsidR="00B86FA9" w:rsidRPr="00F9224C" w:rsidRDefault="00B86FA9" w:rsidP="00255174">
      <w:pPr>
        <w:spacing w:line="360" w:lineRule="auto"/>
        <w:jc w:val="both"/>
      </w:pPr>
    </w:p>
    <w:p w14:paraId="3375C9B1" w14:textId="77777777" w:rsidR="00255174" w:rsidRPr="00F9224C" w:rsidRDefault="00255174" w:rsidP="00255174">
      <w:pPr>
        <w:spacing w:line="360" w:lineRule="auto"/>
        <w:jc w:val="both"/>
      </w:pPr>
      <w:r w:rsidRPr="00F9224C">
        <w:t xml:space="preserve">Diagnostic Checking </w:t>
      </w:r>
    </w:p>
    <w:p w14:paraId="48C75568" w14:textId="77777777" w:rsidR="00255174" w:rsidRPr="00F9224C" w:rsidRDefault="00255174" w:rsidP="00255174">
      <w:pPr>
        <w:spacing w:line="360" w:lineRule="auto"/>
        <w:jc w:val="both"/>
      </w:pPr>
      <w:r w:rsidRPr="00F9224C">
        <w:t>1. Normality Test: For diagnostic testing, we first apply the Jarque-Bera normality test:</w:t>
      </w:r>
    </w:p>
    <w:p w14:paraId="27C06DBA" w14:textId="1C3E320B" w:rsidR="00255174" w:rsidRPr="00F9224C" w:rsidRDefault="00255174" w:rsidP="00273559">
      <w:pPr>
        <w:spacing w:line="360" w:lineRule="auto"/>
        <w:jc w:val="both"/>
      </w:pPr>
    </w:p>
    <w:p w14:paraId="19128FB0" w14:textId="781F158C" w:rsidR="00255174" w:rsidRPr="00F9224C" w:rsidRDefault="00255174" w:rsidP="00273559">
      <w:pPr>
        <w:spacing w:line="360" w:lineRule="auto"/>
        <w:jc w:val="both"/>
      </w:pPr>
    </w:p>
    <w:p w14:paraId="5B8A880E" w14:textId="6C926603" w:rsidR="00255174" w:rsidRPr="00F9224C" w:rsidRDefault="00255174" w:rsidP="00273559">
      <w:pPr>
        <w:spacing w:line="360" w:lineRule="auto"/>
        <w:jc w:val="both"/>
        <w:rPr>
          <w:b/>
          <w:u w:val="thick"/>
        </w:rPr>
      </w:pPr>
    </w:p>
    <w:p w14:paraId="476074A1" w14:textId="5A6721EC" w:rsidR="00255174" w:rsidRPr="00F9224C" w:rsidRDefault="00255174" w:rsidP="00273559">
      <w:pPr>
        <w:spacing w:line="360" w:lineRule="auto"/>
        <w:jc w:val="both"/>
        <w:rPr>
          <w:b/>
          <w:u w:val="thick"/>
        </w:rPr>
      </w:pPr>
    </w:p>
    <w:p w14:paraId="418D47FB" w14:textId="77777777" w:rsidR="00255174" w:rsidRPr="00F9224C" w:rsidRDefault="00255174" w:rsidP="00273559">
      <w:pPr>
        <w:spacing w:line="360" w:lineRule="auto"/>
        <w:jc w:val="both"/>
        <w:rPr>
          <w:b/>
          <w:u w:val="thick"/>
        </w:rPr>
      </w:pPr>
    </w:p>
    <w:p w14:paraId="2A10E805" w14:textId="767E4299" w:rsidR="00EB27D9" w:rsidRPr="00F9224C" w:rsidRDefault="00522005" w:rsidP="00273559">
      <w:pPr>
        <w:spacing w:line="360" w:lineRule="auto"/>
        <w:jc w:val="both"/>
        <w:rPr>
          <w:b/>
          <w:u w:val="thick"/>
        </w:rPr>
      </w:pPr>
      <w:r w:rsidRPr="00F9224C">
        <w:rPr>
          <w:b/>
          <w:noProof/>
          <w:u w:val="thick"/>
        </w:rPr>
        <w:drawing>
          <wp:inline distT="0" distB="0" distL="0" distR="0" wp14:anchorId="0AF85698" wp14:editId="049ED4C0">
            <wp:extent cx="5943600" cy="2470262"/>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2470262"/>
                    </a:xfrm>
                    <a:prstGeom prst="rect">
                      <a:avLst/>
                    </a:prstGeom>
                    <a:noFill/>
                    <a:ln>
                      <a:noFill/>
                    </a:ln>
                  </pic:spPr>
                </pic:pic>
              </a:graphicData>
            </a:graphic>
          </wp:inline>
        </w:drawing>
      </w:r>
    </w:p>
    <w:p w14:paraId="4A33E3B1" w14:textId="117429CE" w:rsidR="00B86FA9" w:rsidRPr="00F9224C" w:rsidRDefault="00B86FA9" w:rsidP="00255174">
      <w:pPr>
        <w:spacing w:line="360" w:lineRule="auto"/>
        <w:jc w:val="both"/>
      </w:pPr>
      <w:r w:rsidRPr="00F9224C">
        <w:t xml:space="preserve">                                             Figure:</w:t>
      </w:r>
      <w:r w:rsidR="0053103A">
        <w:t xml:space="preserve"> </w:t>
      </w:r>
      <w:r w:rsidRPr="00F9224C">
        <w:t xml:space="preserve">3 </w:t>
      </w:r>
      <w:proofErr w:type="spellStart"/>
      <w:r w:rsidRPr="00F9224C">
        <w:t>Jarque-Bera</w:t>
      </w:r>
      <w:proofErr w:type="spellEnd"/>
      <w:r w:rsidRPr="00F9224C">
        <w:t xml:space="preserve"> Normality Test</w:t>
      </w:r>
    </w:p>
    <w:p w14:paraId="3FE2E704" w14:textId="77777777" w:rsidR="00B86FA9" w:rsidRPr="00F9224C" w:rsidRDefault="00B86FA9" w:rsidP="00255174">
      <w:pPr>
        <w:spacing w:line="360" w:lineRule="auto"/>
        <w:jc w:val="both"/>
      </w:pPr>
    </w:p>
    <w:p w14:paraId="0256CE6C" w14:textId="43B2DD5C" w:rsidR="00255174" w:rsidRPr="00F9224C" w:rsidRDefault="00255174" w:rsidP="00255174">
      <w:pPr>
        <w:spacing w:line="360" w:lineRule="auto"/>
        <w:jc w:val="both"/>
      </w:pPr>
      <w:r w:rsidRPr="00F9224C">
        <w:t xml:space="preserve">The Jarque-Bera Normality Test yielded a probability of 0.393327 at the 5% level, which is not statistically significant, as shown in Figure 3. This probability was acquired via the test. </w:t>
      </w:r>
      <w:r w:rsidRPr="00F9224C">
        <w:lastRenderedPageBreak/>
        <w:t xml:space="preserve">Because of this, the null hypothesis, which asserts that the residuals follow a normal distribution, would be accepted in this particular instance. </w:t>
      </w:r>
    </w:p>
    <w:p w14:paraId="0B07E1FD" w14:textId="5739A407" w:rsidR="00EB27D9" w:rsidRPr="00F9224C" w:rsidRDefault="00255174" w:rsidP="00255174">
      <w:pPr>
        <w:spacing w:line="360" w:lineRule="auto"/>
        <w:jc w:val="both"/>
      </w:pPr>
      <w:r w:rsidRPr="00F9224C">
        <w:t>2. Serial Correlation Test: In the second step of the process, we analyze the ARDL (2, 2, 0, 2) model using the Breusch-Godfrey Serial Correlation LM Test.</w:t>
      </w:r>
    </w:p>
    <w:p w14:paraId="57DD27DD" w14:textId="77B1AAE5" w:rsidR="00EB27D9" w:rsidRPr="00F9224C" w:rsidRDefault="00B86FA9" w:rsidP="00273559">
      <w:pPr>
        <w:spacing w:line="360" w:lineRule="auto"/>
        <w:jc w:val="both"/>
        <w:rPr>
          <w:b/>
        </w:rPr>
      </w:pPr>
      <w:r w:rsidRPr="00F9224C">
        <w:rPr>
          <w:b/>
        </w:rPr>
        <w:t xml:space="preserve">Table </w:t>
      </w:r>
      <w:r w:rsidR="00AF086C">
        <w:rPr>
          <w:b/>
        </w:rPr>
        <w:t>5</w:t>
      </w:r>
      <w:r w:rsidRPr="00F9224C">
        <w:rPr>
          <w:b/>
        </w:rPr>
        <w:t>. Serial Correlation LM test</w:t>
      </w:r>
    </w:p>
    <w:tbl>
      <w:tblPr>
        <w:tblStyle w:val="TableGrid"/>
        <w:tblpPr w:leftFromText="180" w:rightFromText="180" w:vertAnchor="text" w:horzAnchor="margin" w:tblpY="168"/>
        <w:tblW w:w="0" w:type="auto"/>
        <w:tblBorders>
          <w:left w:val="none" w:sz="0" w:space="0" w:color="auto"/>
          <w:bottom w:val="single" w:sz="8" w:space="0" w:color="auto"/>
          <w:right w:val="none" w:sz="0" w:space="0" w:color="auto"/>
          <w:insideH w:val="single" w:sz="8" w:space="0" w:color="auto"/>
          <w:insideV w:val="none" w:sz="0" w:space="0" w:color="auto"/>
        </w:tblBorders>
        <w:tblLook w:val="04A0" w:firstRow="1" w:lastRow="0" w:firstColumn="1" w:lastColumn="0" w:noHBand="0" w:noVBand="1"/>
      </w:tblPr>
      <w:tblGrid>
        <w:gridCol w:w="2253"/>
        <w:gridCol w:w="2262"/>
        <w:gridCol w:w="2263"/>
        <w:gridCol w:w="2248"/>
      </w:tblGrid>
      <w:tr w:rsidR="0085076B" w:rsidRPr="00F9224C" w14:paraId="3750CC29" w14:textId="77777777" w:rsidTr="0085076B">
        <w:tc>
          <w:tcPr>
            <w:tcW w:w="9026" w:type="dxa"/>
            <w:gridSpan w:val="4"/>
          </w:tcPr>
          <w:p w14:paraId="33971855" w14:textId="77777777" w:rsidR="0085076B" w:rsidRPr="00F9224C" w:rsidRDefault="0085076B" w:rsidP="0085076B">
            <w:pPr>
              <w:spacing w:line="360" w:lineRule="auto"/>
              <w:jc w:val="center"/>
              <w:rPr>
                <w:b/>
              </w:rPr>
            </w:pPr>
            <w:r w:rsidRPr="00F9224C">
              <w:rPr>
                <w:b/>
              </w:rPr>
              <w:t xml:space="preserve">Breusch-Godfrey </w:t>
            </w:r>
            <w:bookmarkStart w:id="6" w:name="_Hlk208958789"/>
            <w:r w:rsidRPr="00F9224C">
              <w:rPr>
                <w:b/>
              </w:rPr>
              <w:t>Serial Correlation LM test</w:t>
            </w:r>
            <w:bookmarkEnd w:id="6"/>
          </w:p>
          <w:p w14:paraId="468D5709" w14:textId="77777777" w:rsidR="0085076B" w:rsidRPr="00F9224C" w:rsidRDefault="0085076B" w:rsidP="0085076B">
            <w:pPr>
              <w:spacing w:line="360" w:lineRule="auto"/>
              <w:jc w:val="center"/>
              <w:rPr>
                <w:b/>
              </w:rPr>
            </w:pPr>
            <w:r w:rsidRPr="00F9224C">
              <w:rPr>
                <w:b/>
              </w:rPr>
              <w:t>Null Hypothesis: No serial correlation at up to 2 lags</w:t>
            </w:r>
          </w:p>
        </w:tc>
      </w:tr>
      <w:tr w:rsidR="0085076B" w:rsidRPr="00F9224C" w14:paraId="432C895C" w14:textId="77777777" w:rsidTr="0085076B">
        <w:tc>
          <w:tcPr>
            <w:tcW w:w="2253" w:type="dxa"/>
          </w:tcPr>
          <w:p w14:paraId="31B51D35" w14:textId="77777777" w:rsidR="0085076B" w:rsidRPr="00F9224C" w:rsidRDefault="0085076B" w:rsidP="0085076B">
            <w:pPr>
              <w:spacing w:before="240" w:line="480" w:lineRule="auto"/>
              <w:jc w:val="center"/>
            </w:pPr>
            <w:r w:rsidRPr="00F9224C">
              <w:t>F- statistic</w:t>
            </w:r>
          </w:p>
        </w:tc>
        <w:tc>
          <w:tcPr>
            <w:tcW w:w="2262" w:type="dxa"/>
          </w:tcPr>
          <w:p w14:paraId="0C2E4BB4" w14:textId="77777777" w:rsidR="0085076B" w:rsidRPr="00F9224C" w:rsidRDefault="0085076B" w:rsidP="0085076B">
            <w:pPr>
              <w:spacing w:before="240" w:line="480" w:lineRule="auto"/>
              <w:jc w:val="center"/>
            </w:pPr>
            <w:r w:rsidRPr="00F9224C">
              <w:t>1.546559</w:t>
            </w:r>
          </w:p>
        </w:tc>
        <w:tc>
          <w:tcPr>
            <w:tcW w:w="2263" w:type="dxa"/>
          </w:tcPr>
          <w:p w14:paraId="671AFCDF" w14:textId="77777777" w:rsidR="0085076B" w:rsidRPr="00F9224C" w:rsidRDefault="0085076B" w:rsidP="0085076B">
            <w:pPr>
              <w:spacing w:before="240" w:line="480" w:lineRule="auto"/>
              <w:jc w:val="center"/>
            </w:pPr>
            <w:r w:rsidRPr="00F9224C">
              <w:t>Prob F (2,7)</w:t>
            </w:r>
          </w:p>
        </w:tc>
        <w:tc>
          <w:tcPr>
            <w:tcW w:w="2248" w:type="dxa"/>
          </w:tcPr>
          <w:p w14:paraId="1163F7F7" w14:textId="77777777" w:rsidR="0085076B" w:rsidRPr="00F9224C" w:rsidRDefault="0085076B" w:rsidP="0085076B">
            <w:pPr>
              <w:spacing w:before="240" w:line="480" w:lineRule="auto"/>
              <w:jc w:val="center"/>
            </w:pPr>
            <w:r w:rsidRPr="00F9224C">
              <w:t>0.2778</w:t>
            </w:r>
          </w:p>
        </w:tc>
      </w:tr>
      <w:tr w:rsidR="0085076B" w:rsidRPr="00F9224C" w14:paraId="29D55E2A" w14:textId="77777777" w:rsidTr="0085076B">
        <w:tc>
          <w:tcPr>
            <w:tcW w:w="2253" w:type="dxa"/>
          </w:tcPr>
          <w:p w14:paraId="1E9E64F7" w14:textId="77777777" w:rsidR="0085076B" w:rsidRPr="00F9224C" w:rsidRDefault="0085076B" w:rsidP="0085076B">
            <w:pPr>
              <w:spacing w:before="240" w:line="480" w:lineRule="auto"/>
              <w:jc w:val="center"/>
            </w:pPr>
            <w:proofErr w:type="spellStart"/>
            <w:r w:rsidRPr="00F9224C">
              <w:t>Obs</w:t>
            </w:r>
            <w:proofErr w:type="spellEnd"/>
            <w:r w:rsidRPr="00F9224C">
              <w:t>*R-squared</w:t>
            </w:r>
          </w:p>
        </w:tc>
        <w:tc>
          <w:tcPr>
            <w:tcW w:w="2262" w:type="dxa"/>
          </w:tcPr>
          <w:p w14:paraId="3D9429B4" w14:textId="77777777" w:rsidR="0085076B" w:rsidRPr="00F9224C" w:rsidRDefault="0085076B" w:rsidP="0085076B">
            <w:pPr>
              <w:spacing w:before="240" w:line="480" w:lineRule="auto"/>
              <w:jc w:val="center"/>
            </w:pPr>
            <w:r w:rsidRPr="00F9224C">
              <w:t>5.822705</w:t>
            </w:r>
          </w:p>
        </w:tc>
        <w:tc>
          <w:tcPr>
            <w:tcW w:w="2263" w:type="dxa"/>
          </w:tcPr>
          <w:p w14:paraId="7810AD49" w14:textId="77777777" w:rsidR="0085076B" w:rsidRPr="00F9224C" w:rsidRDefault="0085076B" w:rsidP="0085076B">
            <w:pPr>
              <w:spacing w:before="240" w:line="480" w:lineRule="auto"/>
              <w:jc w:val="center"/>
            </w:pPr>
            <w:r w:rsidRPr="00F9224C">
              <w:t>Prob Chi-square(2)</w:t>
            </w:r>
          </w:p>
        </w:tc>
        <w:tc>
          <w:tcPr>
            <w:tcW w:w="2248" w:type="dxa"/>
          </w:tcPr>
          <w:p w14:paraId="32D4D3FD" w14:textId="77777777" w:rsidR="0085076B" w:rsidRPr="00F9224C" w:rsidRDefault="0085076B" w:rsidP="0085076B">
            <w:pPr>
              <w:spacing w:before="240" w:line="480" w:lineRule="auto"/>
              <w:jc w:val="center"/>
            </w:pPr>
            <w:r w:rsidRPr="00F9224C">
              <w:t>0.0544</w:t>
            </w:r>
          </w:p>
        </w:tc>
      </w:tr>
    </w:tbl>
    <w:p w14:paraId="27E3E13B" w14:textId="64893B0C" w:rsidR="00EB27D9" w:rsidRPr="00F9224C" w:rsidRDefault="00EB27D9" w:rsidP="00273559">
      <w:pPr>
        <w:spacing w:line="360" w:lineRule="auto"/>
        <w:jc w:val="both"/>
        <w:rPr>
          <w:b/>
          <w:u w:val="thick"/>
        </w:rPr>
      </w:pPr>
    </w:p>
    <w:p w14:paraId="5A0FE9CE" w14:textId="791700AE" w:rsidR="00255174" w:rsidRPr="00F9224C" w:rsidRDefault="00255174" w:rsidP="00255174">
      <w:pPr>
        <w:spacing w:line="360" w:lineRule="auto"/>
        <w:jc w:val="both"/>
      </w:pPr>
      <w:r w:rsidRPr="00F9224C">
        <w:t>Table</w:t>
      </w:r>
      <w:r w:rsidR="00B86FA9" w:rsidRPr="00F9224C">
        <w:t xml:space="preserve"> </w:t>
      </w:r>
      <w:r w:rsidR="00AF086C">
        <w:t>5</w:t>
      </w:r>
      <w:r w:rsidR="00B86FA9" w:rsidRPr="00F9224C">
        <w:t xml:space="preserve"> </w:t>
      </w:r>
      <w:r w:rsidRPr="00F9224C">
        <w:t xml:space="preserve">presents the results of the Breusch-Godfrey Serial Correlation LM Test. This test may identify serial correlation at delays of up to two degrees. According to the outcomes of this test, the F-statistic value is 1.546559, and the </w:t>
      </w:r>
      <w:proofErr w:type="spellStart"/>
      <w:r w:rsidRPr="00F9224C">
        <w:t>Obs</w:t>
      </w:r>
      <w:proofErr w:type="spellEnd"/>
      <w:r w:rsidRPr="00F9224C">
        <w:t xml:space="preserve">*R-squared value is 5.822705; both of these values have high p-values (0.2778 and 0.0544), suggesting that they are more than 0.05. Although we have reached the conclusion that the residuals do not exhibit any serial correlation, which is an indication that the model does not exhibit any autocorrelation, we have decided </w:t>
      </w:r>
      <w:r w:rsidRPr="00EB6826">
        <w:rPr>
          <w:highlight w:val="yellow"/>
        </w:rPr>
        <w:t xml:space="preserve">to </w:t>
      </w:r>
      <w:r w:rsidR="00EB6826" w:rsidRPr="00EB6826">
        <w:rPr>
          <w:highlight w:val="yellow"/>
        </w:rPr>
        <w:t xml:space="preserve">fail to reject </w:t>
      </w:r>
      <w:r w:rsidRPr="00EB6826">
        <w:rPr>
          <w:highlight w:val="yellow"/>
        </w:rPr>
        <w:t>the null hypothesis</w:t>
      </w:r>
      <w:r w:rsidRPr="00F9224C">
        <w:t xml:space="preserve">. </w:t>
      </w:r>
    </w:p>
    <w:p w14:paraId="61818490" w14:textId="77777777" w:rsidR="00B86FA9" w:rsidRPr="00F9224C" w:rsidRDefault="00B86FA9" w:rsidP="00255174">
      <w:pPr>
        <w:spacing w:line="360" w:lineRule="auto"/>
        <w:jc w:val="both"/>
      </w:pPr>
    </w:p>
    <w:p w14:paraId="2C9405CC" w14:textId="2F896864" w:rsidR="0058036C" w:rsidRPr="00F9224C" w:rsidRDefault="00255174" w:rsidP="00255174">
      <w:pPr>
        <w:spacing w:line="360" w:lineRule="auto"/>
        <w:jc w:val="both"/>
      </w:pPr>
      <w:r w:rsidRPr="00F9224C">
        <w:t>3. Heteroskedasticity Test: Thirdly, the ARCH Heteroskedasticity Test is developed and used for the ARDL (2,2,0,2) Model.</w:t>
      </w:r>
    </w:p>
    <w:p w14:paraId="61B97685" w14:textId="213878EC" w:rsidR="00C72287" w:rsidRPr="00F9224C" w:rsidRDefault="00B86FA9" w:rsidP="00FA191F">
      <w:pPr>
        <w:pStyle w:val="NormalWeb"/>
        <w:spacing w:line="360" w:lineRule="auto"/>
        <w:jc w:val="both"/>
      </w:pPr>
      <w:r w:rsidRPr="00F9224C">
        <w:rPr>
          <w:b/>
        </w:rPr>
        <w:t>Table</w:t>
      </w:r>
      <w:r w:rsidR="00AF086C">
        <w:rPr>
          <w:b/>
        </w:rPr>
        <w:t xml:space="preserve"> 6</w:t>
      </w:r>
      <w:r w:rsidRPr="00F9224C">
        <w:rPr>
          <w:b/>
        </w:rPr>
        <w:t>. Heteroskedasticity test</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265"/>
        <w:gridCol w:w="2263"/>
        <w:gridCol w:w="2248"/>
        <w:gridCol w:w="2250"/>
      </w:tblGrid>
      <w:tr w:rsidR="00A8019A" w:rsidRPr="00F9224C" w14:paraId="2F47D8CE" w14:textId="77777777" w:rsidTr="00AC7204">
        <w:tc>
          <w:tcPr>
            <w:tcW w:w="9350" w:type="dxa"/>
            <w:gridSpan w:val="4"/>
          </w:tcPr>
          <w:p w14:paraId="300200FE" w14:textId="77777777" w:rsidR="00DC6922" w:rsidRPr="00F9224C" w:rsidRDefault="00DC6922" w:rsidP="00DC6922">
            <w:pPr>
              <w:jc w:val="center"/>
              <w:rPr>
                <w:b/>
              </w:rPr>
            </w:pPr>
          </w:p>
          <w:p w14:paraId="2E0276DE" w14:textId="2268F815" w:rsidR="00DC6922" w:rsidRPr="00F9224C" w:rsidRDefault="00A8019A" w:rsidP="00DC6922">
            <w:pPr>
              <w:jc w:val="center"/>
              <w:rPr>
                <w:b/>
              </w:rPr>
            </w:pPr>
            <w:bookmarkStart w:id="7" w:name="_Hlk208958858"/>
            <w:r w:rsidRPr="00F9224C">
              <w:rPr>
                <w:b/>
              </w:rPr>
              <w:t>Heteroskedasticity test</w:t>
            </w:r>
            <w:bookmarkEnd w:id="7"/>
            <w:r w:rsidRPr="00F9224C">
              <w:rPr>
                <w:b/>
              </w:rPr>
              <w:t>: Breusch -pagan-Godfrey</w:t>
            </w:r>
          </w:p>
          <w:p w14:paraId="240301CE" w14:textId="77777777" w:rsidR="00A8019A" w:rsidRPr="00F9224C" w:rsidRDefault="00A8019A" w:rsidP="00DC6922">
            <w:pPr>
              <w:jc w:val="center"/>
              <w:rPr>
                <w:b/>
              </w:rPr>
            </w:pPr>
            <w:r w:rsidRPr="00F9224C">
              <w:rPr>
                <w:b/>
              </w:rPr>
              <w:t>Null hypothesis: Homoskedasticity</w:t>
            </w:r>
          </w:p>
          <w:p w14:paraId="20F69892" w14:textId="00504F68" w:rsidR="00DC6922" w:rsidRPr="00F9224C" w:rsidRDefault="00DC6922" w:rsidP="00DC6922">
            <w:pPr>
              <w:jc w:val="center"/>
              <w:rPr>
                <w:b/>
              </w:rPr>
            </w:pPr>
          </w:p>
        </w:tc>
      </w:tr>
      <w:tr w:rsidR="00A8019A" w:rsidRPr="00F9224C" w14:paraId="328681C1" w14:textId="77777777" w:rsidTr="00AC7204">
        <w:tc>
          <w:tcPr>
            <w:tcW w:w="2337" w:type="dxa"/>
          </w:tcPr>
          <w:p w14:paraId="7255206A" w14:textId="1561BB29" w:rsidR="00A8019A" w:rsidRPr="00F9224C" w:rsidRDefault="00A8019A" w:rsidP="00DC6922">
            <w:pPr>
              <w:spacing w:before="240" w:line="480" w:lineRule="auto"/>
              <w:jc w:val="center"/>
            </w:pPr>
            <w:r w:rsidRPr="00F9224C">
              <w:t>F- statistic</w:t>
            </w:r>
          </w:p>
        </w:tc>
        <w:tc>
          <w:tcPr>
            <w:tcW w:w="2337" w:type="dxa"/>
          </w:tcPr>
          <w:p w14:paraId="46C96A95" w14:textId="639B2168" w:rsidR="00A8019A" w:rsidRPr="00F9224C" w:rsidRDefault="00A8019A" w:rsidP="00DC6922">
            <w:pPr>
              <w:spacing w:before="240" w:line="480" w:lineRule="auto"/>
              <w:jc w:val="center"/>
            </w:pPr>
            <w:r w:rsidRPr="00F9224C">
              <w:t>0.250736</w:t>
            </w:r>
          </w:p>
        </w:tc>
        <w:tc>
          <w:tcPr>
            <w:tcW w:w="2338" w:type="dxa"/>
          </w:tcPr>
          <w:p w14:paraId="380ABB82" w14:textId="19A9BF2B" w:rsidR="00A8019A" w:rsidRPr="00F9224C" w:rsidRDefault="00A8019A" w:rsidP="00DC6922">
            <w:pPr>
              <w:spacing w:before="240" w:line="480" w:lineRule="auto"/>
              <w:jc w:val="center"/>
            </w:pPr>
            <w:r w:rsidRPr="00F9224C">
              <w:t>Prob F</w:t>
            </w:r>
            <w:r w:rsidR="00DC6922" w:rsidRPr="00F9224C">
              <w:t xml:space="preserve"> </w:t>
            </w:r>
            <w:r w:rsidRPr="00F9224C">
              <w:t>(9,9)</w:t>
            </w:r>
          </w:p>
        </w:tc>
        <w:tc>
          <w:tcPr>
            <w:tcW w:w="2338" w:type="dxa"/>
          </w:tcPr>
          <w:p w14:paraId="0EC83ADA" w14:textId="59AEE36F" w:rsidR="00A8019A" w:rsidRPr="00F9224C" w:rsidRDefault="00A8019A" w:rsidP="00DC6922">
            <w:pPr>
              <w:spacing w:before="240" w:line="480" w:lineRule="auto"/>
              <w:jc w:val="center"/>
            </w:pPr>
            <w:r w:rsidRPr="00F9224C">
              <w:t>0.9743</w:t>
            </w:r>
          </w:p>
        </w:tc>
      </w:tr>
      <w:tr w:rsidR="00A8019A" w:rsidRPr="00F9224C" w14:paraId="08D294CD" w14:textId="77777777" w:rsidTr="00AC7204">
        <w:tc>
          <w:tcPr>
            <w:tcW w:w="2337" w:type="dxa"/>
          </w:tcPr>
          <w:p w14:paraId="6D2CAAAB" w14:textId="5F91E688" w:rsidR="00A8019A" w:rsidRPr="00F9224C" w:rsidRDefault="00A8019A" w:rsidP="00DC6922">
            <w:pPr>
              <w:spacing w:before="240" w:line="480" w:lineRule="auto"/>
              <w:jc w:val="center"/>
            </w:pPr>
            <w:proofErr w:type="spellStart"/>
            <w:r w:rsidRPr="00F9224C">
              <w:t>Obs</w:t>
            </w:r>
            <w:proofErr w:type="spellEnd"/>
            <w:r w:rsidRPr="00F9224C">
              <w:t>*R-squared</w:t>
            </w:r>
          </w:p>
        </w:tc>
        <w:tc>
          <w:tcPr>
            <w:tcW w:w="2337" w:type="dxa"/>
          </w:tcPr>
          <w:p w14:paraId="659C4EFD" w14:textId="57C53CB8" w:rsidR="00A8019A" w:rsidRPr="00F9224C" w:rsidRDefault="00A8019A" w:rsidP="00DC6922">
            <w:pPr>
              <w:spacing w:before="240" w:line="480" w:lineRule="auto"/>
              <w:jc w:val="center"/>
            </w:pPr>
            <w:r w:rsidRPr="00F9224C">
              <w:t>3.808939</w:t>
            </w:r>
          </w:p>
        </w:tc>
        <w:tc>
          <w:tcPr>
            <w:tcW w:w="2338" w:type="dxa"/>
          </w:tcPr>
          <w:p w14:paraId="388F3D44" w14:textId="64DD28A0" w:rsidR="00A8019A" w:rsidRPr="00F9224C" w:rsidRDefault="00A8019A" w:rsidP="00DC6922">
            <w:pPr>
              <w:spacing w:before="240" w:line="480" w:lineRule="auto"/>
              <w:jc w:val="center"/>
            </w:pPr>
            <w:r w:rsidRPr="00F9224C">
              <w:t>Prob Chi-square (9)</w:t>
            </w:r>
          </w:p>
        </w:tc>
        <w:tc>
          <w:tcPr>
            <w:tcW w:w="2338" w:type="dxa"/>
          </w:tcPr>
          <w:p w14:paraId="6A2E2F1E" w14:textId="294C7C54" w:rsidR="00A8019A" w:rsidRPr="00F9224C" w:rsidRDefault="00A8019A" w:rsidP="00DC6922">
            <w:pPr>
              <w:spacing w:before="240" w:line="480" w:lineRule="auto"/>
              <w:jc w:val="center"/>
            </w:pPr>
            <w:r w:rsidRPr="00F9224C">
              <w:t>0.9235</w:t>
            </w:r>
          </w:p>
        </w:tc>
      </w:tr>
      <w:tr w:rsidR="00A8019A" w:rsidRPr="00F9224C" w14:paraId="41A5B7B5" w14:textId="77777777" w:rsidTr="00AC7204">
        <w:tc>
          <w:tcPr>
            <w:tcW w:w="2337" w:type="dxa"/>
          </w:tcPr>
          <w:p w14:paraId="11A33C77" w14:textId="176CB1F0" w:rsidR="00A8019A" w:rsidRPr="00F9224C" w:rsidRDefault="00A8019A" w:rsidP="00DC6922">
            <w:pPr>
              <w:spacing w:before="240" w:line="480" w:lineRule="auto"/>
              <w:jc w:val="center"/>
            </w:pPr>
            <w:r w:rsidRPr="00F9224C">
              <w:t>Scaled explained SS</w:t>
            </w:r>
          </w:p>
        </w:tc>
        <w:tc>
          <w:tcPr>
            <w:tcW w:w="2337" w:type="dxa"/>
          </w:tcPr>
          <w:p w14:paraId="3E53595A" w14:textId="3CD5B960" w:rsidR="00A8019A" w:rsidRPr="00F9224C" w:rsidRDefault="00A8019A" w:rsidP="00DC6922">
            <w:pPr>
              <w:spacing w:before="240" w:line="480" w:lineRule="auto"/>
              <w:jc w:val="center"/>
            </w:pPr>
            <w:r w:rsidRPr="00F9224C">
              <w:t>1.416510</w:t>
            </w:r>
          </w:p>
        </w:tc>
        <w:tc>
          <w:tcPr>
            <w:tcW w:w="2338" w:type="dxa"/>
          </w:tcPr>
          <w:p w14:paraId="1E97AD69" w14:textId="67ECF9C3" w:rsidR="00A8019A" w:rsidRPr="00F9224C" w:rsidRDefault="00A8019A" w:rsidP="00DC6922">
            <w:pPr>
              <w:spacing w:before="240" w:line="480" w:lineRule="auto"/>
              <w:jc w:val="center"/>
            </w:pPr>
            <w:r w:rsidRPr="00F9224C">
              <w:t>Prob Chi-square (9)</w:t>
            </w:r>
          </w:p>
        </w:tc>
        <w:tc>
          <w:tcPr>
            <w:tcW w:w="2338" w:type="dxa"/>
          </w:tcPr>
          <w:p w14:paraId="3BE45535" w14:textId="70087EBA" w:rsidR="00A8019A" w:rsidRPr="00F9224C" w:rsidRDefault="00A8019A" w:rsidP="00DC6922">
            <w:pPr>
              <w:spacing w:before="240" w:line="480" w:lineRule="auto"/>
              <w:jc w:val="center"/>
            </w:pPr>
            <w:r w:rsidRPr="00F9224C">
              <w:t>0.9977</w:t>
            </w:r>
          </w:p>
        </w:tc>
      </w:tr>
    </w:tbl>
    <w:p w14:paraId="5C9022EC" w14:textId="77777777" w:rsidR="0058036C" w:rsidRPr="00F9224C" w:rsidRDefault="0058036C" w:rsidP="0058036C">
      <w:pPr>
        <w:spacing w:line="360" w:lineRule="auto"/>
        <w:jc w:val="both"/>
      </w:pPr>
    </w:p>
    <w:p w14:paraId="671184DC" w14:textId="6D863CB3" w:rsidR="00255174" w:rsidRPr="00F9224C" w:rsidRDefault="00255174" w:rsidP="00255174">
      <w:pPr>
        <w:spacing w:line="360" w:lineRule="auto"/>
        <w:jc w:val="both"/>
      </w:pPr>
      <w:r w:rsidRPr="00F9224C">
        <w:t xml:space="preserve">Table </w:t>
      </w:r>
      <w:r w:rsidR="00AF086C">
        <w:t>6</w:t>
      </w:r>
      <w:r w:rsidRPr="00F9224C">
        <w:t xml:space="preserve"> presents the Breusch-Pagan-Godfrey Heteroskedasticity Test that detects the heteroskedasticity (non-constant variance) within the residuals. The F-statistic, valued at 0.250736, and the </w:t>
      </w:r>
      <w:proofErr w:type="spellStart"/>
      <w:r w:rsidRPr="00F9224C">
        <w:t>Obs</w:t>
      </w:r>
      <w:proofErr w:type="spellEnd"/>
      <w:r w:rsidRPr="00F9224C">
        <w:t>*R-squared, which is 3.808939, have p-values of 0.9743 and 0.9235, respectively. These p-values exceed the threshold of 0.05. The fact that this is the case indicates that we do not reject the homoskedasticity null hypothesis. Consequently, this would imply that the model does not contain any evidence of heteroskedasticity.</w:t>
      </w:r>
    </w:p>
    <w:p w14:paraId="2622E5E8" w14:textId="77777777" w:rsidR="00255174" w:rsidRPr="00F9224C" w:rsidRDefault="00255174" w:rsidP="00255174">
      <w:pPr>
        <w:spacing w:line="360" w:lineRule="auto"/>
        <w:jc w:val="both"/>
      </w:pPr>
    </w:p>
    <w:p w14:paraId="1BBBBC0C" w14:textId="69F6D765" w:rsidR="0058036C" w:rsidRPr="00F9224C" w:rsidRDefault="00255174" w:rsidP="00255174">
      <w:pPr>
        <w:spacing w:line="360" w:lineRule="auto"/>
        <w:jc w:val="both"/>
      </w:pPr>
      <w:r w:rsidRPr="00F9224C">
        <w:t xml:space="preserve">4. </w:t>
      </w:r>
      <w:proofErr w:type="spellStart"/>
      <w:r w:rsidRPr="00F9224C">
        <w:t>Cusum</w:t>
      </w:r>
      <w:proofErr w:type="spellEnd"/>
      <w:r w:rsidRPr="00F9224C">
        <w:t xml:space="preserve"> test: After that, we conduct the model stability test, which is the CUSUM Test, the CUSUM square test.</w:t>
      </w:r>
    </w:p>
    <w:p w14:paraId="3BFF6B0F" w14:textId="50BAFB0F" w:rsidR="00AC7204" w:rsidRPr="00F9224C" w:rsidRDefault="00AC7204" w:rsidP="00273559">
      <w:pPr>
        <w:spacing w:line="360" w:lineRule="auto"/>
        <w:jc w:val="both"/>
      </w:pPr>
    </w:p>
    <w:p w14:paraId="0C2562B9" w14:textId="4CDFCD60" w:rsidR="00EB27D9" w:rsidRPr="00F9224C" w:rsidRDefault="00AC7204" w:rsidP="00AC7204">
      <w:pPr>
        <w:spacing w:line="360" w:lineRule="auto"/>
        <w:jc w:val="center"/>
      </w:pPr>
      <w:r w:rsidRPr="00F9224C">
        <w:rPr>
          <w:noProof/>
        </w:rPr>
        <w:drawing>
          <wp:inline distT="0" distB="0" distL="0" distR="0" wp14:anchorId="647F0545" wp14:editId="45FB3F81">
            <wp:extent cx="5021580" cy="3048572"/>
            <wp:effectExtent l="0" t="0" r="7620" b="0"/>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21580" cy="3048572"/>
                    </a:xfrm>
                    <a:prstGeom prst="rect">
                      <a:avLst/>
                    </a:prstGeom>
                    <a:noFill/>
                    <a:ln>
                      <a:noFill/>
                    </a:ln>
                  </pic:spPr>
                </pic:pic>
              </a:graphicData>
            </a:graphic>
          </wp:inline>
        </w:drawing>
      </w:r>
    </w:p>
    <w:p w14:paraId="40D6BF3B" w14:textId="35E31D02" w:rsidR="00B86FA9" w:rsidRPr="00F9224C" w:rsidRDefault="00B86FA9" w:rsidP="00AC7204">
      <w:pPr>
        <w:spacing w:line="360" w:lineRule="auto"/>
        <w:jc w:val="center"/>
      </w:pPr>
      <w:r w:rsidRPr="00F9224C">
        <w:t>Figure :4 CUSUM Test</w:t>
      </w:r>
    </w:p>
    <w:p w14:paraId="1E08DCAD" w14:textId="77777777" w:rsidR="00B86FA9" w:rsidRPr="00F9224C" w:rsidRDefault="00B86FA9" w:rsidP="00AC7204">
      <w:pPr>
        <w:spacing w:line="360" w:lineRule="auto"/>
        <w:jc w:val="center"/>
      </w:pPr>
    </w:p>
    <w:p w14:paraId="751C4552" w14:textId="22A243B1" w:rsidR="009E1360" w:rsidRPr="00F9224C" w:rsidRDefault="00255174" w:rsidP="009E1360">
      <w:pPr>
        <w:spacing w:line="360" w:lineRule="auto"/>
        <w:jc w:val="both"/>
      </w:pPr>
      <w:r w:rsidRPr="00F9224C">
        <w:t>Figure 4 presents the CUSUM test, commonly known as the cumulative sum test, which evaluates the stability of the model over time. The blue line in the figure indicates the cumulative sum of residuals, while the orange dashed lines indicate the 5% significance bounds. Throughout the analysis period, the blue line remains within the significance boundaries, suggesting that the model is stable and does not exhibit significant structural breaks. This consistent positioning of the blue line within the bounds provides strong evidence of the model's stability at the 5% significance level.</w:t>
      </w:r>
    </w:p>
    <w:p w14:paraId="7725FDBC" w14:textId="0D0973B0" w:rsidR="00D366CF" w:rsidRPr="00F9224C" w:rsidRDefault="001E6C5C" w:rsidP="00D366CF">
      <w:pPr>
        <w:pStyle w:val="NormalWeb"/>
        <w:spacing w:line="360" w:lineRule="auto"/>
      </w:pPr>
      <w:r w:rsidRPr="00F9224C">
        <w:rPr>
          <w:noProof/>
        </w:rPr>
        <w:lastRenderedPageBreak/>
        <w:drawing>
          <wp:anchor distT="0" distB="0" distL="114300" distR="114300" simplePos="0" relativeHeight="251658240" behindDoc="0" locked="0" layoutInCell="1" allowOverlap="1" wp14:anchorId="2CEF7ADE" wp14:editId="02F20521">
            <wp:simplePos x="0" y="0"/>
            <wp:positionH relativeFrom="column">
              <wp:posOffset>624840</wp:posOffset>
            </wp:positionH>
            <wp:positionV relativeFrom="paragraph">
              <wp:posOffset>304800</wp:posOffset>
            </wp:positionV>
            <wp:extent cx="4436244" cy="2329815"/>
            <wp:effectExtent l="0" t="0" r="254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36244" cy="2329815"/>
                    </a:xfrm>
                    <a:prstGeom prst="rect">
                      <a:avLst/>
                    </a:prstGeom>
                    <a:noFill/>
                    <a:ln>
                      <a:noFill/>
                    </a:ln>
                  </pic:spPr>
                </pic:pic>
              </a:graphicData>
            </a:graphic>
          </wp:anchor>
        </w:drawing>
      </w:r>
      <w:r w:rsidR="00D366CF" w:rsidRPr="00F9224C">
        <w:br w:type="textWrapping" w:clear="all"/>
      </w:r>
    </w:p>
    <w:p w14:paraId="30E34EE8" w14:textId="77777777" w:rsidR="0053103A" w:rsidRDefault="00EB6826" w:rsidP="00EB6826">
      <w:pPr>
        <w:pStyle w:val="NormalWeb"/>
        <w:spacing w:line="360" w:lineRule="auto"/>
      </w:pPr>
      <w:r>
        <w:t xml:space="preserve">                                         </w:t>
      </w:r>
    </w:p>
    <w:p w14:paraId="6E708281" w14:textId="77777777" w:rsidR="0053103A" w:rsidRDefault="0053103A" w:rsidP="00EB6826">
      <w:pPr>
        <w:pStyle w:val="NormalWeb"/>
        <w:spacing w:line="360" w:lineRule="auto"/>
      </w:pPr>
    </w:p>
    <w:p w14:paraId="05ED5A3D" w14:textId="77777777" w:rsidR="0053103A" w:rsidRDefault="0053103A" w:rsidP="00EB6826">
      <w:pPr>
        <w:pStyle w:val="NormalWeb"/>
        <w:spacing w:line="360" w:lineRule="auto"/>
      </w:pPr>
    </w:p>
    <w:p w14:paraId="38420A18" w14:textId="77777777" w:rsidR="0053103A" w:rsidRDefault="0053103A" w:rsidP="00EB6826">
      <w:pPr>
        <w:pStyle w:val="NormalWeb"/>
        <w:spacing w:line="360" w:lineRule="auto"/>
      </w:pPr>
    </w:p>
    <w:p w14:paraId="2A04B3D8" w14:textId="77777777" w:rsidR="0053103A" w:rsidRDefault="0053103A" w:rsidP="00EB6826">
      <w:pPr>
        <w:pStyle w:val="NormalWeb"/>
        <w:spacing w:line="360" w:lineRule="auto"/>
      </w:pPr>
      <w:r>
        <w:br/>
      </w:r>
    </w:p>
    <w:p w14:paraId="3C73DAC0" w14:textId="451DF9CB" w:rsidR="009E1360" w:rsidRPr="00F9224C" w:rsidRDefault="00B86FA9" w:rsidP="00EB6826">
      <w:pPr>
        <w:pStyle w:val="NormalWeb"/>
        <w:spacing w:line="360" w:lineRule="auto"/>
      </w:pPr>
      <w:r w:rsidRPr="00F9224C">
        <w:t xml:space="preserve">Figure 5 </w:t>
      </w:r>
      <w:r w:rsidR="00D366CF" w:rsidRPr="00F9224C">
        <w:t>CUSUM-squared test</w:t>
      </w:r>
    </w:p>
    <w:p w14:paraId="738A5251" w14:textId="1C6B83B4" w:rsidR="00255174" w:rsidRPr="00F9224C" w:rsidRDefault="00255174" w:rsidP="00843D19">
      <w:pPr>
        <w:pStyle w:val="NormalWeb"/>
        <w:spacing w:line="360" w:lineRule="auto"/>
        <w:jc w:val="both"/>
      </w:pPr>
      <w:r w:rsidRPr="00F9224C">
        <w:t xml:space="preserve">The results from the CUSUM and </w:t>
      </w:r>
      <w:bookmarkStart w:id="8" w:name="_Hlk208959014"/>
      <w:r w:rsidRPr="00F9224C">
        <w:t xml:space="preserve">CUSUM-squared tests </w:t>
      </w:r>
      <w:bookmarkEnd w:id="8"/>
      <w:r w:rsidRPr="00F9224C">
        <w:t>further validate the stability of the model. Both tests indicate that the model is stable, confirming its suitability and appropriateness for the analysis</w:t>
      </w:r>
    </w:p>
    <w:p w14:paraId="55237704" w14:textId="3AFE554E" w:rsidR="009E1360" w:rsidRPr="00F9224C" w:rsidRDefault="00255174" w:rsidP="00843D19">
      <w:pPr>
        <w:pStyle w:val="NormalWeb"/>
        <w:spacing w:line="360" w:lineRule="auto"/>
        <w:jc w:val="both"/>
      </w:pPr>
      <w:r w:rsidRPr="00F9224C">
        <w:t>T</w:t>
      </w:r>
      <w:r w:rsidR="00997C87" w:rsidRPr="00F9224C">
        <w:t xml:space="preserve">able </w:t>
      </w:r>
      <w:r w:rsidR="00AF086C">
        <w:t>7</w:t>
      </w:r>
      <w:r w:rsidR="00D366CF" w:rsidRPr="00F9224C">
        <w:t xml:space="preserve">. </w:t>
      </w:r>
      <w:r w:rsidR="00997C87" w:rsidRPr="00F9224C">
        <w:t>Ramsey Reset Test</w:t>
      </w:r>
    </w:p>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2135"/>
        <w:gridCol w:w="1596"/>
        <w:gridCol w:w="1596"/>
        <w:gridCol w:w="3668"/>
      </w:tblGrid>
      <w:tr w:rsidR="00E915CC" w:rsidRPr="00F9224C" w14:paraId="0BFA1B73" w14:textId="77777777" w:rsidTr="00BA60BC">
        <w:tc>
          <w:tcPr>
            <w:tcW w:w="8995" w:type="dxa"/>
            <w:gridSpan w:val="4"/>
          </w:tcPr>
          <w:p w14:paraId="05AB9DD3" w14:textId="77777777" w:rsidR="00E915CC" w:rsidRPr="00F9224C" w:rsidRDefault="00E915CC" w:rsidP="008B6FAA">
            <w:pPr>
              <w:rPr>
                <w:b/>
              </w:rPr>
            </w:pPr>
            <w:r w:rsidRPr="00F9224C">
              <w:rPr>
                <w:b/>
              </w:rPr>
              <w:t>Ramsey RESET Test</w:t>
            </w:r>
          </w:p>
          <w:p w14:paraId="23D25B34" w14:textId="77777777" w:rsidR="00E915CC" w:rsidRPr="00F9224C" w:rsidRDefault="00E915CC" w:rsidP="008B6FAA">
            <w:pPr>
              <w:rPr>
                <w:b/>
              </w:rPr>
            </w:pPr>
            <w:r w:rsidRPr="00F9224C">
              <w:rPr>
                <w:b/>
              </w:rPr>
              <w:t>Equation: UNTITLED</w:t>
            </w:r>
          </w:p>
          <w:p w14:paraId="5801B288" w14:textId="77777777" w:rsidR="00E915CC" w:rsidRPr="00F9224C" w:rsidRDefault="00E915CC" w:rsidP="008B6FAA">
            <w:pPr>
              <w:rPr>
                <w:b/>
              </w:rPr>
            </w:pPr>
            <w:r w:rsidRPr="00F9224C">
              <w:rPr>
                <w:b/>
              </w:rPr>
              <w:t>Omitted Variables: Squares of fitted values</w:t>
            </w:r>
          </w:p>
          <w:p w14:paraId="542AE0AC" w14:textId="77777777" w:rsidR="00E915CC" w:rsidRPr="00F9224C" w:rsidRDefault="00E915CC" w:rsidP="008B6FAA">
            <w:r w:rsidRPr="00F9224C">
              <w:rPr>
                <w:b/>
              </w:rPr>
              <w:t>Specification: D(SUICIDE RATE) D(SUICIDE RATE(-1))</w:t>
            </w:r>
          </w:p>
        </w:tc>
      </w:tr>
      <w:tr w:rsidR="00E915CC" w:rsidRPr="00F9224C" w14:paraId="58E08309" w14:textId="77777777" w:rsidTr="00255174">
        <w:tc>
          <w:tcPr>
            <w:tcW w:w="8995" w:type="dxa"/>
            <w:gridSpan w:val="4"/>
            <w:tcBorders>
              <w:bottom w:val="single" w:sz="4" w:space="0" w:color="auto"/>
            </w:tcBorders>
          </w:tcPr>
          <w:p w14:paraId="14FBD303" w14:textId="3B704869" w:rsidR="00E915CC" w:rsidRPr="00F9224C" w:rsidRDefault="00E915CC" w:rsidP="008B6FAA">
            <w:pPr>
              <w:rPr>
                <w:sz w:val="22"/>
                <w:szCs w:val="22"/>
              </w:rPr>
            </w:pPr>
            <w:r w:rsidRPr="00F9224C">
              <w:t xml:space="preserve">                       </w:t>
            </w:r>
            <w:r w:rsidR="00255174" w:rsidRPr="00F9224C">
              <w:t xml:space="preserve">             </w:t>
            </w:r>
            <w:r w:rsidRPr="00F9224C">
              <w:rPr>
                <w:sz w:val="22"/>
                <w:szCs w:val="22"/>
              </w:rPr>
              <w:t>D</w:t>
            </w:r>
            <w:r w:rsidR="00255174" w:rsidRPr="00F9224C">
              <w:rPr>
                <w:sz w:val="22"/>
                <w:szCs w:val="22"/>
              </w:rPr>
              <w:t xml:space="preserve"> </w:t>
            </w:r>
            <w:r w:rsidRPr="00F9224C">
              <w:rPr>
                <w:sz w:val="22"/>
                <w:szCs w:val="22"/>
              </w:rPr>
              <w:t>(SUICIDE RATE</w:t>
            </w:r>
            <w:r w:rsidR="00255174" w:rsidRPr="00F9224C">
              <w:rPr>
                <w:sz w:val="22"/>
                <w:szCs w:val="22"/>
              </w:rPr>
              <w:t xml:space="preserve"> </w:t>
            </w:r>
            <w:r w:rsidRPr="00F9224C">
              <w:rPr>
                <w:sz w:val="22"/>
                <w:szCs w:val="22"/>
              </w:rPr>
              <w:t>(-2)) D(UNEMPLOYMENT)</w:t>
            </w:r>
          </w:p>
          <w:p w14:paraId="1BDAD177" w14:textId="40AA7FE2" w:rsidR="00E915CC" w:rsidRPr="00F9224C" w:rsidRDefault="00E915CC" w:rsidP="008B6FAA">
            <w:pPr>
              <w:jc w:val="center"/>
              <w:rPr>
                <w:sz w:val="22"/>
                <w:szCs w:val="22"/>
              </w:rPr>
            </w:pPr>
            <w:r w:rsidRPr="00F9224C">
              <w:rPr>
                <w:sz w:val="22"/>
                <w:szCs w:val="22"/>
              </w:rPr>
              <w:t xml:space="preserve">              D</w:t>
            </w:r>
            <w:r w:rsidR="00255174" w:rsidRPr="00F9224C">
              <w:rPr>
                <w:sz w:val="22"/>
                <w:szCs w:val="22"/>
              </w:rPr>
              <w:t xml:space="preserve"> </w:t>
            </w:r>
            <w:r w:rsidRPr="00F9224C">
              <w:rPr>
                <w:sz w:val="22"/>
                <w:szCs w:val="22"/>
              </w:rPr>
              <w:t>(UNEMPLOYMENT</w:t>
            </w:r>
            <w:r w:rsidR="00255174" w:rsidRPr="00F9224C">
              <w:rPr>
                <w:sz w:val="22"/>
                <w:szCs w:val="22"/>
              </w:rPr>
              <w:t xml:space="preserve"> </w:t>
            </w:r>
            <w:r w:rsidRPr="00F9224C">
              <w:rPr>
                <w:sz w:val="22"/>
                <w:szCs w:val="22"/>
              </w:rPr>
              <w:t>(-1)) D</w:t>
            </w:r>
            <w:r w:rsidR="00255174" w:rsidRPr="00F9224C">
              <w:rPr>
                <w:sz w:val="22"/>
                <w:szCs w:val="22"/>
              </w:rPr>
              <w:t xml:space="preserve"> </w:t>
            </w:r>
            <w:r w:rsidRPr="00F9224C">
              <w:rPr>
                <w:sz w:val="22"/>
                <w:szCs w:val="22"/>
              </w:rPr>
              <w:t>(UNEMPLOYMENT</w:t>
            </w:r>
            <w:r w:rsidR="00255174" w:rsidRPr="00F9224C">
              <w:rPr>
                <w:sz w:val="22"/>
                <w:szCs w:val="22"/>
              </w:rPr>
              <w:t xml:space="preserve"> </w:t>
            </w:r>
            <w:r w:rsidRPr="00F9224C">
              <w:rPr>
                <w:sz w:val="22"/>
                <w:szCs w:val="22"/>
              </w:rPr>
              <w:t>(-2)) D(GDP)</w:t>
            </w:r>
          </w:p>
          <w:p w14:paraId="34A27EA0" w14:textId="52CB8C03" w:rsidR="00E915CC" w:rsidRPr="00F9224C" w:rsidRDefault="00E915CC" w:rsidP="008B6FAA">
            <w:r w:rsidRPr="00F9224C">
              <w:rPr>
                <w:sz w:val="22"/>
                <w:szCs w:val="22"/>
              </w:rPr>
              <w:t xml:space="preserve">                     </w:t>
            </w:r>
            <w:r w:rsidR="00255174" w:rsidRPr="00F9224C">
              <w:rPr>
                <w:sz w:val="22"/>
                <w:szCs w:val="22"/>
              </w:rPr>
              <w:t xml:space="preserve">                  </w:t>
            </w:r>
            <w:r w:rsidRPr="00F9224C">
              <w:rPr>
                <w:sz w:val="22"/>
                <w:szCs w:val="22"/>
              </w:rPr>
              <w:t xml:space="preserve">  D</w:t>
            </w:r>
            <w:r w:rsidR="00255174" w:rsidRPr="00F9224C">
              <w:rPr>
                <w:sz w:val="22"/>
                <w:szCs w:val="22"/>
              </w:rPr>
              <w:t xml:space="preserve"> </w:t>
            </w:r>
            <w:r w:rsidRPr="00F9224C">
              <w:rPr>
                <w:sz w:val="22"/>
                <w:szCs w:val="22"/>
              </w:rPr>
              <w:t>(GDP (-1)) D</w:t>
            </w:r>
            <w:r w:rsidR="00255174" w:rsidRPr="00F9224C">
              <w:rPr>
                <w:sz w:val="22"/>
                <w:szCs w:val="22"/>
              </w:rPr>
              <w:t xml:space="preserve"> </w:t>
            </w:r>
            <w:r w:rsidRPr="00F9224C">
              <w:rPr>
                <w:sz w:val="22"/>
                <w:szCs w:val="22"/>
              </w:rPr>
              <w:t>(GDP (-2)) D(INFLATION) C</w:t>
            </w:r>
          </w:p>
        </w:tc>
      </w:tr>
      <w:tr w:rsidR="00E915CC" w:rsidRPr="00F9224C" w14:paraId="6901E94D" w14:textId="77777777" w:rsidTr="00255174">
        <w:tc>
          <w:tcPr>
            <w:tcW w:w="2135" w:type="dxa"/>
            <w:tcBorders>
              <w:left w:val="nil"/>
              <w:bottom w:val="nil"/>
              <w:right w:val="nil"/>
            </w:tcBorders>
          </w:tcPr>
          <w:p w14:paraId="380FD1FA" w14:textId="77777777" w:rsidR="00E915CC" w:rsidRPr="00F9224C" w:rsidRDefault="00E915CC" w:rsidP="00255174">
            <w:pPr>
              <w:jc w:val="center"/>
            </w:pPr>
          </w:p>
        </w:tc>
        <w:tc>
          <w:tcPr>
            <w:tcW w:w="1596" w:type="dxa"/>
            <w:tcBorders>
              <w:left w:val="nil"/>
              <w:bottom w:val="nil"/>
              <w:right w:val="nil"/>
            </w:tcBorders>
          </w:tcPr>
          <w:p w14:paraId="51F73844" w14:textId="77777777" w:rsidR="00E915CC" w:rsidRPr="00F9224C" w:rsidRDefault="00E915CC" w:rsidP="00255174">
            <w:pPr>
              <w:jc w:val="center"/>
              <w:rPr>
                <w:b/>
              </w:rPr>
            </w:pPr>
            <w:r w:rsidRPr="00F9224C">
              <w:rPr>
                <w:b/>
              </w:rPr>
              <w:t>Value</w:t>
            </w:r>
          </w:p>
        </w:tc>
        <w:tc>
          <w:tcPr>
            <w:tcW w:w="1596" w:type="dxa"/>
            <w:tcBorders>
              <w:left w:val="nil"/>
              <w:bottom w:val="nil"/>
              <w:right w:val="nil"/>
            </w:tcBorders>
          </w:tcPr>
          <w:p w14:paraId="14365761" w14:textId="3D288BCD" w:rsidR="00E915CC" w:rsidRPr="00F9224C" w:rsidRDefault="00997C87" w:rsidP="00255174">
            <w:pPr>
              <w:jc w:val="center"/>
              <w:rPr>
                <w:b/>
              </w:rPr>
            </w:pPr>
            <w:r w:rsidRPr="00F9224C">
              <w:rPr>
                <w:b/>
              </w:rPr>
              <w:t>D</w:t>
            </w:r>
            <w:r w:rsidR="00255174" w:rsidRPr="00F9224C">
              <w:rPr>
                <w:b/>
              </w:rPr>
              <w:t>F</w:t>
            </w:r>
          </w:p>
        </w:tc>
        <w:tc>
          <w:tcPr>
            <w:tcW w:w="3668" w:type="dxa"/>
            <w:tcBorders>
              <w:left w:val="nil"/>
              <w:bottom w:val="nil"/>
              <w:right w:val="nil"/>
            </w:tcBorders>
          </w:tcPr>
          <w:p w14:paraId="03C2F371" w14:textId="77777777" w:rsidR="00E915CC" w:rsidRPr="00F9224C" w:rsidRDefault="00E915CC" w:rsidP="00255174">
            <w:pPr>
              <w:jc w:val="center"/>
              <w:rPr>
                <w:b/>
              </w:rPr>
            </w:pPr>
            <w:r w:rsidRPr="00F9224C">
              <w:rPr>
                <w:b/>
              </w:rPr>
              <w:t>Probability</w:t>
            </w:r>
          </w:p>
        </w:tc>
      </w:tr>
      <w:tr w:rsidR="00E915CC" w:rsidRPr="00F9224C" w14:paraId="232F8245" w14:textId="77777777" w:rsidTr="00255174">
        <w:tc>
          <w:tcPr>
            <w:tcW w:w="2135" w:type="dxa"/>
            <w:tcBorders>
              <w:top w:val="nil"/>
              <w:left w:val="nil"/>
              <w:bottom w:val="nil"/>
              <w:right w:val="nil"/>
            </w:tcBorders>
          </w:tcPr>
          <w:p w14:paraId="0960121B" w14:textId="77777777" w:rsidR="00E915CC" w:rsidRPr="00F9224C" w:rsidRDefault="00E915CC" w:rsidP="00255174">
            <w:pPr>
              <w:jc w:val="center"/>
            </w:pPr>
            <w:r w:rsidRPr="00F9224C">
              <w:t>t-statistic</w:t>
            </w:r>
          </w:p>
        </w:tc>
        <w:tc>
          <w:tcPr>
            <w:tcW w:w="1596" w:type="dxa"/>
            <w:tcBorders>
              <w:top w:val="nil"/>
              <w:left w:val="nil"/>
              <w:bottom w:val="nil"/>
              <w:right w:val="nil"/>
            </w:tcBorders>
          </w:tcPr>
          <w:p w14:paraId="45A35533" w14:textId="77777777" w:rsidR="00E915CC" w:rsidRPr="00F9224C" w:rsidRDefault="00E915CC" w:rsidP="00255174">
            <w:pPr>
              <w:jc w:val="center"/>
            </w:pPr>
            <w:r w:rsidRPr="00F9224C">
              <w:t>0.680306</w:t>
            </w:r>
          </w:p>
        </w:tc>
        <w:tc>
          <w:tcPr>
            <w:tcW w:w="1596" w:type="dxa"/>
            <w:tcBorders>
              <w:top w:val="nil"/>
              <w:left w:val="nil"/>
              <w:bottom w:val="nil"/>
              <w:right w:val="nil"/>
            </w:tcBorders>
          </w:tcPr>
          <w:p w14:paraId="260852A1" w14:textId="77777777" w:rsidR="00E915CC" w:rsidRPr="00F9224C" w:rsidRDefault="00E915CC" w:rsidP="00255174">
            <w:pPr>
              <w:jc w:val="center"/>
            </w:pPr>
            <w:r w:rsidRPr="00F9224C">
              <w:t>8</w:t>
            </w:r>
          </w:p>
        </w:tc>
        <w:tc>
          <w:tcPr>
            <w:tcW w:w="3668" w:type="dxa"/>
            <w:tcBorders>
              <w:top w:val="nil"/>
              <w:left w:val="nil"/>
              <w:bottom w:val="nil"/>
              <w:right w:val="nil"/>
            </w:tcBorders>
          </w:tcPr>
          <w:p w14:paraId="2856C0CF" w14:textId="77777777" w:rsidR="00E915CC" w:rsidRPr="00F9224C" w:rsidRDefault="00E915CC" w:rsidP="00255174">
            <w:pPr>
              <w:jc w:val="center"/>
            </w:pPr>
            <w:r w:rsidRPr="00F9224C">
              <w:t>0.5155</w:t>
            </w:r>
          </w:p>
        </w:tc>
      </w:tr>
      <w:tr w:rsidR="00E915CC" w:rsidRPr="00F9224C" w14:paraId="60EB9714" w14:textId="77777777" w:rsidTr="00255174">
        <w:tc>
          <w:tcPr>
            <w:tcW w:w="2135" w:type="dxa"/>
            <w:tcBorders>
              <w:top w:val="nil"/>
              <w:left w:val="nil"/>
              <w:bottom w:val="nil"/>
              <w:right w:val="nil"/>
            </w:tcBorders>
          </w:tcPr>
          <w:p w14:paraId="70A545F7" w14:textId="77777777" w:rsidR="00E915CC" w:rsidRPr="00F9224C" w:rsidRDefault="00E915CC" w:rsidP="00255174">
            <w:pPr>
              <w:jc w:val="center"/>
            </w:pPr>
            <w:r w:rsidRPr="00F9224C">
              <w:t>F-statistic</w:t>
            </w:r>
          </w:p>
        </w:tc>
        <w:tc>
          <w:tcPr>
            <w:tcW w:w="1596" w:type="dxa"/>
            <w:tcBorders>
              <w:top w:val="nil"/>
              <w:left w:val="nil"/>
              <w:bottom w:val="nil"/>
              <w:right w:val="nil"/>
            </w:tcBorders>
          </w:tcPr>
          <w:p w14:paraId="0F79F7B7" w14:textId="77777777" w:rsidR="00E915CC" w:rsidRPr="00F9224C" w:rsidRDefault="00E915CC" w:rsidP="00255174">
            <w:pPr>
              <w:jc w:val="center"/>
            </w:pPr>
            <w:r w:rsidRPr="00F9224C">
              <w:t>0.462816</w:t>
            </w:r>
          </w:p>
        </w:tc>
        <w:tc>
          <w:tcPr>
            <w:tcW w:w="1596" w:type="dxa"/>
            <w:tcBorders>
              <w:top w:val="nil"/>
              <w:left w:val="nil"/>
              <w:bottom w:val="nil"/>
              <w:right w:val="nil"/>
            </w:tcBorders>
          </w:tcPr>
          <w:p w14:paraId="5520D902" w14:textId="77777777" w:rsidR="00E915CC" w:rsidRPr="00F9224C" w:rsidRDefault="00E915CC" w:rsidP="00255174">
            <w:pPr>
              <w:jc w:val="center"/>
            </w:pPr>
            <w:r w:rsidRPr="00F9224C">
              <w:t>(1, 8)</w:t>
            </w:r>
          </w:p>
        </w:tc>
        <w:tc>
          <w:tcPr>
            <w:tcW w:w="3668" w:type="dxa"/>
            <w:tcBorders>
              <w:top w:val="nil"/>
              <w:left w:val="nil"/>
              <w:bottom w:val="nil"/>
              <w:right w:val="nil"/>
            </w:tcBorders>
          </w:tcPr>
          <w:p w14:paraId="6831FE09" w14:textId="0FAB72F4" w:rsidR="00E915CC" w:rsidRPr="00F9224C" w:rsidRDefault="00E915CC" w:rsidP="00255174">
            <w:pPr>
              <w:jc w:val="center"/>
            </w:pPr>
            <w:r w:rsidRPr="00F9224C">
              <w:t>0.5155</w:t>
            </w:r>
          </w:p>
        </w:tc>
      </w:tr>
      <w:tr w:rsidR="00E915CC" w:rsidRPr="00F9224C" w14:paraId="111C2E95" w14:textId="77777777" w:rsidTr="00255174">
        <w:tc>
          <w:tcPr>
            <w:tcW w:w="2135" w:type="dxa"/>
            <w:tcBorders>
              <w:top w:val="nil"/>
              <w:left w:val="nil"/>
              <w:bottom w:val="single" w:sz="4" w:space="0" w:color="auto"/>
              <w:right w:val="nil"/>
            </w:tcBorders>
          </w:tcPr>
          <w:p w14:paraId="490FC51D" w14:textId="77777777" w:rsidR="00E915CC" w:rsidRPr="00F9224C" w:rsidRDefault="00E915CC" w:rsidP="00255174">
            <w:pPr>
              <w:jc w:val="center"/>
            </w:pPr>
            <w:r w:rsidRPr="00F9224C">
              <w:t>Likelihood ratio</w:t>
            </w:r>
          </w:p>
        </w:tc>
        <w:tc>
          <w:tcPr>
            <w:tcW w:w="1596" w:type="dxa"/>
            <w:tcBorders>
              <w:top w:val="nil"/>
              <w:left w:val="nil"/>
              <w:bottom w:val="single" w:sz="4" w:space="0" w:color="auto"/>
              <w:right w:val="nil"/>
            </w:tcBorders>
          </w:tcPr>
          <w:p w14:paraId="7D09C41F" w14:textId="77777777" w:rsidR="00E915CC" w:rsidRPr="00F9224C" w:rsidRDefault="00E915CC" w:rsidP="00255174">
            <w:pPr>
              <w:jc w:val="center"/>
            </w:pPr>
            <w:r w:rsidRPr="00F9224C">
              <w:t>1.068569</w:t>
            </w:r>
          </w:p>
        </w:tc>
        <w:tc>
          <w:tcPr>
            <w:tcW w:w="1596" w:type="dxa"/>
            <w:tcBorders>
              <w:top w:val="nil"/>
              <w:left w:val="nil"/>
              <w:bottom w:val="single" w:sz="4" w:space="0" w:color="auto"/>
              <w:right w:val="nil"/>
            </w:tcBorders>
          </w:tcPr>
          <w:p w14:paraId="7AB5CA40" w14:textId="77777777" w:rsidR="00E915CC" w:rsidRPr="00F9224C" w:rsidRDefault="00E915CC" w:rsidP="00255174">
            <w:pPr>
              <w:jc w:val="center"/>
            </w:pPr>
            <w:r w:rsidRPr="00F9224C">
              <w:t>1</w:t>
            </w:r>
          </w:p>
        </w:tc>
        <w:tc>
          <w:tcPr>
            <w:tcW w:w="3668" w:type="dxa"/>
            <w:tcBorders>
              <w:top w:val="nil"/>
              <w:left w:val="nil"/>
              <w:bottom w:val="single" w:sz="4" w:space="0" w:color="auto"/>
              <w:right w:val="nil"/>
            </w:tcBorders>
          </w:tcPr>
          <w:p w14:paraId="2B1CF628" w14:textId="77777777" w:rsidR="00E915CC" w:rsidRPr="00F9224C" w:rsidRDefault="00E915CC" w:rsidP="00255174">
            <w:pPr>
              <w:jc w:val="center"/>
            </w:pPr>
            <w:r w:rsidRPr="00F9224C">
              <w:t>0.3013</w:t>
            </w:r>
          </w:p>
        </w:tc>
      </w:tr>
    </w:tbl>
    <w:p w14:paraId="01C45C8D" w14:textId="77777777" w:rsidR="00BA60BC" w:rsidRPr="00F9224C" w:rsidRDefault="00BA60BC" w:rsidP="00273559">
      <w:pPr>
        <w:spacing w:line="360" w:lineRule="auto"/>
        <w:jc w:val="both"/>
      </w:pPr>
    </w:p>
    <w:p w14:paraId="525E575E" w14:textId="1AD1392B" w:rsidR="00BA60BC" w:rsidRPr="00F9224C" w:rsidRDefault="00BA60BC" w:rsidP="00273559">
      <w:pPr>
        <w:spacing w:line="360" w:lineRule="auto"/>
        <w:jc w:val="both"/>
      </w:pPr>
      <w:r w:rsidRPr="00F9224C">
        <w:t xml:space="preserve">Table </w:t>
      </w:r>
      <w:r w:rsidR="00AF086C">
        <w:t>7</w:t>
      </w:r>
      <w:r w:rsidRPr="00F9224C">
        <w:t xml:space="preserve"> shows the Ramsey RESET test results, which indicate that the model is correctly specified, as evidenced by the t-statistic (0.680, p = 0.5155) and F-statistic (0.463, p = 0.5155), which show no significant misspecification. The likelihood ratio test (1.069, p = 0.3013) further confirms that the model does not suffer from omitted variables or incorrect functional form. Overall, these findings suggest that the model is appropriately specified for the analysis.</w:t>
      </w:r>
    </w:p>
    <w:p w14:paraId="2EA05F23" w14:textId="77777777" w:rsidR="00BA60BC" w:rsidRPr="00F9224C" w:rsidRDefault="00BA60BC" w:rsidP="00273559">
      <w:pPr>
        <w:spacing w:line="360" w:lineRule="auto"/>
        <w:jc w:val="both"/>
        <w:rPr>
          <w:b/>
        </w:rPr>
      </w:pPr>
    </w:p>
    <w:p w14:paraId="4313A0E5" w14:textId="77777777" w:rsidR="00E1297F" w:rsidRPr="00F9224C" w:rsidRDefault="00E1297F" w:rsidP="00273559">
      <w:pPr>
        <w:spacing w:line="360" w:lineRule="auto"/>
        <w:jc w:val="both"/>
        <w:rPr>
          <w:b/>
        </w:rPr>
      </w:pPr>
    </w:p>
    <w:p w14:paraId="04743410" w14:textId="77777777" w:rsidR="00E1297F" w:rsidRPr="00F9224C" w:rsidRDefault="00E1297F" w:rsidP="00273559">
      <w:pPr>
        <w:spacing w:line="360" w:lineRule="auto"/>
        <w:jc w:val="both"/>
        <w:rPr>
          <w:b/>
        </w:rPr>
      </w:pPr>
    </w:p>
    <w:p w14:paraId="2444E29D" w14:textId="63105405" w:rsidR="00457648" w:rsidRPr="00F9224C" w:rsidRDefault="00E1297F" w:rsidP="00273559">
      <w:pPr>
        <w:spacing w:line="360" w:lineRule="auto"/>
        <w:jc w:val="both"/>
        <w:rPr>
          <w:b/>
        </w:rPr>
      </w:pPr>
      <w:r w:rsidRPr="00F9224C">
        <w:rPr>
          <w:b/>
        </w:rPr>
        <w:t>7</w:t>
      </w:r>
      <w:r w:rsidR="00D366CF" w:rsidRPr="00F9224C">
        <w:rPr>
          <w:b/>
        </w:rPr>
        <w:t xml:space="preserve">. </w:t>
      </w:r>
      <w:r w:rsidR="00457648" w:rsidRPr="00F9224C">
        <w:rPr>
          <w:b/>
        </w:rPr>
        <w:t>Policy recommendation:</w:t>
      </w:r>
    </w:p>
    <w:p w14:paraId="1EA4724C" w14:textId="671DD1E2" w:rsidR="00BA60BC" w:rsidRPr="00F9224C" w:rsidRDefault="00BA60BC" w:rsidP="00BA60BC">
      <w:pPr>
        <w:spacing w:line="360" w:lineRule="auto"/>
        <w:jc w:val="both"/>
      </w:pPr>
      <w:r w:rsidRPr="00F9224C">
        <w:t>This research analyzes the long-run nexus between dependent variables (suicide rates) and independent variables (unemployment, GDP growth, and Inflation) in Bangladesh from 2000 to 2021. On one hand, unemployment and GDP show a positive relationship with suicide rates; if unemployment and GDP increase, suicide rates must increase. In contrast, Inflation indicates a negative relationship with suicide rates; if the inflation rate increases, there must be a decrease in suicide rates. The government should take a number of policy initiatives to prevent suicide, such as:</w:t>
      </w:r>
    </w:p>
    <w:p w14:paraId="25C18356" w14:textId="437A8B17" w:rsidR="00BA60BC" w:rsidRPr="00F9224C" w:rsidRDefault="00E1297F" w:rsidP="00BA60BC">
      <w:pPr>
        <w:spacing w:line="360" w:lineRule="auto"/>
        <w:jc w:val="both"/>
        <w:rPr>
          <w:b/>
        </w:rPr>
      </w:pPr>
      <w:r w:rsidRPr="00F9224C">
        <w:rPr>
          <w:b/>
        </w:rPr>
        <w:t>7</w:t>
      </w:r>
      <w:r w:rsidR="00D366CF" w:rsidRPr="00F9224C">
        <w:rPr>
          <w:b/>
        </w:rPr>
        <w:t xml:space="preserve">.1 </w:t>
      </w:r>
      <w:r w:rsidR="00BA60BC" w:rsidRPr="00F9224C">
        <w:rPr>
          <w:b/>
        </w:rPr>
        <w:t>Create employment opportunities</w:t>
      </w:r>
    </w:p>
    <w:p w14:paraId="0BD8424A" w14:textId="77777777" w:rsidR="00BA60BC" w:rsidRPr="00F9224C" w:rsidRDefault="00BA60BC" w:rsidP="00BA60BC">
      <w:pPr>
        <w:spacing w:line="360" w:lineRule="auto"/>
        <w:jc w:val="both"/>
      </w:pPr>
      <w:r w:rsidRPr="00F9224C">
        <w:t>Especially for people who are more at risk, like young people, workers without special skills, and those who have had mental health problems before, to help protect them from the bad effects of losing a job on their mental health. This research reveals that unemployment has a clear link to suicide rates. The government should take steps to reduce joblessness, especially for young people, by investing in skills training, entrepreneurship support, and expanding employment programs in rural and urban areas.</w:t>
      </w:r>
    </w:p>
    <w:p w14:paraId="0273CA05" w14:textId="01EAA830" w:rsidR="00BA60BC" w:rsidRPr="00F9224C" w:rsidRDefault="00E1297F" w:rsidP="00BA60BC">
      <w:pPr>
        <w:spacing w:line="360" w:lineRule="auto"/>
        <w:jc w:val="both"/>
        <w:rPr>
          <w:b/>
        </w:rPr>
      </w:pPr>
      <w:r w:rsidRPr="00F9224C">
        <w:rPr>
          <w:b/>
        </w:rPr>
        <w:t>7</w:t>
      </w:r>
      <w:r w:rsidR="00D366CF" w:rsidRPr="00F9224C">
        <w:rPr>
          <w:b/>
        </w:rPr>
        <w:t xml:space="preserve">.2 </w:t>
      </w:r>
      <w:r w:rsidR="00BA60BC" w:rsidRPr="00F9224C">
        <w:rPr>
          <w:b/>
        </w:rPr>
        <w:t>Control Inflation to Ease Financial Pressure</w:t>
      </w:r>
    </w:p>
    <w:p w14:paraId="0D19DFDC" w14:textId="0FF8F316" w:rsidR="00BA60BC" w:rsidRPr="00F9224C" w:rsidRDefault="00BA60BC" w:rsidP="00BA60BC">
      <w:pPr>
        <w:spacing w:line="360" w:lineRule="auto"/>
        <w:jc w:val="both"/>
      </w:pPr>
      <w:r w:rsidRPr="00F9224C">
        <w:t>Higher price levels of food and other necessities can feel overwhelming and intimidating, specifically among low-income families. Minimizing the price pressures is feasible if officials have the proper subsidies and also watch the marketplace, which reduces driving prices and stabilizes them. The policies for suicide prevention must also be aimed at an overall stable economy to deter suicides, since conditions such as getting fired or rising costs allow thoughts of self-harm to enter the minds of individuals.</w:t>
      </w:r>
    </w:p>
    <w:p w14:paraId="34ADAFB6" w14:textId="7CC6DBD5" w:rsidR="00BA60BC" w:rsidRPr="00F9224C" w:rsidRDefault="00E1297F" w:rsidP="00BA60BC">
      <w:pPr>
        <w:spacing w:line="360" w:lineRule="auto"/>
        <w:jc w:val="both"/>
        <w:rPr>
          <w:b/>
        </w:rPr>
      </w:pPr>
      <w:r w:rsidRPr="00F9224C">
        <w:rPr>
          <w:b/>
        </w:rPr>
        <w:t>7</w:t>
      </w:r>
      <w:r w:rsidR="00D366CF" w:rsidRPr="00F9224C">
        <w:rPr>
          <w:b/>
        </w:rPr>
        <w:t xml:space="preserve">.3 </w:t>
      </w:r>
      <w:r w:rsidR="00BA60BC" w:rsidRPr="00F9224C">
        <w:rPr>
          <w:b/>
        </w:rPr>
        <w:t>Promote Economic Growth with Inclusive Planning</w:t>
      </w:r>
    </w:p>
    <w:p w14:paraId="11DE060D" w14:textId="7E6FE32E" w:rsidR="00BA60BC" w:rsidRPr="00F9224C" w:rsidRDefault="00BA60BC" w:rsidP="00BA60BC">
      <w:pPr>
        <w:spacing w:line="360" w:lineRule="auto"/>
        <w:jc w:val="both"/>
      </w:pPr>
      <w:r w:rsidRPr="00F9224C">
        <w:t>Long-term GDP growth can potentially bring down the number of suicides, but it has to be good growth for all of society—inclusive development, which reduces inequality and brings services and jobs into areas of greater need, must be your overriding concern.</w:t>
      </w:r>
    </w:p>
    <w:p w14:paraId="0D9ACF25" w14:textId="53720914" w:rsidR="00BA60BC" w:rsidRPr="00F9224C" w:rsidRDefault="00E1297F" w:rsidP="00BA60BC">
      <w:pPr>
        <w:spacing w:line="360" w:lineRule="auto"/>
        <w:jc w:val="both"/>
        <w:rPr>
          <w:b/>
        </w:rPr>
      </w:pPr>
      <w:r w:rsidRPr="00F9224C">
        <w:rPr>
          <w:b/>
        </w:rPr>
        <w:t>7</w:t>
      </w:r>
      <w:r w:rsidR="00D366CF" w:rsidRPr="00F9224C">
        <w:rPr>
          <w:b/>
        </w:rPr>
        <w:t xml:space="preserve">.4 </w:t>
      </w:r>
      <w:r w:rsidR="00BA60BC" w:rsidRPr="00F9224C">
        <w:rPr>
          <w:b/>
        </w:rPr>
        <w:t>Make Mental Health Services Affordable and Accessible</w:t>
      </w:r>
    </w:p>
    <w:p w14:paraId="070972EF" w14:textId="77777777" w:rsidR="00BA60BC" w:rsidRPr="00F9224C" w:rsidRDefault="00BA60BC" w:rsidP="00BA60BC">
      <w:pPr>
        <w:spacing w:line="360" w:lineRule="auto"/>
        <w:jc w:val="both"/>
      </w:pPr>
      <w:r w:rsidRPr="00F9224C">
        <w:t>Every District and Upazila should have affordable mental health services. Government hospitals and clinics must include trained psychologists and counselors, and mental health checkups should be part of regular healthcare. Ministries related to finance, planning, and labor should consider the impact of economic changes on mental health. For example, during a recession or inflation spike, emergency mental health support (like hotline services and community outreach) should be activated.</w:t>
      </w:r>
    </w:p>
    <w:p w14:paraId="108AE44D" w14:textId="3636C37B" w:rsidR="00BA60BC" w:rsidRPr="00F9224C" w:rsidRDefault="00E1297F" w:rsidP="00BA60BC">
      <w:pPr>
        <w:spacing w:line="360" w:lineRule="auto"/>
        <w:jc w:val="both"/>
        <w:rPr>
          <w:b/>
        </w:rPr>
      </w:pPr>
      <w:r w:rsidRPr="00F9224C">
        <w:rPr>
          <w:b/>
        </w:rPr>
        <w:lastRenderedPageBreak/>
        <w:t>7</w:t>
      </w:r>
      <w:r w:rsidR="00D366CF" w:rsidRPr="00F9224C">
        <w:rPr>
          <w:b/>
        </w:rPr>
        <w:t xml:space="preserve">.5 </w:t>
      </w:r>
      <w:r w:rsidR="00BA60BC" w:rsidRPr="00F9224C">
        <w:rPr>
          <w:b/>
        </w:rPr>
        <w:t>Community support and public awareness</w:t>
      </w:r>
    </w:p>
    <w:p w14:paraId="3B6512E9" w14:textId="77777777" w:rsidR="00BA60BC" w:rsidRPr="00F9224C" w:rsidRDefault="00BA60BC" w:rsidP="00BA60BC">
      <w:pPr>
        <w:spacing w:line="360" w:lineRule="auto"/>
        <w:jc w:val="both"/>
      </w:pPr>
      <w:r w:rsidRPr="00F9224C">
        <w:t>Start big campaigns all over the country to help people better understand mental health and stop the shame about it. Encourage neighbors and communities to support each other, and stress that it is okay to ask for help, especially when money problems make life hard. Encourage the use of these peer support groups and community-based mental health initiatives where people can discuss their financial and emotional challenges in a safe environment, especially in rural or underserved communities.</w:t>
      </w:r>
    </w:p>
    <w:p w14:paraId="2F9347EE" w14:textId="1612EA21" w:rsidR="00BA60BC" w:rsidRPr="00F9224C" w:rsidRDefault="00E1297F" w:rsidP="00BA60BC">
      <w:pPr>
        <w:spacing w:line="360" w:lineRule="auto"/>
        <w:jc w:val="both"/>
        <w:rPr>
          <w:b/>
        </w:rPr>
      </w:pPr>
      <w:r w:rsidRPr="00F9224C">
        <w:rPr>
          <w:b/>
        </w:rPr>
        <w:t>7</w:t>
      </w:r>
      <w:r w:rsidR="00D366CF" w:rsidRPr="00F9224C">
        <w:rPr>
          <w:b/>
        </w:rPr>
        <w:t xml:space="preserve">.6 </w:t>
      </w:r>
      <w:r w:rsidR="00BA60BC" w:rsidRPr="00F9224C">
        <w:rPr>
          <w:b/>
        </w:rPr>
        <w:t>Strengthen Social Safety Nets for the Vulnerable</w:t>
      </w:r>
    </w:p>
    <w:p w14:paraId="403B37FF" w14:textId="46EE6BB9" w:rsidR="00BA60BC" w:rsidRPr="00F9224C" w:rsidRDefault="00BA60BC" w:rsidP="00BA60BC">
      <w:pPr>
        <w:spacing w:line="360" w:lineRule="auto"/>
        <w:jc w:val="both"/>
      </w:pPr>
      <w:r w:rsidRPr="00F9224C">
        <w:t>To help people through difficult periods, expand social protection programs like cash transfer programs, food assistance, or temporary job programs that can help people find work when the economy is poor. Seeing social protection programs expand, even for a short time, can give people hope when they are having financial problems.</w:t>
      </w:r>
    </w:p>
    <w:p w14:paraId="43A78261" w14:textId="0C41ABD7" w:rsidR="00D366CF" w:rsidRPr="00F9224C" w:rsidRDefault="00D366CF" w:rsidP="00BA60BC">
      <w:pPr>
        <w:spacing w:line="360" w:lineRule="auto"/>
        <w:jc w:val="both"/>
      </w:pPr>
    </w:p>
    <w:p w14:paraId="4E6A2076" w14:textId="77777777" w:rsidR="00D366CF" w:rsidRPr="00F9224C" w:rsidRDefault="00D366CF" w:rsidP="00BA60BC">
      <w:pPr>
        <w:spacing w:line="360" w:lineRule="auto"/>
        <w:jc w:val="both"/>
      </w:pPr>
    </w:p>
    <w:p w14:paraId="3AE016DE" w14:textId="7444A7FF" w:rsidR="00BA60BC" w:rsidRPr="00F9224C" w:rsidRDefault="00E1297F" w:rsidP="00BA60BC">
      <w:pPr>
        <w:spacing w:line="360" w:lineRule="auto"/>
        <w:jc w:val="both"/>
        <w:rPr>
          <w:b/>
        </w:rPr>
      </w:pPr>
      <w:r w:rsidRPr="00F9224C">
        <w:rPr>
          <w:b/>
        </w:rPr>
        <w:t>7</w:t>
      </w:r>
      <w:r w:rsidR="00D366CF" w:rsidRPr="00F9224C">
        <w:rPr>
          <w:b/>
        </w:rPr>
        <w:t xml:space="preserve">.7 </w:t>
      </w:r>
      <w:r w:rsidR="00BA60BC" w:rsidRPr="00F9224C">
        <w:rPr>
          <w:b/>
        </w:rPr>
        <w:t>Raise Awareness About Economic Stress and Suicide Risk</w:t>
      </w:r>
    </w:p>
    <w:p w14:paraId="41DA0556" w14:textId="77777777" w:rsidR="00BA60BC" w:rsidRPr="00F9224C" w:rsidRDefault="00BA60BC" w:rsidP="00BA60BC">
      <w:pPr>
        <w:spacing w:line="360" w:lineRule="auto"/>
        <w:jc w:val="both"/>
      </w:pPr>
      <w:r w:rsidRPr="00F9224C">
        <w:t>Initiate campaigns in each state so people become aware of how money issues can affect their mental health and that it is okay to ask for help. Utilize schools, workplaces, media outlets, and faith leaders to assist in raising awareness.</w:t>
      </w:r>
    </w:p>
    <w:p w14:paraId="640B810B" w14:textId="2A11BA70" w:rsidR="00BA60BC" w:rsidRPr="00F9224C" w:rsidRDefault="00E1297F" w:rsidP="00BA60BC">
      <w:pPr>
        <w:spacing w:line="360" w:lineRule="auto"/>
        <w:jc w:val="both"/>
        <w:rPr>
          <w:b/>
        </w:rPr>
      </w:pPr>
      <w:r w:rsidRPr="00F9224C">
        <w:rPr>
          <w:b/>
        </w:rPr>
        <w:t>7</w:t>
      </w:r>
      <w:r w:rsidR="00D366CF" w:rsidRPr="00F9224C">
        <w:rPr>
          <w:b/>
        </w:rPr>
        <w:t xml:space="preserve">.8 </w:t>
      </w:r>
      <w:r w:rsidR="00BA60BC" w:rsidRPr="00F9224C">
        <w:rPr>
          <w:b/>
        </w:rPr>
        <w:t>Track Suicide and Economic Indicators More Closely</w:t>
      </w:r>
    </w:p>
    <w:p w14:paraId="286263CE" w14:textId="77777777" w:rsidR="00BA60BC" w:rsidRPr="00F9224C" w:rsidRDefault="00BA60BC" w:rsidP="00BA60BC">
      <w:pPr>
        <w:spacing w:line="360" w:lineRule="auto"/>
        <w:jc w:val="both"/>
      </w:pPr>
      <w:r w:rsidRPr="00F9224C">
        <w:t xml:space="preserve">Enhance data collection systems to describe suicide rates and trends alongside economic conditions, which can facilitate better targeted intervention efforts. </w:t>
      </w:r>
    </w:p>
    <w:p w14:paraId="619BA363" w14:textId="3E5C1A28" w:rsidR="00BA60BC" w:rsidRPr="00F9224C" w:rsidRDefault="00E1297F" w:rsidP="00BA60BC">
      <w:pPr>
        <w:spacing w:line="360" w:lineRule="auto"/>
        <w:jc w:val="both"/>
        <w:rPr>
          <w:b/>
        </w:rPr>
      </w:pPr>
      <w:r w:rsidRPr="00F9224C">
        <w:rPr>
          <w:b/>
        </w:rPr>
        <w:t>7</w:t>
      </w:r>
      <w:r w:rsidR="00D366CF" w:rsidRPr="00F9224C">
        <w:rPr>
          <w:b/>
        </w:rPr>
        <w:t xml:space="preserve">.9 </w:t>
      </w:r>
      <w:r w:rsidR="00BA60BC" w:rsidRPr="00F9224C">
        <w:rPr>
          <w:b/>
        </w:rPr>
        <w:t>Include Mental Health Education in Schools and Colleges</w:t>
      </w:r>
    </w:p>
    <w:p w14:paraId="1C7A0B8A" w14:textId="2000AA14" w:rsidR="002463EF" w:rsidRPr="00F9224C" w:rsidRDefault="00BA60BC" w:rsidP="00D366CF">
      <w:pPr>
        <w:spacing w:line="360" w:lineRule="auto"/>
        <w:jc w:val="both"/>
      </w:pPr>
      <w:r w:rsidRPr="00F9224C">
        <w:t>Teaching young people emotional resilience and coping strategies should be a priority. Counselling services should be available to students in schools and colleges, especially during exams or after significant life events or disasters.</w:t>
      </w:r>
    </w:p>
    <w:p w14:paraId="54898D8B" w14:textId="77777777" w:rsidR="00D366CF" w:rsidRPr="00F9224C" w:rsidRDefault="00D366CF" w:rsidP="00D366CF">
      <w:pPr>
        <w:spacing w:line="360" w:lineRule="auto"/>
        <w:jc w:val="both"/>
      </w:pPr>
    </w:p>
    <w:p w14:paraId="4B3B86F4" w14:textId="178BDB70" w:rsidR="00D366CF" w:rsidRPr="00F9224C" w:rsidRDefault="00E1297F" w:rsidP="003D46AD">
      <w:pPr>
        <w:pStyle w:val="NormalWeb"/>
        <w:spacing w:line="360" w:lineRule="auto"/>
        <w:jc w:val="both"/>
        <w:rPr>
          <w:b/>
        </w:rPr>
      </w:pPr>
      <w:r w:rsidRPr="00F9224C">
        <w:rPr>
          <w:b/>
        </w:rPr>
        <w:t>8</w:t>
      </w:r>
      <w:r w:rsidR="00D366CF" w:rsidRPr="00F9224C">
        <w:rPr>
          <w:b/>
        </w:rPr>
        <w:t xml:space="preserve">. </w:t>
      </w:r>
      <w:r w:rsidR="00F1355F" w:rsidRPr="00F9224C">
        <w:rPr>
          <w:b/>
        </w:rPr>
        <w:t>Conclusion</w:t>
      </w:r>
    </w:p>
    <w:p w14:paraId="429E0CB9" w14:textId="4456A66D" w:rsidR="003D46AD" w:rsidRPr="00F9224C" w:rsidRDefault="003D46AD" w:rsidP="003D46AD">
      <w:pPr>
        <w:pStyle w:val="NormalWeb"/>
        <w:spacing w:line="360" w:lineRule="auto"/>
        <w:jc w:val="both"/>
      </w:pPr>
      <w:r w:rsidRPr="00F9224C">
        <w:t>This investigation analyzed the connection between macroeconomic factors, including unemployment, Inflation, and GDP growth, and suicide rates in Bangladesh from 2000 to 2021 using the ARDL methodology. The findings demonstrate that economic conditions have a significant impact on suicidal behavior. The analysis revealed a positive</w:t>
      </w:r>
      <w:r w:rsidR="00030F97" w:rsidRPr="00F9224C">
        <w:t xml:space="preserve"> </w:t>
      </w:r>
      <w:r w:rsidRPr="00F9224C">
        <w:t xml:space="preserve">interrelation between GDP growth, suicide rates, and unemployment, while Inflation exhibited a negative impact. </w:t>
      </w:r>
      <w:r w:rsidRPr="00F9224C">
        <w:lastRenderedPageBreak/>
        <w:t xml:space="preserve">The importance of the error correction term reveals that almost fifty percent of short-term discrepancies in suicide rates are rectified in later periods, implying a gradual adjustment process in response to economic fluctuations. </w:t>
      </w:r>
    </w:p>
    <w:p w14:paraId="445ADB1D" w14:textId="77777777" w:rsidR="003D46AD" w:rsidRPr="00F9224C" w:rsidRDefault="003D46AD" w:rsidP="003D46AD">
      <w:pPr>
        <w:pStyle w:val="NormalWeb"/>
        <w:spacing w:line="360" w:lineRule="auto"/>
        <w:jc w:val="both"/>
      </w:pPr>
      <w:r w:rsidRPr="00F9224C">
        <w:t xml:space="preserve">The results enhance the existing body of work on the socioeconomic factors influencing suicide, offering insights from a developing country perspective, an area where research is still scarce. They emphasize that suicide is not solely an individual or psychological phenomenon but is influenced by larger structural and economic factors. In the context of Bangladesh, ongoing unemployment, unequal economic benefits, and limited access to mental health services together increase the risk of self-harm. Policymakers ought to consider suicide prevention not merely as a clinical issue but also as an economic policy challenge. Enhancing job prospects, fostering more inclusive growth patterns, and sustaining price stability are essential strategies that could alleviate the economic pressures associated with increasing suicide rates. </w:t>
      </w:r>
    </w:p>
    <w:p w14:paraId="26A71917" w14:textId="03AE5883" w:rsidR="00B83CAA" w:rsidRDefault="003D46AD" w:rsidP="00B83CAA">
      <w:pPr>
        <w:pStyle w:val="NormalWeb"/>
        <w:spacing w:line="360" w:lineRule="auto"/>
        <w:jc w:val="both"/>
      </w:pPr>
      <w:r w:rsidRPr="00F9224C">
        <w:t>However, the investigation presents multiple constraints. In Bangladesh, the statistics surrounding suicide are probably not fully accurate, influenced by societal stigma and shortcomings in the data collection processes. Additionally, the analysis fails to consider various social and cultural factors, including family dynamics, education, and healthcare access, which could interact with economic conditions to affect suicide rates. The identified gaps highlight the necessity for additional inquiry that embraces an interdisciplinary approach, integrating economic, sociological, and psychological aspects, while utilizing more detailed datasets segmented by gender, age, and region. In summary, the findings discussed underscore the importance of combining economic policy with public health approaches to effectively tackle the issue of suicide. Enhancing mental health services, alongside addressing economic insecurities, provides a more thorough and sustainable strategy for prevention. Recognizing the economic foundations of suicidal behavior allows Bangladesh to develop policies that protect individual well-being while also enhancing social resilience and equity.</w:t>
      </w:r>
      <w:r w:rsidR="00B83CAA" w:rsidRPr="00F9224C">
        <w:t xml:space="preserve"> </w:t>
      </w:r>
    </w:p>
    <w:p w14:paraId="5FEEC431" w14:textId="5996D3E3" w:rsidR="00EB6826" w:rsidRPr="006C373B" w:rsidRDefault="00597526" w:rsidP="00EB6826">
      <w:pPr>
        <w:rPr>
          <w:highlight w:val="yellow"/>
        </w:rPr>
      </w:pPr>
      <w:r w:rsidRPr="0053103A">
        <w:rPr>
          <w:b/>
          <w:highlight w:val="yellow"/>
        </w:rPr>
        <w:t>Disclaimer (Artificial intelligence)</w:t>
      </w:r>
      <w:r w:rsidR="00EB6826">
        <w:br/>
      </w:r>
      <w:r w:rsidR="00EB6826" w:rsidRPr="006C373B">
        <w:rPr>
          <w:highlight w:val="yellow"/>
        </w:rPr>
        <w:t>The authors hereby declare that generative AI technologies were used during the writing and editing of this manuscript. Details of the AI usage are as follows:</w:t>
      </w:r>
    </w:p>
    <w:p w14:paraId="65E97B71" w14:textId="5453474F" w:rsidR="00EB6826" w:rsidRPr="006C373B" w:rsidRDefault="00EB6826" w:rsidP="00EB6826">
      <w:pPr>
        <w:pStyle w:val="NormalWeb"/>
        <w:numPr>
          <w:ilvl w:val="0"/>
          <w:numId w:val="23"/>
        </w:numPr>
        <w:rPr>
          <w:highlight w:val="yellow"/>
        </w:rPr>
      </w:pPr>
      <w:r w:rsidRPr="006C373B">
        <w:rPr>
          <w:rStyle w:val="Strong"/>
          <w:b w:val="0"/>
          <w:highlight w:val="yellow"/>
        </w:rPr>
        <w:t>AI tool:</w:t>
      </w:r>
      <w:r w:rsidRPr="006C373B">
        <w:rPr>
          <w:highlight w:val="yellow"/>
        </w:rPr>
        <w:t xml:space="preserve"> Chat</w:t>
      </w:r>
      <w:r w:rsidR="006C373B" w:rsidRPr="006C373B">
        <w:rPr>
          <w:highlight w:val="yellow"/>
        </w:rPr>
        <w:t xml:space="preserve"> </w:t>
      </w:r>
      <w:r w:rsidRPr="006C373B">
        <w:rPr>
          <w:highlight w:val="yellow"/>
        </w:rPr>
        <w:t>GPT, GPT-5 mini.</w:t>
      </w:r>
    </w:p>
    <w:p w14:paraId="4931909E" w14:textId="0F09A52B" w:rsidR="00EB6826" w:rsidRPr="006C373B" w:rsidRDefault="00EB6826" w:rsidP="00EB6826">
      <w:pPr>
        <w:pStyle w:val="NormalWeb"/>
        <w:numPr>
          <w:ilvl w:val="0"/>
          <w:numId w:val="23"/>
        </w:numPr>
        <w:rPr>
          <w:highlight w:val="yellow"/>
        </w:rPr>
      </w:pPr>
      <w:r w:rsidRPr="006C373B">
        <w:rPr>
          <w:rStyle w:val="Strong"/>
          <w:b w:val="0"/>
          <w:highlight w:val="yellow"/>
        </w:rPr>
        <w:t>Purpose:</w:t>
      </w:r>
      <w:r w:rsidRPr="006C373B">
        <w:rPr>
          <w:highlight w:val="yellow"/>
        </w:rPr>
        <w:t xml:space="preserve"> Assisted in refining sentences for clarity, conciseness, and formal academic style</w:t>
      </w:r>
      <w:r w:rsidR="006C373B" w:rsidRPr="006C373B">
        <w:rPr>
          <w:highlight w:val="yellow"/>
        </w:rPr>
        <w:t>.</w:t>
      </w:r>
    </w:p>
    <w:p w14:paraId="0D85CCD3" w14:textId="00122CF4" w:rsidR="00EB6826" w:rsidRPr="006C373B" w:rsidRDefault="00EB6826" w:rsidP="00EB6826">
      <w:pPr>
        <w:pStyle w:val="NormalWeb"/>
        <w:numPr>
          <w:ilvl w:val="0"/>
          <w:numId w:val="23"/>
        </w:numPr>
        <w:rPr>
          <w:highlight w:val="yellow"/>
        </w:rPr>
      </w:pPr>
      <w:r w:rsidRPr="006C373B">
        <w:rPr>
          <w:rStyle w:val="Strong"/>
          <w:b w:val="0"/>
          <w:highlight w:val="yellow"/>
        </w:rPr>
        <w:lastRenderedPageBreak/>
        <w:t>Input prompts:</w:t>
      </w:r>
      <w:r w:rsidRPr="006C373B">
        <w:rPr>
          <w:highlight w:val="yellow"/>
        </w:rPr>
        <w:t xml:space="preserve"> Revision of sentences, rephrasing for academic tone, and improving readability</w:t>
      </w:r>
      <w:r w:rsidR="006C373B" w:rsidRPr="006C373B">
        <w:rPr>
          <w:highlight w:val="yellow"/>
        </w:rPr>
        <w:t>.</w:t>
      </w:r>
    </w:p>
    <w:p w14:paraId="528641E7" w14:textId="77777777" w:rsidR="00597526" w:rsidRPr="00F9224C" w:rsidRDefault="00597526" w:rsidP="00B83CAA">
      <w:pPr>
        <w:pStyle w:val="NormalWeb"/>
        <w:spacing w:line="360" w:lineRule="auto"/>
        <w:jc w:val="both"/>
      </w:pPr>
    </w:p>
    <w:p w14:paraId="2BD2894E" w14:textId="3DE8CA56" w:rsidR="009204ED" w:rsidRPr="00F9224C" w:rsidRDefault="009204ED" w:rsidP="00B83CAA">
      <w:pPr>
        <w:pStyle w:val="NormalWeb"/>
        <w:spacing w:line="360" w:lineRule="auto"/>
        <w:jc w:val="both"/>
      </w:pPr>
      <w:r w:rsidRPr="00F9224C">
        <w:rPr>
          <w:b/>
        </w:rPr>
        <w:t>References:</w:t>
      </w:r>
    </w:p>
    <w:p w14:paraId="07312C37" w14:textId="078BA164" w:rsidR="002463EF" w:rsidRPr="00F9224C" w:rsidRDefault="002463EF" w:rsidP="006A7F1E">
      <w:pPr>
        <w:spacing w:line="480" w:lineRule="auto"/>
        <w:ind w:left="1080" w:hanging="720"/>
        <w:jc w:val="both"/>
      </w:pPr>
      <w:r w:rsidRPr="00F9224C">
        <w:t xml:space="preserve">Akyuz, M., &amp; Karul, C. (2022). The effect of economic factors on suicide: An analysis of a developing country. International Journal of Human Rights in Healthcare. </w:t>
      </w:r>
      <w:hyperlink r:id="rId16" w:history="1">
        <w:r w:rsidR="00D366CF" w:rsidRPr="00F9224C">
          <w:rPr>
            <w:rStyle w:val="Hyperlink"/>
          </w:rPr>
          <w:t>https://doi.org/10.1108/IJHRH-03-2022-0023</w:t>
        </w:r>
      </w:hyperlink>
    </w:p>
    <w:p w14:paraId="0479EFC8" w14:textId="7D52A625" w:rsidR="002463EF" w:rsidRPr="00F9224C" w:rsidRDefault="002463EF" w:rsidP="006A7F1E">
      <w:pPr>
        <w:spacing w:line="480" w:lineRule="auto"/>
        <w:ind w:left="1080" w:hanging="720"/>
        <w:jc w:val="both"/>
      </w:pPr>
      <w:r w:rsidRPr="00AF086C">
        <w:rPr>
          <w:lang w:val="nl-BE"/>
        </w:rPr>
        <w:t xml:space="preserve">Andrés, A. R., Halicioglu, F., &amp; Yamamura, E. (2011). </w:t>
      </w:r>
      <w:r w:rsidRPr="00F9224C">
        <w:t xml:space="preserve">Socio-economic determinants of suicide in Japan. The Journal of Socio-Economics, 40(6), 723–731. </w:t>
      </w:r>
      <w:hyperlink r:id="rId17" w:history="1">
        <w:r w:rsidR="00D366CF" w:rsidRPr="00F9224C">
          <w:rPr>
            <w:rStyle w:val="Hyperlink"/>
          </w:rPr>
          <w:t>https://doi.org/10.1016/j.socec.2011.08.002</w:t>
        </w:r>
      </w:hyperlink>
    </w:p>
    <w:p w14:paraId="789BBF13" w14:textId="3D1CE6B0" w:rsidR="00D366CF" w:rsidRPr="00F9224C" w:rsidRDefault="002463EF" w:rsidP="006A7F1E">
      <w:pPr>
        <w:spacing w:line="480" w:lineRule="auto"/>
        <w:ind w:left="1080" w:hanging="720"/>
        <w:jc w:val="both"/>
      </w:pPr>
      <w:r w:rsidRPr="00F9224C">
        <w:t xml:space="preserve">Antonakakis, N., &amp; Collins, A. (2015). The impact of fiscal austerity on suicide mortality: Evidence across the ‘Eurozone periphery’. Social Science &amp; Medicine, 145, 63–78. </w:t>
      </w:r>
      <w:hyperlink r:id="rId18" w:history="1">
        <w:r w:rsidR="00D366CF" w:rsidRPr="00F9224C">
          <w:rPr>
            <w:rStyle w:val="Hyperlink"/>
          </w:rPr>
          <w:t>https://doi.org/10.1016/j.socscimed.2015.09.033</w:t>
        </w:r>
      </w:hyperlink>
    </w:p>
    <w:p w14:paraId="506886CF" w14:textId="38C97491" w:rsidR="00D366CF" w:rsidRDefault="002463EF" w:rsidP="006F0E27">
      <w:pPr>
        <w:spacing w:line="480" w:lineRule="auto"/>
        <w:ind w:left="1080" w:hanging="720"/>
        <w:jc w:val="both"/>
        <w:rPr>
          <w:rStyle w:val="Hyperlink"/>
        </w:rPr>
      </w:pPr>
      <w:r w:rsidRPr="00F9224C">
        <w:t xml:space="preserve">Brainerd, E. (2001). Economic reform and mortality in the former Soviet Union: A study of the suicide epidemic in the 1990s. European Economic Review, 45(4–6), 1007–1019. </w:t>
      </w:r>
      <w:hyperlink r:id="rId19" w:history="1">
        <w:r w:rsidR="00D366CF" w:rsidRPr="00F9224C">
          <w:rPr>
            <w:rStyle w:val="Hyperlink"/>
          </w:rPr>
          <w:t>https://doi.org/10.1016/S0014-2921(01)00108-8</w:t>
        </w:r>
      </w:hyperlink>
    </w:p>
    <w:p w14:paraId="2389BF56" w14:textId="4640DF0B" w:rsidR="009A5516" w:rsidRPr="00F9224C" w:rsidRDefault="009A5516" w:rsidP="009A5516">
      <w:pPr>
        <w:spacing w:line="480" w:lineRule="auto"/>
        <w:ind w:left="1080" w:hanging="720"/>
        <w:jc w:val="both"/>
      </w:pPr>
      <w:r w:rsidRPr="009A5516">
        <w:rPr>
          <w:bCs/>
        </w:rPr>
        <w:t>Chang, S.-S., Stuckler, D., Yip, P., &amp; Gunnell, D. (2013).</w:t>
      </w:r>
      <w:r w:rsidRPr="009A5516">
        <w:t xml:space="preserve"> </w:t>
      </w:r>
      <w:r w:rsidRPr="009A5516">
        <w:rPr>
          <w:iCs/>
        </w:rPr>
        <w:t>Impact of 2008 global economic crisis on suicide: time trend study in 54 countries.</w:t>
      </w:r>
      <w:r w:rsidRPr="009A5516">
        <w:t xml:space="preserve"> </w:t>
      </w:r>
      <w:r w:rsidRPr="009A5516">
        <w:rPr>
          <w:iCs/>
        </w:rPr>
        <w:t>BMJ</w:t>
      </w:r>
      <w:r w:rsidRPr="009A5516">
        <w:t>, 347, f5239</w:t>
      </w:r>
    </w:p>
    <w:p w14:paraId="3C2E0505" w14:textId="4B04E35B" w:rsidR="00D366CF" w:rsidRPr="00F9224C" w:rsidRDefault="002463EF" w:rsidP="006A7F1E">
      <w:pPr>
        <w:spacing w:line="480" w:lineRule="auto"/>
        <w:ind w:left="1080" w:hanging="720"/>
        <w:jc w:val="both"/>
      </w:pPr>
      <w:r w:rsidRPr="00F9224C">
        <w:t xml:space="preserve">Cylus, J., Glymour, M. M., &amp; Avendano, M. (2014). Do generous unemployment benefit programs reduce suicide rates? A state fixed-effect analysis covering 1968–2008. American Journal of Epidemiology, 180(1), 45–52. </w:t>
      </w:r>
      <w:hyperlink r:id="rId20" w:history="1">
        <w:r w:rsidR="00D366CF" w:rsidRPr="00F9224C">
          <w:rPr>
            <w:rStyle w:val="Hyperlink"/>
          </w:rPr>
          <w:t>https://doi.org/10.1093/aje/kwu106</w:t>
        </w:r>
      </w:hyperlink>
    </w:p>
    <w:p w14:paraId="050352A9" w14:textId="0FEB8531" w:rsidR="002463EF" w:rsidRPr="00F9224C" w:rsidRDefault="002463EF" w:rsidP="006A7F1E">
      <w:pPr>
        <w:spacing w:line="480" w:lineRule="auto"/>
        <w:ind w:left="1080" w:hanging="720"/>
        <w:jc w:val="both"/>
      </w:pPr>
      <w:r w:rsidRPr="00F9224C">
        <w:t xml:space="preserve">Durkheim, E. (1897). Le Suicide. New York: Free Press. </w:t>
      </w:r>
      <w:hyperlink r:id="rId21" w:history="1">
        <w:r w:rsidR="00D366CF" w:rsidRPr="00F9224C">
          <w:rPr>
            <w:rStyle w:val="Hyperlink"/>
          </w:rPr>
          <w:t>https://www.amazon.com/Suicide-Emile-Durkheim/dp/1607966425</w:t>
        </w:r>
      </w:hyperlink>
    </w:p>
    <w:p w14:paraId="4857FB3A" w14:textId="7557A6B6" w:rsidR="00D366CF" w:rsidRDefault="002463EF" w:rsidP="006F0E27">
      <w:pPr>
        <w:spacing w:line="480" w:lineRule="auto"/>
        <w:ind w:left="1080" w:hanging="720"/>
        <w:jc w:val="both"/>
        <w:rPr>
          <w:rStyle w:val="Hyperlink"/>
        </w:rPr>
      </w:pPr>
      <w:r w:rsidRPr="00F9224C">
        <w:lastRenderedPageBreak/>
        <w:t xml:space="preserve">Hamermesh, D. S., &amp; Soss, N. M. (1974). An economic theory of suicide. Journal of Political Economy, 82(1), 83–98. </w:t>
      </w:r>
      <w:hyperlink r:id="rId22" w:history="1">
        <w:r w:rsidR="00D366CF" w:rsidRPr="00F9224C">
          <w:rPr>
            <w:rStyle w:val="Hyperlink"/>
          </w:rPr>
          <w:t>https://doi.org/10.1086/260171</w:t>
        </w:r>
      </w:hyperlink>
    </w:p>
    <w:p w14:paraId="3EA38449" w14:textId="7743DB92" w:rsidR="009A5516" w:rsidRPr="00F9224C" w:rsidRDefault="009A5516" w:rsidP="009A5516">
      <w:pPr>
        <w:spacing w:line="480" w:lineRule="auto"/>
        <w:ind w:left="1080" w:hanging="720"/>
        <w:jc w:val="both"/>
      </w:pPr>
      <w:r w:rsidRPr="009A5516">
        <w:t xml:space="preserve">Jahan, S. (2025). </w:t>
      </w:r>
      <w:r w:rsidRPr="009A5516">
        <w:rPr>
          <w:iCs/>
        </w:rPr>
        <w:t>Forecasting the defense budget and assessing its impact on economic growth: An empirical study for Bangladesh</w:t>
      </w:r>
      <w:r w:rsidRPr="009A5516">
        <w:rPr>
          <w:i/>
          <w:iCs/>
        </w:rPr>
        <w:t>.</w:t>
      </w:r>
      <w:r w:rsidRPr="009A5516">
        <w:t xml:space="preserve"> </w:t>
      </w:r>
      <w:r w:rsidRPr="009A5516">
        <w:rPr>
          <w:bCs/>
        </w:rPr>
        <w:t>International Journal of Economics and Finance, 17</w:t>
      </w:r>
      <w:r w:rsidRPr="009A5516">
        <w:t xml:space="preserve">(10), 16–XX. </w:t>
      </w:r>
      <w:hyperlink r:id="rId23" w:tgtFrame="_new" w:history="1">
        <w:r w:rsidRPr="009A5516">
          <w:rPr>
            <w:rStyle w:val="Hyperlink"/>
          </w:rPr>
          <w:t>https://doi.org/10.5539/ijef.v17n10p16</w:t>
        </w:r>
      </w:hyperlink>
    </w:p>
    <w:p w14:paraId="669DB39E" w14:textId="7E9DC847" w:rsidR="002463EF" w:rsidRPr="00F9224C" w:rsidRDefault="002463EF" w:rsidP="006A7F1E">
      <w:pPr>
        <w:spacing w:line="480" w:lineRule="auto"/>
        <w:ind w:left="1080" w:hanging="720"/>
        <w:jc w:val="both"/>
      </w:pPr>
      <w:proofErr w:type="spellStart"/>
      <w:r w:rsidRPr="00F9224C">
        <w:t>Jalles</w:t>
      </w:r>
      <w:proofErr w:type="spellEnd"/>
      <w:r w:rsidRPr="00F9224C">
        <w:t xml:space="preserve">, J. T., &amp; Andresen, M. A. (2015). The social and economic determinants of suicide in Canadian provinces. Health Economics Review, 5(1), 1–12. </w:t>
      </w:r>
      <w:hyperlink r:id="rId24" w:history="1">
        <w:r w:rsidR="00D366CF" w:rsidRPr="00F9224C">
          <w:rPr>
            <w:rStyle w:val="Hyperlink"/>
          </w:rPr>
          <w:t>https://doi.org/10.1186/s13561-015-0041-y</w:t>
        </w:r>
      </w:hyperlink>
    </w:p>
    <w:p w14:paraId="4B00A6BD" w14:textId="7B16436A" w:rsidR="002463EF" w:rsidRPr="00F9224C" w:rsidRDefault="002463EF" w:rsidP="006A7F1E">
      <w:pPr>
        <w:spacing w:line="480" w:lineRule="auto"/>
        <w:ind w:left="1080" w:hanging="720"/>
        <w:jc w:val="both"/>
      </w:pPr>
      <w:proofErr w:type="spellStart"/>
      <w:r w:rsidRPr="00F9224C">
        <w:t>Kõlves</w:t>
      </w:r>
      <w:proofErr w:type="spellEnd"/>
      <w:r w:rsidRPr="00F9224C">
        <w:t xml:space="preserve">, K., Milner, A., &amp; Värnik, P. (2013). Suicide rates and socioeconomic factors in Eastern European countries after the collapse of the Soviet Union: Trends between 1990 and 2008. Sociology of Health &amp; Illness, 35(6), 956–970. </w:t>
      </w:r>
      <w:hyperlink r:id="rId25" w:history="1">
        <w:r w:rsidR="00D366CF" w:rsidRPr="00F9224C">
          <w:rPr>
            <w:rStyle w:val="Hyperlink"/>
          </w:rPr>
          <w:t>https://doi.org/10.1111/1467-9566.12011</w:t>
        </w:r>
      </w:hyperlink>
    </w:p>
    <w:p w14:paraId="7309818A" w14:textId="6E551BA7" w:rsidR="002463EF" w:rsidRPr="00F9224C" w:rsidRDefault="002463EF" w:rsidP="006A7F1E">
      <w:pPr>
        <w:spacing w:line="480" w:lineRule="auto"/>
        <w:ind w:left="1080" w:hanging="720"/>
        <w:jc w:val="both"/>
      </w:pPr>
      <w:r w:rsidRPr="00F9224C">
        <w:t xml:space="preserve">Kuroki, M. (2010). Suicide and unemployment in Japan: Evidence from municipal level suicide rates and age-specific suicide rates. The Journal of Socio-Economics, 39(6), 683–691. </w:t>
      </w:r>
      <w:hyperlink r:id="rId26" w:history="1">
        <w:r w:rsidR="00D366CF" w:rsidRPr="00F9224C">
          <w:rPr>
            <w:rStyle w:val="Hyperlink"/>
          </w:rPr>
          <w:t>https://doi.org/10.1016/j.socec.2010.06.009</w:t>
        </w:r>
      </w:hyperlink>
    </w:p>
    <w:p w14:paraId="4EBB8604" w14:textId="576434E5" w:rsidR="002463EF" w:rsidRPr="00F9224C" w:rsidRDefault="002463EF" w:rsidP="006A7F1E">
      <w:pPr>
        <w:spacing w:line="480" w:lineRule="auto"/>
        <w:ind w:left="1080" w:hanging="720"/>
        <w:jc w:val="both"/>
      </w:pPr>
      <w:r w:rsidRPr="00F9224C">
        <w:t xml:space="preserve">Lari, M. S., &amp; Sefiddashti, S. E. (2023). Socio-economic, health and environmental factors influencing suicide rates: A cross-country study in the Eastern Mediterranean Region. Journal of Forensic and Legal Medicine, 93, Article 102463. </w:t>
      </w:r>
      <w:hyperlink r:id="rId27" w:history="1">
        <w:r w:rsidR="00D366CF" w:rsidRPr="00F9224C">
          <w:rPr>
            <w:rStyle w:val="Hyperlink"/>
          </w:rPr>
          <w:t>https://doi.org/10.1016/j.jflm.2022.102463</w:t>
        </w:r>
      </w:hyperlink>
    </w:p>
    <w:p w14:paraId="40112255" w14:textId="25DA7355" w:rsidR="00D366CF" w:rsidRPr="00F9224C" w:rsidRDefault="002463EF" w:rsidP="006F0E27">
      <w:pPr>
        <w:spacing w:line="480" w:lineRule="auto"/>
        <w:ind w:left="1080" w:hanging="720"/>
        <w:jc w:val="both"/>
      </w:pPr>
      <w:r w:rsidRPr="00F9224C">
        <w:t xml:space="preserve">Lin, S. J. (2006). Unemployment and suicide: Panel data analyses. The Social Science Journal, 43(4), 727–732. </w:t>
      </w:r>
      <w:hyperlink r:id="rId28" w:history="1">
        <w:r w:rsidR="00D366CF" w:rsidRPr="00F9224C">
          <w:rPr>
            <w:rStyle w:val="Hyperlink"/>
          </w:rPr>
          <w:t>https://doi.org/10.1016/j.soscij.2006.08.013</w:t>
        </w:r>
      </w:hyperlink>
    </w:p>
    <w:p w14:paraId="2A961329" w14:textId="312DE8DD" w:rsidR="002463EF" w:rsidRPr="00F9224C" w:rsidRDefault="002463EF" w:rsidP="006A7F1E">
      <w:pPr>
        <w:spacing w:line="480" w:lineRule="auto"/>
        <w:ind w:left="1080" w:hanging="720"/>
        <w:jc w:val="both"/>
      </w:pPr>
      <w:r w:rsidRPr="00F9224C">
        <w:t xml:space="preserve">Machado, D. B., Rasella, D., &amp; dos Santos, D. N. (2015). Impact of income inequality and other social determinants on suicide rate in Brazil. PLoS ONE, 10(4), e0124934. </w:t>
      </w:r>
      <w:hyperlink r:id="rId29" w:history="1">
        <w:r w:rsidR="00D366CF" w:rsidRPr="00F9224C">
          <w:rPr>
            <w:rStyle w:val="Hyperlink"/>
          </w:rPr>
          <w:t>https://doi.org/10.1371/journal.pone.0124934</w:t>
        </w:r>
      </w:hyperlink>
    </w:p>
    <w:p w14:paraId="5A69E5E2" w14:textId="30B3698A" w:rsidR="002463EF" w:rsidRPr="00F9224C" w:rsidRDefault="002463EF" w:rsidP="006A7F1E">
      <w:pPr>
        <w:spacing w:line="480" w:lineRule="auto"/>
        <w:ind w:left="1080" w:hanging="720"/>
        <w:jc w:val="both"/>
      </w:pPr>
      <w:r w:rsidRPr="00F9224C">
        <w:lastRenderedPageBreak/>
        <w:t xml:space="preserve">Mattei, G., &amp; Pistoresi, B. (2019). Unemployment and suicide in Italy: Evidence of a long-run association mitigated by public unemployment spending. European Journal of Health Economics, 20(4), 569–577. </w:t>
      </w:r>
      <w:hyperlink r:id="rId30" w:history="1">
        <w:r w:rsidR="00D366CF" w:rsidRPr="00F9224C">
          <w:rPr>
            <w:rStyle w:val="Hyperlink"/>
          </w:rPr>
          <w:t>https://doi.org/10.1007/s10198-018-1018-7</w:t>
        </w:r>
      </w:hyperlink>
    </w:p>
    <w:p w14:paraId="2BA4EEB6" w14:textId="1CFF3506" w:rsidR="002463EF" w:rsidRPr="00F9224C" w:rsidRDefault="002463EF" w:rsidP="006A7F1E">
      <w:pPr>
        <w:spacing w:line="480" w:lineRule="auto"/>
        <w:ind w:left="1080" w:hanging="720"/>
        <w:jc w:val="both"/>
      </w:pPr>
      <w:r w:rsidRPr="00F9224C">
        <w:t xml:space="preserve">Milner, A., McClure, R., &amp; De Leo, D. (2012). Socio-economic determinants of suicide: An ecological analysis of 35 countries. Social Psychiatry and Psychiatric Epidemiology, 47(1), 19–27. </w:t>
      </w:r>
      <w:hyperlink r:id="rId31" w:history="1">
        <w:r w:rsidR="00D366CF" w:rsidRPr="00F9224C">
          <w:rPr>
            <w:rStyle w:val="Hyperlink"/>
          </w:rPr>
          <w:t>https://doi.org/10.1007/s00127-010-0316-x</w:t>
        </w:r>
      </w:hyperlink>
    </w:p>
    <w:p w14:paraId="71668D43" w14:textId="20B389AA" w:rsidR="002463EF" w:rsidRPr="00F9224C" w:rsidRDefault="002463EF" w:rsidP="006A7F1E">
      <w:pPr>
        <w:spacing w:line="480" w:lineRule="auto"/>
        <w:ind w:left="1080" w:hanging="720"/>
        <w:jc w:val="both"/>
      </w:pPr>
      <w:proofErr w:type="spellStart"/>
      <w:r w:rsidRPr="00F9224C">
        <w:t>Ngamaba</w:t>
      </w:r>
      <w:proofErr w:type="spellEnd"/>
      <w:r w:rsidRPr="00F9224C">
        <w:t xml:space="preserve">, K. H. (2017). Determinants of subjective well-being in representative samples of nations. European Journal of Public Health, 27, 377–382. </w:t>
      </w:r>
      <w:hyperlink r:id="rId32" w:history="1">
        <w:r w:rsidR="00D366CF" w:rsidRPr="00F9224C">
          <w:rPr>
            <w:rStyle w:val="Hyperlink"/>
          </w:rPr>
          <w:t>https://doi.org/10.1093/eurpub/ckw103</w:t>
        </w:r>
      </w:hyperlink>
    </w:p>
    <w:p w14:paraId="0AF6C0F8" w14:textId="243E62FE" w:rsidR="00D366CF" w:rsidRPr="00F9224C" w:rsidRDefault="002463EF" w:rsidP="006A7F1E">
      <w:pPr>
        <w:spacing w:line="480" w:lineRule="auto"/>
        <w:ind w:left="1080" w:hanging="720"/>
        <w:jc w:val="both"/>
      </w:pPr>
      <w:r w:rsidRPr="00F9224C">
        <w:t xml:space="preserve">Neumayer, E. (2003). Are socioeconomic factors valid determinants of suicide? Controlling for national cultures of suicide with fixed-effects estimation. Cross-Cultural Research, 37(3), 307–329. </w:t>
      </w:r>
      <w:hyperlink r:id="rId33" w:history="1">
        <w:r w:rsidR="00D366CF" w:rsidRPr="00F9224C">
          <w:rPr>
            <w:rStyle w:val="Hyperlink"/>
          </w:rPr>
          <w:t>https://doi.org/10.1177/1069397103253708</w:t>
        </w:r>
      </w:hyperlink>
    </w:p>
    <w:p w14:paraId="4EF93012" w14:textId="1CFCC043" w:rsidR="002463EF" w:rsidRPr="00F9224C" w:rsidRDefault="002463EF" w:rsidP="006A7F1E">
      <w:pPr>
        <w:spacing w:line="480" w:lineRule="auto"/>
        <w:ind w:left="1080" w:hanging="720"/>
        <w:jc w:val="both"/>
      </w:pPr>
      <w:r w:rsidRPr="00F9224C">
        <w:t xml:space="preserve">Steel, P., Taras, V., Uggerslev, K., &amp; Bosco, F. (2018). The happy culture: A theoretical, meta-analytic, and empirical review of the relationship between culture and wealth and subjective well-being. Personality and Social Psychology Review, 22(2), 128–169. </w:t>
      </w:r>
      <w:hyperlink r:id="rId34" w:history="1">
        <w:r w:rsidR="00D366CF" w:rsidRPr="00F9224C">
          <w:rPr>
            <w:rStyle w:val="Hyperlink"/>
          </w:rPr>
          <w:t>https://doi.org/10.1177/1088868317721372</w:t>
        </w:r>
      </w:hyperlink>
    </w:p>
    <w:p w14:paraId="5245491C" w14:textId="5671A01C" w:rsidR="00D366CF" w:rsidRPr="00F9224C" w:rsidRDefault="002463EF" w:rsidP="006A7F1E">
      <w:pPr>
        <w:spacing w:line="480" w:lineRule="auto"/>
        <w:ind w:left="1080" w:hanging="720"/>
        <w:jc w:val="both"/>
      </w:pPr>
      <w:r w:rsidRPr="00F9224C">
        <w:t xml:space="preserve">Ugur, Z. B. (2021). How does inequality hamper subjective well-being? The role of fairness. Social Indicators Research, 158(2), 377–407. </w:t>
      </w:r>
      <w:hyperlink r:id="rId35" w:history="1">
        <w:r w:rsidR="00D366CF" w:rsidRPr="00F9224C">
          <w:rPr>
            <w:rStyle w:val="Hyperlink"/>
          </w:rPr>
          <w:t>https://doi.org/10.1007/s11205-021-02711-w</w:t>
        </w:r>
      </w:hyperlink>
    </w:p>
    <w:p w14:paraId="1076AB0D" w14:textId="6CEC22D3" w:rsidR="002463EF" w:rsidRPr="00914C43" w:rsidRDefault="00BF6529" w:rsidP="006A7F1E">
      <w:pPr>
        <w:spacing w:line="480" w:lineRule="auto"/>
        <w:ind w:left="720" w:hanging="720"/>
        <w:jc w:val="both"/>
      </w:pPr>
      <w:r>
        <w:t xml:space="preserve">     </w:t>
      </w:r>
      <w:r w:rsidR="002463EF" w:rsidRPr="00F9224C">
        <w:t xml:space="preserve">Ying, Y. H., &amp; Chang, K. (2009). A study of suicide and socioeconomic factors. Suicide and Life-Threatening Behavior, 39(2), 214–226. </w:t>
      </w:r>
      <w:hyperlink r:id="rId36" w:history="1">
        <w:r w:rsidR="00D366CF" w:rsidRPr="00F9224C">
          <w:rPr>
            <w:rStyle w:val="Hyperlink"/>
          </w:rPr>
          <w:t>https://doi.org/10.1521/suli.2009.39.2.214</w:t>
        </w:r>
      </w:hyperlink>
    </w:p>
    <w:p w14:paraId="70B075D0" w14:textId="3CA4AC3E" w:rsidR="002463EF" w:rsidRDefault="002463EF" w:rsidP="00BF6529">
      <w:pPr>
        <w:spacing w:line="480" w:lineRule="auto"/>
        <w:ind w:left="720" w:hanging="720"/>
        <w:jc w:val="both"/>
      </w:pPr>
    </w:p>
    <w:p w14:paraId="25719A98" w14:textId="41B97C64" w:rsidR="00610A06" w:rsidRPr="00273559" w:rsidRDefault="00610A06" w:rsidP="00611610">
      <w:pPr>
        <w:spacing w:line="480" w:lineRule="auto"/>
        <w:ind w:left="720" w:hanging="720"/>
        <w:jc w:val="both"/>
      </w:pPr>
    </w:p>
    <w:sectPr w:rsidR="00610A06" w:rsidRPr="00273559" w:rsidSect="00E915CC">
      <w:headerReference w:type="even" r:id="rId37"/>
      <w:headerReference w:type="default" r:id="rId38"/>
      <w:footerReference w:type="even" r:id="rId39"/>
      <w:footerReference w:type="default" r:id="rId40"/>
      <w:headerReference w:type="first" r:id="rId41"/>
      <w:footerReference w:type="first" r:id="rId42"/>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906586" w14:textId="77777777" w:rsidR="002C79BB" w:rsidRDefault="002C79BB" w:rsidP="00322E96">
      <w:r>
        <w:separator/>
      </w:r>
    </w:p>
  </w:endnote>
  <w:endnote w:type="continuationSeparator" w:id="0">
    <w:p w14:paraId="7E1FA83B" w14:textId="77777777" w:rsidR="002C79BB" w:rsidRDefault="002C79BB" w:rsidP="00322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68224" w14:textId="77777777" w:rsidR="008A0B1E" w:rsidRDefault="008A0B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EAB54" w14:textId="77777777" w:rsidR="008A0B1E" w:rsidRDefault="008A0B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ED7F0" w14:textId="77777777" w:rsidR="008A0B1E" w:rsidRDefault="008A0B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7DF68D" w14:textId="77777777" w:rsidR="002C79BB" w:rsidRDefault="002C79BB" w:rsidP="00322E96">
      <w:r>
        <w:separator/>
      </w:r>
    </w:p>
  </w:footnote>
  <w:footnote w:type="continuationSeparator" w:id="0">
    <w:p w14:paraId="2EA5F009" w14:textId="77777777" w:rsidR="002C79BB" w:rsidRDefault="002C79BB" w:rsidP="00322E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3BD2C" w14:textId="79660739" w:rsidR="008A0B1E" w:rsidRDefault="002C79BB">
    <w:pPr>
      <w:pStyle w:val="Header"/>
    </w:pPr>
    <w:r>
      <w:rPr>
        <w:noProof/>
      </w:rPr>
      <w:pict w14:anchorId="445B30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387891"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C91B3" w14:textId="38215E28" w:rsidR="008A0B1E" w:rsidRDefault="002C79BB">
    <w:pPr>
      <w:pStyle w:val="Header"/>
    </w:pPr>
    <w:r>
      <w:rPr>
        <w:noProof/>
      </w:rPr>
      <w:pict w14:anchorId="71BB43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387892"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4BE09" w14:textId="24C86EAD" w:rsidR="008A0B1E" w:rsidRDefault="002C79BB">
    <w:pPr>
      <w:pStyle w:val="Header"/>
    </w:pPr>
    <w:r>
      <w:rPr>
        <w:noProof/>
      </w:rPr>
      <w:pict w14:anchorId="28DF97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387890"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D6C5C"/>
    <w:multiLevelType w:val="hybridMultilevel"/>
    <w:tmpl w:val="3B2A43BE"/>
    <w:lvl w:ilvl="0" w:tplc="0409001B">
      <w:start w:val="1"/>
      <w:numFmt w:val="lowerRoman"/>
      <w:lvlText w:val="%1."/>
      <w:lvlJc w:val="right"/>
      <w:pPr>
        <w:ind w:left="450" w:hanging="360"/>
      </w:pPr>
      <w:rPr>
        <w:rFont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0EC84D70"/>
    <w:multiLevelType w:val="hybridMultilevel"/>
    <w:tmpl w:val="D6A29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6E2A01"/>
    <w:multiLevelType w:val="hybridMultilevel"/>
    <w:tmpl w:val="6AD25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B10E99"/>
    <w:multiLevelType w:val="multilevel"/>
    <w:tmpl w:val="639CB180"/>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4" w15:restartNumberingAfterBreak="0">
    <w:nsid w:val="182F6DCD"/>
    <w:multiLevelType w:val="multilevel"/>
    <w:tmpl w:val="20664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6B0775"/>
    <w:multiLevelType w:val="hybridMultilevel"/>
    <w:tmpl w:val="95821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6A14E0"/>
    <w:multiLevelType w:val="hybridMultilevel"/>
    <w:tmpl w:val="1F08F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DF358F"/>
    <w:multiLevelType w:val="hybridMultilevel"/>
    <w:tmpl w:val="B2A4DEC4"/>
    <w:lvl w:ilvl="0" w:tplc="0B2CECBE">
      <w:start w:val="1"/>
      <w:numFmt w:val="decimal"/>
      <w:lvlText w:val="%1."/>
      <w:lvlJc w:val="left"/>
      <w:pPr>
        <w:ind w:left="720" w:hanging="360"/>
      </w:pPr>
      <w:rPr>
        <w:rFonts w:asciiTheme="minorHAnsi" w:hAnsiTheme="minorHAnsi" w:cstheme="minorBidi" w:hint="default"/>
        <w:color w:val="auto"/>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8652ED0"/>
    <w:multiLevelType w:val="multilevel"/>
    <w:tmpl w:val="50A8C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5D4F7F"/>
    <w:multiLevelType w:val="hybridMultilevel"/>
    <w:tmpl w:val="2FEAB424"/>
    <w:lvl w:ilvl="0" w:tplc="0409000F">
      <w:start w:val="5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6BF5D44"/>
    <w:multiLevelType w:val="multilevel"/>
    <w:tmpl w:val="9708B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EEE353F"/>
    <w:multiLevelType w:val="hybridMultilevel"/>
    <w:tmpl w:val="C19406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A6F1A33"/>
    <w:multiLevelType w:val="hybridMultilevel"/>
    <w:tmpl w:val="D0D2BF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1DD27CE"/>
    <w:multiLevelType w:val="hybridMultilevel"/>
    <w:tmpl w:val="73B41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2A78E8"/>
    <w:multiLevelType w:val="multilevel"/>
    <w:tmpl w:val="5D76F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2554EE"/>
    <w:multiLevelType w:val="hybridMultilevel"/>
    <w:tmpl w:val="E398C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1D1871"/>
    <w:multiLevelType w:val="hybridMultilevel"/>
    <w:tmpl w:val="B7C694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802D63"/>
    <w:multiLevelType w:val="hybridMultilevel"/>
    <w:tmpl w:val="07964FAC"/>
    <w:lvl w:ilvl="0" w:tplc="9E8866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B60641"/>
    <w:multiLevelType w:val="hybridMultilevel"/>
    <w:tmpl w:val="2B8ABE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85E73A2"/>
    <w:multiLevelType w:val="hybridMultilevel"/>
    <w:tmpl w:val="1A349240"/>
    <w:lvl w:ilvl="0" w:tplc="0409000F">
      <w:start w:val="56"/>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5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5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2"/>
  </w:num>
  <w:num w:numId="6">
    <w:abstractNumId w:val="14"/>
  </w:num>
  <w:num w:numId="7">
    <w:abstractNumId w:val="4"/>
  </w:num>
  <w:num w:numId="8">
    <w:abstractNumId w:val="9"/>
  </w:num>
  <w:num w:numId="9">
    <w:abstractNumId w:val="11"/>
  </w:num>
  <w:num w:numId="10">
    <w:abstractNumId w:val="17"/>
  </w:num>
  <w:num w:numId="11">
    <w:abstractNumId w:val="8"/>
  </w:num>
  <w:num w:numId="12">
    <w:abstractNumId w:val="6"/>
  </w:num>
  <w:num w:numId="13">
    <w:abstractNumId w:val="16"/>
  </w:num>
  <w:num w:numId="14">
    <w:abstractNumId w:val="10"/>
  </w:num>
  <w:num w:numId="15">
    <w:abstractNumId w:val="5"/>
  </w:num>
  <w:num w:numId="16">
    <w:abstractNumId w:val="14"/>
  </w:num>
  <w:num w:numId="17">
    <w:abstractNumId w:val="4"/>
  </w:num>
  <w:num w:numId="18">
    <w:abstractNumId w:val="18"/>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
  </w:num>
  <w:num w:numId="22">
    <w:abstractNumId w:val="0"/>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109"/>
    <w:rsid w:val="0002143A"/>
    <w:rsid w:val="00024072"/>
    <w:rsid w:val="00024A40"/>
    <w:rsid w:val="00030F97"/>
    <w:rsid w:val="00042FCC"/>
    <w:rsid w:val="0007026B"/>
    <w:rsid w:val="000C5B44"/>
    <w:rsid w:val="000C7064"/>
    <w:rsid w:val="001050D3"/>
    <w:rsid w:val="001075DB"/>
    <w:rsid w:val="001078FF"/>
    <w:rsid w:val="00133B46"/>
    <w:rsid w:val="00137D7E"/>
    <w:rsid w:val="0014508F"/>
    <w:rsid w:val="00176F1D"/>
    <w:rsid w:val="00180FD1"/>
    <w:rsid w:val="001974AE"/>
    <w:rsid w:val="001E4AF5"/>
    <w:rsid w:val="001E6C5C"/>
    <w:rsid w:val="001F5747"/>
    <w:rsid w:val="002463EF"/>
    <w:rsid w:val="00255174"/>
    <w:rsid w:val="00273559"/>
    <w:rsid w:val="00284B53"/>
    <w:rsid w:val="002C79BB"/>
    <w:rsid w:val="002F10F8"/>
    <w:rsid w:val="0030174F"/>
    <w:rsid w:val="0031446A"/>
    <w:rsid w:val="003166A7"/>
    <w:rsid w:val="00321C31"/>
    <w:rsid w:val="00322E96"/>
    <w:rsid w:val="00326911"/>
    <w:rsid w:val="00347D4E"/>
    <w:rsid w:val="003A2207"/>
    <w:rsid w:val="003B6292"/>
    <w:rsid w:val="003D46AD"/>
    <w:rsid w:val="003E3B49"/>
    <w:rsid w:val="003F39CD"/>
    <w:rsid w:val="0040236E"/>
    <w:rsid w:val="00423CF6"/>
    <w:rsid w:val="00457648"/>
    <w:rsid w:val="00470D97"/>
    <w:rsid w:val="004C356C"/>
    <w:rsid w:val="004C71F9"/>
    <w:rsid w:val="004C7AD0"/>
    <w:rsid w:val="004E2A49"/>
    <w:rsid w:val="004E785F"/>
    <w:rsid w:val="00522005"/>
    <w:rsid w:val="0053103A"/>
    <w:rsid w:val="005439BB"/>
    <w:rsid w:val="005522D9"/>
    <w:rsid w:val="00555FE6"/>
    <w:rsid w:val="005662A1"/>
    <w:rsid w:val="0058036C"/>
    <w:rsid w:val="00597526"/>
    <w:rsid w:val="005B5FCA"/>
    <w:rsid w:val="005C140C"/>
    <w:rsid w:val="005C47B3"/>
    <w:rsid w:val="00601219"/>
    <w:rsid w:val="006047A0"/>
    <w:rsid w:val="00605E6B"/>
    <w:rsid w:val="00606779"/>
    <w:rsid w:val="00610A06"/>
    <w:rsid w:val="00611610"/>
    <w:rsid w:val="00615876"/>
    <w:rsid w:val="006337D7"/>
    <w:rsid w:val="0063473D"/>
    <w:rsid w:val="00660CF7"/>
    <w:rsid w:val="006621AD"/>
    <w:rsid w:val="006630FB"/>
    <w:rsid w:val="00684087"/>
    <w:rsid w:val="006A242B"/>
    <w:rsid w:val="006A7F1E"/>
    <w:rsid w:val="006B279C"/>
    <w:rsid w:val="006C373B"/>
    <w:rsid w:val="006D0966"/>
    <w:rsid w:val="006D1838"/>
    <w:rsid w:val="006D1ABD"/>
    <w:rsid w:val="006F0E27"/>
    <w:rsid w:val="006F42BA"/>
    <w:rsid w:val="0070141C"/>
    <w:rsid w:val="007247D0"/>
    <w:rsid w:val="00724811"/>
    <w:rsid w:val="00730529"/>
    <w:rsid w:val="00737828"/>
    <w:rsid w:val="007407B4"/>
    <w:rsid w:val="00750E98"/>
    <w:rsid w:val="00772162"/>
    <w:rsid w:val="007A27C2"/>
    <w:rsid w:val="007D5C7D"/>
    <w:rsid w:val="007E2A1F"/>
    <w:rsid w:val="007E3D0B"/>
    <w:rsid w:val="007E7863"/>
    <w:rsid w:val="007F7542"/>
    <w:rsid w:val="007F7D14"/>
    <w:rsid w:val="00815C7C"/>
    <w:rsid w:val="0083083D"/>
    <w:rsid w:val="00843D19"/>
    <w:rsid w:val="0085076B"/>
    <w:rsid w:val="00855E93"/>
    <w:rsid w:val="00867FA1"/>
    <w:rsid w:val="00875AA2"/>
    <w:rsid w:val="008866E1"/>
    <w:rsid w:val="00890C51"/>
    <w:rsid w:val="008A0B1E"/>
    <w:rsid w:val="008B6FAA"/>
    <w:rsid w:val="008C43CB"/>
    <w:rsid w:val="008D46F5"/>
    <w:rsid w:val="008D46F6"/>
    <w:rsid w:val="008E0109"/>
    <w:rsid w:val="008E1418"/>
    <w:rsid w:val="008F721F"/>
    <w:rsid w:val="00913E8A"/>
    <w:rsid w:val="00914C43"/>
    <w:rsid w:val="009204ED"/>
    <w:rsid w:val="009773D0"/>
    <w:rsid w:val="00994F6D"/>
    <w:rsid w:val="00997C87"/>
    <w:rsid w:val="009A5516"/>
    <w:rsid w:val="009C6386"/>
    <w:rsid w:val="009E0B7D"/>
    <w:rsid w:val="009E1360"/>
    <w:rsid w:val="00A128B5"/>
    <w:rsid w:val="00A200CA"/>
    <w:rsid w:val="00A54432"/>
    <w:rsid w:val="00A72352"/>
    <w:rsid w:val="00A8019A"/>
    <w:rsid w:val="00A87DA4"/>
    <w:rsid w:val="00A95A9D"/>
    <w:rsid w:val="00AC7204"/>
    <w:rsid w:val="00AE0DB9"/>
    <w:rsid w:val="00AF086C"/>
    <w:rsid w:val="00B32E8D"/>
    <w:rsid w:val="00B52C4E"/>
    <w:rsid w:val="00B65E42"/>
    <w:rsid w:val="00B77B28"/>
    <w:rsid w:val="00B83CAA"/>
    <w:rsid w:val="00B86FA9"/>
    <w:rsid w:val="00B90EF0"/>
    <w:rsid w:val="00BA2502"/>
    <w:rsid w:val="00BA60BC"/>
    <w:rsid w:val="00BB5831"/>
    <w:rsid w:val="00BF6529"/>
    <w:rsid w:val="00C077C8"/>
    <w:rsid w:val="00C227A3"/>
    <w:rsid w:val="00C254F9"/>
    <w:rsid w:val="00C400BE"/>
    <w:rsid w:val="00C441C0"/>
    <w:rsid w:val="00C60FA6"/>
    <w:rsid w:val="00C62BCC"/>
    <w:rsid w:val="00C72287"/>
    <w:rsid w:val="00C76D50"/>
    <w:rsid w:val="00CA6FEC"/>
    <w:rsid w:val="00CF73FE"/>
    <w:rsid w:val="00D366CF"/>
    <w:rsid w:val="00D643C1"/>
    <w:rsid w:val="00D65C47"/>
    <w:rsid w:val="00D75F00"/>
    <w:rsid w:val="00D96ABA"/>
    <w:rsid w:val="00D97ECE"/>
    <w:rsid w:val="00DB238A"/>
    <w:rsid w:val="00DC6922"/>
    <w:rsid w:val="00DD5B7B"/>
    <w:rsid w:val="00DF36F8"/>
    <w:rsid w:val="00E060E1"/>
    <w:rsid w:val="00E1297F"/>
    <w:rsid w:val="00E23690"/>
    <w:rsid w:val="00E342A2"/>
    <w:rsid w:val="00E34381"/>
    <w:rsid w:val="00E915CC"/>
    <w:rsid w:val="00E9698F"/>
    <w:rsid w:val="00EB27D9"/>
    <w:rsid w:val="00EB6826"/>
    <w:rsid w:val="00EC17F5"/>
    <w:rsid w:val="00EC6042"/>
    <w:rsid w:val="00EE15F1"/>
    <w:rsid w:val="00EF2E1A"/>
    <w:rsid w:val="00F1355F"/>
    <w:rsid w:val="00F2000E"/>
    <w:rsid w:val="00F624C2"/>
    <w:rsid w:val="00F7034A"/>
    <w:rsid w:val="00F90476"/>
    <w:rsid w:val="00F9224C"/>
    <w:rsid w:val="00FA191F"/>
    <w:rsid w:val="00FA429F"/>
    <w:rsid w:val="00FB477C"/>
    <w:rsid w:val="00FD3418"/>
    <w:rsid w:val="00FD7B33"/>
    <w:rsid w:val="00FE0411"/>
    <w:rsid w:val="00FF2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A4ED2C"/>
  <w15:docId w15:val="{F25973E8-B2F3-493B-A04F-4D5B5312D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0A06"/>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BA2502"/>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662A1"/>
    <w:pPr>
      <w:spacing w:before="100" w:beforeAutospacing="1" w:after="100" w:afterAutospacing="1"/>
    </w:pPr>
  </w:style>
  <w:style w:type="character" w:styleId="Hyperlink">
    <w:name w:val="Hyperlink"/>
    <w:basedOn w:val="DefaultParagraphFont"/>
    <w:uiPriority w:val="99"/>
    <w:unhideWhenUsed/>
    <w:rsid w:val="009204ED"/>
    <w:rPr>
      <w:color w:val="0563C1" w:themeColor="hyperlink"/>
      <w:u w:val="single"/>
    </w:rPr>
  </w:style>
  <w:style w:type="paragraph" w:styleId="ListParagraph">
    <w:name w:val="List Paragraph"/>
    <w:basedOn w:val="Normal"/>
    <w:uiPriority w:val="34"/>
    <w:qFormat/>
    <w:rsid w:val="009204ED"/>
    <w:pPr>
      <w:spacing w:after="200" w:line="276" w:lineRule="auto"/>
      <w:ind w:left="720"/>
      <w:contextualSpacing/>
    </w:pPr>
    <w:rPr>
      <w:rFonts w:asciiTheme="minorHAnsi" w:eastAsiaTheme="minorHAnsi" w:hAnsiTheme="minorHAnsi" w:cstheme="minorBidi"/>
      <w:sz w:val="22"/>
      <w:szCs w:val="22"/>
    </w:rPr>
  </w:style>
  <w:style w:type="character" w:styleId="Strong">
    <w:name w:val="Strong"/>
    <w:basedOn w:val="DefaultParagraphFont"/>
    <w:uiPriority w:val="22"/>
    <w:qFormat/>
    <w:rsid w:val="00605E6B"/>
    <w:rPr>
      <w:b/>
      <w:bCs/>
    </w:rPr>
  </w:style>
  <w:style w:type="table" w:styleId="TableGrid">
    <w:name w:val="Table Grid"/>
    <w:basedOn w:val="TableNormal"/>
    <w:uiPriority w:val="59"/>
    <w:rsid w:val="007407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65E42"/>
    <w:rPr>
      <w:color w:val="808080"/>
    </w:rPr>
  </w:style>
  <w:style w:type="character" w:styleId="Emphasis">
    <w:name w:val="Emphasis"/>
    <w:basedOn w:val="DefaultParagraphFont"/>
    <w:uiPriority w:val="20"/>
    <w:qFormat/>
    <w:rsid w:val="00610A06"/>
    <w:rPr>
      <w:i/>
      <w:iCs/>
    </w:rPr>
  </w:style>
  <w:style w:type="paragraph" w:styleId="z-TopofForm">
    <w:name w:val="HTML Top of Form"/>
    <w:basedOn w:val="Normal"/>
    <w:next w:val="Normal"/>
    <w:link w:val="z-TopofFormChar"/>
    <w:hidden/>
    <w:uiPriority w:val="99"/>
    <w:semiHidden/>
    <w:unhideWhenUsed/>
    <w:rsid w:val="00610A06"/>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610A06"/>
    <w:rPr>
      <w:rFonts w:ascii="Arial" w:eastAsia="Times New Roman" w:hAnsi="Arial" w:cs="Arial"/>
      <w:vanish/>
      <w:kern w:val="0"/>
      <w:sz w:val="16"/>
      <w:szCs w:val="16"/>
      <w14:ligatures w14:val="none"/>
    </w:rPr>
  </w:style>
  <w:style w:type="table" w:customStyle="1" w:styleId="TableGrid1">
    <w:name w:val="Table Grid1"/>
    <w:basedOn w:val="TableNormal"/>
    <w:next w:val="TableGrid"/>
    <w:uiPriority w:val="59"/>
    <w:rsid w:val="002463E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22E96"/>
    <w:pPr>
      <w:tabs>
        <w:tab w:val="center" w:pos="4680"/>
        <w:tab w:val="right" w:pos="9360"/>
      </w:tabs>
    </w:pPr>
  </w:style>
  <w:style w:type="character" w:customStyle="1" w:styleId="HeaderChar">
    <w:name w:val="Header Char"/>
    <w:basedOn w:val="DefaultParagraphFont"/>
    <w:link w:val="Header"/>
    <w:uiPriority w:val="99"/>
    <w:rsid w:val="00322E96"/>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322E96"/>
    <w:pPr>
      <w:tabs>
        <w:tab w:val="center" w:pos="4680"/>
        <w:tab w:val="right" w:pos="9360"/>
      </w:tabs>
    </w:pPr>
  </w:style>
  <w:style w:type="character" w:customStyle="1" w:styleId="FooterChar">
    <w:name w:val="Footer Char"/>
    <w:basedOn w:val="DefaultParagraphFont"/>
    <w:link w:val="Footer"/>
    <w:uiPriority w:val="99"/>
    <w:rsid w:val="00322E96"/>
    <w:rPr>
      <w:rFonts w:ascii="Times New Roman" w:eastAsia="Times New Roman" w:hAnsi="Times New Roman" w:cs="Times New Roman"/>
      <w:kern w:val="0"/>
      <w:sz w:val="24"/>
      <w:szCs w:val="24"/>
      <w14:ligatures w14:val="none"/>
    </w:rPr>
  </w:style>
  <w:style w:type="table" w:styleId="LightGrid-Accent1">
    <w:name w:val="Light Grid Accent 1"/>
    <w:basedOn w:val="TableNormal"/>
    <w:uiPriority w:val="62"/>
    <w:semiHidden/>
    <w:unhideWhenUsed/>
    <w:rsid w:val="00042FCC"/>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paragraph" w:styleId="BalloonText">
    <w:name w:val="Balloon Text"/>
    <w:basedOn w:val="Normal"/>
    <w:link w:val="BalloonTextChar"/>
    <w:uiPriority w:val="99"/>
    <w:semiHidden/>
    <w:unhideWhenUsed/>
    <w:rsid w:val="007E7863"/>
    <w:rPr>
      <w:rFonts w:ascii="Tahoma" w:hAnsi="Tahoma" w:cs="Tahoma"/>
      <w:sz w:val="16"/>
      <w:szCs w:val="16"/>
    </w:rPr>
  </w:style>
  <w:style w:type="character" w:customStyle="1" w:styleId="BalloonTextChar">
    <w:name w:val="Balloon Text Char"/>
    <w:basedOn w:val="DefaultParagraphFont"/>
    <w:link w:val="BalloonText"/>
    <w:uiPriority w:val="99"/>
    <w:semiHidden/>
    <w:rsid w:val="007E7863"/>
    <w:rPr>
      <w:rFonts w:ascii="Tahoma" w:eastAsia="Times New Roman" w:hAnsi="Tahoma" w:cs="Tahoma"/>
      <w:kern w:val="0"/>
      <w:sz w:val="16"/>
      <w:szCs w:val="16"/>
      <w14:ligatures w14:val="none"/>
    </w:rPr>
  </w:style>
  <w:style w:type="paragraph" w:styleId="NoSpacing">
    <w:name w:val="No Spacing"/>
    <w:uiPriority w:val="1"/>
    <w:qFormat/>
    <w:rsid w:val="00BA2502"/>
    <w:pPr>
      <w:spacing w:after="0" w:line="240" w:lineRule="auto"/>
    </w:pPr>
    <w:rPr>
      <w:rFonts w:ascii="Times New Roman" w:eastAsia="Times New Roman" w:hAnsi="Times New Roman" w:cs="Times New Roman"/>
      <w:kern w:val="0"/>
      <w:sz w:val="24"/>
      <w:szCs w:val="24"/>
      <w14:ligatures w14:val="none"/>
    </w:rPr>
  </w:style>
  <w:style w:type="character" w:customStyle="1" w:styleId="Heading1Char">
    <w:name w:val="Heading 1 Char"/>
    <w:basedOn w:val="DefaultParagraphFont"/>
    <w:link w:val="Heading1"/>
    <w:uiPriority w:val="9"/>
    <w:rsid w:val="00BA2502"/>
    <w:rPr>
      <w:rFonts w:asciiTheme="majorHAnsi" w:eastAsiaTheme="majorEastAsia" w:hAnsiTheme="majorHAnsi" w:cstheme="majorBidi"/>
      <w:b/>
      <w:bCs/>
      <w:color w:val="2F5496" w:themeColor="accent1" w:themeShade="BF"/>
      <w:kern w:val="0"/>
      <w:sz w:val="28"/>
      <w:szCs w:val="28"/>
      <w14:ligatures w14:val="none"/>
    </w:rPr>
  </w:style>
  <w:style w:type="character" w:styleId="UnresolvedMention">
    <w:name w:val="Unresolved Mention"/>
    <w:basedOn w:val="DefaultParagraphFont"/>
    <w:uiPriority w:val="99"/>
    <w:semiHidden/>
    <w:unhideWhenUsed/>
    <w:rsid w:val="00D366CF"/>
    <w:rPr>
      <w:color w:val="605E5C"/>
      <w:shd w:val="clear" w:color="auto" w:fill="E1DFDD"/>
    </w:rPr>
  </w:style>
  <w:style w:type="paragraph" w:styleId="FootnoteText">
    <w:name w:val="footnote text"/>
    <w:basedOn w:val="Normal"/>
    <w:link w:val="FootnoteTextChar"/>
    <w:uiPriority w:val="99"/>
    <w:semiHidden/>
    <w:unhideWhenUsed/>
    <w:rsid w:val="00B32E8D"/>
    <w:rPr>
      <w:sz w:val="20"/>
      <w:szCs w:val="20"/>
    </w:rPr>
  </w:style>
  <w:style w:type="character" w:customStyle="1" w:styleId="FootnoteTextChar">
    <w:name w:val="Footnote Text Char"/>
    <w:basedOn w:val="DefaultParagraphFont"/>
    <w:link w:val="FootnoteText"/>
    <w:uiPriority w:val="99"/>
    <w:semiHidden/>
    <w:rsid w:val="00B32E8D"/>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B32E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298675">
      <w:bodyDiv w:val="1"/>
      <w:marLeft w:val="0"/>
      <w:marRight w:val="0"/>
      <w:marTop w:val="0"/>
      <w:marBottom w:val="0"/>
      <w:divBdr>
        <w:top w:val="none" w:sz="0" w:space="0" w:color="auto"/>
        <w:left w:val="none" w:sz="0" w:space="0" w:color="auto"/>
        <w:bottom w:val="none" w:sz="0" w:space="0" w:color="auto"/>
        <w:right w:val="none" w:sz="0" w:space="0" w:color="auto"/>
      </w:divBdr>
    </w:div>
    <w:div w:id="88501993">
      <w:bodyDiv w:val="1"/>
      <w:marLeft w:val="0"/>
      <w:marRight w:val="0"/>
      <w:marTop w:val="0"/>
      <w:marBottom w:val="0"/>
      <w:divBdr>
        <w:top w:val="none" w:sz="0" w:space="0" w:color="auto"/>
        <w:left w:val="none" w:sz="0" w:space="0" w:color="auto"/>
        <w:bottom w:val="none" w:sz="0" w:space="0" w:color="auto"/>
        <w:right w:val="none" w:sz="0" w:space="0" w:color="auto"/>
      </w:divBdr>
    </w:div>
    <w:div w:id="116261687">
      <w:bodyDiv w:val="1"/>
      <w:marLeft w:val="0"/>
      <w:marRight w:val="0"/>
      <w:marTop w:val="0"/>
      <w:marBottom w:val="0"/>
      <w:divBdr>
        <w:top w:val="none" w:sz="0" w:space="0" w:color="auto"/>
        <w:left w:val="none" w:sz="0" w:space="0" w:color="auto"/>
        <w:bottom w:val="none" w:sz="0" w:space="0" w:color="auto"/>
        <w:right w:val="none" w:sz="0" w:space="0" w:color="auto"/>
      </w:divBdr>
    </w:div>
    <w:div w:id="132606565">
      <w:bodyDiv w:val="1"/>
      <w:marLeft w:val="0"/>
      <w:marRight w:val="0"/>
      <w:marTop w:val="0"/>
      <w:marBottom w:val="0"/>
      <w:divBdr>
        <w:top w:val="none" w:sz="0" w:space="0" w:color="auto"/>
        <w:left w:val="none" w:sz="0" w:space="0" w:color="auto"/>
        <w:bottom w:val="none" w:sz="0" w:space="0" w:color="auto"/>
        <w:right w:val="none" w:sz="0" w:space="0" w:color="auto"/>
      </w:divBdr>
    </w:div>
    <w:div w:id="180776286">
      <w:bodyDiv w:val="1"/>
      <w:marLeft w:val="0"/>
      <w:marRight w:val="0"/>
      <w:marTop w:val="0"/>
      <w:marBottom w:val="0"/>
      <w:divBdr>
        <w:top w:val="none" w:sz="0" w:space="0" w:color="auto"/>
        <w:left w:val="none" w:sz="0" w:space="0" w:color="auto"/>
        <w:bottom w:val="none" w:sz="0" w:space="0" w:color="auto"/>
        <w:right w:val="none" w:sz="0" w:space="0" w:color="auto"/>
      </w:divBdr>
    </w:div>
    <w:div w:id="255091280">
      <w:bodyDiv w:val="1"/>
      <w:marLeft w:val="0"/>
      <w:marRight w:val="0"/>
      <w:marTop w:val="0"/>
      <w:marBottom w:val="0"/>
      <w:divBdr>
        <w:top w:val="none" w:sz="0" w:space="0" w:color="auto"/>
        <w:left w:val="none" w:sz="0" w:space="0" w:color="auto"/>
        <w:bottom w:val="none" w:sz="0" w:space="0" w:color="auto"/>
        <w:right w:val="none" w:sz="0" w:space="0" w:color="auto"/>
      </w:divBdr>
    </w:div>
    <w:div w:id="318340928">
      <w:bodyDiv w:val="1"/>
      <w:marLeft w:val="0"/>
      <w:marRight w:val="0"/>
      <w:marTop w:val="0"/>
      <w:marBottom w:val="0"/>
      <w:divBdr>
        <w:top w:val="none" w:sz="0" w:space="0" w:color="auto"/>
        <w:left w:val="none" w:sz="0" w:space="0" w:color="auto"/>
        <w:bottom w:val="none" w:sz="0" w:space="0" w:color="auto"/>
        <w:right w:val="none" w:sz="0" w:space="0" w:color="auto"/>
      </w:divBdr>
    </w:div>
    <w:div w:id="341202301">
      <w:bodyDiv w:val="1"/>
      <w:marLeft w:val="0"/>
      <w:marRight w:val="0"/>
      <w:marTop w:val="0"/>
      <w:marBottom w:val="0"/>
      <w:divBdr>
        <w:top w:val="none" w:sz="0" w:space="0" w:color="auto"/>
        <w:left w:val="none" w:sz="0" w:space="0" w:color="auto"/>
        <w:bottom w:val="none" w:sz="0" w:space="0" w:color="auto"/>
        <w:right w:val="none" w:sz="0" w:space="0" w:color="auto"/>
      </w:divBdr>
    </w:div>
    <w:div w:id="344676614">
      <w:bodyDiv w:val="1"/>
      <w:marLeft w:val="0"/>
      <w:marRight w:val="0"/>
      <w:marTop w:val="0"/>
      <w:marBottom w:val="0"/>
      <w:divBdr>
        <w:top w:val="none" w:sz="0" w:space="0" w:color="auto"/>
        <w:left w:val="none" w:sz="0" w:space="0" w:color="auto"/>
        <w:bottom w:val="none" w:sz="0" w:space="0" w:color="auto"/>
        <w:right w:val="none" w:sz="0" w:space="0" w:color="auto"/>
      </w:divBdr>
    </w:div>
    <w:div w:id="371464478">
      <w:bodyDiv w:val="1"/>
      <w:marLeft w:val="0"/>
      <w:marRight w:val="0"/>
      <w:marTop w:val="0"/>
      <w:marBottom w:val="0"/>
      <w:divBdr>
        <w:top w:val="none" w:sz="0" w:space="0" w:color="auto"/>
        <w:left w:val="none" w:sz="0" w:space="0" w:color="auto"/>
        <w:bottom w:val="none" w:sz="0" w:space="0" w:color="auto"/>
        <w:right w:val="none" w:sz="0" w:space="0" w:color="auto"/>
      </w:divBdr>
    </w:div>
    <w:div w:id="377051045">
      <w:bodyDiv w:val="1"/>
      <w:marLeft w:val="0"/>
      <w:marRight w:val="0"/>
      <w:marTop w:val="0"/>
      <w:marBottom w:val="0"/>
      <w:divBdr>
        <w:top w:val="none" w:sz="0" w:space="0" w:color="auto"/>
        <w:left w:val="none" w:sz="0" w:space="0" w:color="auto"/>
        <w:bottom w:val="none" w:sz="0" w:space="0" w:color="auto"/>
        <w:right w:val="none" w:sz="0" w:space="0" w:color="auto"/>
      </w:divBdr>
    </w:div>
    <w:div w:id="438717800">
      <w:bodyDiv w:val="1"/>
      <w:marLeft w:val="0"/>
      <w:marRight w:val="0"/>
      <w:marTop w:val="0"/>
      <w:marBottom w:val="0"/>
      <w:divBdr>
        <w:top w:val="none" w:sz="0" w:space="0" w:color="auto"/>
        <w:left w:val="none" w:sz="0" w:space="0" w:color="auto"/>
        <w:bottom w:val="none" w:sz="0" w:space="0" w:color="auto"/>
        <w:right w:val="none" w:sz="0" w:space="0" w:color="auto"/>
      </w:divBdr>
    </w:div>
    <w:div w:id="442650600">
      <w:bodyDiv w:val="1"/>
      <w:marLeft w:val="0"/>
      <w:marRight w:val="0"/>
      <w:marTop w:val="0"/>
      <w:marBottom w:val="0"/>
      <w:divBdr>
        <w:top w:val="none" w:sz="0" w:space="0" w:color="auto"/>
        <w:left w:val="none" w:sz="0" w:space="0" w:color="auto"/>
        <w:bottom w:val="none" w:sz="0" w:space="0" w:color="auto"/>
        <w:right w:val="none" w:sz="0" w:space="0" w:color="auto"/>
      </w:divBdr>
      <w:divsChild>
        <w:div w:id="877663472">
          <w:marLeft w:val="0"/>
          <w:marRight w:val="0"/>
          <w:marTop w:val="0"/>
          <w:marBottom w:val="0"/>
          <w:divBdr>
            <w:top w:val="none" w:sz="0" w:space="0" w:color="auto"/>
            <w:left w:val="none" w:sz="0" w:space="0" w:color="auto"/>
            <w:bottom w:val="none" w:sz="0" w:space="0" w:color="auto"/>
            <w:right w:val="none" w:sz="0" w:space="0" w:color="auto"/>
          </w:divBdr>
          <w:divsChild>
            <w:div w:id="665324956">
              <w:marLeft w:val="0"/>
              <w:marRight w:val="0"/>
              <w:marTop w:val="0"/>
              <w:marBottom w:val="0"/>
              <w:divBdr>
                <w:top w:val="none" w:sz="0" w:space="0" w:color="auto"/>
                <w:left w:val="none" w:sz="0" w:space="0" w:color="auto"/>
                <w:bottom w:val="none" w:sz="0" w:space="0" w:color="auto"/>
                <w:right w:val="none" w:sz="0" w:space="0" w:color="auto"/>
              </w:divBdr>
              <w:divsChild>
                <w:div w:id="514618497">
                  <w:marLeft w:val="0"/>
                  <w:marRight w:val="0"/>
                  <w:marTop w:val="0"/>
                  <w:marBottom w:val="0"/>
                  <w:divBdr>
                    <w:top w:val="none" w:sz="0" w:space="0" w:color="auto"/>
                    <w:left w:val="none" w:sz="0" w:space="0" w:color="auto"/>
                    <w:bottom w:val="none" w:sz="0" w:space="0" w:color="auto"/>
                    <w:right w:val="none" w:sz="0" w:space="0" w:color="auto"/>
                  </w:divBdr>
                  <w:divsChild>
                    <w:div w:id="1812207051">
                      <w:marLeft w:val="0"/>
                      <w:marRight w:val="0"/>
                      <w:marTop w:val="0"/>
                      <w:marBottom w:val="0"/>
                      <w:divBdr>
                        <w:top w:val="none" w:sz="0" w:space="0" w:color="auto"/>
                        <w:left w:val="none" w:sz="0" w:space="0" w:color="auto"/>
                        <w:bottom w:val="none" w:sz="0" w:space="0" w:color="auto"/>
                        <w:right w:val="none" w:sz="0" w:space="0" w:color="auto"/>
                      </w:divBdr>
                      <w:divsChild>
                        <w:div w:id="658273101">
                          <w:marLeft w:val="0"/>
                          <w:marRight w:val="0"/>
                          <w:marTop w:val="0"/>
                          <w:marBottom w:val="0"/>
                          <w:divBdr>
                            <w:top w:val="none" w:sz="0" w:space="0" w:color="auto"/>
                            <w:left w:val="none" w:sz="0" w:space="0" w:color="auto"/>
                            <w:bottom w:val="none" w:sz="0" w:space="0" w:color="auto"/>
                            <w:right w:val="none" w:sz="0" w:space="0" w:color="auto"/>
                          </w:divBdr>
                          <w:divsChild>
                            <w:div w:id="1764111818">
                              <w:marLeft w:val="0"/>
                              <w:marRight w:val="0"/>
                              <w:marTop w:val="0"/>
                              <w:marBottom w:val="0"/>
                              <w:divBdr>
                                <w:top w:val="none" w:sz="0" w:space="0" w:color="auto"/>
                                <w:left w:val="none" w:sz="0" w:space="0" w:color="auto"/>
                                <w:bottom w:val="none" w:sz="0" w:space="0" w:color="auto"/>
                                <w:right w:val="none" w:sz="0" w:space="0" w:color="auto"/>
                              </w:divBdr>
                              <w:divsChild>
                                <w:div w:id="276496520">
                                  <w:marLeft w:val="0"/>
                                  <w:marRight w:val="0"/>
                                  <w:marTop w:val="0"/>
                                  <w:marBottom w:val="0"/>
                                  <w:divBdr>
                                    <w:top w:val="none" w:sz="0" w:space="0" w:color="auto"/>
                                    <w:left w:val="none" w:sz="0" w:space="0" w:color="auto"/>
                                    <w:bottom w:val="none" w:sz="0" w:space="0" w:color="auto"/>
                                    <w:right w:val="none" w:sz="0" w:space="0" w:color="auto"/>
                                  </w:divBdr>
                                  <w:divsChild>
                                    <w:div w:id="1161774679">
                                      <w:marLeft w:val="0"/>
                                      <w:marRight w:val="0"/>
                                      <w:marTop w:val="0"/>
                                      <w:marBottom w:val="0"/>
                                      <w:divBdr>
                                        <w:top w:val="none" w:sz="0" w:space="0" w:color="auto"/>
                                        <w:left w:val="none" w:sz="0" w:space="0" w:color="auto"/>
                                        <w:bottom w:val="none" w:sz="0" w:space="0" w:color="auto"/>
                                        <w:right w:val="none" w:sz="0" w:space="0" w:color="auto"/>
                                      </w:divBdr>
                                      <w:divsChild>
                                        <w:div w:id="1088423798">
                                          <w:marLeft w:val="0"/>
                                          <w:marRight w:val="0"/>
                                          <w:marTop w:val="0"/>
                                          <w:marBottom w:val="0"/>
                                          <w:divBdr>
                                            <w:top w:val="none" w:sz="0" w:space="0" w:color="auto"/>
                                            <w:left w:val="none" w:sz="0" w:space="0" w:color="auto"/>
                                            <w:bottom w:val="none" w:sz="0" w:space="0" w:color="auto"/>
                                            <w:right w:val="none" w:sz="0" w:space="0" w:color="auto"/>
                                          </w:divBdr>
                                          <w:divsChild>
                                            <w:div w:id="129193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2189854">
          <w:marLeft w:val="0"/>
          <w:marRight w:val="0"/>
          <w:marTop w:val="0"/>
          <w:marBottom w:val="0"/>
          <w:divBdr>
            <w:top w:val="none" w:sz="0" w:space="0" w:color="auto"/>
            <w:left w:val="none" w:sz="0" w:space="0" w:color="auto"/>
            <w:bottom w:val="none" w:sz="0" w:space="0" w:color="auto"/>
            <w:right w:val="none" w:sz="0" w:space="0" w:color="auto"/>
          </w:divBdr>
          <w:divsChild>
            <w:div w:id="507597657">
              <w:marLeft w:val="0"/>
              <w:marRight w:val="0"/>
              <w:marTop w:val="0"/>
              <w:marBottom w:val="0"/>
              <w:divBdr>
                <w:top w:val="none" w:sz="0" w:space="0" w:color="auto"/>
                <w:left w:val="none" w:sz="0" w:space="0" w:color="auto"/>
                <w:bottom w:val="none" w:sz="0" w:space="0" w:color="auto"/>
                <w:right w:val="none" w:sz="0" w:space="0" w:color="auto"/>
              </w:divBdr>
              <w:divsChild>
                <w:div w:id="1808083398">
                  <w:marLeft w:val="0"/>
                  <w:marRight w:val="0"/>
                  <w:marTop w:val="0"/>
                  <w:marBottom w:val="0"/>
                  <w:divBdr>
                    <w:top w:val="none" w:sz="0" w:space="0" w:color="auto"/>
                    <w:left w:val="none" w:sz="0" w:space="0" w:color="auto"/>
                    <w:bottom w:val="none" w:sz="0" w:space="0" w:color="auto"/>
                    <w:right w:val="none" w:sz="0" w:space="0" w:color="auto"/>
                  </w:divBdr>
                  <w:divsChild>
                    <w:div w:id="686324948">
                      <w:marLeft w:val="0"/>
                      <w:marRight w:val="0"/>
                      <w:marTop w:val="0"/>
                      <w:marBottom w:val="0"/>
                      <w:divBdr>
                        <w:top w:val="none" w:sz="0" w:space="0" w:color="auto"/>
                        <w:left w:val="none" w:sz="0" w:space="0" w:color="auto"/>
                        <w:bottom w:val="none" w:sz="0" w:space="0" w:color="auto"/>
                        <w:right w:val="none" w:sz="0" w:space="0" w:color="auto"/>
                      </w:divBdr>
                      <w:divsChild>
                        <w:div w:id="1181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2873789">
      <w:bodyDiv w:val="1"/>
      <w:marLeft w:val="0"/>
      <w:marRight w:val="0"/>
      <w:marTop w:val="0"/>
      <w:marBottom w:val="0"/>
      <w:divBdr>
        <w:top w:val="none" w:sz="0" w:space="0" w:color="auto"/>
        <w:left w:val="none" w:sz="0" w:space="0" w:color="auto"/>
        <w:bottom w:val="none" w:sz="0" w:space="0" w:color="auto"/>
        <w:right w:val="none" w:sz="0" w:space="0" w:color="auto"/>
      </w:divBdr>
    </w:div>
    <w:div w:id="481847606">
      <w:bodyDiv w:val="1"/>
      <w:marLeft w:val="0"/>
      <w:marRight w:val="0"/>
      <w:marTop w:val="0"/>
      <w:marBottom w:val="0"/>
      <w:divBdr>
        <w:top w:val="none" w:sz="0" w:space="0" w:color="auto"/>
        <w:left w:val="none" w:sz="0" w:space="0" w:color="auto"/>
        <w:bottom w:val="none" w:sz="0" w:space="0" w:color="auto"/>
        <w:right w:val="none" w:sz="0" w:space="0" w:color="auto"/>
      </w:divBdr>
    </w:div>
    <w:div w:id="519584213">
      <w:bodyDiv w:val="1"/>
      <w:marLeft w:val="0"/>
      <w:marRight w:val="0"/>
      <w:marTop w:val="0"/>
      <w:marBottom w:val="0"/>
      <w:divBdr>
        <w:top w:val="none" w:sz="0" w:space="0" w:color="auto"/>
        <w:left w:val="none" w:sz="0" w:space="0" w:color="auto"/>
        <w:bottom w:val="none" w:sz="0" w:space="0" w:color="auto"/>
        <w:right w:val="none" w:sz="0" w:space="0" w:color="auto"/>
      </w:divBdr>
    </w:div>
    <w:div w:id="527449478">
      <w:bodyDiv w:val="1"/>
      <w:marLeft w:val="0"/>
      <w:marRight w:val="0"/>
      <w:marTop w:val="0"/>
      <w:marBottom w:val="0"/>
      <w:divBdr>
        <w:top w:val="none" w:sz="0" w:space="0" w:color="auto"/>
        <w:left w:val="none" w:sz="0" w:space="0" w:color="auto"/>
        <w:bottom w:val="none" w:sz="0" w:space="0" w:color="auto"/>
        <w:right w:val="none" w:sz="0" w:space="0" w:color="auto"/>
      </w:divBdr>
    </w:div>
    <w:div w:id="642395927">
      <w:bodyDiv w:val="1"/>
      <w:marLeft w:val="0"/>
      <w:marRight w:val="0"/>
      <w:marTop w:val="0"/>
      <w:marBottom w:val="0"/>
      <w:divBdr>
        <w:top w:val="none" w:sz="0" w:space="0" w:color="auto"/>
        <w:left w:val="none" w:sz="0" w:space="0" w:color="auto"/>
        <w:bottom w:val="none" w:sz="0" w:space="0" w:color="auto"/>
        <w:right w:val="none" w:sz="0" w:space="0" w:color="auto"/>
      </w:divBdr>
    </w:div>
    <w:div w:id="674914655">
      <w:bodyDiv w:val="1"/>
      <w:marLeft w:val="0"/>
      <w:marRight w:val="0"/>
      <w:marTop w:val="0"/>
      <w:marBottom w:val="0"/>
      <w:divBdr>
        <w:top w:val="none" w:sz="0" w:space="0" w:color="auto"/>
        <w:left w:val="none" w:sz="0" w:space="0" w:color="auto"/>
        <w:bottom w:val="none" w:sz="0" w:space="0" w:color="auto"/>
        <w:right w:val="none" w:sz="0" w:space="0" w:color="auto"/>
      </w:divBdr>
    </w:div>
    <w:div w:id="685061821">
      <w:bodyDiv w:val="1"/>
      <w:marLeft w:val="0"/>
      <w:marRight w:val="0"/>
      <w:marTop w:val="0"/>
      <w:marBottom w:val="0"/>
      <w:divBdr>
        <w:top w:val="none" w:sz="0" w:space="0" w:color="auto"/>
        <w:left w:val="none" w:sz="0" w:space="0" w:color="auto"/>
        <w:bottom w:val="none" w:sz="0" w:space="0" w:color="auto"/>
        <w:right w:val="none" w:sz="0" w:space="0" w:color="auto"/>
      </w:divBdr>
    </w:div>
    <w:div w:id="685329634">
      <w:bodyDiv w:val="1"/>
      <w:marLeft w:val="0"/>
      <w:marRight w:val="0"/>
      <w:marTop w:val="0"/>
      <w:marBottom w:val="0"/>
      <w:divBdr>
        <w:top w:val="none" w:sz="0" w:space="0" w:color="auto"/>
        <w:left w:val="none" w:sz="0" w:space="0" w:color="auto"/>
        <w:bottom w:val="none" w:sz="0" w:space="0" w:color="auto"/>
        <w:right w:val="none" w:sz="0" w:space="0" w:color="auto"/>
      </w:divBdr>
    </w:div>
    <w:div w:id="685445886">
      <w:bodyDiv w:val="1"/>
      <w:marLeft w:val="0"/>
      <w:marRight w:val="0"/>
      <w:marTop w:val="0"/>
      <w:marBottom w:val="0"/>
      <w:divBdr>
        <w:top w:val="none" w:sz="0" w:space="0" w:color="auto"/>
        <w:left w:val="none" w:sz="0" w:space="0" w:color="auto"/>
        <w:bottom w:val="none" w:sz="0" w:space="0" w:color="auto"/>
        <w:right w:val="none" w:sz="0" w:space="0" w:color="auto"/>
      </w:divBdr>
    </w:div>
    <w:div w:id="711001489">
      <w:bodyDiv w:val="1"/>
      <w:marLeft w:val="0"/>
      <w:marRight w:val="0"/>
      <w:marTop w:val="0"/>
      <w:marBottom w:val="0"/>
      <w:divBdr>
        <w:top w:val="none" w:sz="0" w:space="0" w:color="auto"/>
        <w:left w:val="none" w:sz="0" w:space="0" w:color="auto"/>
        <w:bottom w:val="none" w:sz="0" w:space="0" w:color="auto"/>
        <w:right w:val="none" w:sz="0" w:space="0" w:color="auto"/>
      </w:divBdr>
    </w:div>
    <w:div w:id="748498104">
      <w:bodyDiv w:val="1"/>
      <w:marLeft w:val="0"/>
      <w:marRight w:val="0"/>
      <w:marTop w:val="0"/>
      <w:marBottom w:val="0"/>
      <w:divBdr>
        <w:top w:val="none" w:sz="0" w:space="0" w:color="auto"/>
        <w:left w:val="none" w:sz="0" w:space="0" w:color="auto"/>
        <w:bottom w:val="none" w:sz="0" w:space="0" w:color="auto"/>
        <w:right w:val="none" w:sz="0" w:space="0" w:color="auto"/>
      </w:divBdr>
    </w:div>
    <w:div w:id="749817420">
      <w:bodyDiv w:val="1"/>
      <w:marLeft w:val="0"/>
      <w:marRight w:val="0"/>
      <w:marTop w:val="0"/>
      <w:marBottom w:val="0"/>
      <w:divBdr>
        <w:top w:val="none" w:sz="0" w:space="0" w:color="auto"/>
        <w:left w:val="none" w:sz="0" w:space="0" w:color="auto"/>
        <w:bottom w:val="none" w:sz="0" w:space="0" w:color="auto"/>
        <w:right w:val="none" w:sz="0" w:space="0" w:color="auto"/>
      </w:divBdr>
    </w:div>
    <w:div w:id="788474651">
      <w:bodyDiv w:val="1"/>
      <w:marLeft w:val="0"/>
      <w:marRight w:val="0"/>
      <w:marTop w:val="0"/>
      <w:marBottom w:val="0"/>
      <w:divBdr>
        <w:top w:val="none" w:sz="0" w:space="0" w:color="auto"/>
        <w:left w:val="none" w:sz="0" w:space="0" w:color="auto"/>
        <w:bottom w:val="none" w:sz="0" w:space="0" w:color="auto"/>
        <w:right w:val="none" w:sz="0" w:space="0" w:color="auto"/>
      </w:divBdr>
    </w:div>
    <w:div w:id="823818333">
      <w:bodyDiv w:val="1"/>
      <w:marLeft w:val="0"/>
      <w:marRight w:val="0"/>
      <w:marTop w:val="0"/>
      <w:marBottom w:val="0"/>
      <w:divBdr>
        <w:top w:val="none" w:sz="0" w:space="0" w:color="auto"/>
        <w:left w:val="none" w:sz="0" w:space="0" w:color="auto"/>
        <w:bottom w:val="none" w:sz="0" w:space="0" w:color="auto"/>
        <w:right w:val="none" w:sz="0" w:space="0" w:color="auto"/>
      </w:divBdr>
    </w:div>
    <w:div w:id="827288998">
      <w:bodyDiv w:val="1"/>
      <w:marLeft w:val="0"/>
      <w:marRight w:val="0"/>
      <w:marTop w:val="0"/>
      <w:marBottom w:val="0"/>
      <w:divBdr>
        <w:top w:val="none" w:sz="0" w:space="0" w:color="auto"/>
        <w:left w:val="none" w:sz="0" w:space="0" w:color="auto"/>
        <w:bottom w:val="none" w:sz="0" w:space="0" w:color="auto"/>
        <w:right w:val="none" w:sz="0" w:space="0" w:color="auto"/>
      </w:divBdr>
    </w:div>
    <w:div w:id="861630357">
      <w:bodyDiv w:val="1"/>
      <w:marLeft w:val="0"/>
      <w:marRight w:val="0"/>
      <w:marTop w:val="0"/>
      <w:marBottom w:val="0"/>
      <w:divBdr>
        <w:top w:val="none" w:sz="0" w:space="0" w:color="auto"/>
        <w:left w:val="none" w:sz="0" w:space="0" w:color="auto"/>
        <w:bottom w:val="none" w:sz="0" w:space="0" w:color="auto"/>
        <w:right w:val="none" w:sz="0" w:space="0" w:color="auto"/>
      </w:divBdr>
    </w:div>
    <w:div w:id="997462338">
      <w:bodyDiv w:val="1"/>
      <w:marLeft w:val="0"/>
      <w:marRight w:val="0"/>
      <w:marTop w:val="0"/>
      <w:marBottom w:val="0"/>
      <w:divBdr>
        <w:top w:val="none" w:sz="0" w:space="0" w:color="auto"/>
        <w:left w:val="none" w:sz="0" w:space="0" w:color="auto"/>
        <w:bottom w:val="none" w:sz="0" w:space="0" w:color="auto"/>
        <w:right w:val="none" w:sz="0" w:space="0" w:color="auto"/>
      </w:divBdr>
    </w:div>
    <w:div w:id="1007944548">
      <w:bodyDiv w:val="1"/>
      <w:marLeft w:val="0"/>
      <w:marRight w:val="0"/>
      <w:marTop w:val="0"/>
      <w:marBottom w:val="0"/>
      <w:divBdr>
        <w:top w:val="none" w:sz="0" w:space="0" w:color="auto"/>
        <w:left w:val="none" w:sz="0" w:space="0" w:color="auto"/>
        <w:bottom w:val="none" w:sz="0" w:space="0" w:color="auto"/>
        <w:right w:val="none" w:sz="0" w:space="0" w:color="auto"/>
      </w:divBdr>
    </w:div>
    <w:div w:id="1038892268">
      <w:bodyDiv w:val="1"/>
      <w:marLeft w:val="0"/>
      <w:marRight w:val="0"/>
      <w:marTop w:val="0"/>
      <w:marBottom w:val="0"/>
      <w:divBdr>
        <w:top w:val="none" w:sz="0" w:space="0" w:color="auto"/>
        <w:left w:val="none" w:sz="0" w:space="0" w:color="auto"/>
        <w:bottom w:val="none" w:sz="0" w:space="0" w:color="auto"/>
        <w:right w:val="none" w:sz="0" w:space="0" w:color="auto"/>
      </w:divBdr>
    </w:div>
    <w:div w:id="1055005413">
      <w:bodyDiv w:val="1"/>
      <w:marLeft w:val="0"/>
      <w:marRight w:val="0"/>
      <w:marTop w:val="0"/>
      <w:marBottom w:val="0"/>
      <w:divBdr>
        <w:top w:val="none" w:sz="0" w:space="0" w:color="auto"/>
        <w:left w:val="none" w:sz="0" w:space="0" w:color="auto"/>
        <w:bottom w:val="none" w:sz="0" w:space="0" w:color="auto"/>
        <w:right w:val="none" w:sz="0" w:space="0" w:color="auto"/>
      </w:divBdr>
      <w:divsChild>
        <w:div w:id="463354429">
          <w:marLeft w:val="0"/>
          <w:marRight w:val="0"/>
          <w:marTop w:val="0"/>
          <w:marBottom w:val="0"/>
          <w:divBdr>
            <w:top w:val="none" w:sz="0" w:space="0" w:color="auto"/>
            <w:left w:val="none" w:sz="0" w:space="0" w:color="auto"/>
            <w:bottom w:val="none" w:sz="0" w:space="0" w:color="auto"/>
            <w:right w:val="none" w:sz="0" w:space="0" w:color="auto"/>
          </w:divBdr>
          <w:divsChild>
            <w:div w:id="1740402953">
              <w:marLeft w:val="0"/>
              <w:marRight w:val="0"/>
              <w:marTop w:val="0"/>
              <w:marBottom w:val="0"/>
              <w:divBdr>
                <w:top w:val="none" w:sz="0" w:space="0" w:color="auto"/>
                <w:left w:val="none" w:sz="0" w:space="0" w:color="auto"/>
                <w:bottom w:val="none" w:sz="0" w:space="0" w:color="auto"/>
                <w:right w:val="none" w:sz="0" w:space="0" w:color="auto"/>
              </w:divBdr>
              <w:divsChild>
                <w:div w:id="301737769">
                  <w:marLeft w:val="0"/>
                  <w:marRight w:val="0"/>
                  <w:marTop w:val="0"/>
                  <w:marBottom w:val="0"/>
                  <w:divBdr>
                    <w:top w:val="none" w:sz="0" w:space="0" w:color="auto"/>
                    <w:left w:val="none" w:sz="0" w:space="0" w:color="auto"/>
                    <w:bottom w:val="none" w:sz="0" w:space="0" w:color="auto"/>
                    <w:right w:val="none" w:sz="0" w:space="0" w:color="auto"/>
                  </w:divBdr>
                  <w:divsChild>
                    <w:div w:id="1177572821">
                      <w:marLeft w:val="0"/>
                      <w:marRight w:val="0"/>
                      <w:marTop w:val="0"/>
                      <w:marBottom w:val="0"/>
                      <w:divBdr>
                        <w:top w:val="none" w:sz="0" w:space="0" w:color="auto"/>
                        <w:left w:val="none" w:sz="0" w:space="0" w:color="auto"/>
                        <w:bottom w:val="none" w:sz="0" w:space="0" w:color="auto"/>
                        <w:right w:val="none" w:sz="0" w:space="0" w:color="auto"/>
                      </w:divBdr>
                      <w:divsChild>
                        <w:div w:id="404494806">
                          <w:marLeft w:val="0"/>
                          <w:marRight w:val="0"/>
                          <w:marTop w:val="0"/>
                          <w:marBottom w:val="0"/>
                          <w:divBdr>
                            <w:top w:val="none" w:sz="0" w:space="0" w:color="auto"/>
                            <w:left w:val="none" w:sz="0" w:space="0" w:color="auto"/>
                            <w:bottom w:val="none" w:sz="0" w:space="0" w:color="auto"/>
                            <w:right w:val="none" w:sz="0" w:space="0" w:color="auto"/>
                          </w:divBdr>
                          <w:divsChild>
                            <w:div w:id="905258878">
                              <w:marLeft w:val="0"/>
                              <w:marRight w:val="0"/>
                              <w:marTop w:val="0"/>
                              <w:marBottom w:val="0"/>
                              <w:divBdr>
                                <w:top w:val="none" w:sz="0" w:space="0" w:color="auto"/>
                                <w:left w:val="none" w:sz="0" w:space="0" w:color="auto"/>
                                <w:bottom w:val="none" w:sz="0" w:space="0" w:color="auto"/>
                                <w:right w:val="none" w:sz="0" w:space="0" w:color="auto"/>
                              </w:divBdr>
                              <w:divsChild>
                                <w:div w:id="1750273273">
                                  <w:marLeft w:val="0"/>
                                  <w:marRight w:val="0"/>
                                  <w:marTop w:val="0"/>
                                  <w:marBottom w:val="0"/>
                                  <w:divBdr>
                                    <w:top w:val="none" w:sz="0" w:space="0" w:color="auto"/>
                                    <w:left w:val="none" w:sz="0" w:space="0" w:color="auto"/>
                                    <w:bottom w:val="none" w:sz="0" w:space="0" w:color="auto"/>
                                    <w:right w:val="none" w:sz="0" w:space="0" w:color="auto"/>
                                  </w:divBdr>
                                  <w:divsChild>
                                    <w:div w:id="85800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091962">
                      <w:marLeft w:val="0"/>
                      <w:marRight w:val="0"/>
                      <w:marTop w:val="0"/>
                      <w:marBottom w:val="0"/>
                      <w:divBdr>
                        <w:top w:val="none" w:sz="0" w:space="0" w:color="auto"/>
                        <w:left w:val="none" w:sz="0" w:space="0" w:color="auto"/>
                        <w:bottom w:val="none" w:sz="0" w:space="0" w:color="auto"/>
                        <w:right w:val="none" w:sz="0" w:space="0" w:color="auto"/>
                      </w:divBdr>
                      <w:divsChild>
                        <w:div w:id="182396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5840435">
      <w:bodyDiv w:val="1"/>
      <w:marLeft w:val="0"/>
      <w:marRight w:val="0"/>
      <w:marTop w:val="0"/>
      <w:marBottom w:val="0"/>
      <w:divBdr>
        <w:top w:val="none" w:sz="0" w:space="0" w:color="auto"/>
        <w:left w:val="none" w:sz="0" w:space="0" w:color="auto"/>
        <w:bottom w:val="none" w:sz="0" w:space="0" w:color="auto"/>
        <w:right w:val="none" w:sz="0" w:space="0" w:color="auto"/>
      </w:divBdr>
    </w:div>
    <w:div w:id="1210461200">
      <w:bodyDiv w:val="1"/>
      <w:marLeft w:val="0"/>
      <w:marRight w:val="0"/>
      <w:marTop w:val="0"/>
      <w:marBottom w:val="0"/>
      <w:divBdr>
        <w:top w:val="none" w:sz="0" w:space="0" w:color="auto"/>
        <w:left w:val="none" w:sz="0" w:space="0" w:color="auto"/>
        <w:bottom w:val="none" w:sz="0" w:space="0" w:color="auto"/>
        <w:right w:val="none" w:sz="0" w:space="0" w:color="auto"/>
      </w:divBdr>
    </w:div>
    <w:div w:id="1210921015">
      <w:bodyDiv w:val="1"/>
      <w:marLeft w:val="0"/>
      <w:marRight w:val="0"/>
      <w:marTop w:val="0"/>
      <w:marBottom w:val="0"/>
      <w:divBdr>
        <w:top w:val="none" w:sz="0" w:space="0" w:color="auto"/>
        <w:left w:val="none" w:sz="0" w:space="0" w:color="auto"/>
        <w:bottom w:val="none" w:sz="0" w:space="0" w:color="auto"/>
        <w:right w:val="none" w:sz="0" w:space="0" w:color="auto"/>
      </w:divBdr>
    </w:div>
    <w:div w:id="1272544180">
      <w:bodyDiv w:val="1"/>
      <w:marLeft w:val="0"/>
      <w:marRight w:val="0"/>
      <w:marTop w:val="0"/>
      <w:marBottom w:val="0"/>
      <w:divBdr>
        <w:top w:val="none" w:sz="0" w:space="0" w:color="auto"/>
        <w:left w:val="none" w:sz="0" w:space="0" w:color="auto"/>
        <w:bottom w:val="none" w:sz="0" w:space="0" w:color="auto"/>
        <w:right w:val="none" w:sz="0" w:space="0" w:color="auto"/>
      </w:divBdr>
    </w:div>
    <w:div w:id="1316639666">
      <w:bodyDiv w:val="1"/>
      <w:marLeft w:val="0"/>
      <w:marRight w:val="0"/>
      <w:marTop w:val="0"/>
      <w:marBottom w:val="0"/>
      <w:divBdr>
        <w:top w:val="none" w:sz="0" w:space="0" w:color="auto"/>
        <w:left w:val="none" w:sz="0" w:space="0" w:color="auto"/>
        <w:bottom w:val="none" w:sz="0" w:space="0" w:color="auto"/>
        <w:right w:val="none" w:sz="0" w:space="0" w:color="auto"/>
      </w:divBdr>
    </w:div>
    <w:div w:id="1331131197">
      <w:bodyDiv w:val="1"/>
      <w:marLeft w:val="0"/>
      <w:marRight w:val="0"/>
      <w:marTop w:val="0"/>
      <w:marBottom w:val="0"/>
      <w:divBdr>
        <w:top w:val="none" w:sz="0" w:space="0" w:color="auto"/>
        <w:left w:val="none" w:sz="0" w:space="0" w:color="auto"/>
        <w:bottom w:val="none" w:sz="0" w:space="0" w:color="auto"/>
        <w:right w:val="none" w:sz="0" w:space="0" w:color="auto"/>
      </w:divBdr>
    </w:div>
    <w:div w:id="1341615024">
      <w:bodyDiv w:val="1"/>
      <w:marLeft w:val="0"/>
      <w:marRight w:val="0"/>
      <w:marTop w:val="0"/>
      <w:marBottom w:val="0"/>
      <w:divBdr>
        <w:top w:val="none" w:sz="0" w:space="0" w:color="auto"/>
        <w:left w:val="none" w:sz="0" w:space="0" w:color="auto"/>
        <w:bottom w:val="none" w:sz="0" w:space="0" w:color="auto"/>
        <w:right w:val="none" w:sz="0" w:space="0" w:color="auto"/>
      </w:divBdr>
    </w:div>
    <w:div w:id="1343706717">
      <w:bodyDiv w:val="1"/>
      <w:marLeft w:val="0"/>
      <w:marRight w:val="0"/>
      <w:marTop w:val="0"/>
      <w:marBottom w:val="0"/>
      <w:divBdr>
        <w:top w:val="none" w:sz="0" w:space="0" w:color="auto"/>
        <w:left w:val="none" w:sz="0" w:space="0" w:color="auto"/>
        <w:bottom w:val="none" w:sz="0" w:space="0" w:color="auto"/>
        <w:right w:val="none" w:sz="0" w:space="0" w:color="auto"/>
      </w:divBdr>
    </w:div>
    <w:div w:id="1347633560">
      <w:bodyDiv w:val="1"/>
      <w:marLeft w:val="0"/>
      <w:marRight w:val="0"/>
      <w:marTop w:val="0"/>
      <w:marBottom w:val="0"/>
      <w:divBdr>
        <w:top w:val="none" w:sz="0" w:space="0" w:color="auto"/>
        <w:left w:val="none" w:sz="0" w:space="0" w:color="auto"/>
        <w:bottom w:val="none" w:sz="0" w:space="0" w:color="auto"/>
        <w:right w:val="none" w:sz="0" w:space="0" w:color="auto"/>
      </w:divBdr>
    </w:div>
    <w:div w:id="1382092208">
      <w:bodyDiv w:val="1"/>
      <w:marLeft w:val="0"/>
      <w:marRight w:val="0"/>
      <w:marTop w:val="0"/>
      <w:marBottom w:val="0"/>
      <w:divBdr>
        <w:top w:val="none" w:sz="0" w:space="0" w:color="auto"/>
        <w:left w:val="none" w:sz="0" w:space="0" w:color="auto"/>
        <w:bottom w:val="none" w:sz="0" w:space="0" w:color="auto"/>
        <w:right w:val="none" w:sz="0" w:space="0" w:color="auto"/>
      </w:divBdr>
    </w:div>
    <w:div w:id="1383020871">
      <w:bodyDiv w:val="1"/>
      <w:marLeft w:val="0"/>
      <w:marRight w:val="0"/>
      <w:marTop w:val="0"/>
      <w:marBottom w:val="0"/>
      <w:divBdr>
        <w:top w:val="none" w:sz="0" w:space="0" w:color="auto"/>
        <w:left w:val="none" w:sz="0" w:space="0" w:color="auto"/>
        <w:bottom w:val="none" w:sz="0" w:space="0" w:color="auto"/>
        <w:right w:val="none" w:sz="0" w:space="0" w:color="auto"/>
      </w:divBdr>
    </w:div>
    <w:div w:id="1420103192">
      <w:bodyDiv w:val="1"/>
      <w:marLeft w:val="0"/>
      <w:marRight w:val="0"/>
      <w:marTop w:val="0"/>
      <w:marBottom w:val="0"/>
      <w:divBdr>
        <w:top w:val="none" w:sz="0" w:space="0" w:color="auto"/>
        <w:left w:val="none" w:sz="0" w:space="0" w:color="auto"/>
        <w:bottom w:val="none" w:sz="0" w:space="0" w:color="auto"/>
        <w:right w:val="none" w:sz="0" w:space="0" w:color="auto"/>
      </w:divBdr>
    </w:div>
    <w:div w:id="1421759696">
      <w:bodyDiv w:val="1"/>
      <w:marLeft w:val="0"/>
      <w:marRight w:val="0"/>
      <w:marTop w:val="0"/>
      <w:marBottom w:val="0"/>
      <w:divBdr>
        <w:top w:val="none" w:sz="0" w:space="0" w:color="auto"/>
        <w:left w:val="none" w:sz="0" w:space="0" w:color="auto"/>
        <w:bottom w:val="none" w:sz="0" w:space="0" w:color="auto"/>
        <w:right w:val="none" w:sz="0" w:space="0" w:color="auto"/>
      </w:divBdr>
    </w:div>
    <w:div w:id="1434130400">
      <w:bodyDiv w:val="1"/>
      <w:marLeft w:val="0"/>
      <w:marRight w:val="0"/>
      <w:marTop w:val="0"/>
      <w:marBottom w:val="0"/>
      <w:divBdr>
        <w:top w:val="none" w:sz="0" w:space="0" w:color="auto"/>
        <w:left w:val="none" w:sz="0" w:space="0" w:color="auto"/>
        <w:bottom w:val="none" w:sz="0" w:space="0" w:color="auto"/>
        <w:right w:val="none" w:sz="0" w:space="0" w:color="auto"/>
      </w:divBdr>
    </w:div>
    <w:div w:id="1442263265">
      <w:bodyDiv w:val="1"/>
      <w:marLeft w:val="0"/>
      <w:marRight w:val="0"/>
      <w:marTop w:val="0"/>
      <w:marBottom w:val="0"/>
      <w:divBdr>
        <w:top w:val="none" w:sz="0" w:space="0" w:color="auto"/>
        <w:left w:val="none" w:sz="0" w:space="0" w:color="auto"/>
        <w:bottom w:val="none" w:sz="0" w:space="0" w:color="auto"/>
        <w:right w:val="none" w:sz="0" w:space="0" w:color="auto"/>
      </w:divBdr>
    </w:div>
    <w:div w:id="1450663697">
      <w:bodyDiv w:val="1"/>
      <w:marLeft w:val="0"/>
      <w:marRight w:val="0"/>
      <w:marTop w:val="0"/>
      <w:marBottom w:val="0"/>
      <w:divBdr>
        <w:top w:val="none" w:sz="0" w:space="0" w:color="auto"/>
        <w:left w:val="none" w:sz="0" w:space="0" w:color="auto"/>
        <w:bottom w:val="none" w:sz="0" w:space="0" w:color="auto"/>
        <w:right w:val="none" w:sz="0" w:space="0" w:color="auto"/>
      </w:divBdr>
    </w:div>
    <w:div w:id="1499467110">
      <w:bodyDiv w:val="1"/>
      <w:marLeft w:val="0"/>
      <w:marRight w:val="0"/>
      <w:marTop w:val="0"/>
      <w:marBottom w:val="0"/>
      <w:divBdr>
        <w:top w:val="none" w:sz="0" w:space="0" w:color="auto"/>
        <w:left w:val="none" w:sz="0" w:space="0" w:color="auto"/>
        <w:bottom w:val="none" w:sz="0" w:space="0" w:color="auto"/>
        <w:right w:val="none" w:sz="0" w:space="0" w:color="auto"/>
      </w:divBdr>
    </w:div>
    <w:div w:id="1560702815">
      <w:bodyDiv w:val="1"/>
      <w:marLeft w:val="0"/>
      <w:marRight w:val="0"/>
      <w:marTop w:val="0"/>
      <w:marBottom w:val="0"/>
      <w:divBdr>
        <w:top w:val="none" w:sz="0" w:space="0" w:color="auto"/>
        <w:left w:val="none" w:sz="0" w:space="0" w:color="auto"/>
        <w:bottom w:val="none" w:sz="0" w:space="0" w:color="auto"/>
        <w:right w:val="none" w:sz="0" w:space="0" w:color="auto"/>
      </w:divBdr>
    </w:div>
    <w:div w:id="1565723760">
      <w:bodyDiv w:val="1"/>
      <w:marLeft w:val="0"/>
      <w:marRight w:val="0"/>
      <w:marTop w:val="0"/>
      <w:marBottom w:val="0"/>
      <w:divBdr>
        <w:top w:val="none" w:sz="0" w:space="0" w:color="auto"/>
        <w:left w:val="none" w:sz="0" w:space="0" w:color="auto"/>
        <w:bottom w:val="none" w:sz="0" w:space="0" w:color="auto"/>
        <w:right w:val="none" w:sz="0" w:space="0" w:color="auto"/>
      </w:divBdr>
    </w:div>
    <w:div w:id="1571580626">
      <w:bodyDiv w:val="1"/>
      <w:marLeft w:val="0"/>
      <w:marRight w:val="0"/>
      <w:marTop w:val="0"/>
      <w:marBottom w:val="0"/>
      <w:divBdr>
        <w:top w:val="none" w:sz="0" w:space="0" w:color="auto"/>
        <w:left w:val="none" w:sz="0" w:space="0" w:color="auto"/>
        <w:bottom w:val="none" w:sz="0" w:space="0" w:color="auto"/>
        <w:right w:val="none" w:sz="0" w:space="0" w:color="auto"/>
      </w:divBdr>
    </w:div>
    <w:div w:id="1587762899">
      <w:bodyDiv w:val="1"/>
      <w:marLeft w:val="0"/>
      <w:marRight w:val="0"/>
      <w:marTop w:val="0"/>
      <w:marBottom w:val="0"/>
      <w:divBdr>
        <w:top w:val="none" w:sz="0" w:space="0" w:color="auto"/>
        <w:left w:val="none" w:sz="0" w:space="0" w:color="auto"/>
        <w:bottom w:val="none" w:sz="0" w:space="0" w:color="auto"/>
        <w:right w:val="none" w:sz="0" w:space="0" w:color="auto"/>
      </w:divBdr>
    </w:div>
    <w:div w:id="1594163788">
      <w:bodyDiv w:val="1"/>
      <w:marLeft w:val="0"/>
      <w:marRight w:val="0"/>
      <w:marTop w:val="0"/>
      <w:marBottom w:val="0"/>
      <w:divBdr>
        <w:top w:val="none" w:sz="0" w:space="0" w:color="auto"/>
        <w:left w:val="none" w:sz="0" w:space="0" w:color="auto"/>
        <w:bottom w:val="none" w:sz="0" w:space="0" w:color="auto"/>
        <w:right w:val="none" w:sz="0" w:space="0" w:color="auto"/>
      </w:divBdr>
    </w:div>
    <w:div w:id="1599093958">
      <w:bodyDiv w:val="1"/>
      <w:marLeft w:val="0"/>
      <w:marRight w:val="0"/>
      <w:marTop w:val="0"/>
      <w:marBottom w:val="0"/>
      <w:divBdr>
        <w:top w:val="none" w:sz="0" w:space="0" w:color="auto"/>
        <w:left w:val="none" w:sz="0" w:space="0" w:color="auto"/>
        <w:bottom w:val="none" w:sz="0" w:space="0" w:color="auto"/>
        <w:right w:val="none" w:sz="0" w:space="0" w:color="auto"/>
      </w:divBdr>
    </w:div>
    <w:div w:id="1622153119">
      <w:bodyDiv w:val="1"/>
      <w:marLeft w:val="0"/>
      <w:marRight w:val="0"/>
      <w:marTop w:val="0"/>
      <w:marBottom w:val="0"/>
      <w:divBdr>
        <w:top w:val="none" w:sz="0" w:space="0" w:color="auto"/>
        <w:left w:val="none" w:sz="0" w:space="0" w:color="auto"/>
        <w:bottom w:val="none" w:sz="0" w:space="0" w:color="auto"/>
        <w:right w:val="none" w:sz="0" w:space="0" w:color="auto"/>
      </w:divBdr>
    </w:div>
    <w:div w:id="1623225218">
      <w:bodyDiv w:val="1"/>
      <w:marLeft w:val="0"/>
      <w:marRight w:val="0"/>
      <w:marTop w:val="0"/>
      <w:marBottom w:val="0"/>
      <w:divBdr>
        <w:top w:val="none" w:sz="0" w:space="0" w:color="auto"/>
        <w:left w:val="none" w:sz="0" w:space="0" w:color="auto"/>
        <w:bottom w:val="none" w:sz="0" w:space="0" w:color="auto"/>
        <w:right w:val="none" w:sz="0" w:space="0" w:color="auto"/>
      </w:divBdr>
    </w:div>
    <w:div w:id="1692338894">
      <w:bodyDiv w:val="1"/>
      <w:marLeft w:val="0"/>
      <w:marRight w:val="0"/>
      <w:marTop w:val="0"/>
      <w:marBottom w:val="0"/>
      <w:divBdr>
        <w:top w:val="none" w:sz="0" w:space="0" w:color="auto"/>
        <w:left w:val="none" w:sz="0" w:space="0" w:color="auto"/>
        <w:bottom w:val="none" w:sz="0" w:space="0" w:color="auto"/>
        <w:right w:val="none" w:sz="0" w:space="0" w:color="auto"/>
      </w:divBdr>
    </w:div>
    <w:div w:id="1695227893">
      <w:bodyDiv w:val="1"/>
      <w:marLeft w:val="0"/>
      <w:marRight w:val="0"/>
      <w:marTop w:val="0"/>
      <w:marBottom w:val="0"/>
      <w:divBdr>
        <w:top w:val="none" w:sz="0" w:space="0" w:color="auto"/>
        <w:left w:val="none" w:sz="0" w:space="0" w:color="auto"/>
        <w:bottom w:val="none" w:sz="0" w:space="0" w:color="auto"/>
        <w:right w:val="none" w:sz="0" w:space="0" w:color="auto"/>
      </w:divBdr>
    </w:div>
    <w:div w:id="1752776006">
      <w:bodyDiv w:val="1"/>
      <w:marLeft w:val="0"/>
      <w:marRight w:val="0"/>
      <w:marTop w:val="0"/>
      <w:marBottom w:val="0"/>
      <w:divBdr>
        <w:top w:val="none" w:sz="0" w:space="0" w:color="auto"/>
        <w:left w:val="none" w:sz="0" w:space="0" w:color="auto"/>
        <w:bottom w:val="none" w:sz="0" w:space="0" w:color="auto"/>
        <w:right w:val="none" w:sz="0" w:space="0" w:color="auto"/>
      </w:divBdr>
    </w:div>
    <w:div w:id="1782071740">
      <w:bodyDiv w:val="1"/>
      <w:marLeft w:val="0"/>
      <w:marRight w:val="0"/>
      <w:marTop w:val="0"/>
      <w:marBottom w:val="0"/>
      <w:divBdr>
        <w:top w:val="none" w:sz="0" w:space="0" w:color="auto"/>
        <w:left w:val="none" w:sz="0" w:space="0" w:color="auto"/>
        <w:bottom w:val="none" w:sz="0" w:space="0" w:color="auto"/>
        <w:right w:val="none" w:sz="0" w:space="0" w:color="auto"/>
      </w:divBdr>
    </w:div>
    <w:div w:id="1820229132">
      <w:bodyDiv w:val="1"/>
      <w:marLeft w:val="0"/>
      <w:marRight w:val="0"/>
      <w:marTop w:val="0"/>
      <w:marBottom w:val="0"/>
      <w:divBdr>
        <w:top w:val="none" w:sz="0" w:space="0" w:color="auto"/>
        <w:left w:val="none" w:sz="0" w:space="0" w:color="auto"/>
        <w:bottom w:val="none" w:sz="0" w:space="0" w:color="auto"/>
        <w:right w:val="none" w:sz="0" w:space="0" w:color="auto"/>
      </w:divBdr>
    </w:div>
    <w:div w:id="1851095898">
      <w:bodyDiv w:val="1"/>
      <w:marLeft w:val="0"/>
      <w:marRight w:val="0"/>
      <w:marTop w:val="0"/>
      <w:marBottom w:val="0"/>
      <w:divBdr>
        <w:top w:val="none" w:sz="0" w:space="0" w:color="auto"/>
        <w:left w:val="none" w:sz="0" w:space="0" w:color="auto"/>
        <w:bottom w:val="none" w:sz="0" w:space="0" w:color="auto"/>
        <w:right w:val="none" w:sz="0" w:space="0" w:color="auto"/>
      </w:divBdr>
    </w:div>
    <w:div w:id="1860730293">
      <w:bodyDiv w:val="1"/>
      <w:marLeft w:val="0"/>
      <w:marRight w:val="0"/>
      <w:marTop w:val="0"/>
      <w:marBottom w:val="0"/>
      <w:divBdr>
        <w:top w:val="none" w:sz="0" w:space="0" w:color="auto"/>
        <w:left w:val="none" w:sz="0" w:space="0" w:color="auto"/>
        <w:bottom w:val="none" w:sz="0" w:space="0" w:color="auto"/>
        <w:right w:val="none" w:sz="0" w:space="0" w:color="auto"/>
      </w:divBdr>
    </w:div>
    <w:div w:id="1888056847">
      <w:bodyDiv w:val="1"/>
      <w:marLeft w:val="0"/>
      <w:marRight w:val="0"/>
      <w:marTop w:val="0"/>
      <w:marBottom w:val="0"/>
      <w:divBdr>
        <w:top w:val="none" w:sz="0" w:space="0" w:color="auto"/>
        <w:left w:val="none" w:sz="0" w:space="0" w:color="auto"/>
        <w:bottom w:val="none" w:sz="0" w:space="0" w:color="auto"/>
        <w:right w:val="none" w:sz="0" w:space="0" w:color="auto"/>
      </w:divBdr>
    </w:div>
    <w:div w:id="1901361659">
      <w:bodyDiv w:val="1"/>
      <w:marLeft w:val="0"/>
      <w:marRight w:val="0"/>
      <w:marTop w:val="0"/>
      <w:marBottom w:val="0"/>
      <w:divBdr>
        <w:top w:val="none" w:sz="0" w:space="0" w:color="auto"/>
        <w:left w:val="none" w:sz="0" w:space="0" w:color="auto"/>
        <w:bottom w:val="none" w:sz="0" w:space="0" w:color="auto"/>
        <w:right w:val="none" w:sz="0" w:space="0" w:color="auto"/>
      </w:divBdr>
    </w:div>
    <w:div w:id="1927491122">
      <w:bodyDiv w:val="1"/>
      <w:marLeft w:val="0"/>
      <w:marRight w:val="0"/>
      <w:marTop w:val="0"/>
      <w:marBottom w:val="0"/>
      <w:divBdr>
        <w:top w:val="none" w:sz="0" w:space="0" w:color="auto"/>
        <w:left w:val="none" w:sz="0" w:space="0" w:color="auto"/>
        <w:bottom w:val="none" w:sz="0" w:space="0" w:color="auto"/>
        <w:right w:val="none" w:sz="0" w:space="0" w:color="auto"/>
      </w:divBdr>
    </w:div>
    <w:div w:id="1946040234">
      <w:bodyDiv w:val="1"/>
      <w:marLeft w:val="0"/>
      <w:marRight w:val="0"/>
      <w:marTop w:val="0"/>
      <w:marBottom w:val="0"/>
      <w:divBdr>
        <w:top w:val="none" w:sz="0" w:space="0" w:color="auto"/>
        <w:left w:val="none" w:sz="0" w:space="0" w:color="auto"/>
        <w:bottom w:val="none" w:sz="0" w:space="0" w:color="auto"/>
        <w:right w:val="none" w:sz="0" w:space="0" w:color="auto"/>
      </w:divBdr>
    </w:div>
    <w:div w:id="1971862166">
      <w:bodyDiv w:val="1"/>
      <w:marLeft w:val="0"/>
      <w:marRight w:val="0"/>
      <w:marTop w:val="0"/>
      <w:marBottom w:val="0"/>
      <w:divBdr>
        <w:top w:val="none" w:sz="0" w:space="0" w:color="auto"/>
        <w:left w:val="none" w:sz="0" w:space="0" w:color="auto"/>
        <w:bottom w:val="none" w:sz="0" w:space="0" w:color="auto"/>
        <w:right w:val="none" w:sz="0" w:space="0" w:color="auto"/>
      </w:divBdr>
    </w:div>
    <w:div w:id="1990279422">
      <w:bodyDiv w:val="1"/>
      <w:marLeft w:val="0"/>
      <w:marRight w:val="0"/>
      <w:marTop w:val="0"/>
      <w:marBottom w:val="0"/>
      <w:divBdr>
        <w:top w:val="none" w:sz="0" w:space="0" w:color="auto"/>
        <w:left w:val="none" w:sz="0" w:space="0" w:color="auto"/>
        <w:bottom w:val="none" w:sz="0" w:space="0" w:color="auto"/>
        <w:right w:val="none" w:sz="0" w:space="0" w:color="auto"/>
      </w:divBdr>
    </w:div>
    <w:div w:id="2028866117">
      <w:bodyDiv w:val="1"/>
      <w:marLeft w:val="0"/>
      <w:marRight w:val="0"/>
      <w:marTop w:val="0"/>
      <w:marBottom w:val="0"/>
      <w:divBdr>
        <w:top w:val="none" w:sz="0" w:space="0" w:color="auto"/>
        <w:left w:val="none" w:sz="0" w:space="0" w:color="auto"/>
        <w:bottom w:val="none" w:sz="0" w:space="0" w:color="auto"/>
        <w:right w:val="none" w:sz="0" w:space="0" w:color="auto"/>
      </w:divBdr>
    </w:div>
    <w:div w:id="2029527787">
      <w:bodyDiv w:val="1"/>
      <w:marLeft w:val="0"/>
      <w:marRight w:val="0"/>
      <w:marTop w:val="0"/>
      <w:marBottom w:val="0"/>
      <w:divBdr>
        <w:top w:val="none" w:sz="0" w:space="0" w:color="auto"/>
        <w:left w:val="none" w:sz="0" w:space="0" w:color="auto"/>
        <w:bottom w:val="none" w:sz="0" w:space="0" w:color="auto"/>
        <w:right w:val="none" w:sz="0" w:space="0" w:color="auto"/>
      </w:divBdr>
    </w:div>
    <w:div w:id="2032565230">
      <w:bodyDiv w:val="1"/>
      <w:marLeft w:val="0"/>
      <w:marRight w:val="0"/>
      <w:marTop w:val="0"/>
      <w:marBottom w:val="0"/>
      <w:divBdr>
        <w:top w:val="none" w:sz="0" w:space="0" w:color="auto"/>
        <w:left w:val="none" w:sz="0" w:space="0" w:color="auto"/>
        <w:bottom w:val="none" w:sz="0" w:space="0" w:color="auto"/>
        <w:right w:val="none" w:sz="0" w:space="0" w:color="auto"/>
      </w:divBdr>
    </w:div>
    <w:div w:id="2051034278">
      <w:bodyDiv w:val="1"/>
      <w:marLeft w:val="0"/>
      <w:marRight w:val="0"/>
      <w:marTop w:val="0"/>
      <w:marBottom w:val="0"/>
      <w:divBdr>
        <w:top w:val="none" w:sz="0" w:space="0" w:color="auto"/>
        <w:left w:val="none" w:sz="0" w:space="0" w:color="auto"/>
        <w:bottom w:val="none" w:sz="0" w:space="0" w:color="auto"/>
        <w:right w:val="none" w:sz="0" w:space="0" w:color="auto"/>
      </w:divBdr>
    </w:div>
    <w:div w:id="2067412467">
      <w:bodyDiv w:val="1"/>
      <w:marLeft w:val="0"/>
      <w:marRight w:val="0"/>
      <w:marTop w:val="0"/>
      <w:marBottom w:val="0"/>
      <w:divBdr>
        <w:top w:val="none" w:sz="0" w:space="0" w:color="auto"/>
        <w:left w:val="none" w:sz="0" w:space="0" w:color="auto"/>
        <w:bottom w:val="none" w:sz="0" w:space="0" w:color="auto"/>
        <w:right w:val="none" w:sz="0" w:space="0" w:color="auto"/>
      </w:divBdr>
    </w:div>
    <w:div w:id="2107729506">
      <w:bodyDiv w:val="1"/>
      <w:marLeft w:val="0"/>
      <w:marRight w:val="0"/>
      <w:marTop w:val="0"/>
      <w:marBottom w:val="0"/>
      <w:divBdr>
        <w:top w:val="none" w:sz="0" w:space="0" w:color="auto"/>
        <w:left w:val="none" w:sz="0" w:space="0" w:color="auto"/>
        <w:bottom w:val="none" w:sz="0" w:space="0" w:color="auto"/>
        <w:right w:val="none" w:sz="0" w:space="0" w:color="auto"/>
      </w:divBdr>
    </w:div>
    <w:div w:id="214245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hyperlink" Target="https://doi.org/10.1016/j.socscimed.2015.09.033" TargetMode="External"/><Relationship Id="rId26" Type="http://schemas.openxmlformats.org/officeDocument/2006/relationships/hyperlink" Target="https://doi.org/10.1016/j.socec.2010.06.009" TargetMode="External"/><Relationship Id="rId39" Type="http://schemas.openxmlformats.org/officeDocument/2006/relationships/footer" Target="footer1.xml"/><Relationship Id="rId21" Type="http://schemas.openxmlformats.org/officeDocument/2006/relationships/hyperlink" Target="https://www.amazon.com/Suicide-Emile-Durkheim/dp/1607966425" TargetMode="External"/><Relationship Id="rId34" Type="http://schemas.openxmlformats.org/officeDocument/2006/relationships/hyperlink" Target="https://doi.org/10.1177/1088868317721372" TargetMode="External"/><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08/IJHRH-03-2022-0023" TargetMode="External"/><Relationship Id="rId20" Type="http://schemas.openxmlformats.org/officeDocument/2006/relationships/hyperlink" Target="https://doi.org/10.1093/aje/kwu106" TargetMode="External"/><Relationship Id="rId29" Type="http://schemas.openxmlformats.org/officeDocument/2006/relationships/hyperlink" Target="https://doi.org/10.1371/journal.pone.0124934"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yperlink" Target="https://doi.org/10.1186/s13561-015-0041-y" TargetMode="External"/><Relationship Id="rId32" Type="http://schemas.openxmlformats.org/officeDocument/2006/relationships/hyperlink" Target="https://doi.org/10.1093/eurpub/ckw103"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hyperlink" Target="https://doi.org/10.5539/ijef.v17n10p16" TargetMode="External"/><Relationship Id="rId28" Type="http://schemas.openxmlformats.org/officeDocument/2006/relationships/hyperlink" Target="https://doi.org/10.1016/j.soscij.2006.08.013" TargetMode="External"/><Relationship Id="rId36" Type="http://schemas.openxmlformats.org/officeDocument/2006/relationships/hyperlink" Target="https://doi.org/10.1521/suli.2009.39.2.214" TargetMode="External"/><Relationship Id="rId10" Type="http://schemas.openxmlformats.org/officeDocument/2006/relationships/image" Target="media/image3.emf"/><Relationship Id="rId19" Type="http://schemas.openxmlformats.org/officeDocument/2006/relationships/hyperlink" Target="https://doi.org/10.1016/S0014-2921(01)00108-8" TargetMode="External"/><Relationship Id="rId31" Type="http://schemas.openxmlformats.org/officeDocument/2006/relationships/hyperlink" Target="https://doi.org/10.1007/s00127-010-0316-x"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hyperlink" Target="https://doi.org/10.1086/260171" TargetMode="External"/><Relationship Id="rId27" Type="http://schemas.openxmlformats.org/officeDocument/2006/relationships/hyperlink" Target="https://doi.org/10.1016/j.jflm.2022.102463" TargetMode="External"/><Relationship Id="rId30" Type="http://schemas.openxmlformats.org/officeDocument/2006/relationships/hyperlink" Target="https://doi.org/10.1007/s10198-018-1018-7" TargetMode="External"/><Relationship Id="rId35" Type="http://schemas.openxmlformats.org/officeDocument/2006/relationships/hyperlink" Target="https://doi.org/10.1007/s11205-021-02711-w" TargetMode="External"/><Relationship Id="rId43" Type="http://schemas.openxmlformats.org/officeDocument/2006/relationships/fontTable" Target="fontTable.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hyperlink" Target="https://doi.org/10.1016/j.socec.2011.08.002" TargetMode="External"/><Relationship Id="rId25" Type="http://schemas.openxmlformats.org/officeDocument/2006/relationships/hyperlink" Target="https://doi.org/10.1111/1467-9566.12011" TargetMode="External"/><Relationship Id="rId33" Type="http://schemas.openxmlformats.org/officeDocument/2006/relationships/hyperlink" Target="https://doi.org/10.1177/1069397103253708"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59B65CF6-3E51-496F-92D3-585D10E84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24</Pages>
  <Words>6950</Words>
  <Characters>39621</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samia disha</dc:creator>
  <cp:lastModifiedBy>Editor-1183</cp:lastModifiedBy>
  <cp:revision>15</cp:revision>
  <dcterms:created xsi:type="dcterms:W3CDTF">2025-09-16T16:54:00Z</dcterms:created>
  <dcterms:modified xsi:type="dcterms:W3CDTF">2025-11-24T13:39:00Z</dcterms:modified>
</cp:coreProperties>
</file>