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5E202" w14:textId="03E2ABD4" w:rsidR="00661512" w:rsidRDefault="005A7AFB" w:rsidP="00225109">
      <w:pPr>
        <w:jc w:val="center"/>
        <w:rPr>
          <w:rFonts w:ascii="Times New Roman" w:hAnsi="Times New Roman" w:cs="Times New Roman"/>
          <w:b/>
          <w:bCs/>
          <w:color w:val="EE0000"/>
          <w:sz w:val="40"/>
          <w:szCs w:val="40"/>
        </w:rPr>
      </w:pPr>
      <w:r w:rsidRPr="005A7AFB">
        <w:rPr>
          <w:rFonts w:ascii="Times New Roman" w:hAnsi="Times New Roman" w:cs="Times New Roman"/>
          <w:b/>
          <w:bCs/>
          <w:color w:val="EE0000"/>
          <w:sz w:val="40"/>
          <w:szCs w:val="40"/>
        </w:rPr>
        <w:t>Gender, Social Entrepreneurship, and Livelihoods: Pathways of Transformation among Tribal Women in Gajapati District, Odisha</w:t>
      </w:r>
    </w:p>
    <w:p w14:paraId="1507BA0D" w14:textId="77777777" w:rsidR="005A7AFB" w:rsidRPr="005A7AFB" w:rsidRDefault="005A7AFB" w:rsidP="00225109">
      <w:pPr>
        <w:jc w:val="center"/>
        <w:rPr>
          <w:rFonts w:ascii="Times New Roman" w:hAnsi="Times New Roman" w:cs="Times New Roman"/>
          <w:b/>
          <w:bCs/>
          <w:color w:val="EE0000"/>
          <w:sz w:val="40"/>
          <w:szCs w:val="40"/>
        </w:rPr>
      </w:pPr>
    </w:p>
    <w:p w14:paraId="7CC84C9D" w14:textId="77777777" w:rsidR="00BB2E20" w:rsidRDefault="00BB2E20" w:rsidP="00BB2E20">
      <w:pPr>
        <w:rPr>
          <w:rFonts w:ascii="Times New Roman" w:hAnsi="Times New Roman" w:cs="Times New Roman"/>
          <w:b/>
          <w:bCs/>
        </w:rPr>
      </w:pPr>
      <w:r w:rsidRPr="00B16E9B">
        <w:rPr>
          <w:rFonts w:ascii="Times New Roman" w:hAnsi="Times New Roman" w:cs="Times New Roman"/>
          <w:b/>
          <w:bCs/>
        </w:rPr>
        <w:t>Abstract</w:t>
      </w:r>
    </w:p>
    <w:p w14:paraId="5DA83D67" w14:textId="3094AF1D" w:rsidR="00B16E9B" w:rsidRPr="00B16E9B" w:rsidRDefault="00B16E9B" w:rsidP="00B16E9B">
      <w:pPr>
        <w:spacing w:line="360" w:lineRule="auto"/>
        <w:jc w:val="both"/>
        <w:rPr>
          <w:rFonts w:ascii="Times New Roman" w:hAnsi="Times New Roman" w:cs="Times New Roman"/>
        </w:rPr>
      </w:pPr>
      <w:r w:rsidRPr="00B16E9B">
        <w:rPr>
          <w:rFonts w:ascii="Times New Roman" w:hAnsi="Times New Roman" w:cs="Times New Roman"/>
        </w:rPr>
        <w:t>This research investigates the state of social entrepreneurship among tribal women in Gajapati district, Odisha, with particular attention to six blocks</w:t>
      </w:r>
      <w:r>
        <w:rPr>
          <w:rFonts w:ascii="Times New Roman" w:hAnsi="Times New Roman" w:cs="Times New Roman"/>
        </w:rPr>
        <w:t xml:space="preserve"> named as </w:t>
      </w:r>
      <w:r w:rsidRPr="00B16E9B">
        <w:rPr>
          <w:rFonts w:ascii="Times New Roman" w:hAnsi="Times New Roman" w:cs="Times New Roman"/>
        </w:rPr>
        <w:t xml:space="preserve">Guma, </w:t>
      </w:r>
      <w:proofErr w:type="spellStart"/>
      <w:r w:rsidRPr="00B16E9B">
        <w:rPr>
          <w:rFonts w:ascii="Times New Roman" w:hAnsi="Times New Roman" w:cs="Times New Roman"/>
        </w:rPr>
        <w:t>Nuagada</w:t>
      </w:r>
      <w:proofErr w:type="spellEnd"/>
      <w:r w:rsidRPr="00B16E9B">
        <w:rPr>
          <w:rFonts w:ascii="Times New Roman" w:hAnsi="Times New Roman" w:cs="Times New Roman"/>
        </w:rPr>
        <w:t xml:space="preserve">, R. Udayagiri, Mohana, </w:t>
      </w:r>
      <w:proofErr w:type="spellStart"/>
      <w:r w:rsidRPr="00B16E9B">
        <w:rPr>
          <w:rFonts w:ascii="Times New Roman" w:hAnsi="Times New Roman" w:cs="Times New Roman"/>
        </w:rPr>
        <w:t>Rayagada</w:t>
      </w:r>
      <w:proofErr w:type="spellEnd"/>
      <w:r w:rsidRPr="00B16E9B">
        <w:rPr>
          <w:rFonts w:ascii="Times New Roman" w:hAnsi="Times New Roman" w:cs="Times New Roman"/>
        </w:rPr>
        <w:t xml:space="preserve">, and </w:t>
      </w:r>
      <w:proofErr w:type="spellStart"/>
      <w:r w:rsidRPr="00B16E9B">
        <w:rPr>
          <w:rFonts w:ascii="Times New Roman" w:hAnsi="Times New Roman" w:cs="Times New Roman"/>
        </w:rPr>
        <w:t>Kasinagar</w:t>
      </w:r>
      <w:proofErr w:type="spellEnd"/>
      <w:r w:rsidRPr="00B16E9B">
        <w:rPr>
          <w:rFonts w:ascii="Times New Roman" w:hAnsi="Times New Roman" w:cs="Times New Roman"/>
        </w:rPr>
        <w:t xml:space="preserve">. Using primary data gathered from </w:t>
      </w:r>
      <w:r w:rsidR="002E0EF4">
        <w:rPr>
          <w:rFonts w:ascii="Times New Roman" w:hAnsi="Times New Roman" w:cs="Times New Roman"/>
        </w:rPr>
        <w:t>2</w:t>
      </w:r>
      <w:r w:rsidRPr="00B16E9B">
        <w:rPr>
          <w:rFonts w:ascii="Times New Roman" w:hAnsi="Times New Roman" w:cs="Times New Roman"/>
        </w:rPr>
        <w:t xml:space="preserve">00 respondents through surveys, interviews, and focus group discussions, the study looks at the nature of enterprises that women operate, the socio-economic obstacles they face, and the prospects for expanding these ventures. The findings indicate that tribal women are active in small-scale enterprises such as handicrafts, </w:t>
      </w:r>
      <w:proofErr w:type="spellStart"/>
      <w:r w:rsidRPr="00B16E9B">
        <w:rPr>
          <w:rFonts w:ascii="Times New Roman" w:hAnsi="Times New Roman" w:cs="Times New Roman"/>
        </w:rPr>
        <w:t>sal</w:t>
      </w:r>
      <w:proofErr w:type="spellEnd"/>
      <w:r w:rsidRPr="00B16E9B">
        <w:rPr>
          <w:rFonts w:ascii="Times New Roman" w:hAnsi="Times New Roman" w:cs="Times New Roman"/>
        </w:rPr>
        <w:t>-leaf plate production, millet-based processing, tailoring, and petty trading. Despite their entrepreneurial efforts, they continue to struggle with restricted access to finance, low levels of literacy, weak institutional backing, and gender-related constraints. At the same time, positive openings are emerging through the support of self-help groups (SHGs), the gradual adoption of digital tools, and government livelihood programmes. Overall, the study highlights that social entrepreneurship holds considerable promise for improving the livelihoods of tribal women in the region, but its transformative impact depends on overcoming structural barriers through stronger policy interventions, capacity building, and inclusive institutional mechanisms.</w:t>
      </w:r>
    </w:p>
    <w:p w14:paraId="7B410756" w14:textId="77777777" w:rsidR="00B16E9B" w:rsidRPr="00B16E9B" w:rsidRDefault="00B16E9B" w:rsidP="00B16E9B">
      <w:pPr>
        <w:spacing w:line="360" w:lineRule="auto"/>
        <w:rPr>
          <w:rFonts w:ascii="Times New Roman" w:hAnsi="Times New Roman" w:cs="Times New Roman"/>
          <w:b/>
          <w:bCs/>
        </w:rPr>
      </w:pPr>
    </w:p>
    <w:p w14:paraId="070476BD" w14:textId="31ABBAAC" w:rsidR="00BB2E20" w:rsidRPr="00B16E9B" w:rsidRDefault="00BB2E20" w:rsidP="00B16E9B">
      <w:pPr>
        <w:spacing w:line="360" w:lineRule="auto"/>
        <w:rPr>
          <w:rFonts w:ascii="Times New Roman" w:hAnsi="Times New Roman" w:cs="Times New Roman"/>
        </w:rPr>
      </w:pPr>
      <w:r w:rsidRPr="00B16E9B">
        <w:rPr>
          <w:rFonts w:ascii="Times New Roman" w:hAnsi="Times New Roman" w:cs="Times New Roman"/>
          <w:b/>
          <w:bCs/>
        </w:rPr>
        <w:t>Keywords</w:t>
      </w:r>
      <w:r w:rsidRPr="00B16E9B">
        <w:rPr>
          <w:rFonts w:ascii="Times New Roman" w:hAnsi="Times New Roman" w:cs="Times New Roman"/>
        </w:rPr>
        <w:t>: Social entrepreneurship, tribal women, livelihoods, empowerment, Gajapati district</w:t>
      </w:r>
    </w:p>
    <w:p w14:paraId="544B20DA" w14:textId="77777777" w:rsidR="006E6C2E" w:rsidRPr="006E6C2E" w:rsidRDefault="006E6C2E" w:rsidP="006E6C2E">
      <w:pPr>
        <w:rPr>
          <w:b/>
          <w:bCs/>
        </w:rPr>
      </w:pPr>
      <w:r w:rsidRPr="006E6C2E">
        <w:rPr>
          <w:b/>
          <w:bCs/>
        </w:rPr>
        <w:t>1. Introduction</w:t>
      </w:r>
    </w:p>
    <w:p w14:paraId="61382F5F" w14:textId="791F7544" w:rsidR="006E6C2E" w:rsidRDefault="006E6C2E" w:rsidP="006E6C2E">
      <w:pPr>
        <w:spacing w:line="360" w:lineRule="auto"/>
        <w:jc w:val="both"/>
        <w:rPr>
          <w:rFonts w:ascii="Times New Roman" w:hAnsi="Times New Roman" w:cs="Times New Roman"/>
        </w:rPr>
      </w:pPr>
      <w:r w:rsidRPr="006E6C2E">
        <w:rPr>
          <w:rFonts w:ascii="Times New Roman" w:hAnsi="Times New Roman" w:cs="Times New Roman"/>
        </w:rPr>
        <w:t xml:space="preserve">Social entrepreneurship is increasingly </w:t>
      </w:r>
      <w:r>
        <w:rPr>
          <w:rFonts w:ascii="Times New Roman" w:hAnsi="Times New Roman" w:cs="Times New Roman"/>
        </w:rPr>
        <w:t>recognised</w:t>
      </w:r>
      <w:r w:rsidRPr="006E6C2E">
        <w:rPr>
          <w:rFonts w:ascii="Times New Roman" w:hAnsi="Times New Roman" w:cs="Times New Roman"/>
        </w:rPr>
        <w:t xml:space="preserve"> as a pathway to inclusive and sustainable development (Datta &amp; Gailey, 2012; Kabeer, 1999). Unlike conventional business models that </w:t>
      </w:r>
      <w:r>
        <w:rPr>
          <w:rFonts w:ascii="Times New Roman" w:hAnsi="Times New Roman" w:cs="Times New Roman"/>
        </w:rPr>
        <w:t>prioritise</w:t>
      </w:r>
      <w:r w:rsidRPr="006E6C2E">
        <w:rPr>
          <w:rFonts w:ascii="Times New Roman" w:hAnsi="Times New Roman" w:cs="Times New Roman"/>
        </w:rPr>
        <w:t xml:space="preserve"> profit, social enterprises attempt to balance financial sustainability with social objectives, making them particularly relevant in contexts marked by inequality and </w:t>
      </w:r>
      <w:r>
        <w:rPr>
          <w:rFonts w:ascii="Times New Roman" w:hAnsi="Times New Roman" w:cs="Times New Roman"/>
        </w:rPr>
        <w:t>marginalisation</w:t>
      </w:r>
      <w:r w:rsidRPr="006E6C2E">
        <w:rPr>
          <w:rFonts w:ascii="Times New Roman" w:hAnsi="Times New Roman" w:cs="Times New Roman"/>
        </w:rPr>
        <w:t xml:space="preserve"> (</w:t>
      </w:r>
      <w:proofErr w:type="spellStart"/>
      <w:r w:rsidRPr="006E6C2E">
        <w:rPr>
          <w:rFonts w:ascii="Times New Roman" w:hAnsi="Times New Roman" w:cs="Times New Roman"/>
        </w:rPr>
        <w:t>Seelos</w:t>
      </w:r>
      <w:proofErr w:type="spellEnd"/>
      <w:r w:rsidRPr="006E6C2E">
        <w:rPr>
          <w:rFonts w:ascii="Times New Roman" w:hAnsi="Times New Roman" w:cs="Times New Roman"/>
        </w:rPr>
        <w:t xml:space="preserve"> &amp; Mair, 2005). In India, tribal women are often located at the intersection of both economic and social exclusion. Their participation in economic life is constrained by persistent poverty, limited access to education, inadequate infrastructure, and cultural norms that restrict their mobility and agency (Swain &amp; Wallentin, 2009). Yet, in recent years, many of these women have begun to engage in micro and small-scale enterprises that are not only a source of household income but also act as platforms for building confidence, strengthening collective solidarity, and challenging entrenched gender hierarchies (</w:t>
      </w:r>
      <w:proofErr w:type="spellStart"/>
      <w:r w:rsidRPr="006E6C2E">
        <w:rPr>
          <w:rFonts w:ascii="Times New Roman" w:hAnsi="Times New Roman" w:cs="Times New Roman"/>
        </w:rPr>
        <w:t>Garikipati</w:t>
      </w:r>
      <w:proofErr w:type="spellEnd"/>
      <w:r w:rsidRPr="006E6C2E">
        <w:rPr>
          <w:rFonts w:ascii="Times New Roman" w:hAnsi="Times New Roman" w:cs="Times New Roman"/>
        </w:rPr>
        <w:t>, 2008).</w:t>
      </w:r>
    </w:p>
    <w:p w14:paraId="1B3F7940" w14:textId="5BAE44EA" w:rsidR="005A7AFB" w:rsidRDefault="005A7AFB" w:rsidP="006E6C2E">
      <w:pPr>
        <w:spacing w:line="360" w:lineRule="auto"/>
        <w:jc w:val="both"/>
        <w:rPr>
          <w:rFonts w:ascii="Times New Roman" w:hAnsi="Times New Roman" w:cs="Times New Roman"/>
        </w:rPr>
      </w:pPr>
      <w:r w:rsidRPr="005A7AFB">
        <w:rPr>
          <w:rFonts w:ascii="Times New Roman" w:hAnsi="Times New Roman" w:cs="Times New Roman"/>
        </w:rPr>
        <w:lastRenderedPageBreak/>
        <w:t>his study is conceptually guided by the Sustainable Livelihoods Framework (Chambers &amp; Conway, 1992) and gender empowerment theory (Kabeer, 1999), which together explain how access to resources, agency, and institutional support shape women’s livelihood outcomes. By integrating these frameworks, the paper situates the experiences of tribal women entrepreneurs in Gajapati within broader debates on gendered livelihoods and social innovation.</w:t>
      </w:r>
    </w:p>
    <w:p w14:paraId="2F1F7B7A" w14:textId="12DBB2C6" w:rsidR="00D76D04" w:rsidRDefault="00D76D04" w:rsidP="006E6C2E">
      <w:pPr>
        <w:spacing w:line="360"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116610FA" wp14:editId="16052391">
            <wp:extent cx="5699760" cy="3733800"/>
            <wp:effectExtent l="0" t="0" r="0" b="0"/>
            <wp:docPr id="122145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5794" name="Picture 122145794"/>
                    <pic:cNvPicPr/>
                  </pic:nvPicPr>
                  <pic:blipFill>
                    <a:blip r:embed="rId7">
                      <a:extLst>
                        <a:ext uri="{28A0092B-C50C-407E-A947-70E740481C1C}">
                          <a14:useLocalDpi xmlns:a14="http://schemas.microsoft.com/office/drawing/2010/main" val="0"/>
                        </a:ext>
                      </a:extLst>
                    </a:blip>
                    <a:stretch>
                      <a:fillRect/>
                    </a:stretch>
                  </pic:blipFill>
                  <pic:spPr>
                    <a:xfrm>
                      <a:off x="0" y="0"/>
                      <a:ext cx="5699760" cy="3733800"/>
                    </a:xfrm>
                    <a:prstGeom prst="rect">
                      <a:avLst/>
                    </a:prstGeom>
                  </pic:spPr>
                </pic:pic>
              </a:graphicData>
            </a:graphic>
          </wp:inline>
        </w:drawing>
      </w:r>
    </w:p>
    <w:p w14:paraId="5132B686" w14:textId="4832D877" w:rsidR="00D76D04" w:rsidRDefault="00D76D04" w:rsidP="006E6C2E">
      <w:pPr>
        <w:spacing w:line="360" w:lineRule="auto"/>
        <w:jc w:val="both"/>
        <w:rPr>
          <w:rFonts w:ascii="Times New Roman" w:hAnsi="Times New Roman" w:cs="Times New Roman"/>
        </w:rPr>
      </w:pPr>
      <w:r>
        <w:rPr>
          <w:rFonts w:ascii="Times New Roman" w:hAnsi="Times New Roman" w:cs="Times New Roman"/>
        </w:rPr>
        <w:t>Figure 1: Map</w:t>
      </w:r>
      <w:r w:rsidRPr="00D76D04">
        <w:rPr>
          <w:rFonts w:ascii="Times New Roman" w:hAnsi="Times New Roman" w:cs="Times New Roman"/>
        </w:rPr>
        <w:t xml:space="preserve"> of Gajapati district, Odisha, showing six study blocks with tribal women’s enterprise types (tailoring, </w:t>
      </w:r>
      <w:r>
        <w:rPr>
          <w:rFonts w:ascii="Times New Roman" w:hAnsi="Times New Roman" w:cs="Times New Roman"/>
        </w:rPr>
        <w:t>S</w:t>
      </w:r>
      <w:r w:rsidRPr="00D76D04">
        <w:rPr>
          <w:rFonts w:ascii="Times New Roman" w:hAnsi="Times New Roman" w:cs="Times New Roman"/>
        </w:rPr>
        <w:t>al-leaf products, handicrafts, food processing, petty trade) and key livelihood challenges.</w:t>
      </w:r>
    </w:p>
    <w:p w14:paraId="427FA923" w14:textId="7CB36779" w:rsidR="00A60CCC" w:rsidRPr="00046ACE" w:rsidRDefault="00A60CCC" w:rsidP="006E6C2E">
      <w:pPr>
        <w:spacing w:line="360" w:lineRule="auto"/>
        <w:jc w:val="both"/>
        <w:rPr>
          <w:rFonts w:ascii="Times New Roman" w:hAnsi="Times New Roman" w:cs="Times New Roman"/>
          <w:color w:val="EE0000"/>
        </w:rPr>
      </w:pPr>
      <w:r w:rsidRPr="00046ACE">
        <w:rPr>
          <w:rFonts w:ascii="Times New Roman" w:hAnsi="Times New Roman" w:cs="Times New Roman"/>
          <w:color w:val="EE0000"/>
        </w:rPr>
        <w:t>As shown in Figure 1, the distribution of women’s enterprises across the six blocks illustrates the geographical concentration of livelihood activities and associated infrastructural constraints</w:t>
      </w:r>
    </w:p>
    <w:p w14:paraId="437E4A18" w14:textId="6E563F83" w:rsidR="006E6C2E" w:rsidRPr="006E6C2E" w:rsidRDefault="006E6C2E" w:rsidP="006E6C2E">
      <w:pPr>
        <w:spacing w:line="360" w:lineRule="auto"/>
        <w:jc w:val="both"/>
        <w:rPr>
          <w:rFonts w:ascii="Times New Roman" w:hAnsi="Times New Roman" w:cs="Times New Roman"/>
        </w:rPr>
      </w:pPr>
      <w:r w:rsidRPr="006E6C2E">
        <w:rPr>
          <w:rFonts w:ascii="Times New Roman" w:hAnsi="Times New Roman" w:cs="Times New Roman"/>
        </w:rPr>
        <w:t xml:space="preserve">Gajapati district in southern Odisha provides a rich ground for exploring these dynamics. The district is predominantly tribal, with communities such as the Saura and </w:t>
      </w:r>
      <w:proofErr w:type="spellStart"/>
      <w:r w:rsidRPr="006E6C2E">
        <w:rPr>
          <w:rFonts w:ascii="Times New Roman" w:hAnsi="Times New Roman" w:cs="Times New Roman"/>
        </w:rPr>
        <w:t>Kandha</w:t>
      </w:r>
      <w:proofErr w:type="spellEnd"/>
      <w:r w:rsidRPr="006E6C2E">
        <w:rPr>
          <w:rFonts w:ascii="Times New Roman" w:hAnsi="Times New Roman" w:cs="Times New Roman"/>
        </w:rPr>
        <w:t xml:space="preserve"> forming the majority of the population.</w:t>
      </w:r>
      <w:r>
        <w:rPr>
          <w:rFonts w:ascii="Times New Roman" w:hAnsi="Times New Roman" w:cs="Times New Roman"/>
        </w:rPr>
        <w:t xml:space="preserve"> </w:t>
      </w:r>
      <w:r w:rsidRPr="006E6C2E">
        <w:rPr>
          <w:rFonts w:ascii="Times New Roman" w:hAnsi="Times New Roman" w:cs="Times New Roman"/>
        </w:rPr>
        <w:t xml:space="preserve">Its geography—hilly terrain and scattered settlements—creates challenges for infrastructure, market connectivity, and public service delivery (Mishra, 2018). Poverty levels remain high, and livelihood opportunities are often confined to subsistence agriculture and forest-based activities. Despite these structural constraints, the district has witnessed the growth of women-led entrepreneurial ventures in areas such as handicrafts, </w:t>
      </w:r>
      <w:proofErr w:type="spellStart"/>
      <w:r w:rsidRPr="006E6C2E">
        <w:rPr>
          <w:rFonts w:ascii="Times New Roman" w:hAnsi="Times New Roman" w:cs="Times New Roman"/>
        </w:rPr>
        <w:t>sal</w:t>
      </w:r>
      <w:proofErr w:type="spellEnd"/>
      <w:r w:rsidRPr="006E6C2E">
        <w:rPr>
          <w:rFonts w:ascii="Times New Roman" w:hAnsi="Times New Roman" w:cs="Times New Roman"/>
        </w:rPr>
        <w:t>-leaf products, tailoring, petty trade, and food processing (Acharya, 2018; Patnaik, 2016). These enterprises are small in scale, yet they demonstrate how tribal women adapt local resources, indigenous knowledge, and collective support structures to build viable income-generating activities.</w:t>
      </w:r>
    </w:p>
    <w:p w14:paraId="5EED5ADA" w14:textId="77777777" w:rsidR="006E6C2E" w:rsidRPr="006E6C2E" w:rsidRDefault="006E6C2E" w:rsidP="006E6C2E">
      <w:pPr>
        <w:spacing w:line="360" w:lineRule="auto"/>
        <w:jc w:val="both"/>
        <w:rPr>
          <w:rFonts w:ascii="Times New Roman" w:hAnsi="Times New Roman" w:cs="Times New Roman"/>
        </w:rPr>
      </w:pPr>
      <w:r w:rsidRPr="006E6C2E">
        <w:rPr>
          <w:rFonts w:ascii="Times New Roman" w:hAnsi="Times New Roman" w:cs="Times New Roman"/>
        </w:rPr>
        <w:lastRenderedPageBreak/>
        <w:t xml:space="preserve">Against this backdrop, this study examines the role of social entrepreneurship as a driver of livelihood transformation among tribal women in Gajapati. It seeks to identify the types of enterprises women are engaged in, the barriers that inhibit their growth, and the opportunities that can enable expansion and sustainability. By focusing on six blocks named as Guma, </w:t>
      </w:r>
      <w:proofErr w:type="spellStart"/>
      <w:r w:rsidRPr="006E6C2E">
        <w:rPr>
          <w:rFonts w:ascii="Times New Roman" w:hAnsi="Times New Roman" w:cs="Times New Roman"/>
        </w:rPr>
        <w:t>Nuagada</w:t>
      </w:r>
      <w:proofErr w:type="spellEnd"/>
      <w:r w:rsidRPr="006E6C2E">
        <w:rPr>
          <w:rFonts w:ascii="Times New Roman" w:hAnsi="Times New Roman" w:cs="Times New Roman"/>
        </w:rPr>
        <w:t xml:space="preserve">, R. Udayagiri, Mohana, </w:t>
      </w:r>
      <w:proofErr w:type="spellStart"/>
      <w:r w:rsidRPr="006E6C2E">
        <w:rPr>
          <w:rFonts w:ascii="Times New Roman" w:hAnsi="Times New Roman" w:cs="Times New Roman"/>
        </w:rPr>
        <w:t>Rayagada</w:t>
      </w:r>
      <w:proofErr w:type="spellEnd"/>
      <w:r w:rsidRPr="006E6C2E">
        <w:rPr>
          <w:rFonts w:ascii="Times New Roman" w:hAnsi="Times New Roman" w:cs="Times New Roman"/>
        </w:rPr>
        <w:t xml:space="preserve">, and </w:t>
      </w:r>
      <w:proofErr w:type="spellStart"/>
      <w:r w:rsidRPr="006E6C2E">
        <w:rPr>
          <w:rFonts w:ascii="Times New Roman" w:hAnsi="Times New Roman" w:cs="Times New Roman"/>
        </w:rPr>
        <w:t>Kasinagar</w:t>
      </w:r>
      <w:proofErr w:type="spellEnd"/>
      <w:r w:rsidRPr="006E6C2E">
        <w:rPr>
          <w:rFonts w:ascii="Times New Roman" w:hAnsi="Times New Roman" w:cs="Times New Roman"/>
        </w:rPr>
        <w:t>, the research provides an in-depth understanding of how tribal women negotiate their socio-economic realities through entrepreneurship. At a broader level, it argues that social entrepreneurship has the potential not only to improve income and reduce vulnerability but also to enhance women’s agency, strengthen community institutions, and contribute to more inclusive patterns of development in Odisha (Naik &amp; Panda, 2023).</w:t>
      </w:r>
    </w:p>
    <w:p w14:paraId="299FD474" w14:textId="115E0F67" w:rsidR="00BB2E20" w:rsidRPr="00BB2E20" w:rsidRDefault="00BB2E20" w:rsidP="00BB2E20"/>
    <w:p w14:paraId="135335BB" w14:textId="77777777" w:rsidR="00B16E9B" w:rsidRPr="00B16E9B" w:rsidRDefault="00B16E9B" w:rsidP="00B16E9B">
      <w:pPr>
        <w:rPr>
          <w:b/>
          <w:bCs/>
        </w:rPr>
      </w:pPr>
      <w:r w:rsidRPr="00B16E9B">
        <w:rPr>
          <w:b/>
          <w:bCs/>
        </w:rPr>
        <w:t>2. Literature Review</w:t>
      </w:r>
    </w:p>
    <w:p w14:paraId="264BCE15" w14:textId="77777777" w:rsidR="006E6C2E" w:rsidRPr="006E6C2E" w:rsidRDefault="006E6C2E" w:rsidP="006E6C2E">
      <w:pPr>
        <w:spacing w:line="360" w:lineRule="auto"/>
        <w:jc w:val="both"/>
        <w:rPr>
          <w:rFonts w:ascii="Times New Roman" w:hAnsi="Times New Roman" w:cs="Times New Roman"/>
        </w:rPr>
      </w:pPr>
      <w:r w:rsidRPr="006E6C2E">
        <w:rPr>
          <w:rFonts w:ascii="Times New Roman" w:hAnsi="Times New Roman" w:cs="Times New Roman"/>
        </w:rPr>
        <w:t xml:space="preserve">Social entrepreneurship has increasingly been recognised as a meaningful strategy for addressing social inequalities and promoting sustainable livelihoods (Datta &amp; Gailey, 2012; </w:t>
      </w:r>
      <w:proofErr w:type="spellStart"/>
      <w:r w:rsidRPr="006E6C2E">
        <w:rPr>
          <w:rFonts w:ascii="Times New Roman" w:hAnsi="Times New Roman" w:cs="Times New Roman"/>
        </w:rPr>
        <w:t>Seelos</w:t>
      </w:r>
      <w:proofErr w:type="spellEnd"/>
      <w:r w:rsidRPr="006E6C2E">
        <w:rPr>
          <w:rFonts w:ascii="Times New Roman" w:hAnsi="Times New Roman" w:cs="Times New Roman"/>
        </w:rPr>
        <w:t xml:space="preserve"> &amp; Mair, 2005). Unlike conventional businesses that measure success only in terms of profit, social enterprises aim to achieve both financial viability and social good. This dual purpose makes them particularly relevant for communities that remain on the margins of mainstream development. For women in rural and tribal settings, participation in small-scale enterprises provides more than just an income stream; it offers an opportunity to gain confidence, build collective solidarity, and gradually reshape social norms that have long limited their agency (Kabeer, 1999). At the same time, the impact of entrepreneurship on empowerment is not automatic. It depends on a range of factors such as access to credit, training, institutional support, and the ability of women to exercise meaningful control over the resources they generate (</w:t>
      </w:r>
      <w:proofErr w:type="spellStart"/>
      <w:r w:rsidRPr="006E6C2E">
        <w:rPr>
          <w:rFonts w:ascii="Times New Roman" w:hAnsi="Times New Roman" w:cs="Times New Roman"/>
        </w:rPr>
        <w:t>Garikipati</w:t>
      </w:r>
      <w:proofErr w:type="spellEnd"/>
      <w:r w:rsidRPr="006E6C2E">
        <w:rPr>
          <w:rFonts w:ascii="Times New Roman" w:hAnsi="Times New Roman" w:cs="Times New Roman"/>
        </w:rPr>
        <w:t>, 2012; Sanyal, 2009).</w:t>
      </w:r>
    </w:p>
    <w:p w14:paraId="452DD2EC" w14:textId="77777777" w:rsidR="006E6C2E" w:rsidRDefault="006E6C2E" w:rsidP="006E6C2E">
      <w:pPr>
        <w:spacing w:line="360" w:lineRule="auto"/>
        <w:jc w:val="both"/>
        <w:rPr>
          <w:rFonts w:ascii="Times New Roman" w:hAnsi="Times New Roman" w:cs="Times New Roman"/>
        </w:rPr>
      </w:pPr>
      <w:r w:rsidRPr="006E6C2E">
        <w:rPr>
          <w:rFonts w:ascii="Times New Roman" w:hAnsi="Times New Roman" w:cs="Times New Roman"/>
        </w:rPr>
        <w:t>In the Indian context, women’s entry into entrepreneurial spaces has often been facilitated by self-help groups, microfinance programmes, and state-led livelihood missions (Swain &amp; Wallentin, 2009; Deininger &amp; Liu, 2013). These platforms have enabled large numbers of women to come together, share risks, and build a sense of community that goes beyond economic gain. Tribal women, who frequently face multiple layers of disadvantage due to poverty, low literacy levels, and geographical isolation, have found in these initiatives a pathway to greater social participation (Roy &amp; Mohanty, 2020). In states like Odisha, self-help groups and collective enterprises have played a significant role in creating opportunities for tribal women to engage in activities such as handicrafts, food processing, and forest-based production (Acharya, 2018; Patnaik, 2016). However, challenges continue to exist. Many of these ventures remain small, with limited access to larger markets, technology, or formal financial systems (Biswal et al., 2023; Devi &amp; Dhal, 2020). Gender roles within households and communities also shape the extent to which women can dedicate time and resources to entrepreneurial activities. In some cases, women face the additional burden of balancing domestic responsibilities with the demands of running a business, making the entrepreneurial journey even more challenging.</w:t>
      </w:r>
    </w:p>
    <w:p w14:paraId="2398529C" w14:textId="69E5EB57" w:rsidR="00620484" w:rsidRPr="006E6C2E" w:rsidRDefault="00620484" w:rsidP="006E6C2E">
      <w:pPr>
        <w:spacing w:line="360" w:lineRule="auto"/>
        <w:jc w:val="both"/>
        <w:rPr>
          <w:rFonts w:ascii="Times New Roman" w:hAnsi="Times New Roman" w:cs="Times New Roman"/>
        </w:rPr>
      </w:pPr>
      <w:r>
        <w:rPr>
          <w:rFonts w:ascii="Times New Roman" w:hAnsi="Times New Roman" w:cs="Times New Roman"/>
          <w:noProof/>
          <w:lang w:val="en-US"/>
        </w:rPr>
        <w:lastRenderedPageBreak/>
        <w:drawing>
          <wp:inline distT="0" distB="0" distL="0" distR="0" wp14:anchorId="3482673C" wp14:editId="114E95EE">
            <wp:extent cx="5731510" cy="3818890"/>
            <wp:effectExtent l="0" t="0" r="2540" b="0"/>
            <wp:docPr id="1731670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670079" name="Picture 17316700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818890"/>
                    </a:xfrm>
                    <a:prstGeom prst="rect">
                      <a:avLst/>
                    </a:prstGeom>
                  </pic:spPr>
                </pic:pic>
              </a:graphicData>
            </a:graphic>
          </wp:inline>
        </w:drawing>
      </w:r>
    </w:p>
    <w:p w14:paraId="7AF7665F" w14:textId="2E902B7D" w:rsidR="00620484" w:rsidRDefault="00620484" w:rsidP="00620484">
      <w:pPr>
        <w:spacing w:line="360" w:lineRule="auto"/>
        <w:jc w:val="center"/>
        <w:rPr>
          <w:rFonts w:ascii="Times New Roman" w:hAnsi="Times New Roman" w:cs="Times New Roman"/>
        </w:rPr>
      </w:pPr>
      <w:r>
        <w:rPr>
          <w:rFonts w:ascii="Times New Roman" w:hAnsi="Times New Roman" w:cs="Times New Roman"/>
        </w:rPr>
        <w:t xml:space="preserve">Figure </w:t>
      </w:r>
      <w:r w:rsidR="00B5631F">
        <w:rPr>
          <w:rFonts w:ascii="Times New Roman" w:hAnsi="Times New Roman" w:cs="Times New Roman"/>
        </w:rPr>
        <w:t>2</w:t>
      </w:r>
      <w:r>
        <w:rPr>
          <w:rFonts w:ascii="Times New Roman" w:hAnsi="Times New Roman" w:cs="Times New Roman"/>
        </w:rPr>
        <w:t xml:space="preserve">: </w:t>
      </w:r>
      <w:r w:rsidRPr="00620484">
        <w:rPr>
          <w:rFonts w:ascii="Times New Roman" w:hAnsi="Times New Roman" w:cs="Times New Roman"/>
        </w:rPr>
        <w:t>Pathways of Tribal Women’s Entrepreneurship in Odisha</w:t>
      </w:r>
    </w:p>
    <w:p w14:paraId="36C07617" w14:textId="727E8669" w:rsidR="00BB2E20" w:rsidRDefault="006E6C2E" w:rsidP="006E6C2E">
      <w:pPr>
        <w:spacing w:line="360" w:lineRule="auto"/>
        <w:jc w:val="both"/>
        <w:rPr>
          <w:rFonts w:ascii="Times New Roman" w:hAnsi="Times New Roman" w:cs="Times New Roman"/>
        </w:rPr>
      </w:pPr>
      <w:r w:rsidRPr="006E6C2E">
        <w:rPr>
          <w:rFonts w:ascii="Times New Roman" w:hAnsi="Times New Roman" w:cs="Times New Roman"/>
        </w:rPr>
        <w:t>Within Odisha, research has shown that tribal women are vital contributors to household and community economies, yet their enterprises often struggle to grow beyond subsistence levels (Mishra, 2018; Mohanty &amp; Das, 2021). Structural issues such as weak institutional support, poor infrastructure, and the absence of strong market linkages mean that their work remains undervalued and under-rewarded. Regional disparities further compound these problems, with remote districts like Gajapati facing greater barriers than more developed parts of the state. Despite these obstacles, tribal women have demonstrated resilience by adapting traditional knowledge and resources to entrepreneurial activities, often supported by self-help groups and grassroots organisations (Pradhan &amp; Patnaik, n.d.). New opportunities are also emerging in the form of government livelihood missions, digital tools, and collective marketing platforms that can help overcome some of the barriers (Dash, 2025; Pattanaik et al., 2025). What remains less explored, however, is how these women, particularly in Gajapati district, experience entrepreneurship as a process of transformation—both economically and socially. By focusing on this question, the present study seeks to fill an important gap in the literature and provide fresh insights into the gendered dynamics of livelihood transformation through social enterprises in a tribal context.</w:t>
      </w:r>
    </w:p>
    <w:p w14:paraId="6C060797" w14:textId="3A3C1926" w:rsidR="005A7AFB" w:rsidRPr="005A7AFB" w:rsidRDefault="005A7AFB" w:rsidP="005A7AFB">
      <w:pPr>
        <w:rPr>
          <w:color w:val="EE0000"/>
        </w:rPr>
      </w:pPr>
      <w:r w:rsidRPr="005A7AFB">
        <w:rPr>
          <w:color w:val="EE0000"/>
        </w:rPr>
        <w:t>2.1 Theoretical Framework: Gender, Livelihoods, and Social Entrepreneurship</w:t>
      </w:r>
    </w:p>
    <w:p w14:paraId="1143D938" w14:textId="4003C27C" w:rsidR="005A7AFB" w:rsidRPr="005A7AFB" w:rsidRDefault="005A7AFB" w:rsidP="005A7AFB">
      <w:pPr>
        <w:spacing w:line="360" w:lineRule="auto"/>
        <w:jc w:val="both"/>
        <w:rPr>
          <w:rFonts w:ascii="Times New Roman" w:hAnsi="Times New Roman" w:cs="Times New Roman"/>
          <w:color w:val="EE0000"/>
        </w:rPr>
      </w:pPr>
      <w:r w:rsidRPr="005A7AFB">
        <w:rPr>
          <w:rFonts w:ascii="Times New Roman" w:hAnsi="Times New Roman" w:cs="Times New Roman"/>
          <w:color w:val="EE0000"/>
        </w:rPr>
        <w:t xml:space="preserve">The study draws upon two interrelated theoretical perspectives. First, the Sustainable Livelihoods Approach (SLA) conceptualises livelihoods as shaped by the interaction of five types of capital—human, natural, social, physical, and financial—and mediated by institutional and policy contexts (Chambers &amp; Conway, 1992; Scoones, 1998). This framework helps to understand how </w:t>
      </w:r>
      <w:r w:rsidRPr="005A7AFB">
        <w:rPr>
          <w:rFonts w:ascii="Times New Roman" w:hAnsi="Times New Roman" w:cs="Times New Roman"/>
          <w:color w:val="EE0000"/>
        </w:rPr>
        <w:lastRenderedPageBreak/>
        <w:t>entrepreneurship serves as a strategy for diversifying income and strengthening resilience among tribal women. Second, gender empowerment theory (Kabeer, 1999) provides a lens to examine how social entrepreneurship influences women’s access to resources, agency, and achievements. It emphasises that empowerment involves not just income generation but also enhanced voice, decision-making, and social recognition. Combining these perspectives, the research conceptualises social entrepreneurship as both an economic and transformative social process that redefines gender relations while creating sustainable livelihoods.</w:t>
      </w:r>
    </w:p>
    <w:p w14:paraId="1ED419CD" w14:textId="77777777" w:rsidR="00E11BE7" w:rsidRPr="00E11BE7" w:rsidRDefault="00E11BE7" w:rsidP="00E11BE7">
      <w:pPr>
        <w:rPr>
          <w:b/>
          <w:bCs/>
        </w:rPr>
      </w:pPr>
      <w:r w:rsidRPr="00E11BE7">
        <w:rPr>
          <w:b/>
          <w:bCs/>
        </w:rPr>
        <w:t xml:space="preserve">3. </w:t>
      </w:r>
      <w:r w:rsidRPr="005A7AFB">
        <w:t>Methodology</w:t>
      </w:r>
    </w:p>
    <w:p w14:paraId="26741A8A" w14:textId="7777777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This study employed a mixed-methods approach to capture both the breadth and depth of tribal women’s experiences with social entrepreneurship in the Gajapati district (Naveen, 2023). By combining quantitative and qualitative techniques, the research was able to develop a comprehensive understanding of the opportunities and challenges that women encounter in their entrepreneurial journeys. The district was selected because of its high tribal population and the increasing participation of women in micro and small-scale enterprises. Within Gajapati, six blocks named as Guma, </w:t>
      </w:r>
      <w:proofErr w:type="spellStart"/>
      <w:r w:rsidRPr="0059395D">
        <w:rPr>
          <w:rFonts w:ascii="Times New Roman" w:hAnsi="Times New Roman" w:cs="Times New Roman"/>
        </w:rPr>
        <w:t>Nuagada</w:t>
      </w:r>
      <w:proofErr w:type="spellEnd"/>
      <w:r w:rsidRPr="0059395D">
        <w:rPr>
          <w:rFonts w:ascii="Times New Roman" w:hAnsi="Times New Roman" w:cs="Times New Roman"/>
        </w:rPr>
        <w:t xml:space="preserve">, R. Udayagiri, Mohana, </w:t>
      </w:r>
      <w:proofErr w:type="spellStart"/>
      <w:r w:rsidRPr="0059395D">
        <w:rPr>
          <w:rFonts w:ascii="Times New Roman" w:hAnsi="Times New Roman" w:cs="Times New Roman"/>
        </w:rPr>
        <w:t>Rayagada</w:t>
      </w:r>
      <w:proofErr w:type="spellEnd"/>
      <w:r w:rsidRPr="0059395D">
        <w:rPr>
          <w:rFonts w:ascii="Times New Roman" w:hAnsi="Times New Roman" w:cs="Times New Roman"/>
        </w:rPr>
        <w:t xml:space="preserve">, and </w:t>
      </w:r>
      <w:proofErr w:type="spellStart"/>
      <w:r w:rsidRPr="0059395D">
        <w:rPr>
          <w:rFonts w:ascii="Times New Roman" w:hAnsi="Times New Roman" w:cs="Times New Roman"/>
        </w:rPr>
        <w:t>Kasinagar</w:t>
      </w:r>
      <w:proofErr w:type="spellEnd"/>
      <w:r w:rsidRPr="0059395D">
        <w:rPr>
          <w:rFonts w:ascii="Times New Roman" w:hAnsi="Times New Roman" w:cs="Times New Roman"/>
        </w:rPr>
        <w:t xml:space="preserve"> were chosen to ensure geographical spread and representation of diverse socio-economic contexts.</w:t>
      </w:r>
    </w:p>
    <w:p w14:paraId="4F2AF82C" w14:textId="7777777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The study covered a sample of 200 tribal women entrepreneurs selected through purposive sampling. Care was taken to include women from a range of enterprise types such as handicrafts, </w:t>
      </w:r>
      <w:proofErr w:type="spellStart"/>
      <w:r w:rsidRPr="0059395D">
        <w:rPr>
          <w:rFonts w:ascii="Times New Roman" w:hAnsi="Times New Roman" w:cs="Times New Roman"/>
        </w:rPr>
        <w:t>sal</w:t>
      </w:r>
      <w:proofErr w:type="spellEnd"/>
      <w:r w:rsidRPr="0059395D">
        <w:rPr>
          <w:rFonts w:ascii="Times New Roman" w:hAnsi="Times New Roman" w:cs="Times New Roman"/>
        </w:rPr>
        <w:t>-leaf products, millet processing, tailoring, and petty trade. To enrich the dataset, the survey was complemented with qualitative inquiry involving in-depth interviews with 30 women entrepreneurs, who shared their individual stories, and 10 local officials, who provided policy and institutional perspectives (Patnaik, 2016).</w:t>
      </w:r>
    </w:p>
    <w:p w14:paraId="3E7F9A3C" w14:textId="1F0D3EC9"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Table 1. Socio-Economic Profile of Respondents (Profile of 200 tribal women respondents from six blocks of Gajapati district, Odisha.)</w:t>
      </w:r>
    </w:p>
    <w:p w14:paraId="0F5BB998" w14:textId="77777777" w:rsidR="0059395D" w:rsidRDefault="0059395D" w:rsidP="0059395D">
      <w:pPr>
        <w:spacing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2263"/>
        <w:gridCol w:w="6753"/>
      </w:tblGrid>
      <w:tr w:rsidR="000B5ED0" w14:paraId="0241238D" w14:textId="77777777" w:rsidTr="000B5ED0">
        <w:tc>
          <w:tcPr>
            <w:tcW w:w="2263" w:type="dxa"/>
            <w:vAlign w:val="center"/>
          </w:tcPr>
          <w:p w14:paraId="2F86885C" w14:textId="3086C404" w:rsidR="000B5ED0" w:rsidRDefault="000B5ED0" w:rsidP="000B5ED0">
            <w:pPr>
              <w:spacing w:line="360" w:lineRule="auto"/>
              <w:jc w:val="both"/>
              <w:rPr>
                <w:rFonts w:ascii="Times New Roman" w:hAnsi="Times New Roman" w:cs="Times New Roman"/>
              </w:rPr>
            </w:pPr>
            <w:r w:rsidRPr="004F5FD7">
              <w:rPr>
                <w:rFonts w:ascii="Times New Roman" w:hAnsi="Times New Roman" w:cs="Times New Roman"/>
                <w:b/>
                <w:bCs/>
              </w:rPr>
              <w:t>Category</w:t>
            </w:r>
          </w:p>
        </w:tc>
        <w:tc>
          <w:tcPr>
            <w:tcW w:w="6753" w:type="dxa"/>
            <w:vAlign w:val="center"/>
          </w:tcPr>
          <w:p w14:paraId="572A0651" w14:textId="38F10097" w:rsidR="000B5ED0" w:rsidRDefault="000B5ED0" w:rsidP="000B5ED0">
            <w:pPr>
              <w:spacing w:line="360" w:lineRule="auto"/>
              <w:jc w:val="both"/>
              <w:rPr>
                <w:rFonts w:ascii="Times New Roman" w:hAnsi="Times New Roman" w:cs="Times New Roman"/>
              </w:rPr>
            </w:pPr>
            <w:r w:rsidRPr="004F5FD7">
              <w:rPr>
                <w:rFonts w:ascii="Times New Roman" w:hAnsi="Times New Roman" w:cs="Times New Roman"/>
                <w:b/>
                <w:bCs/>
              </w:rPr>
              <w:t>Details</w:t>
            </w:r>
            <w:r>
              <w:rPr>
                <w:rFonts w:ascii="Times New Roman" w:hAnsi="Times New Roman" w:cs="Times New Roman"/>
                <w:b/>
                <w:bCs/>
              </w:rPr>
              <w:t xml:space="preserve"> Study</w:t>
            </w:r>
          </w:p>
        </w:tc>
      </w:tr>
      <w:tr w:rsidR="000B5ED0" w14:paraId="5098060C" w14:textId="77777777" w:rsidTr="000B5ED0">
        <w:tc>
          <w:tcPr>
            <w:tcW w:w="2263" w:type="dxa"/>
            <w:vAlign w:val="center"/>
          </w:tcPr>
          <w:p w14:paraId="17FD8EB3" w14:textId="53FF0E77" w:rsidR="000B5ED0" w:rsidRDefault="000B5ED0" w:rsidP="000B5ED0">
            <w:pPr>
              <w:spacing w:line="360" w:lineRule="auto"/>
              <w:rPr>
                <w:rFonts w:ascii="Times New Roman" w:hAnsi="Times New Roman" w:cs="Times New Roman"/>
              </w:rPr>
            </w:pPr>
            <w:r w:rsidRPr="004F5FD7">
              <w:rPr>
                <w:rFonts w:ascii="Times New Roman" w:hAnsi="Times New Roman" w:cs="Times New Roman"/>
              </w:rPr>
              <w:t>Age Distribution</w:t>
            </w:r>
          </w:p>
        </w:tc>
        <w:tc>
          <w:tcPr>
            <w:tcW w:w="6753" w:type="dxa"/>
            <w:vAlign w:val="center"/>
          </w:tcPr>
          <w:p w14:paraId="75581E87" w14:textId="72243F3F" w:rsidR="000B5ED0" w:rsidRDefault="000B5ED0" w:rsidP="000B5ED0">
            <w:pPr>
              <w:spacing w:line="360" w:lineRule="auto"/>
              <w:jc w:val="both"/>
              <w:rPr>
                <w:rFonts w:ascii="Times New Roman" w:hAnsi="Times New Roman" w:cs="Times New Roman"/>
              </w:rPr>
            </w:pPr>
            <w:r w:rsidRPr="004F5FD7">
              <w:rPr>
                <w:rFonts w:ascii="Times New Roman" w:hAnsi="Times New Roman" w:cs="Times New Roman"/>
              </w:rPr>
              <w:t>18–30 years: 30% | 31–45 years: 45% | 46 years &amp; above: 25%</w:t>
            </w:r>
          </w:p>
        </w:tc>
      </w:tr>
      <w:tr w:rsidR="000B5ED0" w14:paraId="70D66060" w14:textId="77777777" w:rsidTr="000B5ED0">
        <w:tc>
          <w:tcPr>
            <w:tcW w:w="2263" w:type="dxa"/>
            <w:vAlign w:val="center"/>
          </w:tcPr>
          <w:p w14:paraId="732CCE80" w14:textId="7ADAC84A" w:rsidR="000B5ED0" w:rsidRDefault="000B5ED0" w:rsidP="000B5ED0">
            <w:pPr>
              <w:spacing w:line="360" w:lineRule="auto"/>
              <w:rPr>
                <w:rFonts w:ascii="Times New Roman" w:hAnsi="Times New Roman" w:cs="Times New Roman"/>
              </w:rPr>
            </w:pPr>
            <w:r w:rsidRPr="004F5FD7">
              <w:rPr>
                <w:rFonts w:ascii="Times New Roman" w:hAnsi="Times New Roman" w:cs="Times New Roman"/>
              </w:rPr>
              <w:t>Education Level</w:t>
            </w:r>
          </w:p>
        </w:tc>
        <w:tc>
          <w:tcPr>
            <w:tcW w:w="6753" w:type="dxa"/>
            <w:vAlign w:val="center"/>
          </w:tcPr>
          <w:p w14:paraId="18FB0408" w14:textId="739B59A2" w:rsidR="000B5ED0" w:rsidRDefault="000B5ED0" w:rsidP="000B5ED0">
            <w:pPr>
              <w:spacing w:line="360" w:lineRule="auto"/>
              <w:jc w:val="both"/>
              <w:rPr>
                <w:rFonts w:ascii="Times New Roman" w:hAnsi="Times New Roman" w:cs="Times New Roman"/>
              </w:rPr>
            </w:pPr>
            <w:r w:rsidRPr="004F5FD7">
              <w:rPr>
                <w:rFonts w:ascii="Times New Roman" w:hAnsi="Times New Roman" w:cs="Times New Roman"/>
              </w:rPr>
              <w:t>No formal schooling: 20% | Primary: 35% | Secondary: 30% | Higher: 15%</w:t>
            </w:r>
          </w:p>
        </w:tc>
      </w:tr>
      <w:tr w:rsidR="000B5ED0" w14:paraId="1F9E5F8E" w14:textId="77777777" w:rsidTr="000B5ED0">
        <w:tc>
          <w:tcPr>
            <w:tcW w:w="2263" w:type="dxa"/>
            <w:vAlign w:val="center"/>
          </w:tcPr>
          <w:p w14:paraId="6B3C28ED" w14:textId="3642AFA7" w:rsidR="000B5ED0" w:rsidRDefault="000B5ED0" w:rsidP="000B5ED0">
            <w:pPr>
              <w:spacing w:line="360" w:lineRule="auto"/>
              <w:rPr>
                <w:rFonts w:ascii="Times New Roman" w:hAnsi="Times New Roman" w:cs="Times New Roman"/>
              </w:rPr>
            </w:pPr>
            <w:r w:rsidRPr="004F5FD7">
              <w:rPr>
                <w:rFonts w:ascii="Times New Roman" w:hAnsi="Times New Roman" w:cs="Times New Roman"/>
              </w:rPr>
              <w:t>Type of Enterprise</w:t>
            </w:r>
          </w:p>
        </w:tc>
        <w:tc>
          <w:tcPr>
            <w:tcW w:w="6753" w:type="dxa"/>
            <w:vAlign w:val="center"/>
          </w:tcPr>
          <w:p w14:paraId="7DFAF538" w14:textId="29CA7E89" w:rsidR="000B5ED0" w:rsidRDefault="000B5ED0" w:rsidP="000B5ED0">
            <w:pPr>
              <w:spacing w:line="360" w:lineRule="auto"/>
              <w:jc w:val="both"/>
              <w:rPr>
                <w:rFonts w:ascii="Times New Roman" w:hAnsi="Times New Roman" w:cs="Times New Roman"/>
              </w:rPr>
            </w:pPr>
            <w:r w:rsidRPr="004F5FD7">
              <w:rPr>
                <w:rFonts w:ascii="Times New Roman" w:hAnsi="Times New Roman" w:cs="Times New Roman"/>
              </w:rPr>
              <w:t>Handicrafts: 28% | Sal-leaf products: 24% | Millet processing: 18% | Tailoring &amp; weaving: 15% | Petty trade: 15%</w:t>
            </w:r>
          </w:p>
        </w:tc>
      </w:tr>
      <w:tr w:rsidR="000B5ED0" w14:paraId="5C6BF101" w14:textId="77777777" w:rsidTr="000B5ED0">
        <w:tc>
          <w:tcPr>
            <w:tcW w:w="2263" w:type="dxa"/>
            <w:vAlign w:val="center"/>
          </w:tcPr>
          <w:p w14:paraId="19C487F4" w14:textId="37595B62" w:rsidR="000B5ED0" w:rsidRDefault="000B5ED0" w:rsidP="000B5ED0">
            <w:pPr>
              <w:spacing w:line="360" w:lineRule="auto"/>
              <w:rPr>
                <w:rFonts w:ascii="Times New Roman" w:hAnsi="Times New Roman" w:cs="Times New Roman"/>
              </w:rPr>
            </w:pPr>
            <w:r w:rsidRPr="004F5FD7">
              <w:rPr>
                <w:rFonts w:ascii="Times New Roman" w:hAnsi="Times New Roman" w:cs="Times New Roman"/>
              </w:rPr>
              <w:t>Marital Status</w:t>
            </w:r>
          </w:p>
        </w:tc>
        <w:tc>
          <w:tcPr>
            <w:tcW w:w="6753" w:type="dxa"/>
            <w:vAlign w:val="center"/>
          </w:tcPr>
          <w:p w14:paraId="23A06C6A" w14:textId="586509C9" w:rsidR="000B5ED0" w:rsidRDefault="000B5ED0" w:rsidP="000B5ED0">
            <w:pPr>
              <w:spacing w:line="360" w:lineRule="auto"/>
              <w:jc w:val="both"/>
              <w:rPr>
                <w:rFonts w:ascii="Times New Roman" w:hAnsi="Times New Roman" w:cs="Times New Roman"/>
              </w:rPr>
            </w:pPr>
            <w:r w:rsidRPr="004F5FD7">
              <w:rPr>
                <w:rFonts w:ascii="Times New Roman" w:hAnsi="Times New Roman" w:cs="Times New Roman"/>
              </w:rPr>
              <w:t>Married: 75% | Unmarried: 15% | Widowed/Separated: 10%</w:t>
            </w:r>
          </w:p>
        </w:tc>
      </w:tr>
      <w:tr w:rsidR="000B5ED0" w14:paraId="1872E978" w14:textId="77777777" w:rsidTr="000B5ED0">
        <w:tc>
          <w:tcPr>
            <w:tcW w:w="2263" w:type="dxa"/>
            <w:vAlign w:val="center"/>
          </w:tcPr>
          <w:p w14:paraId="34098CAE" w14:textId="7A137D8A" w:rsidR="000B5ED0" w:rsidRDefault="000B5ED0" w:rsidP="000B5ED0">
            <w:pPr>
              <w:spacing w:line="360" w:lineRule="auto"/>
              <w:rPr>
                <w:rFonts w:ascii="Times New Roman" w:hAnsi="Times New Roman" w:cs="Times New Roman"/>
              </w:rPr>
            </w:pPr>
            <w:r w:rsidRPr="004F5FD7">
              <w:rPr>
                <w:rFonts w:ascii="Times New Roman" w:hAnsi="Times New Roman" w:cs="Times New Roman"/>
              </w:rPr>
              <w:t>Average Monthly Income (INR)</w:t>
            </w:r>
          </w:p>
        </w:tc>
        <w:tc>
          <w:tcPr>
            <w:tcW w:w="6753" w:type="dxa"/>
            <w:vAlign w:val="center"/>
          </w:tcPr>
          <w:p w14:paraId="6D66B677" w14:textId="373550D1" w:rsidR="000B5ED0" w:rsidRDefault="000B5ED0" w:rsidP="000B5ED0">
            <w:pPr>
              <w:spacing w:line="360" w:lineRule="auto"/>
              <w:jc w:val="both"/>
              <w:rPr>
                <w:rFonts w:ascii="Times New Roman" w:hAnsi="Times New Roman" w:cs="Times New Roman"/>
              </w:rPr>
            </w:pPr>
            <w:r w:rsidRPr="004F5FD7">
              <w:rPr>
                <w:rFonts w:ascii="Times New Roman" w:hAnsi="Times New Roman" w:cs="Times New Roman"/>
              </w:rPr>
              <w:t>Below 5,000: 40% | 5,001–10,000: 35% | Above 10,000: 25%</w:t>
            </w:r>
          </w:p>
        </w:tc>
      </w:tr>
    </w:tbl>
    <w:p w14:paraId="06331BB6" w14:textId="77777777" w:rsidR="000B5ED0" w:rsidRPr="0059395D" w:rsidRDefault="000B5ED0" w:rsidP="0059395D">
      <w:pPr>
        <w:spacing w:line="360" w:lineRule="auto"/>
        <w:jc w:val="both"/>
        <w:rPr>
          <w:rFonts w:ascii="Times New Roman" w:hAnsi="Times New Roman" w:cs="Times New Roman"/>
        </w:rPr>
      </w:pPr>
    </w:p>
    <w:p w14:paraId="5A622099" w14:textId="4E27B71C" w:rsidR="0059395D" w:rsidRPr="00623489" w:rsidRDefault="0059395D" w:rsidP="0059395D">
      <w:pPr>
        <w:spacing w:line="360" w:lineRule="auto"/>
        <w:jc w:val="both"/>
        <w:rPr>
          <w:color w:val="EE0000"/>
        </w:rPr>
      </w:pPr>
      <w:r w:rsidRPr="0059395D">
        <w:rPr>
          <w:rFonts w:ascii="Times New Roman" w:hAnsi="Times New Roman" w:cs="Times New Roman"/>
        </w:rPr>
        <w:lastRenderedPageBreak/>
        <w:t xml:space="preserve">Data collection involved multiple </w:t>
      </w:r>
      <w:proofErr w:type="spellStart"/>
      <w:proofErr w:type="gramStart"/>
      <w:r w:rsidRPr="0059395D">
        <w:rPr>
          <w:rFonts w:ascii="Times New Roman" w:hAnsi="Times New Roman" w:cs="Times New Roman"/>
        </w:rPr>
        <w:t>tools.</w:t>
      </w:r>
      <w:r w:rsidR="00623489" w:rsidRPr="00623489">
        <w:rPr>
          <w:rFonts w:ascii="Times New Roman" w:hAnsi="Times New Roman" w:cs="Times New Roman"/>
          <w:color w:val="EE0000"/>
        </w:rPr>
        <w:t>The</w:t>
      </w:r>
      <w:proofErr w:type="spellEnd"/>
      <w:proofErr w:type="gramEnd"/>
      <w:r w:rsidR="00623489" w:rsidRPr="00623489">
        <w:rPr>
          <w:rFonts w:ascii="Times New Roman" w:hAnsi="Times New Roman" w:cs="Times New Roman"/>
          <w:color w:val="EE0000"/>
        </w:rPr>
        <w:t xml:space="preserve"> research adopted a convergent mixed-methods design, integrating both quantitative and qualitative strands concurrently to gain complementary insights (Creswell, 2014). The quantitative component provided measurable trends on enterprise types, income levels, and access to resources, while the qualitative component offered narrative depth regarding personal experiences and social </w:t>
      </w:r>
      <w:r w:rsidR="00663853" w:rsidRPr="00623489">
        <w:rPr>
          <w:rFonts w:ascii="Times New Roman" w:hAnsi="Times New Roman" w:cs="Times New Roman"/>
          <w:color w:val="EE0000"/>
        </w:rPr>
        <w:t>dynamics.</w:t>
      </w:r>
      <w:r w:rsidR="00663853">
        <w:rPr>
          <w:rFonts w:ascii="Times New Roman" w:hAnsi="Times New Roman" w:cs="Times New Roman"/>
          <w:color w:val="EE0000"/>
        </w:rPr>
        <w:t xml:space="preserve"> (</w:t>
      </w:r>
      <w:r w:rsidR="00663853" w:rsidRPr="00663853">
        <w:rPr>
          <w:rFonts w:ascii="Times New Roman" w:hAnsi="Times New Roman" w:cs="Times New Roman"/>
          <w:color w:val="EE0000"/>
        </w:rPr>
        <w:t xml:space="preserve">Zahra, S. A., </w:t>
      </w:r>
      <w:proofErr w:type="spellStart"/>
      <w:r w:rsidR="00663853" w:rsidRPr="00663853">
        <w:rPr>
          <w:rFonts w:ascii="Times New Roman" w:hAnsi="Times New Roman" w:cs="Times New Roman"/>
          <w:color w:val="EE0000"/>
        </w:rPr>
        <w:t>Gedajlovic</w:t>
      </w:r>
      <w:proofErr w:type="spellEnd"/>
      <w:r w:rsidR="00663853" w:rsidRPr="00663853">
        <w:rPr>
          <w:rFonts w:ascii="Times New Roman" w:hAnsi="Times New Roman" w:cs="Times New Roman"/>
          <w:color w:val="EE0000"/>
        </w:rPr>
        <w:t>, E., Neubaum, D. O., &amp; Shulman, J. M.</w:t>
      </w:r>
      <w:r w:rsidR="00663853" w:rsidRPr="00663853">
        <w:rPr>
          <w:rFonts w:ascii="Times New Roman" w:hAnsi="Times New Roman" w:cs="Times New Roman"/>
          <w:color w:val="EE0000"/>
        </w:rPr>
        <w:t xml:space="preserve">, </w:t>
      </w:r>
      <w:r w:rsidR="00663853" w:rsidRPr="00663853">
        <w:rPr>
          <w:rFonts w:ascii="Times New Roman" w:hAnsi="Times New Roman" w:cs="Times New Roman"/>
          <w:color w:val="EE0000"/>
        </w:rPr>
        <w:t>2009).</w:t>
      </w:r>
      <w:r w:rsidR="00623489" w:rsidRPr="00623489">
        <w:rPr>
          <w:rFonts w:ascii="Times New Roman" w:hAnsi="Times New Roman" w:cs="Times New Roman"/>
          <w:color w:val="EE0000"/>
        </w:rPr>
        <w:t xml:space="preserve"> For qualitative data analysis, interview and FGD transcripts were first transcribed verbatim and then subjected to thematic coding using an inductive approach. Emerging themes such as financial barriers, agency, community support, and market linkages were organised through constant comparison until conceptual saturation was achieved. NVivo software was used to manage coding and ensure inter-coder reliability. The research strategy combined purposive and snowball sampling to identify respondents across six </w:t>
      </w:r>
      <w:r w:rsidR="00663853" w:rsidRPr="00623489">
        <w:rPr>
          <w:rFonts w:ascii="Times New Roman" w:hAnsi="Times New Roman" w:cs="Times New Roman"/>
          <w:color w:val="EE0000"/>
        </w:rPr>
        <w:t>blocks</w:t>
      </w:r>
      <w:r w:rsidR="00663853" w:rsidRPr="00663853">
        <w:rPr>
          <w:rFonts w:ascii="Times New Roman" w:hAnsi="Times New Roman" w:cs="Times New Roman"/>
          <w:color w:val="EE0000"/>
        </w:rPr>
        <w:t>. (</w:t>
      </w:r>
      <w:proofErr w:type="spellStart"/>
      <w:r w:rsidR="00663853" w:rsidRPr="00663853">
        <w:rPr>
          <w:rFonts w:ascii="Times New Roman" w:hAnsi="Times New Roman" w:cs="Times New Roman"/>
          <w:color w:val="EE0000"/>
        </w:rPr>
        <w:t>Bacq</w:t>
      </w:r>
      <w:proofErr w:type="spellEnd"/>
      <w:r w:rsidR="00663853" w:rsidRPr="00663853">
        <w:rPr>
          <w:rFonts w:ascii="Times New Roman" w:hAnsi="Times New Roman" w:cs="Times New Roman"/>
          <w:color w:val="EE0000"/>
        </w:rPr>
        <w:t>, S., &amp; Janssen, F.</w:t>
      </w:r>
      <w:r w:rsidR="00663853" w:rsidRPr="00663853">
        <w:rPr>
          <w:rFonts w:ascii="Times New Roman" w:hAnsi="Times New Roman" w:cs="Times New Roman"/>
          <w:color w:val="EE0000"/>
        </w:rPr>
        <w:t xml:space="preserve">, </w:t>
      </w:r>
      <w:r w:rsidR="00663853" w:rsidRPr="00663853">
        <w:rPr>
          <w:rFonts w:ascii="Times New Roman" w:hAnsi="Times New Roman" w:cs="Times New Roman"/>
          <w:color w:val="EE0000"/>
        </w:rPr>
        <w:t>2011</w:t>
      </w:r>
      <w:r w:rsidR="00663853" w:rsidRPr="00663853">
        <w:rPr>
          <w:rFonts w:ascii="Times New Roman" w:hAnsi="Times New Roman" w:cs="Times New Roman"/>
          <w:color w:val="EE0000"/>
        </w:rPr>
        <w:t>).</w:t>
      </w:r>
      <w:r w:rsidR="00663853" w:rsidRPr="00623489">
        <w:rPr>
          <w:rFonts w:ascii="Times New Roman" w:hAnsi="Times New Roman" w:cs="Times New Roman"/>
          <w:color w:val="EE0000"/>
        </w:rPr>
        <w:t xml:space="preserve"> Triangulation</w:t>
      </w:r>
      <w:r w:rsidR="00623489" w:rsidRPr="00623489">
        <w:rPr>
          <w:rFonts w:ascii="Times New Roman" w:hAnsi="Times New Roman" w:cs="Times New Roman"/>
          <w:color w:val="EE0000"/>
        </w:rPr>
        <w:t xml:space="preserve"> between surveys, interviews, and FGDs ensured the validity of findings and minimised bias. </w:t>
      </w:r>
      <w:r w:rsidRPr="0059395D">
        <w:rPr>
          <w:rFonts w:ascii="Times New Roman" w:hAnsi="Times New Roman" w:cs="Times New Roman"/>
        </w:rPr>
        <w:t>Structured questionnaires were used to gather information on socio-economic background, enterprise type, income levels, and barriers to entrepreneurship. In-depth interviews captured narratives of struggle, resilience, and transformation, while focus group discussions (FGDs) with self-help groups offered insights into collective dynamics, including decision-making and resource access. To provide a clear overview of the participants’ socio-economic characteristics, a profile of respondents is presented in Table 1, which summarises their age, education, marital status, enterprise type, and income categories. This profile helps situate the findings within the broader realities of women’s lives in the district.</w:t>
      </w:r>
    </w:p>
    <w:p w14:paraId="01896122" w14:textId="7777777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Quantitative data were analysed using descriptive statistics to identify overall trends and patterns, while qualitative responses from interviews and FGDs were thematically coded to highlight recurring issues such as financial constraints, gender norms, market linkages, and institutional support (</w:t>
      </w:r>
      <w:proofErr w:type="spellStart"/>
      <w:r w:rsidRPr="0059395D">
        <w:rPr>
          <w:rFonts w:ascii="Times New Roman" w:hAnsi="Times New Roman" w:cs="Times New Roman"/>
        </w:rPr>
        <w:t>Garikipati</w:t>
      </w:r>
      <w:proofErr w:type="spellEnd"/>
      <w:r w:rsidRPr="0059395D">
        <w:rPr>
          <w:rFonts w:ascii="Times New Roman" w:hAnsi="Times New Roman" w:cs="Times New Roman"/>
        </w:rPr>
        <w:t>, 2012). Ethical standards were strictly observed. Ethical clearance was obtained prior to fieldwork, and informed consent was taken from all participants, who were assured of confidentiality and voluntary participation. By combining complementary methods, ensuring rigour in analysis, and grounding the findings in a clearly profiled sample, the study provides a nuanced and trustworthy account of how tribal women in Gajapati engage in social entrepreneurship and how these ventures contribute to livelihood transformation.</w:t>
      </w:r>
    </w:p>
    <w:p w14:paraId="0C08E918" w14:textId="77777777" w:rsidR="00645A58" w:rsidRDefault="00645A58" w:rsidP="00645A58">
      <w:pPr>
        <w:spacing w:line="360" w:lineRule="auto"/>
        <w:jc w:val="both"/>
        <w:rPr>
          <w:rFonts w:ascii="Times New Roman" w:hAnsi="Times New Roman" w:cs="Times New Roman"/>
        </w:rPr>
      </w:pPr>
    </w:p>
    <w:p w14:paraId="7C3869EB" w14:textId="77777777" w:rsidR="0059395D" w:rsidRPr="0059395D" w:rsidRDefault="0059395D" w:rsidP="0059395D">
      <w:pPr>
        <w:rPr>
          <w:b/>
          <w:bCs/>
        </w:rPr>
      </w:pPr>
      <w:r w:rsidRPr="0059395D">
        <w:rPr>
          <w:b/>
          <w:bCs/>
        </w:rPr>
        <w:t>4. Findings and Discussion</w:t>
      </w:r>
    </w:p>
    <w:p w14:paraId="1B444E6A" w14:textId="77777777" w:rsidR="0059395D" w:rsidRPr="0059395D" w:rsidRDefault="0059395D" w:rsidP="0059395D">
      <w:pPr>
        <w:rPr>
          <w:b/>
          <w:bCs/>
        </w:rPr>
      </w:pPr>
      <w:r w:rsidRPr="0059395D">
        <w:rPr>
          <w:b/>
          <w:bCs/>
        </w:rPr>
        <w:t>4.1 Types of Enterprises</w:t>
      </w:r>
    </w:p>
    <w:p w14:paraId="2680FDAB" w14:textId="77777777" w:rsid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The findings of the study highlight the diverse range of enterprises managed by tribal women in Gajapati district. A significant proportion of respondents were engaged in handicrafts and bamboo work (28%), </w:t>
      </w:r>
      <w:proofErr w:type="spellStart"/>
      <w:r w:rsidRPr="0059395D">
        <w:rPr>
          <w:rFonts w:ascii="Times New Roman" w:hAnsi="Times New Roman" w:cs="Times New Roman"/>
        </w:rPr>
        <w:t>sal</w:t>
      </w:r>
      <w:proofErr w:type="spellEnd"/>
      <w:r w:rsidRPr="0059395D">
        <w:rPr>
          <w:rFonts w:ascii="Times New Roman" w:hAnsi="Times New Roman" w:cs="Times New Roman"/>
        </w:rPr>
        <w:t xml:space="preserve">-leaf plate making and minor forest produce processing (24%), millet-based food products (18%), tailoring and weaving (15%), and petty trade such as tea stalls and grocery shops (15%). These </w:t>
      </w:r>
      <w:r w:rsidRPr="0059395D">
        <w:rPr>
          <w:rFonts w:ascii="Times New Roman" w:hAnsi="Times New Roman" w:cs="Times New Roman"/>
        </w:rPr>
        <w:lastRenderedPageBreak/>
        <w:t>enterprises are small in scale but embedded in local traditions, often combining livelihood sustenance with cultural preservation (Acharya, 2018; Naik &amp; Panda, 2023).</w:t>
      </w:r>
    </w:p>
    <w:p w14:paraId="6CABA84A" w14:textId="6FC8B44F" w:rsidR="0028677A" w:rsidRPr="0059395D" w:rsidRDefault="0028677A" w:rsidP="0059395D">
      <w:pPr>
        <w:spacing w:line="360"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01BA391B" wp14:editId="2AC96097">
            <wp:extent cx="5731510" cy="3818890"/>
            <wp:effectExtent l="0" t="0" r="0" b="0"/>
            <wp:docPr id="4308257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825711" name="Picture 4308257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818890"/>
                    </a:xfrm>
                    <a:prstGeom prst="rect">
                      <a:avLst/>
                    </a:prstGeom>
                  </pic:spPr>
                </pic:pic>
              </a:graphicData>
            </a:graphic>
          </wp:inline>
        </w:drawing>
      </w:r>
    </w:p>
    <w:p w14:paraId="23B245B1" w14:textId="37CCA1E0" w:rsidR="0028677A" w:rsidRDefault="0028677A" w:rsidP="0028677A">
      <w:pPr>
        <w:spacing w:line="360" w:lineRule="auto"/>
        <w:jc w:val="center"/>
        <w:rPr>
          <w:rFonts w:ascii="Times New Roman" w:hAnsi="Times New Roman" w:cs="Times New Roman"/>
        </w:rPr>
      </w:pPr>
      <w:r>
        <w:rPr>
          <w:rFonts w:ascii="Times New Roman" w:hAnsi="Times New Roman" w:cs="Times New Roman"/>
        </w:rPr>
        <w:t xml:space="preserve">Figure </w:t>
      </w:r>
      <w:r w:rsidR="00B5631F">
        <w:rPr>
          <w:rFonts w:ascii="Times New Roman" w:hAnsi="Times New Roman" w:cs="Times New Roman"/>
        </w:rPr>
        <w:t>3</w:t>
      </w:r>
      <w:r w:rsidRPr="0028677A">
        <w:rPr>
          <w:rFonts w:ascii="Times New Roman" w:hAnsi="Times New Roman" w:cs="Times New Roman"/>
        </w:rPr>
        <w:t>: Enterprises Managed by Tribal Women in Gajapati District</w:t>
      </w:r>
    </w:p>
    <w:p w14:paraId="5D0775B1" w14:textId="7CA4C5F1" w:rsidR="00046ACE" w:rsidRPr="00046ACE" w:rsidRDefault="00046ACE" w:rsidP="00046ACE">
      <w:pPr>
        <w:spacing w:line="360" w:lineRule="auto"/>
        <w:jc w:val="both"/>
        <w:rPr>
          <w:rFonts w:ascii="Times New Roman" w:hAnsi="Times New Roman" w:cs="Times New Roman"/>
          <w:color w:val="EE0000"/>
        </w:rPr>
      </w:pPr>
      <w:r w:rsidRPr="00046ACE">
        <w:rPr>
          <w:rFonts w:ascii="Times New Roman" w:hAnsi="Times New Roman" w:cs="Times New Roman"/>
          <w:color w:val="EE0000"/>
        </w:rPr>
        <w:t xml:space="preserve">Figure 3 highlights that handicrafts and forest-based processing dominate women’s enterprises, indicating the centrality of local resource </w:t>
      </w:r>
      <w:r>
        <w:rPr>
          <w:rFonts w:ascii="Times New Roman" w:hAnsi="Times New Roman" w:cs="Times New Roman"/>
          <w:color w:val="EE0000"/>
        </w:rPr>
        <w:t>utilisation</w:t>
      </w:r>
      <w:r w:rsidRPr="00046ACE">
        <w:rPr>
          <w:rFonts w:ascii="Times New Roman" w:hAnsi="Times New Roman" w:cs="Times New Roman"/>
          <w:color w:val="EE0000"/>
        </w:rPr>
        <w:t xml:space="preserve"> in livelihood strategies.</w:t>
      </w:r>
    </w:p>
    <w:p w14:paraId="3D9055B3" w14:textId="6486D550" w:rsidR="0059395D" w:rsidRPr="00890A6C" w:rsidRDefault="0059395D" w:rsidP="0059395D">
      <w:pPr>
        <w:spacing w:line="360" w:lineRule="auto"/>
        <w:jc w:val="both"/>
        <w:rPr>
          <w:rFonts w:ascii="Times New Roman" w:hAnsi="Times New Roman" w:cs="Times New Roman"/>
          <w:b/>
          <w:bCs/>
        </w:rPr>
      </w:pPr>
      <w:r w:rsidRPr="00890A6C">
        <w:rPr>
          <w:rFonts w:ascii="Times New Roman" w:hAnsi="Times New Roman" w:cs="Times New Roman"/>
          <w:b/>
          <w:bCs/>
        </w:rPr>
        <w:t>4.2 Barriers to Growth</w:t>
      </w:r>
    </w:p>
    <w:p w14:paraId="65347FEE" w14:textId="09AAF1BB"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Despite their efforts, tribal women entrepreneurs face multiple barriers that limit the expansion of their enterprises. Financial constraints remain the most pressing challenge, with limited access to formal credit pushing many women towards moneylenders (</w:t>
      </w:r>
      <w:proofErr w:type="spellStart"/>
      <w:r w:rsidRPr="0059395D">
        <w:rPr>
          <w:rFonts w:ascii="Times New Roman" w:hAnsi="Times New Roman" w:cs="Times New Roman"/>
        </w:rPr>
        <w:t>Garikipati</w:t>
      </w:r>
      <w:proofErr w:type="spellEnd"/>
      <w:r w:rsidRPr="0059395D">
        <w:rPr>
          <w:rFonts w:ascii="Times New Roman" w:hAnsi="Times New Roman" w:cs="Times New Roman"/>
        </w:rPr>
        <w:t xml:space="preserve">, 2008). Educational barriers compound these difficulties, as low literacy levels and the lack of managerial or business training restrict women’s ability to effectively manage and scale their ventures (Biswal et al., 2023). Weak market linkages further </w:t>
      </w:r>
      <w:r w:rsidR="00890A6C">
        <w:rPr>
          <w:rFonts w:ascii="Times New Roman" w:hAnsi="Times New Roman" w:cs="Times New Roman"/>
        </w:rPr>
        <w:t>marginalise</w:t>
      </w:r>
      <w:r w:rsidRPr="0059395D">
        <w:rPr>
          <w:rFonts w:ascii="Times New Roman" w:hAnsi="Times New Roman" w:cs="Times New Roman"/>
        </w:rPr>
        <w:t xml:space="preserve"> women entrepreneurs, as most depend on local markets and intermediaries (Roy &amp; Mohanty, 2020). In addition, entrenched gender norms continue to influence women’s participation (Kabeer, 1999). Domestic responsibilities, childcare, and mobility restrictions mean that many women must balance entrepreneurial activities with household duties, often at the cost of business growth.</w:t>
      </w:r>
    </w:p>
    <w:p w14:paraId="2A1CA760" w14:textId="77777777" w:rsidR="0059395D" w:rsidRPr="0059395D" w:rsidRDefault="0059395D" w:rsidP="0059395D">
      <w:pPr>
        <w:rPr>
          <w:b/>
          <w:bCs/>
        </w:rPr>
      </w:pPr>
      <w:r w:rsidRPr="0059395D">
        <w:rPr>
          <w:b/>
          <w:bCs/>
        </w:rPr>
        <w:t>4.3 Opportunities and Enablers</w:t>
      </w:r>
    </w:p>
    <w:p w14:paraId="284DE684" w14:textId="77777777" w:rsid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Amidst these challenges, the study also identified emerging opportunities that are enabling women to strengthen their entrepreneurial activities. A majority of respondents (70%) reported that self-help groups (SHGs) were their first entry point into entrepreneurship (Deininger &amp; Liu, 2013). Government </w:t>
      </w:r>
      <w:r w:rsidRPr="0059395D">
        <w:rPr>
          <w:rFonts w:ascii="Times New Roman" w:hAnsi="Times New Roman" w:cs="Times New Roman"/>
        </w:rPr>
        <w:lastRenderedPageBreak/>
        <w:t>schemes such as Mission Shakti and the Odisha Livelihood Mission have introduced targeted training and financial assistance (Dash, 2025). Although still limited, digital tools are slowly expanding opportunities, with younger women beginning to use mobile banking and online marketing. Equally important is the role of community solidarity, as collective enterprises allow women to share risks, pool resources, and strengthen bargaining power (Sanyal, 2009).</w:t>
      </w:r>
    </w:p>
    <w:tbl>
      <w:tblPr>
        <w:tblStyle w:val="TableGrid"/>
        <w:tblW w:w="0" w:type="auto"/>
        <w:tblLook w:val="04A0" w:firstRow="1" w:lastRow="0" w:firstColumn="1" w:lastColumn="0" w:noHBand="0" w:noVBand="1"/>
      </w:tblPr>
      <w:tblGrid>
        <w:gridCol w:w="2547"/>
        <w:gridCol w:w="3969"/>
        <w:gridCol w:w="2500"/>
      </w:tblGrid>
      <w:tr w:rsidR="00B5631F" w14:paraId="7AA80A82" w14:textId="77777777" w:rsidTr="008C37F9">
        <w:tc>
          <w:tcPr>
            <w:tcW w:w="2547" w:type="dxa"/>
            <w:vAlign w:val="center"/>
          </w:tcPr>
          <w:p w14:paraId="12E7BEC8" w14:textId="7DD84B79" w:rsidR="00B5631F" w:rsidRDefault="00B5631F" w:rsidP="00B5631F">
            <w:pPr>
              <w:spacing w:line="360" w:lineRule="auto"/>
              <w:jc w:val="center"/>
              <w:rPr>
                <w:rFonts w:ascii="Times New Roman" w:hAnsi="Times New Roman" w:cs="Times New Roman"/>
              </w:rPr>
            </w:pPr>
            <w:r w:rsidRPr="00B5631F">
              <w:rPr>
                <w:rFonts w:ascii="Times New Roman" w:hAnsi="Times New Roman" w:cs="Times New Roman"/>
                <w:b/>
                <w:bCs/>
              </w:rPr>
              <w:t>Opportunity Area</w:t>
            </w:r>
          </w:p>
        </w:tc>
        <w:tc>
          <w:tcPr>
            <w:tcW w:w="3969" w:type="dxa"/>
            <w:vAlign w:val="center"/>
          </w:tcPr>
          <w:p w14:paraId="5F8EBDD2" w14:textId="6DD450BF" w:rsidR="00B5631F" w:rsidRDefault="00B5631F" w:rsidP="00B5631F">
            <w:pPr>
              <w:spacing w:line="360" w:lineRule="auto"/>
              <w:jc w:val="center"/>
              <w:rPr>
                <w:rFonts w:ascii="Times New Roman" w:hAnsi="Times New Roman" w:cs="Times New Roman"/>
              </w:rPr>
            </w:pPr>
            <w:r w:rsidRPr="00B5631F">
              <w:rPr>
                <w:rFonts w:ascii="Times New Roman" w:hAnsi="Times New Roman" w:cs="Times New Roman"/>
                <w:b/>
                <w:bCs/>
              </w:rPr>
              <w:t>Description / Evidence</w:t>
            </w:r>
          </w:p>
        </w:tc>
        <w:tc>
          <w:tcPr>
            <w:tcW w:w="2500" w:type="dxa"/>
            <w:vAlign w:val="center"/>
          </w:tcPr>
          <w:p w14:paraId="0214FFDA" w14:textId="052AAFE5" w:rsidR="00B5631F" w:rsidRDefault="00B5631F" w:rsidP="00B5631F">
            <w:pPr>
              <w:spacing w:line="360" w:lineRule="auto"/>
              <w:jc w:val="center"/>
              <w:rPr>
                <w:rFonts w:ascii="Times New Roman" w:hAnsi="Times New Roman" w:cs="Times New Roman"/>
              </w:rPr>
            </w:pPr>
            <w:r w:rsidRPr="00B5631F">
              <w:rPr>
                <w:rFonts w:ascii="Times New Roman" w:hAnsi="Times New Roman" w:cs="Times New Roman"/>
                <w:b/>
                <w:bCs/>
              </w:rPr>
              <w:t>Reference</w:t>
            </w:r>
          </w:p>
        </w:tc>
      </w:tr>
      <w:tr w:rsidR="00B5631F" w14:paraId="42848BFC" w14:textId="77777777" w:rsidTr="008C37F9">
        <w:tc>
          <w:tcPr>
            <w:tcW w:w="2547" w:type="dxa"/>
            <w:vAlign w:val="center"/>
          </w:tcPr>
          <w:p w14:paraId="1BA825E7" w14:textId="6BD44BD0" w:rsidR="00B5631F" w:rsidRPr="00B5631F" w:rsidRDefault="00B5631F" w:rsidP="00B5631F">
            <w:pPr>
              <w:spacing w:line="360" w:lineRule="auto"/>
              <w:rPr>
                <w:rFonts w:ascii="Times New Roman" w:hAnsi="Times New Roman" w:cs="Times New Roman"/>
                <w:sz w:val="24"/>
                <w:szCs w:val="24"/>
              </w:rPr>
            </w:pPr>
            <w:r w:rsidRPr="00B5631F">
              <w:rPr>
                <w:rFonts w:ascii="Times New Roman" w:hAnsi="Times New Roman" w:cs="Times New Roman"/>
                <w:sz w:val="24"/>
                <w:szCs w:val="24"/>
              </w:rPr>
              <w:t>Self-Help Groups (SHGs)</w:t>
            </w:r>
          </w:p>
        </w:tc>
        <w:tc>
          <w:tcPr>
            <w:tcW w:w="3969" w:type="dxa"/>
            <w:vAlign w:val="center"/>
          </w:tcPr>
          <w:p w14:paraId="1CC2BF19" w14:textId="6FDC3985" w:rsidR="00B5631F" w:rsidRDefault="00B5631F" w:rsidP="00B5631F">
            <w:pPr>
              <w:spacing w:line="360" w:lineRule="auto"/>
              <w:rPr>
                <w:rFonts w:ascii="Times New Roman" w:hAnsi="Times New Roman" w:cs="Times New Roman"/>
              </w:rPr>
            </w:pPr>
            <w:r w:rsidRPr="00B5631F">
              <w:rPr>
                <w:rFonts w:ascii="Times New Roman" w:hAnsi="Times New Roman" w:cs="Times New Roman"/>
              </w:rPr>
              <w:t>70% of respondents reported SHGs as their first entry point into entrepreneurship.</w:t>
            </w:r>
          </w:p>
        </w:tc>
        <w:tc>
          <w:tcPr>
            <w:tcW w:w="2500" w:type="dxa"/>
            <w:vAlign w:val="center"/>
          </w:tcPr>
          <w:p w14:paraId="7629F40D" w14:textId="23E7BFEF" w:rsidR="00B5631F" w:rsidRDefault="00B5631F" w:rsidP="00B5631F">
            <w:pPr>
              <w:spacing w:line="360" w:lineRule="auto"/>
              <w:rPr>
                <w:rFonts w:ascii="Times New Roman" w:hAnsi="Times New Roman" w:cs="Times New Roman"/>
              </w:rPr>
            </w:pPr>
            <w:r w:rsidRPr="00B5631F">
              <w:rPr>
                <w:rFonts w:ascii="Times New Roman" w:hAnsi="Times New Roman" w:cs="Times New Roman"/>
              </w:rPr>
              <w:t>Deininger &amp; Liu (2013)</w:t>
            </w:r>
          </w:p>
        </w:tc>
      </w:tr>
      <w:tr w:rsidR="00B5631F" w14:paraId="0EFE5D85" w14:textId="77777777" w:rsidTr="008C37F9">
        <w:tc>
          <w:tcPr>
            <w:tcW w:w="2547" w:type="dxa"/>
            <w:vAlign w:val="center"/>
          </w:tcPr>
          <w:p w14:paraId="71FB26B9" w14:textId="4A6D4C92" w:rsidR="00B5631F" w:rsidRPr="00B5631F" w:rsidRDefault="00B5631F" w:rsidP="00B5631F">
            <w:pPr>
              <w:spacing w:line="360" w:lineRule="auto"/>
              <w:rPr>
                <w:rFonts w:ascii="Times New Roman" w:hAnsi="Times New Roman" w:cs="Times New Roman"/>
                <w:sz w:val="24"/>
                <w:szCs w:val="24"/>
              </w:rPr>
            </w:pPr>
            <w:r w:rsidRPr="00B5631F">
              <w:rPr>
                <w:rFonts w:ascii="Times New Roman" w:hAnsi="Times New Roman" w:cs="Times New Roman"/>
                <w:sz w:val="24"/>
                <w:szCs w:val="24"/>
              </w:rPr>
              <w:t>Government Schemes</w:t>
            </w:r>
          </w:p>
        </w:tc>
        <w:tc>
          <w:tcPr>
            <w:tcW w:w="3969" w:type="dxa"/>
            <w:vAlign w:val="center"/>
          </w:tcPr>
          <w:p w14:paraId="4B0981CA" w14:textId="6E97914F" w:rsidR="00B5631F" w:rsidRDefault="00B5631F" w:rsidP="00B5631F">
            <w:pPr>
              <w:spacing w:line="360" w:lineRule="auto"/>
              <w:rPr>
                <w:rFonts w:ascii="Times New Roman" w:hAnsi="Times New Roman" w:cs="Times New Roman"/>
              </w:rPr>
            </w:pPr>
            <w:r w:rsidRPr="00B5631F">
              <w:rPr>
                <w:rFonts w:ascii="Times New Roman" w:hAnsi="Times New Roman" w:cs="Times New Roman"/>
              </w:rPr>
              <w:t xml:space="preserve">Initiatives such as </w:t>
            </w:r>
            <w:r w:rsidRPr="00B5631F">
              <w:rPr>
                <w:rFonts w:ascii="Times New Roman" w:hAnsi="Times New Roman" w:cs="Times New Roman"/>
                <w:i/>
                <w:iCs/>
              </w:rPr>
              <w:t>Mission Shakti</w:t>
            </w:r>
            <w:r w:rsidRPr="00B5631F">
              <w:rPr>
                <w:rFonts w:ascii="Times New Roman" w:hAnsi="Times New Roman" w:cs="Times New Roman"/>
              </w:rPr>
              <w:t xml:space="preserve"> and </w:t>
            </w:r>
            <w:r w:rsidRPr="00B5631F">
              <w:rPr>
                <w:rFonts w:ascii="Times New Roman" w:hAnsi="Times New Roman" w:cs="Times New Roman"/>
                <w:i/>
                <w:iCs/>
              </w:rPr>
              <w:t>Odisha Livelihood Mission</w:t>
            </w:r>
            <w:r w:rsidRPr="00B5631F">
              <w:rPr>
                <w:rFonts w:ascii="Times New Roman" w:hAnsi="Times New Roman" w:cs="Times New Roman"/>
              </w:rPr>
              <w:t xml:space="preserve"> provide training and financial assistance.</w:t>
            </w:r>
          </w:p>
        </w:tc>
        <w:tc>
          <w:tcPr>
            <w:tcW w:w="2500" w:type="dxa"/>
            <w:vAlign w:val="center"/>
          </w:tcPr>
          <w:p w14:paraId="46C50284" w14:textId="0CBB0700" w:rsidR="00B5631F" w:rsidRDefault="00B5631F" w:rsidP="00B5631F">
            <w:pPr>
              <w:spacing w:line="360" w:lineRule="auto"/>
              <w:rPr>
                <w:rFonts w:ascii="Times New Roman" w:hAnsi="Times New Roman" w:cs="Times New Roman"/>
              </w:rPr>
            </w:pPr>
            <w:r w:rsidRPr="00B5631F">
              <w:rPr>
                <w:rFonts w:ascii="Times New Roman" w:hAnsi="Times New Roman" w:cs="Times New Roman"/>
              </w:rPr>
              <w:t>Dash (2025)</w:t>
            </w:r>
          </w:p>
        </w:tc>
      </w:tr>
      <w:tr w:rsidR="00B5631F" w14:paraId="343F45EB" w14:textId="77777777" w:rsidTr="008C37F9">
        <w:tc>
          <w:tcPr>
            <w:tcW w:w="2547" w:type="dxa"/>
            <w:vAlign w:val="center"/>
          </w:tcPr>
          <w:p w14:paraId="4F566971" w14:textId="5E1F46FE" w:rsidR="00B5631F" w:rsidRPr="00B5631F" w:rsidRDefault="00B5631F" w:rsidP="00B5631F">
            <w:pPr>
              <w:spacing w:line="360" w:lineRule="auto"/>
              <w:rPr>
                <w:rFonts w:ascii="Times New Roman" w:hAnsi="Times New Roman" w:cs="Times New Roman"/>
                <w:sz w:val="24"/>
                <w:szCs w:val="24"/>
              </w:rPr>
            </w:pPr>
            <w:r w:rsidRPr="00B5631F">
              <w:rPr>
                <w:rFonts w:ascii="Times New Roman" w:hAnsi="Times New Roman" w:cs="Times New Roman"/>
                <w:sz w:val="24"/>
                <w:szCs w:val="24"/>
              </w:rPr>
              <w:t>Digital Tools</w:t>
            </w:r>
          </w:p>
        </w:tc>
        <w:tc>
          <w:tcPr>
            <w:tcW w:w="3969" w:type="dxa"/>
            <w:vAlign w:val="center"/>
          </w:tcPr>
          <w:p w14:paraId="411801BF" w14:textId="47AE766A" w:rsidR="00B5631F" w:rsidRDefault="00B5631F" w:rsidP="00B5631F">
            <w:pPr>
              <w:spacing w:line="360" w:lineRule="auto"/>
              <w:rPr>
                <w:rFonts w:ascii="Times New Roman" w:hAnsi="Times New Roman" w:cs="Times New Roman"/>
              </w:rPr>
            </w:pPr>
            <w:r w:rsidRPr="00B5631F">
              <w:rPr>
                <w:rFonts w:ascii="Times New Roman" w:hAnsi="Times New Roman" w:cs="Times New Roman"/>
              </w:rPr>
              <w:t>Younger women are slowly adopting mobile banking and online marketing, expanding business reach.</w:t>
            </w:r>
          </w:p>
        </w:tc>
        <w:tc>
          <w:tcPr>
            <w:tcW w:w="2500" w:type="dxa"/>
            <w:vAlign w:val="center"/>
          </w:tcPr>
          <w:p w14:paraId="5107D33A" w14:textId="7E082FF0" w:rsidR="00B5631F" w:rsidRDefault="00B5631F" w:rsidP="00B5631F">
            <w:pPr>
              <w:spacing w:line="360" w:lineRule="auto"/>
              <w:rPr>
                <w:rFonts w:ascii="Times New Roman" w:hAnsi="Times New Roman" w:cs="Times New Roman"/>
              </w:rPr>
            </w:pPr>
            <w:r w:rsidRPr="00B5631F">
              <w:rPr>
                <w:rFonts w:ascii="Times New Roman" w:hAnsi="Times New Roman" w:cs="Times New Roman"/>
              </w:rPr>
              <w:t>Field Data / Emerging Trends</w:t>
            </w:r>
          </w:p>
        </w:tc>
      </w:tr>
      <w:tr w:rsidR="00B5631F" w14:paraId="28616C72" w14:textId="77777777" w:rsidTr="008C37F9">
        <w:tc>
          <w:tcPr>
            <w:tcW w:w="2547" w:type="dxa"/>
            <w:vAlign w:val="center"/>
          </w:tcPr>
          <w:p w14:paraId="7A6A06C8" w14:textId="70F362D3" w:rsidR="00B5631F" w:rsidRPr="00B5631F" w:rsidRDefault="00B5631F" w:rsidP="00B5631F">
            <w:pPr>
              <w:spacing w:line="360" w:lineRule="auto"/>
              <w:rPr>
                <w:rFonts w:ascii="Times New Roman" w:hAnsi="Times New Roman" w:cs="Times New Roman"/>
                <w:sz w:val="24"/>
                <w:szCs w:val="24"/>
              </w:rPr>
            </w:pPr>
            <w:r w:rsidRPr="00B5631F">
              <w:rPr>
                <w:rFonts w:ascii="Times New Roman" w:hAnsi="Times New Roman" w:cs="Times New Roman"/>
                <w:sz w:val="24"/>
                <w:szCs w:val="24"/>
              </w:rPr>
              <w:t>Community Solidarity</w:t>
            </w:r>
          </w:p>
        </w:tc>
        <w:tc>
          <w:tcPr>
            <w:tcW w:w="3969" w:type="dxa"/>
            <w:vAlign w:val="center"/>
          </w:tcPr>
          <w:p w14:paraId="5093329F" w14:textId="0B019DF2" w:rsidR="00B5631F" w:rsidRDefault="00B5631F" w:rsidP="00B5631F">
            <w:pPr>
              <w:spacing w:line="360" w:lineRule="auto"/>
              <w:rPr>
                <w:rFonts w:ascii="Times New Roman" w:hAnsi="Times New Roman" w:cs="Times New Roman"/>
              </w:rPr>
            </w:pPr>
            <w:r w:rsidRPr="00B5631F">
              <w:rPr>
                <w:rFonts w:ascii="Times New Roman" w:hAnsi="Times New Roman" w:cs="Times New Roman"/>
              </w:rPr>
              <w:t>Collective enterprises help women share risks, pool resources, and strengthen bargaining power.</w:t>
            </w:r>
          </w:p>
        </w:tc>
        <w:tc>
          <w:tcPr>
            <w:tcW w:w="2500" w:type="dxa"/>
            <w:vAlign w:val="center"/>
          </w:tcPr>
          <w:p w14:paraId="3A09E34A" w14:textId="1B23F915" w:rsidR="00B5631F" w:rsidRDefault="00B5631F" w:rsidP="00B5631F">
            <w:pPr>
              <w:spacing w:line="360" w:lineRule="auto"/>
              <w:rPr>
                <w:rFonts w:ascii="Times New Roman" w:hAnsi="Times New Roman" w:cs="Times New Roman"/>
              </w:rPr>
            </w:pPr>
            <w:r w:rsidRPr="00B5631F">
              <w:rPr>
                <w:rFonts w:ascii="Times New Roman" w:hAnsi="Times New Roman" w:cs="Times New Roman"/>
              </w:rPr>
              <w:t>Sanyal (2009)</w:t>
            </w:r>
          </w:p>
        </w:tc>
      </w:tr>
    </w:tbl>
    <w:p w14:paraId="61B2FEE0" w14:textId="77777777" w:rsidR="00B5631F" w:rsidRDefault="00B5631F" w:rsidP="0059395D">
      <w:pPr>
        <w:spacing w:line="360" w:lineRule="auto"/>
        <w:jc w:val="both"/>
        <w:rPr>
          <w:rFonts w:ascii="Times New Roman" w:hAnsi="Times New Roman" w:cs="Times New Roman"/>
        </w:rPr>
      </w:pPr>
    </w:p>
    <w:p w14:paraId="5EE21484" w14:textId="58061530" w:rsidR="00B5631F" w:rsidRPr="0059395D" w:rsidRDefault="00B5631F" w:rsidP="0059395D">
      <w:pPr>
        <w:spacing w:line="360" w:lineRule="auto"/>
        <w:jc w:val="both"/>
        <w:rPr>
          <w:rFonts w:ascii="Times New Roman" w:hAnsi="Times New Roman" w:cs="Times New Roman"/>
        </w:rPr>
      </w:pPr>
      <w:r w:rsidRPr="00B5631F">
        <w:rPr>
          <w:rFonts w:ascii="Times New Roman" w:hAnsi="Times New Roman" w:cs="Times New Roman"/>
        </w:rPr>
        <w:t xml:space="preserve">Table </w:t>
      </w:r>
      <w:r>
        <w:rPr>
          <w:rFonts w:ascii="Times New Roman" w:hAnsi="Times New Roman" w:cs="Times New Roman"/>
        </w:rPr>
        <w:t>2</w:t>
      </w:r>
      <w:r w:rsidRPr="00B5631F">
        <w:rPr>
          <w:rFonts w:ascii="Times New Roman" w:hAnsi="Times New Roman" w:cs="Times New Roman"/>
        </w:rPr>
        <w:t>: Emerging Opportunities Supporting Tribal Women’s Entrepreneurship</w:t>
      </w:r>
    </w:p>
    <w:p w14:paraId="4F912B39" w14:textId="77777777" w:rsidR="0059395D" w:rsidRPr="0059395D" w:rsidRDefault="0059395D" w:rsidP="0059395D">
      <w:pPr>
        <w:rPr>
          <w:b/>
          <w:bCs/>
        </w:rPr>
      </w:pPr>
      <w:r w:rsidRPr="0059395D">
        <w:rPr>
          <w:b/>
          <w:bCs/>
        </w:rPr>
        <w:t>4.4 Pathways of Transformation</w:t>
      </w:r>
    </w:p>
    <w:p w14:paraId="0F33F84F" w14:textId="77777777" w:rsid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The findings also point to significant transformative outcomes that extend beyond economic benefits. Household incomes increased by about 25% after women started their enterprises. Beyond financial gains, participation enhanced women’s voices in family and community decision-making, boosted confidence, and improved social recognition (Datta &amp; Gailey, 2012). The intergenerational impact is also noteworthy: additional income has enabled families to invest more in children’s education, particularly for girls (Biswal et al., 2023; Mishra et al., 2024). Similar patterns have been documented in broader studies on microfinance and empowerment, which show that women’s economic participation fosters both social and cultural change (Swain &amp; Wallentin, 2009).</w:t>
      </w:r>
    </w:p>
    <w:p w14:paraId="2C6293BF" w14:textId="3E770615" w:rsidR="00CD3F46" w:rsidRPr="006F413A" w:rsidRDefault="00CD3F46" w:rsidP="0059395D">
      <w:pPr>
        <w:spacing w:line="360" w:lineRule="auto"/>
        <w:jc w:val="both"/>
        <w:rPr>
          <w:rFonts w:ascii="Times New Roman" w:hAnsi="Times New Roman" w:cs="Times New Roman"/>
          <w:color w:val="EE0000"/>
        </w:rPr>
      </w:pPr>
      <w:r w:rsidRPr="006F413A">
        <w:rPr>
          <w:rFonts w:ascii="Times New Roman" w:hAnsi="Times New Roman" w:cs="Times New Roman"/>
          <w:color w:val="EE0000"/>
        </w:rPr>
        <w:t>From a broader theoretical perspective, these findings resonate with existing literature on gendered livelihoods and empowerment (Kabeer, 1999; Ellis, 2000). Social entrepreneurship operates as a livelihood diversification mechanism that not only enhances income but also expands women’s control over assets and decisions. This dual role—economic and social—illustrates the transformative potential of entrepreneurship in achieving gender-equitable development outcomes.</w:t>
      </w:r>
    </w:p>
    <w:p w14:paraId="57B02A33" w14:textId="3A6B69A2" w:rsidR="00824D43" w:rsidRPr="0059395D" w:rsidRDefault="00824D43" w:rsidP="0059395D">
      <w:pPr>
        <w:spacing w:line="360" w:lineRule="auto"/>
        <w:jc w:val="both"/>
        <w:rPr>
          <w:rFonts w:ascii="Times New Roman" w:hAnsi="Times New Roman" w:cs="Times New Roman"/>
        </w:rPr>
      </w:pPr>
      <w:r>
        <w:rPr>
          <w:rFonts w:ascii="Times New Roman" w:hAnsi="Times New Roman" w:cs="Times New Roman"/>
          <w:noProof/>
          <w:lang w:val="en-US"/>
        </w:rPr>
        <w:lastRenderedPageBreak/>
        <w:drawing>
          <wp:inline distT="0" distB="0" distL="0" distR="0" wp14:anchorId="45C03236" wp14:editId="4CC26B6A">
            <wp:extent cx="5731510" cy="3818890"/>
            <wp:effectExtent l="0" t="0" r="0" b="0"/>
            <wp:docPr id="9192476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247614" name="Picture 91924761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18890"/>
                    </a:xfrm>
                    <a:prstGeom prst="rect">
                      <a:avLst/>
                    </a:prstGeom>
                  </pic:spPr>
                </pic:pic>
              </a:graphicData>
            </a:graphic>
          </wp:inline>
        </w:drawing>
      </w:r>
    </w:p>
    <w:p w14:paraId="57C9B6EE" w14:textId="5CDA8000" w:rsidR="0059395D" w:rsidRDefault="00824D43" w:rsidP="00824D43">
      <w:pPr>
        <w:spacing w:line="360" w:lineRule="auto"/>
        <w:jc w:val="center"/>
        <w:rPr>
          <w:rFonts w:ascii="Times New Roman" w:hAnsi="Times New Roman" w:cs="Times New Roman"/>
        </w:rPr>
      </w:pPr>
      <w:r>
        <w:rPr>
          <w:rFonts w:ascii="Times New Roman" w:hAnsi="Times New Roman" w:cs="Times New Roman"/>
        </w:rPr>
        <w:t xml:space="preserve">Figure </w:t>
      </w:r>
      <w:r w:rsidR="00B5631F">
        <w:rPr>
          <w:rFonts w:ascii="Times New Roman" w:hAnsi="Times New Roman" w:cs="Times New Roman"/>
        </w:rPr>
        <w:t>4</w:t>
      </w:r>
      <w:r w:rsidRPr="00824D43">
        <w:rPr>
          <w:rFonts w:ascii="Times New Roman" w:hAnsi="Times New Roman" w:cs="Times New Roman"/>
        </w:rPr>
        <w:t>: Observed vs. Target vs. Perceived Impacts of Social Entrepreneurship</w:t>
      </w:r>
    </w:p>
    <w:p w14:paraId="083D1909" w14:textId="2778D433" w:rsidR="0045593C" w:rsidRDefault="0045593C" w:rsidP="0045593C">
      <w:pPr>
        <w:spacing w:line="360" w:lineRule="auto"/>
        <w:jc w:val="both"/>
        <w:rPr>
          <w:rFonts w:ascii="Times New Roman" w:hAnsi="Times New Roman" w:cs="Times New Roman"/>
          <w:color w:val="EE0000"/>
        </w:rPr>
      </w:pPr>
      <w:r w:rsidRPr="00344765">
        <w:rPr>
          <w:rFonts w:ascii="Times New Roman" w:hAnsi="Times New Roman" w:cs="Times New Roman"/>
          <w:color w:val="EE0000"/>
        </w:rPr>
        <w:t>The comparison in Figure 4 demonstrates a positive shift between observed and perceived livelihood outcomes, suggesting growing confidence and social recognition among women entrepreneurs.</w:t>
      </w:r>
    </w:p>
    <w:p w14:paraId="620D0659" w14:textId="77777777" w:rsidR="00E364B3" w:rsidRDefault="001E33B6" w:rsidP="0045593C">
      <w:pPr>
        <w:spacing w:line="360" w:lineRule="auto"/>
        <w:jc w:val="both"/>
        <w:rPr>
          <w:rFonts w:ascii="Times New Roman" w:hAnsi="Times New Roman" w:cs="Times New Roman"/>
          <w:color w:val="EE0000"/>
        </w:rPr>
      </w:pPr>
      <w:r w:rsidRPr="001E33B6">
        <w:rPr>
          <w:rFonts w:ascii="Times New Roman" w:hAnsi="Times New Roman" w:cs="Times New Roman"/>
          <w:color w:val="EE0000"/>
        </w:rPr>
        <w:t>While the findings align with similar studies on women’s entrepreneurship and empowerment in rural India (Datta &amp; Gailey, 2012; Roy &amp; Mohanty, 2020), they also highlight region-specific challenges such as limited infrastructure and market access unique to Gajapati’s geography.</w:t>
      </w:r>
    </w:p>
    <w:p w14:paraId="288290EC" w14:textId="403498E9" w:rsidR="001E33B6" w:rsidRPr="00344765" w:rsidRDefault="001E33B6" w:rsidP="0045593C">
      <w:pPr>
        <w:spacing w:line="360" w:lineRule="auto"/>
        <w:jc w:val="both"/>
        <w:rPr>
          <w:rFonts w:ascii="Times New Roman" w:hAnsi="Times New Roman" w:cs="Times New Roman"/>
          <w:color w:val="EE0000"/>
        </w:rPr>
      </w:pPr>
      <w:r w:rsidRPr="001E33B6">
        <w:rPr>
          <w:rFonts w:ascii="Times New Roman" w:hAnsi="Times New Roman" w:cs="Times New Roman"/>
          <w:color w:val="EE0000"/>
        </w:rPr>
        <w:br/>
      </w:r>
      <w:r w:rsidRPr="00E364B3">
        <w:rPr>
          <w:rFonts w:ascii="Times New Roman" w:hAnsi="Times New Roman" w:cs="Times New Roman"/>
          <w:color w:val="EE0000"/>
        </w:rPr>
        <w:t>Limitations:</w:t>
      </w:r>
      <w:r w:rsidRPr="001E33B6">
        <w:rPr>
          <w:rFonts w:ascii="Times New Roman" w:hAnsi="Times New Roman" w:cs="Times New Roman"/>
          <w:color w:val="EE0000"/>
        </w:rPr>
        <w:t xml:space="preserve"> The study is geographically limited to six blocks of </w:t>
      </w:r>
      <w:r>
        <w:rPr>
          <w:rFonts w:ascii="Times New Roman" w:hAnsi="Times New Roman" w:cs="Times New Roman"/>
          <w:color w:val="EE0000"/>
        </w:rPr>
        <w:t xml:space="preserve">the </w:t>
      </w:r>
      <w:r w:rsidRPr="001E33B6">
        <w:rPr>
          <w:rFonts w:ascii="Times New Roman" w:hAnsi="Times New Roman" w:cs="Times New Roman"/>
          <w:color w:val="EE0000"/>
        </w:rPr>
        <w:t xml:space="preserve">Gajapati district, which may restrict the generalizability of results to other tribal areas. Future research should incorporate comparative case studies across different regions to strengthen external validity and capture broader variations in social entrepreneurship </w:t>
      </w:r>
      <w:r w:rsidR="00663853" w:rsidRPr="001E33B6">
        <w:rPr>
          <w:rFonts w:ascii="Times New Roman" w:hAnsi="Times New Roman" w:cs="Times New Roman"/>
          <w:color w:val="EE0000"/>
        </w:rPr>
        <w:t>dynamics.</w:t>
      </w:r>
      <w:r w:rsidR="00663853">
        <w:rPr>
          <w:rFonts w:ascii="Times New Roman" w:hAnsi="Times New Roman" w:cs="Times New Roman"/>
          <w:color w:val="EE0000"/>
        </w:rPr>
        <w:t xml:space="preserve"> (</w:t>
      </w:r>
      <w:r w:rsidR="00663853" w:rsidRPr="00663853">
        <w:rPr>
          <w:rFonts w:ascii="Times New Roman" w:hAnsi="Times New Roman" w:cs="Times New Roman"/>
          <w:color w:val="EE0000"/>
        </w:rPr>
        <w:t>Mair, J., &amp; Martí, I.</w:t>
      </w:r>
      <w:r w:rsidR="00663853" w:rsidRPr="00663853">
        <w:rPr>
          <w:rFonts w:ascii="Times New Roman" w:hAnsi="Times New Roman" w:cs="Times New Roman"/>
          <w:color w:val="EE0000"/>
        </w:rPr>
        <w:t xml:space="preserve">, </w:t>
      </w:r>
      <w:r w:rsidR="00663853" w:rsidRPr="00663853">
        <w:rPr>
          <w:rFonts w:ascii="Times New Roman" w:hAnsi="Times New Roman" w:cs="Times New Roman"/>
          <w:color w:val="EE0000"/>
        </w:rPr>
        <w:t>2006</w:t>
      </w:r>
      <w:r w:rsidR="00663853" w:rsidRPr="00663853">
        <w:rPr>
          <w:rFonts w:ascii="Times New Roman" w:hAnsi="Times New Roman" w:cs="Times New Roman"/>
          <w:color w:val="EE0000"/>
        </w:rPr>
        <w:t>)</w:t>
      </w:r>
    </w:p>
    <w:p w14:paraId="707BA632" w14:textId="77777777" w:rsidR="0059395D" w:rsidRPr="0059395D" w:rsidRDefault="0059395D" w:rsidP="0059395D">
      <w:pPr>
        <w:rPr>
          <w:b/>
          <w:bCs/>
        </w:rPr>
      </w:pPr>
      <w:r w:rsidRPr="0059395D">
        <w:rPr>
          <w:b/>
          <w:bCs/>
        </w:rPr>
        <w:t>5. Conclusion</w:t>
      </w:r>
    </w:p>
    <w:p w14:paraId="52A3AEEB" w14:textId="7777777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The findings of this study underscore the critical role of social entrepreneurship as a driver of livelihood transformation among tribal women in Gajapati district. Although systemic barriers such as limited access to credit, weak market linkages, and entrenched gender norms continue to restrict growth, the resilience and determination of women entrepreneurs remain evident (</w:t>
      </w:r>
      <w:proofErr w:type="spellStart"/>
      <w:r w:rsidRPr="0059395D">
        <w:rPr>
          <w:rFonts w:ascii="Times New Roman" w:hAnsi="Times New Roman" w:cs="Times New Roman"/>
        </w:rPr>
        <w:t>Garikipati</w:t>
      </w:r>
      <w:proofErr w:type="spellEnd"/>
      <w:r w:rsidRPr="0059395D">
        <w:rPr>
          <w:rFonts w:ascii="Times New Roman" w:hAnsi="Times New Roman" w:cs="Times New Roman"/>
        </w:rPr>
        <w:t>, 2012). Their ability to adapt traditional skills and local resources into income-generating ventures demonstrates both creativity and perseverance in the face of adversity.</w:t>
      </w:r>
    </w:p>
    <w:p w14:paraId="6C7A56CB" w14:textId="7777777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lastRenderedPageBreak/>
        <w:t>At the same time, institutional support has played an important enabling role. Self-help groups (SHGs) have provided the initial platform for women to enter entrepreneurship, while state-led programmes like Mission Shakti and the Odisha Livelihood Mission have contributed training, financial assistance, and recognition (Dash, 2025; Acharya, 2018). These forms of support have not only enhanced women’s participation in economic activities but also created new pathways for empowerment and collective solidarity (Sanyal, 2009). The study suggests that building upon these foundations is essential for scaling up women-led enterprises and making them more sustainable.</w:t>
      </w:r>
    </w:p>
    <w:p w14:paraId="2C609964" w14:textId="7777777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To strengthen this process, several steps are recommended. First, expanding women’s access to affordable credit and financial literacy will help reduce dependency on moneylenders (Deininger &amp; Liu, 2013). Second, stronger market linkages—particularly through cooperatives and e-commerce platforms—can connect women’s products with wider consumer bases and enhance profitability (Naik &amp; Panda, 2023). Third, skill development programmes must be tailored to local resources and women’s specific needs (Mishra et al., 2024). Finally, gender-sensitive policies that directly address cultural barriers and domestic responsibilities are essential for creating an enabling environment (Mohanty &amp; Das, 2021).</w:t>
      </w:r>
    </w:p>
    <w:p w14:paraId="4C7FF0BD" w14:textId="186B40CF" w:rsid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The evidence from Gajapati contributes to wider discussions on women’s entrepreneurship in India by highlighting how even small-scale ventures, when supported by community networks and inclusive policies, can generate significant socio-economic change (Datta &amp; Gailey, 2012; Roy &amp; Mohanty, 2020). Beyond livelihood support, social entrepreneurship has the potential to reshape women’s roles within families and communities, strengthen agency, and promote intergenerational benefits such as improved education for children (Kabeer, 1999). By centring the voices and enterprises of tribal women, development strategies can move towards more inclusive and sustainable outcomes that go beyond poverty reduction to foster genuine empowerment and social transformation.</w:t>
      </w:r>
    </w:p>
    <w:p w14:paraId="65A1FCDE" w14:textId="126ECF48" w:rsidR="000516CC" w:rsidRDefault="000516CC" w:rsidP="0059395D">
      <w:pPr>
        <w:spacing w:line="360" w:lineRule="auto"/>
        <w:jc w:val="both"/>
        <w:rPr>
          <w:rFonts w:ascii="Times New Roman" w:hAnsi="Times New Roman" w:cs="Times New Roman"/>
        </w:rPr>
      </w:pPr>
    </w:p>
    <w:p w14:paraId="27E6CA56" w14:textId="77777777" w:rsidR="000516CC" w:rsidRPr="00270720" w:rsidRDefault="000516CC" w:rsidP="000516CC">
      <w:pPr>
        <w:rPr>
          <w:highlight w:val="yellow"/>
        </w:rPr>
      </w:pPr>
      <w:r w:rsidRPr="00270720">
        <w:rPr>
          <w:highlight w:val="yellow"/>
        </w:rPr>
        <w:t>Disclaimer (Artificial intelligence)</w:t>
      </w:r>
    </w:p>
    <w:p w14:paraId="5BED0B99" w14:textId="77777777" w:rsidR="000516CC" w:rsidRPr="00270720" w:rsidRDefault="000516CC" w:rsidP="000516CC">
      <w:pPr>
        <w:rPr>
          <w:highlight w:val="yellow"/>
        </w:rPr>
      </w:pPr>
    </w:p>
    <w:p w14:paraId="2FE2DBED" w14:textId="77777777" w:rsidR="000516CC" w:rsidRPr="00270720" w:rsidRDefault="000516CC" w:rsidP="000516CC">
      <w:pPr>
        <w:rPr>
          <w:highlight w:val="yellow"/>
        </w:rPr>
      </w:pPr>
      <w:r w:rsidRPr="00270720">
        <w:rPr>
          <w:highlight w:val="yellow"/>
        </w:rPr>
        <w:t xml:space="preserve">Option 1: </w:t>
      </w:r>
    </w:p>
    <w:p w14:paraId="2D1BE9CB" w14:textId="77777777" w:rsidR="000516CC" w:rsidRPr="00270720" w:rsidRDefault="000516CC" w:rsidP="000516CC">
      <w:pPr>
        <w:rPr>
          <w:highlight w:val="yellow"/>
        </w:rPr>
      </w:pPr>
    </w:p>
    <w:p w14:paraId="22E4CA4B" w14:textId="77777777" w:rsidR="000516CC" w:rsidRPr="00270720" w:rsidRDefault="000516CC" w:rsidP="000516CC">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NO generative AI technologies such as Large Language Models (ChatGPT, COPILOT, etc.) and text-to-image generators have been used during the writing or editing of this manuscript. </w:t>
      </w:r>
    </w:p>
    <w:p w14:paraId="3E3165E7" w14:textId="77777777" w:rsidR="000516CC" w:rsidRPr="00270720" w:rsidRDefault="000516CC" w:rsidP="000516CC">
      <w:pPr>
        <w:rPr>
          <w:highlight w:val="yellow"/>
        </w:rPr>
      </w:pPr>
    </w:p>
    <w:p w14:paraId="4012AF95" w14:textId="77777777" w:rsidR="000516CC" w:rsidRDefault="000516CC" w:rsidP="0059395D">
      <w:pPr>
        <w:spacing w:line="360" w:lineRule="auto"/>
        <w:jc w:val="both"/>
        <w:rPr>
          <w:rFonts w:ascii="Times New Roman" w:hAnsi="Times New Roman" w:cs="Times New Roman"/>
        </w:rPr>
      </w:pPr>
    </w:p>
    <w:p w14:paraId="18C9C46C" w14:textId="77777777" w:rsidR="0059395D" w:rsidRPr="0059395D" w:rsidRDefault="0059395D" w:rsidP="0059395D">
      <w:pPr>
        <w:spacing w:line="360" w:lineRule="auto"/>
        <w:jc w:val="both"/>
        <w:rPr>
          <w:rFonts w:ascii="Times New Roman" w:hAnsi="Times New Roman" w:cs="Times New Roman"/>
          <w:b/>
          <w:bCs/>
        </w:rPr>
      </w:pPr>
      <w:r w:rsidRPr="0059395D">
        <w:rPr>
          <w:rFonts w:ascii="Times New Roman" w:hAnsi="Times New Roman" w:cs="Times New Roman"/>
          <w:b/>
          <w:bCs/>
        </w:rPr>
        <w:t>References</w:t>
      </w:r>
    </w:p>
    <w:p w14:paraId="0F8126F9" w14:textId="7777777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lastRenderedPageBreak/>
        <w:t xml:space="preserve">Acharya, S. (2018). Empowering tribal women through entrepreneurship: A study of self-help groups in Gajapati district of Odisha. </w:t>
      </w:r>
      <w:r w:rsidRPr="0059395D">
        <w:rPr>
          <w:rFonts w:ascii="Times New Roman" w:hAnsi="Times New Roman" w:cs="Times New Roman"/>
          <w:i/>
          <w:iCs/>
        </w:rPr>
        <w:t>Indian Research Journal of Extension Education, 18</w:t>
      </w:r>
      <w:r w:rsidRPr="0059395D">
        <w:rPr>
          <w:rFonts w:ascii="Times New Roman" w:hAnsi="Times New Roman" w:cs="Times New Roman"/>
        </w:rPr>
        <w:t>(2), 26–30.</w:t>
      </w:r>
    </w:p>
    <w:p w14:paraId="68C0D9B9" w14:textId="4FD5A854"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Biswal, S. N., Mishra, S. K., &amp; Sarangi, M. (2023). Does women’s empowerment influence multidimensional poverty? Empirical insight from rural Odisha of India. </w:t>
      </w:r>
      <w:proofErr w:type="spellStart"/>
      <w:r w:rsidRPr="0059395D">
        <w:rPr>
          <w:rFonts w:ascii="Times New Roman" w:hAnsi="Times New Roman" w:cs="Times New Roman"/>
          <w:i/>
          <w:iCs/>
        </w:rPr>
        <w:t>Pertanika</w:t>
      </w:r>
      <w:proofErr w:type="spellEnd"/>
      <w:r w:rsidRPr="0059395D">
        <w:rPr>
          <w:rFonts w:ascii="Times New Roman" w:hAnsi="Times New Roman" w:cs="Times New Roman"/>
          <w:i/>
          <w:iCs/>
        </w:rPr>
        <w:t xml:space="preserve"> Journal of Social Sciences &amp; Humanities, 31</w:t>
      </w:r>
      <w:r w:rsidRPr="0059395D">
        <w:rPr>
          <w:rFonts w:ascii="Times New Roman" w:hAnsi="Times New Roman" w:cs="Times New Roman"/>
        </w:rPr>
        <w:t>(2), 821–839.</w:t>
      </w:r>
      <w:r>
        <w:rPr>
          <w:rFonts w:ascii="Times New Roman" w:hAnsi="Times New Roman" w:cs="Times New Roman"/>
        </w:rPr>
        <w:t xml:space="preserve"> </w:t>
      </w:r>
    </w:p>
    <w:p w14:paraId="496D820C" w14:textId="0E041CC5"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Datta, P. B., &amp; Gailey, R. (2012). Empowering women through social entrepreneurship: Case study of a women’s cooperative in India. </w:t>
      </w:r>
      <w:r w:rsidRPr="0059395D">
        <w:rPr>
          <w:rFonts w:ascii="Times New Roman" w:hAnsi="Times New Roman" w:cs="Times New Roman"/>
          <w:i/>
          <w:iCs/>
        </w:rPr>
        <w:t>Entrepreneurship Theory and Practice, 36</w:t>
      </w:r>
      <w:r w:rsidRPr="0059395D">
        <w:rPr>
          <w:rFonts w:ascii="Times New Roman" w:hAnsi="Times New Roman" w:cs="Times New Roman"/>
        </w:rPr>
        <w:t xml:space="preserve">(3), 569–587. </w:t>
      </w:r>
      <w:hyperlink r:id="rId11" w:history="1">
        <w:r w:rsidRPr="0059395D">
          <w:rPr>
            <w:rStyle w:val="Hyperlink"/>
            <w:rFonts w:ascii="Times New Roman" w:hAnsi="Times New Roman" w:cs="Times New Roman"/>
          </w:rPr>
          <w:t>https://doi.org/10.1111/j.1540-6520.2010.00430.x</w:t>
        </w:r>
      </w:hyperlink>
      <w:r>
        <w:rPr>
          <w:rFonts w:ascii="Times New Roman" w:hAnsi="Times New Roman" w:cs="Times New Roman"/>
        </w:rPr>
        <w:t xml:space="preserve"> </w:t>
      </w:r>
    </w:p>
    <w:p w14:paraId="0922D929" w14:textId="40F40DEC"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Dash, K. C. (2025). Impact of Mission Shakti in Odisha, India. </w:t>
      </w:r>
      <w:r w:rsidRPr="0059395D">
        <w:rPr>
          <w:rFonts w:ascii="Times New Roman" w:hAnsi="Times New Roman" w:cs="Times New Roman"/>
          <w:i/>
          <w:iCs/>
        </w:rPr>
        <w:t>Journal of Developing Societies, 41</w:t>
      </w:r>
      <w:r w:rsidRPr="0059395D">
        <w:rPr>
          <w:rFonts w:ascii="Times New Roman" w:hAnsi="Times New Roman" w:cs="Times New Roman"/>
        </w:rPr>
        <w:t xml:space="preserve">(2), 155–173. </w:t>
      </w:r>
      <w:hyperlink r:id="rId12" w:history="1">
        <w:r w:rsidRPr="0059395D">
          <w:rPr>
            <w:rStyle w:val="Hyperlink"/>
            <w:rFonts w:ascii="Times New Roman" w:hAnsi="Times New Roman" w:cs="Times New Roman"/>
          </w:rPr>
          <w:t>https://doi.org/10.1177/0169796X241234567</w:t>
        </w:r>
      </w:hyperlink>
      <w:r>
        <w:rPr>
          <w:rFonts w:ascii="Times New Roman" w:hAnsi="Times New Roman" w:cs="Times New Roman"/>
        </w:rPr>
        <w:t xml:space="preserve"> </w:t>
      </w:r>
    </w:p>
    <w:p w14:paraId="18F1A25C" w14:textId="1789A27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Deininger, K., &amp; Liu, Y. (2013). Economic and social impacts of an innovative self-help group model in India. </w:t>
      </w:r>
      <w:r w:rsidRPr="0059395D">
        <w:rPr>
          <w:rFonts w:ascii="Times New Roman" w:hAnsi="Times New Roman" w:cs="Times New Roman"/>
          <w:i/>
          <w:iCs/>
        </w:rPr>
        <w:t>World Development, 43</w:t>
      </w:r>
      <w:r w:rsidRPr="0059395D">
        <w:rPr>
          <w:rFonts w:ascii="Times New Roman" w:hAnsi="Times New Roman" w:cs="Times New Roman"/>
        </w:rPr>
        <w:t xml:space="preserve">, 149–163. </w:t>
      </w:r>
      <w:hyperlink r:id="rId13" w:history="1">
        <w:r w:rsidRPr="0059395D">
          <w:rPr>
            <w:rStyle w:val="Hyperlink"/>
            <w:rFonts w:ascii="Times New Roman" w:hAnsi="Times New Roman" w:cs="Times New Roman"/>
          </w:rPr>
          <w:t>https://doi.org/10.1016/j.worlddev.2012.09.019</w:t>
        </w:r>
      </w:hyperlink>
      <w:r>
        <w:rPr>
          <w:rFonts w:ascii="Times New Roman" w:hAnsi="Times New Roman" w:cs="Times New Roman"/>
        </w:rPr>
        <w:t xml:space="preserve"> </w:t>
      </w:r>
    </w:p>
    <w:p w14:paraId="08EE5A33" w14:textId="1EE6416C"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Devi, S. K., &amp; Dhal, N. (2020). Socio-economic initiative of the government and its efficacy on tribal women. </w:t>
      </w:r>
      <w:r w:rsidRPr="0059395D">
        <w:rPr>
          <w:rFonts w:ascii="Times New Roman" w:hAnsi="Times New Roman" w:cs="Times New Roman"/>
          <w:i/>
          <w:iCs/>
        </w:rPr>
        <w:t>International Journal of Recent Technology and Engineering, 8</w:t>
      </w:r>
      <w:r w:rsidRPr="0059395D">
        <w:rPr>
          <w:rFonts w:ascii="Times New Roman" w:hAnsi="Times New Roman" w:cs="Times New Roman"/>
        </w:rPr>
        <w:t>(5), 1441–1446.</w:t>
      </w:r>
      <w:r>
        <w:rPr>
          <w:rFonts w:ascii="Times New Roman" w:hAnsi="Times New Roman" w:cs="Times New Roman"/>
        </w:rPr>
        <w:t xml:space="preserve"> </w:t>
      </w:r>
    </w:p>
    <w:p w14:paraId="3B070189" w14:textId="707B713A" w:rsidR="0059395D" w:rsidRPr="0059395D" w:rsidRDefault="0059395D" w:rsidP="0059395D">
      <w:pPr>
        <w:spacing w:line="360" w:lineRule="auto"/>
        <w:jc w:val="both"/>
        <w:rPr>
          <w:rFonts w:ascii="Times New Roman" w:hAnsi="Times New Roman" w:cs="Times New Roman"/>
        </w:rPr>
      </w:pPr>
      <w:proofErr w:type="spellStart"/>
      <w:r w:rsidRPr="0059395D">
        <w:rPr>
          <w:rFonts w:ascii="Times New Roman" w:hAnsi="Times New Roman" w:cs="Times New Roman"/>
        </w:rPr>
        <w:t>Garikipati</w:t>
      </w:r>
      <w:proofErr w:type="spellEnd"/>
      <w:r w:rsidRPr="0059395D">
        <w:rPr>
          <w:rFonts w:ascii="Times New Roman" w:hAnsi="Times New Roman" w:cs="Times New Roman"/>
        </w:rPr>
        <w:t xml:space="preserve">, S. (2008). The impact of lending to women on household vulnerability and women’s empowerment: Evidence from India. </w:t>
      </w:r>
      <w:r w:rsidRPr="0059395D">
        <w:rPr>
          <w:rFonts w:ascii="Times New Roman" w:hAnsi="Times New Roman" w:cs="Times New Roman"/>
          <w:i/>
          <w:iCs/>
        </w:rPr>
        <w:t>World Development, 36</w:t>
      </w:r>
      <w:r w:rsidRPr="0059395D">
        <w:rPr>
          <w:rFonts w:ascii="Times New Roman" w:hAnsi="Times New Roman" w:cs="Times New Roman"/>
        </w:rPr>
        <w:t xml:space="preserve">(12), 2620–2642. </w:t>
      </w:r>
      <w:hyperlink r:id="rId14" w:history="1">
        <w:r w:rsidRPr="0059395D">
          <w:rPr>
            <w:rStyle w:val="Hyperlink"/>
            <w:rFonts w:ascii="Times New Roman" w:hAnsi="Times New Roman" w:cs="Times New Roman"/>
          </w:rPr>
          <w:t>https://doi.org/10.1016/j.worlddev.2007.11.008</w:t>
        </w:r>
      </w:hyperlink>
      <w:r>
        <w:rPr>
          <w:rFonts w:ascii="Times New Roman" w:hAnsi="Times New Roman" w:cs="Times New Roman"/>
        </w:rPr>
        <w:t xml:space="preserve"> </w:t>
      </w:r>
    </w:p>
    <w:p w14:paraId="16D2C8A7" w14:textId="1085C08D" w:rsidR="0059395D" w:rsidRPr="0059395D" w:rsidRDefault="0059395D" w:rsidP="0059395D">
      <w:pPr>
        <w:spacing w:line="360" w:lineRule="auto"/>
        <w:jc w:val="both"/>
        <w:rPr>
          <w:rFonts w:ascii="Times New Roman" w:hAnsi="Times New Roman" w:cs="Times New Roman"/>
        </w:rPr>
      </w:pPr>
      <w:proofErr w:type="spellStart"/>
      <w:r w:rsidRPr="0059395D">
        <w:rPr>
          <w:rFonts w:ascii="Times New Roman" w:hAnsi="Times New Roman" w:cs="Times New Roman"/>
        </w:rPr>
        <w:t>Garikipati</w:t>
      </w:r>
      <w:proofErr w:type="spellEnd"/>
      <w:r w:rsidRPr="0059395D">
        <w:rPr>
          <w:rFonts w:ascii="Times New Roman" w:hAnsi="Times New Roman" w:cs="Times New Roman"/>
        </w:rPr>
        <w:t xml:space="preserve">, S. (2012). Microcredit and women’s empowerment: Through the lens of time-use data from rural India. </w:t>
      </w:r>
      <w:r w:rsidRPr="0059395D">
        <w:rPr>
          <w:rFonts w:ascii="Times New Roman" w:hAnsi="Times New Roman" w:cs="Times New Roman"/>
          <w:i/>
          <w:iCs/>
        </w:rPr>
        <w:t>Development and Change, 43</w:t>
      </w:r>
      <w:r w:rsidRPr="0059395D">
        <w:rPr>
          <w:rFonts w:ascii="Times New Roman" w:hAnsi="Times New Roman" w:cs="Times New Roman"/>
        </w:rPr>
        <w:t xml:space="preserve">(3), 719–750. </w:t>
      </w:r>
      <w:hyperlink r:id="rId15" w:history="1">
        <w:r w:rsidRPr="0059395D">
          <w:rPr>
            <w:rStyle w:val="Hyperlink"/>
            <w:rFonts w:ascii="Times New Roman" w:hAnsi="Times New Roman" w:cs="Times New Roman"/>
          </w:rPr>
          <w:t>https://doi.org/10.1111/j.1467-7660.2012.01780.x</w:t>
        </w:r>
      </w:hyperlink>
      <w:r>
        <w:rPr>
          <w:rFonts w:ascii="Times New Roman" w:hAnsi="Times New Roman" w:cs="Times New Roman"/>
        </w:rPr>
        <w:t xml:space="preserve"> </w:t>
      </w:r>
    </w:p>
    <w:p w14:paraId="2F686704" w14:textId="17360321"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Kabeer, N. (1999). Resources, agency, achievements: Reflections on the measurement of women’s empowerment. </w:t>
      </w:r>
      <w:r w:rsidRPr="0059395D">
        <w:rPr>
          <w:rFonts w:ascii="Times New Roman" w:hAnsi="Times New Roman" w:cs="Times New Roman"/>
          <w:i/>
          <w:iCs/>
        </w:rPr>
        <w:t>Development and Change, 30</w:t>
      </w:r>
      <w:r w:rsidRPr="0059395D">
        <w:rPr>
          <w:rFonts w:ascii="Times New Roman" w:hAnsi="Times New Roman" w:cs="Times New Roman"/>
        </w:rPr>
        <w:t xml:space="preserve">(3), 435–464. </w:t>
      </w:r>
      <w:hyperlink r:id="rId16" w:history="1">
        <w:r w:rsidRPr="0059395D">
          <w:rPr>
            <w:rStyle w:val="Hyperlink"/>
            <w:rFonts w:ascii="Times New Roman" w:hAnsi="Times New Roman" w:cs="Times New Roman"/>
          </w:rPr>
          <w:t>https://doi.org/10.1111/1467-7660.00125</w:t>
        </w:r>
      </w:hyperlink>
      <w:r>
        <w:rPr>
          <w:rFonts w:ascii="Times New Roman" w:hAnsi="Times New Roman" w:cs="Times New Roman"/>
        </w:rPr>
        <w:t xml:space="preserve"> </w:t>
      </w:r>
    </w:p>
    <w:p w14:paraId="5344CEB5" w14:textId="74A8CE8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Mishra, B. (2018). Social exclusion and household poverty among the vulnerable tribal groups in Odisha. </w:t>
      </w:r>
      <w:r w:rsidRPr="0059395D">
        <w:rPr>
          <w:rFonts w:ascii="Times New Roman" w:hAnsi="Times New Roman" w:cs="Times New Roman"/>
          <w:i/>
          <w:iCs/>
        </w:rPr>
        <w:t>IASSI-Quarterly, 37</w:t>
      </w:r>
      <w:r w:rsidRPr="0059395D">
        <w:rPr>
          <w:rFonts w:ascii="Times New Roman" w:hAnsi="Times New Roman" w:cs="Times New Roman"/>
        </w:rPr>
        <w:t>(1), 90–107.</w:t>
      </w:r>
    </w:p>
    <w:p w14:paraId="11BACFD2" w14:textId="7F675A5F"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Mishra, S. P., Mishra, D. P., &amp; Mohapatra, S. (2024). Women empowerment gaining right trajectory: A perspective from MSME, Odisha, India. </w:t>
      </w:r>
      <w:r w:rsidRPr="0059395D">
        <w:rPr>
          <w:rFonts w:ascii="Times New Roman" w:hAnsi="Times New Roman" w:cs="Times New Roman"/>
          <w:i/>
          <w:iCs/>
        </w:rPr>
        <w:t>Journal of Economics, Management and Trade, 30</w:t>
      </w:r>
      <w:r w:rsidRPr="0059395D">
        <w:rPr>
          <w:rFonts w:ascii="Times New Roman" w:hAnsi="Times New Roman" w:cs="Times New Roman"/>
        </w:rPr>
        <w:t xml:space="preserve">(3), 10–29. </w:t>
      </w:r>
      <w:hyperlink r:id="rId17" w:history="1">
        <w:r w:rsidRPr="0059395D">
          <w:rPr>
            <w:rStyle w:val="Hyperlink"/>
            <w:rFonts w:ascii="Times New Roman" w:hAnsi="Times New Roman" w:cs="Times New Roman"/>
          </w:rPr>
          <w:t>https://doi.org/10.9734/jemt/2024/v30i31111</w:t>
        </w:r>
      </w:hyperlink>
      <w:r>
        <w:rPr>
          <w:rFonts w:ascii="Times New Roman" w:hAnsi="Times New Roman" w:cs="Times New Roman"/>
        </w:rPr>
        <w:t xml:space="preserve"> </w:t>
      </w:r>
    </w:p>
    <w:p w14:paraId="46C36B81" w14:textId="7777777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Mohanty, B., &amp; Das, S. (2021). Regional disparity and women in local government: Implications for sustainable development. In </w:t>
      </w:r>
      <w:r w:rsidRPr="0059395D">
        <w:rPr>
          <w:rFonts w:ascii="Times New Roman" w:hAnsi="Times New Roman" w:cs="Times New Roman"/>
          <w:i/>
          <w:iCs/>
        </w:rPr>
        <w:t>Women reinventing development: The Odisha experience</w:t>
      </w:r>
      <w:r w:rsidRPr="0059395D">
        <w:rPr>
          <w:rFonts w:ascii="Times New Roman" w:hAnsi="Times New Roman" w:cs="Times New Roman"/>
        </w:rPr>
        <w:t xml:space="preserve"> (pp. 41–210). Routledge.</w:t>
      </w:r>
    </w:p>
    <w:p w14:paraId="520000E4" w14:textId="77777777"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Naik, B., &amp; Panda, S. (2023). Empowerment of tribal communities through innovation and entrepreneurship: A path to sustainable progress. </w:t>
      </w:r>
      <w:r w:rsidRPr="0059395D">
        <w:rPr>
          <w:rFonts w:ascii="Times New Roman" w:hAnsi="Times New Roman" w:cs="Times New Roman"/>
          <w:i/>
          <w:iCs/>
        </w:rPr>
        <w:t>International Journal of Research and Review, 10</w:t>
      </w:r>
      <w:r w:rsidRPr="0059395D">
        <w:rPr>
          <w:rFonts w:ascii="Times New Roman" w:hAnsi="Times New Roman" w:cs="Times New Roman"/>
        </w:rPr>
        <w:t>(11), 334–343.</w:t>
      </w:r>
    </w:p>
    <w:p w14:paraId="652EFA2D" w14:textId="7744B339"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lastRenderedPageBreak/>
        <w:t xml:space="preserve">Naveen, S. (2023). Tribal women empowerment through entrepreneurship: Evidence from Mayurbhanj District, Odisha. </w:t>
      </w:r>
      <w:r w:rsidRPr="0059395D">
        <w:rPr>
          <w:rFonts w:ascii="Times New Roman" w:hAnsi="Times New Roman" w:cs="Times New Roman"/>
          <w:i/>
          <w:iCs/>
        </w:rPr>
        <w:t>Frontiers in Sociology, 8</w:t>
      </w:r>
      <w:r w:rsidRPr="0059395D">
        <w:rPr>
          <w:rFonts w:ascii="Times New Roman" w:hAnsi="Times New Roman" w:cs="Times New Roman"/>
        </w:rPr>
        <w:t xml:space="preserve">, 1158770. </w:t>
      </w:r>
      <w:hyperlink r:id="rId18" w:history="1">
        <w:r w:rsidRPr="0059395D">
          <w:rPr>
            <w:rStyle w:val="Hyperlink"/>
            <w:rFonts w:ascii="Times New Roman" w:hAnsi="Times New Roman" w:cs="Times New Roman"/>
          </w:rPr>
          <w:t>https://doi.org/10.3389/fsoc.2023.1158770</w:t>
        </w:r>
      </w:hyperlink>
      <w:r>
        <w:rPr>
          <w:rFonts w:ascii="Times New Roman" w:hAnsi="Times New Roman" w:cs="Times New Roman"/>
        </w:rPr>
        <w:t xml:space="preserve"> </w:t>
      </w:r>
    </w:p>
    <w:p w14:paraId="564077E6" w14:textId="77777777" w:rsidR="0059395D" w:rsidRPr="0059395D" w:rsidRDefault="0059395D" w:rsidP="0059395D">
      <w:pPr>
        <w:spacing w:line="360" w:lineRule="auto"/>
        <w:jc w:val="both"/>
        <w:rPr>
          <w:rFonts w:ascii="Times New Roman" w:hAnsi="Times New Roman" w:cs="Times New Roman"/>
        </w:rPr>
      </w:pPr>
      <w:proofErr w:type="spellStart"/>
      <w:r w:rsidRPr="0059395D">
        <w:rPr>
          <w:rFonts w:ascii="Times New Roman" w:hAnsi="Times New Roman" w:cs="Times New Roman"/>
        </w:rPr>
        <w:t>Padhee</w:t>
      </w:r>
      <w:proofErr w:type="spellEnd"/>
      <w:r w:rsidRPr="0059395D">
        <w:rPr>
          <w:rFonts w:ascii="Times New Roman" w:hAnsi="Times New Roman" w:cs="Times New Roman"/>
        </w:rPr>
        <w:t>, U. (2010). Implementation of the livelihood policies in extremist-affected areas: A case study of the Orissa Tribal Empowerment and Livelihood Programme in the Left-Wing Extremism (</w:t>
      </w:r>
      <w:proofErr w:type="spellStart"/>
      <w:r w:rsidRPr="0059395D">
        <w:rPr>
          <w:rFonts w:ascii="Times New Roman" w:hAnsi="Times New Roman" w:cs="Times New Roman"/>
        </w:rPr>
        <w:t>Naxalism</w:t>
      </w:r>
      <w:proofErr w:type="spellEnd"/>
      <w:r w:rsidRPr="0059395D">
        <w:rPr>
          <w:rFonts w:ascii="Times New Roman" w:hAnsi="Times New Roman" w:cs="Times New Roman"/>
        </w:rPr>
        <w:t>) affected districts of Orissa state, India (Doctoral dissertation, University of Birmingham). https://etheses.bham.ac.uk/id/eprint/1234/</w:t>
      </w:r>
    </w:p>
    <w:p w14:paraId="02448D72" w14:textId="662818EA"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Patel, A., &amp; Giri, J. (2019). Climate change, migration and women: Analysing construction workers in Odisha. </w:t>
      </w:r>
      <w:r w:rsidRPr="0059395D">
        <w:rPr>
          <w:rFonts w:ascii="Times New Roman" w:hAnsi="Times New Roman" w:cs="Times New Roman"/>
          <w:i/>
          <w:iCs/>
        </w:rPr>
        <w:t>Social Change, 49</w:t>
      </w:r>
      <w:r w:rsidRPr="0059395D">
        <w:rPr>
          <w:rFonts w:ascii="Times New Roman" w:hAnsi="Times New Roman" w:cs="Times New Roman"/>
        </w:rPr>
        <w:t xml:space="preserve">(1), 97–113. </w:t>
      </w:r>
      <w:hyperlink r:id="rId19" w:history="1">
        <w:r w:rsidRPr="0059395D">
          <w:rPr>
            <w:rStyle w:val="Hyperlink"/>
            <w:rFonts w:ascii="Times New Roman" w:hAnsi="Times New Roman" w:cs="Times New Roman"/>
          </w:rPr>
          <w:t>https://doi.org/10.1177/0049085718821731</w:t>
        </w:r>
      </w:hyperlink>
      <w:r>
        <w:rPr>
          <w:rFonts w:ascii="Times New Roman" w:hAnsi="Times New Roman" w:cs="Times New Roman"/>
        </w:rPr>
        <w:t xml:space="preserve"> </w:t>
      </w:r>
    </w:p>
    <w:p w14:paraId="1AF30E8E" w14:textId="49277CF4"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Patnaik, C. P. (2016). Self-help group, micro entrepreneurship &amp; women empowerment in Gajapati district of Odisha. </w:t>
      </w:r>
      <w:r w:rsidRPr="0059395D">
        <w:rPr>
          <w:rFonts w:ascii="Times New Roman" w:hAnsi="Times New Roman" w:cs="Times New Roman"/>
          <w:i/>
          <w:iCs/>
        </w:rPr>
        <w:t>International Journal of Innovative Research &amp; Practices, 4</w:t>
      </w:r>
      <w:r w:rsidRPr="0059395D">
        <w:rPr>
          <w:rFonts w:ascii="Times New Roman" w:hAnsi="Times New Roman" w:cs="Times New Roman"/>
        </w:rPr>
        <w:t>(2), 55–61.</w:t>
      </w:r>
      <w:r>
        <w:rPr>
          <w:rFonts w:ascii="Times New Roman" w:hAnsi="Times New Roman" w:cs="Times New Roman"/>
        </w:rPr>
        <w:t xml:space="preserve">  </w:t>
      </w:r>
    </w:p>
    <w:p w14:paraId="798223A5" w14:textId="2716A2DB"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Pattanaik, K., Mohapatra, S. S., Jasmine, J., &amp; Das, S. (2025). Gender-integrated sustainable livelihoods for rural India. In </w:t>
      </w:r>
      <w:r w:rsidRPr="0059395D">
        <w:rPr>
          <w:rFonts w:ascii="Times New Roman" w:hAnsi="Times New Roman" w:cs="Times New Roman"/>
          <w:i/>
          <w:iCs/>
        </w:rPr>
        <w:t>Women empowerment in agriculture: A pathway towards sustainable development</w:t>
      </w:r>
      <w:r w:rsidRPr="0059395D">
        <w:rPr>
          <w:rFonts w:ascii="Times New Roman" w:hAnsi="Times New Roman" w:cs="Times New Roman"/>
        </w:rPr>
        <w:t xml:space="preserve"> (pp. 314–328). Springer. </w:t>
      </w:r>
      <w:hyperlink r:id="rId20" w:history="1">
        <w:r w:rsidRPr="0059395D">
          <w:rPr>
            <w:rStyle w:val="Hyperlink"/>
            <w:rFonts w:ascii="Times New Roman" w:hAnsi="Times New Roman" w:cs="Times New Roman"/>
          </w:rPr>
          <w:t>https://doi.org/10.1007/978-981-19-5678-9_20</w:t>
        </w:r>
      </w:hyperlink>
      <w:r>
        <w:rPr>
          <w:rFonts w:ascii="Times New Roman" w:hAnsi="Times New Roman" w:cs="Times New Roman"/>
        </w:rPr>
        <w:t xml:space="preserve"> </w:t>
      </w:r>
    </w:p>
    <w:p w14:paraId="109E5B6B" w14:textId="7A4DEBBC"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Pradhan, S. K., &amp; Patnaik, J. (n.d.). Entrepreneurial empowerment of tribal women through self-help groups in </w:t>
      </w:r>
      <w:r w:rsidR="004203C6">
        <w:rPr>
          <w:rFonts w:ascii="Times New Roman" w:hAnsi="Times New Roman" w:cs="Times New Roman"/>
        </w:rPr>
        <w:t xml:space="preserve">the </w:t>
      </w:r>
      <w:r w:rsidRPr="0059395D">
        <w:rPr>
          <w:rFonts w:ascii="Times New Roman" w:hAnsi="Times New Roman" w:cs="Times New Roman"/>
        </w:rPr>
        <w:t xml:space="preserve">Gajapati district of Odisha. </w:t>
      </w:r>
      <w:r w:rsidRPr="0059395D">
        <w:rPr>
          <w:rFonts w:ascii="Times New Roman" w:hAnsi="Times New Roman" w:cs="Times New Roman"/>
          <w:i/>
          <w:iCs/>
        </w:rPr>
        <w:t>Unpublished manuscript.</w:t>
      </w:r>
    </w:p>
    <w:p w14:paraId="2625CFB2" w14:textId="0F0452D1"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Roy, S., &amp; Mohanty, R. P. (2020). Microfinance models in improving ‘quality of life’: Empirical analysis on Indian perspective. </w:t>
      </w:r>
      <w:r w:rsidRPr="0059395D">
        <w:rPr>
          <w:rFonts w:ascii="Times New Roman" w:hAnsi="Times New Roman" w:cs="Times New Roman"/>
          <w:i/>
          <w:iCs/>
        </w:rPr>
        <w:t>International Journal of Business Innovation and Research, 21</w:t>
      </w:r>
      <w:r w:rsidRPr="0059395D">
        <w:rPr>
          <w:rFonts w:ascii="Times New Roman" w:hAnsi="Times New Roman" w:cs="Times New Roman"/>
        </w:rPr>
        <w:t xml:space="preserve">(1), 23–55. </w:t>
      </w:r>
      <w:hyperlink r:id="rId21" w:history="1">
        <w:r w:rsidRPr="0059395D">
          <w:rPr>
            <w:rStyle w:val="Hyperlink"/>
            <w:rFonts w:ascii="Times New Roman" w:hAnsi="Times New Roman" w:cs="Times New Roman"/>
          </w:rPr>
          <w:t>https://doi.org/10.1504/IJBIR.2020.103456</w:t>
        </w:r>
      </w:hyperlink>
      <w:r>
        <w:rPr>
          <w:rFonts w:ascii="Times New Roman" w:hAnsi="Times New Roman" w:cs="Times New Roman"/>
        </w:rPr>
        <w:t xml:space="preserve"> </w:t>
      </w:r>
    </w:p>
    <w:p w14:paraId="139D9F82" w14:textId="6390A696" w:rsidR="0059395D" w:rsidRPr="0059395D" w:rsidRDefault="0059395D" w:rsidP="0059395D">
      <w:pPr>
        <w:spacing w:line="360" w:lineRule="auto"/>
        <w:jc w:val="both"/>
        <w:rPr>
          <w:rFonts w:ascii="Times New Roman" w:hAnsi="Times New Roman" w:cs="Times New Roman"/>
        </w:rPr>
      </w:pPr>
      <w:r w:rsidRPr="0059395D">
        <w:rPr>
          <w:rFonts w:ascii="Times New Roman" w:hAnsi="Times New Roman" w:cs="Times New Roman"/>
        </w:rPr>
        <w:t xml:space="preserve">Sanyal, P. (2009). From credit to collective action: The role of microfinance in promoting women’s social capital. </w:t>
      </w:r>
      <w:r w:rsidRPr="0059395D">
        <w:rPr>
          <w:rFonts w:ascii="Times New Roman" w:hAnsi="Times New Roman" w:cs="Times New Roman"/>
          <w:i/>
          <w:iCs/>
        </w:rPr>
        <w:t>American Sociological Review, 74</w:t>
      </w:r>
      <w:r w:rsidRPr="0059395D">
        <w:rPr>
          <w:rFonts w:ascii="Times New Roman" w:hAnsi="Times New Roman" w:cs="Times New Roman"/>
        </w:rPr>
        <w:t xml:space="preserve">(4), 529–550. </w:t>
      </w:r>
      <w:hyperlink r:id="rId22" w:history="1">
        <w:r w:rsidRPr="0059395D">
          <w:rPr>
            <w:rStyle w:val="Hyperlink"/>
            <w:rFonts w:ascii="Times New Roman" w:hAnsi="Times New Roman" w:cs="Times New Roman"/>
          </w:rPr>
          <w:t>https://doi.org/10.1177/000312240907400404</w:t>
        </w:r>
      </w:hyperlink>
      <w:r>
        <w:rPr>
          <w:rFonts w:ascii="Times New Roman" w:hAnsi="Times New Roman" w:cs="Times New Roman"/>
        </w:rPr>
        <w:t xml:space="preserve"> </w:t>
      </w:r>
    </w:p>
    <w:p w14:paraId="3A270BE5" w14:textId="77777777" w:rsidR="00663853" w:rsidRDefault="0059395D" w:rsidP="00663853">
      <w:pPr>
        <w:spacing w:line="360" w:lineRule="auto"/>
        <w:jc w:val="both"/>
        <w:rPr>
          <w:rFonts w:ascii="Times New Roman" w:hAnsi="Times New Roman" w:cs="Times New Roman"/>
        </w:rPr>
      </w:pPr>
      <w:r w:rsidRPr="0059395D">
        <w:rPr>
          <w:rFonts w:ascii="Times New Roman" w:hAnsi="Times New Roman" w:cs="Times New Roman"/>
        </w:rPr>
        <w:t xml:space="preserve">Swain, R. B., &amp; Wallentin, F. Y. (2009). Does microfinance empower women? Evidence from self-help groups in India. </w:t>
      </w:r>
      <w:r w:rsidRPr="0059395D">
        <w:rPr>
          <w:rFonts w:ascii="Times New Roman" w:hAnsi="Times New Roman" w:cs="Times New Roman"/>
          <w:i/>
          <w:iCs/>
        </w:rPr>
        <w:t>International Review of Applied Economics, 23</w:t>
      </w:r>
      <w:r w:rsidRPr="0059395D">
        <w:rPr>
          <w:rFonts w:ascii="Times New Roman" w:hAnsi="Times New Roman" w:cs="Times New Roman"/>
        </w:rPr>
        <w:t xml:space="preserve">(5), 541–556. </w:t>
      </w:r>
      <w:hyperlink r:id="rId23" w:history="1">
        <w:r w:rsidRPr="0059395D">
          <w:rPr>
            <w:rStyle w:val="Hyperlink"/>
            <w:rFonts w:ascii="Times New Roman" w:hAnsi="Times New Roman" w:cs="Times New Roman"/>
          </w:rPr>
          <w:t>https://doi.org/10.1080/02692170903007540</w:t>
        </w:r>
      </w:hyperlink>
      <w:r>
        <w:rPr>
          <w:rFonts w:ascii="Times New Roman" w:hAnsi="Times New Roman" w:cs="Times New Roman"/>
        </w:rPr>
        <w:t xml:space="preserve"> </w:t>
      </w:r>
    </w:p>
    <w:p w14:paraId="1C691892" w14:textId="349646B2" w:rsidR="00663853" w:rsidRPr="00663853" w:rsidRDefault="00663853" w:rsidP="00663853">
      <w:pPr>
        <w:spacing w:line="360" w:lineRule="auto"/>
        <w:jc w:val="both"/>
        <w:rPr>
          <w:rFonts w:ascii="Times New Roman" w:hAnsi="Times New Roman" w:cs="Times New Roman"/>
          <w:color w:val="EE0000"/>
        </w:rPr>
      </w:pPr>
      <w:r w:rsidRPr="00663853">
        <w:rPr>
          <w:rFonts w:ascii="Times New Roman" w:hAnsi="Times New Roman" w:cs="Times New Roman"/>
          <w:color w:val="EE0000"/>
        </w:rPr>
        <w:t>Mair, J., &amp; Martí, I. (2006). Social entrepreneurship research: A source of explanation, prediction, and delight. Journal of World Business, 41(1), 36–44</w:t>
      </w:r>
    </w:p>
    <w:p w14:paraId="30591A5D" w14:textId="0422EE70" w:rsidR="00663853" w:rsidRPr="00663853" w:rsidRDefault="00663853" w:rsidP="00663853">
      <w:pPr>
        <w:spacing w:line="360" w:lineRule="auto"/>
        <w:jc w:val="both"/>
        <w:rPr>
          <w:rFonts w:ascii="Times New Roman" w:hAnsi="Times New Roman" w:cs="Times New Roman"/>
          <w:color w:val="EE0000"/>
        </w:rPr>
      </w:pPr>
      <w:r w:rsidRPr="00663853">
        <w:rPr>
          <w:rFonts w:ascii="Times New Roman" w:hAnsi="Times New Roman" w:cs="Times New Roman"/>
          <w:color w:val="EE0000"/>
        </w:rPr>
        <w:t xml:space="preserve">Zahra, S. A., </w:t>
      </w:r>
      <w:proofErr w:type="spellStart"/>
      <w:r w:rsidRPr="00663853">
        <w:rPr>
          <w:rFonts w:ascii="Times New Roman" w:hAnsi="Times New Roman" w:cs="Times New Roman"/>
          <w:color w:val="EE0000"/>
        </w:rPr>
        <w:t>Gedajlovic</w:t>
      </w:r>
      <w:proofErr w:type="spellEnd"/>
      <w:r w:rsidRPr="00663853">
        <w:rPr>
          <w:rFonts w:ascii="Times New Roman" w:hAnsi="Times New Roman" w:cs="Times New Roman"/>
          <w:color w:val="EE0000"/>
        </w:rPr>
        <w:t>, E., Neubaum, D. O., &amp; Shulman, J. M. (2009). A typology of social entrepreneurs: Motives, search processes, and ethical challenges. Journal of Business Venturing, 24(5), 519–532</w:t>
      </w:r>
    </w:p>
    <w:p w14:paraId="19E2FA0C" w14:textId="4B21F503" w:rsidR="00663853" w:rsidRPr="00663853" w:rsidRDefault="00663853" w:rsidP="00663853">
      <w:pPr>
        <w:spacing w:line="360" w:lineRule="auto"/>
        <w:jc w:val="both"/>
        <w:rPr>
          <w:rFonts w:ascii="Times New Roman" w:hAnsi="Times New Roman" w:cs="Times New Roman"/>
          <w:color w:val="EE0000"/>
        </w:rPr>
      </w:pPr>
      <w:proofErr w:type="spellStart"/>
      <w:r w:rsidRPr="00663853">
        <w:rPr>
          <w:rFonts w:ascii="Times New Roman" w:hAnsi="Times New Roman" w:cs="Times New Roman"/>
          <w:color w:val="EE0000"/>
        </w:rPr>
        <w:t>Bacq</w:t>
      </w:r>
      <w:proofErr w:type="spellEnd"/>
      <w:r w:rsidRPr="00663853">
        <w:rPr>
          <w:rFonts w:ascii="Times New Roman" w:hAnsi="Times New Roman" w:cs="Times New Roman"/>
          <w:color w:val="EE0000"/>
        </w:rPr>
        <w:t>, S., &amp; Janssen, F. (2011). The multiple faces of social entrepreneurship: A review of definitional issues based on geographical and thematic criteria. Entrepreneurship &amp; Regional Development, 23(5–6), 373–403</w:t>
      </w:r>
    </w:p>
    <w:p w14:paraId="49C1BF86" w14:textId="77777777" w:rsidR="00663853" w:rsidRPr="0059395D" w:rsidRDefault="00663853" w:rsidP="0059395D">
      <w:pPr>
        <w:spacing w:line="360" w:lineRule="auto"/>
        <w:jc w:val="both"/>
        <w:rPr>
          <w:rFonts w:ascii="Times New Roman" w:hAnsi="Times New Roman" w:cs="Times New Roman"/>
        </w:rPr>
      </w:pPr>
    </w:p>
    <w:p w14:paraId="2BF55884" w14:textId="77777777" w:rsidR="0059395D" w:rsidRPr="0059395D" w:rsidRDefault="0059395D" w:rsidP="0059395D">
      <w:pPr>
        <w:spacing w:line="360" w:lineRule="auto"/>
        <w:jc w:val="both"/>
        <w:rPr>
          <w:rFonts w:ascii="Times New Roman" w:hAnsi="Times New Roman" w:cs="Times New Roman"/>
        </w:rPr>
      </w:pPr>
    </w:p>
    <w:p w14:paraId="4F41D1F4" w14:textId="77777777" w:rsidR="00915F6A" w:rsidRDefault="00915F6A" w:rsidP="0059395D"/>
    <w:sectPr w:rsidR="00915F6A" w:rsidSect="00B5631F">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DAD40" w14:textId="77777777" w:rsidR="00640632" w:rsidRDefault="00640632" w:rsidP="007A01F5">
      <w:pPr>
        <w:spacing w:after="0" w:line="240" w:lineRule="auto"/>
      </w:pPr>
      <w:r>
        <w:separator/>
      </w:r>
    </w:p>
  </w:endnote>
  <w:endnote w:type="continuationSeparator" w:id="0">
    <w:p w14:paraId="6CFF685A" w14:textId="77777777" w:rsidR="00640632" w:rsidRDefault="00640632" w:rsidP="007A0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098D" w14:textId="77777777" w:rsidR="007A01F5" w:rsidRDefault="007A0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915A" w14:textId="77777777" w:rsidR="007A01F5" w:rsidRDefault="007A01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BE88" w14:textId="77777777" w:rsidR="007A01F5" w:rsidRDefault="007A0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14AF8" w14:textId="77777777" w:rsidR="00640632" w:rsidRDefault="00640632" w:rsidP="007A01F5">
      <w:pPr>
        <w:spacing w:after="0" w:line="240" w:lineRule="auto"/>
      </w:pPr>
      <w:r>
        <w:separator/>
      </w:r>
    </w:p>
  </w:footnote>
  <w:footnote w:type="continuationSeparator" w:id="0">
    <w:p w14:paraId="399F81A6" w14:textId="77777777" w:rsidR="00640632" w:rsidRDefault="00640632" w:rsidP="007A0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224D9" w14:textId="49A99ECD" w:rsidR="007A01F5" w:rsidRDefault="00000000">
    <w:pPr>
      <w:pStyle w:val="Header"/>
    </w:pPr>
    <w:r>
      <w:rPr>
        <w:noProof/>
      </w:rPr>
      <w:pict w14:anchorId="4C1E8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30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8BFC" w14:textId="3A2DC59E" w:rsidR="007A01F5" w:rsidRDefault="00000000">
    <w:pPr>
      <w:pStyle w:val="Header"/>
    </w:pPr>
    <w:r>
      <w:rPr>
        <w:noProof/>
      </w:rPr>
      <w:pict w14:anchorId="2954E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30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535C" w14:textId="36EA6C12" w:rsidR="007A01F5" w:rsidRDefault="00000000">
    <w:pPr>
      <w:pStyle w:val="Header"/>
    </w:pPr>
    <w:r>
      <w:rPr>
        <w:noProof/>
      </w:rPr>
      <w:pict w14:anchorId="38552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30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6B85"/>
    <w:multiLevelType w:val="multilevel"/>
    <w:tmpl w:val="18F6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7D2EB1"/>
    <w:multiLevelType w:val="multilevel"/>
    <w:tmpl w:val="DAE6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50B4C"/>
    <w:multiLevelType w:val="multilevel"/>
    <w:tmpl w:val="12BC2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576570"/>
    <w:multiLevelType w:val="multilevel"/>
    <w:tmpl w:val="9042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3513B"/>
    <w:multiLevelType w:val="multilevel"/>
    <w:tmpl w:val="2CC6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C50FFC"/>
    <w:multiLevelType w:val="multilevel"/>
    <w:tmpl w:val="B4FA4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7666265">
    <w:abstractNumId w:val="5"/>
  </w:num>
  <w:num w:numId="2" w16cid:durableId="1666088655">
    <w:abstractNumId w:val="3"/>
  </w:num>
  <w:num w:numId="3" w16cid:durableId="1836416954">
    <w:abstractNumId w:val="4"/>
  </w:num>
  <w:num w:numId="4" w16cid:durableId="820578001">
    <w:abstractNumId w:val="1"/>
  </w:num>
  <w:num w:numId="5" w16cid:durableId="1768572803">
    <w:abstractNumId w:val="0"/>
  </w:num>
  <w:num w:numId="6" w16cid:durableId="2043480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F9"/>
    <w:rsid w:val="00046ACE"/>
    <w:rsid w:val="000516CC"/>
    <w:rsid w:val="0005616F"/>
    <w:rsid w:val="000711A5"/>
    <w:rsid w:val="000B5ED0"/>
    <w:rsid w:val="001D1E1E"/>
    <w:rsid w:val="001E33B6"/>
    <w:rsid w:val="002013F9"/>
    <w:rsid w:val="00225109"/>
    <w:rsid w:val="0028677A"/>
    <w:rsid w:val="002E0EF4"/>
    <w:rsid w:val="00344765"/>
    <w:rsid w:val="003A5211"/>
    <w:rsid w:val="003C3704"/>
    <w:rsid w:val="003D11B0"/>
    <w:rsid w:val="004203C6"/>
    <w:rsid w:val="0045593C"/>
    <w:rsid w:val="004B2BD8"/>
    <w:rsid w:val="004B64F7"/>
    <w:rsid w:val="004F5FD7"/>
    <w:rsid w:val="00501B4D"/>
    <w:rsid w:val="0059395D"/>
    <w:rsid w:val="005A7AFB"/>
    <w:rsid w:val="00603622"/>
    <w:rsid w:val="00620484"/>
    <w:rsid w:val="00623489"/>
    <w:rsid w:val="00640632"/>
    <w:rsid w:val="00645A58"/>
    <w:rsid w:val="00661512"/>
    <w:rsid w:val="00663853"/>
    <w:rsid w:val="006A5362"/>
    <w:rsid w:val="006E6C2E"/>
    <w:rsid w:val="006F413A"/>
    <w:rsid w:val="0073177E"/>
    <w:rsid w:val="00736391"/>
    <w:rsid w:val="007500B6"/>
    <w:rsid w:val="007A01F5"/>
    <w:rsid w:val="00804840"/>
    <w:rsid w:val="00824CF1"/>
    <w:rsid w:val="00824D43"/>
    <w:rsid w:val="00890A6C"/>
    <w:rsid w:val="008C37F9"/>
    <w:rsid w:val="00915F6A"/>
    <w:rsid w:val="009B5562"/>
    <w:rsid w:val="00A60CCC"/>
    <w:rsid w:val="00A96DF4"/>
    <w:rsid w:val="00B16E9B"/>
    <w:rsid w:val="00B5631F"/>
    <w:rsid w:val="00BB2E20"/>
    <w:rsid w:val="00C90E8D"/>
    <w:rsid w:val="00CD3F46"/>
    <w:rsid w:val="00CE444E"/>
    <w:rsid w:val="00CF1860"/>
    <w:rsid w:val="00D76D04"/>
    <w:rsid w:val="00E11BE7"/>
    <w:rsid w:val="00E364B3"/>
    <w:rsid w:val="00F978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FE778"/>
  <w15:chartTrackingRefBased/>
  <w15:docId w15:val="{19668891-C5A1-4D77-87EA-E0A44F4B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3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13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13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13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13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13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3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3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3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3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13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13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13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13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1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3F9"/>
    <w:rPr>
      <w:rFonts w:eastAsiaTheme="majorEastAsia" w:cstheme="majorBidi"/>
      <w:color w:val="272727" w:themeColor="text1" w:themeTint="D8"/>
    </w:rPr>
  </w:style>
  <w:style w:type="paragraph" w:styleId="Title">
    <w:name w:val="Title"/>
    <w:basedOn w:val="Normal"/>
    <w:next w:val="Normal"/>
    <w:link w:val="TitleChar"/>
    <w:uiPriority w:val="10"/>
    <w:qFormat/>
    <w:rsid w:val="00201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3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3F9"/>
    <w:pPr>
      <w:spacing w:before="160"/>
      <w:jc w:val="center"/>
    </w:pPr>
    <w:rPr>
      <w:i/>
      <w:iCs/>
      <w:color w:val="404040" w:themeColor="text1" w:themeTint="BF"/>
    </w:rPr>
  </w:style>
  <w:style w:type="character" w:customStyle="1" w:styleId="QuoteChar">
    <w:name w:val="Quote Char"/>
    <w:basedOn w:val="DefaultParagraphFont"/>
    <w:link w:val="Quote"/>
    <w:uiPriority w:val="29"/>
    <w:rsid w:val="002013F9"/>
    <w:rPr>
      <w:i/>
      <w:iCs/>
      <w:color w:val="404040" w:themeColor="text1" w:themeTint="BF"/>
    </w:rPr>
  </w:style>
  <w:style w:type="paragraph" w:styleId="ListParagraph">
    <w:name w:val="List Paragraph"/>
    <w:basedOn w:val="Normal"/>
    <w:uiPriority w:val="34"/>
    <w:qFormat/>
    <w:rsid w:val="002013F9"/>
    <w:pPr>
      <w:ind w:left="720"/>
      <w:contextualSpacing/>
    </w:pPr>
  </w:style>
  <w:style w:type="character" w:styleId="IntenseEmphasis">
    <w:name w:val="Intense Emphasis"/>
    <w:basedOn w:val="DefaultParagraphFont"/>
    <w:uiPriority w:val="21"/>
    <w:qFormat/>
    <w:rsid w:val="002013F9"/>
    <w:rPr>
      <w:i/>
      <w:iCs/>
      <w:color w:val="2F5496" w:themeColor="accent1" w:themeShade="BF"/>
    </w:rPr>
  </w:style>
  <w:style w:type="paragraph" w:styleId="IntenseQuote">
    <w:name w:val="Intense Quote"/>
    <w:basedOn w:val="Normal"/>
    <w:next w:val="Normal"/>
    <w:link w:val="IntenseQuoteChar"/>
    <w:uiPriority w:val="30"/>
    <w:qFormat/>
    <w:rsid w:val="002013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13F9"/>
    <w:rPr>
      <w:i/>
      <w:iCs/>
      <w:color w:val="2F5496" w:themeColor="accent1" w:themeShade="BF"/>
    </w:rPr>
  </w:style>
  <w:style w:type="character" w:styleId="IntenseReference">
    <w:name w:val="Intense Reference"/>
    <w:basedOn w:val="DefaultParagraphFont"/>
    <w:uiPriority w:val="32"/>
    <w:qFormat/>
    <w:rsid w:val="002013F9"/>
    <w:rPr>
      <w:b/>
      <w:bCs/>
      <w:smallCaps/>
      <w:color w:val="2F5496" w:themeColor="accent1" w:themeShade="BF"/>
      <w:spacing w:val="5"/>
    </w:rPr>
  </w:style>
  <w:style w:type="character" w:styleId="Hyperlink">
    <w:name w:val="Hyperlink"/>
    <w:basedOn w:val="DefaultParagraphFont"/>
    <w:uiPriority w:val="99"/>
    <w:unhideWhenUsed/>
    <w:rsid w:val="0059395D"/>
    <w:rPr>
      <w:color w:val="0563C1" w:themeColor="hyperlink"/>
      <w:u w:val="single"/>
    </w:rPr>
  </w:style>
  <w:style w:type="character" w:customStyle="1" w:styleId="UnresolvedMention1">
    <w:name w:val="Unresolved Mention1"/>
    <w:basedOn w:val="DefaultParagraphFont"/>
    <w:uiPriority w:val="99"/>
    <w:semiHidden/>
    <w:unhideWhenUsed/>
    <w:rsid w:val="0059395D"/>
    <w:rPr>
      <w:color w:val="605E5C"/>
      <w:shd w:val="clear" w:color="auto" w:fill="E1DFDD"/>
    </w:rPr>
  </w:style>
  <w:style w:type="table" w:styleId="TableGrid">
    <w:name w:val="Table Grid"/>
    <w:basedOn w:val="TableNormal"/>
    <w:uiPriority w:val="39"/>
    <w:rsid w:val="000B5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0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1F5"/>
  </w:style>
  <w:style w:type="paragraph" w:styleId="Footer">
    <w:name w:val="footer"/>
    <w:basedOn w:val="Normal"/>
    <w:link w:val="FooterChar"/>
    <w:uiPriority w:val="99"/>
    <w:unhideWhenUsed/>
    <w:rsid w:val="007A0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1F5"/>
  </w:style>
  <w:style w:type="paragraph" w:styleId="NormalWeb">
    <w:name w:val="Normal (Web)"/>
    <w:basedOn w:val="Normal"/>
    <w:uiPriority w:val="99"/>
    <w:semiHidden/>
    <w:unhideWhenUsed/>
    <w:rsid w:val="0062348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16/j.worlddev.2012.09.019" TargetMode="External"/><Relationship Id="rId18" Type="http://schemas.openxmlformats.org/officeDocument/2006/relationships/hyperlink" Target="https://doi.org/10.3389/fsoc.2023.115877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504/IJBIR.2020.103456" TargetMode="External"/><Relationship Id="rId7" Type="http://schemas.openxmlformats.org/officeDocument/2006/relationships/image" Target="media/image1.jpg"/><Relationship Id="rId12" Type="http://schemas.openxmlformats.org/officeDocument/2006/relationships/hyperlink" Target="https://doi.org/10.1177/0169796X241234567" TargetMode="External"/><Relationship Id="rId17" Type="http://schemas.openxmlformats.org/officeDocument/2006/relationships/hyperlink" Target="https://doi.org/10.9734/jemt/2024/v30i31111"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111/1467-7660.00125" TargetMode="External"/><Relationship Id="rId20" Type="http://schemas.openxmlformats.org/officeDocument/2006/relationships/hyperlink" Target="https://doi.org/10.1007/978-981-19-5678-9_20"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540-6520.2010.00430.x"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111/j.1467-7660.2012.01780.x" TargetMode="External"/><Relationship Id="rId23" Type="http://schemas.openxmlformats.org/officeDocument/2006/relationships/hyperlink" Target="https://doi.org/10.1080/02692170903007540" TargetMode="External"/><Relationship Id="rId28"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yperlink" Target="https://doi.org/10.1177/004908571882173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worlddev.2007.11.008" TargetMode="External"/><Relationship Id="rId22" Type="http://schemas.openxmlformats.org/officeDocument/2006/relationships/hyperlink" Target="https://doi.org/10.1177/000312240907400404"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13</Pages>
  <Words>3826</Words>
  <Characters>24596</Characters>
  <Application>Microsoft Office Word</Application>
  <DocSecurity>0</DocSecurity>
  <Lines>372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Sudipta Dash</dc:creator>
  <cp:keywords/>
  <dc:description/>
  <cp:lastModifiedBy>Sudipta Dash</cp:lastModifiedBy>
  <cp:revision>38</cp:revision>
  <dcterms:created xsi:type="dcterms:W3CDTF">2025-09-28T12:18:00Z</dcterms:created>
  <dcterms:modified xsi:type="dcterms:W3CDTF">2025-10-23T13:34:00Z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f5367f5e-d7bb-49b1-8336-d650ebccfcba</vt:lpwstr>
  </property>
</Properties>
</file>