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50D" w:rsidRDefault="00064D36" w:rsidP="00D0021E">
      <w:pPr>
        <w:jc w:val="center"/>
        <w:rPr>
          <w:rFonts w:ascii="Arial" w:hAnsi="Arial" w:cs="Arial"/>
          <w:b/>
          <w:sz w:val="36"/>
          <w:szCs w:val="20"/>
        </w:rPr>
      </w:pPr>
      <w:bookmarkStart w:id="0" w:name="_GoBack"/>
      <w:bookmarkEnd w:id="0"/>
      <w:r w:rsidRPr="006E3EB0">
        <w:rPr>
          <w:rFonts w:ascii="Arial" w:hAnsi="Arial" w:cs="Arial"/>
          <w:b/>
          <w:sz w:val="36"/>
          <w:szCs w:val="20"/>
        </w:rPr>
        <w:t xml:space="preserve">Are </w:t>
      </w:r>
      <w:r w:rsidR="00BD01C9">
        <w:rPr>
          <w:rFonts w:ascii="Arial" w:hAnsi="Arial" w:cs="Arial"/>
          <w:b/>
          <w:sz w:val="36"/>
          <w:szCs w:val="20"/>
        </w:rPr>
        <w:t>Primary</w:t>
      </w:r>
      <w:r w:rsidRPr="006E3EB0">
        <w:rPr>
          <w:rFonts w:ascii="Arial" w:hAnsi="Arial" w:cs="Arial"/>
          <w:b/>
          <w:sz w:val="36"/>
          <w:szCs w:val="20"/>
        </w:rPr>
        <w:t xml:space="preserve"> Health Centres Equally Distributed in Kerala? </w:t>
      </w:r>
      <w:r w:rsidR="001F46A5" w:rsidRPr="006E3EB0">
        <w:rPr>
          <w:rFonts w:ascii="Arial" w:hAnsi="Arial" w:cs="Arial"/>
          <w:b/>
          <w:sz w:val="36"/>
          <w:szCs w:val="20"/>
        </w:rPr>
        <w:t>An</w:t>
      </w:r>
      <w:r w:rsidRPr="006E3EB0">
        <w:rPr>
          <w:rFonts w:ascii="Arial" w:hAnsi="Arial" w:cs="Arial"/>
          <w:b/>
          <w:sz w:val="36"/>
          <w:szCs w:val="20"/>
        </w:rPr>
        <w:t xml:space="preserve"> Equity Analysis across Districts</w:t>
      </w:r>
    </w:p>
    <w:p w:rsidR="00F82C57" w:rsidRPr="006E3EB0" w:rsidRDefault="00F82C57" w:rsidP="00D0021E">
      <w:pPr>
        <w:jc w:val="center"/>
        <w:rPr>
          <w:rFonts w:ascii="Arial" w:hAnsi="Arial" w:cs="Arial"/>
          <w:b/>
          <w:sz w:val="36"/>
          <w:szCs w:val="20"/>
        </w:rPr>
      </w:pPr>
    </w:p>
    <w:p w:rsidR="00514D55" w:rsidRPr="00514D55" w:rsidRDefault="00064D36" w:rsidP="00514D55">
      <w:pPr>
        <w:spacing w:after="0" w:line="360" w:lineRule="auto"/>
        <w:jc w:val="both"/>
        <w:rPr>
          <w:rFonts w:ascii="Arial" w:hAnsi="Arial" w:cs="Arial"/>
          <w:sz w:val="20"/>
          <w:szCs w:val="20"/>
        </w:rPr>
      </w:pPr>
      <w:r w:rsidRPr="00514D55">
        <w:rPr>
          <w:rFonts w:ascii="Arial" w:hAnsi="Arial" w:cs="Arial"/>
          <w:b/>
          <w:szCs w:val="20"/>
        </w:rPr>
        <w:t>Abstract:</w:t>
      </w:r>
      <w:r>
        <w:rPr>
          <w:rFonts w:ascii="Arial" w:hAnsi="Arial" w:cs="Arial"/>
          <w:szCs w:val="20"/>
        </w:rPr>
        <w:t xml:space="preserve"> </w:t>
      </w:r>
      <w:r w:rsidR="009808E2">
        <w:rPr>
          <w:rFonts w:ascii="Arial" w:hAnsi="Arial" w:cs="Arial"/>
          <w:sz w:val="20"/>
          <w:szCs w:val="20"/>
        </w:rPr>
        <w:t>Equitable distribution</w:t>
      </w:r>
      <w:r w:rsidR="00F55ADE" w:rsidRPr="00F55ADE">
        <w:rPr>
          <w:rFonts w:ascii="Arial" w:hAnsi="Arial" w:cs="Arial"/>
          <w:sz w:val="20"/>
          <w:szCs w:val="20"/>
        </w:rPr>
        <w:t xml:space="preserve"> of primary healthcare has been at the core </w:t>
      </w:r>
      <w:r w:rsidR="009808E2">
        <w:rPr>
          <w:rFonts w:ascii="Arial" w:hAnsi="Arial" w:cs="Arial"/>
          <w:sz w:val="20"/>
          <w:szCs w:val="20"/>
        </w:rPr>
        <w:t xml:space="preserve">of </w:t>
      </w:r>
      <w:r w:rsidR="00F55ADE" w:rsidRPr="00F55ADE">
        <w:rPr>
          <w:rFonts w:ascii="Arial" w:hAnsi="Arial" w:cs="Arial"/>
          <w:sz w:val="20"/>
          <w:szCs w:val="20"/>
        </w:rPr>
        <w:t xml:space="preserve">the </w:t>
      </w:r>
      <w:r w:rsidR="009808E2">
        <w:rPr>
          <w:rFonts w:ascii="Arial" w:hAnsi="Arial" w:cs="Arial"/>
          <w:sz w:val="20"/>
          <w:szCs w:val="20"/>
        </w:rPr>
        <w:t xml:space="preserve">achievements in </w:t>
      </w:r>
      <w:r w:rsidR="00F55ADE" w:rsidRPr="00F55ADE">
        <w:rPr>
          <w:rFonts w:ascii="Arial" w:hAnsi="Arial" w:cs="Arial"/>
          <w:sz w:val="20"/>
          <w:szCs w:val="20"/>
        </w:rPr>
        <w:t>Kerala</w:t>
      </w:r>
      <w:r w:rsidR="009808E2">
        <w:rPr>
          <w:rFonts w:ascii="Arial" w:hAnsi="Arial" w:cs="Arial"/>
          <w:sz w:val="20"/>
          <w:szCs w:val="20"/>
        </w:rPr>
        <w:t>’s</w:t>
      </w:r>
      <w:r w:rsidR="00F55ADE" w:rsidRPr="00F55ADE">
        <w:rPr>
          <w:rFonts w:ascii="Arial" w:hAnsi="Arial" w:cs="Arial"/>
          <w:sz w:val="20"/>
          <w:szCs w:val="20"/>
        </w:rPr>
        <w:t xml:space="preserve"> public health. The paper analyses the distribution of Public Health centers (PHC) in the state using the 2024 25 district-level data. A multipronged</w:t>
      </w:r>
      <w:r w:rsidR="009808E2">
        <w:rPr>
          <w:rFonts w:ascii="Arial" w:hAnsi="Arial" w:cs="Arial"/>
          <w:sz w:val="20"/>
          <w:szCs w:val="20"/>
        </w:rPr>
        <w:t xml:space="preserve"> statistical</w:t>
      </w:r>
      <w:r w:rsidR="00F55ADE" w:rsidRPr="00F55ADE">
        <w:rPr>
          <w:rFonts w:ascii="Arial" w:hAnsi="Arial" w:cs="Arial"/>
          <w:sz w:val="20"/>
          <w:szCs w:val="20"/>
        </w:rPr>
        <w:t xml:space="preserve"> </w:t>
      </w:r>
      <w:r w:rsidR="009808E2" w:rsidRPr="00F55ADE">
        <w:rPr>
          <w:rFonts w:ascii="Arial" w:hAnsi="Arial" w:cs="Arial"/>
          <w:sz w:val="20"/>
          <w:szCs w:val="20"/>
        </w:rPr>
        <w:t>measure</w:t>
      </w:r>
      <w:r w:rsidR="00F55ADE" w:rsidRPr="00F55ADE">
        <w:rPr>
          <w:rFonts w:ascii="Arial" w:hAnsi="Arial" w:cs="Arial"/>
          <w:sz w:val="20"/>
          <w:szCs w:val="20"/>
        </w:rPr>
        <w:t xml:space="preserve"> was implemented</w:t>
      </w:r>
      <w:r w:rsidR="009808E2">
        <w:rPr>
          <w:rFonts w:ascii="Arial" w:hAnsi="Arial" w:cs="Arial"/>
          <w:sz w:val="20"/>
          <w:szCs w:val="20"/>
        </w:rPr>
        <w:t xml:space="preserve"> in the paper, such as</w:t>
      </w:r>
      <w:r w:rsidR="00F55ADE" w:rsidRPr="00F55ADE">
        <w:rPr>
          <w:rFonts w:ascii="Arial" w:hAnsi="Arial" w:cs="Arial"/>
          <w:sz w:val="20"/>
          <w:szCs w:val="20"/>
        </w:rPr>
        <w:t xml:space="preserve"> descriptive statistics provided the PHC density baseline, correlation analysis evaluated the associations between PHC density and socio-demographic factors, Lorenz curves and Gini coefficients reflected </w:t>
      </w:r>
      <w:r w:rsidR="009808E2" w:rsidRPr="00F55ADE">
        <w:rPr>
          <w:rFonts w:ascii="Arial" w:hAnsi="Arial" w:cs="Arial"/>
          <w:sz w:val="20"/>
          <w:szCs w:val="20"/>
        </w:rPr>
        <w:t>inequality</w:t>
      </w:r>
      <w:r w:rsidR="00F55ADE" w:rsidRPr="00F55ADE">
        <w:rPr>
          <w:rFonts w:ascii="Arial" w:hAnsi="Arial" w:cs="Arial"/>
          <w:sz w:val="20"/>
          <w:szCs w:val="20"/>
        </w:rPr>
        <w:t>, and an index of vulnerability was made up so as to define structurally disadvantaged districts</w:t>
      </w:r>
      <w:r w:rsidR="009808E2">
        <w:rPr>
          <w:rFonts w:ascii="Arial" w:hAnsi="Arial" w:cs="Arial"/>
          <w:sz w:val="20"/>
          <w:szCs w:val="20"/>
        </w:rPr>
        <w:t xml:space="preserve"> with regard to the distribution the PHCs in Kerala</w:t>
      </w:r>
      <w:r w:rsidR="00F55ADE" w:rsidRPr="00F55ADE">
        <w:rPr>
          <w:rFonts w:ascii="Arial" w:hAnsi="Arial" w:cs="Arial"/>
          <w:sz w:val="20"/>
          <w:szCs w:val="20"/>
        </w:rPr>
        <w:t xml:space="preserve">. </w:t>
      </w:r>
      <w:r w:rsidR="009808E2">
        <w:rPr>
          <w:rFonts w:ascii="Arial" w:hAnsi="Arial" w:cs="Arial"/>
          <w:sz w:val="20"/>
          <w:szCs w:val="20"/>
        </w:rPr>
        <w:t>The study</w:t>
      </w:r>
      <w:r w:rsidR="009808E2" w:rsidRPr="00F55ADE">
        <w:rPr>
          <w:rFonts w:ascii="Arial" w:hAnsi="Arial" w:cs="Arial"/>
          <w:sz w:val="20"/>
          <w:szCs w:val="20"/>
        </w:rPr>
        <w:t xml:space="preserve"> shows</w:t>
      </w:r>
      <w:r w:rsidR="00F55ADE" w:rsidRPr="00F55ADE">
        <w:rPr>
          <w:rFonts w:ascii="Arial" w:hAnsi="Arial" w:cs="Arial"/>
          <w:sz w:val="20"/>
          <w:szCs w:val="20"/>
        </w:rPr>
        <w:t xml:space="preserve"> that the average PHC density is 1.7 per 100,000 population, with </w:t>
      </w:r>
      <w:r w:rsidR="0034025D">
        <w:rPr>
          <w:rFonts w:ascii="Arial" w:hAnsi="Arial" w:cs="Arial"/>
          <w:sz w:val="20"/>
          <w:szCs w:val="20"/>
        </w:rPr>
        <w:t>Wayanadu</w:t>
      </w:r>
      <w:r w:rsidR="00F55ADE" w:rsidRPr="00F55ADE">
        <w:rPr>
          <w:rFonts w:ascii="Arial" w:hAnsi="Arial" w:cs="Arial"/>
          <w:sz w:val="20"/>
          <w:szCs w:val="20"/>
        </w:rPr>
        <w:t xml:space="preserve"> the highest (2.85) and Kollam the lowest (1.20) </w:t>
      </w:r>
      <w:r w:rsidR="009808E2">
        <w:rPr>
          <w:rFonts w:ascii="Arial" w:hAnsi="Arial" w:cs="Arial"/>
          <w:sz w:val="20"/>
          <w:szCs w:val="20"/>
        </w:rPr>
        <w:t>districts</w:t>
      </w:r>
      <w:r w:rsidR="00F55ADE" w:rsidRPr="00F55ADE">
        <w:rPr>
          <w:rFonts w:ascii="Arial" w:hAnsi="Arial" w:cs="Arial"/>
          <w:sz w:val="20"/>
          <w:szCs w:val="20"/>
        </w:rPr>
        <w:t xml:space="preserve">. The PHC density </w:t>
      </w:r>
      <w:r w:rsidR="009808E2">
        <w:rPr>
          <w:rFonts w:ascii="Arial" w:hAnsi="Arial" w:cs="Arial"/>
          <w:sz w:val="20"/>
          <w:szCs w:val="20"/>
        </w:rPr>
        <w:t>shows</w:t>
      </w:r>
      <w:r w:rsidR="00F55ADE" w:rsidRPr="00F55ADE">
        <w:rPr>
          <w:rFonts w:ascii="Arial" w:hAnsi="Arial" w:cs="Arial"/>
          <w:sz w:val="20"/>
          <w:szCs w:val="20"/>
        </w:rPr>
        <w:t xml:space="preserve"> </w:t>
      </w:r>
      <w:r w:rsidR="009808E2">
        <w:rPr>
          <w:rFonts w:ascii="Arial" w:hAnsi="Arial" w:cs="Arial"/>
          <w:sz w:val="20"/>
          <w:szCs w:val="20"/>
        </w:rPr>
        <w:t>a strong positive correlation</w:t>
      </w:r>
      <w:r w:rsidR="00C167DE">
        <w:rPr>
          <w:rFonts w:ascii="Arial" w:hAnsi="Arial" w:cs="Arial"/>
          <w:sz w:val="20"/>
          <w:szCs w:val="20"/>
        </w:rPr>
        <w:t xml:space="preserve"> with</w:t>
      </w:r>
      <w:r w:rsidR="00F55ADE" w:rsidRPr="00F55ADE">
        <w:rPr>
          <w:rFonts w:ascii="Arial" w:hAnsi="Arial" w:cs="Arial"/>
          <w:sz w:val="20"/>
          <w:szCs w:val="20"/>
        </w:rPr>
        <w:t xml:space="preserve"> the Scheduled Tribe share and a moderate</w:t>
      </w:r>
      <w:r w:rsidR="00C167DE">
        <w:rPr>
          <w:rFonts w:ascii="Arial" w:hAnsi="Arial" w:cs="Arial"/>
          <w:sz w:val="20"/>
          <w:szCs w:val="20"/>
        </w:rPr>
        <w:t xml:space="preserve"> positive correlation </w:t>
      </w:r>
      <w:r w:rsidR="00F55ADE" w:rsidRPr="00F55ADE">
        <w:rPr>
          <w:rFonts w:ascii="Arial" w:hAnsi="Arial" w:cs="Arial"/>
          <w:sz w:val="20"/>
          <w:szCs w:val="20"/>
        </w:rPr>
        <w:t>with poverty and rurality</w:t>
      </w:r>
      <w:r w:rsidR="00C167DE">
        <w:rPr>
          <w:rFonts w:ascii="Arial" w:hAnsi="Arial" w:cs="Arial"/>
          <w:sz w:val="20"/>
          <w:szCs w:val="20"/>
        </w:rPr>
        <w:t>.</w:t>
      </w:r>
      <w:r w:rsidR="00F55ADE" w:rsidRPr="00F55ADE">
        <w:rPr>
          <w:rFonts w:ascii="Arial" w:hAnsi="Arial" w:cs="Arial"/>
          <w:sz w:val="20"/>
          <w:szCs w:val="20"/>
        </w:rPr>
        <w:t xml:space="preserve"> </w:t>
      </w:r>
      <w:r w:rsidR="00C167DE" w:rsidRPr="00F55ADE">
        <w:rPr>
          <w:rFonts w:ascii="Arial" w:hAnsi="Arial" w:cs="Arial"/>
          <w:sz w:val="20"/>
          <w:szCs w:val="20"/>
        </w:rPr>
        <w:t xml:space="preserve">However, </w:t>
      </w:r>
      <w:r w:rsidR="00C167DE">
        <w:rPr>
          <w:rFonts w:ascii="Arial" w:hAnsi="Arial" w:cs="Arial"/>
          <w:sz w:val="20"/>
          <w:szCs w:val="20"/>
        </w:rPr>
        <w:t>its</w:t>
      </w:r>
      <w:r w:rsidR="00F55ADE" w:rsidRPr="00F55ADE">
        <w:rPr>
          <w:rFonts w:ascii="Arial" w:hAnsi="Arial" w:cs="Arial"/>
          <w:sz w:val="20"/>
          <w:szCs w:val="20"/>
        </w:rPr>
        <w:t xml:space="preserve"> relationship with literacy and the Scheduled Caste share </w:t>
      </w:r>
      <w:r w:rsidR="00C167DE">
        <w:rPr>
          <w:rFonts w:ascii="Arial" w:hAnsi="Arial" w:cs="Arial"/>
          <w:sz w:val="20"/>
          <w:szCs w:val="20"/>
        </w:rPr>
        <w:t>show</w:t>
      </w:r>
      <w:r w:rsidR="00F55ADE" w:rsidRPr="00F55ADE">
        <w:rPr>
          <w:rFonts w:ascii="Arial" w:hAnsi="Arial" w:cs="Arial"/>
          <w:sz w:val="20"/>
          <w:szCs w:val="20"/>
        </w:rPr>
        <w:t xml:space="preserve">s weak </w:t>
      </w:r>
      <w:r w:rsidR="00C167DE">
        <w:rPr>
          <w:rFonts w:ascii="Arial" w:hAnsi="Arial" w:cs="Arial"/>
          <w:sz w:val="20"/>
          <w:szCs w:val="20"/>
        </w:rPr>
        <w:t>correlation</w:t>
      </w:r>
      <w:r w:rsidR="00F55ADE" w:rsidRPr="00F55ADE">
        <w:rPr>
          <w:rFonts w:ascii="Arial" w:hAnsi="Arial" w:cs="Arial"/>
          <w:sz w:val="20"/>
          <w:szCs w:val="20"/>
        </w:rPr>
        <w:t xml:space="preserve">. Close to the equality line is the Lorenz curve, yielding a Gini coefficient </w:t>
      </w:r>
      <w:r w:rsidR="00C167DE">
        <w:rPr>
          <w:rFonts w:ascii="Arial" w:hAnsi="Arial" w:cs="Arial"/>
          <w:sz w:val="20"/>
          <w:szCs w:val="20"/>
        </w:rPr>
        <w:t>of 0.1</w:t>
      </w:r>
      <w:r w:rsidR="00C73805">
        <w:rPr>
          <w:rFonts w:ascii="Arial" w:hAnsi="Arial" w:cs="Arial"/>
          <w:sz w:val="20"/>
          <w:szCs w:val="20"/>
        </w:rPr>
        <w:t>5</w:t>
      </w:r>
      <w:r w:rsidR="00C167DE">
        <w:rPr>
          <w:rFonts w:ascii="Arial" w:hAnsi="Arial" w:cs="Arial"/>
          <w:sz w:val="20"/>
          <w:szCs w:val="20"/>
        </w:rPr>
        <w:t>, indicating very</w:t>
      </w:r>
      <w:r w:rsidR="00F55ADE" w:rsidRPr="00F55ADE">
        <w:rPr>
          <w:rFonts w:ascii="Arial" w:hAnsi="Arial" w:cs="Arial"/>
          <w:sz w:val="20"/>
          <w:szCs w:val="20"/>
        </w:rPr>
        <w:t xml:space="preserve"> low inequality in the distribution</w:t>
      </w:r>
      <w:r w:rsidR="00C167DE">
        <w:rPr>
          <w:rFonts w:ascii="Arial" w:hAnsi="Arial" w:cs="Arial"/>
          <w:sz w:val="20"/>
          <w:szCs w:val="20"/>
        </w:rPr>
        <w:t xml:space="preserve"> of PHCs in Kerala</w:t>
      </w:r>
      <w:r w:rsidR="00F55ADE" w:rsidRPr="00F55ADE">
        <w:rPr>
          <w:rFonts w:ascii="Arial" w:hAnsi="Arial" w:cs="Arial"/>
          <w:sz w:val="20"/>
          <w:szCs w:val="20"/>
        </w:rPr>
        <w:t xml:space="preserve">. However, the vulnerability index identifies Palakkad, Kollam, Idukki, and </w:t>
      </w:r>
      <w:r w:rsidR="0034025D">
        <w:rPr>
          <w:rFonts w:ascii="Arial" w:hAnsi="Arial" w:cs="Arial"/>
          <w:sz w:val="20"/>
          <w:szCs w:val="20"/>
        </w:rPr>
        <w:t>Wayanad</w:t>
      </w:r>
      <w:r w:rsidR="00F55ADE" w:rsidRPr="00F55ADE">
        <w:rPr>
          <w:rFonts w:ascii="Arial" w:hAnsi="Arial" w:cs="Arial"/>
          <w:sz w:val="20"/>
          <w:szCs w:val="20"/>
        </w:rPr>
        <w:t xml:space="preserve"> as priority districts because of geographical disadvantages related to overlapping socio-demographic disadvantages. These results show that Kerala has achieved a fairly balanced PHC distribution and identif</w:t>
      </w:r>
      <w:r w:rsidR="00374B9E">
        <w:rPr>
          <w:rFonts w:ascii="Arial" w:hAnsi="Arial" w:cs="Arial"/>
          <w:sz w:val="20"/>
          <w:szCs w:val="20"/>
        </w:rPr>
        <w:t>ied</w:t>
      </w:r>
      <w:r w:rsidR="00F55ADE" w:rsidRPr="00F55ADE">
        <w:rPr>
          <w:rFonts w:ascii="Arial" w:hAnsi="Arial" w:cs="Arial"/>
          <w:sz w:val="20"/>
          <w:szCs w:val="20"/>
        </w:rPr>
        <w:t xml:space="preserve"> the districts where access is constrained due to demographic burdens. It is also necessary to reinforce initiatives targeting areas in need to </w:t>
      </w:r>
      <w:r w:rsidR="00C167DE">
        <w:rPr>
          <w:rFonts w:ascii="Arial" w:hAnsi="Arial" w:cs="Arial"/>
          <w:sz w:val="20"/>
          <w:szCs w:val="20"/>
        </w:rPr>
        <w:t>boost equity in</w:t>
      </w:r>
      <w:r w:rsidR="00F55ADE" w:rsidRPr="00F55ADE">
        <w:rPr>
          <w:rFonts w:ascii="Arial" w:hAnsi="Arial" w:cs="Arial"/>
          <w:sz w:val="20"/>
          <w:szCs w:val="20"/>
        </w:rPr>
        <w:t xml:space="preserve"> healthcare and ensure that Kerala continues to be seen as a beacon of primary healthcare in India</w:t>
      </w:r>
      <w:r w:rsidRPr="00514D55">
        <w:rPr>
          <w:rFonts w:ascii="Arial" w:hAnsi="Arial" w:cs="Arial"/>
          <w:sz w:val="20"/>
          <w:szCs w:val="20"/>
        </w:rPr>
        <w:t>.</w:t>
      </w:r>
    </w:p>
    <w:p w:rsidR="001F46A5" w:rsidRPr="003A24F5" w:rsidRDefault="00064D36" w:rsidP="00052C82">
      <w:pPr>
        <w:spacing w:after="0" w:line="360" w:lineRule="auto"/>
        <w:jc w:val="center"/>
        <w:rPr>
          <w:rFonts w:ascii="Arial" w:hAnsi="Arial" w:cs="Arial"/>
          <w:i/>
          <w:sz w:val="20"/>
          <w:szCs w:val="20"/>
        </w:rPr>
      </w:pPr>
      <w:r w:rsidRPr="003A24F5">
        <w:rPr>
          <w:rFonts w:ascii="Arial" w:hAnsi="Arial" w:cs="Arial"/>
          <w:b/>
          <w:i/>
          <w:sz w:val="20"/>
          <w:szCs w:val="20"/>
        </w:rPr>
        <w:t xml:space="preserve">Keywords: </w:t>
      </w:r>
      <w:r w:rsidR="006E3EB0" w:rsidRPr="003A24F5">
        <w:rPr>
          <w:rFonts w:ascii="Arial" w:hAnsi="Arial" w:cs="Arial"/>
          <w:i/>
          <w:sz w:val="20"/>
          <w:szCs w:val="20"/>
        </w:rPr>
        <w:t>Public Health,</w:t>
      </w:r>
      <w:r w:rsidR="006E3EB0">
        <w:rPr>
          <w:rFonts w:ascii="Arial" w:hAnsi="Arial" w:cs="Arial"/>
          <w:b/>
          <w:i/>
          <w:sz w:val="20"/>
          <w:szCs w:val="20"/>
        </w:rPr>
        <w:t xml:space="preserve"> </w:t>
      </w:r>
      <w:r w:rsidR="00514D55" w:rsidRPr="003A24F5">
        <w:rPr>
          <w:rFonts w:ascii="Arial" w:hAnsi="Arial" w:cs="Arial"/>
          <w:i/>
          <w:sz w:val="20"/>
          <w:szCs w:val="20"/>
        </w:rPr>
        <w:t>P</w:t>
      </w:r>
      <w:r w:rsidR="00514D55">
        <w:rPr>
          <w:rFonts w:ascii="Arial" w:hAnsi="Arial" w:cs="Arial"/>
          <w:i/>
          <w:sz w:val="20"/>
          <w:szCs w:val="20"/>
        </w:rPr>
        <w:t>rimary</w:t>
      </w:r>
      <w:r w:rsidR="00514D55" w:rsidRPr="003A24F5">
        <w:rPr>
          <w:rFonts w:ascii="Arial" w:hAnsi="Arial" w:cs="Arial"/>
          <w:i/>
          <w:sz w:val="20"/>
          <w:szCs w:val="20"/>
        </w:rPr>
        <w:t xml:space="preserve"> Health</w:t>
      </w:r>
      <w:r w:rsidR="006E3EB0" w:rsidRPr="003A24F5">
        <w:rPr>
          <w:rFonts w:ascii="Arial" w:hAnsi="Arial" w:cs="Arial"/>
          <w:i/>
          <w:sz w:val="20"/>
          <w:szCs w:val="20"/>
        </w:rPr>
        <w:t xml:space="preserve"> Center, </w:t>
      </w:r>
      <w:r w:rsidR="006E3EB0">
        <w:rPr>
          <w:rFonts w:ascii="Arial" w:hAnsi="Arial" w:cs="Arial"/>
          <w:i/>
          <w:sz w:val="20"/>
          <w:szCs w:val="20"/>
        </w:rPr>
        <w:t>Universal Health Coverage, Inequality, Vulnerability</w:t>
      </w:r>
    </w:p>
    <w:p w:rsidR="0029339F" w:rsidRPr="00AD036D" w:rsidRDefault="00064D36" w:rsidP="0066173B">
      <w:pPr>
        <w:spacing w:before="240" w:after="0" w:line="360" w:lineRule="auto"/>
        <w:jc w:val="both"/>
        <w:rPr>
          <w:rFonts w:ascii="Arial" w:hAnsi="Arial" w:cs="Arial"/>
          <w:b/>
          <w:sz w:val="24"/>
          <w:szCs w:val="20"/>
        </w:rPr>
      </w:pPr>
      <w:r w:rsidRPr="00AD036D">
        <w:rPr>
          <w:rFonts w:ascii="Arial" w:hAnsi="Arial" w:cs="Arial"/>
          <w:b/>
          <w:sz w:val="24"/>
          <w:szCs w:val="20"/>
        </w:rPr>
        <w:t>1. Introduction</w:t>
      </w:r>
    </w:p>
    <w:p w:rsidR="00F55ADE" w:rsidRPr="00F55ADE" w:rsidRDefault="00064D36" w:rsidP="00F55ADE">
      <w:pPr>
        <w:spacing w:after="0" w:line="360" w:lineRule="auto"/>
        <w:ind w:firstLine="360"/>
        <w:jc w:val="both"/>
        <w:rPr>
          <w:rFonts w:ascii="Arial" w:hAnsi="Arial" w:cs="Arial"/>
          <w:sz w:val="20"/>
          <w:szCs w:val="20"/>
        </w:rPr>
      </w:pPr>
      <w:r w:rsidRPr="00F55ADE">
        <w:rPr>
          <w:rFonts w:ascii="Arial" w:hAnsi="Arial" w:cs="Arial"/>
          <w:sz w:val="20"/>
          <w:szCs w:val="20"/>
        </w:rPr>
        <w:t xml:space="preserve">Over the </w:t>
      </w:r>
      <w:r w:rsidR="00145ADF" w:rsidRPr="00F55ADE">
        <w:rPr>
          <w:rFonts w:ascii="Arial" w:hAnsi="Arial" w:cs="Arial"/>
          <w:sz w:val="20"/>
          <w:szCs w:val="20"/>
        </w:rPr>
        <w:t xml:space="preserve">last </w:t>
      </w:r>
      <w:r w:rsidR="00145ADF">
        <w:rPr>
          <w:rFonts w:ascii="Arial" w:hAnsi="Arial" w:cs="Arial"/>
          <w:sz w:val="20"/>
          <w:szCs w:val="20"/>
        </w:rPr>
        <w:t>two decades</w:t>
      </w:r>
      <w:r w:rsidRPr="00F55ADE">
        <w:rPr>
          <w:rFonts w:ascii="Arial" w:hAnsi="Arial" w:cs="Arial"/>
          <w:sz w:val="20"/>
          <w:szCs w:val="20"/>
        </w:rPr>
        <w:t xml:space="preserve">, equity in health has become the </w:t>
      </w:r>
      <w:r w:rsidR="00145ADF">
        <w:rPr>
          <w:rFonts w:ascii="Arial" w:hAnsi="Arial" w:cs="Arial"/>
          <w:sz w:val="20"/>
          <w:szCs w:val="20"/>
        </w:rPr>
        <w:t>central</w:t>
      </w:r>
      <w:r w:rsidRPr="00F55ADE">
        <w:rPr>
          <w:rFonts w:ascii="Arial" w:hAnsi="Arial" w:cs="Arial"/>
          <w:sz w:val="20"/>
          <w:szCs w:val="20"/>
        </w:rPr>
        <w:t xml:space="preserve"> issue for health systems worldwide. According to </w:t>
      </w:r>
      <w:r w:rsidR="00145ADF">
        <w:rPr>
          <w:rFonts w:ascii="Arial" w:hAnsi="Arial" w:cs="Arial"/>
          <w:sz w:val="20"/>
          <w:szCs w:val="20"/>
        </w:rPr>
        <w:t xml:space="preserve">the </w:t>
      </w:r>
      <w:r w:rsidRPr="00F55ADE">
        <w:rPr>
          <w:rFonts w:ascii="Arial" w:hAnsi="Arial" w:cs="Arial"/>
          <w:sz w:val="20"/>
          <w:szCs w:val="20"/>
        </w:rPr>
        <w:t>World Health Organization</w:t>
      </w:r>
      <w:r w:rsidR="00145ADF">
        <w:rPr>
          <w:rFonts w:ascii="Arial" w:hAnsi="Arial" w:cs="Arial"/>
          <w:sz w:val="20"/>
          <w:szCs w:val="20"/>
        </w:rPr>
        <w:t xml:space="preserve"> (WHO)</w:t>
      </w:r>
      <w:r w:rsidRPr="00F55ADE">
        <w:rPr>
          <w:rFonts w:ascii="Arial" w:hAnsi="Arial" w:cs="Arial"/>
          <w:sz w:val="20"/>
          <w:szCs w:val="20"/>
        </w:rPr>
        <w:t xml:space="preserve">, equity in health refers to the lack of systematic disparities in health outcomes and access to healthcare services that cannot be avoided or that are otherwise unjust (World Health Organization, 2021). The significance of the even distribution of health infrastructure is also supported by the Sustainable Development Goals (SDG 3), which state that countries are bound to attain </w:t>
      </w:r>
      <w:r w:rsidR="00145ADF" w:rsidRPr="00F55ADE">
        <w:rPr>
          <w:rFonts w:ascii="Arial" w:hAnsi="Arial" w:cs="Arial"/>
          <w:sz w:val="20"/>
          <w:szCs w:val="20"/>
        </w:rPr>
        <w:t xml:space="preserve">Universal Health Coverage </w:t>
      </w:r>
      <w:r w:rsidRPr="00F55ADE">
        <w:rPr>
          <w:rFonts w:ascii="Arial" w:hAnsi="Arial" w:cs="Arial"/>
          <w:sz w:val="20"/>
          <w:szCs w:val="20"/>
        </w:rPr>
        <w:t>by 2030 (Chiu &amp; Fong, 2023).</w:t>
      </w:r>
    </w:p>
    <w:p w:rsidR="00F55ADE" w:rsidRPr="00F55ADE" w:rsidRDefault="00064D36" w:rsidP="00F55ADE">
      <w:pPr>
        <w:spacing w:after="0" w:line="360" w:lineRule="auto"/>
        <w:ind w:firstLine="360"/>
        <w:jc w:val="both"/>
        <w:rPr>
          <w:rFonts w:ascii="Arial" w:hAnsi="Arial" w:cs="Arial"/>
          <w:sz w:val="20"/>
          <w:szCs w:val="20"/>
        </w:rPr>
      </w:pPr>
      <w:r>
        <w:rPr>
          <w:rFonts w:ascii="Arial" w:hAnsi="Arial" w:cs="Arial"/>
          <w:sz w:val="20"/>
          <w:szCs w:val="20"/>
        </w:rPr>
        <w:t>Globally</w:t>
      </w:r>
      <w:r w:rsidRPr="00F55ADE">
        <w:rPr>
          <w:rFonts w:ascii="Arial" w:hAnsi="Arial" w:cs="Arial"/>
          <w:sz w:val="20"/>
          <w:szCs w:val="20"/>
        </w:rPr>
        <w:t xml:space="preserve">, </w:t>
      </w:r>
      <w:r>
        <w:rPr>
          <w:rFonts w:ascii="Arial" w:hAnsi="Arial" w:cs="Arial"/>
          <w:sz w:val="20"/>
          <w:szCs w:val="20"/>
        </w:rPr>
        <w:t>inequalities</w:t>
      </w:r>
      <w:r w:rsidRPr="00F55ADE">
        <w:rPr>
          <w:rFonts w:ascii="Arial" w:hAnsi="Arial" w:cs="Arial"/>
          <w:sz w:val="20"/>
          <w:szCs w:val="20"/>
        </w:rPr>
        <w:t xml:space="preserve"> in healthcare distribution are still acute. The World Bank </w:t>
      </w:r>
      <w:r>
        <w:rPr>
          <w:rFonts w:ascii="Arial" w:hAnsi="Arial" w:cs="Arial"/>
          <w:sz w:val="20"/>
          <w:szCs w:val="20"/>
        </w:rPr>
        <w:t>(2021) reported</w:t>
      </w:r>
      <w:r w:rsidRPr="00F55ADE">
        <w:rPr>
          <w:rFonts w:ascii="Arial" w:hAnsi="Arial" w:cs="Arial"/>
          <w:sz w:val="20"/>
          <w:szCs w:val="20"/>
        </w:rPr>
        <w:t xml:space="preserve"> that sub-Saharan Africa carries 24 percent of the entire disease burden in the world and has at the same time not found 3 percent of the health workforce in the world (Anyangwe and Mtonga, 2007). </w:t>
      </w:r>
      <w:r>
        <w:rPr>
          <w:rFonts w:ascii="Arial" w:hAnsi="Arial" w:cs="Arial"/>
          <w:sz w:val="20"/>
          <w:szCs w:val="20"/>
        </w:rPr>
        <w:t>Similarly</w:t>
      </w:r>
      <w:r w:rsidRPr="00F55ADE">
        <w:rPr>
          <w:rFonts w:ascii="Arial" w:hAnsi="Arial" w:cs="Arial"/>
          <w:sz w:val="20"/>
          <w:szCs w:val="20"/>
        </w:rPr>
        <w:t xml:space="preserve">, OECD Health Statistics (2020) indicate that the density of physicians ranges from more than 5 per 1,000 population in countries such as Austria to less than 0.5 in low-income countries </w:t>
      </w:r>
      <w:r>
        <w:rPr>
          <w:rFonts w:ascii="Arial" w:hAnsi="Arial" w:cs="Arial"/>
          <w:sz w:val="20"/>
          <w:szCs w:val="20"/>
        </w:rPr>
        <w:t xml:space="preserve">such as </w:t>
      </w:r>
      <w:r w:rsidRPr="00F55ADE">
        <w:rPr>
          <w:rFonts w:ascii="Arial" w:hAnsi="Arial" w:cs="Arial"/>
          <w:sz w:val="20"/>
          <w:szCs w:val="20"/>
        </w:rPr>
        <w:t xml:space="preserve">Niger (OECD, </w:t>
      </w:r>
      <w:r w:rsidRPr="00F55ADE">
        <w:rPr>
          <w:rFonts w:ascii="Arial" w:hAnsi="Arial" w:cs="Arial"/>
          <w:sz w:val="20"/>
          <w:szCs w:val="20"/>
        </w:rPr>
        <w:lastRenderedPageBreak/>
        <w:t xml:space="preserve">2020). Such inequalities also carry over to primary health facilities, where accessibility and space distribution are even more uneven in so-called middle-income countries </w:t>
      </w:r>
      <w:r>
        <w:rPr>
          <w:rFonts w:ascii="Arial" w:hAnsi="Arial" w:cs="Arial"/>
          <w:sz w:val="20"/>
          <w:szCs w:val="20"/>
        </w:rPr>
        <w:t>like</w:t>
      </w:r>
      <w:r w:rsidRPr="00F55ADE">
        <w:rPr>
          <w:rFonts w:ascii="Arial" w:hAnsi="Arial" w:cs="Arial"/>
          <w:sz w:val="20"/>
          <w:szCs w:val="20"/>
        </w:rPr>
        <w:t xml:space="preserve"> Brazil (Travassos et al., 2002).</w:t>
      </w:r>
    </w:p>
    <w:p w:rsidR="00F55ADE" w:rsidRPr="00F55ADE" w:rsidRDefault="00064D36" w:rsidP="00F55ADE">
      <w:pPr>
        <w:spacing w:after="0" w:line="360" w:lineRule="auto"/>
        <w:ind w:firstLine="360"/>
        <w:jc w:val="both"/>
        <w:rPr>
          <w:rFonts w:ascii="Arial" w:hAnsi="Arial" w:cs="Arial"/>
          <w:sz w:val="20"/>
          <w:szCs w:val="20"/>
        </w:rPr>
      </w:pPr>
      <w:r w:rsidRPr="00F55ADE">
        <w:rPr>
          <w:rFonts w:ascii="Arial" w:hAnsi="Arial" w:cs="Arial"/>
          <w:sz w:val="20"/>
          <w:szCs w:val="20"/>
        </w:rPr>
        <w:t>Inequality is also reported in the Indian context. The Sub-Centres, Primary Health Centres (PHCs) and Community Health Centres (CHCs) constitute the network of India, which is meant to offer decentralized care. According to the Rural Health Statistics (Government of India, 2022), the country had 24,935 PHCs, but the number per 1,000 population was 4.3 percent below the norm. The difference between the states</w:t>
      </w:r>
      <w:r w:rsidR="00605382">
        <w:rPr>
          <w:rFonts w:ascii="Arial" w:hAnsi="Arial" w:cs="Arial"/>
          <w:sz w:val="20"/>
          <w:szCs w:val="20"/>
        </w:rPr>
        <w:t xml:space="preserve"> of the country</w:t>
      </w:r>
      <w:r w:rsidRPr="00F55ADE">
        <w:rPr>
          <w:rFonts w:ascii="Arial" w:hAnsi="Arial" w:cs="Arial"/>
          <w:sz w:val="20"/>
          <w:szCs w:val="20"/>
        </w:rPr>
        <w:t xml:space="preserve"> is</w:t>
      </w:r>
      <w:r w:rsidR="00605382">
        <w:rPr>
          <w:rFonts w:ascii="Arial" w:hAnsi="Arial" w:cs="Arial"/>
          <w:sz w:val="20"/>
          <w:szCs w:val="20"/>
        </w:rPr>
        <w:t xml:space="preserve"> also</w:t>
      </w:r>
      <w:r w:rsidRPr="00F55ADE">
        <w:rPr>
          <w:rFonts w:ascii="Arial" w:hAnsi="Arial" w:cs="Arial"/>
          <w:sz w:val="20"/>
          <w:szCs w:val="20"/>
        </w:rPr>
        <w:t xml:space="preserve"> </w:t>
      </w:r>
      <w:r w:rsidR="00605382">
        <w:rPr>
          <w:rFonts w:ascii="Arial" w:hAnsi="Arial" w:cs="Arial"/>
          <w:sz w:val="20"/>
          <w:szCs w:val="20"/>
        </w:rPr>
        <w:t>notable, that</w:t>
      </w:r>
      <w:r w:rsidRPr="00F55ADE">
        <w:rPr>
          <w:rFonts w:ascii="Arial" w:hAnsi="Arial" w:cs="Arial"/>
          <w:sz w:val="20"/>
          <w:szCs w:val="20"/>
        </w:rPr>
        <w:t xml:space="preserve"> there is </w:t>
      </w:r>
      <w:r w:rsidR="00605382">
        <w:rPr>
          <w:rFonts w:ascii="Arial" w:hAnsi="Arial" w:cs="Arial"/>
          <w:sz w:val="20"/>
          <w:szCs w:val="20"/>
        </w:rPr>
        <w:t xml:space="preserve">one </w:t>
      </w:r>
      <w:r w:rsidRPr="00F55ADE">
        <w:rPr>
          <w:rFonts w:ascii="Arial" w:hAnsi="Arial" w:cs="Arial"/>
          <w:sz w:val="20"/>
          <w:szCs w:val="20"/>
        </w:rPr>
        <w:t xml:space="preserve">PHC for 30,000 </w:t>
      </w:r>
      <w:r w:rsidR="00605382">
        <w:rPr>
          <w:rFonts w:ascii="Arial" w:hAnsi="Arial" w:cs="Arial"/>
          <w:sz w:val="20"/>
          <w:szCs w:val="20"/>
        </w:rPr>
        <w:t xml:space="preserve">people </w:t>
      </w:r>
      <w:r w:rsidRPr="00F55ADE">
        <w:rPr>
          <w:rFonts w:ascii="Arial" w:hAnsi="Arial" w:cs="Arial"/>
          <w:sz w:val="20"/>
          <w:szCs w:val="20"/>
        </w:rPr>
        <w:t xml:space="preserve">in Tamil Nadu, </w:t>
      </w:r>
      <w:r w:rsidR="00605382">
        <w:rPr>
          <w:rFonts w:ascii="Arial" w:hAnsi="Arial" w:cs="Arial"/>
          <w:sz w:val="20"/>
          <w:szCs w:val="20"/>
        </w:rPr>
        <w:t>whereas</w:t>
      </w:r>
      <w:r w:rsidRPr="00F55ADE">
        <w:rPr>
          <w:rFonts w:ascii="Arial" w:hAnsi="Arial" w:cs="Arial"/>
          <w:sz w:val="20"/>
          <w:szCs w:val="20"/>
        </w:rPr>
        <w:t xml:space="preserve"> there is close to one PHC for 70,000 </w:t>
      </w:r>
      <w:r w:rsidR="00605382">
        <w:rPr>
          <w:rFonts w:ascii="Arial" w:hAnsi="Arial" w:cs="Arial"/>
          <w:sz w:val="20"/>
          <w:szCs w:val="20"/>
        </w:rPr>
        <w:t xml:space="preserve">people </w:t>
      </w:r>
      <w:r w:rsidRPr="00F55ADE">
        <w:rPr>
          <w:rFonts w:ascii="Arial" w:hAnsi="Arial" w:cs="Arial"/>
          <w:sz w:val="20"/>
          <w:szCs w:val="20"/>
        </w:rPr>
        <w:t>in Bihar in</w:t>
      </w:r>
      <w:r w:rsidR="00605382">
        <w:rPr>
          <w:rFonts w:ascii="Arial" w:hAnsi="Arial" w:cs="Arial"/>
          <w:sz w:val="20"/>
          <w:szCs w:val="20"/>
        </w:rPr>
        <w:t xml:space="preserve"> </w:t>
      </w:r>
      <w:r w:rsidRPr="00F55ADE">
        <w:rPr>
          <w:rFonts w:ascii="Arial" w:hAnsi="Arial" w:cs="Arial"/>
          <w:sz w:val="20"/>
          <w:szCs w:val="20"/>
        </w:rPr>
        <w:t>2021. Moreover, there are gaps in functionality</w:t>
      </w:r>
      <w:r w:rsidR="00543C7E">
        <w:rPr>
          <w:rFonts w:ascii="Arial" w:hAnsi="Arial" w:cs="Arial"/>
          <w:sz w:val="20"/>
          <w:szCs w:val="20"/>
        </w:rPr>
        <w:t xml:space="preserve"> too. </w:t>
      </w:r>
      <w:r w:rsidR="00543C7E" w:rsidRPr="00F55ADE">
        <w:rPr>
          <w:rFonts w:ascii="Arial" w:hAnsi="Arial" w:cs="Arial"/>
          <w:sz w:val="20"/>
          <w:szCs w:val="20"/>
        </w:rPr>
        <w:t xml:space="preserve">In </w:t>
      </w:r>
      <w:r w:rsidRPr="00F55ADE">
        <w:rPr>
          <w:rFonts w:ascii="Arial" w:hAnsi="Arial" w:cs="Arial"/>
          <w:sz w:val="20"/>
          <w:szCs w:val="20"/>
        </w:rPr>
        <w:t xml:space="preserve">the National Sample Survey (2018), it was found that 55 percent of rural households use PHCs as their </w:t>
      </w:r>
      <w:r w:rsidR="00543C7E">
        <w:rPr>
          <w:rFonts w:ascii="Arial" w:hAnsi="Arial" w:cs="Arial"/>
          <w:sz w:val="20"/>
          <w:szCs w:val="20"/>
        </w:rPr>
        <w:t>first</w:t>
      </w:r>
      <w:r w:rsidRPr="00F55ADE">
        <w:rPr>
          <w:rFonts w:ascii="Arial" w:hAnsi="Arial" w:cs="Arial"/>
          <w:sz w:val="20"/>
          <w:szCs w:val="20"/>
        </w:rPr>
        <w:t xml:space="preserve"> </w:t>
      </w:r>
      <w:r w:rsidR="00543C7E">
        <w:rPr>
          <w:rFonts w:ascii="Arial" w:hAnsi="Arial" w:cs="Arial"/>
          <w:sz w:val="20"/>
          <w:szCs w:val="20"/>
        </w:rPr>
        <w:t>point</w:t>
      </w:r>
      <w:r w:rsidRPr="00F55ADE">
        <w:rPr>
          <w:rFonts w:ascii="Arial" w:hAnsi="Arial" w:cs="Arial"/>
          <w:sz w:val="20"/>
          <w:szCs w:val="20"/>
        </w:rPr>
        <w:t xml:space="preserve"> of care, but 25 percent have reported complaints about insufficient infrastructure and </w:t>
      </w:r>
      <w:r w:rsidR="00543C7E">
        <w:rPr>
          <w:rFonts w:ascii="Arial" w:hAnsi="Arial" w:cs="Arial"/>
          <w:sz w:val="20"/>
          <w:szCs w:val="20"/>
        </w:rPr>
        <w:t>medicines</w:t>
      </w:r>
      <w:r w:rsidRPr="00F55ADE">
        <w:rPr>
          <w:rFonts w:ascii="Arial" w:hAnsi="Arial" w:cs="Arial"/>
          <w:sz w:val="20"/>
          <w:szCs w:val="20"/>
        </w:rPr>
        <w:t>.</w:t>
      </w:r>
    </w:p>
    <w:p w:rsidR="00F55ADE" w:rsidRPr="00F55ADE" w:rsidRDefault="00064D36" w:rsidP="00F55ADE">
      <w:pPr>
        <w:spacing w:after="0" w:line="360" w:lineRule="auto"/>
        <w:ind w:firstLine="360"/>
        <w:jc w:val="both"/>
        <w:rPr>
          <w:rFonts w:ascii="Arial" w:hAnsi="Arial" w:cs="Arial"/>
          <w:sz w:val="20"/>
          <w:szCs w:val="20"/>
        </w:rPr>
      </w:pPr>
      <w:r w:rsidRPr="00F55ADE">
        <w:rPr>
          <w:rFonts w:ascii="Arial" w:hAnsi="Arial" w:cs="Arial"/>
          <w:sz w:val="20"/>
          <w:szCs w:val="20"/>
        </w:rPr>
        <w:t xml:space="preserve">Kerala is a model state known for its path to health, as it is situated on the southwestern coast of India. Kerala has a population of 35.3 million (Census of India, 2011) and is estimated to be 36.6 million in 2024, with a life expectancy of 75.3 (Sample Registration System, 202022), </w:t>
      </w:r>
      <w:r w:rsidR="00543C7E">
        <w:rPr>
          <w:rFonts w:ascii="Arial" w:hAnsi="Arial" w:cs="Arial"/>
          <w:sz w:val="20"/>
          <w:szCs w:val="20"/>
        </w:rPr>
        <w:t>whereas the</w:t>
      </w:r>
      <w:r w:rsidRPr="00F55ADE">
        <w:rPr>
          <w:rFonts w:ascii="Arial" w:hAnsi="Arial" w:cs="Arial"/>
          <w:sz w:val="20"/>
          <w:szCs w:val="20"/>
        </w:rPr>
        <w:t xml:space="preserve"> country</w:t>
      </w:r>
      <w:r w:rsidR="00543C7E">
        <w:rPr>
          <w:rFonts w:ascii="Arial" w:hAnsi="Arial" w:cs="Arial"/>
          <w:sz w:val="20"/>
          <w:szCs w:val="20"/>
        </w:rPr>
        <w:t>’s</w:t>
      </w:r>
      <w:r w:rsidRPr="00F55ADE">
        <w:rPr>
          <w:rFonts w:ascii="Arial" w:hAnsi="Arial" w:cs="Arial"/>
          <w:sz w:val="20"/>
          <w:szCs w:val="20"/>
        </w:rPr>
        <w:t xml:space="preserve"> average is 69 years. The infant mortality rate (IMR) of the state stands at 4 per 1000 born births (SRS, 2020), which is far below the all-India rate of 28. The level of literacy is nearly universal, with 96.2 percent being documented in 2021 (National Statistical Office, 2022). These successes are indicators of a long-term commitment to share the social welfare, education, and health since the 1960s.</w:t>
      </w:r>
    </w:p>
    <w:p w:rsidR="00F55ADE" w:rsidRPr="00F55ADE" w:rsidRDefault="00064D36" w:rsidP="00F55ADE">
      <w:pPr>
        <w:spacing w:after="0" w:line="360" w:lineRule="auto"/>
        <w:ind w:firstLine="360"/>
        <w:jc w:val="both"/>
        <w:rPr>
          <w:rFonts w:ascii="Arial" w:hAnsi="Arial" w:cs="Arial"/>
          <w:sz w:val="20"/>
          <w:szCs w:val="20"/>
        </w:rPr>
      </w:pPr>
      <w:r w:rsidRPr="00F55ADE">
        <w:rPr>
          <w:rFonts w:ascii="Arial" w:hAnsi="Arial" w:cs="Arial"/>
          <w:sz w:val="20"/>
          <w:szCs w:val="20"/>
        </w:rPr>
        <w:t xml:space="preserve">However, below these aggregate indicators are intra-state differences. Accordingly, Rural Health Statistics of Kerala (Kerala Digital Health Mission, 2025) have registered more than 780 PHCs as of July 2025, although their distribution across the 14 districts is uneven. Considering the case of Ernakulam, whose population is projected at 3.55 million by 2024, it has 62 PHCs, and Idukki, which has only 1.11 million people, has 22 PHCs. This can be translated to 1.74 PHCs per every 100,000 in Ernakulam versus 1.98 in Idukki, indicating some variation even when the population is identified. In addition, </w:t>
      </w:r>
      <w:r w:rsidR="0034025D">
        <w:rPr>
          <w:rFonts w:ascii="Arial" w:hAnsi="Arial" w:cs="Arial"/>
          <w:sz w:val="20"/>
          <w:szCs w:val="20"/>
        </w:rPr>
        <w:t>Wayanadu</w:t>
      </w:r>
      <w:r w:rsidRPr="00F55ADE">
        <w:rPr>
          <w:rFonts w:ascii="Arial" w:hAnsi="Arial" w:cs="Arial"/>
          <w:sz w:val="20"/>
          <w:szCs w:val="20"/>
        </w:rPr>
        <w:t xml:space="preserve"> and Idukki districts, which are dominated by tribal communities, recorded Scheduled Tribe quotas of 18.5 per cent and 15.4 per cent (Census of India, 2011), which were significantly </w:t>
      </w:r>
      <w:r w:rsidR="00543C7E">
        <w:rPr>
          <w:rFonts w:ascii="Arial" w:hAnsi="Arial" w:cs="Arial"/>
          <w:sz w:val="20"/>
          <w:szCs w:val="20"/>
        </w:rPr>
        <w:t>more than</w:t>
      </w:r>
      <w:r w:rsidRPr="00F55ADE">
        <w:rPr>
          <w:rFonts w:ascii="Arial" w:hAnsi="Arial" w:cs="Arial"/>
          <w:sz w:val="20"/>
          <w:szCs w:val="20"/>
        </w:rPr>
        <w:t xml:space="preserve"> that of the rest of the state (1.5 per cent), leading to a question of whether vulnerability is a characteristic of infrastructural distribution.</w:t>
      </w:r>
    </w:p>
    <w:p w:rsidR="00F55ADE" w:rsidRPr="00F55ADE" w:rsidRDefault="00064D36" w:rsidP="00F55ADE">
      <w:pPr>
        <w:spacing w:after="0" w:line="360" w:lineRule="auto"/>
        <w:ind w:firstLine="360"/>
        <w:jc w:val="both"/>
        <w:rPr>
          <w:rFonts w:ascii="Arial" w:hAnsi="Arial" w:cs="Arial"/>
          <w:sz w:val="20"/>
          <w:szCs w:val="20"/>
        </w:rPr>
      </w:pPr>
      <w:r w:rsidRPr="00F55ADE">
        <w:rPr>
          <w:rFonts w:ascii="Arial" w:hAnsi="Arial" w:cs="Arial"/>
          <w:sz w:val="20"/>
          <w:szCs w:val="20"/>
        </w:rPr>
        <w:t xml:space="preserve">The problem is augmented by economic differences. According to the </w:t>
      </w:r>
      <w:r w:rsidR="00543C7E">
        <w:rPr>
          <w:rFonts w:ascii="Arial" w:hAnsi="Arial" w:cs="Arial"/>
          <w:sz w:val="20"/>
          <w:szCs w:val="20"/>
        </w:rPr>
        <w:t>Economic Review of 2022</w:t>
      </w:r>
      <w:r w:rsidRPr="00F55ADE">
        <w:rPr>
          <w:rFonts w:ascii="Arial" w:hAnsi="Arial" w:cs="Arial"/>
          <w:sz w:val="20"/>
          <w:szCs w:val="20"/>
        </w:rPr>
        <w:t>, in some districts like Kasaragod</w:t>
      </w:r>
      <w:r w:rsidR="00543C7E">
        <w:rPr>
          <w:rFonts w:ascii="Arial" w:hAnsi="Arial" w:cs="Arial"/>
          <w:sz w:val="20"/>
          <w:szCs w:val="20"/>
        </w:rPr>
        <w:t xml:space="preserve"> and</w:t>
      </w:r>
      <w:r w:rsidRPr="00F55ADE">
        <w:rPr>
          <w:rFonts w:ascii="Arial" w:hAnsi="Arial" w:cs="Arial"/>
          <w:sz w:val="20"/>
          <w:szCs w:val="20"/>
        </w:rPr>
        <w:t xml:space="preserve"> Idukki, </w:t>
      </w:r>
      <w:r w:rsidR="00543C7E">
        <w:rPr>
          <w:rFonts w:ascii="Arial" w:hAnsi="Arial" w:cs="Arial"/>
          <w:sz w:val="20"/>
          <w:szCs w:val="20"/>
        </w:rPr>
        <w:t xml:space="preserve">the </w:t>
      </w:r>
      <w:r w:rsidRPr="00F55ADE">
        <w:rPr>
          <w:rFonts w:ascii="Arial" w:hAnsi="Arial" w:cs="Arial"/>
          <w:sz w:val="20"/>
          <w:szCs w:val="20"/>
        </w:rPr>
        <w:t>Below Poverty Line (BPL) households alone have up to 42</w:t>
      </w:r>
      <w:r w:rsidR="00543C7E">
        <w:rPr>
          <w:rFonts w:ascii="Arial" w:hAnsi="Arial" w:cs="Arial"/>
          <w:sz w:val="20"/>
          <w:szCs w:val="20"/>
        </w:rPr>
        <w:t>-</w:t>
      </w:r>
      <w:r w:rsidRPr="00F55ADE">
        <w:rPr>
          <w:rFonts w:ascii="Arial" w:hAnsi="Arial" w:cs="Arial"/>
          <w:sz w:val="20"/>
          <w:szCs w:val="20"/>
        </w:rPr>
        <w:t xml:space="preserve">50 percent of the population, which is contrasted to below 33 percent in Ernakulam and Thiruvananthapuram. Rurality also represents another </w:t>
      </w:r>
      <w:r w:rsidR="00003D74">
        <w:rPr>
          <w:rFonts w:ascii="Arial" w:hAnsi="Arial" w:cs="Arial"/>
          <w:sz w:val="20"/>
          <w:szCs w:val="20"/>
        </w:rPr>
        <w:t xml:space="preserve">dimension, as </w:t>
      </w:r>
      <w:r w:rsidRPr="00F55ADE">
        <w:rPr>
          <w:rFonts w:ascii="Arial" w:hAnsi="Arial" w:cs="Arial"/>
          <w:sz w:val="20"/>
          <w:szCs w:val="20"/>
        </w:rPr>
        <w:t xml:space="preserve">95.3 percent of Idukki's population is </w:t>
      </w:r>
      <w:r w:rsidR="00003D74">
        <w:rPr>
          <w:rFonts w:ascii="Arial" w:hAnsi="Arial" w:cs="Arial"/>
          <w:sz w:val="20"/>
          <w:szCs w:val="20"/>
        </w:rPr>
        <w:t>rural</w:t>
      </w:r>
      <w:r w:rsidRPr="00F55ADE">
        <w:rPr>
          <w:rFonts w:ascii="Arial" w:hAnsi="Arial" w:cs="Arial"/>
          <w:sz w:val="20"/>
          <w:szCs w:val="20"/>
        </w:rPr>
        <w:t xml:space="preserve">, and Ernakulam has a rural population below 32 percent (Government of Kerala, 2023). Such </w:t>
      </w:r>
      <w:r w:rsidR="00003D74">
        <w:rPr>
          <w:rFonts w:ascii="Arial" w:hAnsi="Arial" w:cs="Arial"/>
          <w:sz w:val="20"/>
          <w:szCs w:val="20"/>
        </w:rPr>
        <w:t>differences</w:t>
      </w:r>
      <w:r w:rsidRPr="00F55ADE">
        <w:rPr>
          <w:rFonts w:ascii="Arial" w:hAnsi="Arial" w:cs="Arial"/>
          <w:sz w:val="20"/>
          <w:szCs w:val="20"/>
        </w:rPr>
        <w:t xml:space="preserve"> indicate that the equal allocation of PHCs cannot be evaluated solely on the basis of population ratios; socio-economic and geographic </w:t>
      </w:r>
      <w:r w:rsidR="00003D74">
        <w:rPr>
          <w:rFonts w:ascii="Arial" w:hAnsi="Arial" w:cs="Arial"/>
          <w:sz w:val="20"/>
          <w:szCs w:val="20"/>
        </w:rPr>
        <w:t>factors</w:t>
      </w:r>
      <w:r w:rsidRPr="00F55ADE">
        <w:rPr>
          <w:rFonts w:ascii="Arial" w:hAnsi="Arial" w:cs="Arial"/>
          <w:sz w:val="20"/>
          <w:szCs w:val="20"/>
        </w:rPr>
        <w:t xml:space="preserve"> must also be addressed.</w:t>
      </w:r>
    </w:p>
    <w:p w:rsidR="0029339F" w:rsidRPr="001F46A5" w:rsidRDefault="00064D36" w:rsidP="00F55ADE">
      <w:pPr>
        <w:spacing w:after="0" w:line="360" w:lineRule="auto"/>
        <w:ind w:firstLine="360"/>
        <w:jc w:val="both"/>
        <w:rPr>
          <w:rFonts w:ascii="Arial" w:hAnsi="Arial" w:cs="Arial"/>
          <w:b/>
          <w:sz w:val="20"/>
          <w:szCs w:val="20"/>
        </w:rPr>
      </w:pPr>
      <w:r w:rsidRPr="00F55ADE">
        <w:rPr>
          <w:rFonts w:ascii="Arial" w:hAnsi="Arial" w:cs="Arial"/>
          <w:sz w:val="20"/>
          <w:szCs w:val="20"/>
        </w:rPr>
        <w:lastRenderedPageBreak/>
        <w:t>These inequities are also shaped by the historical development of Kerala's health system. Kerala had invested in a sparse system of primary health facilities since the 1960s, with community involvement and support from the local government (Kutty, 2000). The 1990s reforms of decentralization, especially the People Plan Campaign, increased the power of local</w:t>
      </w:r>
      <w:r w:rsidR="006D0A9A">
        <w:rPr>
          <w:rFonts w:ascii="Arial" w:hAnsi="Arial" w:cs="Arial"/>
          <w:sz w:val="20"/>
          <w:szCs w:val="20"/>
        </w:rPr>
        <w:t xml:space="preserve"> governance</w:t>
      </w:r>
      <w:r w:rsidRPr="00F55ADE">
        <w:rPr>
          <w:rFonts w:ascii="Arial" w:hAnsi="Arial" w:cs="Arial"/>
          <w:sz w:val="20"/>
          <w:szCs w:val="20"/>
        </w:rPr>
        <w:t xml:space="preserve"> bodies in running the health institutions (Elamon et al., 2004). Though such reforms increased accessibility, it has been shown that there are still disparities in staffing, infrastructure quality, and </w:t>
      </w:r>
      <w:r w:rsidR="006D0A9A">
        <w:rPr>
          <w:rFonts w:ascii="Arial" w:hAnsi="Arial" w:cs="Arial"/>
          <w:sz w:val="20"/>
          <w:szCs w:val="20"/>
        </w:rPr>
        <w:t>the availability</w:t>
      </w:r>
      <w:r w:rsidRPr="00F55ADE">
        <w:rPr>
          <w:rFonts w:ascii="Arial" w:hAnsi="Arial" w:cs="Arial"/>
          <w:sz w:val="20"/>
          <w:szCs w:val="20"/>
        </w:rPr>
        <w:t xml:space="preserve"> of medicines (Sapkota et al., 2023). In urban areas, there are advantages from coexistence with both private hospitals and advanced government hospitals, whereas in remote rural and tribal areas, PHCs are strongly relied on, making fair distribution even more vital</w:t>
      </w:r>
      <w:r w:rsidRPr="001F46A5">
        <w:rPr>
          <w:rFonts w:ascii="Arial" w:hAnsi="Arial" w:cs="Arial"/>
          <w:sz w:val="20"/>
          <w:szCs w:val="20"/>
        </w:rPr>
        <w:t>.</w:t>
      </w:r>
    </w:p>
    <w:p w:rsidR="00F55ADE" w:rsidRPr="00F55ADE" w:rsidRDefault="00064D36" w:rsidP="00F55ADE">
      <w:pPr>
        <w:spacing w:after="0" w:line="360" w:lineRule="auto"/>
        <w:ind w:firstLine="360"/>
        <w:jc w:val="both"/>
        <w:rPr>
          <w:rFonts w:ascii="Arial" w:hAnsi="Arial" w:cs="Arial"/>
          <w:sz w:val="20"/>
          <w:szCs w:val="20"/>
        </w:rPr>
      </w:pPr>
      <w:r>
        <w:rPr>
          <w:rFonts w:ascii="Arial" w:hAnsi="Arial" w:cs="Arial"/>
          <w:sz w:val="20"/>
          <w:szCs w:val="20"/>
        </w:rPr>
        <w:t>Compared to</w:t>
      </w:r>
      <w:r w:rsidRPr="00F55ADE">
        <w:rPr>
          <w:rFonts w:ascii="Arial" w:hAnsi="Arial" w:cs="Arial"/>
          <w:sz w:val="20"/>
          <w:szCs w:val="20"/>
        </w:rPr>
        <w:t xml:space="preserve"> other South</w:t>
      </w:r>
      <w:r>
        <w:rPr>
          <w:rFonts w:ascii="Arial" w:hAnsi="Arial" w:cs="Arial"/>
          <w:sz w:val="20"/>
          <w:szCs w:val="20"/>
        </w:rPr>
        <w:t xml:space="preserve"> Indian</w:t>
      </w:r>
      <w:r w:rsidRPr="00F55ADE">
        <w:rPr>
          <w:rFonts w:ascii="Arial" w:hAnsi="Arial" w:cs="Arial"/>
          <w:sz w:val="20"/>
          <w:szCs w:val="20"/>
        </w:rPr>
        <w:t xml:space="preserve"> states</w:t>
      </w:r>
      <w:r>
        <w:rPr>
          <w:rFonts w:ascii="Arial" w:hAnsi="Arial" w:cs="Arial"/>
          <w:sz w:val="20"/>
          <w:szCs w:val="20"/>
        </w:rPr>
        <w:t>, Kerala</w:t>
      </w:r>
      <w:r w:rsidRPr="00F55ADE">
        <w:rPr>
          <w:rFonts w:ascii="Arial" w:hAnsi="Arial" w:cs="Arial"/>
          <w:sz w:val="20"/>
          <w:szCs w:val="20"/>
        </w:rPr>
        <w:t xml:space="preserve"> has a </w:t>
      </w:r>
      <w:r>
        <w:rPr>
          <w:rFonts w:ascii="Arial" w:hAnsi="Arial" w:cs="Arial"/>
          <w:sz w:val="20"/>
          <w:szCs w:val="20"/>
        </w:rPr>
        <w:t>relative</w:t>
      </w:r>
      <w:r w:rsidRPr="00F55ADE">
        <w:rPr>
          <w:rFonts w:ascii="Arial" w:hAnsi="Arial" w:cs="Arial"/>
          <w:sz w:val="20"/>
          <w:szCs w:val="20"/>
        </w:rPr>
        <w:t xml:space="preserve"> </w:t>
      </w:r>
      <w:r>
        <w:rPr>
          <w:rFonts w:ascii="Arial" w:hAnsi="Arial" w:cs="Arial"/>
          <w:sz w:val="20"/>
          <w:szCs w:val="20"/>
        </w:rPr>
        <w:t>advantage</w:t>
      </w:r>
      <w:r w:rsidRPr="00F55ADE">
        <w:rPr>
          <w:rFonts w:ascii="Arial" w:hAnsi="Arial" w:cs="Arial"/>
          <w:sz w:val="20"/>
          <w:szCs w:val="20"/>
        </w:rPr>
        <w:t xml:space="preserve"> </w:t>
      </w:r>
      <w:r>
        <w:rPr>
          <w:rFonts w:ascii="Arial" w:hAnsi="Arial" w:cs="Arial"/>
          <w:sz w:val="20"/>
          <w:szCs w:val="20"/>
        </w:rPr>
        <w:t>but also has its own</w:t>
      </w:r>
      <w:r w:rsidRPr="00F55ADE">
        <w:rPr>
          <w:rFonts w:ascii="Arial" w:hAnsi="Arial" w:cs="Arial"/>
          <w:sz w:val="20"/>
          <w:szCs w:val="20"/>
        </w:rPr>
        <w:t xml:space="preserve"> limitation</w:t>
      </w:r>
      <w:r w:rsidR="00201796">
        <w:rPr>
          <w:rFonts w:ascii="Arial" w:hAnsi="Arial" w:cs="Arial"/>
          <w:sz w:val="20"/>
          <w:szCs w:val="20"/>
        </w:rPr>
        <w:t>s</w:t>
      </w:r>
      <w:r w:rsidRPr="00F55ADE">
        <w:rPr>
          <w:rFonts w:ascii="Arial" w:hAnsi="Arial" w:cs="Arial"/>
          <w:sz w:val="20"/>
          <w:szCs w:val="20"/>
        </w:rPr>
        <w:t xml:space="preserve">. In Tamil Nadu, effective PHC operations have historically been ensured by innovations such as 24-hour maternity services and referral </w:t>
      </w:r>
      <w:r>
        <w:rPr>
          <w:rFonts w:ascii="Arial" w:hAnsi="Arial" w:cs="Arial"/>
          <w:sz w:val="20"/>
          <w:szCs w:val="20"/>
        </w:rPr>
        <w:t>linkages</w:t>
      </w:r>
      <w:r w:rsidRPr="00F55ADE">
        <w:rPr>
          <w:rFonts w:ascii="Arial" w:hAnsi="Arial" w:cs="Arial"/>
          <w:sz w:val="20"/>
          <w:szCs w:val="20"/>
        </w:rPr>
        <w:t xml:space="preserve"> (Pandian et al., 2013). Karnataka, on the other hand, has invested more in secondary hospitals, leaving rural areas comparatively poorly covered (NITI Aayog, 2021). The success of Kerala is that it has a high concentration of PHCs, and, unlike Tamil Nadu, there is less information available on whether the facilities are allocated fairly to address the demand of vulnerable groups (Sankar et al., 2023).</w:t>
      </w:r>
    </w:p>
    <w:p w:rsidR="0029339F" w:rsidRPr="001F46A5" w:rsidRDefault="00064D36" w:rsidP="00F55ADE">
      <w:pPr>
        <w:spacing w:after="0" w:line="360" w:lineRule="auto"/>
        <w:ind w:firstLine="360"/>
        <w:jc w:val="both"/>
        <w:rPr>
          <w:rFonts w:ascii="Arial" w:hAnsi="Arial" w:cs="Arial"/>
          <w:sz w:val="20"/>
          <w:szCs w:val="20"/>
        </w:rPr>
      </w:pPr>
      <w:r w:rsidRPr="00A47C14">
        <w:rPr>
          <w:rFonts w:ascii="Arial" w:hAnsi="Arial" w:cs="Arial"/>
          <w:sz w:val="20"/>
          <w:szCs w:val="20"/>
        </w:rPr>
        <w:t>From a policy perspective, Kerala’s strong performance at the macro level</w:t>
      </w:r>
      <w:r w:rsidR="00F55ADE" w:rsidRPr="00F55ADE">
        <w:rPr>
          <w:rFonts w:ascii="Arial" w:hAnsi="Arial" w:cs="Arial"/>
          <w:sz w:val="20"/>
          <w:szCs w:val="20"/>
        </w:rPr>
        <w:t xml:space="preserve"> has, in many ways, addressed the micro-level inequalities. The National Health Mission (NHM, 2021) focuses on the distribution of resources, which are equally distributed, and there is still not much empirical research that considers intra-state distributions of PHCs based on </w:t>
      </w:r>
      <w:r w:rsidR="00A01995">
        <w:rPr>
          <w:rFonts w:ascii="Arial" w:hAnsi="Arial" w:cs="Arial"/>
          <w:sz w:val="20"/>
          <w:szCs w:val="20"/>
        </w:rPr>
        <w:t xml:space="preserve">some </w:t>
      </w:r>
      <w:r w:rsidR="00F55ADE" w:rsidRPr="00F55ADE">
        <w:rPr>
          <w:rFonts w:ascii="Arial" w:hAnsi="Arial" w:cs="Arial"/>
          <w:sz w:val="20"/>
          <w:szCs w:val="20"/>
        </w:rPr>
        <w:t xml:space="preserve">formal indicators, including Lorenz curves and Gini </w:t>
      </w:r>
      <w:r w:rsidR="00A01995">
        <w:rPr>
          <w:rFonts w:ascii="Arial" w:hAnsi="Arial" w:cs="Arial"/>
          <w:sz w:val="20"/>
          <w:szCs w:val="20"/>
        </w:rPr>
        <w:t>coefficients</w:t>
      </w:r>
      <w:r w:rsidR="00F55ADE" w:rsidRPr="00F55ADE">
        <w:rPr>
          <w:rFonts w:ascii="Arial" w:hAnsi="Arial" w:cs="Arial"/>
          <w:sz w:val="20"/>
          <w:szCs w:val="20"/>
        </w:rPr>
        <w:t xml:space="preserve"> (Tao et al., 2014). Common health outcomes</w:t>
      </w:r>
      <w:r w:rsidR="00CB723F">
        <w:rPr>
          <w:rFonts w:ascii="Arial" w:hAnsi="Arial" w:cs="Arial"/>
          <w:sz w:val="20"/>
          <w:szCs w:val="20"/>
        </w:rPr>
        <w:t xml:space="preserve"> —such as</w:t>
      </w:r>
      <w:r w:rsidR="00F55ADE" w:rsidRPr="00F55ADE">
        <w:rPr>
          <w:rFonts w:ascii="Arial" w:hAnsi="Arial" w:cs="Arial"/>
          <w:sz w:val="20"/>
          <w:szCs w:val="20"/>
        </w:rPr>
        <w:t xml:space="preserve"> </w:t>
      </w:r>
      <w:r w:rsidR="00CB723F" w:rsidRPr="00F55ADE">
        <w:rPr>
          <w:rFonts w:ascii="Arial" w:hAnsi="Arial" w:cs="Arial"/>
          <w:sz w:val="20"/>
          <w:szCs w:val="20"/>
        </w:rPr>
        <w:t xml:space="preserve">mortality, morbidity, and immunization rates </w:t>
      </w:r>
      <w:r w:rsidR="00CB723F">
        <w:rPr>
          <w:rFonts w:ascii="Arial" w:hAnsi="Arial" w:cs="Arial"/>
          <w:sz w:val="20"/>
          <w:szCs w:val="20"/>
        </w:rPr>
        <w:t xml:space="preserve">—rather than </w:t>
      </w:r>
      <w:r w:rsidR="00CB723F" w:rsidRPr="00F55ADE">
        <w:rPr>
          <w:rFonts w:ascii="Arial" w:hAnsi="Arial" w:cs="Arial"/>
          <w:sz w:val="20"/>
          <w:szCs w:val="20"/>
        </w:rPr>
        <w:t xml:space="preserve">infrastructure </w:t>
      </w:r>
      <w:r w:rsidR="00F55ADE" w:rsidRPr="00F55ADE">
        <w:rPr>
          <w:rFonts w:ascii="Arial" w:hAnsi="Arial" w:cs="Arial"/>
          <w:sz w:val="20"/>
          <w:szCs w:val="20"/>
        </w:rPr>
        <w:t xml:space="preserve">have been considered </w:t>
      </w:r>
      <w:r w:rsidR="00CB723F">
        <w:rPr>
          <w:rFonts w:ascii="Arial" w:hAnsi="Arial" w:cs="Arial"/>
          <w:sz w:val="20"/>
          <w:szCs w:val="20"/>
        </w:rPr>
        <w:t>in equity analysis</w:t>
      </w:r>
      <w:r w:rsidR="00F55ADE" w:rsidRPr="00F55ADE">
        <w:rPr>
          <w:rFonts w:ascii="Arial" w:hAnsi="Arial" w:cs="Arial"/>
          <w:sz w:val="20"/>
          <w:szCs w:val="20"/>
        </w:rPr>
        <w:t>. This implies the need to explore the spatial distribution of PHCs and whether it aligns with social vulnerability indicators, including cas</w:t>
      </w:r>
      <w:r w:rsidR="00A469EF">
        <w:rPr>
          <w:rFonts w:ascii="Arial" w:hAnsi="Arial" w:cs="Arial"/>
          <w:sz w:val="20"/>
          <w:szCs w:val="20"/>
        </w:rPr>
        <w:t>te</w:t>
      </w:r>
      <w:r w:rsidR="00F55ADE" w:rsidRPr="00F55ADE">
        <w:rPr>
          <w:rFonts w:ascii="Arial" w:hAnsi="Arial" w:cs="Arial"/>
          <w:sz w:val="20"/>
          <w:szCs w:val="20"/>
        </w:rPr>
        <w:t>, poverty, and rurality</w:t>
      </w:r>
      <w:r w:rsidRPr="001F46A5">
        <w:rPr>
          <w:rFonts w:ascii="Arial" w:hAnsi="Arial" w:cs="Arial"/>
          <w:sz w:val="20"/>
          <w:szCs w:val="20"/>
        </w:rPr>
        <w:t>.</w:t>
      </w:r>
    </w:p>
    <w:p w:rsidR="0029339F" w:rsidRPr="00052C82" w:rsidRDefault="00064D36" w:rsidP="006C1357">
      <w:pPr>
        <w:spacing w:before="240" w:line="360" w:lineRule="auto"/>
        <w:jc w:val="both"/>
        <w:outlineLvl w:val="2"/>
        <w:rPr>
          <w:rFonts w:ascii="Arial" w:eastAsia="Times New Roman" w:hAnsi="Arial" w:cs="Arial"/>
          <w:b/>
          <w:bCs/>
          <w:szCs w:val="20"/>
        </w:rPr>
      </w:pPr>
      <w:r w:rsidRPr="00052C82">
        <w:rPr>
          <w:rFonts w:ascii="Arial" w:eastAsia="Times New Roman" w:hAnsi="Arial" w:cs="Arial"/>
          <w:b/>
          <w:bCs/>
          <w:szCs w:val="20"/>
        </w:rPr>
        <w:t>1.</w:t>
      </w:r>
      <w:r w:rsidR="00B113B6" w:rsidRPr="00052C82">
        <w:rPr>
          <w:rFonts w:ascii="Arial" w:eastAsia="Times New Roman" w:hAnsi="Arial" w:cs="Arial"/>
          <w:b/>
          <w:bCs/>
          <w:szCs w:val="20"/>
        </w:rPr>
        <w:t>1</w:t>
      </w:r>
      <w:r w:rsidRPr="00052C82">
        <w:rPr>
          <w:rFonts w:ascii="Arial" w:eastAsia="Times New Roman" w:hAnsi="Arial" w:cs="Arial"/>
          <w:b/>
          <w:bCs/>
          <w:szCs w:val="20"/>
        </w:rPr>
        <w:t xml:space="preserve"> The Indian Healthcare System and PHCs</w:t>
      </w:r>
    </w:p>
    <w:p w:rsidR="0029339F" w:rsidRPr="0029339F" w:rsidRDefault="00064D36" w:rsidP="00DE3B88">
      <w:pPr>
        <w:spacing w:after="0" w:line="360" w:lineRule="auto"/>
        <w:ind w:firstLine="720"/>
        <w:jc w:val="both"/>
        <w:rPr>
          <w:rFonts w:ascii="Arial" w:eastAsia="Times New Roman" w:hAnsi="Arial" w:cs="Arial"/>
          <w:sz w:val="20"/>
          <w:szCs w:val="20"/>
        </w:rPr>
      </w:pPr>
      <w:r w:rsidRPr="00F55ADE">
        <w:rPr>
          <w:rFonts w:ascii="Arial" w:eastAsia="Times New Roman" w:hAnsi="Arial" w:cs="Arial"/>
          <w:sz w:val="20"/>
          <w:szCs w:val="20"/>
        </w:rPr>
        <w:t xml:space="preserve">The health system in India is based on a three-tier system where the first and second tiers comprise sub-centres and primary health centres (PHCs) respectively, the third tier is occupied by </w:t>
      </w:r>
      <w:r w:rsidR="00A469EF" w:rsidRPr="00F55ADE">
        <w:rPr>
          <w:rFonts w:ascii="Arial" w:eastAsia="Times New Roman" w:hAnsi="Arial" w:cs="Arial"/>
          <w:sz w:val="20"/>
          <w:szCs w:val="20"/>
        </w:rPr>
        <w:t>Community Health Centres</w:t>
      </w:r>
      <w:r w:rsidR="00A469EF">
        <w:rPr>
          <w:rFonts w:ascii="Arial" w:eastAsia="Times New Roman" w:hAnsi="Arial" w:cs="Arial"/>
          <w:sz w:val="20"/>
          <w:szCs w:val="20"/>
        </w:rPr>
        <w:t xml:space="preserve"> (CHCs)</w:t>
      </w:r>
      <w:r w:rsidRPr="00F55ADE">
        <w:rPr>
          <w:rFonts w:ascii="Arial" w:eastAsia="Times New Roman" w:hAnsi="Arial" w:cs="Arial"/>
          <w:sz w:val="20"/>
          <w:szCs w:val="20"/>
        </w:rPr>
        <w:t xml:space="preserve">, and the fourth tier is the district and tertiary hospitals (National Health Mission, 2021). More specifically, PHCs serve as the foundation of primary care </w:t>
      </w:r>
      <w:r w:rsidR="006A1423">
        <w:rPr>
          <w:rFonts w:ascii="Arial" w:eastAsia="Times New Roman" w:hAnsi="Arial" w:cs="Arial"/>
          <w:sz w:val="20"/>
          <w:szCs w:val="20"/>
        </w:rPr>
        <w:t>delivery</w:t>
      </w:r>
      <w:r w:rsidRPr="00F55ADE">
        <w:rPr>
          <w:rFonts w:ascii="Arial" w:eastAsia="Times New Roman" w:hAnsi="Arial" w:cs="Arial"/>
          <w:sz w:val="20"/>
          <w:szCs w:val="20"/>
        </w:rPr>
        <w:t xml:space="preserve">, particularly in rural and semi-urban areas. The PHCs are </w:t>
      </w:r>
      <w:r w:rsidR="006A1423">
        <w:rPr>
          <w:rFonts w:ascii="Arial" w:eastAsia="Times New Roman" w:hAnsi="Arial" w:cs="Arial"/>
          <w:sz w:val="20"/>
          <w:szCs w:val="20"/>
        </w:rPr>
        <w:t>formed</w:t>
      </w:r>
      <w:r w:rsidRPr="00F55ADE">
        <w:rPr>
          <w:rFonts w:ascii="Arial" w:eastAsia="Times New Roman" w:hAnsi="Arial" w:cs="Arial"/>
          <w:sz w:val="20"/>
          <w:szCs w:val="20"/>
        </w:rPr>
        <w:t xml:space="preserve"> to serve about 30,000 inhabitants in plain </w:t>
      </w:r>
      <w:r w:rsidR="006A1423">
        <w:rPr>
          <w:rFonts w:ascii="Arial" w:eastAsia="Times New Roman" w:hAnsi="Arial" w:cs="Arial"/>
          <w:sz w:val="20"/>
          <w:szCs w:val="20"/>
        </w:rPr>
        <w:t>areas</w:t>
      </w:r>
      <w:r w:rsidRPr="00F55ADE">
        <w:rPr>
          <w:rFonts w:ascii="Arial" w:eastAsia="Times New Roman" w:hAnsi="Arial" w:cs="Arial"/>
          <w:sz w:val="20"/>
          <w:szCs w:val="20"/>
        </w:rPr>
        <w:t xml:space="preserve"> and 20,000 in hilly or tribal areas (Government of India, Ministry of Health and Family Welfare, 2022). They also provide outpatient care, preventive and promotive services, maternal health programs, child health programs, and national health schemes implementation. </w:t>
      </w:r>
      <w:r w:rsidR="006A1423">
        <w:rPr>
          <w:rFonts w:ascii="Arial" w:eastAsia="Times New Roman" w:hAnsi="Arial" w:cs="Arial"/>
          <w:sz w:val="20"/>
          <w:szCs w:val="20"/>
        </w:rPr>
        <w:t>Despite</w:t>
      </w:r>
      <w:r w:rsidR="006A1423" w:rsidRPr="00F55ADE">
        <w:rPr>
          <w:rFonts w:ascii="Arial" w:eastAsia="Times New Roman" w:hAnsi="Arial" w:cs="Arial"/>
          <w:sz w:val="20"/>
          <w:szCs w:val="20"/>
        </w:rPr>
        <w:t xml:space="preserve"> </w:t>
      </w:r>
      <w:r w:rsidRPr="00F55ADE">
        <w:rPr>
          <w:rFonts w:ascii="Arial" w:eastAsia="Times New Roman" w:hAnsi="Arial" w:cs="Arial"/>
          <w:sz w:val="20"/>
          <w:szCs w:val="20"/>
        </w:rPr>
        <w:t xml:space="preserve">these design </w:t>
      </w:r>
      <w:r w:rsidR="006A1423">
        <w:rPr>
          <w:rFonts w:ascii="Arial" w:eastAsia="Times New Roman" w:hAnsi="Arial" w:cs="Arial"/>
          <w:sz w:val="20"/>
          <w:szCs w:val="20"/>
        </w:rPr>
        <w:t>norms</w:t>
      </w:r>
      <w:r w:rsidRPr="00F55ADE">
        <w:rPr>
          <w:rFonts w:ascii="Arial" w:eastAsia="Times New Roman" w:hAnsi="Arial" w:cs="Arial"/>
          <w:sz w:val="20"/>
          <w:szCs w:val="20"/>
        </w:rPr>
        <w:t xml:space="preserve"> being considered, there is still a </w:t>
      </w:r>
      <w:r w:rsidR="006A1423" w:rsidRPr="006A1423">
        <w:rPr>
          <w:rFonts w:ascii="Arial" w:eastAsia="Times New Roman" w:hAnsi="Arial" w:cs="Arial"/>
          <w:sz w:val="20"/>
          <w:szCs w:val="20"/>
        </w:rPr>
        <w:t xml:space="preserve">persistent </w:t>
      </w:r>
      <w:r w:rsidRPr="00F55ADE">
        <w:rPr>
          <w:rFonts w:ascii="Arial" w:eastAsia="Times New Roman" w:hAnsi="Arial" w:cs="Arial"/>
          <w:sz w:val="20"/>
          <w:szCs w:val="20"/>
        </w:rPr>
        <w:t xml:space="preserve">challenge of equitable allocation of PHCs in India. The southeastern states, in particular, Kerala and Tamil Nadu, are showing even more favorable results in terms of PHC density; the states, like Bihar and Uttar Pradesh, are being seen as having lower in the number and functioning. </w:t>
      </w:r>
      <w:r w:rsidRPr="00F55ADE">
        <w:rPr>
          <w:rFonts w:ascii="Arial" w:eastAsia="Times New Roman" w:hAnsi="Arial" w:cs="Arial"/>
          <w:sz w:val="20"/>
          <w:szCs w:val="20"/>
        </w:rPr>
        <w:lastRenderedPageBreak/>
        <w:t xml:space="preserve">Besides, intra-state inequality also exists in even-performing states due to unequal geography, economic variations, and socio-demographic heterogeneity </w:t>
      </w:r>
      <w:r w:rsidR="009B7220" w:rsidRPr="009B7220">
        <w:rPr>
          <w:rFonts w:ascii="Arial" w:eastAsia="Times New Roman" w:hAnsi="Arial" w:cs="Arial"/>
          <w:sz w:val="20"/>
          <w:szCs w:val="20"/>
        </w:rPr>
        <w:t>(NITI Aayog, 2021).</w:t>
      </w:r>
    </w:p>
    <w:p w:rsidR="009B7220" w:rsidRPr="00052C82" w:rsidRDefault="00064D36" w:rsidP="006C1357">
      <w:pPr>
        <w:spacing w:before="240" w:line="360" w:lineRule="auto"/>
        <w:jc w:val="both"/>
        <w:outlineLvl w:val="2"/>
        <w:rPr>
          <w:rFonts w:ascii="Arial" w:eastAsia="Times New Roman" w:hAnsi="Arial" w:cs="Arial"/>
          <w:b/>
          <w:bCs/>
          <w:szCs w:val="20"/>
        </w:rPr>
      </w:pPr>
      <w:r w:rsidRPr="00052C82">
        <w:rPr>
          <w:rFonts w:ascii="Arial" w:eastAsia="Times New Roman" w:hAnsi="Arial" w:cs="Arial"/>
          <w:b/>
          <w:bCs/>
          <w:szCs w:val="20"/>
        </w:rPr>
        <w:t>1.</w:t>
      </w:r>
      <w:r w:rsidR="00B113B6" w:rsidRPr="00052C82">
        <w:rPr>
          <w:rFonts w:ascii="Arial" w:eastAsia="Times New Roman" w:hAnsi="Arial" w:cs="Arial"/>
          <w:b/>
          <w:bCs/>
          <w:szCs w:val="20"/>
        </w:rPr>
        <w:t>2</w:t>
      </w:r>
      <w:r w:rsidRPr="00052C82">
        <w:rPr>
          <w:rFonts w:ascii="Arial" w:eastAsia="Times New Roman" w:hAnsi="Arial" w:cs="Arial"/>
          <w:b/>
          <w:bCs/>
          <w:szCs w:val="20"/>
        </w:rPr>
        <w:t xml:space="preserve"> Kerala as a Model State</w:t>
      </w:r>
    </w:p>
    <w:p w:rsidR="00F55ADE" w:rsidRPr="00F55ADE" w:rsidRDefault="00064D36" w:rsidP="00F55ADE">
      <w:pPr>
        <w:spacing w:after="0" w:line="360" w:lineRule="auto"/>
        <w:ind w:firstLine="375"/>
        <w:jc w:val="both"/>
        <w:rPr>
          <w:rFonts w:ascii="Arial" w:eastAsia="Times New Roman" w:hAnsi="Arial" w:cs="Arial"/>
          <w:sz w:val="20"/>
          <w:szCs w:val="20"/>
        </w:rPr>
      </w:pPr>
      <w:r w:rsidRPr="00F55ADE">
        <w:rPr>
          <w:rFonts w:ascii="Arial" w:eastAsia="Times New Roman" w:hAnsi="Arial" w:cs="Arial"/>
          <w:sz w:val="20"/>
          <w:szCs w:val="20"/>
        </w:rPr>
        <w:t xml:space="preserve">Kerala has long been an </w:t>
      </w:r>
      <w:r w:rsidR="006A1423">
        <w:rPr>
          <w:rFonts w:ascii="Arial" w:eastAsia="Times New Roman" w:hAnsi="Arial" w:cs="Arial"/>
          <w:sz w:val="20"/>
          <w:szCs w:val="20"/>
        </w:rPr>
        <w:t>attention</w:t>
      </w:r>
      <w:r w:rsidRPr="00F55ADE">
        <w:rPr>
          <w:rFonts w:ascii="Arial" w:eastAsia="Times New Roman" w:hAnsi="Arial" w:cs="Arial"/>
          <w:sz w:val="20"/>
          <w:szCs w:val="20"/>
        </w:rPr>
        <w:t xml:space="preserve"> of scholarly interest over what is popularly known as the </w:t>
      </w:r>
      <w:r w:rsidR="006A1423">
        <w:rPr>
          <w:rFonts w:ascii="Arial" w:eastAsia="Times New Roman" w:hAnsi="Arial" w:cs="Arial"/>
          <w:sz w:val="20"/>
          <w:szCs w:val="20"/>
        </w:rPr>
        <w:t>“</w:t>
      </w:r>
      <w:r w:rsidRPr="00F55ADE">
        <w:rPr>
          <w:rFonts w:ascii="Arial" w:eastAsia="Times New Roman" w:hAnsi="Arial" w:cs="Arial"/>
          <w:sz w:val="20"/>
          <w:szCs w:val="20"/>
        </w:rPr>
        <w:t>Kerala model of development</w:t>
      </w:r>
      <w:r w:rsidR="006A1423">
        <w:rPr>
          <w:rFonts w:ascii="Arial" w:eastAsia="Times New Roman" w:hAnsi="Arial" w:cs="Arial"/>
          <w:sz w:val="20"/>
          <w:szCs w:val="20"/>
        </w:rPr>
        <w:t>”</w:t>
      </w:r>
      <w:r w:rsidRPr="00F55ADE">
        <w:rPr>
          <w:rFonts w:ascii="Arial" w:eastAsia="Times New Roman" w:hAnsi="Arial" w:cs="Arial"/>
          <w:sz w:val="20"/>
          <w:szCs w:val="20"/>
        </w:rPr>
        <w:t xml:space="preserve">. A paradox brought out by this model is that at relatively low per capita income, the state has made spectacular results in literacy, life expectancy, maternal and child health, and social development (Kannan, 2005; Sen, 1997). Kerala has infant mortality rates and life expectancy rates as good as those of middle-income nations, and literacy rates are close to universal. These </w:t>
      </w:r>
      <w:r w:rsidR="006A1423">
        <w:rPr>
          <w:rFonts w:ascii="Arial" w:eastAsia="Times New Roman" w:hAnsi="Arial" w:cs="Arial"/>
          <w:sz w:val="20"/>
          <w:szCs w:val="20"/>
        </w:rPr>
        <w:t>achievements</w:t>
      </w:r>
      <w:r w:rsidRPr="00F55ADE">
        <w:rPr>
          <w:rFonts w:ascii="Arial" w:eastAsia="Times New Roman" w:hAnsi="Arial" w:cs="Arial"/>
          <w:sz w:val="20"/>
          <w:szCs w:val="20"/>
        </w:rPr>
        <w:t xml:space="preserve"> have usually been traced to long-term government spending on health and education, </w:t>
      </w:r>
      <w:r w:rsidR="00FF3E92">
        <w:rPr>
          <w:rFonts w:ascii="Arial" w:eastAsia="Times New Roman" w:hAnsi="Arial" w:cs="Arial"/>
          <w:sz w:val="20"/>
          <w:szCs w:val="20"/>
        </w:rPr>
        <w:t>strong</w:t>
      </w:r>
      <w:r w:rsidRPr="00F55ADE">
        <w:rPr>
          <w:rFonts w:ascii="Arial" w:eastAsia="Times New Roman" w:hAnsi="Arial" w:cs="Arial"/>
          <w:sz w:val="20"/>
          <w:szCs w:val="20"/>
        </w:rPr>
        <w:t xml:space="preserve"> community participation, and social reform movements that reduced disparities in access (Oommen, 1993).</w:t>
      </w:r>
    </w:p>
    <w:p w:rsidR="009B7220" w:rsidRPr="0029339F" w:rsidRDefault="00064D36" w:rsidP="00F55ADE">
      <w:pPr>
        <w:spacing w:after="0" w:line="360" w:lineRule="auto"/>
        <w:ind w:firstLine="375"/>
        <w:jc w:val="both"/>
        <w:rPr>
          <w:rFonts w:ascii="Arial" w:eastAsia="Times New Roman" w:hAnsi="Arial" w:cs="Arial"/>
          <w:sz w:val="20"/>
          <w:szCs w:val="20"/>
        </w:rPr>
      </w:pPr>
      <w:r w:rsidRPr="00FF3E92">
        <w:rPr>
          <w:rFonts w:ascii="Arial" w:eastAsia="Times New Roman" w:hAnsi="Arial" w:cs="Arial"/>
          <w:sz w:val="20"/>
          <w:szCs w:val="20"/>
        </w:rPr>
        <w:t>However, success at the state level may conceal hidden inequities at the district level.</w:t>
      </w:r>
      <w:r>
        <w:rPr>
          <w:rFonts w:ascii="Arial" w:eastAsia="Times New Roman" w:hAnsi="Arial" w:cs="Arial"/>
          <w:sz w:val="20"/>
          <w:szCs w:val="20"/>
        </w:rPr>
        <w:t xml:space="preserve"> </w:t>
      </w:r>
      <w:r w:rsidR="00F55ADE" w:rsidRPr="00F55ADE">
        <w:rPr>
          <w:rFonts w:ascii="Arial" w:eastAsia="Times New Roman" w:hAnsi="Arial" w:cs="Arial"/>
          <w:sz w:val="20"/>
          <w:szCs w:val="20"/>
        </w:rPr>
        <w:t xml:space="preserve">The districts </w:t>
      </w:r>
      <w:r>
        <w:rPr>
          <w:rFonts w:ascii="Arial" w:eastAsia="Times New Roman" w:hAnsi="Arial" w:cs="Arial"/>
          <w:sz w:val="20"/>
          <w:szCs w:val="20"/>
        </w:rPr>
        <w:t>of</w:t>
      </w:r>
      <w:r w:rsidR="00F55ADE" w:rsidRPr="00F55ADE">
        <w:rPr>
          <w:rFonts w:ascii="Arial" w:eastAsia="Times New Roman" w:hAnsi="Arial" w:cs="Arial"/>
          <w:sz w:val="20"/>
          <w:szCs w:val="20"/>
        </w:rPr>
        <w:t xml:space="preserve"> Kerala are diverse in terms of geography, demography, and socio-economic </w:t>
      </w:r>
      <w:r>
        <w:rPr>
          <w:rFonts w:ascii="Arial" w:eastAsia="Times New Roman" w:hAnsi="Arial" w:cs="Arial"/>
          <w:sz w:val="20"/>
          <w:szCs w:val="20"/>
        </w:rPr>
        <w:t>composition</w:t>
      </w:r>
      <w:r w:rsidR="00F55ADE" w:rsidRPr="00F55ADE">
        <w:rPr>
          <w:rFonts w:ascii="Arial" w:eastAsia="Times New Roman" w:hAnsi="Arial" w:cs="Arial"/>
          <w:sz w:val="20"/>
          <w:szCs w:val="20"/>
        </w:rPr>
        <w:t xml:space="preserve">. The southern coastal </w:t>
      </w:r>
      <w:r>
        <w:rPr>
          <w:rFonts w:ascii="Arial" w:eastAsia="Times New Roman" w:hAnsi="Arial" w:cs="Arial"/>
          <w:sz w:val="20"/>
          <w:szCs w:val="20"/>
        </w:rPr>
        <w:t>districts</w:t>
      </w:r>
      <w:r w:rsidR="00F55ADE" w:rsidRPr="00F55ADE">
        <w:rPr>
          <w:rFonts w:ascii="Arial" w:eastAsia="Times New Roman" w:hAnsi="Arial" w:cs="Arial"/>
          <w:sz w:val="20"/>
          <w:szCs w:val="20"/>
        </w:rPr>
        <w:t xml:space="preserve"> like Ernakulam and Thiruvananthapuram which are more urbanized, and </w:t>
      </w:r>
      <w:r>
        <w:rPr>
          <w:rFonts w:ascii="Arial" w:eastAsia="Times New Roman" w:hAnsi="Arial" w:cs="Arial"/>
          <w:sz w:val="20"/>
          <w:szCs w:val="20"/>
        </w:rPr>
        <w:t>have greater</w:t>
      </w:r>
      <w:r w:rsidR="00F55ADE" w:rsidRPr="00F55ADE">
        <w:rPr>
          <w:rFonts w:ascii="Arial" w:eastAsia="Times New Roman" w:hAnsi="Arial" w:cs="Arial"/>
          <w:sz w:val="20"/>
          <w:szCs w:val="20"/>
        </w:rPr>
        <w:t xml:space="preserve"> access to secondary and </w:t>
      </w:r>
      <w:r>
        <w:rPr>
          <w:rFonts w:ascii="Arial" w:eastAsia="Times New Roman" w:hAnsi="Arial" w:cs="Arial"/>
          <w:sz w:val="20"/>
          <w:szCs w:val="20"/>
        </w:rPr>
        <w:t>tertiary</w:t>
      </w:r>
      <w:r w:rsidR="00F55ADE" w:rsidRPr="00F55ADE">
        <w:rPr>
          <w:rFonts w:ascii="Arial" w:eastAsia="Times New Roman" w:hAnsi="Arial" w:cs="Arial"/>
          <w:sz w:val="20"/>
          <w:szCs w:val="20"/>
        </w:rPr>
        <w:t xml:space="preserve"> amenities, whereas in hilly </w:t>
      </w:r>
      <w:r>
        <w:rPr>
          <w:rFonts w:ascii="Arial" w:eastAsia="Times New Roman" w:hAnsi="Arial" w:cs="Arial"/>
          <w:sz w:val="20"/>
          <w:szCs w:val="20"/>
        </w:rPr>
        <w:t>districts</w:t>
      </w:r>
      <w:r w:rsidR="00F55ADE" w:rsidRPr="00F55ADE">
        <w:rPr>
          <w:rFonts w:ascii="Arial" w:eastAsia="Times New Roman" w:hAnsi="Arial" w:cs="Arial"/>
          <w:sz w:val="20"/>
          <w:szCs w:val="20"/>
        </w:rPr>
        <w:t xml:space="preserve"> like Idukki and </w:t>
      </w:r>
      <w:r w:rsidR="0034025D">
        <w:rPr>
          <w:rFonts w:ascii="Arial" w:eastAsia="Times New Roman" w:hAnsi="Arial" w:cs="Arial"/>
          <w:sz w:val="20"/>
          <w:szCs w:val="20"/>
        </w:rPr>
        <w:t>Wayanad</w:t>
      </w:r>
      <w:r w:rsidR="00F55ADE" w:rsidRPr="00F55ADE">
        <w:rPr>
          <w:rFonts w:ascii="Arial" w:eastAsia="Times New Roman" w:hAnsi="Arial" w:cs="Arial"/>
          <w:sz w:val="20"/>
          <w:szCs w:val="20"/>
        </w:rPr>
        <w:t xml:space="preserve">, there is a large population of tribal groups in remote settlements. The northernmost district, Kasaragod, has </w:t>
      </w:r>
      <w:r>
        <w:rPr>
          <w:rFonts w:ascii="Arial" w:eastAsia="Times New Roman" w:hAnsi="Arial" w:cs="Arial"/>
          <w:sz w:val="20"/>
          <w:szCs w:val="20"/>
        </w:rPr>
        <w:t>historically</w:t>
      </w:r>
      <w:r w:rsidR="00F55ADE" w:rsidRPr="00F55ADE">
        <w:rPr>
          <w:rFonts w:ascii="Arial" w:eastAsia="Times New Roman" w:hAnsi="Arial" w:cs="Arial"/>
          <w:sz w:val="20"/>
          <w:szCs w:val="20"/>
        </w:rPr>
        <w:t xml:space="preserve"> been rated as the poorest area and with inadequate infrastructure (Government of Kerala, State Planning Board, 2</w:t>
      </w:r>
      <w:r>
        <w:rPr>
          <w:rFonts w:ascii="Arial" w:eastAsia="Times New Roman" w:hAnsi="Arial" w:cs="Arial"/>
          <w:sz w:val="20"/>
          <w:szCs w:val="20"/>
        </w:rPr>
        <w:t>023). Thus, the question arises of</w:t>
      </w:r>
      <w:r w:rsidR="00F55ADE" w:rsidRPr="00F55ADE">
        <w:rPr>
          <w:rFonts w:ascii="Arial" w:eastAsia="Times New Roman" w:hAnsi="Arial" w:cs="Arial"/>
          <w:sz w:val="20"/>
          <w:szCs w:val="20"/>
        </w:rPr>
        <w:t xml:space="preserve"> whether PHC is fairly distributed across Kerala's districts in terms of population and vulnerability</w:t>
      </w:r>
      <w:r w:rsidRPr="009B7220">
        <w:rPr>
          <w:rFonts w:ascii="Arial" w:eastAsia="Times New Roman" w:hAnsi="Arial" w:cs="Arial"/>
          <w:sz w:val="20"/>
          <w:szCs w:val="20"/>
        </w:rPr>
        <w:t>.</w:t>
      </w:r>
    </w:p>
    <w:p w:rsidR="0029339F" w:rsidRPr="00052C82" w:rsidRDefault="00064D36" w:rsidP="006C1357">
      <w:pPr>
        <w:pStyle w:val="ListParagraph"/>
        <w:numPr>
          <w:ilvl w:val="1"/>
          <w:numId w:val="9"/>
        </w:numPr>
        <w:spacing w:before="240" w:line="360" w:lineRule="auto"/>
        <w:jc w:val="both"/>
        <w:outlineLvl w:val="2"/>
        <w:rPr>
          <w:rFonts w:ascii="Arial" w:eastAsia="Times New Roman" w:hAnsi="Arial" w:cs="Arial"/>
          <w:b/>
          <w:bCs/>
          <w:szCs w:val="20"/>
        </w:rPr>
      </w:pPr>
      <w:r w:rsidRPr="00052C82">
        <w:rPr>
          <w:rFonts w:ascii="Arial" w:eastAsia="Times New Roman" w:hAnsi="Arial" w:cs="Arial"/>
          <w:b/>
          <w:bCs/>
          <w:szCs w:val="20"/>
        </w:rPr>
        <w:t>Social Determinants of Health in Kerala</w:t>
      </w:r>
    </w:p>
    <w:p w:rsidR="0029339F" w:rsidRPr="0029339F" w:rsidRDefault="00064D36" w:rsidP="005E2992">
      <w:pPr>
        <w:spacing w:after="0" w:line="360" w:lineRule="auto"/>
        <w:ind w:firstLine="360"/>
        <w:jc w:val="both"/>
        <w:rPr>
          <w:rFonts w:ascii="Arial" w:eastAsia="Times New Roman" w:hAnsi="Arial" w:cs="Arial"/>
          <w:sz w:val="20"/>
          <w:szCs w:val="20"/>
        </w:rPr>
      </w:pPr>
      <w:r w:rsidRPr="00F55ADE">
        <w:rPr>
          <w:rFonts w:ascii="Arial" w:eastAsia="Times New Roman" w:hAnsi="Arial" w:cs="Arial"/>
          <w:sz w:val="20"/>
          <w:szCs w:val="20"/>
        </w:rPr>
        <w:t>The population of Kerala is diverse in terms of caste, tribe, income, literacy, and rural-urban st</w:t>
      </w:r>
      <w:r w:rsidR="00FF3E92">
        <w:rPr>
          <w:rFonts w:ascii="Arial" w:eastAsia="Times New Roman" w:hAnsi="Arial" w:cs="Arial"/>
          <w:sz w:val="20"/>
          <w:szCs w:val="20"/>
        </w:rPr>
        <w:t>atus,</w:t>
      </w:r>
      <w:r w:rsidRPr="00F55ADE">
        <w:rPr>
          <w:rFonts w:ascii="Arial" w:eastAsia="Times New Roman" w:hAnsi="Arial" w:cs="Arial"/>
          <w:sz w:val="20"/>
          <w:szCs w:val="20"/>
        </w:rPr>
        <w:t xml:space="preserve"> all of which determine health vulnerability and infrastructure requirements. In districts like Palakkad and Kollam, Scheduled Castes (SCs) represent a considerable minority. Although SC populations are protected under the constitution, they are disadvantaged socio-economically, which could be translated into health inequities. Scheduled tribes (STs) are clumped in districts of </w:t>
      </w:r>
      <w:r w:rsidR="0034025D">
        <w:rPr>
          <w:rFonts w:ascii="Arial" w:eastAsia="Times New Roman" w:hAnsi="Arial" w:cs="Arial"/>
          <w:sz w:val="20"/>
          <w:szCs w:val="20"/>
        </w:rPr>
        <w:t>Wayanadu</w:t>
      </w:r>
      <w:r w:rsidRPr="00F55ADE">
        <w:rPr>
          <w:rFonts w:ascii="Arial" w:eastAsia="Times New Roman" w:hAnsi="Arial" w:cs="Arial"/>
          <w:sz w:val="20"/>
          <w:szCs w:val="20"/>
        </w:rPr>
        <w:t xml:space="preserve">, Idukki, and Kasaragod. Their isolation and lack of political </w:t>
      </w:r>
      <w:r w:rsidR="00EA3744">
        <w:rPr>
          <w:rFonts w:ascii="Arial" w:eastAsia="Times New Roman" w:hAnsi="Arial" w:cs="Arial"/>
          <w:sz w:val="20"/>
          <w:szCs w:val="20"/>
        </w:rPr>
        <w:t>influence</w:t>
      </w:r>
      <w:r w:rsidRPr="00F55ADE">
        <w:rPr>
          <w:rFonts w:ascii="Arial" w:eastAsia="Times New Roman" w:hAnsi="Arial" w:cs="Arial"/>
          <w:sz w:val="20"/>
          <w:szCs w:val="20"/>
        </w:rPr>
        <w:t xml:space="preserve"> frequently prevent </w:t>
      </w:r>
      <w:r w:rsidR="00EA3744">
        <w:rPr>
          <w:rFonts w:ascii="Arial" w:eastAsia="Times New Roman" w:hAnsi="Arial" w:cs="Arial"/>
          <w:sz w:val="20"/>
          <w:szCs w:val="20"/>
        </w:rPr>
        <w:t>access</w:t>
      </w:r>
      <w:r w:rsidRPr="00F55ADE">
        <w:rPr>
          <w:rFonts w:ascii="Arial" w:eastAsia="Times New Roman" w:hAnsi="Arial" w:cs="Arial"/>
          <w:sz w:val="20"/>
          <w:szCs w:val="20"/>
        </w:rPr>
        <w:t xml:space="preserve"> to health</w:t>
      </w:r>
      <w:r w:rsidR="00EA3744">
        <w:rPr>
          <w:rFonts w:ascii="Arial" w:eastAsia="Times New Roman" w:hAnsi="Arial" w:cs="Arial"/>
          <w:sz w:val="20"/>
          <w:szCs w:val="20"/>
        </w:rPr>
        <w:t>care</w:t>
      </w:r>
      <w:r w:rsidRPr="00F55ADE">
        <w:rPr>
          <w:rFonts w:ascii="Arial" w:eastAsia="Times New Roman" w:hAnsi="Arial" w:cs="Arial"/>
          <w:sz w:val="20"/>
          <w:szCs w:val="20"/>
        </w:rPr>
        <w:t xml:space="preserve"> services (Shabeer and Krishnan, 2017). The rurality is one of the determinants of access that remains critical. High rural population shares in the district create difficulties with transportation, topography, and connectivity, which add to the pressure on a higher density of the PHC network (Government of Kerala, State Planning Board, 2023). Although the literacy rate is generally high across Kerala, </w:t>
      </w:r>
      <w:r w:rsidR="00EA3744" w:rsidRPr="00F55ADE">
        <w:rPr>
          <w:rFonts w:ascii="Arial" w:eastAsia="Times New Roman" w:hAnsi="Arial" w:cs="Arial"/>
          <w:sz w:val="20"/>
          <w:szCs w:val="20"/>
        </w:rPr>
        <w:t>it varies</w:t>
      </w:r>
      <w:r w:rsidR="00EA3744">
        <w:rPr>
          <w:rFonts w:ascii="Arial" w:eastAsia="Times New Roman" w:hAnsi="Arial" w:cs="Arial"/>
          <w:sz w:val="20"/>
          <w:szCs w:val="20"/>
        </w:rPr>
        <w:t xml:space="preserve"> slightly </w:t>
      </w:r>
      <w:r w:rsidRPr="00F55ADE">
        <w:rPr>
          <w:rFonts w:ascii="Arial" w:eastAsia="Times New Roman" w:hAnsi="Arial" w:cs="Arial"/>
          <w:sz w:val="20"/>
          <w:szCs w:val="20"/>
        </w:rPr>
        <w:t xml:space="preserve">by district. </w:t>
      </w:r>
      <w:r w:rsidR="00EA3744">
        <w:rPr>
          <w:rFonts w:ascii="Arial" w:eastAsia="Times New Roman" w:hAnsi="Arial" w:cs="Arial"/>
          <w:sz w:val="20"/>
          <w:szCs w:val="20"/>
        </w:rPr>
        <w:t>In paradox,</w:t>
      </w:r>
      <w:r w:rsidRPr="00F55ADE">
        <w:rPr>
          <w:rFonts w:ascii="Arial" w:eastAsia="Times New Roman" w:hAnsi="Arial" w:cs="Arial"/>
          <w:sz w:val="20"/>
          <w:szCs w:val="20"/>
        </w:rPr>
        <w:t xml:space="preserve"> the </w:t>
      </w:r>
      <w:r w:rsidR="007D7534">
        <w:rPr>
          <w:rFonts w:ascii="Arial" w:eastAsia="Times New Roman" w:hAnsi="Arial" w:cs="Arial"/>
          <w:sz w:val="20"/>
          <w:szCs w:val="20"/>
        </w:rPr>
        <w:t>highly</w:t>
      </w:r>
      <w:r w:rsidRPr="00F55ADE">
        <w:rPr>
          <w:rFonts w:ascii="Arial" w:eastAsia="Times New Roman" w:hAnsi="Arial" w:cs="Arial"/>
          <w:sz w:val="20"/>
          <w:szCs w:val="20"/>
        </w:rPr>
        <w:t xml:space="preserve"> literate and urbanized districts might actually have fewer PHCs than the population, based on the use of facilities and hospitals at higher levels (Kutty, 2000). The degree of poverty, measured as the percentage of Below Poverty Line (BPL) households, influences health-seeking behavior and reliance on government facilities. PHCs are usually more relied upon in districts with increased BPL prevalence (Oommen, 2014). These variables give an opportunity to consider PHC distribution through the prism of a social determinant</w:t>
      </w:r>
      <w:r w:rsidR="009B7220" w:rsidRPr="009B7220">
        <w:rPr>
          <w:rFonts w:ascii="Arial" w:eastAsia="Times New Roman" w:hAnsi="Arial" w:cs="Arial"/>
          <w:sz w:val="20"/>
          <w:szCs w:val="20"/>
        </w:rPr>
        <w:t>.</w:t>
      </w:r>
    </w:p>
    <w:p w:rsidR="0029339F" w:rsidRPr="00052C82" w:rsidRDefault="00064D36" w:rsidP="006C1357">
      <w:pPr>
        <w:spacing w:line="360" w:lineRule="auto"/>
        <w:jc w:val="both"/>
        <w:outlineLvl w:val="2"/>
        <w:rPr>
          <w:rFonts w:ascii="Arial" w:eastAsia="Times New Roman" w:hAnsi="Arial" w:cs="Arial"/>
          <w:b/>
          <w:bCs/>
          <w:szCs w:val="20"/>
        </w:rPr>
      </w:pPr>
      <w:r w:rsidRPr="00052C82">
        <w:rPr>
          <w:rFonts w:ascii="Arial" w:eastAsia="Times New Roman" w:hAnsi="Arial" w:cs="Arial"/>
          <w:b/>
          <w:bCs/>
          <w:szCs w:val="20"/>
        </w:rPr>
        <w:lastRenderedPageBreak/>
        <w:t>1.</w:t>
      </w:r>
      <w:r w:rsidR="00B113B6" w:rsidRPr="00052C82">
        <w:rPr>
          <w:rFonts w:ascii="Arial" w:eastAsia="Times New Roman" w:hAnsi="Arial" w:cs="Arial"/>
          <w:b/>
          <w:bCs/>
          <w:szCs w:val="20"/>
        </w:rPr>
        <w:t>4</w:t>
      </w:r>
      <w:r w:rsidRPr="00052C82">
        <w:rPr>
          <w:rFonts w:ascii="Arial" w:eastAsia="Times New Roman" w:hAnsi="Arial" w:cs="Arial"/>
          <w:b/>
          <w:bCs/>
          <w:szCs w:val="20"/>
        </w:rPr>
        <w:t xml:space="preserve"> Rationale and Research Gap</w:t>
      </w:r>
    </w:p>
    <w:p w:rsidR="0029339F" w:rsidRPr="0029339F" w:rsidRDefault="00064D36" w:rsidP="00B113B6">
      <w:pPr>
        <w:spacing w:after="0" w:line="360" w:lineRule="auto"/>
        <w:ind w:firstLine="720"/>
        <w:jc w:val="both"/>
        <w:rPr>
          <w:rFonts w:ascii="Arial" w:eastAsia="Times New Roman" w:hAnsi="Arial" w:cs="Arial"/>
          <w:sz w:val="20"/>
          <w:szCs w:val="20"/>
        </w:rPr>
      </w:pPr>
      <w:r w:rsidRPr="00F55ADE">
        <w:rPr>
          <w:rFonts w:ascii="Arial" w:eastAsia="Times New Roman" w:hAnsi="Arial" w:cs="Arial"/>
          <w:sz w:val="20"/>
          <w:szCs w:val="20"/>
        </w:rPr>
        <w:t xml:space="preserve">Even though Kerala is popularly touted as the healthcare success story in India, it has reasons to believe that healthcare infrastructure is being redistributed. There is isolation </w:t>
      </w:r>
      <w:r w:rsidR="00E13251">
        <w:rPr>
          <w:rFonts w:ascii="Arial" w:eastAsia="Times New Roman" w:hAnsi="Arial" w:cs="Arial"/>
          <w:sz w:val="20"/>
          <w:szCs w:val="20"/>
        </w:rPr>
        <w:t xml:space="preserve">in tribal-dominated </w:t>
      </w:r>
      <w:r w:rsidRPr="00F55ADE">
        <w:rPr>
          <w:rFonts w:ascii="Arial" w:eastAsia="Times New Roman" w:hAnsi="Arial" w:cs="Arial"/>
          <w:sz w:val="20"/>
          <w:szCs w:val="20"/>
        </w:rPr>
        <w:t>districts, an uneven distribution of poverty, and urbanized area</w:t>
      </w:r>
      <w:r w:rsidR="00E13251">
        <w:rPr>
          <w:rFonts w:ascii="Arial" w:eastAsia="Times New Roman" w:hAnsi="Arial" w:cs="Arial"/>
          <w:sz w:val="20"/>
          <w:szCs w:val="20"/>
        </w:rPr>
        <w:t>s</w:t>
      </w:r>
      <w:r w:rsidRPr="00F55ADE">
        <w:rPr>
          <w:rFonts w:ascii="Arial" w:eastAsia="Times New Roman" w:hAnsi="Arial" w:cs="Arial"/>
          <w:sz w:val="20"/>
          <w:szCs w:val="20"/>
        </w:rPr>
        <w:t xml:space="preserve"> can help gain indirect benefits related to access to tertiary hospital services. In the absence of systematic </w:t>
      </w:r>
      <w:r w:rsidR="00E13251" w:rsidRPr="00F55ADE">
        <w:rPr>
          <w:rFonts w:ascii="Arial" w:eastAsia="Times New Roman" w:hAnsi="Arial" w:cs="Arial"/>
          <w:sz w:val="20"/>
          <w:szCs w:val="20"/>
        </w:rPr>
        <w:t xml:space="preserve">equity </w:t>
      </w:r>
      <w:r w:rsidRPr="00F55ADE">
        <w:rPr>
          <w:rFonts w:ascii="Arial" w:eastAsia="Times New Roman" w:hAnsi="Arial" w:cs="Arial"/>
          <w:sz w:val="20"/>
          <w:szCs w:val="20"/>
        </w:rPr>
        <w:t xml:space="preserve">analysis at the district level, the risk is that state averages will mask inequities experienced by marginalized groups. </w:t>
      </w:r>
      <w:r w:rsidR="00E13251">
        <w:rPr>
          <w:rFonts w:ascii="Arial" w:eastAsia="Times New Roman" w:hAnsi="Arial" w:cs="Arial"/>
          <w:sz w:val="20"/>
          <w:szCs w:val="20"/>
        </w:rPr>
        <w:t>Some past</w:t>
      </w:r>
      <w:r w:rsidRPr="00F55ADE">
        <w:rPr>
          <w:rFonts w:ascii="Arial" w:eastAsia="Times New Roman" w:hAnsi="Arial" w:cs="Arial"/>
          <w:sz w:val="20"/>
          <w:szCs w:val="20"/>
        </w:rPr>
        <w:t xml:space="preserve"> studies of Kerala have focused on health outcomes rather than equity in infrastructure. Furthermore, descriptive </w:t>
      </w:r>
      <w:r w:rsidR="00E13251" w:rsidRPr="00F55ADE">
        <w:rPr>
          <w:rFonts w:ascii="Arial" w:eastAsia="Times New Roman" w:hAnsi="Arial" w:cs="Arial"/>
          <w:sz w:val="20"/>
          <w:szCs w:val="20"/>
        </w:rPr>
        <w:t>studies</w:t>
      </w:r>
      <w:r w:rsidR="00E13251">
        <w:rPr>
          <w:rFonts w:ascii="Arial" w:eastAsia="Times New Roman" w:hAnsi="Arial" w:cs="Arial"/>
          <w:sz w:val="20"/>
          <w:szCs w:val="20"/>
        </w:rPr>
        <w:t xml:space="preserve"> exist</w:t>
      </w:r>
      <w:r w:rsidRPr="00F55ADE">
        <w:rPr>
          <w:rFonts w:ascii="Arial" w:eastAsia="Times New Roman" w:hAnsi="Arial" w:cs="Arial"/>
          <w:sz w:val="20"/>
          <w:szCs w:val="20"/>
        </w:rPr>
        <w:t xml:space="preserve">, but there are few that rigorously use inequality measures (Lorenz curves, Gini coefficients) or composite measures with vulnerability mapping. This leaves a gap </w:t>
      </w:r>
      <w:r w:rsidR="00E13251">
        <w:rPr>
          <w:rFonts w:ascii="Arial" w:eastAsia="Times New Roman" w:hAnsi="Arial" w:cs="Arial"/>
          <w:sz w:val="20"/>
          <w:szCs w:val="20"/>
        </w:rPr>
        <w:t>that, when</w:t>
      </w:r>
      <w:r w:rsidRPr="00F55ADE">
        <w:rPr>
          <w:rFonts w:ascii="Arial" w:eastAsia="Times New Roman" w:hAnsi="Arial" w:cs="Arial"/>
          <w:sz w:val="20"/>
          <w:szCs w:val="20"/>
        </w:rPr>
        <w:t xml:space="preserve"> we know Kerala is efficient in aggregate terms, but we do not know to what extent all the districts are equally benefiting</w:t>
      </w:r>
      <w:r w:rsidRPr="0029339F">
        <w:rPr>
          <w:rFonts w:ascii="Arial" w:eastAsia="Times New Roman" w:hAnsi="Arial" w:cs="Arial"/>
          <w:sz w:val="20"/>
          <w:szCs w:val="20"/>
        </w:rPr>
        <w:t>.</w:t>
      </w:r>
    </w:p>
    <w:p w:rsidR="00B113B6" w:rsidRPr="00AD036D" w:rsidRDefault="00064D36" w:rsidP="006C1357">
      <w:pPr>
        <w:spacing w:before="240" w:line="360" w:lineRule="auto"/>
        <w:jc w:val="both"/>
        <w:rPr>
          <w:rFonts w:ascii="Arial" w:hAnsi="Arial" w:cs="Arial"/>
          <w:b/>
          <w:sz w:val="24"/>
          <w:szCs w:val="20"/>
        </w:rPr>
      </w:pPr>
      <w:r w:rsidRPr="00AD036D">
        <w:rPr>
          <w:rFonts w:ascii="Arial" w:hAnsi="Arial" w:cs="Arial"/>
          <w:b/>
          <w:sz w:val="24"/>
          <w:szCs w:val="20"/>
        </w:rPr>
        <w:t>2. Statement of the Problem</w:t>
      </w:r>
    </w:p>
    <w:p w:rsidR="00B113B6" w:rsidRPr="001F46A5" w:rsidRDefault="00064D36" w:rsidP="00B113B6">
      <w:pPr>
        <w:spacing w:after="0" w:line="360" w:lineRule="auto"/>
        <w:ind w:firstLine="720"/>
        <w:jc w:val="both"/>
        <w:rPr>
          <w:rFonts w:ascii="Arial" w:hAnsi="Arial" w:cs="Arial"/>
          <w:sz w:val="20"/>
          <w:szCs w:val="20"/>
        </w:rPr>
      </w:pPr>
      <w:r w:rsidRPr="00F55ADE">
        <w:rPr>
          <w:rFonts w:ascii="Arial" w:hAnsi="Arial" w:cs="Arial"/>
          <w:sz w:val="20"/>
          <w:szCs w:val="20"/>
        </w:rPr>
        <w:t xml:space="preserve">Kerala has been very popular for its health and human development, but the </w:t>
      </w:r>
      <w:r w:rsidR="00C62EEE">
        <w:rPr>
          <w:rFonts w:ascii="Arial" w:hAnsi="Arial" w:cs="Arial"/>
          <w:sz w:val="20"/>
          <w:szCs w:val="20"/>
        </w:rPr>
        <w:t>equitable distribution of</w:t>
      </w:r>
      <w:r w:rsidRPr="00F55ADE">
        <w:rPr>
          <w:rFonts w:ascii="Arial" w:hAnsi="Arial" w:cs="Arial"/>
          <w:sz w:val="20"/>
          <w:szCs w:val="20"/>
        </w:rPr>
        <w:t xml:space="preserve"> healthcare infrastructure across districts has not been adequately explored. Although the state averages for life expectancy, infant mortality, and literacy indicate a well-functioning system, disparities in population structure, tribal concentration, poverty, and rurality across districts raise doubts about accessibility to Public Health Centres (PHCs). For example, other districts like Idukki and </w:t>
      </w:r>
      <w:r w:rsidR="0034025D">
        <w:rPr>
          <w:rFonts w:ascii="Arial" w:hAnsi="Arial" w:cs="Arial"/>
          <w:sz w:val="20"/>
          <w:szCs w:val="20"/>
        </w:rPr>
        <w:t>Wayanadu</w:t>
      </w:r>
      <w:r w:rsidRPr="00F55ADE">
        <w:rPr>
          <w:rFonts w:ascii="Arial" w:hAnsi="Arial" w:cs="Arial"/>
          <w:sz w:val="20"/>
          <w:szCs w:val="20"/>
        </w:rPr>
        <w:t xml:space="preserve"> comprise</w:t>
      </w:r>
      <w:r w:rsidR="00C62EEE">
        <w:rPr>
          <w:rFonts w:ascii="Arial" w:hAnsi="Arial" w:cs="Arial"/>
          <w:sz w:val="20"/>
          <w:szCs w:val="20"/>
        </w:rPr>
        <w:t xml:space="preserve"> more</w:t>
      </w:r>
      <w:r w:rsidRPr="00F55ADE">
        <w:rPr>
          <w:rFonts w:ascii="Arial" w:hAnsi="Arial" w:cs="Arial"/>
          <w:sz w:val="20"/>
          <w:szCs w:val="20"/>
        </w:rPr>
        <w:t xml:space="preserve"> tribes and mostly rural settlements, whilst, Kasaragod has more poverty</w:t>
      </w:r>
      <w:r w:rsidRPr="001F46A5">
        <w:rPr>
          <w:rFonts w:ascii="Arial" w:hAnsi="Arial" w:cs="Arial"/>
          <w:sz w:val="20"/>
          <w:szCs w:val="20"/>
        </w:rPr>
        <w:t xml:space="preserve">. </w:t>
      </w:r>
      <w:r w:rsidR="005474BA" w:rsidRPr="005474BA">
        <w:rPr>
          <w:rFonts w:ascii="Arial" w:hAnsi="Arial" w:cs="Arial"/>
          <w:sz w:val="20"/>
          <w:szCs w:val="20"/>
        </w:rPr>
        <w:t>Conversely, urbanized regions such as Ernakulam have the advantage of access to high-quality and superior-graded hospitals and even private</w:t>
      </w:r>
      <w:r w:rsidR="00C62EEE">
        <w:rPr>
          <w:rFonts w:ascii="Arial" w:hAnsi="Arial" w:cs="Arial"/>
          <w:sz w:val="20"/>
          <w:szCs w:val="20"/>
        </w:rPr>
        <w:t xml:space="preserve"> facilities</w:t>
      </w:r>
      <w:r w:rsidR="005474BA" w:rsidRPr="005474BA">
        <w:rPr>
          <w:rFonts w:ascii="Arial" w:hAnsi="Arial" w:cs="Arial"/>
          <w:sz w:val="20"/>
          <w:szCs w:val="20"/>
        </w:rPr>
        <w:t>. An equal ratio of PHCs to population may thus mask disparities in access to the marginalized groups. In the absence of systematic equity analysis through instruments like Lorenz curves, Gini coefficients, and vulnerability mapping, the policy makers will run the risk of ignoring poorly served areas, thereby compromising the overall goal of Kerala, which can be included in health development</w:t>
      </w:r>
      <w:r w:rsidRPr="001F46A5">
        <w:rPr>
          <w:rFonts w:ascii="Arial" w:hAnsi="Arial" w:cs="Arial"/>
          <w:sz w:val="20"/>
          <w:szCs w:val="20"/>
        </w:rPr>
        <w:t>.</w:t>
      </w:r>
    </w:p>
    <w:p w:rsidR="0029339F" w:rsidRPr="0029339F" w:rsidRDefault="00064D36" w:rsidP="006C1357">
      <w:pPr>
        <w:spacing w:before="240" w:line="240" w:lineRule="auto"/>
        <w:outlineLvl w:val="2"/>
        <w:rPr>
          <w:rFonts w:ascii="Arial" w:eastAsia="Times New Roman" w:hAnsi="Arial" w:cs="Arial"/>
          <w:b/>
          <w:bCs/>
          <w:sz w:val="24"/>
          <w:szCs w:val="20"/>
        </w:rPr>
      </w:pPr>
      <w:r w:rsidRPr="00AD036D">
        <w:rPr>
          <w:rFonts w:ascii="Arial" w:eastAsia="Times New Roman" w:hAnsi="Arial" w:cs="Arial"/>
          <w:b/>
          <w:bCs/>
          <w:sz w:val="24"/>
          <w:szCs w:val="20"/>
        </w:rPr>
        <w:t>3.</w:t>
      </w:r>
      <w:r w:rsidRPr="0029339F">
        <w:rPr>
          <w:rFonts w:ascii="Arial" w:eastAsia="Times New Roman" w:hAnsi="Arial" w:cs="Arial"/>
          <w:b/>
          <w:bCs/>
          <w:sz w:val="24"/>
          <w:szCs w:val="20"/>
        </w:rPr>
        <w:t xml:space="preserve"> Objectives of the Study</w:t>
      </w:r>
    </w:p>
    <w:p w:rsidR="0029339F" w:rsidRPr="0029339F" w:rsidRDefault="00064D36"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examine the relationship between PHC density and socio-demographic indicators (SC, ST, rural %, literacy, BPL).</w:t>
      </w:r>
    </w:p>
    <w:p w:rsidR="0029339F" w:rsidRPr="0029339F" w:rsidRDefault="00064D36"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measure inequality in PHC allocation using Lorenz curves and Gini coefficients.</w:t>
      </w:r>
    </w:p>
    <w:p w:rsidR="0029339F" w:rsidRPr="0029339F" w:rsidRDefault="00064D36" w:rsidP="005E2992">
      <w:pPr>
        <w:numPr>
          <w:ilvl w:val="0"/>
          <w:numId w:val="4"/>
        </w:numPr>
        <w:spacing w:after="0" w:line="360" w:lineRule="auto"/>
        <w:jc w:val="both"/>
        <w:rPr>
          <w:rFonts w:ascii="Arial" w:eastAsia="Times New Roman" w:hAnsi="Arial" w:cs="Arial"/>
          <w:sz w:val="20"/>
          <w:szCs w:val="20"/>
        </w:rPr>
      </w:pPr>
      <w:r w:rsidRPr="0029339F">
        <w:rPr>
          <w:rFonts w:ascii="Arial" w:eastAsia="Times New Roman" w:hAnsi="Arial" w:cs="Arial"/>
          <w:sz w:val="20"/>
          <w:szCs w:val="20"/>
        </w:rPr>
        <w:t>To construct a composite vulnerability index that identifies districts with structural disadvantages in healthcare access.</w:t>
      </w:r>
    </w:p>
    <w:p w:rsidR="00B113B6" w:rsidRPr="00B113B6" w:rsidRDefault="00064D36" w:rsidP="006C1357">
      <w:pPr>
        <w:spacing w:before="240" w:line="360" w:lineRule="auto"/>
        <w:outlineLvl w:val="0"/>
        <w:rPr>
          <w:rFonts w:ascii="Arial" w:eastAsia="Times New Roman" w:hAnsi="Arial" w:cs="Arial"/>
          <w:b/>
          <w:bCs/>
          <w:kern w:val="36"/>
          <w:sz w:val="24"/>
          <w:szCs w:val="20"/>
        </w:rPr>
      </w:pPr>
      <w:r w:rsidRPr="00AD036D">
        <w:rPr>
          <w:rFonts w:ascii="Arial" w:eastAsia="Times New Roman" w:hAnsi="Arial" w:cs="Arial"/>
          <w:b/>
          <w:bCs/>
          <w:kern w:val="36"/>
          <w:sz w:val="24"/>
          <w:szCs w:val="20"/>
        </w:rPr>
        <w:t>4</w:t>
      </w:r>
      <w:r w:rsidRPr="00B113B6">
        <w:rPr>
          <w:rFonts w:ascii="Arial" w:eastAsia="Times New Roman" w:hAnsi="Arial" w:cs="Arial"/>
          <w:b/>
          <w:bCs/>
          <w:kern w:val="36"/>
          <w:sz w:val="24"/>
          <w:szCs w:val="20"/>
        </w:rPr>
        <w:t>. Research Methodology</w:t>
      </w:r>
    </w:p>
    <w:p w:rsidR="00B113B6" w:rsidRPr="00B113B6" w:rsidRDefault="00064D36" w:rsidP="005E2992">
      <w:pPr>
        <w:spacing w:after="0" w:line="360" w:lineRule="auto"/>
        <w:ind w:firstLine="720"/>
        <w:jc w:val="both"/>
        <w:rPr>
          <w:rFonts w:ascii="Arial" w:eastAsia="Times New Roman" w:hAnsi="Arial" w:cs="Arial"/>
          <w:sz w:val="20"/>
          <w:szCs w:val="20"/>
        </w:rPr>
      </w:pPr>
      <w:r w:rsidRPr="005474BA">
        <w:rPr>
          <w:rFonts w:ascii="Arial" w:eastAsia="Times New Roman" w:hAnsi="Arial" w:cs="Arial"/>
          <w:sz w:val="20"/>
          <w:szCs w:val="20"/>
        </w:rPr>
        <w:t xml:space="preserve">The research design of this study is cross-sectional and quantitative, and will analyze equity in the distribution of Public Health Centre (PHCs) across districts in Kerala. The analysis is analytical and descriptive, incorporating measures of central tendency, inequality indices, and correlation </w:t>
      </w:r>
      <w:r w:rsidR="0051723E">
        <w:rPr>
          <w:rFonts w:ascii="Arial" w:eastAsia="Times New Roman" w:hAnsi="Arial" w:cs="Arial"/>
          <w:sz w:val="20"/>
          <w:szCs w:val="20"/>
        </w:rPr>
        <w:t>methods</w:t>
      </w:r>
      <w:r w:rsidRPr="00B113B6">
        <w:rPr>
          <w:rFonts w:ascii="Arial" w:eastAsia="Times New Roman" w:hAnsi="Arial" w:cs="Arial"/>
          <w:sz w:val="20"/>
          <w:szCs w:val="20"/>
        </w:rPr>
        <w:t>.</w:t>
      </w:r>
    </w:p>
    <w:p w:rsidR="00B113B6" w:rsidRPr="001F46A5" w:rsidRDefault="00064D36" w:rsidP="005E2992">
      <w:pPr>
        <w:pStyle w:val="ListParagraph"/>
        <w:numPr>
          <w:ilvl w:val="1"/>
          <w:numId w:val="10"/>
        </w:num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lastRenderedPageBreak/>
        <w:t>Data Source</w:t>
      </w:r>
    </w:p>
    <w:p w:rsidR="00B113B6" w:rsidRPr="00B113B6" w:rsidRDefault="00064D36" w:rsidP="005E2992">
      <w:pPr>
        <w:spacing w:after="0" w:line="360" w:lineRule="auto"/>
        <w:ind w:firstLine="360"/>
        <w:jc w:val="both"/>
        <w:rPr>
          <w:rFonts w:ascii="Arial" w:eastAsia="Times New Roman" w:hAnsi="Arial" w:cs="Arial"/>
          <w:sz w:val="20"/>
          <w:szCs w:val="20"/>
        </w:rPr>
      </w:pPr>
      <w:r w:rsidRPr="005474BA">
        <w:rPr>
          <w:rFonts w:ascii="Arial" w:eastAsia="Times New Roman" w:hAnsi="Arial" w:cs="Arial"/>
          <w:sz w:val="20"/>
          <w:szCs w:val="20"/>
        </w:rPr>
        <w:t>The data</w:t>
      </w:r>
      <w:r w:rsidR="0051723E">
        <w:rPr>
          <w:rFonts w:ascii="Arial" w:eastAsia="Times New Roman" w:hAnsi="Arial" w:cs="Arial"/>
          <w:sz w:val="20"/>
          <w:szCs w:val="20"/>
        </w:rPr>
        <w:t xml:space="preserve"> used in the paper</w:t>
      </w:r>
      <w:r w:rsidRPr="005474BA">
        <w:rPr>
          <w:rFonts w:ascii="Arial" w:eastAsia="Times New Roman" w:hAnsi="Arial" w:cs="Arial"/>
          <w:sz w:val="20"/>
          <w:szCs w:val="20"/>
        </w:rPr>
        <w:t xml:space="preserve"> </w:t>
      </w:r>
      <w:r w:rsidR="0051723E">
        <w:rPr>
          <w:rFonts w:ascii="Arial" w:eastAsia="Times New Roman" w:hAnsi="Arial" w:cs="Arial"/>
          <w:sz w:val="20"/>
          <w:szCs w:val="20"/>
        </w:rPr>
        <w:t>covers</w:t>
      </w:r>
      <w:r w:rsidRPr="005474BA">
        <w:rPr>
          <w:rFonts w:ascii="Arial" w:eastAsia="Times New Roman" w:hAnsi="Arial" w:cs="Arial"/>
          <w:sz w:val="20"/>
          <w:szCs w:val="20"/>
        </w:rPr>
        <w:t xml:space="preserve"> PHC counts </w:t>
      </w:r>
      <w:r w:rsidR="0051723E">
        <w:rPr>
          <w:rFonts w:ascii="Arial" w:eastAsia="Times New Roman" w:hAnsi="Arial" w:cs="Arial"/>
          <w:sz w:val="20"/>
          <w:szCs w:val="20"/>
        </w:rPr>
        <w:t>as o</w:t>
      </w:r>
      <w:r w:rsidRPr="005474BA">
        <w:rPr>
          <w:rFonts w:ascii="Arial" w:eastAsia="Times New Roman" w:hAnsi="Arial" w:cs="Arial"/>
          <w:sz w:val="20"/>
          <w:szCs w:val="20"/>
        </w:rPr>
        <w:t>f July 2025, projected population (2024), Scheduled Caste (SC) population percentage, Scheduled Tribe (ST) population percentage, Rural population percentage, Literacy rate, and Below Poverty Line (BPL) population percentage</w:t>
      </w:r>
      <w:r w:rsidR="0051723E">
        <w:rPr>
          <w:rFonts w:ascii="Arial" w:eastAsia="Times New Roman" w:hAnsi="Arial" w:cs="Arial"/>
          <w:sz w:val="20"/>
          <w:szCs w:val="20"/>
        </w:rPr>
        <w:t xml:space="preserve"> (Census of India, 2011)</w:t>
      </w:r>
      <w:r w:rsidRPr="00B113B6">
        <w:rPr>
          <w:rFonts w:ascii="Arial" w:eastAsia="Times New Roman" w:hAnsi="Arial" w:cs="Arial"/>
          <w:sz w:val="20"/>
          <w:szCs w:val="20"/>
        </w:rPr>
        <w:t>.</w:t>
      </w:r>
    </w:p>
    <w:p w:rsidR="00B113B6" w:rsidRPr="00B113B6" w:rsidRDefault="00064D36"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Pr="00B113B6">
        <w:rPr>
          <w:rFonts w:ascii="Arial" w:eastAsia="Times New Roman" w:hAnsi="Arial" w:cs="Arial"/>
          <w:b/>
          <w:bCs/>
          <w:szCs w:val="20"/>
        </w:rPr>
        <w:t>.</w:t>
      </w:r>
      <w:r w:rsidRPr="001F46A5">
        <w:rPr>
          <w:rFonts w:ascii="Arial" w:eastAsia="Times New Roman" w:hAnsi="Arial" w:cs="Arial"/>
          <w:b/>
          <w:bCs/>
          <w:szCs w:val="20"/>
        </w:rPr>
        <w:t>2</w:t>
      </w:r>
      <w:r w:rsidRPr="00B113B6">
        <w:rPr>
          <w:rFonts w:ascii="Arial" w:eastAsia="Times New Roman" w:hAnsi="Arial" w:cs="Arial"/>
          <w:b/>
          <w:bCs/>
          <w:szCs w:val="20"/>
        </w:rPr>
        <w:t xml:space="preserve"> Variables</w:t>
      </w:r>
    </w:p>
    <w:p w:rsidR="00B113B6" w:rsidRPr="00B113B6" w:rsidRDefault="00064D36" w:rsidP="005E2992">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Dependent variable: PHC density per 100,000 population</w:t>
      </w:r>
    </w:p>
    <w:p w:rsidR="00B113B6" w:rsidRPr="00B113B6" w:rsidRDefault="00064D36" w:rsidP="005E2992">
      <w:pPr>
        <w:spacing w:after="0" w:line="360" w:lineRule="auto"/>
        <w:ind w:firstLine="720"/>
        <w:rPr>
          <w:rFonts w:ascii="Arial" w:eastAsia="Times New Roman" w:hAnsi="Arial" w:cs="Arial"/>
          <w:sz w:val="20"/>
          <w:szCs w:val="20"/>
        </w:rPr>
      </w:pPr>
      <w:r w:rsidRPr="001F46A5">
        <w:rPr>
          <w:rFonts w:ascii="Arial" w:eastAsia="Times New Roman" w:hAnsi="Arial" w:cs="Arial"/>
          <w:sz w:val="20"/>
          <w:szCs w:val="20"/>
        </w:rPr>
        <w:t xml:space="preserve">Equation: </w:t>
      </w:r>
      <w:r w:rsidRPr="00B113B6">
        <w:rPr>
          <w:rFonts w:ascii="Arial" w:eastAsia="Times New Roman" w:hAnsi="Arial" w:cs="Arial"/>
          <w:sz w:val="20"/>
          <w:szCs w:val="20"/>
        </w:rPr>
        <w:t>Dᵢ = ( Hᵢ / Pᵢ ) × 100,000</w:t>
      </w:r>
    </w:p>
    <w:p w:rsidR="00B113B6" w:rsidRPr="00B113B6" w:rsidRDefault="00064D36" w:rsidP="005E2992">
      <w:pPr>
        <w:spacing w:after="0" w:line="360" w:lineRule="auto"/>
        <w:ind w:firstLine="720"/>
        <w:rPr>
          <w:rFonts w:ascii="Arial" w:eastAsia="Times New Roman" w:hAnsi="Arial" w:cs="Arial"/>
          <w:sz w:val="20"/>
          <w:szCs w:val="20"/>
        </w:rPr>
      </w:pPr>
      <w:r w:rsidRPr="001F46A5">
        <w:rPr>
          <w:rFonts w:ascii="Arial" w:eastAsia="Times New Roman" w:hAnsi="Arial" w:cs="Arial"/>
          <w:sz w:val="20"/>
          <w:szCs w:val="20"/>
        </w:rPr>
        <w:t xml:space="preserve">Where, Hᵢ = PHC count in district i, </w:t>
      </w:r>
      <w:r w:rsidRPr="00B113B6">
        <w:rPr>
          <w:rFonts w:ascii="Arial" w:eastAsia="Times New Roman" w:hAnsi="Arial" w:cs="Arial"/>
          <w:sz w:val="20"/>
          <w:szCs w:val="20"/>
        </w:rPr>
        <w:t>Pᵢ = population of district i</w:t>
      </w:r>
    </w:p>
    <w:p w:rsidR="00B113B6" w:rsidRPr="00B113B6" w:rsidRDefault="00064D36" w:rsidP="005E2992">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Independent variables: SC %, ST %, rural %, literacy, and BPL %.</w:t>
      </w:r>
    </w:p>
    <w:p w:rsidR="00B113B6" w:rsidRPr="00B113B6" w:rsidRDefault="00064D36"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Pr="00B113B6">
        <w:rPr>
          <w:rFonts w:ascii="Arial" w:eastAsia="Times New Roman" w:hAnsi="Arial" w:cs="Arial"/>
          <w:b/>
          <w:bCs/>
          <w:szCs w:val="20"/>
        </w:rPr>
        <w:t>.</w:t>
      </w:r>
      <w:r w:rsidR="00F51E2A">
        <w:rPr>
          <w:rFonts w:ascii="Arial" w:eastAsia="Times New Roman" w:hAnsi="Arial" w:cs="Arial"/>
          <w:b/>
          <w:bCs/>
          <w:szCs w:val="20"/>
        </w:rPr>
        <w:t>3</w:t>
      </w:r>
      <w:r w:rsidRPr="00B113B6">
        <w:rPr>
          <w:rFonts w:ascii="Arial" w:eastAsia="Times New Roman" w:hAnsi="Arial" w:cs="Arial"/>
          <w:b/>
          <w:bCs/>
          <w:szCs w:val="20"/>
        </w:rPr>
        <w:t xml:space="preserve"> Correlation Analysis</w:t>
      </w:r>
    </w:p>
    <w:p w:rsidR="00B113B6" w:rsidRPr="00B113B6" w:rsidRDefault="00064D36" w:rsidP="001B24E5">
      <w:pPr>
        <w:spacing w:after="0" w:line="360" w:lineRule="auto"/>
        <w:ind w:firstLine="720"/>
        <w:rPr>
          <w:rFonts w:ascii="Arial" w:eastAsia="Times New Roman" w:hAnsi="Arial" w:cs="Arial"/>
          <w:sz w:val="20"/>
          <w:szCs w:val="20"/>
        </w:rPr>
      </w:pPr>
      <w:r w:rsidRPr="00B113B6">
        <w:rPr>
          <w:rFonts w:ascii="Arial" w:eastAsia="Times New Roman" w:hAnsi="Arial" w:cs="Arial"/>
          <w:sz w:val="20"/>
          <w:szCs w:val="20"/>
        </w:rPr>
        <w:t>To measure the association between PHC density (D) and a variable (X):</w:t>
      </w:r>
      <w:r w:rsidR="001B24E5" w:rsidRPr="001F46A5">
        <w:rPr>
          <w:rFonts w:ascii="Arial" w:eastAsia="Times New Roman" w:hAnsi="Arial" w:cs="Arial"/>
          <w:sz w:val="20"/>
          <w:szCs w:val="20"/>
        </w:rPr>
        <w:t xml:space="preserve"> </w:t>
      </w:r>
      <w:r w:rsidRPr="00B113B6">
        <w:rPr>
          <w:rFonts w:ascii="Arial" w:eastAsia="Times New Roman" w:hAnsi="Arial" w:cs="Arial"/>
          <w:sz w:val="20"/>
          <w:szCs w:val="20"/>
        </w:rPr>
        <w:t>r(D, X) = Σ (Dᵢ − D̄)(Xᵢ − X̄) ÷ √[ Σ(Dᵢ − D̄)² × Σ(Xᵢ − X̄)² ]</w:t>
      </w:r>
    </w:p>
    <w:p w:rsidR="00B113B6" w:rsidRPr="00B113B6" w:rsidRDefault="00064D36" w:rsidP="001B24E5">
      <w:pPr>
        <w:spacing w:after="0" w:line="360" w:lineRule="auto"/>
        <w:rPr>
          <w:rFonts w:ascii="Arial" w:eastAsia="Times New Roman" w:hAnsi="Arial" w:cs="Arial"/>
          <w:sz w:val="20"/>
          <w:szCs w:val="20"/>
        </w:rPr>
      </w:pPr>
      <w:r w:rsidRPr="00B113B6">
        <w:rPr>
          <w:rFonts w:ascii="Arial" w:eastAsia="Times New Roman" w:hAnsi="Arial" w:cs="Arial"/>
          <w:sz w:val="20"/>
          <w:szCs w:val="20"/>
        </w:rPr>
        <w:t>where D̄ = mean PHC density, X̄ = mean of X.</w:t>
      </w:r>
    </w:p>
    <w:p w:rsidR="00B113B6" w:rsidRPr="00B113B6" w:rsidRDefault="00064D36" w:rsidP="001B24E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Pr="00B113B6">
        <w:rPr>
          <w:rFonts w:ascii="Arial" w:eastAsia="Times New Roman" w:hAnsi="Arial" w:cs="Arial"/>
          <w:b/>
          <w:bCs/>
          <w:szCs w:val="20"/>
        </w:rPr>
        <w:t>.</w:t>
      </w:r>
      <w:r w:rsidR="00F51E2A">
        <w:rPr>
          <w:rFonts w:ascii="Arial" w:eastAsia="Times New Roman" w:hAnsi="Arial" w:cs="Arial"/>
          <w:b/>
          <w:bCs/>
          <w:szCs w:val="20"/>
        </w:rPr>
        <w:t>4</w:t>
      </w:r>
      <w:r w:rsidRPr="00B113B6">
        <w:rPr>
          <w:rFonts w:ascii="Arial" w:eastAsia="Times New Roman" w:hAnsi="Arial" w:cs="Arial"/>
          <w:b/>
          <w:bCs/>
          <w:szCs w:val="20"/>
        </w:rPr>
        <w:t xml:space="preserve"> Inequality Measurement</w:t>
      </w:r>
    </w:p>
    <w:p w:rsidR="00B113B6" w:rsidRPr="00B113B6" w:rsidRDefault="00064D36" w:rsidP="001B24E5">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Lorenz curves plot the cumulative % of population vs. the cumulative % of PHCs.</w:t>
      </w:r>
    </w:p>
    <w:p w:rsidR="00B113B6" w:rsidRPr="00B113B6" w:rsidRDefault="00064D3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Gini coefficient formula:</w:t>
      </w:r>
      <w:r w:rsidR="005E2992" w:rsidRPr="001F46A5">
        <w:rPr>
          <w:rFonts w:ascii="Arial" w:eastAsia="Times New Roman" w:hAnsi="Arial" w:cs="Arial"/>
          <w:sz w:val="20"/>
          <w:szCs w:val="20"/>
        </w:rPr>
        <w:t xml:space="preserve"> </w:t>
      </w:r>
      <w:r w:rsidRPr="00B113B6">
        <w:rPr>
          <w:rFonts w:ascii="Arial" w:eastAsia="Times New Roman" w:hAnsi="Arial" w:cs="Arial"/>
          <w:sz w:val="20"/>
          <w:szCs w:val="20"/>
        </w:rPr>
        <w:t>G = (1 / 2μ</w:t>
      </w:r>
      <w:r w:rsidRPr="00B113B6">
        <w:rPr>
          <w:rFonts w:ascii="Cambria Math" w:eastAsia="Times New Roman" w:hAnsi="Cambria Math" w:cs="Cambria Math"/>
          <w:sz w:val="20"/>
          <w:szCs w:val="20"/>
        </w:rPr>
        <w:t>ₕ</w:t>
      </w:r>
      <w:r w:rsidRPr="00B113B6">
        <w:rPr>
          <w:rFonts w:ascii="Arial" w:eastAsia="Times New Roman" w:hAnsi="Arial" w:cs="Arial"/>
          <w:sz w:val="20"/>
          <w:szCs w:val="20"/>
        </w:rPr>
        <w:t>) × Σ Σ wᵢ wⱼ | hᵢ − hⱼ |</w:t>
      </w:r>
    </w:p>
    <w:p w:rsidR="00611EFE" w:rsidRDefault="00064D36"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 xml:space="preserve">Where, </w:t>
      </w:r>
      <w:r w:rsidRPr="00B113B6">
        <w:rPr>
          <w:rFonts w:ascii="Arial" w:eastAsia="Times New Roman" w:hAnsi="Arial" w:cs="Arial"/>
          <w:sz w:val="20"/>
          <w:szCs w:val="20"/>
        </w:rPr>
        <w:t xml:space="preserve">hᵢ = Hᵢ / Pᵢ </w:t>
      </w:r>
      <w:r w:rsidRPr="001F46A5">
        <w:rPr>
          <w:rFonts w:ascii="Arial" w:eastAsia="Times New Roman" w:hAnsi="Arial" w:cs="Arial"/>
          <w:sz w:val="20"/>
          <w:szCs w:val="20"/>
        </w:rPr>
        <w:t xml:space="preserve">(PHCs per person in district i), </w:t>
      </w:r>
    </w:p>
    <w:p w:rsidR="00611EFE" w:rsidRDefault="00064D3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wᵢ = Pᵢ ÷ ΣP (</w:t>
      </w:r>
      <w:r w:rsidR="00611EFE">
        <w:rPr>
          <w:rFonts w:ascii="Arial" w:eastAsia="Times New Roman" w:hAnsi="Arial" w:cs="Arial"/>
          <w:sz w:val="20"/>
          <w:szCs w:val="20"/>
        </w:rPr>
        <w:t>population share of district i)</w:t>
      </w:r>
      <w:r w:rsidRPr="001F46A5">
        <w:rPr>
          <w:rFonts w:ascii="Arial" w:eastAsia="Times New Roman" w:hAnsi="Arial" w:cs="Arial"/>
          <w:sz w:val="20"/>
          <w:szCs w:val="20"/>
        </w:rPr>
        <w:t xml:space="preserve"> </w:t>
      </w:r>
    </w:p>
    <w:p w:rsidR="00B113B6" w:rsidRPr="00B113B6" w:rsidRDefault="00064D3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μ</w:t>
      </w:r>
      <w:r w:rsidRPr="00B113B6">
        <w:rPr>
          <w:rFonts w:ascii="Cambria Math" w:eastAsia="Times New Roman" w:hAnsi="Cambria Math" w:cs="Cambria Math"/>
          <w:sz w:val="20"/>
          <w:szCs w:val="20"/>
        </w:rPr>
        <w:t>ₕ</w:t>
      </w:r>
      <w:r w:rsidRPr="00B113B6">
        <w:rPr>
          <w:rFonts w:ascii="Arial" w:eastAsia="Times New Roman" w:hAnsi="Arial" w:cs="Arial"/>
          <w:sz w:val="20"/>
          <w:szCs w:val="20"/>
        </w:rPr>
        <w:t xml:space="preserve"> = weighted mean of hᵢ</w:t>
      </w:r>
    </w:p>
    <w:p w:rsidR="00611EFE" w:rsidRDefault="00064D36"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Interpret</w:t>
      </w:r>
      <w:r w:rsidR="00611EFE">
        <w:rPr>
          <w:rFonts w:ascii="Arial" w:eastAsia="Times New Roman" w:hAnsi="Arial" w:cs="Arial"/>
          <w:sz w:val="20"/>
          <w:szCs w:val="20"/>
        </w:rPr>
        <w:t>ation: G = 0 → perfect equality</w:t>
      </w:r>
      <w:r w:rsidRPr="001F46A5">
        <w:rPr>
          <w:rFonts w:ascii="Arial" w:eastAsia="Times New Roman" w:hAnsi="Arial" w:cs="Arial"/>
          <w:sz w:val="20"/>
          <w:szCs w:val="20"/>
        </w:rPr>
        <w:t xml:space="preserve"> </w:t>
      </w:r>
    </w:p>
    <w:p w:rsidR="00B113B6" w:rsidRPr="00B113B6" w:rsidRDefault="00064D3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G = 1 → maximum inequality</w:t>
      </w:r>
    </w:p>
    <w:p w:rsidR="00B113B6" w:rsidRPr="00B113B6" w:rsidRDefault="00064D36" w:rsidP="001F46A5">
      <w:pPr>
        <w:spacing w:after="0" w:line="360" w:lineRule="auto"/>
        <w:outlineLvl w:val="2"/>
        <w:rPr>
          <w:rFonts w:ascii="Arial" w:eastAsia="Times New Roman" w:hAnsi="Arial" w:cs="Arial"/>
          <w:b/>
          <w:bCs/>
          <w:szCs w:val="20"/>
        </w:rPr>
      </w:pPr>
      <w:r w:rsidRPr="001F46A5">
        <w:rPr>
          <w:rFonts w:ascii="Arial" w:eastAsia="Times New Roman" w:hAnsi="Arial" w:cs="Arial"/>
          <w:b/>
          <w:bCs/>
          <w:szCs w:val="20"/>
        </w:rPr>
        <w:t>4</w:t>
      </w:r>
      <w:r w:rsidRPr="00B113B6">
        <w:rPr>
          <w:rFonts w:ascii="Arial" w:eastAsia="Times New Roman" w:hAnsi="Arial" w:cs="Arial"/>
          <w:b/>
          <w:bCs/>
          <w:szCs w:val="20"/>
        </w:rPr>
        <w:t>.</w:t>
      </w:r>
      <w:r w:rsidR="00F51E2A">
        <w:rPr>
          <w:rFonts w:ascii="Arial" w:eastAsia="Times New Roman" w:hAnsi="Arial" w:cs="Arial"/>
          <w:b/>
          <w:bCs/>
          <w:szCs w:val="20"/>
        </w:rPr>
        <w:t>5</w:t>
      </w:r>
      <w:r w:rsidR="001B24E5" w:rsidRPr="001F46A5">
        <w:rPr>
          <w:rFonts w:ascii="Arial" w:eastAsia="Times New Roman" w:hAnsi="Arial" w:cs="Arial"/>
          <w:b/>
          <w:bCs/>
          <w:szCs w:val="20"/>
        </w:rPr>
        <w:t xml:space="preserve"> </w:t>
      </w:r>
      <w:r w:rsidRPr="00B113B6">
        <w:rPr>
          <w:rFonts w:ascii="Arial" w:eastAsia="Times New Roman" w:hAnsi="Arial" w:cs="Arial"/>
          <w:b/>
          <w:bCs/>
          <w:szCs w:val="20"/>
        </w:rPr>
        <w:t>Vulnerability Index</w:t>
      </w:r>
    </w:p>
    <w:p w:rsidR="009E1738" w:rsidRDefault="00064D36" w:rsidP="005E2992">
      <w:pPr>
        <w:spacing w:after="0" w:line="360" w:lineRule="auto"/>
        <w:ind w:firstLine="720"/>
        <w:jc w:val="both"/>
        <w:rPr>
          <w:rFonts w:ascii="Arial" w:eastAsia="Times New Roman" w:hAnsi="Arial" w:cs="Arial"/>
          <w:sz w:val="20"/>
          <w:szCs w:val="20"/>
        </w:rPr>
      </w:pPr>
      <w:r w:rsidRPr="009E1738">
        <w:rPr>
          <w:rFonts w:ascii="Arial" w:eastAsia="Times New Roman" w:hAnsi="Arial" w:cs="Arial"/>
          <w:sz w:val="20"/>
          <w:szCs w:val="20"/>
        </w:rPr>
        <w:t>The Vulnerability Index was constructed by combining four components: Scheduled Caste (SC) percentage, Scheduled Tribe (ST) percentage, Below Poverty Line (BPL) percentage, and Public Health Centre (PHC) density. Each component was normalized using the min–max method, resulting in values ranging from 0 (least vulnerable) to 1 (most vulnerable) across districts. For PHC density, the transformation was reversed (1 − normalized PHC density), so that lower availability increased vulnerability. The final index was calculated as the simple average of the four normalized scores.</w:t>
      </w:r>
    </w:p>
    <w:p w:rsidR="00B113B6" w:rsidRPr="00B113B6" w:rsidRDefault="00064D36" w:rsidP="005E2992">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 xml:space="preserve">Normalization: </w:t>
      </w:r>
      <w:r w:rsidRPr="00B113B6">
        <w:rPr>
          <w:rFonts w:ascii="Arial" w:eastAsia="Times New Roman" w:hAnsi="Arial" w:cs="Arial"/>
          <w:sz w:val="20"/>
          <w:szCs w:val="20"/>
        </w:rPr>
        <w:t>Z̃ᵢ = ( Zᵢ − Min(Z) ) ÷ ( Max(Z) − Min(Z) )</w:t>
      </w:r>
    </w:p>
    <w:p w:rsidR="00B113B6" w:rsidRPr="00B113B6" w:rsidRDefault="00064D36" w:rsidP="005E2992">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Composite index:</w:t>
      </w:r>
      <w:r w:rsidR="001B24E5" w:rsidRPr="001F46A5">
        <w:rPr>
          <w:rFonts w:ascii="Arial" w:eastAsia="Times New Roman" w:hAnsi="Arial" w:cs="Arial"/>
          <w:sz w:val="20"/>
          <w:szCs w:val="20"/>
        </w:rPr>
        <w:t xml:space="preserve"> </w:t>
      </w:r>
      <w:r w:rsidRPr="00B113B6">
        <w:rPr>
          <w:rFonts w:ascii="Arial" w:eastAsia="Times New Roman" w:hAnsi="Arial" w:cs="Arial"/>
          <w:sz w:val="20"/>
          <w:szCs w:val="20"/>
        </w:rPr>
        <w:t>Vᵢ = ¼ × [ Z̃(SC)ᵢ + Z̃(ST)ᵢ + Z̃(BPL)ᵢ + (1 − Z̃(D)ᵢ) ]</w:t>
      </w:r>
    </w:p>
    <w:p w:rsidR="00611EFE" w:rsidRDefault="00064D36" w:rsidP="008E7D78">
      <w:pPr>
        <w:spacing w:after="0" w:line="360" w:lineRule="auto"/>
        <w:ind w:firstLine="720"/>
        <w:jc w:val="both"/>
        <w:rPr>
          <w:rFonts w:ascii="Arial" w:eastAsia="Times New Roman" w:hAnsi="Arial" w:cs="Arial"/>
          <w:sz w:val="20"/>
          <w:szCs w:val="20"/>
        </w:rPr>
      </w:pPr>
      <w:r w:rsidRPr="001F46A5">
        <w:rPr>
          <w:rFonts w:ascii="Arial" w:eastAsia="Times New Roman" w:hAnsi="Arial" w:cs="Arial"/>
          <w:sz w:val="20"/>
          <w:szCs w:val="20"/>
        </w:rPr>
        <w:t>Wh</w:t>
      </w:r>
      <w:r w:rsidR="00611EFE">
        <w:rPr>
          <w:rFonts w:ascii="Arial" w:eastAsia="Times New Roman" w:hAnsi="Arial" w:cs="Arial"/>
          <w:sz w:val="20"/>
          <w:szCs w:val="20"/>
        </w:rPr>
        <w:t xml:space="preserve">ere, </w:t>
      </w:r>
      <w:proofErr w:type="gramStart"/>
      <w:r w:rsidR="00611EFE">
        <w:rPr>
          <w:rFonts w:ascii="Arial" w:eastAsia="Times New Roman" w:hAnsi="Arial" w:cs="Arial"/>
          <w:sz w:val="20"/>
          <w:szCs w:val="20"/>
        </w:rPr>
        <w:t>Z̃(</w:t>
      </w:r>
      <w:proofErr w:type="gramEnd"/>
      <w:r w:rsidR="00611EFE">
        <w:rPr>
          <w:rFonts w:ascii="Arial" w:eastAsia="Times New Roman" w:hAnsi="Arial" w:cs="Arial"/>
          <w:sz w:val="20"/>
          <w:szCs w:val="20"/>
        </w:rPr>
        <w:t>SC)ᵢ = normalized SC %</w:t>
      </w:r>
    </w:p>
    <w:p w:rsidR="00611EFE" w:rsidRDefault="00064D36" w:rsidP="008E7D78">
      <w:pPr>
        <w:spacing w:after="0" w:line="360" w:lineRule="auto"/>
        <w:ind w:firstLine="720"/>
        <w:jc w:val="both"/>
        <w:rPr>
          <w:rFonts w:ascii="Arial" w:eastAsia="Times New Roman" w:hAnsi="Arial" w:cs="Arial"/>
          <w:sz w:val="20"/>
          <w:szCs w:val="20"/>
        </w:rPr>
      </w:pPr>
      <w:proofErr w:type="gramStart"/>
      <w:r w:rsidRPr="001F46A5">
        <w:rPr>
          <w:rFonts w:ascii="Arial" w:eastAsia="Times New Roman" w:hAnsi="Arial" w:cs="Arial"/>
          <w:sz w:val="20"/>
          <w:szCs w:val="20"/>
        </w:rPr>
        <w:t>Z̃(</w:t>
      </w:r>
      <w:proofErr w:type="gramEnd"/>
      <w:r w:rsidRPr="001F46A5">
        <w:rPr>
          <w:rFonts w:ascii="Arial" w:eastAsia="Times New Roman" w:hAnsi="Arial" w:cs="Arial"/>
          <w:sz w:val="20"/>
          <w:szCs w:val="20"/>
        </w:rPr>
        <w:t xml:space="preserve">ST)ᵢ = normalized </w:t>
      </w:r>
      <w:r w:rsidR="00611EFE">
        <w:rPr>
          <w:rFonts w:ascii="Arial" w:eastAsia="Times New Roman" w:hAnsi="Arial" w:cs="Arial"/>
          <w:sz w:val="20"/>
          <w:szCs w:val="20"/>
        </w:rPr>
        <w:t>ST %</w:t>
      </w:r>
    </w:p>
    <w:p w:rsidR="00611EFE" w:rsidRDefault="00611EFE" w:rsidP="008E7D78">
      <w:pPr>
        <w:spacing w:after="0" w:line="360" w:lineRule="auto"/>
        <w:ind w:firstLine="720"/>
        <w:jc w:val="both"/>
        <w:rPr>
          <w:rFonts w:ascii="Arial" w:eastAsia="Times New Roman" w:hAnsi="Arial" w:cs="Arial"/>
          <w:sz w:val="20"/>
          <w:szCs w:val="20"/>
        </w:rPr>
      </w:pPr>
      <w:proofErr w:type="gramStart"/>
      <w:r>
        <w:rPr>
          <w:rFonts w:ascii="Arial" w:eastAsia="Times New Roman" w:hAnsi="Arial" w:cs="Arial"/>
          <w:sz w:val="20"/>
          <w:szCs w:val="20"/>
        </w:rPr>
        <w:t>Z̃(</w:t>
      </w:r>
      <w:proofErr w:type="gramEnd"/>
      <w:r>
        <w:rPr>
          <w:rFonts w:ascii="Arial" w:eastAsia="Times New Roman" w:hAnsi="Arial" w:cs="Arial"/>
          <w:sz w:val="20"/>
          <w:szCs w:val="20"/>
        </w:rPr>
        <w:t>BPL)ᵢ = normalized BPL %</w:t>
      </w:r>
    </w:p>
    <w:p w:rsidR="00611EFE" w:rsidRDefault="00B113B6" w:rsidP="008E7D78">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Z̃(D)ᵢ = normalized PHC density</w:t>
      </w:r>
    </w:p>
    <w:p w:rsidR="00611EFE" w:rsidRDefault="00B113B6" w:rsidP="00611EFE">
      <w:pPr>
        <w:spacing w:after="0" w:line="360" w:lineRule="auto"/>
        <w:ind w:firstLine="720"/>
        <w:jc w:val="both"/>
        <w:rPr>
          <w:rFonts w:ascii="Arial" w:eastAsia="Times New Roman" w:hAnsi="Arial" w:cs="Arial"/>
          <w:sz w:val="20"/>
          <w:szCs w:val="20"/>
        </w:rPr>
      </w:pPr>
      <w:r w:rsidRPr="00B113B6">
        <w:rPr>
          <w:rFonts w:ascii="Arial" w:eastAsia="Times New Roman" w:hAnsi="Arial" w:cs="Arial"/>
          <w:sz w:val="20"/>
          <w:szCs w:val="20"/>
        </w:rPr>
        <w:t>Range: 0 (least vulnerable) to 1 (most vulnerable).</w:t>
      </w:r>
    </w:p>
    <w:p w:rsidR="00611EFE" w:rsidRDefault="00611EFE" w:rsidP="00611EFE">
      <w:pPr>
        <w:spacing w:after="0" w:line="360" w:lineRule="auto"/>
        <w:ind w:firstLine="720"/>
        <w:jc w:val="both"/>
        <w:rPr>
          <w:rFonts w:ascii="Arial" w:eastAsia="Times New Roman" w:hAnsi="Arial" w:cs="Arial"/>
          <w:sz w:val="20"/>
          <w:szCs w:val="20"/>
        </w:rPr>
      </w:pPr>
    </w:p>
    <w:p w:rsidR="00DE3B88" w:rsidRDefault="00064D36" w:rsidP="00DE3B88">
      <w:pPr>
        <w:spacing w:before="240" w:after="0" w:line="360" w:lineRule="auto"/>
        <w:jc w:val="both"/>
        <w:rPr>
          <w:rFonts w:ascii="Arial" w:eastAsia="Times New Roman" w:hAnsi="Arial" w:cs="Arial"/>
          <w:b/>
          <w:sz w:val="24"/>
          <w:szCs w:val="20"/>
        </w:rPr>
      </w:pPr>
      <w:r w:rsidRPr="00DE3B88">
        <w:rPr>
          <w:rFonts w:ascii="Arial" w:eastAsia="Times New Roman" w:hAnsi="Arial" w:cs="Arial"/>
          <w:b/>
          <w:sz w:val="24"/>
          <w:szCs w:val="20"/>
        </w:rPr>
        <w:lastRenderedPageBreak/>
        <w:t>5</w:t>
      </w:r>
      <w:r w:rsidR="00751587">
        <w:rPr>
          <w:rFonts w:ascii="Arial" w:eastAsia="Times New Roman" w:hAnsi="Arial" w:cs="Arial"/>
          <w:b/>
          <w:sz w:val="24"/>
          <w:szCs w:val="20"/>
        </w:rPr>
        <w:t>.</w:t>
      </w:r>
      <w:r w:rsidRPr="00DE3B88">
        <w:rPr>
          <w:rFonts w:ascii="Arial" w:eastAsia="Times New Roman" w:hAnsi="Arial" w:cs="Arial"/>
          <w:b/>
          <w:sz w:val="24"/>
          <w:szCs w:val="20"/>
        </w:rPr>
        <w:t xml:space="preserve"> Data Analysis and Discussion</w:t>
      </w:r>
    </w:p>
    <w:p w:rsidR="002A7BA9" w:rsidRPr="002A7BA9" w:rsidRDefault="00064D36" w:rsidP="00DE3B88">
      <w:pPr>
        <w:spacing w:before="240" w:after="0" w:line="360" w:lineRule="auto"/>
        <w:jc w:val="both"/>
        <w:rPr>
          <w:rFonts w:ascii="Arial" w:eastAsia="Times New Roman" w:hAnsi="Arial" w:cs="Arial"/>
          <w:b/>
          <w:szCs w:val="20"/>
        </w:rPr>
      </w:pPr>
      <w:r w:rsidRPr="002A7BA9">
        <w:rPr>
          <w:rFonts w:ascii="Arial" w:eastAsia="Times New Roman" w:hAnsi="Arial" w:cs="Arial"/>
          <w:b/>
          <w:szCs w:val="20"/>
        </w:rPr>
        <w:t>5.1. Correlation between PHC Density and Socio-Demographic Indicators</w:t>
      </w:r>
    </w:p>
    <w:p w:rsidR="00711B53" w:rsidRPr="00E6229F" w:rsidRDefault="00064D36" w:rsidP="00E6229F">
      <w:pPr>
        <w:spacing w:before="240" w:after="0" w:line="240" w:lineRule="auto"/>
        <w:jc w:val="center"/>
        <w:rPr>
          <w:rFonts w:ascii="Arial" w:eastAsia="Times New Roman" w:hAnsi="Arial" w:cs="Arial"/>
          <w:b/>
          <w:sz w:val="20"/>
          <w:szCs w:val="20"/>
        </w:rPr>
      </w:pPr>
      <w:r>
        <w:rPr>
          <w:rFonts w:ascii="Arial" w:eastAsia="Times New Roman" w:hAnsi="Arial" w:cs="Arial"/>
          <w:b/>
          <w:sz w:val="20"/>
          <w:szCs w:val="20"/>
        </w:rPr>
        <w:t>Table</w:t>
      </w:r>
      <w:r w:rsidRPr="00E6229F">
        <w:rPr>
          <w:rFonts w:ascii="Arial" w:eastAsia="Times New Roman" w:hAnsi="Arial" w:cs="Arial"/>
          <w:b/>
          <w:sz w:val="20"/>
          <w:szCs w:val="20"/>
        </w:rPr>
        <w:t xml:space="preserve"> 1. Kerala District-wise Demographic &amp; PHC Data (2024–25)</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38"/>
        <w:gridCol w:w="992"/>
        <w:gridCol w:w="1276"/>
        <w:gridCol w:w="850"/>
        <w:gridCol w:w="730"/>
        <w:gridCol w:w="778"/>
        <w:gridCol w:w="850"/>
        <w:gridCol w:w="1044"/>
        <w:gridCol w:w="692"/>
      </w:tblGrid>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Sl. No.</w:t>
            </w:r>
          </w:p>
        </w:tc>
        <w:tc>
          <w:tcPr>
            <w:tcW w:w="1538"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Districts</w:t>
            </w:r>
          </w:p>
        </w:tc>
        <w:tc>
          <w:tcPr>
            <w:tcW w:w="992" w:type="dxa"/>
            <w:vAlign w:val="center"/>
            <w:hideMark/>
          </w:tcPr>
          <w:p w:rsidR="00DE3B88" w:rsidRPr="00E6229F" w:rsidRDefault="00064D36"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PHC </w:t>
            </w:r>
            <w:r w:rsidRPr="00DE3B88">
              <w:rPr>
                <w:rFonts w:ascii="Arial" w:eastAsia="Times New Roman" w:hAnsi="Arial" w:cs="Arial"/>
                <w:b/>
                <w:bCs/>
                <w:color w:val="000000"/>
                <w:sz w:val="18"/>
                <w:szCs w:val="20"/>
              </w:rPr>
              <w:t xml:space="preserve">Count </w:t>
            </w:r>
          </w:p>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4"/>
                <w:szCs w:val="20"/>
              </w:rPr>
              <w:t>(As on 31.07.2025)</w:t>
            </w:r>
          </w:p>
        </w:tc>
        <w:tc>
          <w:tcPr>
            <w:tcW w:w="1276"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E6229F">
              <w:rPr>
                <w:rFonts w:ascii="Arial" w:eastAsia="Times New Roman" w:hAnsi="Arial" w:cs="Arial"/>
                <w:b/>
                <w:bCs/>
                <w:color w:val="000000"/>
                <w:sz w:val="18"/>
                <w:szCs w:val="20"/>
              </w:rPr>
              <w:t>Projected</w:t>
            </w:r>
            <w:r w:rsidRPr="00DE3B88">
              <w:rPr>
                <w:rFonts w:ascii="Arial" w:eastAsia="Times New Roman" w:hAnsi="Arial" w:cs="Arial"/>
                <w:b/>
                <w:bCs/>
                <w:color w:val="000000"/>
                <w:sz w:val="18"/>
                <w:szCs w:val="20"/>
              </w:rPr>
              <w:t xml:space="preserve"> Population (2024)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PHC per </w:t>
            </w:r>
            <w:r w:rsidRPr="00DE3B88">
              <w:rPr>
                <w:rFonts w:ascii="Arial" w:eastAsia="Times New Roman" w:hAnsi="Arial" w:cs="Arial"/>
                <w:b/>
                <w:bCs/>
                <w:color w:val="000000"/>
                <w:sz w:val="18"/>
                <w:szCs w:val="20"/>
              </w:rPr>
              <w:t>1L</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SC (%)</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ST (%)</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E6229F">
              <w:rPr>
                <w:rFonts w:ascii="Arial" w:eastAsia="Times New Roman" w:hAnsi="Arial" w:cs="Arial"/>
                <w:b/>
                <w:bCs/>
                <w:color w:val="000000"/>
                <w:sz w:val="18"/>
                <w:szCs w:val="20"/>
              </w:rPr>
              <w:t xml:space="preserve">Rural </w:t>
            </w:r>
            <w:r w:rsidRPr="00DE3B88">
              <w:rPr>
                <w:rFonts w:ascii="Arial" w:eastAsia="Times New Roman" w:hAnsi="Arial" w:cs="Arial"/>
                <w:b/>
                <w:bCs/>
                <w:color w:val="000000"/>
                <w:sz w:val="18"/>
                <w:szCs w:val="20"/>
              </w:rPr>
              <w:t>(%)</w:t>
            </w:r>
          </w:p>
        </w:tc>
        <w:tc>
          <w:tcPr>
            <w:tcW w:w="1044"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Pr>
                <w:rFonts w:ascii="Arial" w:eastAsia="Times New Roman" w:hAnsi="Arial" w:cs="Arial"/>
                <w:b/>
                <w:bCs/>
                <w:color w:val="000000"/>
                <w:sz w:val="18"/>
                <w:szCs w:val="20"/>
              </w:rPr>
              <w:t xml:space="preserve">Literacy </w:t>
            </w:r>
            <w:r w:rsidRPr="00DE3B88">
              <w:rPr>
                <w:rFonts w:ascii="Arial" w:eastAsia="Times New Roman" w:hAnsi="Arial" w:cs="Arial"/>
                <w:b/>
                <w:bCs/>
                <w:color w:val="000000"/>
                <w:sz w:val="18"/>
                <w:szCs w:val="20"/>
              </w:rPr>
              <w:t>Rate</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b/>
                <w:bCs/>
                <w:color w:val="000000"/>
                <w:sz w:val="18"/>
                <w:szCs w:val="20"/>
              </w:rPr>
            </w:pPr>
            <w:r w:rsidRPr="00DE3B88">
              <w:rPr>
                <w:rFonts w:ascii="Arial" w:eastAsia="Times New Roman" w:hAnsi="Arial" w:cs="Arial"/>
                <w:b/>
                <w:bCs/>
                <w:color w:val="000000"/>
                <w:sz w:val="18"/>
                <w:szCs w:val="20"/>
              </w:rPr>
              <w:t>BPL (%)</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Alappuzha</w:t>
            </w:r>
          </w:p>
        </w:tc>
        <w:tc>
          <w:tcPr>
            <w:tcW w:w="9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w:t>
            </w:r>
          </w:p>
        </w:tc>
        <w:tc>
          <w:tcPr>
            <w:tcW w:w="1276"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2196214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1.59</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9.46</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0.31</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46.03</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0.96</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49.73</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Ernakulam</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62</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3556125</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1.74</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8.18</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0.50</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31.93</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0.96</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32.95</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Idukki</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22</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1111540</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1.98</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13.12</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5.03</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95.31</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0.92</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49.51</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Kannur</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41</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2707642</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1.51</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3.30</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1.60</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34.96</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31.39</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Kasaragod</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21</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1453294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1.44</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4.08</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3.74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61.06</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0.90</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42.51</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Kollam</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2750802</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1.20</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12.45</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0.41</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54.96</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0.94</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46.49</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Kottayam</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2042888</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1.62</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7.80</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1.11</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71.36</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0.97</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37.46</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Kozhikode</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48</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3389141</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1.42</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6.45</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0.49</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32.84</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41.22</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Malappuram</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65</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4754774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1.37</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7.50</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0.56</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55.83</w:t>
            </w:r>
          </w:p>
        </w:tc>
        <w:tc>
          <w:tcPr>
            <w:tcW w:w="1044"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0.94</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43.15</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10</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Palakkad</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45</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3089967</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1.46</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14.37</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1.74</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75.90</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0.89</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49.99</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Pathanamthitta</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1182649</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1.61</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13.73</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0.68</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89.00</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0.97</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35.23</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12</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Pr>
                <w:rFonts w:ascii="Arial" w:eastAsia="Times New Roman" w:hAnsi="Arial" w:cs="Arial"/>
                <w:color w:val="000000"/>
                <w:sz w:val="18"/>
              </w:rPr>
              <w:t>Trivandrum</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79</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3451050</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2.29</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11.30</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0.81</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46.33</w:t>
            </w:r>
          </w:p>
        </w:tc>
        <w:tc>
          <w:tcPr>
            <w:tcW w:w="1044"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0.93</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50.01</w:t>
            </w:r>
          </w:p>
        </w:tc>
      </w:tr>
      <w:tr w:rsidR="00E3703F" w:rsidTr="006C1357">
        <w:trPr>
          <w:trHeight w:val="340"/>
          <w:jc w:val="center"/>
        </w:trPr>
        <w:tc>
          <w:tcPr>
            <w:tcW w:w="56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13</w:t>
            </w:r>
          </w:p>
        </w:tc>
        <w:tc>
          <w:tcPr>
            <w:tcW w:w="1538" w:type="dxa"/>
            <w:noWrap/>
            <w:vAlign w:val="center"/>
            <w:hideMark/>
          </w:tcPr>
          <w:p w:rsidR="00DE3B88" w:rsidRPr="00DE3B88" w:rsidRDefault="00064D36" w:rsidP="00DE3B88">
            <w:pPr>
              <w:spacing w:after="0" w:line="240" w:lineRule="auto"/>
              <w:rPr>
                <w:rFonts w:ascii="Arial" w:eastAsia="Times New Roman" w:hAnsi="Arial" w:cs="Arial"/>
                <w:color w:val="000000"/>
                <w:sz w:val="18"/>
              </w:rPr>
            </w:pPr>
            <w:r w:rsidRPr="00DE3B88">
              <w:rPr>
                <w:rFonts w:ascii="Arial" w:eastAsia="Times New Roman" w:hAnsi="Arial" w:cs="Arial"/>
                <w:color w:val="000000"/>
                <w:sz w:val="18"/>
              </w:rPr>
              <w:t>Thrissur</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64</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3356313</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1.91</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10.39</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0.30</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32.83</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0.95</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39.64</w:t>
            </w:r>
          </w:p>
        </w:tc>
      </w:tr>
      <w:tr w:rsidR="00E3703F" w:rsidTr="006C1357">
        <w:trPr>
          <w:trHeight w:val="340"/>
          <w:jc w:val="center"/>
        </w:trPr>
        <w:tc>
          <w:tcPr>
            <w:tcW w:w="568"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14</w:t>
            </w:r>
          </w:p>
        </w:tc>
        <w:tc>
          <w:tcPr>
            <w:tcW w:w="1538" w:type="dxa"/>
            <w:noWrap/>
            <w:vAlign w:val="center"/>
            <w:hideMark/>
          </w:tcPr>
          <w:p w:rsidR="00DE3B88" w:rsidRPr="00DE3B88" w:rsidRDefault="00064D36" w:rsidP="003C3F4B">
            <w:pPr>
              <w:spacing w:after="0" w:line="240" w:lineRule="auto"/>
              <w:rPr>
                <w:rFonts w:ascii="Arial" w:eastAsia="Times New Roman" w:hAnsi="Arial" w:cs="Arial"/>
                <w:color w:val="000000"/>
                <w:sz w:val="18"/>
              </w:rPr>
            </w:pPr>
            <w:r>
              <w:rPr>
                <w:rFonts w:ascii="Arial" w:eastAsia="Times New Roman" w:hAnsi="Arial" w:cs="Arial"/>
                <w:color w:val="000000"/>
                <w:sz w:val="18"/>
              </w:rPr>
              <w:t>Wayanadu</w:t>
            </w:r>
          </w:p>
        </w:tc>
        <w:tc>
          <w:tcPr>
            <w:tcW w:w="992"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25</w:t>
            </w:r>
          </w:p>
        </w:tc>
        <w:tc>
          <w:tcPr>
            <w:tcW w:w="1276"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877602</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2.85</w:t>
            </w:r>
          </w:p>
        </w:tc>
        <w:tc>
          <w:tcPr>
            <w:tcW w:w="73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3.99</w:t>
            </w:r>
          </w:p>
        </w:tc>
        <w:tc>
          <w:tcPr>
            <w:tcW w:w="778"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18.52</w:t>
            </w:r>
          </w:p>
        </w:tc>
        <w:tc>
          <w:tcPr>
            <w:tcW w:w="850"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96.15</w:t>
            </w:r>
          </w:p>
        </w:tc>
        <w:tc>
          <w:tcPr>
            <w:tcW w:w="1044" w:type="dxa"/>
            <w:noWrap/>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0.89</w:t>
            </w:r>
          </w:p>
        </w:tc>
        <w:tc>
          <w:tcPr>
            <w:tcW w:w="692" w:type="dxa"/>
            <w:vAlign w:val="center"/>
            <w:hideMark/>
          </w:tcPr>
          <w:p w:rsidR="00DE3B88" w:rsidRPr="00DE3B88" w:rsidRDefault="00064D36" w:rsidP="00DE3B88">
            <w:pPr>
              <w:spacing w:after="0" w:line="240" w:lineRule="auto"/>
              <w:jc w:val="center"/>
              <w:rPr>
                <w:rFonts w:ascii="Arial" w:eastAsia="Times New Roman" w:hAnsi="Arial" w:cs="Arial"/>
                <w:color w:val="000000"/>
                <w:sz w:val="18"/>
              </w:rPr>
            </w:pPr>
            <w:r w:rsidRPr="00DE3B88">
              <w:rPr>
                <w:rFonts w:ascii="Arial" w:eastAsia="Times New Roman" w:hAnsi="Arial" w:cs="Arial"/>
                <w:color w:val="000000"/>
                <w:sz w:val="18"/>
              </w:rPr>
              <w:t>51.68</w:t>
            </w:r>
          </w:p>
        </w:tc>
      </w:tr>
    </w:tbl>
    <w:p w:rsidR="00E6229F" w:rsidRPr="00E6229F" w:rsidRDefault="00064D36" w:rsidP="00E6229F">
      <w:pPr>
        <w:spacing w:after="0" w:line="240" w:lineRule="auto"/>
        <w:jc w:val="both"/>
        <w:rPr>
          <w:rFonts w:ascii="Arial" w:eastAsia="Times New Roman" w:hAnsi="Arial" w:cs="Arial"/>
          <w:b/>
          <w:i/>
          <w:sz w:val="16"/>
          <w:szCs w:val="20"/>
        </w:rPr>
      </w:pPr>
      <w:r w:rsidRPr="00E6229F">
        <w:rPr>
          <w:rFonts w:ascii="Arial" w:eastAsia="Times New Roman" w:hAnsi="Arial" w:cs="Arial"/>
          <w:b/>
          <w:i/>
          <w:sz w:val="16"/>
          <w:szCs w:val="20"/>
        </w:rPr>
        <w:t xml:space="preserve">Source: </w:t>
      </w:r>
      <w:r>
        <w:rPr>
          <w:rFonts w:ascii="Arial" w:eastAsia="Times New Roman" w:hAnsi="Arial" w:cs="Arial"/>
          <w:b/>
          <w:i/>
          <w:sz w:val="16"/>
          <w:szCs w:val="20"/>
        </w:rPr>
        <w:tab/>
      </w:r>
      <w:r w:rsidRPr="00E6229F">
        <w:rPr>
          <w:rFonts w:ascii="Arial" w:eastAsia="Times New Roman" w:hAnsi="Arial" w:cs="Arial"/>
          <w:b/>
          <w:i/>
          <w:sz w:val="16"/>
          <w:szCs w:val="20"/>
          <w:vertAlign w:val="superscript"/>
        </w:rPr>
        <w:t>1</w:t>
      </w:r>
      <w:r w:rsidRPr="00E6229F">
        <w:rPr>
          <w:rFonts w:ascii="Arial" w:eastAsia="Times New Roman" w:hAnsi="Arial" w:cs="Arial"/>
          <w:b/>
          <w:i/>
          <w:sz w:val="16"/>
          <w:szCs w:val="20"/>
        </w:rPr>
        <w:t xml:space="preserve">Kerala Digital Health Mission, 2025, </w:t>
      </w:r>
    </w:p>
    <w:p w:rsidR="00711B53" w:rsidRDefault="00064D36" w:rsidP="00E6229F">
      <w:pPr>
        <w:spacing w:after="0" w:line="240" w:lineRule="auto"/>
        <w:ind w:right="-846" w:firstLine="720"/>
        <w:jc w:val="both"/>
        <w:rPr>
          <w:rFonts w:ascii="Arial" w:eastAsia="Times New Roman" w:hAnsi="Arial" w:cs="Arial"/>
          <w:b/>
          <w:i/>
          <w:sz w:val="16"/>
          <w:szCs w:val="20"/>
        </w:rPr>
      </w:pPr>
      <w:r w:rsidRPr="00E6229F">
        <w:rPr>
          <w:rFonts w:ascii="Arial" w:eastAsia="Times New Roman" w:hAnsi="Arial" w:cs="Arial"/>
          <w:b/>
          <w:i/>
          <w:sz w:val="16"/>
          <w:szCs w:val="20"/>
          <w:vertAlign w:val="superscript"/>
        </w:rPr>
        <w:t>2</w:t>
      </w:r>
      <w:r w:rsidRPr="00E6229F">
        <w:rPr>
          <w:rFonts w:ascii="Arial" w:eastAsia="Times New Roman" w:hAnsi="Arial" w:cs="Arial"/>
          <w:b/>
          <w:i/>
          <w:sz w:val="16"/>
          <w:szCs w:val="20"/>
        </w:rPr>
        <w:t>Projection of dist</w:t>
      </w:r>
      <w:r>
        <w:rPr>
          <w:rFonts w:ascii="Arial" w:eastAsia="Times New Roman" w:hAnsi="Arial" w:cs="Arial"/>
          <w:b/>
          <w:i/>
          <w:sz w:val="16"/>
          <w:szCs w:val="20"/>
        </w:rPr>
        <w:t>rict-level annual population</w:t>
      </w:r>
      <w:r w:rsidRPr="00E6229F">
        <w:rPr>
          <w:rFonts w:ascii="Arial" w:eastAsia="Times New Roman" w:hAnsi="Arial" w:cs="Arial"/>
          <w:b/>
          <w:i/>
          <w:sz w:val="16"/>
          <w:szCs w:val="20"/>
        </w:rPr>
        <w:t>, IIPS, Mumbai, India.</w:t>
      </w:r>
    </w:p>
    <w:p w:rsidR="003C3F4B" w:rsidRDefault="00064D36" w:rsidP="00486007">
      <w:pPr>
        <w:spacing w:after="0" w:line="240" w:lineRule="auto"/>
        <w:ind w:right="-846" w:firstLine="720"/>
        <w:jc w:val="both"/>
        <w:rPr>
          <w:rFonts w:ascii="Arial" w:eastAsia="Times New Roman" w:hAnsi="Arial" w:cs="Arial"/>
          <w:b/>
          <w:i/>
          <w:sz w:val="16"/>
          <w:szCs w:val="20"/>
        </w:rPr>
      </w:pPr>
      <w:r w:rsidRPr="00040443">
        <w:rPr>
          <w:rFonts w:ascii="Arial" w:eastAsia="Times New Roman" w:hAnsi="Arial" w:cs="Arial"/>
          <w:b/>
          <w:i/>
          <w:sz w:val="16"/>
          <w:szCs w:val="20"/>
          <w:vertAlign w:val="superscript"/>
        </w:rPr>
        <w:t>3</w:t>
      </w:r>
      <w:r>
        <w:rPr>
          <w:rFonts w:ascii="Arial" w:eastAsia="Times New Roman" w:hAnsi="Arial" w:cs="Arial"/>
          <w:b/>
          <w:i/>
          <w:sz w:val="16"/>
          <w:szCs w:val="20"/>
        </w:rPr>
        <w:t>Census of India, 2011</w:t>
      </w:r>
    </w:p>
    <w:p w:rsidR="003C3F4B" w:rsidRPr="003C3F4B" w:rsidRDefault="00064D36" w:rsidP="003C3F4B">
      <w:pPr>
        <w:spacing w:before="240" w:after="0" w:line="240" w:lineRule="auto"/>
        <w:jc w:val="center"/>
        <w:rPr>
          <w:rFonts w:ascii="Arial" w:eastAsia="Times New Roman" w:hAnsi="Arial" w:cs="Arial"/>
          <w:b/>
          <w:sz w:val="20"/>
          <w:szCs w:val="20"/>
        </w:rPr>
      </w:pPr>
      <w:r w:rsidRPr="00E6229F">
        <w:rPr>
          <w:rFonts w:ascii="Arial" w:eastAsia="Times New Roman" w:hAnsi="Arial" w:cs="Arial"/>
          <w:b/>
          <w:sz w:val="20"/>
          <w:szCs w:val="20"/>
        </w:rPr>
        <w:t xml:space="preserve">Table </w:t>
      </w:r>
      <w:r>
        <w:rPr>
          <w:rFonts w:ascii="Arial" w:eastAsia="Times New Roman" w:hAnsi="Arial" w:cs="Arial"/>
          <w:b/>
          <w:sz w:val="20"/>
          <w:szCs w:val="20"/>
        </w:rPr>
        <w:t>2</w:t>
      </w:r>
      <w:r w:rsidRPr="00E6229F">
        <w:rPr>
          <w:rFonts w:ascii="Arial" w:eastAsia="Times New Roman" w:hAnsi="Arial" w:cs="Arial"/>
          <w:b/>
          <w:sz w:val="20"/>
          <w:szCs w:val="20"/>
        </w:rPr>
        <w:t xml:space="preserve">. </w:t>
      </w:r>
      <w:r w:rsidRPr="003C3F4B">
        <w:rPr>
          <w:rFonts w:ascii="Arial" w:eastAsia="Times New Roman" w:hAnsi="Arial" w:cs="Arial"/>
          <w:b/>
          <w:sz w:val="20"/>
          <w:szCs w:val="20"/>
        </w:rPr>
        <w:t>Correlation between PHC Density and Socio-Demographic Indicators</w:t>
      </w:r>
    </w:p>
    <w:tbl>
      <w:tblPr>
        <w:tblStyle w:val="TableGrid"/>
        <w:tblW w:w="9356" w:type="dxa"/>
        <w:tblInd w:w="108" w:type="dxa"/>
        <w:tblLook w:val="04A0" w:firstRow="1" w:lastRow="0" w:firstColumn="1" w:lastColumn="0" w:noHBand="0" w:noVBand="1"/>
      </w:tblPr>
      <w:tblGrid>
        <w:gridCol w:w="1701"/>
        <w:gridCol w:w="1134"/>
        <w:gridCol w:w="1134"/>
        <w:gridCol w:w="1276"/>
        <w:gridCol w:w="4111"/>
      </w:tblGrid>
      <w:tr w:rsidR="00E3703F" w:rsidTr="006C1357">
        <w:trPr>
          <w:trHeight w:val="385"/>
        </w:trPr>
        <w:tc>
          <w:tcPr>
            <w:tcW w:w="1701" w:type="dxa"/>
            <w:vAlign w:val="center"/>
          </w:tcPr>
          <w:p w:rsidR="003C3F4B" w:rsidRPr="003C3F4B" w:rsidRDefault="00064D36" w:rsidP="00052C82">
            <w:pPr>
              <w:jc w:val="center"/>
              <w:rPr>
                <w:rFonts w:ascii="Arial" w:eastAsia="Times New Roman" w:hAnsi="Arial" w:cs="Arial"/>
                <w:b/>
                <w:bCs/>
                <w:sz w:val="20"/>
                <w:szCs w:val="24"/>
              </w:rPr>
            </w:pPr>
            <w:r w:rsidRPr="003C3F4B">
              <w:rPr>
                <w:rFonts w:ascii="Arial" w:eastAsia="Times New Roman" w:hAnsi="Arial" w:cs="Arial"/>
                <w:b/>
                <w:bCs/>
                <w:sz w:val="20"/>
                <w:szCs w:val="24"/>
              </w:rPr>
              <w:t>Indicator</w:t>
            </w:r>
          </w:p>
        </w:tc>
        <w:tc>
          <w:tcPr>
            <w:tcW w:w="1134" w:type="dxa"/>
            <w:vAlign w:val="center"/>
          </w:tcPr>
          <w:p w:rsidR="003C3F4B" w:rsidRPr="003C3F4B" w:rsidRDefault="00064D36" w:rsidP="00052C82">
            <w:pPr>
              <w:jc w:val="center"/>
              <w:rPr>
                <w:rFonts w:ascii="Arial" w:eastAsia="Times New Roman" w:hAnsi="Arial" w:cs="Arial"/>
                <w:b/>
                <w:bCs/>
                <w:sz w:val="20"/>
                <w:szCs w:val="24"/>
              </w:rPr>
            </w:pPr>
            <w:r w:rsidRPr="003C3F4B">
              <w:rPr>
                <w:rFonts w:ascii="Arial" w:eastAsia="Times New Roman" w:hAnsi="Arial" w:cs="Arial"/>
                <w:b/>
                <w:bCs/>
                <w:sz w:val="20"/>
                <w:szCs w:val="24"/>
              </w:rPr>
              <w:t>Pearson r</w:t>
            </w:r>
          </w:p>
        </w:tc>
        <w:tc>
          <w:tcPr>
            <w:tcW w:w="1134" w:type="dxa"/>
            <w:vAlign w:val="center"/>
          </w:tcPr>
          <w:p w:rsidR="003C3F4B" w:rsidRPr="003C3F4B" w:rsidRDefault="00064D36" w:rsidP="00052C82">
            <w:pPr>
              <w:jc w:val="center"/>
              <w:rPr>
                <w:rFonts w:ascii="Arial" w:eastAsia="Times New Roman" w:hAnsi="Arial" w:cs="Arial"/>
                <w:b/>
                <w:bCs/>
                <w:sz w:val="20"/>
                <w:szCs w:val="24"/>
              </w:rPr>
            </w:pPr>
            <w:r w:rsidRPr="003C3F4B">
              <w:rPr>
                <w:rFonts w:ascii="Arial" w:eastAsia="Times New Roman" w:hAnsi="Arial" w:cs="Arial"/>
                <w:b/>
                <w:bCs/>
                <w:sz w:val="20"/>
                <w:szCs w:val="24"/>
              </w:rPr>
              <w:t>Direction</w:t>
            </w:r>
          </w:p>
        </w:tc>
        <w:tc>
          <w:tcPr>
            <w:tcW w:w="1276" w:type="dxa"/>
            <w:vAlign w:val="center"/>
          </w:tcPr>
          <w:p w:rsidR="003C3F4B" w:rsidRPr="003C3F4B" w:rsidRDefault="00064D36" w:rsidP="00052C82">
            <w:pPr>
              <w:jc w:val="center"/>
              <w:rPr>
                <w:rFonts w:ascii="Arial" w:eastAsia="Times New Roman" w:hAnsi="Arial" w:cs="Arial"/>
                <w:b/>
                <w:bCs/>
                <w:sz w:val="20"/>
                <w:szCs w:val="24"/>
              </w:rPr>
            </w:pPr>
            <w:r w:rsidRPr="003C3F4B">
              <w:rPr>
                <w:rFonts w:ascii="Arial" w:eastAsia="Times New Roman" w:hAnsi="Arial" w:cs="Arial"/>
                <w:b/>
                <w:bCs/>
                <w:sz w:val="20"/>
                <w:szCs w:val="24"/>
              </w:rPr>
              <w:t>Strength</w:t>
            </w:r>
          </w:p>
        </w:tc>
        <w:tc>
          <w:tcPr>
            <w:tcW w:w="4111" w:type="dxa"/>
            <w:vAlign w:val="center"/>
          </w:tcPr>
          <w:p w:rsidR="003C3F4B" w:rsidRPr="003C3F4B" w:rsidRDefault="00064D36" w:rsidP="00052C82">
            <w:pPr>
              <w:jc w:val="center"/>
              <w:rPr>
                <w:rFonts w:ascii="Arial" w:eastAsia="Times New Roman" w:hAnsi="Arial" w:cs="Arial"/>
                <w:b/>
                <w:bCs/>
                <w:sz w:val="20"/>
                <w:szCs w:val="24"/>
              </w:rPr>
            </w:pPr>
            <w:r w:rsidRPr="003C3F4B">
              <w:rPr>
                <w:rFonts w:ascii="Arial" w:eastAsia="Times New Roman" w:hAnsi="Arial" w:cs="Arial"/>
                <w:b/>
                <w:bCs/>
                <w:sz w:val="20"/>
                <w:szCs w:val="24"/>
              </w:rPr>
              <w:t>Interpretation</w:t>
            </w:r>
          </w:p>
        </w:tc>
      </w:tr>
      <w:tr w:rsidR="00E3703F" w:rsidTr="006C1357">
        <w:trPr>
          <w:trHeight w:val="20"/>
        </w:trPr>
        <w:tc>
          <w:tcPr>
            <w:tcW w:w="1701" w:type="dxa"/>
            <w:vAlign w:val="center"/>
          </w:tcPr>
          <w:p w:rsidR="003C3F4B" w:rsidRPr="003C3F4B" w:rsidRDefault="00064D36" w:rsidP="003C3F4B">
            <w:pPr>
              <w:jc w:val="center"/>
              <w:rPr>
                <w:rFonts w:ascii="Arial" w:eastAsia="Times New Roman" w:hAnsi="Arial" w:cs="Arial"/>
                <w:b/>
                <w:sz w:val="18"/>
                <w:szCs w:val="24"/>
              </w:rPr>
            </w:pPr>
            <w:r w:rsidRPr="003C3F4B">
              <w:rPr>
                <w:rFonts w:ascii="Arial" w:eastAsia="Times New Roman" w:hAnsi="Arial" w:cs="Arial"/>
                <w:b/>
                <w:sz w:val="18"/>
                <w:szCs w:val="24"/>
              </w:rPr>
              <w:t>Scheduled Caste (SC) %</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–0.14</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Negative</w:t>
            </w:r>
          </w:p>
        </w:tc>
        <w:tc>
          <w:tcPr>
            <w:tcW w:w="1276"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Very Weak</w:t>
            </w:r>
          </w:p>
        </w:tc>
        <w:tc>
          <w:tcPr>
            <w:tcW w:w="4111" w:type="dxa"/>
            <w:vAlign w:val="center"/>
          </w:tcPr>
          <w:p w:rsidR="003C3F4B" w:rsidRPr="003C3F4B" w:rsidRDefault="00064D36" w:rsidP="003C3F4B">
            <w:pPr>
              <w:jc w:val="both"/>
              <w:rPr>
                <w:rFonts w:ascii="Arial" w:eastAsia="Times New Roman" w:hAnsi="Arial" w:cs="Arial"/>
                <w:sz w:val="20"/>
                <w:szCs w:val="24"/>
              </w:rPr>
            </w:pPr>
            <w:r w:rsidRPr="003C3F4B">
              <w:rPr>
                <w:rFonts w:ascii="Arial" w:eastAsia="Times New Roman" w:hAnsi="Arial" w:cs="Arial"/>
                <w:sz w:val="20"/>
                <w:szCs w:val="24"/>
              </w:rPr>
              <w:t>SC % has no meaningful association with PHC density</w:t>
            </w:r>
          </w:p>
        </w:tc>
      </w:tr>
      <w:tr w:rsidR="00E3703F" w:rsidTr="006C1357">
        <w:trPr>
          <w:trHeight w:val="20"/>
        </w:trPr>
        <w:tc>
          <w:tcPr>
            <w:tcW w:w="1701" w:type="dxa"/>
            <w:vAlign w:val="center"/>
          </w:tcPr>
          <w:p w:rsidR="003C3F4B" w:rsidRPr="003C3F4B" w:rsidRDefault="00064D36" w:rsidP="003C3F4B">
            <w:pPr>
              <w:jc w:val="center"/>
              <w:rPr>
                <w:rFonts w:ascii="Arial" w:eastAsia="Times New Roman" w:hAnsi="Arial" w:cs="Arial"/>
                <w:b/>
                <w:sz w:val="18"/>
                <w:szCs w:val="24"/>
              </w:rPr>
            </w:pPr>
            <w:r w:rsidRPr="003C3F4B">
              <w:rPr>
                <w:rFonts w:ascii="Arial" w:eastAsia="Times New Roman" w:hAnsi="Arial" w:cs="Arial"/>
                <w:b/>
                <w:sz w:val="18"/>
                <w:szCs w:val="24"/>
              </w:rPr>
              <w:t>Scheduled Tribe (ST) %</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+0.76</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276"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Strong</w:t>
            </w:r>
          </w:p>
        </w:tc>
        <w:tc>
          <w:tcPr>
            <w:tcW w:w="4111" w:type="dxa"/>
            <w:vAlign w:val="center"/>
          </w:tcPr>
          <w:p w:rsidR="003C3F4B" w:rsidRPr="003C3F4B" w:rsidRDefault="00064D36" w:rsidP="003C3F4B">
            <w:pPr>
              <w:jc w:val="both"/>
              <w:rPr>
                <w:rFonts w:ascii="Arial" w:eastAsia="Times New Roman" w:hAnsi="Arial" w:cs="Arial"/>
                <w:sz w:val="20"/>
                <w:szCs w:val="24"/>
              </w:rPr>
            </w:pPr>
            <w:r w:rsidRPr="003C3F4B">
              <w:rPr>
                <w:rFonts w:ascii="Arial" w:eastAsia="Times New Roman" w:hAnsi="Arial" w:cs="Arial"/>
                <w:sz w:val="20"/>
                <w:szCs w:val="24"/>
              </w:rPr>
              <w:t>PHC density increases in tribal-dominated districts</w:t>
            </w:r>
          </w:p>
        </w:tc>
      </w:tr>
      <w:tr w:rsidR="00E3703F" w:rsidTr="006C1357">
        <w:trPr>
          <w:trHeight w:val="20"/>
        </w:trPr>
        <w:tc>
          <w:tcPr>
            <w:tcW w:w="1701" w:type="dxa"/>
            <w:vAlign w:val="center"/>
          </w:tcPr>
          <w:p w:rsidR="003C3F4B" w:rsidRPr="003C3F4B" w:rsidRDefault="00064D36" w:rsidP="003C3F4B">
            <w:pPr>
              <w:jc w:val="center"/>
              <w:rPr>
                <w:rFonts w:ascii="Arial" w:eastAsia="Times New Roman" w:hAnsi="Arial" w:cs="Arial"/>
                <w:b/>
                <w:sz w:val="18"/>
                <w:szCs w:val="24"/>
              </w:rPr>
            </w:pPr>
            <w:r w:rsidRPr="003C3F4B">
              <w:rPr>
                <w:rFonts w:ascii="Arial" w:eastAsia="Times New Roman" w:hAnsi="Arial" w:cs="Arial"/>
                <w:b/>
                <w:sz w:val="18"/>
                <w:szCs w:val="24"/>
              </w:rPr>
              <w:t>Rural Population %</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+0.36</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276"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4111" w:type="dxa"/>
            <w:vAlign w:val="center"/>
          </w:tcPr>
          <w:p w:rsidR="003C3F4B" w:rsidRPr="003C3F4B" w:rsidRDefault="00064D36" w:rsidP="003C3F4B">
            <w:pPr>
              <w:jc w:val="both"/>
              <w:rPr>
                <w:rFonts w:ascii="Arial" w:eastAsia="Times New Roman" w:hAnsi="Arial" w:cs="Arial"/>
                <w:sz w:val="20"/>
                <w:szCs w:val="24"/>
              </w:rPr>
            </w:pPr>
            <w:r w:rsidRPr="003C3F4B">
              <w:rPr>
                <w:rFonts w:ascii="Arial" w:eastAsia="Times New Roman" w:hAnsi="Arial" w:cs="Arial"/>
                <w:sz w:val="20"/>
                <w:szCs w:val="24"/>
              </w:rPr>
              <w:t>Districts with larger rural shares have somewhat more PHCs</w:t>
            </w:r>
          </w:p>
        </w:tc>
      </w:tr>
      <w:tr w:rsidR="00E3703F" w:rsidTr="006C1357">
        <w:trPr>
          <w:trHeight w:val="20"/>
        </w:trPr>
        <w:tc>
          <w:tcPr>
            <w:tcW w:w="1701" w:type="dxa"/>
            <w:vAlign w:val="center"/>
          </w:tcPr>
          <w:p w:rsidR="003C3F4B" w:rsidRPr="003C3F4B" w:rsidRDefault="00064D36" w:rsidP="003C3F4B">
            <w:pPr>
              <w:jc w:val="center"/>
              <w:rPr>
                <w:rFonts w:ascii="Arial" w:eastAsia="Times New Roman" w:hAnsi="Arial" w:cs="Arial"/>
                <w:b/>
                <w:sz w:val="18"/>
                <w:szCs w:val="24"/>
              </w:rPr>
            </w:pPr>
            <w:r w:rsidRPr="003C3F4B">
              <w:rPr>
                <w:rFonts w:ascii="Arial" w:eastAsia="Times New Roman" w:hAnsi="Arial" w:cs="Arial"/>
                <w:b/>
                <w:sz w:val="18"/>
                <w:szCs w:val="24"/>
              </w:rPr>
              <w:t>Literacy Rate</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–0.36</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Negative</w:t>
            </w:r>
          </w:p>
        </w:tc>
        <w:tc>
          <w:tcPr>
            <w:tcW w:w="1276"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4111" w:type="dxa"/>
            <w:vAlign w:val="center"/>
          </w:tcPr>
          <w:p w:rsidR="003C3F4B" w:rsidRPr="003C3F4B" w:rsidRDefault="00064D36" w:rsidP="003C3F4B">
            <w:pPr>
              <w:jc w:val="both"/>
              <w:rPr>
                <w:rFonts w:ascii="Arial" w:eastAsia="Times New Roman" w:hAnsi="Arial" w:cs="Arial"/>
                <w:sz w:val="20"/>
                <w:szCs w:val="24"/>
              </w:rPr>
            </w:pPr>
            <w:r w:rsidRPr="003C3F4B">
              <w:rPr>
                <w:rFonts w:ascii="Arial" w:eastAsia="Times New Roman" w:hAnsi="Arial" w:cs="Arial"/>
                <w:sz w:val="20"/>
                <w:szCs w:val="24"/>
              </w:rPr>
              <w:t>More literate/urbanized districts tend to have fewer PHCs per capita</w:t>
            </w:r>
          </w:p>
        </w:tc>
      </w:tr>
      <w:tr w:rsidR="00E3703F" w:rsidTr="006C1357">
        <w:trPr>
          <w:trHeight w:val="20"/>
        </w:trPr>
        <w:tc>
          <w:tcPr>
            <w:tcW w:w="1701" w:type="dxa"/>
            <w:vAlign w:val="center"/>
          </w:tcPr>
          <w:p w:rsidR="003C3F4B" w:rsidRPr="003C3F4B" w:rsidRDefault="00064D36" w:rsidP="003C3F4B">
            <w:pPr>
              <w:jc w:val="center"/>
              <w:rPr>
                <w:rFonts w:ascii="Arial" w:eastAsia="Times New Roman" w:hAnsi="Arial" w:cs="Arial"/>
                <w:b/>
                <w:sz w:val="18"/>
                <w:szCs w:val="24"/>
              </w:rPr>
            </w:pPr>
            <w:r w:rsidRPr="003C3F4B">
              <w:rPr>
                <w:rFonts w:ascii="Arial" w:eastAsia="Times New Roman" w:hAnsi="Arial" w:cs="Arial"/>
                <w:b/>
                <w:sz w:val="18"/>
                <w:szCs w:val="24"/>
              </w:rPr>
              <w:t>Below Poverty Line (BPL) %</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+0.38</w:t>
            </w:r>
          </w:p>
        </w:tc>
        <w:tc>
          <w:tcPr>
            <w:tcW w:w="1134"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Positive</w:t>
            </w:r>
          </w:p>
        </w:tc>
        <w:tc>
          <w:tcPr>
            <w:tcW w:w="1276" w:type="dxa"/>
            <w:vAlign w:val="center"/>
          </w:tcPr>
          <w:p w:rsidR="003C3F4B" w:rsidRPr="003C3F4B" w:rsidRDefault="00064D36" w:rsidP="003C3F4B">
            <w:pPr>
              <w:jc w:val="center"/>
              <w:rPr>
                <w:rFonts w:ascii="Arial" w:eastAsia="Times New Roman" w:hAnsi="Arial" w:cs="Arial"/>
                <w:sz w:val="20"/>
                <w:szCs w:val="24"/>
              </w:rPr>
            </w:pPr>
            <w:r w:rsidRPr="003C3F4B">
              <w:rPr>
                <w:rFonts w:ascii="Arial" w:eastAsia="Times New Roman" w:hAnsi="Arial" w:cs="Arial"/>
                <w:sz w:val="20"/>
                <w:szCs w:val="24"/>
              </w:rPr>
              <w:t>Moderate</w:t>
            </w:r>
          </w:p>
        </w:tc>
        <w:tc>
          <w:tcPr>
            <w:tcW w:w="4111" w:type="dxa"/>
            <w:vAlign w:val="center"/>
          </w:tcPr>
          <w:p w:rsidR="003C3F4B" w:rsidRPr="003C3F4B" w:rsidRDefault="00064D36" w:rsidP="003C3F4B">
            <w:pPr>
              <w:jc w:val="both"/>
              <w:rPr>
                <w:rFonts w:ascii="Arial" w:eastAsia="Times New Roman" w:hAnsi="Arial" w:cs="Arial"/>
                <w:sz w:val="20"/>
                <w:szCs w:val="24"/>
              </w:rPr>
            </w:pPr>
            <w:r w:rsidRPr="003C3F4B">
              <w:rPr>
                <w:rFonts w:ascii="Arial" w:eastAsia="Times New Roman" w:hAnsi="Arial" w:cs="Arial"/>
                <w:sz w:val="20"/>
                <w:szCs w:val="24"/>
              </w:rPr>
              <w:t>Poorer districts tend to receive more PHCs per capita</w:t>
            </w:r>
          </w:p>
        </w:tc>
      </w:tr>
    </w:tbl>
    <w:p w:rsidR="00A06D87" w:rsidRPr="00A06D87" w:rsidRDefault="00064D36" w:rsidP="00A06D87">
      <w:pPr>
        <w:spacing w:after="0" w:line="240" w:lineRule="auto"/>
        <w:ind w:right="-846"/>
        <w:jc w:val="both"/>
        <w:rPr>
          <w:rFonts w:ascii="Arial" w:eastAsia="Times New Roman" w:hAnsi="Arial" w:cs="Arial"/>
          <w:b/>
          <w:i/>
          <w:sz w:val="16"/>
          <w:szCs w:val="20"/>
        </w:rPr>
      </w:pPr>
      <w:r>
        <w:rPr>
          <w:rFonts w:ascii="Arial" w:eastAsia="Times New Roman" w:hAnsi="Arial" w:cs="Arial"/>
          <w:b/>
          <w:i/>
          <w:sz w:val="16"/>
          <w:szCs w:val="20"/>
        </w:rPr>
        <w:t xml:space="preserve">Source: </w:t>
      </w:r>
      <w:r w:rsidR="00486007">
        <w:rPr>
          <w:rFonts w:ascii="Arial" w:eastAsia="Times New Roman" w:hAnsi="Arial" w:cs="Arial"/>
          <w:b/>
          <w:i/>
          <w:sz w:val="16"/>
          <w:szCs w:val="20"/>
        </w:rPr>
        <w:t>Computed</w:t>
      </w:r>
      <w:r>
        <w:rPr>
          <w:rFonts w:ascii="Arial" w:eastAsia="Times New Roman" w:hAnsi="Arial" w:cs="Arial"/>
          <w:b/>
          <w:i/>
          <w:sz w:val="16"/>
          <w:szCs w:val="20"/>
        </w:rPr>
        <w:t xml:space="preserve"> data</w:t>
      </w:r>
    </w:p>
    <w:p w:rsidR="00A06D87" w:rsidRDefault="00064D36" w:rsidP="00A06D87">
      <w:pPr>
        <w:spacing w:after="0" w:line="360" w:lineRule="auto"/>
        <w:ind w:right="4"/>
        <w:jc w:val="center"/>
        <w:rPr>
          <w:rFonts w:ascii="Arial" w:eastAsia="Times New Roman" w:hAnsi="Arial" w:cs="Arial"/>
          <w:b/>
          <w:noProof/>
          <w:sz w:val="20"/>
          <w:szCs w:val="20"/>
        </w:rPr>
      </w:pPr>
      <w:r>
        <w:rPr>
          <w:rFonts w:ascii="Arial" w:eastAsia="Times New Roman" w:hAnsi="Arial" w:cs="Arial"/>
          <w:noProof/>
          <w:sz w:val="20"/>
          <w:szCs w:val="20"/>
        </w:rPr>
        <w:lastRenderedPageBreak/>
        <w:drawing>
          <wp:inline distT="0" distB="0" distL="0" distR="0">
            <wp:extent cx="5476872" cy="3714750"/>
            <wp:effectExtent l="19050" t="19050" r="101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put.png"/>
                    <pic:cNvPicPr/>
                  </pic:nvPicPr>
                  <pic:blipFill>
                    <a:blip r:embed="rId7" cstate="print">
                      <a:extLst>
                        <a:ext uri="{28A0092B-C50C-407E-A947-70E740481C1C}">
                          <a14:useLocalDpi xmlns:a14="http://schemas.microsoft.com/office/drawing/2010/main" val="0"/>
                        </a:ext>
                      </a:extLst>
                    </a:blip>
                    <a:srcRect l="6172" t="4788" r="13426"/>
                    <a:stretch>
                      <a:fillRect/>
                    </a:stretch>
                  </pic:blipFill>
                  <pic:spPr bwMode="auto">
                    <a:xfrm>
                      <a:off x="0" y="0"/>
                      <a:ext cx="5488198" cy="3722432"/>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486007" w:rsidRPr="00014756" w:rsidRDefault="00064D36" w:rsidP="00014756">
      <w:pPr>
        <w:spacing w:after="0" w:line="360" w:lineRule="auto"/>
        <w:ind w:right="4"/>
        <w:jc w:val="center"/>
        <w:rPr>
          <w:rFonts w:ascii="Arial" w:eastAsia="Times New Roman" w:hAnsi="Arial" w:cs="Arial"/>
          <w:b/>
          <w:noProof/>
          <w:sz w:val="20"/>
          <w:szCs w:val="20"/>
        </w:rPr>
      </w:pPr>
      <w:r>
        <w:rPr>
          <w:rFonts w:ascii="Arial" w:eastAsia="Times New Roman" w:hAnsi="Arial" w:cs="Arial"/>
          <w:b/>
          <w:noProof/>
          <w:sz w:val="20"/>
          <w:szCs w:val="20"/>
        </w:rPr>
        <w:t xml:space="preserve">Fig.No.1. </w:t>
      </w:r>
      <w:r w:rsidRPr="00A06D87">
        <w:rPr>
          <w:rFonts w:ascii="Arial" w:eastAsia="Times New Roman" w:hAnsi="Arial" w:cs="Arial"/>
          <w:b/>
          <w:noProof/>
          <w:sz w:val="20"/>
          <w:szCs w:val="20"/>
        </w:rPr>
        <w:t>Correlation Matrix: PHC Density And Socio-Demographic Indicators (Kerala, 2024-25)</w:t>
      </w:r>
    </w:p>
    <w:p w:rsidR="00486007" w:rsidRDefault="00064D36" w:rsidP="00486007">
      <w:pPr>
        <w:spacing w:after="0" w:line="360" w:lineRule="auto"/>
        <w:ind w:right="4" w:firstLine="720"/>
        <w:jc w:val="both"/>
        <w:rPr>
          <w:rFonts w:ascii="Arial" w:eastAsia="Times New Roman" w:hAnsi="Arial" w:cs="Arial"/>
          <w:sz w:val="20"/>
          <w:szCs w:val="20"/>
        </w:rPr>
      </w:pPr>
      <w:r w:rsidRPr="005474BA">
        <w:rPr>
          <w:rFonts w:ascii="Arial" w:eastAsia="Times New Roman" w:hAnsi="Arial" w:cs="Arial"/>
          <w:sz w:val="20"/>
          <w:szCs w:val="20"/>
        </w:rPr>
        <w:t xml:space="preserve">The </w:t>
      </w:r>
      <w:r w:rsidR="0051723E" w:rsidRPr="005474BA">
        <w:rPr>
          <w:rFonts w:ascii="Arial" w:eastAsia="Times New Roman" w:hAnsi="Arial" w:cs="Arial"/>
          <w:sz w:val="20"/>
          <w:szCs w:val="20"/>
        </w:rPr>
        <w:t>correlation</w:t>
      </w:r>
      <w:r w:rsidR="0051723E">
        <w:rPr>
          <w:rFonts w:ascii="Arial" w:eastAsia="Times New Roman" w:hAnsi="Arial" w:cs="Arial"/>
          <w:sz w:val="20"/>
          <w:szCs w:val="20"/>
        </w:rPr>
        <w:t xml:space="preserve"> between</w:t>
      </w:r>
      <w:r w:rsidR="0051723E" w:rsidRPr="005474BA">
        <w:rPr>
          <w:rFonts w:ascii="Arial" w:eastAsia="Times New Roman" w:hAnsi="Arial" w:cs="Arial"/>
          <w:sz w:val="20"/>
          <w:szCs w:val="20"/>
        </w:rPr>
        <w:t xml:space="preserve"> </w:t>
      </w:r>
      <w:r w:rsidRPr="005474BA">
        <w:rPr>
          <w:rFonts w:ascii="Arial" w:eastAsia="Times New Roman" w:hAnsi="Arial" w:cs="Arial"/>
          <w:sz w:val="20"/>
          <w:szCs w:val="20"/>
        </w:rPr>
        <w:t>PHC density and socio-demographic variables indicates how Kerala's health infrastructure aligns with the population</w:t>
      </w:r>
      <w:r w:rsidR="0051723E">
        <w:rPr>
          <w:rFonts w:ascii="Arial" w:eastAsia="Times New Roman" w:hAnsi="Arial" w:cs="Arial"/>
          <w:sz w:val="20"/>
          <w:szCs w:val="20"/>
        </w:rPr>
        <w:t>'s vulnerability. The table shows a strong</w:t>
      </w:r>
      <w:r w:rsidRPr="005474BA">
        <w:rPr>
          <w:rFonts w:ascii="Arial" w:eastAsia="Times New Roman" w:hAnsi="Arial" w:cs="Arial"/>
          <w:sz w:val="20"/>
          <w:szCs w:val="20"/>
        </w:rPr>
        <w:t xml:space="preserve"> positive correlation with the Scheduled Tribe population share (r = +0.76), with tribal-dominated districts like </w:t>
      </w:r>
      <w:r w:rsidR="0034025D">
        <w:rPr>
          <w:rFonts w:ascii="Arial" w:eastAsia="Times New Roman" w:hAnsi="Arial" w:cs="Arial"/>
          <w:sz w:val="20"/>
          <w:szCs w:val="20"/>
        </w:rPr>
        <w:t>Wayanadu</w:t>
      </w:r>
      <w:r w:rsidRPr="005474BA">
        <w:rPr>
          <w:rFonts w:ascii="Arial" w:eastAsia="Times New Roman" w:hAnsi="Arial" w:cs="Arial"/>
          <w:sz w:val="20"/>
          <w:szCs w:val="20"/>
        </w:rPr>
        <w:t xml:space="preserve"> and Idukki having higher PHC density, suggesting that the higher density is intentional to meet tribal health requirements. </w:t>
      </w:r>
      <w:r w:rsidR="0051723E">
        <w:rPr>
          <w:rFonts w:ascii="Arial" w:eastAsia="Times New Roman" w:hAnsi="Arial" w:cs="Arial"/>
          <w:sz w:val="20"/>
          <w:szCs w:val="20"/>
        </w:rPr>
        <w:t>Similarly</w:t>
      </w:r>
      <w:r w:rsidRPr="005474BA">
        <w:rPr>
          <w:rFonts w:ascii="Arial" w:eastAsia="Times New Roman" w:hAnsi="Arial" w:cs="Arial"/>
          <w:sz w:val="20"/>
          <w:szCs w:val="20"/>
        </w:rPr>
        <w:t xml:space="preserve">, the positive, moderate correlation with Below Poverty Line households (r = +0.38) and the share of the rural population (r = +0.36) indicates that the poorer and more rural districts are, the better served by PHCs, which is in line with Kerala's pro-poor, welfare-based health policies. </w:t>
      </w:r>
      <w:r w:rsidR="00B1384D" w:rsidRPr="00486007">
        <w:rPr>
          <w:rFonts w:ascii="Arial" w:eastAsia="Times New Roman" w:hAnsi="Arial" w:cs="Arial"/>
          <w:sz w:val="20"/>
          <w:szCs w:val="20"/>
        </w:rPr>
        <w:t>However, the analysis also highlights areas of concern</w:t>
      </w:r>
      <w:r w:rsidR="00B1384D">
        <w:rPr>
          <w:rFonts w:ascii="Arial" w:eastAsia="Times New Roman" w:hAnsi="Arial" w:cs="Arial"/>
          <w:sz w:val="20"/>
          <w:szCs w:val="20"/>
        </w:rPr>
        <w:t>,</w:t>
      </w:r>
      <w:r w:rsidRPr="005474BA">
        <w:rPr>
          <w:rFonts w:ascii="Arial" w:eastAsia="Times New Roman" w:hAnsi="Arial" w:cs="Arial"/>
          <w:sz w:val="20"/>
          <w:szCs w:val="20"/>
        </w:rPr>
        <w:t xml:space="preserve"> </w:t>
      </w:r>
      <w:r w:rsidR="00B1384D">
        <w:rPr>
          <w:rFonts w:ascii="Arial" w:eastAsia="Times New Roman" w:hAnsi="Arial" w:cs="Arial"/>
          <w:sz w:val="20"/>
          <w:szCs w:val="20"/>
        </w:rPr>
        <w:t xml:space="preserve">that </w:t>
      </w:r>
      <w:r w:rsidR="00B1384D" w:rsidRPr="005474BA">
        <w:rPr>
          <w:rFonts w:ascii="Arial" w:eastAsia="Times New Roman" w:hAnsi="Arial" w:cs="Arial"/>
          <w:sz w:val="20"/>
          <w:szCs w:val="20"/>
        </w:rPr>
        <w:t xml:space="preserve">the </w:t>
      </w:r>
      <w:r w:rsidRPr="005474BA">
        <w:rPr>
          <w:rFonts w:ascii="Arial" w:eastAsia="Times New Roman" w:hAnsi="Arial" w:cs="Arial"/>
          <w:sz w:val="20"/>
          <w:szCs w:val="20"/>
        </w:rPr>
        <w:t>moderate negative relationship with the literacy rate (r = -0.36) suggests that more literate and urbanized districts such as Ernakulam and Thiruvananthapuram have fewer PHCs per capita, which may be due to the fact that in these areas, privatization depends more on the role of the providers and secondary or tertiary public hospitals</w:t>
      </w:r>
      <w:r w:rsidRPr="00486007">
        <w:rPr>
          <w:rFonts w:ascii="Arial" w:eastAsia="Times New Roman" w:hAnsi="Arial" w:cs="Arial"/>
          <w:sz w:val="20"/>
          <w:szCs w:val="20"/>
        </w:rPr>
        <w:t xml:space="preserve">. </w:t>
      </w:r>
      <w:r w:rsidR="00B1384D" w:rsidRPr="00486007">
        <w:rPr>
          <w:rFonts w:ascii="Arial" w:eastAsia="Times New Roman" w:hAnsi="Arial" w:cs="Arial"/>
          <w:sz w:val="20"/>
          <w:szCs w:val="20"/>
        </w:rPr>
        <w:t xml:space="preserve">The </w:t>
      </w:r>
      <w:r w:rsidRPr="00486007">
        <w:rPr>
          <w:rFonts w:ascii="Arial" w:eastAsia="Times New Roman" w:hAnsi="Arial" w:cs="Arial"/>
          <w:sz w:val="20"/>
          <w:szCs w:val="20"/>
        </w:rPr>
        <w:t>very weak negative correlation with Scheduled Caste share (r = –0.14) indicates that SC-related vulnerabilities are not explicitly addressed in PHC allocation, unlike those of tribal populations.</w:t>
      </w:r>
      <w:r>
        <w:rPr>
          <w:rFonts w:ascii="Arial" w:eastAsia="Times New Roman" w:hAnsi="Arial" w:cs="Arial"/>
          <w:sz w:val="20"/>
          <w:szCs w:val="20"/>
        </w:rPr>
        <w:t xml:space="preserve"> Hence, the table shows that</w:t>
      </w:r>
      <w:r w:rsidRPr="00486007">
        <w:rPr>
          <w:rFonts w:ascii="Arial" w:eastAsia="Times New Roman" w:hAnsi="Arial" w:cs="Arial"/>
          <w:sz w:val="20"/>
          <w:szCs w:val="20"/>
        </w:rPr>
        <w:t xml:space="preserve"> PHC distribution is sensitive to certain vulnerabilities, but important equity gaps remain.</w:t>
      </w:r>
    </w:p>
    <w:p w:rsidR="006C1357" w:rsidRDefault="006C1357" w:rsidP="00EF35FC">
      <w:pPr>
        <w:spacing w:before="240" w:after="0" w:line="360" w:lineRule="auto"/>
        <w:ind w:right="4"/>
        <w:rPr>
          <w:rFonts w:ascii="Arial" w:eastAsia="Times New Roman" w:hAnsi="Arial" w:cs="Arial"/>
          <w:b/>
          <w:szCs w:val="20"/>
        </w:rPr>
      </w:pPr>
    </w:p>
    <w:p w:rsidR="00A11322" w:rsidRDefault="00A11322" w:rsidP="00EF35FC">
      <w:pPr>
        <w:spacing w:before="240" w:after="0" w:line="360" w:lineRule="auto"/>
        <w:ind w:right="4"/>
        <w:rPr>
          <w:rFonts w:ascii="Arial" w:eastAsia="Times New Roman" w:hAnsi="Arial" w:cs="Arial"/>
          <w:b/>
          <w:szCs w:val="20"/>
        </w:rPr>
      </w:pPr>
    </w:p>
    <w:p w:rsidR="002A7BA9" w:rsidRPr="002A7BA9" w:rsidRDefault="00064D36" w:rsidP="00EF35FC">
      <w:pPr>
        <w:spacing w:before="240" w:after="0" w:line="360" w:lineRule="auto"/>
        <w:ind w:right="4"/>
        <w:rPr>
          <w:rFonts w:ascii="Arial" w:eastAsia="Times New Roman" w:hAnsi="Arial" w:cs="Arial"/>
          <w:b/>
          <w:szCs w:val="20"/>
        </w:rPr>
      </w:pPr>
      <w:r w:rsidRPr="002A7BA9">
        <w:rPr>
          <w:rFonts w:ascii="Arial" w:eastAsia="Times New Roman" w:hAnsi="Arial" w:cs="Arial"/>
          <w:b/>
          <w:szCs w:val="20"/>
        </w:rPr>
        <w:lastRenderedPageBreak/>
        <w:t xml:space="preserve">5.2. Lorenz Curve </w:t>
      </w:r>
      <w:r>
        <w:rPr>
          <w:rFonts w:ascii="Arial" w:eastAsia="Times New Roman" w:hAnsi="Arial" w:cs="Arial"/>
          <w:b/>
          <w:szCs w:val="20"/>
        </w:rPr>
        <w:t>Analysis</w:t>
      </w:r>
      <w:r w:rsidRPr="002A7BA9">
        <w:rPr>
          <w:rFonts w:ascii="Arial" w:eastAsia="Times New Roman" w:hAnsi="Arial" w:cs="Arial"/>
          <w:b/>
          <w:szCs w:val="20"/>
        </w:rPr>
        <w:t xml:space="preserve"> (Kerala, PHC Allocation per one Lakh)</w:t>
      </w:r>
    </w:p>
    <w:p w:rsidR="006102DF" w:rsidRPr="006102DF" w:rsidRDefault="00064D36" w:rsidP="006102DF">
      <w:pPr>
        <w:spacing w:after="0" w:line="360" w:lineRule="auto"/>
        <w:ind w:right="4"/>
        <w:jc w:val="center"/>
        <w:rPr>
          <w:rFonts w:ascii="Arial" w:eastAsia="Times New Roman" w:hAnsi="Arial" w:cs="Arial"/>
          <w:b/>
          <w:sz w:val="20"/>
          <w:szCs w:val="20"/>
        </w:rPr>
      </w:pPr>
      <w:r w:rsidRPr="006102DF">
        <w:rPr>
          <w:rFonts w:ascii="Arial" w:eastAsia="Times New Roman" w:hAnsi="Arial" w:cs="Arial"/>
          <w:b/>
          <w:sz w:val="20"/>
          <w:szCs w:val="20"/>
        </w:rPr>
        <w:t xml:space="preserve">Table 3. Lorenz Curve Table (Kerala, PHC Allocation per </w:t>
      </w:r>
      <w:r>
        <w:rPr>
          <w:rFonts w:ascii="Arial" w:eastAsia="Times New Roman" w:hAnsi="Arial" w:cs="Arial"/>
          <w:b/>
          <w:sz w:val="20"/>
          <w:szCs w:val="20"/>
        </w:rPr>
        <w:t>one Lakh</w:t>
      </w:r>
      <w:r w:rsidRPr="006102DF">
        <w:rPr>
          <w:rFonts w:ascii="Arial" w:eastAsia="Times New Roman" w:hAnsi="Arial" w:cs="Arial"/>
          <w:b/>
          <w:sz w:val="20"/>
          <w:szCs w:val="20"/>
        </w:rPr>
        <w:t>)</w:t>
      </w:r>
    </w:p>
    <w:tbl>
      <w:tblPr>
        <w:tblStyle w:val="TableGrid"/>
        <w:tblW w:w="6547" w:type="dxa"/>
        <w:jc w:val="center"/>
        <w:tblLook w:val="04A0" w:firstRow="1" w:lastRow="0" w:firstColumn="1" w:lastColumn="0" w:noHBand="0" w:noVBand="1"/>
      </w:tblPr>
      <w:tblGrid>
        <w:gridCol w:w="761"/>
        <w:gridCol w:w="2100"/>
        <w:gridCol w:w="1872"/>
        <w:gridCol w:w="1814"/>
      </w:tblGrid>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b/>
                <w:bCs/>
                <w:sz w:val="20"/>
                <w:szCs w:val="20"/>
              </w:rPr>
            </w:pPr>
            <w:r w:rsidRPr="006102DF">
              <w:rPr>
                <w:rFonts w:ascii="Arial" w:eastAsia="Times New Roman" w:hAnsi="Arial" w:cs="Arial"/>
                <w:b/>
                <w:bCs/>
                <w:sz w:val="20"/>
                <w:szCs w:val="20"/>
              </w:rPr>
              <w:t>Order</w:t>
            </w:r>
          </w:p>
        </w:tc>
        <w:tc>
          <w:tcPr>
            <w:tcW w:w="2100" w:type="dxa"/>
            <w:vAlign w:val="center"/>
          </w:tcPr>
          <w:p w:rsidR="006102DF" w:rsidRPr="006102DF" w:rsidRDefault="00064D36" w:rsidP="006102DF">
            <w:pPr>
              <w:jc w:val="center"/>
              <w:rPr>
                <w:rFonts w:ascii="Arial" w:eastAsia="Times New Roman" w:hAnsi="Arial" w:cs="Arial"/>
                <w:b/>
                <w:bCs/>
                <w:sz w:val="20"/>
                <w:szCs w:val="20"/>
              </w:rPr>
            </w:pPr>
            <w:r w:rsidRPr="006102DF">
              <w:rPr>
                <w:rFonts w:ascii="Arial" w:eastAsia="Times New Roman" w:hAnsi="Arial" w:cs="Arial"/>
                <w:b/>
                <w:bCs/>
                <w:sz w:val="20"/>
                <w:szCs w:val="20"/>
              </w:rPr>
              <w:t xml:space="preserve">District (sorted by PHC per </w:t>
            </w:r>
            <w:r>
              <w:rPr>
                <w:rFonts w:ascii="Arial" w:eastAsia="Times New Roman" w:hAnsi="Arial" w:cs="Arial"/>
                <w:b/>
                <w:bCs/>
                <w:sz w:val="20"/>
                <w:szCs w:val="20"/>
              </w:rPr>
              <w:t>One Lakh</w:t>
            </w:r>
            <w:r w:rsidRPr="006102DF">
              <w:rPr>
                <w:rFonts w:ascii="Arial" w:eastAsia="Times New Roman" w:hAnsi="Arial" w:cs="Arial"/>
                <w:b/>
                <w:bCs/>
                <w:sz w:val="20"/>
                <w:szCs w:val="20"/>
              </w:rPr>
              <w:t>)</w:t>
            </w:r>
          </w:p>
        </w:tc>
        <w:tc>
          <w:tcPr>
            <w:tcW w:w="1872" w:type="dxa"/>
            <w:vAlign w:val="center"/>
          </w:tcPr>
          <w:p w:rsidR="006102DF" w:rsidRPr="006102DF" w:rsidRDefault="00064D36" w:rsidP="00052C82">
            <w:pPr>
              <w:jc w:val="center"/>
              <w:rPr>
                <w:rFonts w:ascii="Arial" w:eastAsia="Times New Roman" w:hAnsi="Arial" w:cs="Arial"/>
                <w:b/>
                <w:bCs/>
                <w:sz w:val="20"/>
                <w:szCs w:val="20"/>
              </w:rPr>
            </w:pPr>
            <w:r w:rsidRPr="006102DF">
              <w:rPr>
                <w:rFonts w:ascii="Arial" w:eastAsia="Times New Roman" w:hAnsi="Arial" w:cs="Arial"/>
                <w:b/>
                <w:bCs/>
                <w:sz w:val="20"/>
                <w:szCs w:val="20"/>
              </w:rPr>
              <w:t>Cumulative Population Share</w:t>
            </w:r>
          </w:p>
        </w:tc>
        <w:tc>
          <w:tcPr>
            <w:tcW w:w="1814" w:type="dxa"/>
            <w:vAlign w:val="center"/>
          </w:tcPr>
          <w:p w:rsidR="006102DF" w:rsidRPr="006102DF" w:rsidRDefault="00064D36" w:rsidP="00052C82">
            <w:pPr>
              <w:jc w:val="center"/>
              <w:rPr>
                <w:rFonts w:ascii="Arial" w:eastAsia="Times New Roman" w:hAnsi="Arial" w:cs="Arial"/>
                <w:b/>
                <w:bCs/>
                <w:sz w:val="20"/>
                <w:szCs w:val="20"/>
              </w:rPr>
            </w:pPr>
            <w:r w:rsidRPr="006102DF">
              <w:rPr>
                <w:rFonts w:ascii="Arial" w:eastAsia="Times New Roman" w:hAnsi="Arial" w:cs="Arial"/>
                <w:b/>
                <w:bCs/>
                <w:sz w:val="20"/>
                <w:szCs w:val="20"/>
              </w:rPr>
              <w:t>Cumulative PHC Share</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Kollam</w:t>
            </w:r>
          </w:p>
        </w:tc>
        <w:tc>
          <w:tcPr>
            <w:tcW w:w="1872"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0.08</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0.0</w:t>
            </w:r>
            <w:r w:rsidR="00C73805">
              <w:rPr>
                <w:rFonts w:ascii="Arial" w:eastAsia="Times New Roman" w:hAnsi="Arial" w:cs="Arial"/>
                <w:sz w:val="20"/>
                <w:szCs w:val="20"/>
              </w:rPr>
              <w:t>6</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2</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Malappuram</w:t>
            </w:r>
          </w:p>
        </w:tc>
        <w:tc>
          <w:tcPr>
            <w:tcW w:w="1872"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0.21</w:t>
            </w:r>
          </w:p>
        </w:tc>
        <w:tc>
          <w:tcPr>
            <w:tcW w:w="1814"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0.17</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3</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Kozhikode</w:t>
            </w:r>
          </w:p>
        </w:tc>
        <w:tc>
          <w:tcPr>
            <w:tcW w:w="1872"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0.30</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0.2</w:t>
            </w:r>
            <w:r w:rsidR="00C73805">
              <w:rPr>
                <w:rFonts w:ascii="Arial" w:eastAsia="Times New Roman" w:hAnsi="Arial" w:cs="Arial"/>
                <w:sz w:val="20"/>
                <w:szCs w:val="20"/>
              </w:rPr>
              <w:t>5</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4</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Kasaragod</w:t>
            </w:r>
          </w:p>
        </w:tc>
        <w:tc>
          <w:tcPr>
            <w:tcW w:w="1872"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0.34</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0.2</w:t>
            </w:r>
            <w:r w:rsidR="00C73805">
              <w:rPr>
                <w:rFonts w:ascii="Arial" w:eastAsia="Times New Roman" w:hAnsi="Arial" w:cs="Arial"/>
                <w:sz w:val="20"/>
                <w:szCs w:val="20"/>
              </w:rPr>
              <w:t>8</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5</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Palakkad</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0.4</w:t>
            </w:r>
            <w:r w:rsidR="00C73805">
              <w:rPr>
                <w:rFonts w:ascii="Arial" w:eastAsia="Times New Roman" w:hAnsi="Arial" w:cs="Arial"/>
                <w:sz w:val="20"/>
                <w:szCs w:val="20"/>
              </w:rPr>
              <w:t>3</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0.3</w:t>
            </w:r>
            <w:r w:rsidR="00C73805">
              <w:rPr>
                <w:rFonts w:ascii="Arial" w:eastAsia="Times New Roman" w:hAnsi="Arial" w:cs="Arial"/>
                <w:sz w:val="20"/>
                <w:szCs w:val="20"/>
              </w:rPr>
              <w:t>6</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6</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Kannur</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w:t>
            </w:r>
            <w:r w:rsidR="00C73805">
              <w:rPr>
                <w:rFonts w:ascii="Arial" w:eastAsia="Times New Roman" w:hAnsi="Arial" w:cs="Arial"/>
                <w:sz w:val="20"/>
                <w:szCs w:val="20"/>
              </w:rPr>
              <w:t>51</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0.4</w:t>
            </w:r>
            <w:r w:rsidR="00C73805">
              <w:rPr>
                <w:rFonts w:ascii="Arial" w:eastAsia="Times New Roman" w:hAnsi="Arial" w:cs="Arial"/>
                <w:sz w:val="20"/>
                <w:szCs w:val="20"/>
              </w:rPr>
              <w:t>3</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7</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Alappuzha</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w:t>
            </w:r>
            <w:r w:rsidR="00C73805">
              <w:rPr>
                <w:rFonts w:ascii="Arial" w:eastAsia="Times New Roman" w:hAnsi="Arial" w:cs="Arial"/>
                <w:sz w:val="20"/>
                <w:szCs w:val="20"/>
              </w:rPr>
              <w:t>57</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0.4</w:t>
            </w:r>
            <w:r w:rsidR="00C73805">
              <w:rPr>
                <w:rFonts w:ascii="Arial" w:eastAsia="Times New Roman" w:hAnsi="Arial" w:cs="Arial"/>
                <w:sz w:val="20"/>
                <w:szCs w:val="20"/>
              </w:rPr>
              <w:t>8</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8</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Pathanamthitta</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w:t>
            </w:r>
            <w:r w:rsidR="00C73805">
              <w:rPr>
                <w:rFonts w:ascii="Arial" w:eastAsia="Times New Roman" w:hAnsi="Arial" w:cs="Arial"/>
                <w:sz w:val="20"/>
                <w:szCs w:val="20"/>
              </w:rPr>
              <w:t>60</w:t>
            </w:r>
          </w:p>
        </w:tc>
        <w:tc>
          <w:tcPr>
            <w:tcW w:w="1814"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0.51</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9</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Kottayam</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0.6</w:t>
            </w:r>
            <w:r w:rsidR="00C73805">
              <w:rPr>
                <w:rFonts w:ascii="Arial" w:eastAsia="Times New Roman" w:hAnsi="Arial" w:cs="Arial"/>
                <w:sz w:val="20"/>
                <w:szCs w:val="20"/>
              </w:rPr>
              <w:t>6</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0.5</w:t>
            </w:r>
            <w:r w:rsidR="00C73805">
              <w:rPr>
                <w:rFonts w:ascii="Arial" w:eastAsia="Times New Roman" w:hAnsi="Arial" w:cs="Arial"/>
                <w:sz w:val="20"/>
                <w:szCs w:val="20"/>
              </w:rPr>
              <w:t>6</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10</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Ernakulam</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0.7</w:t>
            </w:r>
            <w:r w:rsidR="00C73805">
              <w:rPr>
                <w:rFonts w:ascii="Arial" w:eastAsia="Times New Roman" w:hAnsi="Arial" w:cs="Arial"/>
                <w:sz w:val="20"/>
                <w:szCs w:val="20"/>
              </w:rPr>
              <w:t>5</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0.6</w:t>
            </w:r>
            <w:r w:rsidR="00C73805">
              <w:rPr>
                <w:rFonts w:ascii="Arial" w:eastAsia="Times New Roman" w:hAnsi="Arial" w:cs="Arial"/>
                <w:sz w:val="20"/>
                <w:szCs w:val="20"/>
              </w:rPr>
              <w:t>4</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11</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Thrissur</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0.8</w:t>
            </w:r>
            <w:r w:rsidR="00C73805">
              <w:rPr>
                <w:rFonts w:ascii="Arial" w:eastAsia="Times New Roman" w:hAnsi="Arial" w:cs="Arial"/>
                <w:sz w:val="20"/>
                <w:szCs w:val="20"/>
              </w:rPr>
              <w:t>5</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0.7</w:t>
            </w:r>
            <w:r w:rsidR="00C73805">
              <w:rPr>
                <w:rFonts w:ascii="Arial" w:eastAsia="Times New Roman" w:hAnsi="Arial" w:cs="Arial"/>
                <w:sz w:val="20"/>
                <w:szCs w:val="20"/>
              </w:rPr>
              <w:t>4</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12</w:t>
            </w:r>
          </w:p>
        </w:tc>
        <w:tc>
          <w:tcPr>
            <w:tcW w:w="2100" w:type="dxa"/>
            <w:vAlign w:val="center"/>
          </w:tcPr>
          <w:p w:rsidR="006102DF" w:rsidRPr="006102DF" w:rsidRDefault="00064D36" w:rsidP="006102DF">
            <w:pPr>
              <w:rPr>
                <w:rFonts w:ascii="Arial" w:eastAsia="Times New Roman" w:hAnsi="Arial" w:cs="Arial"/>
                <w:sz w:val="20"/>
                <w:szCs w:val="20"/>
              </w:rPr>
            </w:pPr>
            <w:r w:rsidRPr="006102DF">
              <w:rPr>
                <w:rFonts w:ascii="Arial" w:eastAsia="Times New Roman" w:hAnsi="Arial" w:cs="Arial"/>
                <w:sz w:val="20"/>
                <w:szCs w:val="20"/>
              </w:rPr>
              <w:t>Idukki</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0.8</w:t>
            </w:r>
            <w:r w:rsidR="00C73805">
              <w:rPr>
                <w:rFonts w:ascii="Arial" w:eastAsia="Times New Roman" w:hAnsi="Arial" w:cs="Arial"/>
                <w:sz w:val="20"/>
                <w:szCs w:val="20"/>
              </w:rPr>
              <w:t>8</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w:t>
            </w:r>
            <w:r w:rsidR="00C73805">
              <w:rPr>
                <w:rFonts w:ascii="Arial" w:eastAsia="Times New Roman" w:hAnsi="Arial" w:cs="Arial"/>
                <w:sz w:val="20"/>
                <w:szCs w:val="20"/>
              </w:rPr>
              <w:t>78</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13</w:t>
            </w:r>
          </w:p>
        </w:tc>
        <w:tc>
          <w:tcPr>
            <w:tcW w:w="2100" w:type="dxa"/>
            <w:vAlign w:val="center"/>
          </w:tcPr>
          <w:p w:rsidR="006102DF" w:rsidRPr="006102DF" w:rsidRDefault="00064D36" w:rsidP="006102DF">
            <w:pPr>
              <w:rPr>
                <w:rFonts w:ascii="Arial" w:eastAsia="Times New Roman" w:hAnsi="Arial" w:cs="Arial"/>
                <w:sz w:val="20"/>
                <w:szCs w:val="20"/>
              </w:rPr>
            </w:pPr>
            <w:r>
              <w:rPr>
                <w:rFonts w:ascii="Arial" w:eastAsia="Times New Roman" w:hAnsi="Arial" w:cs="Arial"/>
                <w:sz w:val="20"/>
                <w:szCs w:val="20"/>
              </w:rPr>
              <w:t>Trivandrum</w:t>
            </w:r>
          </w:p>
        </w:tc>
        <w:tc>
          <w:tcPr>
            <w:tcW w:w="1872"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0.9</w:t>
            </w:r>
            <w:r w:rsidR="00C73805">
              <w:rPr>
                <w:rFonts w:ascii="Arial" w:eastAsia="Times New Roman" w:hAnsi="Arial" w:cs="Arial"/>
                <w:sz w:val="20"/>
                <w:szCs w:val="20"/>
              </w:rPr>
              <w:t>8</w:t>
            </w:r>
          </w:p>
        </w:tc>
        <w:tc>
          <w:tcPr>
            <w:tcW w:w="1814" w:type="dxa"/>
            <w:vAlign w:val="center"/>
          </w:tcPr>
          <w:p w:rsidR="006102DF" w:rsidRPr="006102DF" w:rsidRDefault="00064D36" w:rsidP="00C73805">
            <w:pPr>
              <w:jc w:val="center"/>
              <w:rPr>
                <w:rFonts w:ascii="Arial" w:eastAsia="Times New Roman" w:hAnsi="Arial" w:cs="Arial"/>
                <w:sz w:val="20"/>
                <w:szCs w:val="20"/>
              </w:rPr>
            </w:pPr>
            <w:r w:rsidRPr="006102DF">
              <w:rPr>
                <w:rFonts w:ascii="Arial" w:eastAsia="Times New Roman" w:hAnsi="Arial" w:cs="Arial"/>
                <w:sz w:val="20"/>
                <w:szCs w:val="20"/>
              </w:rPr>
              <w:t>0.9</w:t>
            </w:r>
            <w:r w:rsidR="00C73805">
              <w:rPr>
                <w:rFonts w:ascii="Arial" w:eastAsia="Times New Roman" w:hAnsi="Arial" w:cs="Arial"/>
                <w:sz w:val="20"/>
                <w:szCs w:val="20"/>
              </w:rPr>
              <w:t>2</w:t>
            </w:r>
          </w:p>
        </w:tc>
      </w:tr>
      <w:tr w:rsidR="00E3703F" w:rsidTr="00A11322">
        <w:trPr>
          <w:jc w:val="center"/>
        </w:trPr>
        <w:tc>
          <w:tcPr>
            <w:tcW w:w="761"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14</w:t>
            </w:r>
          </w:p>
        </w:tc>
        <w:tc>
          <w:tcPr>
            <w:tcW w:w="2100" w:type="dxa"/>
            <w:vAlign w:val="center"/>
          </w:tcPr>
          <w:p w:rsidR="006102DF" w:rsidRPr="006102DF" w:rsidRDefault="00064D36" w:rsidP="006102DF">
            <w:pPr>
              <w:rPr>
                <w:rFonts w:ascii="Arial" w:eastAsia="Times New Roman" w:hAnsi="Arial" w:cs="Arial"/>
                <w:sz w:val="20"/>
                <w:szCs w:val="20"/>
              </w:rPr>
            </w:pPr>
            <w:r>
              <w:rPr>
                <w:rFonts w:ascii="Arial" w:eastAsia="Times New Roman" w:hAnsi="Arial" w:cs="Arial"/>
                <w:sz w:val="20"/>
                <w:szCs w:val="20"/>
              </w:rPr>
              <w:t>Wayanadu</w:t>
            </w:r>
          </w:p>
        </w:tc>
        <w:tc>
          <w:tcPr>
            <w:tcW w:w="1872"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1.00</w:t>
            </w:r>
          </w:p>
        </w:tc>
        <w:tc>
          <w:tcPr>
            <w:tcW w:w="1814" w:type="dxa"/>
            <w:vAlign w:val="center"/>
          </w:tcPr>
          <w:p w:rsidR="006102DF" w:rsidRPr="006102DF" w:rsidRDefault="00064D36" w:rsidP="00052C82">
            <w:pPr>
              <w:jc w:val="center"/>
              <w:rPr>
                <w:rFonts w:ascii="Arial" w:eastAsia="Times New Roman" w:hAnsi="Arial" w:cs="Arial"/>
                <w:sz w:val="20"/>
                <w:szCs w:val="20"/>
              </w:rPr>
            </w:pPr>
            <w:r w:rsidRPr="006102DF">
              <w:rPr>
                <w:rFonts w:ascii="Arial" w:eastAsia="Times New Roman" w:hAnsi="Arial" w:cs="Arial"/>
                <w:sz w:val="20"/>
                <w:szCs w:val="20"/>
              </w:rPr>
              <w:t>1.00</w:t>
            </w:r>
          </w:p>
        </w:tc>
      </w:tr>
    </w:tbl>
    <w:p w:rsidR="00F42B9A" w:rsidRPr="00F42B9A" w:rsidRDefault="00064D36" w:rsidP="00F42B9A">
      <w:pPr>
        <w:spacing w:after="0" w:line="360" w:lineRule="auto"/>
        <w:ind w:right="4"/>
        <w:jc w:val="both"/>
        <w:rPr>
          <w:rFonts w:ascii="Arial" w:eastAsia="Times New Roman" w:hAnsi="Arial" w:cs="Arial"/>
          <w:b/>
          <w:i/>
          <w:sz w:val="18"/>
          <w:szCs w:val="20"/>
        </w:rPr>
      </w:pPr>
      <w:r w:rsidRPr="00F42B9A">
        <w:rPr>
          <w:rFonts w:ascii="Arial" w:eastAsia="Times New Roman" w:hAnsi="Arial" w:cs="Arial"/>
          <w:b/>
          <w:i/>
          <w:sz w:val="18"/>
          <w:szCs w:val="20"/>
        </w:rPr>
        <w:tab/>
      </w:r>
      <w:r w:rsidRPr="00F42B9A">
        <w:rPr>
          <w:rFonts w:ascii="Arial" w:eastAsia="Times New Roman" w:hAnsi="Arial" w:cs="Arial"/>
          <w:b/>
          <w:i/>
          <w:sz w:val="18"/>
          <w:szCs w:val="20"/>
        </w:rPr>
        <w:tab/>
        <w:t>Source: Computed Data</w:t>
      </w:r>
    </w:p>
    <w:p w:rsidR="006102DF" w:rsidRDefault="00A11322" w:rsidP="00A11322">
      <w:pPr>
        <w:spacing w:after="0" w:line="360" w:lineRule="auto"/>
        <w:ind w:left="1134" w:right="4"/>
        <w:rPr>
          <w:rFonts w:ascii="Arial" w:eastAsia="Times New Roman" w:hAnsi="Arial" w:cs="Arial"/>
          <w:b/>
          <w:sz w:val="20"/>
          <w:szCs w:val="20"/>
        </w:rPr>
      </w:pPr>
      <w:r w:rsidRPr="00A11322">
        <w:rPr>
          <w:rFonts w:ascii="Arial" w:eastAsia="Times New Roman" w:hAnsi="Arial" w:cs="Arial"/>
          <w:b/>
          <w:noProof/>
          <w:sz w:val="20"/>
          <w:szCs w:val="20"/>
        </w:rPr>
        <mc:AlternateContent>
          <mc:Choice Requires="wps">
            <w:drawing>
              <wp:inline distT="0" distB="0" distL="0" distR="0">
                <wp:extent cx="304800" cy="304800"/>
                <wp:effectExtent l="0" t="0" r="0" b="0"/>
                <wp:docPr id="4" name="Rectangl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3D9A2" id="Rectangl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QHv0k&#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00064D36">
        <w:rPr>
          <w:rFonts w:ascii="Arial" w:eastAsia="Times New Roman" w:hAnsi="Arial" w:cs="Arial"/>
          <w:b/>
          <w:noProof/>
          <w:sz w:val="20"/>
          <w:szCs w:val="20"/>
        </w:rPr>
        <w:drawing>
          <wp:inline distT="0" distB="0" distL="0" distR="0" wp14:anchorId="7EF14DB4" wp14:editId="0A3EFBF6">
            <wp:extent cx="3848100" cy="28003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utpu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1578" cy="2802881"/>
                    </a:xfrm>
                    <a:prstGeom prst="rect">
                      <a:avLst/>
                    </a:prstGeom>
                    <a:ln w="3175">
                      <a:solidFill>
                        <a:schemeClr val="tx1"/>
                      </a:solidFill>
                    </a:ln>
                  </pic:spPr>
                </pic:pic>
              </a:graphicData>
            </a:graphic>
          </wp:inline>
        </w:drawing>
      </w:r>
    </w:p>
    <w:p w:rsidR="006102DF" w:rsidRPr="006102DF" w:rsidRDefault="00064D36" w:rsidP="006102DF">
      <w:pPr>
        <w:spacing w:after="0" w:line="360" w:lineRule="auto"/>
        <w:ind w:right="4"/>
        <w:jc w:val="center"/>
        <w:rPr>
          <w:rFonts w:ascii="Arial" w:eastAsia="Times New Roman" w:hAnsi="Arial" w:cs="Arial"/>
          <w:b/>
          <w:sz w:val="20"/>
          <w:szCs w:val="20"/>
        </w:rPr>
      </w:pPr>
      <w:r w:rsidRPr="006102DF">
        <w:rPr>
          <w:rFonts w:ascii="Arial" w:eastAsia="Times New Roman" w:hAnsi="Arial" w:cs="Arial"/>
          <w:b/>
          <w:sz w:val="20"/>
          <w:szCs w:val="20"/>
        </w:rPr>
        <w:t>Fig.</w:t>
      </w:r>
      <w:r>
        <w:rPr>
          <w:rFonts w:ascii="Arial" w:eastAsia="Times New Roman" w:hAnsi="Arial" w:cs="Arial"/>
          <w:b/>
          <w:sz w:val="20"/>
          <w:szCs w:val="20"/>
        </w:rPr>
        <w:t xml:space="preserve"> </w:t>
      </w:r>
      <w:r w:rsidRPr="006102DF">
        <w:rPr>
          <w:rFonts w:ascii="Arial" w:eastAsia="Times New Roman" w:hAnsi="Arial" w:cs="Arial"/>
          <w:b/>
          <w:sz w:val="20"/>
          <w:szCs w:val="20"/>
        </w:rPr>
        <w:t xml:space="preserve">No. 2. </w:t>
      </w:r>
      <w:r w:rsidRPr="006102DF">
        <w:rPr>
          <w:rFonts w:ascii="Arial" w:hAnsi="Arial" w:cs="Arial"/>
          <w:b/>
          <w:sz w:val="20"/>
          <w:szCs w:val="20"/>
        </w:rPr>
        <w:t>Lorenz Curve of PHC Allocation across Kerala Districts</w:t>
      </w:r>
    </w:p>
    <w:p w:rsidR="00F42B9A" w:rsidRDefault="00064D36" w:rsidP="00A11322">
      <w:pPr>
        <w:spacing w:after="0" w:line="360" w:lineRule="auto"/>
        <w:ind w:right="4" w:firstLine="720"/>
        <w:jc w:val="both"/>
        <w:rPr>
          <w:rFonts w:ascii="Arial" w:eastAsia="Times New Roman" w:hAnsi="Arial" w:cs="Arial"/>
          <w:sz w:val="20"/>
          <w:szCs w:val="20"/>
        </w:rPr>
      </w:pPr>
      <w:r w:rsidRPr="00DC0656">
        <w:rPr>
          <w:rFonts w:ascii="Arial" w:eastAsia="Times New Roman" w:hAnsi="Arial" w:cs="Arial"/>
          <w:sz w:val="20"/>
          <w:szCs w:val="20"/>
        </w:rPr>
        <w:t>The Lorenz curve and cumulative distribution table provide valuable insights into the extent of inequality in the allocation of Public Heal</w:t>
      </w:r>
      <w:r w:rsidR="002A1A55">
        <w:rPr>
          <w:rFonts w:ascii="Arial" w:eastAsia="Times New Roman" w:hAnsi="Arial" w:cs="Arial"/>
          <w:sz w:val="20"/>
          <w:szCs w:val="20"/>
        </w:rPr>
        <w:t>th Centres (PHCs) across Kerala’</w:t>
      </w:r>
      <w:r w:rsidRPr="00DC0656">
        <w:rPr>
          <w:rFonts w:ascii="Arial" w:eastAsia="Times New Roman" w:hAnsi="Arial" w:cs="Arial"/>
          <w:sz w:val="20"/>
          <w:szCs w:val="20"/>
        </w:rPr>
        <w:t xml:space="preserve">s districts. Districts are ranked by PHC density, with Kollam having the lowest (1.20 per 100,000) and </w:t>
      </w:r>
      <w:r w:rsidR="0034025D">
        <w:rPr>
          <w:rFonts w:ascii="Arial" w:eastAsia="Times New Roman" w:hAnsi="Arial" w:cs="Arial"/>
          <w:sz w:val="20"/>
          <w:szCs w:val="20"/>
        </w:rPr>
        <w:t>Wayanadu</w:t>
      </w:r>
      <w:r w:rsidRPr="00DC0656">
        <w:rPr>
          <w:rFonts w:ascii="Arial" w:eastAsia="Times New Roman" w:hAnsi="Arial" w:cs="Arial"/>
          <w:sz w:val="20"/>
          <w:szCs w:val="20"/>
        </w:rPr>
        <w:t xml:space="preserve"> the highest (2.85 per 100,000). The cumulative distribution shows that the first half of the population, concentrated in districts with lower PHC density, accounts for slightly less than half of the PHCs. </w:t>
      </w:r>
      <w:r w:rsidR="005474BA" w:rsidRPr="005474BA">
        <w:rPr>
          <w:rFonts w:ascii="Arial" w:eastAsia="Times New Roman" w:hAnsi="Arial" w:cs="Arial"/>
          <w:sz w:val="20"/>
          <w:szCs w:val="20"/>
        </w:rPr>
        <w:t>As an example, 4</w:t>
      </w:r>
      <w:r w:rsidR="00C73805">
        <w:rPr>
          <w:rFonts w:ascii="Arial" w:eastAsia="Times New Roman" w:hAnsi="Arial" w:cs="Arial"/>
          <w:sz w:val="20"/>
          <w:szCs w:val="20"/>
        </w:rPr>
        <w:t>8</w:t>
      </w:r>
      <w:r w:rsidR="005474BA" w:rsidRPr="005474BA">
        <w:rPr>
          <w:rFonts w:ascii="Arial" w:eastAsia="Times New Roman" w:hAnsi="Arial" w:cs="Arial"/>
          <w:sz w:val="20"/>
          <w:szCs w:val="20"/>
        </w:rPr>
        <w:t xml:space="preserve"> percent of PHCs are covered when we have already reached Alappuzha, which covers approximately 5</w:t>
      </w:r>
      <w:r w:rsidR="00C73805">
        <w:rPr>
          <w:rFonts w:ascii="Arial" w:eastAsia="Times New Roman" w:hAnsi="Arial" w:cs="Arial"/>
          <w:sz w:val="20"/>
          <w:szCs w:val="20"/>
        </w:rPr>
        <w:t>7</w:t>
      </w:r>
      <w:r w:rsidR="005474BA" w:rsidRPr="005474BA">
        <w:rPr>
          <w:rFonts w:ascii="Arial" w:eastAsia="Times New Roman" w:hAnsi="Arial" w:cs="Arial"/>
          <w:sz w:val="20"/>
          <w:szCs w:val="20"/>
        </w:rPr>
        <w:t xml:space="preserve"> percent of the population. On the other hand, the districts with a higher density of PHCs include Idukki, Thiruvananthapuram, and </w:t>
      </w:r>
      <w:r w:rsidR="0034025D">
        <w:rPr>
          <w:rFonts w:ascii="Arial" w:eastAsia="Times New Roman" w:hAnsi="Arial" w:cs="Arial"/>
          <w:sz w:val="20"/>
          <w:szCs w:val="20"/>
        </w:rPr>
        <w:t>Wayanad</w:t>
      </w:r>
      <w:r w:rsidR="005474BA" w:rsidRPr="005474BA">
        <w:rPr>
          <w:rFonts w:ascii="Arial" w:eastAsia="Times New Roman" w:hAnsi="Arial" w:cs="Arial"/>
          <w:sz w:val="20"/>
          <w:szCs w:val="20"/>
        </w:rPr>
        <w:t xml:space="preserve">, which provide a higher number of PHCs relative to their population proportions. </w:t>
      </w:r>
      <w:r w:rsidR="00A11322" w:rsidRPr="00A11322">
        <w:rPr>
          <w:rFonts w:ascii="Arial" w:eastAsia="Times New Roman" w:hAnsi="Arial" w:cs="Arial"/>
          <w:sz w:val="20"/>
          <w:szCs w:val="20"/>
        </w:rPr>
        <w:t xml:space="preserve">The Lorenz Curve illustrates a slight deviation from the line of equality, indicating moderate </w:t>
      </w:r>
      <w:r w:rsidR="00A11322" w:rsidRPr="00A11322">
        <w:rPr>
          <w:rFonts w:ascii="Arial" w:eastAsia="Times New Roman" w:hAnsi="Arial" w:cs="Arial"/>
          <w:sz w:val="20"/>
          <w:szCs w:val="20"/>
        </w:rPr>
        <w:lastRenderedPageBreak/>
        <w:t>disparity in the distribution of Primary Health Centres (P</w:t>
      </w:r>
      <w:r w:rsidR="00A11322">
        <w:rPr>
          <w:rFonts w:ascii="Arial" w:eastAsia="Times New Roman" w:hAnsi="Arial" w:cs="Arial"/>
          <w:sz w:val="20"/>
          <w:szCs w:val="20"/>
        </w:rPr>
        <w:t xml:space="preserve">HCs) across Kerala’s districts. </w:t>
      </w:r>
      <w:r w:rsidR="00A11322" w:rsidRPr="00A11322">
        <w:rPr>
          <w:rFonts w:ascii="Arial" w:eastAsia="Times New Roman" w:hAnsi="Arial" w:cs="Arial"/>
          <w:sz w:val="20"/>
          <w:szCs w:val="20"/>
        </w:rPr>
        <w:t xml:space="preserve">This is supported by the Gini coefficient value of 0.15, signifying a low level of inequality and reflecting Kerala’s relatively equitable access to primary healthcare services despite minor regional </w:t>
      </w:r>
      <w:proofErr w:type="gramStart"/>
      <w:r w:rsidR="00A11322" w:rsidRPr="00A11322">
        <w:rPr>
          <w:rFonts w:ascii="Arial" w:eastAsia="Times New Roman" w:hAnsi="Arial" w:cs="Arial"/>
          <w:sz w:val="20"/>
          <w:szCs w:val="20"/>
        </w:rPr>
        <w:t>variations.</w:t>
      </w:r>
      <w:r w:rsidR="005474BA" w:rsidRPr="005474BA">
        <w:rPr>
          <w:rFonts w:ascii="Arial" w:eastAsia="Times New Roman" w:hAnsi="Arial" w:cs="Arial"/>
          <w:sz w:val="20"/>
          <w:szCs w:val="20"/>
        </w:rPr>
        <w:t>.</w:t>
      </w:r>
      <w:proofErr w:type="gramEnd"/>
      <w:r w:rsidR="005474BA" w:rsidRPr="005474BA">
        <w:rPr>
          <w:rFonts w:ascii="Arial" w:eastAsia="Times New Roman" w:hAnsi="Arial" w:cs="Arial"/>
          <w:sz w:val="20"/>
          <w:szCs w:val="20"/>
        </w:rPr>
        <w:t xml:space="preserve"> This indicates that Kerala has achieved a near-homogeneous distribution of PHCs relative to the population across the state's many districts. However, there are minor differences as well with the lowest-ranked districts (Kollam, Malappuram) and the highest ones (</w:t>
      </w:r>
      <w:r w:rsidR="0034025D">
        <w:rPr>
          <w:rFonts w:ascii="Arial" w:eastAsia="Times New Roman" w:hAnsi="Arial" w:cs="Arial"/>
          <w:sz w:val="20"/>
          <w:szCs w:val="20"/>
        </w:rPr>
        <w:t>Wayanadu</w:t>
      </w:r>
      <w:r w:rsidR="005474BA" w:rsidRPr="005474BA">
        <w:rPr>
          <w:rFonts w:ascii="Arial" w:eastAsia="Times New Roman" w:hAnsi="Arial" w:cs="Arial"/>
          <w:sz w:val="20"/>
          <w:szCs w:val="20"/>
        </w:rPr>
        <w:t>, Idukki), which should be taken into consideration in terms of regional needs despite the equity success</w:t>
      </w:r>
      <w:r w:rsidRPr="00DC0656">
        <w:rPr>
          <w:rFonts w:ascii="Arial" w:eastAsia="Times New Roman" w:hAnsi="Arial" w:cs="Arial"/>
          <w:sz w:val="20"/>
          <w:szCs w:val="20"/>
        </w:rPr>
        <w:t>.</w:t>
      </w:r>
    </w:p>
    <w:p w:rsidR="00F42B9A" w:rsidRDefault="00064D36" w:rsidP="00A11322">
      <w:pPr>
        <w:spacing w:before="240" w:after="0" w:line="240" w:lineRule="auto"/>
        <w:ind w:right="4"/>
        <w:jc w:val="both"/>
        <w:rPr>
          <w:rFonts w:ascii="Arial" w:eastAsia="Times New Roman" w:hAnsi="Arial" w:cs="Arial"/>
          <w:b/>
          <w:szCs w:val="20"/>
        </w:rPr>
      </w:pPr>
      <w:r w:rsidRPr="002A7BA9">
        <w:rPr>
          <w:rFonts w:ascii="Arial" w:eastAsia="Times New Roman" w:hAnsi="Arial" w:cs="Arial"/>
          <w:b/>
          <w:szCs w:val="20"/>
        </w:rPr>
        <w:t xml:space="preserve">5.3. </w:t>
      </w:r>
      <w:r w:rsidRPr="00F42B9A">
        <w:rPr>
          <w:rFonts w:ascii="Arial" w:eastAsia="Times New Roman" w:hAnsi="Arial" w:cs="Arial"/>
          <w:b/>
          <w:szCs w:val="20"/>
        </w:rPr>
        <w:t>Composite Vulnerability Index of Districts in Kerala Based on Socio-Demographic Indicators and PHC Density</w:t>
      </w:r>
    </w:p>
    <w:p w:rsidR="00F42B9A" w:rsidRPr="00F42B9A" w:rsidRDefault="00064D36" w:rsidP="00F42B9A">
      <w:pPr>
        <w:spacing w:after="0" w:line="360" w:lineRule="auto"/>
        <w:ind w:right="4"/>
        <w:jc w:val="center"/>
        <w:rPr>
          <w:rFonts w:ascii="Arial" w:eastAsia="Times New Roman" w:hAnsi="Arial" w:cs="Arial"/>
          <w:b/>
          <w:sz w:val="20"/>
          <w:szCs w:val="20"/>
        </w:rPr>
      </w:pPr>
      <w:r w:rsidRPr="00F42B9A">
        <w:rPr>
          <w:rFonts w:ascii="Arial" w:eastAsia="Times New Roman" w:hAnsi="Arial" w:cs="Arial"/>
          <w:b/>
          <w:sz w:val="20"/>
          <w:szCs w:val="20"/>
        </w:rPr>
        <w:t xml:space="preserve">Table 4. </w:t>
      </w:r>
      <w:r w:rsidRPr="00F42B9A">
        <w:rPr>
          <w:rFonts w:ascii="Arial" w:hAnsi="Arial" w:cs="Arial"/>
          <w:b/>
          <w:sz w:val="20"/>
          <w:szCs w:val="20"/>
        </w:rPr>
        <w:t>Composite Vulnerability Index and Ranks</w:t>
      </w:r>
    </w:p>
    <w:tbl>
      <w:tblPr>
        <w:tblStyle w:val="TableGrid"/>
        <w:tblW w:w="7293" w:type="dxa"/>
        <w:jc w:val="center"/>
        <w:tblLook w:val="04A0" w:firstRow="1" w:lastRow="0" w:firstColumn="1" w:lastColumn="0" w:noHBand="0" w:noVBand="1"/>
      </w:tblPr>
      <w:tblGrid>
        <w:gridCol w:w="3192"/>
        <w:gridCol w:w="1967"/>
        <w:gridCol w:w="2134"/>
      </w:tblGrid>
      <w:tr w:rsidR="00E3703F" w:rsidTr="00052C82">
        <w:trPr>
          <w:trHeight w:val="20"/>
          <w:jc w:val="center"/>
        </w:trPr>
        <w:tc>
          <w:tcPr>
            <w:tcW w:w="3192" w:type="dxa"/>
            <w:vAlign w:val="center"/>
          </w:tcPr>
          <w:p w:rsidR="00F42B9A" w:rsidRPr="002A7BA9" w:rsidRDefault="00064D36" w:rsidP="00F42B9A">
            <w:pPr>
              <w:jc w:val="center"/>
              <w:rPr>
                <w:rFonts w:ascii="Arial" w:eastAsia="Times New Roman" w:hAnsi="Arial" w:cs="Arial"/>
                <w:b/>
                <w:bCs/>
                <w:sz w:val="20"/>
                <w:szCs w:val="20"/>
              </w:rPr>
            </w:pPr>
            <w:r w:rsidRPr="002A7BA9">
              <w:rPr>
                <w:rFonts w:ascii="Arial" w:eastAsia="Times New Roman" w:hAnsi="Arial" w:cs="Arial"/>
                <w:b/>
                <w:bCs/>
                <w:sz w:val="20"/>
                <w:szCs w:val="20"/>
              </w:rPr>
              <w:t>District</w:t>
            </w:r>
          </w:p>
        </w:tc>
        <w:tc>
          <w:tcPr>
            <w:tcW w:w="1967" w:type="dxa"/>
            <w:vAlign w:val="center"/>
          </w:tcPr>
          <w:p w:rsidR="00F42B9A" w:rsidRPr="002A7BA9" w:rsidRDefault="00064D36" w:rsidP="00F42B9A">
            <w:pPr>
              <w:jc w:val="center"/>
              <w:rPr>
                <w:rFonts w:ascii="Arial" w:eastAsia="Times New Roman" w:hAnsi="Arial" w:cs="Arial"/>
                <w:b/>
                <w:bCs/>
                <w:sz w:val="20"/>
                <w:szCs w:val="20"/>
              </w:rPr>
            </w:pPr>
            <w:r w:rsidRPr="002A7BA9">
              <w:rPr>
                <w:rFonts w:ascii="Arial" w:eastAsia="Times New Roman" w:hAnsi="Arial" w:cs="Arial"/>
                <w:b/>
                <w:bCs/>
                <w:sz w:val="20"/>
                <w:szCs w:val="20"/>
              </w:rPr>
              <w:t>Vulnerability Index</w:t>
            </w:r>
          </w:p>
        </w:tc>
        <w:tc>
          <w:tcPr>
            <w:tcW w:w="2134" w:type="dxa"/>
            <w:vAlign w:val="center"/>
          </w:tcPr>
          <w:p w:rsidR="00F42B9A" w:rsidRPr="002A7BA9" w:rsidRDefault="00064D36" w:rsidP="00F42B9A">
            <w:pPr>
              <w:jc w:val="center"/>
              <w:rPr>
                <w:rFonts w:ascii="Arial" w:eastAsia="Times New Roman" w:hAnsi="Arial" w:cs="Arial"/>
                <w:b/>
                <w:bCs/>
                <w:sz w:val="20"/>
                <w:szCs w:val="20"/>
              </w:rPr>
            </w:pPr>
            <w:r w:rsidRPr="002A7BA9">
              <w:rPr>
                <w:rFonts w:ascii="Arial" w:eastAsia="Times New Roman" w:hAnsi="Arial" w:cs="Arial"/>
                <w:b/>
                <w:bCs/>
                <w:sz w:val="20"/>
                <w:szCs w:val="20"/>
              </w:rPr>
              <w:t>Rank (1 = Highest Vulnerability)</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Palakkad</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0.710</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Kollam</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0.644</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2</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Idukki</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0.642</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3</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Alappuzha</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0.555</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4</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Pr>
                <w:rFonts w:ascii="Arial" w:eastAsia="Times New Roman" w:hAnsi="Arial" w:cs="Arial"/>
                <w:sz w:val="20"/>
                <w:szCs w:val="20"/>
              </w:rPr>
              <w:t>Wayanadu</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0.516</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5</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Thiruvananthapuram</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0.502</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6</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Pathanamthitta</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0.476</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7</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Malappuram</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0.468</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8</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Kasaragod</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0.415</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9</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Kozhikode</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0.412</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10</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Thrissur</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0.405</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11</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Kottayam</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0.375</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12</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Ernakulam</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0.300</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13</w:t>
            </w:r>
          </w:p>
        </w:tc>
      </w:tr>
      <w:tr w:rsidR="00E3703F" w:rsidTr="00052C82">
        <w:trPr>
          <w:trHeight w:val="20"/>
          <w:jc w:val="center"/>
        </w:trPr>
        <w:tc>
          <w:tcPr>
            <w:tcW w:w="3192" w:type="dxa"/>
            <w:vAlign w:val="center"/>
          </w:tcPr>
          <w:p w:rsidR="00F42B9A" w:rsidRPr="002A7BA9" w:rsidRDefault="00064D36" w:rsidP="00F42B9A">
            <w:pPr>
              <w:rPr>
                <w:rFonts w:ascii="Arial" w:eastAsia="Times New Roman" w:hAnsi="Arial" w:cs="Arial"/>
                <w:sz w:val="20"/>
                <w:szCs w:val="20"/>
              </w:rPr>
            </w:pPr>
            <w:r w:rsidRPr="002A7BA9">
              <w:rPr>
                <w:rFonts w:ascii="Arial" w:eastAsia="Times New Roman" w:hAnsi="Arial" w:cs="Arial"/>
                <w:sz w:val="20"/>
                <w:szCs w:val="20"/>
              </w:rPr>
              <w:t>Kannur</w:t>
            </w:r>
          </w:p>
        </w:tc>
        <w:tc>
          <w:tcPr>
            <w:tcW w:w="1967"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0.220</w:t>
            </w:r>
          </w:p>
        </w:tc>
        <w:tc>
          <w:tcPr>
            <w:tcW w:w="2134" w:type="dxa"/>
            <w:vAlign w:val="center"/>
          </w:tcPr>
          <w:p w:rsidR="00F42B9A" w:rsidRPr="002A7BA9" w:rsidRDefault="00064D36" w:rsidP="00F42B9A">
            <w:pPr>
              <w:jc w:val="center"/>
              <w:rPr>
                <w:rFonts w:ascii="Arial" w:eastAsia="Times New Roman" w:hAnsi="Arial" w:cs="Arial"/>
                <w:sz w:val="20"/>
                <w:szCs w:val="20"/>
              </w:rPr>
            </w:pPr>
            <w:r w:rsidRPr="002A7BA9">
              <w:rPr>
                <w:rFonts w:ascii="Arial" w:eastAsia="Times New Roman" w:hAnsi="Arial" w:cs="Arial"/>
                <w:sz w:val="20"/>
                <w:szCs w:val="20"/>
              </w:rPr>
              <w:t>14</w:t>
            </w:r>
          </w:p>
        </w:tc>
      </w:tr>
    </w:tbl>
    <w:p w:rsidR="002A7BA9" w:rsidRPr="00F42B9A" w:rsidRDefault="00064D36" w:rsidP="002A7BA9">
      <w:pPr>
        <w:spacing w:after="0" w:line="360" w:lineRule="auto"/>
        <w:ind w:right="4"/>
        <w:jc w:val="both"/>
        <w:rPr>
          <w:rFonts w:ascii="Arial" w:eastAsia="Times New Roman" w:hAnsi="Arial" w:cs="Arial"/>
          <w:b/>
          <w:i/>
          <w:sz w:val="18"/>
          <w:szCs w:val="20"/>
        </w:rPr>
      </w:pPr>
      <w:r w:rsidRPr="00F42B9A">
        <w:rPr>
          <w:rFonts w:ascii="Arial" w:eastAsia="Times New Roman" w:hAnsi="Arial" w:cs="Arial"/>
          <w:b/>
          <w:i/>
          <w:sz w:val="18"/>
          <w:szCs w:val="20"/>
        </w:rPr>
        <w:tab/>
      </w:r>
      <w:r w:rsidRPr="00F42B9A">
        <w:rPr>
          <w:rFonts w:ascii="Arial" w:eastAsia="Times New Roman" w:hAnsi="Arial" w:cs="Arial"/>
          <w:b/>
          <w:i/>
          <w:sz w:val="18"/>
          <w:szCs w:val="20"/>
        </w:rPr>
        <w:tab/>
        <w:t>Source: Computed Data</w:t>
      </w:r>
    </w:p>
    <w:p w:rsidR="00052C82" w:rsidRDefault="00064D36" w:rsidP="009E1738">
      <w:pPr>
        <w:spacing w:after="0" w:line="360" w:lineRule="auto"/>
        <w:ind w:right="4"/>
        <w:jc w:val="center"/>
        <w:rPr>
          <w:rFonts w:ascii="Arial" w:eastAsia="Times New Roman" w:hAnsi="Arial" w:cs="Arial"/>
          <w:b/>
          <w:sz w:val="20"/>
          <w:szCs w:val="20"/>
        </w:rPr>
      </w:pPr>
      <w:r>
        <w:rPr>
          <w:rFonts w:ascii="Arial" w:eastAsia="Times New Roman" w:hAnsi="Arial" w:cs="Arial"/>
          <w:noProof/>
          <w:sz w:val="20"/>
          <w:szCs w:val="20"/>
        </w:rPr>
        <w:drawing>
          <wp:inline distT="0" distB="0" distL="0" distR="0">
            <wp:extent cx="5353050" cy="3143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1887" cy="3148439"/>
                    </a:xfrm>
                    <a:prstGeom prst="rect">
                      <a:avLst/>
                    </a:prstGeom>
                  </pic:spPr>
                </pic:pic>
              </a:graphicData>
            </a:graphic>
          </wp:inline>
        </w:drawing>
      </w:r>
      <w:r w:rsidRPr="009E1738">
        <w:rPr>
          <w:rFonts w:ascii="Arial" w:eastAsia="Times New Roman" w:hAnsi="Arial" w:cs="Arial"/>
          <w:b/>
          <w:sz w:val="20"/>
          <w:szCs w:val="20"/>
        </w:rPr>
        <w:t xml:space="preserve"> </w:t>
      </w:r>
    </w:p>
    <w:p w:rsidR="009E1738" w:rsidRDefault="00064D36" w:rsidP="009E1738">
      <w:pPr>
        <w:spacing w:after="0" w:line="360" w:lineRule="auto"/>
        <w:ind w:right="4"/>
        <w:jc w:val="center"/>
        <w:rPr>
          <w:rFonts w:ascii="Arial" w:eastAsia="Times New Roman" w:hAnsi="Arial" w:cs="Arial"/>
          <w:b/>
          <w:sz w:val="20"/>
          <w:szCs w:val="20"/>
        </w:rPr>
      </w:pPr>
      <w:r>
        <w:rPr>
          <w:rFonts w:ascii="Arial" w:eastAsia="Times New Roman" w:hAnsi="Arial" w:cs="Arial"/>
          <w:b/>
          <w:sz w:val="20"/>
          <w:szCs w:val="20"/>
        </w:rPr>
        <w:t>Fig.No.3</w:t>
      </w:r>
      <w:r w:rsidRPr="00F42B9A">
        <w:rPr>
          <w:rFonts w:ascii="Arial" w:eastAsia="Times New Roman" w:hAnsi="Arial" w:cs="Arial"/>
          <w:b/>
          <w:sz w:val="20"/>
          <w:szCs w:val="20"/>
        </w:rPr>
        <w:t xml:space="preserve">. </w:t>
      </w:r>
      <w:r>
        <w:rPr>
          <w:rFonts w:ascii="Arial" w:hAnsi="Arial" w:cs="Arial"/>
          <w:b/>
          <w:sz w:val="20"/>
          <w:szCs w:val="20"/>
        </w:rPr>
        <w:t>District-wise Vulnerability Index (Kerala, 2024-25)</w:t>
      </w:r>
    </w:p>
    <w:p w:rsidR="005474BA" w:rsidRPr="005474BA" w:rsidRDefault="00064D36" w:rsidP="005474BA">
      <w:pPr>
        <w:spacing w:after="0" w:line="360" w:lineRule="auto"/>
        <w:ind w:right="4" w:firstLine="720"/>
        <w:jc w:val="both"/>
        <w:rPr>
          <w:rFonts w:ascii="Arial" w:eastAsia="Times New Roman" w:hAnsi="Arial" w:cs="Arial"/>
          <w:sz w:val="20"/>
          <w:szCs w:val="20"/>
        </w:rPr>
      </w:pPr>
      <w:r w:rsidRPr="005474BA">
        <w:rPr>
          <w:rFonts w:ascii="Arial" w:eastAsia="Times New Roman" w:hAnsi="Arial" w:cs="Arial"/>
          <w:sz w:val="20"/>
          <w:szCs w:val="20"/>
        </w:rPr>
        <w:lastRenderedPageBreak/>
        <w:t>The composite Vulnerability Index, comprising SC</w:t>
      </w:r>
      <w:r w:rsidR="00BB3EC8">
        <w:rPr>
          <w:rFonts w:ascii="Arial" w:eastAsia="Times New Roman" w:hAnsi="Arial" w:cs="Arial"/>
          <w:sz w:val="20"/>
          <w:szCs w:val="20"/>
        </w:rPr>
        <w:t xml:space="preserve"> population Share</w:t>
      </w:r>
      <w:r w:rsidRPr="005474BA">
        <w:rPr>
          <w:rFonts w:ascii="Arial" w:eastAsia="Times New Roman" w:hAnsi="Arial" w:cs="Arial"/>
          <w:sz w:val="20"/>
          <w:szCs w:val="20"/>
        </w:rPr>
        <w:t>, ST</w:t>
      </w:r>
      <w:r w:rsidR="00BB3EC8">
        <w:rPr>
          <w:rFonts w:ascii="Arial" w:eastAsia="Times New Roman" w:hAnsi="Arial" w:cs="Arial"/>
          <w:sz w:val="20"/>
          <w:szCs w:val="20"/>
        </w:rPr>
        <w:t xml:space="preserve"> population Share</w:t>
      </w:r>
      <w:r w:rsidRPr="005474BA">
        <w:rPr>
          <w:rFonts w:ascii="Arial" w:eastAsia="Times New Roman" w:hAnsi="Arial" w:cs="Arial"/>
          <w:sz w:val="20"/>
          <w:szCs w:val="20"/>
        </w:rPr>
        <w:t>, BPL</w:t>
      </w:r>
      <w:r w:rsidR="00BB3EC8">
        <w:rPr>
          <w:rFonts w:ascii="Arial" w:eastAsia="Times New Roman" w:hAnsi="Arial" w:cs="Arial"/>
          <w:sz w:val="20"/>
          <w:szCs w:val="20"/>
        </w:rPr>
        <w:t xml:space="preserve"> population Share</w:t>
      </w:r>
      <w:r w:rsidRPr="005474BA">
        <w:rPr>
          <w:rFonts w:ascii="Arial" w:eastAsia="Times New Roman" w:hAnsi="Arial" w:cs="Arial"/>
          <w:sz w:val="20"/>
          <w:szCs w:val="20"/>
        </w:rPr>
        <w:t xml:space="preserve">, and PHC density, depicts different trends across the districts </w:t>
      </w:r>
      <w:r w:rsidR="00BB3EC8">
        <w:rPr>
          <w:rFonts w:ascii="Arial" w:eastAsia="Times New Roman" w:hAnsi="Arial" w:cs="Arial"/>
          <w:sz w:val="20"/>
          <w:szCs w:val="20"/>
        </w:rPr>
        <w:t>of</w:t>
      </w:r>
      <w:r w:rsidRPr="005474BA">
        <w:rPr>
          <w:rFonts w:ascii="Arial" w:eastAsia="Times New Roman" w:hAnsi="Arial" w:cs="Arial"/>
          <w:sz w:val="20"/>
          <w:szCs w:val="20"/>
        </w:rPr>
        <w:t xml:space="preserve"> Kerala. </w:t>
      </w:r>
      <w:r w:rsidR="00BB3EC8" w:rsidRPr="00F42B9A">
        <w:rPr>
          <w:rFonts w:ascii="Arial" w:eastAsia="Times New Roman" w:hAnsi="Arial" w:cs="Arial"/>
          <w:sz w:val="20"/>
          <w:szCs w:val="20"/>
        </w:rPr>
        <w:t xml:space="preserve">Palakkad (0.71), Kollam (0.64), and Idukki (0.64) </w:t>
      </w:r>
      <w:r w:rsidR="00BB3EC8">
        <w:rPr>
          <w:rFonts w:ascii="Arial" w:eastAsia="Times New Roman" w:hAnsi="Arial" w:cs="Arial"/>
          <w:sz w:val="20"/>
          <w:szCs w:val="20"/>
        </w:rPr>
        <w:t xml:space="preserve">districts </w:t>
      </w:r>
      <w:r w:rsidR="00BB3EC8" w:rsidRPr="00F42B9A">
        <w:rPr>
          <w:rFonts w:ascii="Arial" w:eastAsia="Times New Roman" w:hAnsi="Arial" w:cs="Arial"/>
          <w:sz w:val="20"/>
          <w:szCs w:val="20"/>
        </w:rPr>
        <w:t xml:space="preserve">rank as the most vulnerable, reflecting the combined effect of high </w:t>
      </w:r>
      <w:r w:rsidR="00BB3EC8">
        <w:rPr>
          <w:rFonts w:ascii="Arial" w:eastAsia="Times New Roman" w:hAnsi="Arial" w:cs="Arial"/>
          <w:sz w:val="20"/>
          <w:szCs w:val="20"/>
        </w:rPr>
        <w:t>SC</w:t>
      </w:r>
      <w:r w:rsidR="00BB3EC8" w:rsidRPr="00F42B9A">
        <w:rPr>
          <w:rFonts w:ascii="Arial" w:eastAsia="Times New Roman" w:hAnsi="Arial" w:cs="Arial"/>
          <w:sz w:val="20"/>
          <w:szCs w:val="20"/>
        </w:rPr>
        <w:t xml:space="preserve"> and </w:t>
      </w:r>
      <w:r w:rsidR="00BB3EC8">
        <w:rPr>
          <w:rFonts w:ascii="Arial" w:eastAsia="Times New Roman" w:hAnsi="Arial" w:cs="Arial"/>
          <w:sz w:val="20"/>
          <w:szCs w:val="20"/>
        </w:rPr>
        <w:t>BPL</w:t>
      </w:r>
      <w:r w:rsidR="00BB3EC8" w:rsidRPr="00F42B9A">
        <w:rPr>
          <w:rFonts w:ascii="Arial" w:eastAsia="Times New Roman" w:hAnsi="Arial" w:cs="Arial"/>
          <w:sz w:val="20"/>
          <w:szCs w:val="20"/>
        </w:rPr>
        <w:t xml:space="preserve"> populations with comparatively lower PHC density.</w:t>
      </w:r>
      <w:r w:rsidRPr="005474BA">
        <w:rPr>
          <w:rFonts w:ascii="Arial" w:eastAsia="Times New Roman" w:hAnsi="Arial" w:cs="Arial"/>
          <w:sz w:val="20"/>
          <w:szCs w:val="20"/>
        </w:rPr>
        <w:t xml:space="preserve"> These districts can demonstrate that socio-demographic deprivation </w:t>
      </w:r>
      <w:r w:rsidR="00BB3EC8">
        <w:rPr>
          <w:rFonts w:ascii="Arial" w:eastAsia="Times New Roman" w:hAnsi="Arial" w:cs="Arial"/>
          <w:sz w:val="20"/>
          <w:szCs w:val="20"/>
        </w:rPr>
        <w:t xml:space="preserve">exacerbates </w:t>
      </w:r>
      <w:r w:rsidRPr="005474BA">
        <w:rPr>
          <w:rFonts w:ascii="Arial" w:eastAsia="Times New Roman" w:hAnsi="Arial" w:cs="Arial"/>
          <w:sz w:val="20"/>
          <w:szCs w:val="20"/>
        </w:rPr>
        <w:t>health</w:t>
      </w:r>
      <w:r w:rsidR="00BB3EC8">
        <w:rPr>
          <w:rFonts w:ascii="Arial" w:eastAsia="Times New Roman" w:hAnsi="Arial" w:cs="Arial"/>
          <w:sz w:val="20"/>
          <w:szCs w:val="20"/>
        </w:rPr>
        <w:t>care</w:t>
      </w:r>
      <w:r w:rsidRPr="005474BA">
        <w:rPr>
          <w:rFonts w:ascii="Arial" w:eastAsia="Times New Roman" w:hAnsi="Arial" w:cs="Arial"/>
          <w:sz w:val="20"/>
          <w:szCs w:val="20"/>
        </w:rPr>
        <w:t xml:space="preserve"> access issues even in the absence of critically low numbers of facilities. </w:t>
      </w:r>
      <w:r w:rsidR="0034025D">
        <w:rPr>
          <w:rFonts w:ascii="Arial" w:eastAsia="Times New Roman" w:hAnsi="Arial" w:cs="Arial"/>
          <w:sz w:val="20"/>
          <w:szCs w:val="20"/>
        </w:rPr>
        <w:t>Wayanadu</w:t>
      </w:r>
      <w:r w:rsidRPr="005474BA">
        <w:rPr>
          <w:rFonts w:ascii="Arial" w:eastAsia="Times New Roman" w:hAnsi="Arial" w:cs="Arial"/>
          <w:sz w:val="20"/>
          <w:szCs w:val="20"/>
        </w:rPr>
        <w:t xml:space="preserve"> is the district with the highest PHC </w:t>
      </w:r>
      <w:r w:rsidR="00BB3EC8">
        <w:rPr>
          <w:rFonts w:ascii="Arial" w:eastAsia="Times New Roman" w:hAnsi="Arial" w:cs="Arial"/>
          <w:sz w:val="20"/>
          <w:szCs w:val="20"/>
        </w:rPr>
        <w:t>density</w:t>
      </w:r>
      <w:r w:rsidRPr="005474BA">
        <w:rPr>
          <w:rFonts w:ascii="Arial" w:eastAsia="Times New Roman" w:hAnsi="Arial" w:cs="Arial"/>
          <w:sz w:val="20"/>
          <w:szCs w:val="20"/>
        </w:rPr>
        <w:t xml:space="preserve"> and the fifth-highest vulnerability score (0.52), due to a high proportion of Scheduled Tribes and high poverty </w:t>
      </w:r>
      <w:r w:rsidR="00BB3EC8">
        <w:rPr>
          <w:rFonts w:ascii="Arial" w:eastAsia="Times New Roman" w:hAnsi="Arial" w:cs="Arial"/>
          <w:sz w:val="20"/>
          <w:szCs w:val="20"/>
        </w:rPr>
        <w:t>levels</w:t>
      </w:r>
      <w:r w:rsidRPr="005474BA">
        <w:rPr>
          <w:rFonts w:ascii="Arial" w:eastAsia="Times New Roman" w:hAnsi="Arial" w:cs="Arial"/>
          <w:sz w:val="20"/>
          <w:szCs w:val="20"/>
        </w:rPr>
        <w:t>. This sh</w:t>
      </w:r>
      <w:r w:rsidR="00BB3EC8">
        <w:rPr>
          <w:rFonts w:ascii="Arial" w:eastAsia="Times New Roman" w:hAnsi="Arial" w:cs="Arial"/>
          <w:sz w:val="20"/>
          <w:szCs w:val="20"/>
        </w:rPr>
        <w:t xml:space="preserve">ows that growth in </w:t>
      </w:r>
      <w:r w:rsidRPr="005474BA">
        <w:rPr>
          <w:rFonts w:ascii="Arial" w:eastAsia="Times New Roman" w:hAnsi="Arial" w:cs="Arial"/>
          <w:sz w:val="20"/>
          <w:szCs w:val="20"/>
        </w:rPr>
        <w:t xml:space="preserve">demographic and economic </w:t>
      </w:r>
      <w:r w:rsidR="00BB3EC8">
        <w:rPr>
          <w:rFonts w:ascii="Arial" w:eastAsia="Times New Roman" w:hAnsi="Arial" w:cs="Arial"/>
          <w:sz w:val="20"/>
          <w:szCs w:val="20"/>
        </w:rPr>
        <w:t xml:space="preserve">factors </w:t>
      </w:r>
      <w:r w:rsidRPr="005474BA">
        <w:rPr>
          <w:rFonts w:ascii="Arial" w:eastAsia="Times New Roman" w:hAnsi="Arial" w:cs="Arial"/>
          <w:sz w:val="20"/>
          <w:szCs w:val="20"/>
        </w:rPr>
        <w:t>can be more impressive than advances in infrastructure availability.</w:t>
      </w:r>
    </w:p>
    <w:p w:rsidR="002A7BA9" w:rsidRDefault="00064D36" w:rsidP="005474BA">
      <w:pPr>
        <w:spacing w:after="0" w:line="360" w:lineRule="auto"/>
        <w:ind w:right="4" w:firstLine="720"/>
        <w:jc w:val="both"/>
        <w:rPr>
          <w:rFonts w:ascii="Arial" w:eastAsia="Times New Roman" w:hAnsi="Arial" w:cs="Arial"/>
          <w:sz w:val="20"/>
          <w:szCs w:val="20"/>
        </w:rPr>
      </w:pPr>
      <w:r w:rsidRPr="005474BA">
        <w:rPr>
          <w:rFonts w:ascii="Arial" w:eastAsia="Times New Roman" w:hAnsi="Arial" w:cs="Arial"/>
          <w:sz w:val="20"/>
          <w:szCs w:val="20"/>
        </w:rPr>
        <w:t xml:space="preserve">Districts like Kannur (0.22), Ernakulam (0.30), and Kottayam (0.38) are at the </w:t>
      </w:r>
      <w:r w:rsidR="00BB3EC8">
        <w:rPr>
          <w:rFonts w:ascii="Arial" w:eastAsia="Times New Roman" w:hAnsi="Arial" w:cs="Arial"/>
          <w:sz w:val="20"/>
          <w:szCs w:val="20"/>
        </w:rPr>
        <w:t>lower</w:t>
      </w:r>
      <w:r w:rsidRPr="005474BA">
        <w:rPr>
          <w:rFonts w:ascii="Arial" w:eastAsia="Times New Roman" w:hAnsi="Arial" w:cs="Arial"/>
          <w:sz w:val="20"/>
          <w:szCs w:val="20"/>
        </w:rPr>
        <w:t xml:space="preserve"> vulnerability use. These regions align with lower SC/ST ratios, average poverty rates, and adequate PHC access, decreasing their vulnerability to structural disadvantage. Mixed districts such as Thrissur, Kozhikode, and Kasaragod have relative stronger PHC delivery but continue to face the challenge of poverty or caste-based vulnerabilities. The table therefore highlights the areas where policy interventions should be given priority, and Palakkad, Kollam, Idukki, and </w:t>
      </w:r>
      <w:r w:rsidR="0034025D">
        <w:rPr>
          <w:rFonts w:ascii="Arial" w:eastAsia="Times New Roman" w:hAnsi="Arial" w:cs="Arial"/>
          <w:sz w:val="20"/>
          <w:szCs w:val="20"/>
        </w:rPr>
        <w:t>Wayanad</w:t>
      </w:r>
      <w:r w:rsidRPr="005474BA">
        <w:rPr>
          <w:rFonts w:ascii="Arial" w:eastAsia="Times New Roman" w:hAnsi="Arial" w:cs="Arial"/>
          <w:sz w:val="20"/>
          <w:szCs w:val="20"/>
        </w:rPr>
        <w:t xml:space="preserve"> are the </w:t>
      </w:r>
      <w:r w:rsidR="00C92B6E">
        <w:rPr>
          <w:rFonts w:ascii="Arial" w:eastAsia="Times New Roman" w:hAnsi="Arial" w:cs="Arial"/>
          <w:sz w:val="20"/>
          <w:szCs w:val="20"/>
        </w:rPr>
        <w:t>districts</w:t>
      </w:r>
      <w:r w:rsidRPr="005474BA">
        <w:rPr>
          <w:rFonts w:ascii="Arial" w:eastAsia="Times New Roman" w:hAnsi="Arial" w:cs="Arial"/>
          <w:sz w:val="20"/>
          <w:szCs w:val="20"/>
        </w:rPr>
        <w:t xml:space="preserve"> that need special attention to create justifiable access to health care</w:t>
      </w:r>
      <w:r w:rsidR="00F42B9A" w:rsidRPr="00F42B9A">
        <w:rPr>
          <w:rFonts w:ascii="Arial" w:eastAsia="Times New Roman" w:hAnsi="Arial" w:cs="Arial"/>
          <w:sz w:val="20"/>
          <w:szCs w:val="20"/>
        </w:rPr>
        <w:t>.</w:t>
      </w:r>
    </w:p>
    <w:p w:rsidR="00514D55" w:rsidRPr="00C92B6E" w:rsidRDefault="00F82C57" w:rsidP="00514D55">
      <w:pPr>
        <w:spacing w:before="240" w:after="0" w:line="360" w:lineRule="auto"/>
        <w:ind w:right="4"/>
        <w:jc w:val="both"/>
        <w:rPr>
          <w:rFonts w:ascii="Arial" w:eastAsia="Times New Roman" w:hAnsi="Arial" w:cs="Arial"/>
          <w:b/>
        </w:rPr>
      </w:pPr>
      <w:r>
        <w:rPr>
          <w:rFonts w:ascii="Arial" w:eastAsia="Times New Roman" w:hAnsi="Arial" w:cs="Arial"/>
          <w:b/>
          <w:sz w:val="24"/>
        </w:rPr>
        <w:t>6</w:t>
      </w:r>
      <w:r w:rsidR="00064D36" w:rsidRPr="00C92B6E">
        <w:rPr>
          <w:rFonts w:ascii="Arial" w:eastAsia="Times New Roman" w:hAnsi="Arial" w:cs="Arial"/>
          <w:b/>
          <w:sz w:val="24"/>
        </w:rPr>
        <w:t>. Conclusion</w:t>
      </w:r>
    </w:p>
    <w:p w:rsidR="00037BD0" w:rsidRDefault="00064D36" w:rsidP="00037BD0">
      <w:pPr>
        <w:spacing w:line="360" w:lineRule="auto"/>
        <w:ind w:right="4" w:firstLine="720"/>
        <w:jc w:val="both"/>
        <w:rPr>
          <w:rFonts w:ascii="Arial" w:eastAsia="Times New Roman" w:hAnsi="Arial" w:cs="Arial"/>
          <w:sz w:val="20"/>
          <w:szCs w:val="20"/>
        </w:rPr>
      </w:pPr>
      <w:r w:rsidRPr="00F55ADE">
        <w:rPr>
          <w:rFonts w:ascii="Arial" w:eastAsia="Times New Roman" w:hAnsi="Arial" w:cs="Arial"/>
          <w:sz w:val="20"/>
          <w:szCs w:val="20"/>
        </w:rPr>
        <w:t xml:space="preserve">This paper has investigated the equity of the Public Health Centre distribution in Kerala based on the PHC density, the socio-demographic correlation, and Lorenz curves and a composite vulnerability index. These results constitute evidence that although Kerala has exhibited a relatively fair distribution, there are still substantial structural weaknesses in such districts such as Palakkad, Kollam, Idukki, and </w:t>
      </w:r>
      <w:r w:rsidR="0034025D">
        <w:rPr>
          <w:rFonts w:ascii="Arial" w:eastAsia="Times New Roman" w:hAnsi="Arial" w:cs="Arial"/>
          <w:sz w:val="20"/>
          <w:szCs w:val="20"/>
        </w:rPr>
        <w:t>Wayanadu</w:t>
      </w:r>
      <w:r w:rsidRPr="00F55ADE">
        <w:rPr>
          <w:rFonts w:ascii="Arial" w:eastAsia="Times New Roman" w:hAnsi="Arial" w:cs="Arial"/>
          <w:sz w:val="20"/>
          <w:szCs w:val="20"/>
        </w:rPr>
        <w:t>. These regions have higher levels of marginalized populations and poverty, along with a lower density of PHCs, underscoring the importance of equity-based planning. On the other hand, other districts, including Kannur and Ernakulam, have greater socio-demographic benefits and access. The importance of addressing such disparities is to maintain the health equity gains in Kerala and ensure equitable access to healthcare</w:t>
      </w:r>
      <w:r w:rsidR="00514D55" w:rsidRPr="00514D55">
        <w:rPr>
          <w:rFonts w:ascii="Arial" w:eastAsia="Times New Roman" w:hAnsi="Arial" w:cs="Arial"/>
          <w:sz w:val="20"/>
          <w:szCs w:val="20"/>
        </w:rPr>
        <w:t>.</w:t>
      </w:r>
      <w:r>
        <w:rPr>
          <w:rStyle w:val="url"/>
          <w:rFonts w:ascii="Arial" w:hAnsi="Arial" w:cs="Arial"/>
          <w:sz w:val="20"/>
          <w:szCs w:val="20"/>
        </w:rPr>
        <w:t xml:space="preserve"> </w:t>
      </w:r>
    </w:p>
    <w:p w:rsidR="00037BD0" w:rsidRPr="00037BD0" w:rsidRDefault="00037BD0" w:rsidP="00037BD0">
      <w:pPr>
        <w:jc w:val="both"/>
        <w:outlineLvl w:val="0"/>
        <w:rPr>
          <w:rFonts w:ascii="Arial" w:eastAsia="Times New Roman" w:hAnsi="Arial" w:cs="Arial"/>
          <w:lang w:val="en-GB" w:eastAsia="en-GB"/>
        </w:rPr>
      </w:pPr>
      <w:r w:rsidRPr="00037BD0">
        <w:rPr>
          <w:rFonts w:ascii="Arial" w:eastAsia="Times New Roman" w:hAnsi="Arial" w:cs="Arial"/>
          <w:bCs/>
          <w:lang w:val="en-GB" w:eastAsia="en-GB"/>
        </w:rPr>
        <w:t>COMPETING INTERESTS DISCLAIMER:</w:t>
      </w:r>
    </w:p>
    <w:p w:rsidR="00037BD0" w:rsidRPr="00037BD0" w:rsidRDefault="00037BD0" w:rsidP="00037BD0">
      <w:pPr>
        <w:rPr>
          <w:rFonts w:ascii="Calibri" w:eastAsia="Times New Roman" w:hAnsi="Calibri" w:cs="Times New Roman"/>
          <w:lang w:val="en-GB" w:eastAsia="en-GB"/>
        </w:rPr>
      </w:pPr>
      <w:r>
        <w:rPr>
          <w:rFonts w:ascii="Calibri" w:eastAsia="Times New Roman" w:hAnsi="Calibri" w:cs="Times New Roman"/>
          <w:lang w:eastAsia="en-GB"/>
        </w:rPr>
        <w:t>Authors stated that they have not known any competing interests such as financial or non-financial relationships or personal relationships that might have been perceived to have affected the work reported in this article</w:t>
      </w:r>
      <w:r>
        <w:rPr>
          <w:rFonts w:ascii="Calibri" w:eastAsia="Times New Roman" w:hAnsi="Calibri" w:cs="Times New Roman"/>
          <w:lang w:val="en-GB" w:eastAsia="en-GB"/>
        </w:rPr>
        <w:t>.</w:t>
      </w:r>
    </w:p>
    <w:p w:rsidR="00037BD0" w:rsidRPr="00037BD0" w:rsidRDefault="00037BD0" w:rsidP="00037BD0">
      <w:r w:rsidRPr="00037BD0">
        <w:t>Disclaimer (Artificial intelligence)</w:t>
      </w:r>
    </w:p>
    <w:p w:rsidR="00037BD0" w:rsidRPr="00037BD0" w:rsidRDefault="00037BD0" w:rsidP="00037BD0">
      <w:pPr>
        <w:jc w:val="both"/>
      </w:pPr>
      <w:r w:rsidRPr="00037BD0">
        <w:t>Author(s) hereby declare that generative AI technologies such as Large Language Models, etc. have been used during the writing or editing of manuscripts</w:t>
      </w:r>
    </w:p>
    <w:p w:rsidR="00037BD0" w:rsidRDefault="00037BD0" w:rsidP="00037BD0">
      <w:pPr>
        <w:spacing w:after="0" w:line="360" w:lineRule="auto"/>
        <w:ind w:right="4"/>
        <w:jc w:val="both"/>
        <w:rPr>
          <w:rFonts w:ascii="Arial" w:eastAsia="Times New Roman" w:hAnsi="Arial" w:cs="Arial"/>
          <w:sz w:val="20"/>
          <w:szCs w:val="20"/>
        </w:rPr>
      </w:pPr>
    </w:p>
    <w:p w:rsidR="00037BD0" w:rsidRDefault="00F82C57" w:rsidP="00037BD0">
      <w:pPr>
        <w:spacing w:after="0" w:line="360" w:lineRule="auto"/>
        <w:ind w:right="4"/>
        <w:jc w:val="both"/>
        <w:rPr>
          <w:rFonts w:ascii="Arial" w:eastAsia="Times New Roman" w:hAnsi="Arial" w:cs="Arial"/>
          <w:b/>
          <w:szCs w:val="20"/>
        </w:rPr>
      </w:pPr>
      <w:r>
        <w:rPr>
          <w:rFonts w:ascii="Arial" w:eastAsia="Times New Roman" w:hAnsi="Arial" w:cs="Arial"/>
          <w:b/>
          <w:szCs w:val="20"/>
        </w:rPr>
        <w:lastRenderedPageBreak/>
        <w:t>7</w:t>
      </w:r>
      <w:r w:rsidR="00037BD0">
        <w:rPr>
          <w:rFonts w:ascii="Arial" w:eastAsia="Times New Roman" w:hAnsi="Arial" w:cs="Arial"/>
          <w:b/>
          <w:szCs w:val="20"/>
        </w:rPr>
        <w:t>. References</w:t>
      </w:r>
    </w:p>
    <w:p w:rsidR="00037BD0" w:rsidRDefault="00037BD0" w:rsidP="00037BD0">
      <w:pPr>
        <w:pStyle w:val="NormalWeb"/>
        <w:spacing w:before="0" w:beforeAutospacing="0" w:after="0" w:afterAutospacing="0"/>
        <w:ind w:left="426" w:hanging="425"/>
        <w:jc w:val="both"/>
        <w:rPr>
          <w:rFonts w:ascii="Arial" w:hAnsi="Arial" w:cs="Arial"/>
          <w:sz w:val="20"/>
          <w:szCs w:val="20"/>
        </w:rPr>
      </w:pPr>
      <w:proofErr w:type="spellStart"/>
      <w:r>
        <w:rPr>
          <w:rFonts w:ascii="Arial" w:hAnsi="Arial" w:cs="Arial"/>
          <w:sz w:val="20"/>
          <w:szCs w:val="20"/>
          <w:shd w:val="clear" w:color="auto" w:fill="FFFFFF"/>
        </w:rPr>
        <w:t>Anyangwe</w:t>
      </w:r>
      <w:proofErr w:type="spellEnd"/>
      <w:r>
        <w:rPr>
          <w:rFonts w:ascii="Arial" w:hAnsi="Arial" w:cs="Arial"/>
          <w:sz w:val="20"/>
          <w:szCs w:val="20"/>
          <w:shd w:val="clear" w:color="auto" w:fill="FFFFFF"/>
        </w:rPr>
        <w:t xml:space="preserve">, S. C., &amp; </w:t>
      </w:r>
      <w:proofErr w:type="spellStart"/>
      <w:r>
        <w:rPr>
          <w:rFonts w:ascii="Arial" w:hAnsi="Arial" w:cs="Arial"/>
          <w:sz w:val="20"/>
          <w:szCs w:val="20"/>
          <w:shd w:val="clear" w:color="auto" w:fill="FFFFFF"/>
        </w:rPr>
        <w:t>Mtonga</w:t>
      </w:r>
      <w:proofErr w:type="spellEnd"/>
      <w:r>
        <w:rPr>
          <w:rFonts w:ascii="Arial" w:hAnsi="Arial" w:cs="Arial"/>
          <w:sz w:val="20"/>
          <w:szCs w:val="20"/>
          <w:shd w:val="clear" w:color="auto" w:fill="FFFFFF"/>
        </w:rPr>
        <w:t>, C. (2007). Inequities in the global health workforce: the greatest impediment to health in sub-Saharan Africa. </w:t>
      </w:r>
      <w:r>
        <w:rPr>
          <w:rFonts w:ascii="Arial" w:hAnsi="Arial" w:cs="Arial"/>
          <w:i/>
          <w:iCs/>
          <w:sz w:val="20"/>
          <w:szCs w:val="20"/>
          <w:shd w:val="clear" w:color="auto" w:fill="FFFFFF"/>
        </w:rPr>
        <w:t>International journal of environmental research and public health</w:t>
      </w:r>
      <w:r>
        <w:rPr>
          <w:rFonts w:ascii="Arial" w:hAnsi="Arial" w:cs="Arial"/>
          <w:sz w:val="20"/>
          <w:szCs w:val="20"/>
          <w:shd w:val="clear" w:color="auto" w:fill="FFFFFF"/>
        </w:rPr>
        <w:t>, </w:t>
      </w:r>
      <w:r>
        <w:rPr>
          <w:rFonts w:ascii="Arial" w:hAnsi="Arial" w:cs="Arial"/>
          <w:i/>
          <w:iCs/>
          <w:sz w:val="20"/>
          <w:szCs w:val="20"/>
          <w:shd w:val="clear" w:color="auto" w:fill="FFFFFF"/>
        </w:rPr>
        <w:t>4</w:t>
      </w:r>
      <w:r>
        <w:rPr>
          <w:rFonts w:ascii="Arial" w:hAnsi="Arial" w:cs="Arial"/>
          <w:sz w:val="20"/>
          <w:szCs w:val="20"/>
          <w:shd w:val="clear" w:color="auto" w:fill="FFFFFF"/>
        </w:rPr>
        <w:t>(2), 93-100.</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shd w:val="clear" w:color="auto" w:fill="FFFFFF"/>
        </w:rPr>
        <w:t>Chiu, W. K., &amp; Fong, B. Y. F. (2023). Sustainable development goal 3 in healthcare. In </w:t>
      </w:r>
      <w:r>
        <w:rPr>
          <w:rFonts w:ascii="Arial" w:hAnsi="Arial" w:cs="Arial"/>
          <w:i/>
          <w:iCs/>
          <w:sz w:val="20"/>
          <w:szCs w:val="20"/>
          <w:shd w:val="clear" w:color="auto" w:fill="FFFFFF"/>
        </w:rPr>
        <w:t>Environmental, social and governance and sustainable development in healthcare</w:t>
      </w:r>
      <w:r>
        <w:rPr>
          <w:rFonts w:ascii="Arial" w:hAnsi="Arial" w:cs="Arial"/>
          <w:sz w:val="20"/>
          <w:szCs w:val="20"/>
          <w:shd w:val="clear" w:color="auto" w:fill="FFFFFF"/>
        </w:rPr>
        <w:t> (pp. 33-45). Singapore: Springer Nature Singapore.</w:t>
      </w:r>
    </w:p>
    <w:p w:rsidR="00037BD0" w:rsidRDefault="00037BD0" w:rsidP="00037BD0">
      <w:pPr>
        <w:pStyle w:val="NormalWeb"/>
        <w:spacing w:before="0" w:beforeAutospacing="0" w:after="0" w:afterAutospacing="0"/>
        <w:ind w:left="426" w:hanging="425"/>
        <w:jc w:val="both"/>
        <w:rPr>
          <w:rFonts w:ascii="Arial" w:hAnsi="Arial" w:cs="Arial"/>
          <w:sz w:val="20"/>
          <w:szCs w:val="20"/>
        </w:rPr>
      </w:pPr>
      <w:proofErr w:type="spellStart"/>
      <w:r>
        <w:rPr>
          <w:rFonts w:ascii="Arial" w:hAnsi="Arial" w:cs="Arial"/>
          <w:sz w:val="20"/>
          <w:szCs w:val="20"/>
        </w:rPr>
        <w:t>Elamon</w:t>
      </w:r>
      <w:proofErr w:type="spellEnd"/>
      <w:r>
        <w:rPr>
          <w:rFonts w:ascii="Arial" w:hAnsi="Arial" w:cs="Arial"/>
          <w:sz w:val="20"/>
          <w:szCs w:val="20"/>
        </w:rPr>
        <w:t xml:space="preserve">, J., Franke, R. W., &amp; </w:t>
      </w:r>
      <w:proofErr w:type="spellStart"/>
      <w:r>
        <w:rPr>
          <w:rFonts w:ascii="Arial" w:hAnsi="Arial" w:cs="Arial"/>
          <w:sz w:val="20"/>
          <w:szCs w:val="20"/>
        </w:rPr>
        <w:t>Ekbal</w:t>
      </w:r>
      <w:proofErr w:type="spellEnd"/>
      <w:r>
        <w:rPr>
          <w:rFonts w:ascii="Arial" w:hAnsi="Arial" w:cs="Arial"/>
          <w:sz w:val="20"/>
          <w:szCs w:val="20"/>
        </w:rPr>
        <w:t xml:space="preserve">, B. (2004). Decentralization of Health Services: The Kerala People’s Campaign. </w:t>
      </w:r>
      <w:r>
        <w:rPr>
          <w:rFonts w:ascii="Arial" w:hAnsi="Arial" w:cs="Arial"/>
          <w:i/>
          <w:iCs/>
          <w:sz w:val="20"/>
          <w:szCs w:val="20"/>
        </w:rPr>
        <w:t>International Journal of Health Services</w:t>
      </w:r>
      <w:r>
        <w:rPr>
          <w:rFonts w:ascii="Arial" w:hAnsi="Arial" w:cs="Arial"/>
          <w:sz w:val="20"/>
          <w:szCs w:val="20"/>
        </w:rPr>
        <w:t xml:space="preserve">, </w:t>
      </w:r>
      <w:r>
        <w:rPr>
          <w:rFonts w:ascii="Arial" w:hAnsi="Arial" w:cs="Arial"/>
          <w:i/>
          <w:iCs/>
          <w:sz w:val="20"/>
          <w:szCs w:val="20"/>
        </w:rPr>
        <w:t>34</w:t>
      </w:r>
      <w:r>
        <w:rPr>
          <w:rFonts w:ascii="Arial" w:hAnsi="Arial" w:cs="Arial"/>
          <w:sz w:val="20"/>
          <w:szCs w:val="20"/>
        </w:rPr>
        <w:t xml:space="preserve">(4), 681–708. </w:t>
      </w:r>
      <w:hyperlink r:id="rId10" w:history="1">
        <w:r>
          <w:rPr>
            <w:rStyle w:val="Hyperlink"/>
            <w:rFonts w:ascii="Arial" w:hAnsi="Arial" w:cs="Arial"/>
            <w:sz w:val="20"/>
            <w:szCs w:val="20"/>
          </w:rPr>
          <w:t>https://doi.org/10.2190/4l9m-8k7n-g6ac-wehn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Government of India, Ministry of Health and Family Welfare. (2022). </w:t>
      </w:r>
      <w:r>
        <w:rPr>
          <w:rStyle w:val="Emphasis"/>
          <w:rFonts w:ascii="Arial" w:hAnsi="Arial" w:cs="Arial"/>
          <w:sz w:val="20"/>
          <w:szCs w:val="20"/>
        </w:rPr>
        <w:t>Rural health statistics 2022</w:t>
      </w:r>
      <w:r>
        <w:rPr>
          <w:rFonts w:ascii="Arial" w:hAnsi="Arial" w:cs="Arial"/>
          <w:sz w:val="20"/>
          <w:szCs w:val="20"/>
        </w:rPr>
        <w:t xml:space="preserve">. Government of India. </w:t>
      </w:r>
      <w:hyperlink r:id="rId11" w:history="1">
        <w:r>
          <w:rPr>
            <w:rStyle w:val="Hyperlink"/>
            <w:rFonts w:ascii="Arial" w:hAnsi="Arial" w:cs="Arial"/>
            <w:sz w:val="20"/>
            <w:szCs w:val="20"/>
          </w:rPr>
          <w:t>https://main.mohfw.gov.in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Government of India, Ministry of Statistics and Programme Implementation. (2018). </w:t>
      </w:r>
      <w:r>
        <w:rPr>
          <w:rStyle w:val="Emphasis"/>
          <w:rFonts w:ascii="Arial" w:hAnsi="Arial" w:cs="Arial"/>
          <w:sz w:val="20"/>
          <w:szCs w:val="20"/>
        </w:rPr>
        <w:t>National Sample Survey, 75th round (2017–18)</w:t>
      </w:r>
      <w:r>
        <w:rPr>
          <w:rFonts w:ascii="Arial" w:hAnsi="Arial" w:cs="Arial"/>
          <w:sz w:val="20"/>
          <w:szCs w:val="20"/>
        </w:rPr>
        <w:t xml:space="preserve">. National Statistical Office. </w:t>
      </w:r>
      <w:hyperlink r:id="rId12" w:history="1">
        <w:r>
          <w:rPr>
            <w:rStyle w:val="Hyperlink"/>
            <w:rFonts w:ascii="Arial" w:hAnsi="Arial" w:cs="Arial"/>
            <w:sz w:val="20"/>
            <w:szCs w:val="20"/>
          </w:rPr>
          <w:t>https://mospi.gov.in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Government of Kerala, Department of Health &amp; Family Welfare. (2023). </w:t>
      </w:r>
      <w:r>
        <w:rPr>
          <w:rStyle w:val="Emphasis"/>
          <w:rFonts w:ascii="Arial" w:hAnsi="Arial" w:cs="Arial"/>
          <w:sz w:val="20"/>
          <w:szCs w:val="20"/>
        </w:rPr>
        <w:t>Rural health statistics, Kerala 2023</w:t>
      </w:r>
      <w:r>
        <w:rPr>
          <w:rFonts w:ascii="Arial" w:hAnsi="Arial" w:cs="Arial"/>
          <w:sz w:val="20"/>
          <w:szCs w:val="20"/>
        </w:rPr>
        <w:t>. Government of Kerala.</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Government of Kerala, State Planning Board. (2022). </w:t>
      </w:r>
      <w:r>
        <w:rPr>
          <w:rStyle w:val="Emphasis"/>
          <w:rFonts w:ascii="Arial" w:hAnsi="Arial" w:cs="Arial"/>
          <w:sz w:val="20"/>
          <w:szCs w:val="20"/>
        </w:rPr>
        <w:t>Economic review 2022</w:t>
      </w:r>
      <w:r>
        <w:rPr>
          <w:rFonts w:ascii="Arial" w:hAnsi="Arial" w:cs="Arial"/>
          <w:sz w:val="20"/>
          <w:szCs w:val="20"/>
        </w:rPr>
        <w:t xml:space="preserve">. Government of Kerala. </w:t>
      </w:r>
      <w:hyperlink r:id="rId13" w:history="1">
        <w:r>
          <w:rPr>
            <w:rStyle w:val="Hyperlink"/>
            <w:rFonts w:ascii="Arial" w:hAnsi="Arial" w:cs="Arial"/>
            <w:sz w:val="20"/>
            <w:szCs w:val="20"/>
          </w:rPr>
          <w:t>https://spb.kerala.gov.in</w:t>
        </w:r>
      </w:hyperlink>
      <w:r>
        <w:rPr>
          <w:rFonts w:ascii="Arial" w:hAnsi="Arial" w:cs="Arial"/>
          <w:i/>
          <w:iCs/>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International Institute for Population Sciences (IIPS). (2022). </w:t>
      </w:r>
      <w:r>
        <w:rPr>
          <w:rStyle w:val="Emphasis"/>
          <w:rFonts w:ascii="Arial" w:hAnsi="Arial" w:cs="Arial"/>
          <w:sz w:val="20"/>
          <w:szCs w:val="20"/>
        </w:rPr>
        <w:t xml:space="preserve">Projection of District-Level Annual Population by Quinquennial Age-Group </w:t>
      </w:r>
      <w:proofErr w:type="gramStart"/>
      <w:r>
        <w:rPr>
          <w:rStyle w:val="Emphasis"/>
          <w:rFonts w:ascii="Arial" w:hAnsi="Arial" w:cs="Arial"/>
          <w:sz w:val="20"/>
          <w:szCs w:val="20"/>
        </w:rPr>
        <w:t>And</w:t>
      </w:r>
      <w:proofErr w:type="gramEnd"/>
      <w:r>
        <w:rPr>
          <w:rStyle w:val="Emphasis"/>
          <w:rFonts w:ascii="Arial" w:hAnsi="Arial" w:cs="Arial"/>
          <w:sz w:val="20"/>
          <w:szCs w:val="20"/>
        </w:rPr>
        <w:t xml:space="preserve"> Sex From 2012 To 2031 In India</w:t>
      </w:r>
      <w:r>
        <w:rPr>
          <w:rFonts w:ascii="Arial" w:hAnsi="Arial" w:cs="Arial"/>
          <w:sz w:val="20"/>
          <w:szCs w:val="20"/>
        </w:rPr>
        <w:t xml:space="preserve">. IIPS. </w:t>
      </w:r>
      <w:hyperlink r:id="rId14" w:history="1">
        <w:r>
          <w:rPr>
            <w:rStyle w:val="Hyperlink"/>
            <w:rFonts w:ascii="Arial" w:hAnsi="Arial" w:cs="Arial"/>
            <w:sz w:val="20"/>
            <w:szCs w:val="20"/>
          </w:rPr>
          <w:t>https://iipsindia.ac.in</w:t>
        </w:r>
      </w:hyperlink>
      <w:r>
        <w:rPr>
          <w:rFonts w:ascii="Arial" w:hAnsi="Arial" w:cs="Arial"/>
          <w:i/>
          <w:iCs/>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shd w:val="clear" w:color="auto" w:fill="FFFFFF"/>
        </w:rPr>
        <w:t>Kannan, K. P. (2005). Kerala's turnaround in growth: Role of social development, remittances and reform. </w:t>
      </w:r>
      <w:r>
        <w:rPr>
          <w:rFonts w:ascii="Arial" w:hAnsi="Arial" w:cs="Arial"/>
          <w:i/>
          <w:iCs/>
          <w:sz w:val="20"/>
          <w:szCs w:val="20"/>
          <w:shd w:val="clear" w:color="auto" w:fill="FFFFFF"/>
        </w:rPr>
        <w:t>Economic and Political Weekly</w:t>
      </w:r>
      <w:r>
        <w:rPr>
          <w:rFonts w:ascii="Arial" w:hAnsi="Arial" w:cs="Arial"/>
          <w:sz w:val="20"/>
          <w:szCs w:val="20"/>
          <w:shd w:val="clear" w:color="auto" w:fill="FFFFFF"/>
        </w:rPr>
        <w:t>, 548-554.</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Kerala Digital Health Mission. (2025). </w:t>
      </w:r>
      <w:r>
        <w:rPr>
          <w:rStyle w:val="Emphasis"/>
          <w:rFonts w:ascii="Arial" w:hAnsi="Arial" w:cs="Arial"/>
          <w:sz w:val="20"/>
          <w:szCs w:val="20"/>
        </w:rPr>
        <w:t>eHealth Kerala dashboard</w:t>
      </w:r>
      <w:r>
        <w:rPr>
          <w:rFonts w:ascii="Arial" w:hAnsi="Arial" w:cs="Arial"/>
          <w:sz w:val="20"/>
          <w:szCs w:val="20"/>
        </w:rPr>
        <w:t xml:space="preserve">. Government of Kerala. </w:t>
      </w:r>
      <w:hyperlink r:id="rId15" w:history="1">
        <w:r>
          <w:rPr>
            <w:rStyle w:val="Hyperlink"/>
            <w:rFonts w:ascii="Arial" w:hAnsi="Arial" w:cs="Arial"/>
            <w:sz w:val="20"/>
            <w:szCs w:val="20"/>
          </w:rPr>
          <w:t>https://dashboard.ehealth.kerala.gov.in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Kerala State Planning Board. (2023). </w:t>
      </w:r>
      <w:r>
        <w:rPr>
          <w:rStyle w:val="Emphasis"/>
          <w:rFonts w:ascii="Arial" w:hAnsi="Arial" w:cs="Arial"/>
          <w:sz w:val="20"/>
          <w:szCs w:val="20"/>
        </w:rPr>
        <w:t>Economic review 2023</w:t>
      </w:r>
      <w:r>
        <w:rPr>
          <w:rFonts w:ascii="Arial" w:hAnsi="Arial" w:cs="Arial"/>
          <w:sz w:val="20"/>
          <w:szCs w:val="20"/>
        </w:rPr>
        <w:t xml:space="preserve">. Government of Kerala. </w:t>
      </w:r>
      <w:hyperlink r:id="rId16" w:history="1">
        <w:r>
          <w:rPr>
            <w:rStyle w:val="Hyperlink"/>
            <w:rFonts w:ascii="Arial" w:hAnsi="Arial" w:cs="Arial"/>
            <w:sz w:val="20"/>
            <w:szCs w:val="20"/>
          </w:rPr>
          <w:t>https://spb.kerala.gov.in</w:t>
        </w:r>
      </w:hyperlink>
      <w:r>
        <w:rPr>
          <w:rFonts w:ascii="Arial" w:hAnsi="Arial" w:cs="Arial"/>
          <w:i/>
          <w:iCs/>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proofErr w:type="spellStart"/>
      <w:r>
        <w:rPr>
          <w:rFonts w:ascii="Arial" w:hAnsi="Arial" w:cs="Arial"/>
          <w:sz w:val="20"/>
          <w:szCs w:val="20"/>
        </w:rPr>
        <w:t>Kutty</w:t>
      </w:r>
      <w:proofErr w:type="spellEnd"/>
      <w:r>
        <w:rPr>
          <w:rFonts w:ascii="Arial" w:hAnsi="Arial" w:cs="Arial"/>
          <w:sz w:val="20"/>
          <w:szCs w:val="20"/>
        </w:rPr>
        <w:t xml:space="preserve">, V. R. (2000). Historical analysis of the development of health care facilities in Kerala State, India. </w:t>
      </w:r>
      <w:r>
        <w:rPr>
          <w:rFonts w:ascii="Arial" w:hAnsi="Arial" w:cs="Arial"/>
          <w:i/>
          <w:iCs/>
          <w:sz w:val="20"/>
          <w:szCs w:val="20"/>
        </w:rPr>
        <w:t>Health Policy and Planning</w:t>
      </w:r>
      <w:r>
        <w:rPr>
          <w:rFonts w:ascii="Arial" w:hAnsi="Arial" w:cs="Arial"/>
          <w:sz w:val="20"/>
          <w:szCs w:val="20"/>
        </w:rPr>
        <w:t xml:space="preserve">, </w:t>
      </w:r>
      <w:r>
        <w:rPr>
          <w:rFonts w:ascii="Arial" w:hAnsi="Arial" w:cs="Arial"/>
          <w:i/>
          <w:iCs/>
          <w:sz w:val="20"/>
          <w:szCs w:val="20"/>
        </w:rPr>
        <w:t>15</w:t>
      </w:r>
      <w:r>
        <w:rPr>
          <w:rFonts w:ascii="Arial" w:hAnsi="Arial" w:cs="Arial"/>
          <w:sz w:val="20"/>
          <w:szCs w:val="20"/>
        </w:rPr>
        <w:t xml:space="preserve">(1), 103–109. </w:t>
      </w:r>
      <w:hyperlink r:id="rId17" w:history="1">
        <w:r>
          <w:rPr>
            <w:rStyle w:val="Hyperlink"/>
            <w:rFonts w:ascii="Arial" w:hAnsi="Arial" w:cs="Arial"/>
            <w:sz w:val="20"/>
            <w:szCs w:val="20"/>
          </w:rPr>
          <w:t>https://doi.org/10.1093/heapol/15.1.103</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i/>
          <w:iCs/>
          <w:sz w:val="20"/>
          <w:szCs w:val="20"/>
        </w:rPr>
        <w:t xml:space="preserve"> </w:t>
      </w:r>
      <w:r>
        <w:rPr>
          <w:rFonts w:ascii="Arial" w:hAnsi="Arial" w:cs="Arial"/>
          <w:sz w:val="20"/>
          <w:szCs w:val="20"/>
        </w:rPr>
        <w:t xml:space="preserve">National Health Mission. (2021). </w:t>
      </w:r>
      <w:r>
        <w:rPr>
          <w:rStyle w:val="Emphasis"/>
          <w:rFonts w:ascii="Arial" w:hAnsi="Arial" w:cs="Arial"/>
          <w:sz w:val="20"/>
          <w:szCs w:val="20"/>
        </w:rPr>
        <w:t>National Health Mission annual report 2020–21</w:t>
      </w:r>
      <w:r>
        <w:rPr>
          <w:rFonts w:ascii="Arial" w:hAnsi="Arial" w:cs="Arial"/>
          <w:sz w:val="20"/>
          <w:szCs w:val="20"/>
        </w:rPr>
        <w:t xml:space="preserve">. Ministry of Health and Family Welfare, Government of India. </w:t>
      </w:r>
      <w:hyperlink r:id="rId18" w:history="1">
        <w:r>
          <w:rPr>
            <w:rStyle w:val="Hyperlink"/>
            <w:rFonts w:ascii="Arial" w:hAnsi="Arial" w:cs="Arial"/>
            <w:sz w:val="20"/>
            <w:szCs w:val="20"/>
          </w:rPr>
          <w:t>https://nhm.gov.in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rPr>
        <w:t xml:space="preserve">NITI Aayog. (2021). </w:t>
      </w:r>
      <w:r>
        <w:rPr>
          <w:rStyle w:val="Emphasis"/>
          <w:rFonts w:ascii="Arial" w:hAnsi="Arial" w:cs="Arial"/>
          <w:sz w:val="20"/>
          <w:szCs w:val="20"/>
        </w:rPr>
        <w:t>Health systems for a new India: Building blocks—Potential pathways to reform</w:t>
      </w:r>
      <w:r>
        <w:rPr>
          <w:rFonts w:ascii="Arial" w:hAnsi="Arial" w:cs="Arial"/>
          <w:sz w:val="20"/>
          <w:szCs w:val="20"/>
        </w:rPr>
        <w:t xml:space="preserve">. Government of India. </w:t>
      </w:r>
      <w:hyperlink r:id="rId19" w:history="1">
        <w:r>
          <w:rPr>
            <w:rStyle w:val="Hyperlink"/>
            <w:rFonts w:ascii="Arial" w:hAnsi="Arial" w:cs="Arial"/>
            <w:sz w:val="20"/>
            <w:szCs w:val="20"/>
          </w:rPr>
          <w:t>https://www.niti.gov.in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OECD. (2020). </w:t>
      </w:r>
      <w:r>
        <w:rPr>
          <w:rStyle w:val="Emphasis"/>
          <w:rFonts w:ascii="Arial" w:hAnsi="Arial" w:cs="Arial"/>
          <w:sz w:val="20"/>
          <w:szCs w:val="20"/>
        </w:rPr>
        <w:t>OECD Health Statistics 2020</w:t>
      </w:r>
      <w:r>
        <w:rPr>
          <w:rFonts w:ascii="Arial" w:hAnsi="Arial" w:cs="Arial"/>
          <w:sz w:val="20"/>
          <w:szCs w:val="20"/>
        </w:rPr>
        <w:t xml:space="preserve">. OECD. </w:t>
      </w:r>
      <w:hyperlink r:id="rId20" w:history="1">
        <w:r>
          <w:rPr>
            <w:rStyle w:val="Hyperlink"/>
            <w:rFonts w:ascii="Arial" w:hAnsi="Arial" w:cs="Arial"/>
            <w:sz w:val="20"/>
            <w:szCs w:val="20"/>
          </w:rPr>
          <w:t>https://www.oecd.org/health/health-data.htm</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Office of the Registrar General &amp; Census Commissioner, India. (2011). </w:t>
      </w:r>
      <w:r>
        <w:rPr>
          <w:rStyle w:val="Emphasis"/>
          <w:rFonts w:ascii="Arial" w:hAnsi="Arial" w:cs="Arial"/>
          <w:sz w:val="20"/>
          <w:szCs w:val="20"/>
        </w:rPr>
        <w:t>Census of India 2011: Provisional population totals</w:t>
      </w:r>
      <w:r>
        <w:rPr>
          <w:rFonts w:ascii="Arial" w:hAnsi="Arial" w:cs="Arial"/>
          <w:sz w:val="20"/>
          <w:szCs w:val="20"/>
        </w:rPr>
        <w:t xml:space="preserve">. Government of India. </w:t>
      </w:r>
      <w:hyperlink r:id="rId21" w:history="1">
        <w:r>
          <w:rPr>
            <w:rStyle w:val="Hyperlink"/>
            <w:rFonts w:ascii="Arial" w:hAnsi="Arial" w:cs="Arial"/>
            <w:sz w:val="20"/>
            <w:szCs w:val="20"/>
          </w:rPr>
          <w:t>https://censusindia.gov.in</w:t>
        </w:r>
      </w:hyperlink>
      <w:r>
        <w:rPr>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proofErr w:type="spellStart"/>
      <w:r>
        <w:rPr>
          <w:rFonts w:ascii="Arial" w:hAnsi="Arial" w:cs="Arial"/>
          <w:sz w:val="20"/>
          <w:szCs w:val="20"/>
          <w:shd w:val="clear" w:color="auto" w:fill="FFFFFF"/>
        </w:rPr>
        <w:t>Oommen</w:t>
      </w:r>
      <w:proofErr w:type="spellEnd"/>
      <w:r>
        <w:rPr>
          <w:rFonts w:ascii="Arial" w:hAnsi="Arial" w:cs="Arial"/>
          <w:sz w:val="20"/>
          <w:szCs w:val="20"/>
          <w:shd w:val="clear" w:color="auto" w:fill="FFFFFF"/>
        </w:rPr>
        <w:t>, M. A. (1993). </w:t>
      </w:r>
      <w:r>
        <w:rPr>
          <w:rFonts w:ascii="Arial" w:hAnsi="Arial" w:cs="Arial"/>
          <w:i/>
          <w:iCs/>
          <w:sz w:val="20"/>
          <w:szCs w:val="20"/>
          <w:shd w:val="clear" w:color="auto" w:fill="FFFFFF"/>
        </w:rPr>
        <w:t>Essays on Kerala economy</w:t>
      </w:r>
      <w:r>
        <w:rPr>
          <w:rFonts w:ascii="Arial" w:hAnsi="Arial" w:cs="Arial"/>
          <w:sz w:val="20"/>
          <w:szCs w:val="20"/>
          <w:shd w:val="clear" w:color="auto" w:fill="FFFFFF"/>
        </w:rPr>
        <w:t>. Oxford &amp; IBH Publishing Company.</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proofErr w:type="spellStart"/>
      <w:r>
        <w:rPr>
          <w:rFonts w:ascii="Arial" w:hAnsi="Arial" w:cs="Arial"/>
          <w:sz w:val="20"/>
          <w:szCs w:val="20"/>
          <w:shd w:val="clear" w:color="auto" w:fill="FFFFFF"/>
        </w:rPr>
        <w:t>Oommen</w:t>
      </w:r>
      <w:proofErr w:type="spellEnd"/>
      <w:r>
        <w:rPr>
          <w:rFonts w:ascii="Arial" w:hAnsi="Arial" w:cs="Arial"/>
          <w:sz w:val="20"/>
          <w:szCs w:val="20"/>
          <w:shd w:val="clear" w:color="auto" w:fill="FFFFFF"/>
        </w:rPr>
        <w:t>, M. A. (2014). Growth, inequality and well-being: revisiting fifty years of Kerala’s development trajectory. </w:t>
      </w:r>
      <w:r>
        <w:rPr>
          <w:rFonts w:ascii="Arial" w:hAnsi="Arial" w:cs="Arial"/>
          <w:i/>
          <w:iCs/>
          <w:sz w:val="20"/>
          <w:szCs w:val="20"/>
          <w:shd w:val="clear" w:color="auto" w:fill="FFFFFF"/>
        </w:rPr>
        <w:t>Journal of South Asian Development</w:t>
      </w:r>
      <w:r>
        <w:rPr>
          <w:rFonts w:ascii="Arial" w:hAnsi="Arial" w:cs="Arial"/>
          <w:sz w:val="20"/>
          <w:szCs w:val="20"/>
          <w:shd w:val="clear" w:color="auto" w:fill="FFFFFF"/>
        </w:rPr>
        <w:t>, </w:t>
      </w:r>
      <w:r>
        <w:rPr>
          <w:rFonts w:ascii="Arial" w:hAnsi="Arial" w:cs="Arial"/>
          <w:i/>
          <w:iCs/>
          <w:sz w:val="20"/>
          <w:szCs w:val="20"/>
          <w:shd w:val="clear" w:color="auto" w:fill="FFFFFF"/>
        </w:rPr>
        <w:t>9</w:t>
      </w:r>
      <w:r>
        <w:rPr>
          <w:rFonts w:ascii="Arial" w:hAnsi="Arial" w:cs="Arial"/>
          <w:sz w:val="20"/>
          <w:szCs w:val="20"/>
          <w:shd w:val="clear" w:color="auto" w:fill="FFFFFF"/>
        </w:rPr>
        <w:t>(2), 173-205.</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Pandian, J., Suresh, S., </w:t>
      </w:r>
      <w:proofErr w:type="spellStart"/>
      <w:r>
        <w:rPr>
          <w:rFonts w:ascii="Arial" w:hAnsi="Arial" w:cs="Arial"/>
          <w:sz w:val="20"/>
          <w:szCs w:val="20"/>
        </w:rPr>
        <w:t>Desikachari</w:t>
      </w:r>
      <w:proofErr w:type="spellEnd"/>
      <w:r>
        <w:rPr>
          <w:rFonts w:ascii="Arial" w:hAnsi="Arial" w:cs="Arial"/>
          <w:sz w:val="20"/>
          <w:szCs w:val="20"/>
        </w:rPr>
        <w:t xml:space="preserve">, B., &amp; </w:t>
      </w:r>
      <w:proofErr w:type="spellStart"/>
      <w:r>
        <w:rPr>
          <w:rFonts w:ascii="Arial" w:hAnsi="Arial" w:cs="Arial"/>
          <w:sz w:val="20"/>
          <w:szCs w:val="20"/>
        </w:rPr>
        <w:t>Padmanaban</w:t>
      </w:r>
      <w:proofErr w:type="spellEnd"/>
      <w:r>
        <w:rPr>
          <w:rFonts w:ascii="Arial" w:hAnsi="Arial" w:cs="Arial"/>
          <w:sz w:val="20"/>
          <w:szCs w:val="20"/>
        </w:rPr>
        <w:t xml:space="preserve">, P. (2013). Increased utilization of primary health care centers for birthing care in Tamil Nadu, India: A visible impact of policies, initiatives, and innovations. </w:t>
      </w:r>
      <w:r>
        <w:rPr>
          <w:rFonts w:ascii="Arial" w:hAnsi="Arial" w:cs="Arial"/>
          <w:i/>
          <w:iCs/>
          <w:sz w:val="20"/>
          <w:szCs w:val="20"/>
        </w:rPr>
        <w:t>Journal of Family Medicine and Primary Care</w:t>
      </w:r>
      <w:r>
        <w:rPr>
          <w:rFonts w:ascii="Arial" w:hAnsi="Arial" w:cs="Arial"/>
          <w:sz w:val="20"/>
          <w:szCs w:val="20"/>
        </w:rPr>
        <w:t xml:space="preserve">, </w:t>
      </w:r>
      <w:r>
        <w:rPr>
          <w:rFonts w:ascii="Arial" w:hAnsi="Arial" w:cs="Arial"/>
          <w:i/>
          <w:iCs/>
          <w:sz w:val="20"/>
          <w:szCs w:val="20"/>
        </w:rPr>
        <w:t>2</w:t>
      </w:r>
      <w:r>
        <w:rPr>
          <w:rFonts w:ascii="Arial" w:hAnsi="Arial" w:cs="Arial"/>
          <w:sz w:val="20"/>
          <w:szCs w:val="20"/>
        </w:rPr>
        <w:t xml:space="preserve">(4), 329. </w:t>
      </w:r>
      <w:hyperlink r:id="rId22" w:history="1">
        <w:r>
          <w:rPr>
            <w:rStyle w:val="Hyperlink"/>
            <w:rFonts w:ascii="Arial" w:hAnsi="Arial" w:cs="Arial"/>
            <w:sz w:val="20"/>
            <w:szCs w:val="20"/>
          </w:rPr>
          <w:t>https://doi.org/10.4103/2249-4863.123781</w:t>
        </w:r>
      </w:hyperlink>
      <w:r>
        <w:rPr>
          <w:rStyle w:val="url"/>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Sankar, H., Joseph, J., Negi, J., Nair, A. B., &amp; Nambiar, D. (2023). Monitoring the Family Health Centres in Kerala, India: Findings from a facility survey. </w:t>
      </w:r>
      <w:r>
        <w:rPr>
          <w:rFonts w:ascii="Arial" w:hAnsi="Arial" w:cs="Arial"/>
          <w:i/>
          <w:iCs/>
          <w:sz w:val="20"/>
          <w:szCs w:val="20"/>
        </w:rPr>
        <w:t>Journal of Family Medicine and Primary Care</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 xml:space="preserve">(12), 3098–3107. </w:t>
      </w:r>
      <w:hyperlink r:id="rId23" w:history="1">
        <w:r>
          <w:rPr>
            <w:rStyle w:val="Hyperlink"/>
            <w:rFonts w:ascii="Arial" w:hAnsi="Arial" w:cs="Arial"/>
            <w:sz w:val="20"/>
            <w:szCs w:val="20"/>
          </w:rPr>
          <w:t>https://doi.org/10.4103/jfmpc.jfmpc_81_23</w:t>
        </w:r>
      </w:hyperlink>
      <w:r>
        <w:rPr>
          <w:rStyle w:val="url"/>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Sapkota, S., </w:t>
      </w:r>
      <w:proofErr w:type="spellStart"/>
      <w:r>
        <w:rPr>
          <w:rFonts w:ascii="Arial" w:hAnsi="Arial" w:cs="Arial"/>
          <w:sz w:val="20"/>
          <w:szCs w:val="20"/>
        </w:rPr>
        <w:t>Dhakal</w:t>
      </w:r>
      <w:proofErr w:type="spellEnd"/>
      <w:r>
        <w:rPr>
          <w:rFonts w:ascii="Arial" w:hAnsi="Arial" w:cs="Arial"/>
          <w:sz w:val="20"/>
          <w:szCs w:val="20"/>
        </w:rPr>
        <w:t xml:space="preserve">, A., Rushton, S., Van </w:t>
      </w:r>
      <w:proofErr w:type="spellStart"/>
      <w:r>
        <w:rPr>
          <w:rFonts w:ascii="Arial" w:hAnsi="Arial" w:cs="Arial"/>
          <w:sz w:val="20"/>
          <w:szCs w:val="20"/>
        </w:rPr>
        <w:t>Teijlingen</w:t>
      </w:r>
      <w:proofErr w:type="spellEnd"/>
      <w:r>
        <w:rPr>
          <w:rFonts w:ascii="Arial" w:hAnsi="Arial" w:cs="Arial"/>
          <w:sz w:val="20"/>
          <w:szCs w:val="20"/>
        </w:rPr>
        <w:t xml:space="preserve">, E., </w:t>
      </w:r>
      <w:proofErr w:type="spellStart"/>
      <w:r>
        <w:rPr>
          <w:rFonts w:ascii="Arial" w:hAnsi="Arial" w:cs="Arial"/>
          <w:sz w:val="20"/>
          <w:szCs w:val="20"/>
        </w:rPr>
        <w:t>Marahatta</w:t>
      </w:r>
      <w:proofErr w:type="spellEnd"/>
      <w:r>
        <w:rPr>
          <w:rFonts w:ascii="Arial" w:hAnsi="Arial" w:cs="Arial"/>
          <w:sz w:val="20"/>
          <w:szCs w:val="20"/>
        </w:rPr>
        <w:t xml:space="preserve">, S. B., </w:t>
      </w:r>
      <w:proofErr w:type="spellStart"/>
      <w:r>
        <w:rPr>
          <w:rFonts w:ascii="Arial" w:hAnsi="Arial" w:cs="Arial"/>
          <w:sz w:val="20"/>
          <w:szCs w:val="20"/>
        </w:rPr>
        <w:t>Balen</w:t>
      </w:r>
      <w:proofErr w:type="spellEnd"/>
      <w:r>
        <w:rPr>
          <w:rFonts w:ascii="Arial" w:hAnsi="Arial" w:cs="Arial"/>
          <w:sz w:val="20"/>
          <w:szCs w:val="20"/>
        </w:rPr>
        <w:t xml:space="preserve">, J., &amp; Lee, A. C. (2023). The impact of </w:t>
      </w:r>
      <w:proofErr w:type="spellStart"/>
      <w:r>
        <w:rPr>
          <w:rFonts w:ascii="Arial" w:hAnsi="Arial" w:cs="Arial"/>
          <w:sz w:val="20"/>
          <w:szCs w:val="20"/>
        </w:rPr>
        <w:t>decentralisation</w:t>
      </w:r>
      <w:proofErr w:type="spellEnd"/>
      <w:r>
        <w:rPr>
          <w:rFonts w:ascii="Arial" w:hAnsi="Arial" w:cs="Arial"/>
          <w:sz w:val="20"/>
          <w:szCs w:val="20"/>
        </w:rPr>
        <w:t xml:space="preserve"> on health systems: a systematic review of reviews. </w:t>
      </w:r>
      <w:r>
        <w:rPr>
          <w:rFonts w:ascii="Arial" w:hAnsi="Arial" w:cs="Arial"/>
          <w:i/>
          <w:iCs/>
          <w:sz w:val="20"/>
          <w:szCs w:val="20"/>
        </w:rPr>
        <w:t>BMJ Global Health</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 xml:space="preserve">(12), e013317. </w:t>
      </w:r>
      <w:hyperlink r:id="rId24" w:history="1">
        <w:r>
          <w:rPr>
            <w:rStyle w:val="Hyperlink"/>
            <w:rFonts w:ascii="Arial" w:hAnsi="Arial" w:cs="Arial"/>
            <w:sz w:val="20"/>
            <w:szCs w:val="20"/>
          </w:rPr>
          <w:t>https://doi.org/10.1136/bmjgh-2023-013317</w:t>
        </w:r>
      </w:hyperlink>
      <w:r>
        <w:rPr>
          <w:rStyle w:val="url"/>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shd w:val="clear" w:color="auto" w:fill="FFFFFF"/>
        </w:rPr>
        <w:t>Sen, A. K. (1997). Human capital and human capability. </w:t>
      </w:r>
      <w:r>
        <w:rPr>
          <w:rFonts w:ascii="Arial" w:hAnsi="Arial" w:cs="Arial"/>
          <w:i/>
          <w:iCs/>
          <w:sz w:val="20"/>
          <w:szCs w:val="20"/>
          <w:shd w:val="clear" w:color="auto" w:fill="FFFFFF"/>
        </w:rPr>
        <w:t>World development</w:t>
      </w:r>
      <w:r>
        <w:rPr>
          <w:rFonts w:ascii="Arial" w:hAnsi="Arial" w:cs="Arial"/>
          <w:sz w:val="20"/>
          <w:szCs w:val="20"/>
          <w:shd w:val="clear" w:color="auto" w:fill="FFFFFF"/>
        </w:rPr>
        <w:t>, </w:t>
      </w:r>
      <w:r>
        <w:rPr>
          <w:rFonts w:ascii="Arial" w:hAnsi="Arial" w:cs="Arial"/>
          <w:i/>
          <w:iCs/>
          <w:sz w:val="20"/>
          <w:szCs w:val="20"/>
          <w:shd w:val="clear" w:color="auto" w:fill="FFFFFF"/>
        </w:rPr>
        <w:t>25</w:t>
      </w:r>
      <w:r>
        <w:rPr>
          <w:rFonts w:ascii="Arial" w:hAnsi="Arial" w:cs="Arial"/>
          <w:sz w:val="20"/>
          <w:szCs w:val="20"/>
          <w:shd w:val="clear" w:color="auto" w:fill="FFFFFF"/>
        </w:rPr>
        <w:t>(12), 1959-1961.</w:t>
      </w:r>
    </w:p>
    <w:p w:rsidR="00037BD0" w:rsidRDefault="00037BD0" w:rsidP="00037BD0">
      <w:pPr>
        <w:pStyle w:val="NormalWeb"/>
        <w:spacing w:before="0" w:beforeAutospacing="0" w:after="0" w:afterAutospacing="0"/>
        <w:ind w:left="426" w:hanging="425"/>
        <w:jc w:val="both"/>
        <w:rPr>
          <w:rFonts w:ascii="Arial" w:hAnsi="Arial" w:cs="Arial"/>
          <w:i/>
          <w:iCs/>
          <w:sz w:val="20"/>
          <w:szCs w:val="20"/>
        </w:rPr>
      </w:pPr>
      <w:r>
        <w:rPr>
          <w:rFonts w:ascii="Arial" w:hAnsi="Arial" w:cs="Arial"/>
          <w:sz w:val="20"/>
          <w:szCs w:val="20"/>
          <w:shd w:val="clear" w:color="auto" w:fill="FFFFFF"/>
        </w:rPr>
        <w:t>Shabeer, K. P., &amp; Krishnan, C. (2017). Health Status of Tribal communities in Kerala. </w:t>
      </w:r>
      <w:r>
        <w:rPr>
          <w:rFonts w:ascii="Arial" w:hAnsi="Arial" w:cs="Arial"/>
          <w:i/>
          <w:iCs/>
          <w:sz w:val="20"/>
          <w:szCs w:val="20"/>
          <w:shd w:val="clear" w:color="auto" w:fill="FFFFFF"/>
        </w:rPr>
        <w:t>International Journal of Research in Economics and Social Science, 7 (6), 6</w:t>
      </w:r>
      <w:r>
        <w:rPr>
          <w:rFonts w:ascii="Arial" w:hAnsi="Arial" w:cs="Arial"/>
          <w:sz w:val="20"/>
          <w:szCs w:val="20"/>
          <w:shd w:val="clear" w:color="auto" w:fill="FFFFFF"/>
        </w:rPr>
        <w:t>, </w:t>
      </w:r>
      <w:r>
        <w:rPr>
          <w:rFonts w:ascii="Arial" w:hAnsi="Arial" w:cs="Arial"/>
          <w:i/>
          <w:iCs/>
          <w:sz w:val="20"/>
          <w:szCs w:val="20"/>
          <w:shd w:val="clear" w:color="auto" w:fill="FFFFFF"/>
        </w:rPr>
        <w:t>17</w:t>
      </w:r>
      <w:r>
        <w:rPr>
          <w:rFonts w:ascii="Arial" w:hAnsi="Arial" w:cs="Arial"/>
          <w:sz w:val="20"/>
          <w:szCs w:val="20"/>
          <w:shd w:val="clear" w:color="auto" w:fill="FFFFFF"/>
        </w:rPr>
        <w:t>.</w:t>
      </w:r>
    </w:p>
    <w:p w:rsidR="00037BD0" w:rsidRDefault="00037BD0" w:rsidP="00037BD0">
      <w:pPr>
        <w:pStyle w:val="NormalWeb"/>
        <w:spacing w:before="0" w:beforeAutospacing="0" w:after="0" w:afterAutospacing="0"/>
        <w:ind w:left="426" w:hanging="425"/>
        <w:jc w:val="both"/>
        <w:rPr>
          <w:rFonts w:ascii="Arial" w:hAnsi="Arial" w:cs="Arial"/>
          <w:sz w:val="20"/>
          <w:szCs w:val="20"/>
        </w:rPr>
      </w:pPr>
      <w:r>
        <w:rPr>
          <w:rFonts w:ascii="Arial" w:hAnsi="Arial" w:cs="Arial"/>
          <w:sz w:val="20"/>
          <w:szCs w:val="20"/>
        </w:rPr>
        <w:t xml:space="preserve">Tao, Y., Henry, K., Zou, Q., &amp; Zhong, X. (2014). Methods for measuring horizontal equity in health resource allocation: a comparative study. </w:t>
      </w:r>
      <w:r>
        <w:rPr>
          <w:rFonts w:ascii="Arial" w:hAnsi="Arial" w:cs="Arial"/>
          <w:i/>
          <w:iCs/>
          <w:sz w:val="20"/>
          <w:szCs w:val="20"/>
        </w:rPr>
        <w:t>Health Economics Review</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xml:space="preserve">(1). </w:t>
      </w:r>
      <w:hyperlink r:id="rId25" w:history="1">
        <w:r>
          <w:rPr>
            <w:rStyle w:val="Hyperlink"/>
            <w:rFonts w:ascii="Arial" w:hAnsi="Arial" w:cs="Arial"/>
            <w:sz w:val="20"/>
            <w:szCs w:val="20"/>
          </w:rPr>
          <w:t>https://doi.org/10.1186/s13561-014-0010-x</w:t>
        </w:r>
      </w:hyperlink>
      <w:r>
        <w:rPr>
          <w:rStyle w:val="url"/>
          <w:rFonts w:ascii="Arial" w:hAnsi="Arial" w:cs="Arial"/>
          <w:sz w:val="20"/>
          <w:szCs w:val="20"/>
        </w:rPr>
        <w:t xml:space="preserve">  </w:t>
      </w:r>
    </w:p>
    <w:p w:rsidR="00037BD0" w:rsidRDefault="00037BD0" w:rsidP="00037BD0">
      <w:pPr>
        <w:pStyle w:val="NormalWeb"/>
        <w:spacing w:before="0" w:beforeAutospacing="0" w:after="0" w:afterAutospacing="0"/>
        <w:ind w:left="426" w:hanging="425"/>
        <w:jc w:val="both"/>
        <w:rPr>
          <w:rFonts w:ascii="Arial" w:hAnsi="Arial" w:cs="Arial"/>
          <w:sz w:val="20"/>
          <w:szCs w:val="20"/>
        </w:rPr>
      </w:pPr>
      <w:proofErr w:type="spellStart"/>
      <w:r>
        <w:rPr>
          <w:rFonts w:ascii="Arial" w:hAnsi="Arial" w:cs="Arial"/>
          <w:sz w:val="20"/>
          <w:szCs w:val="20"/>
          <w:shd w:val="clear" w:color="auto" w:fill="FFFFFF"/>
        </w:rPr>
        <w:lastRenderedPageBreak/>
        <w:t>Travassos</w:t>
      </w:r>
      <w:proofErr w:type="spellEnd"/>
      <w:r>
        <w:rPr>
          <w:rFonts w:ascii="Arial" w:hAnsi="Arial" w:cs="Arial"/>
          <w:sz w:val="20"/>
          <w:szCs w:val="20"/>
          <w:shd w:val="clear" w:color="auto" w:fill="FFFFFF"/>
        </w:rPr>
        <w:t xml:space="preserve">, C., </w:t>
      </w:r>
      <w:proofErr w:type="spellStart"/>
      <w:r>
        <w:rPr>
          <w:rFonts w:ascii="Arial" w:hAnsi="Arial" w:cs="Arial"/>
          <w:sz w:val="20"/>
          <w:szCs w:val="20"/>
          <w:shd w:val="clear" w:color="auto" w:fill="FFFFFF"/>
        </w:rPr>
        <w:t>Viacava</w:t>
      </w:r>
      <w:proofErr w:type="spellEnd"/>
      <w:r>
        <w:rPr>
          <w:rFonts w:ascii="Arial" w:hAnsi="Arial" w:cs="Arial"/>
          <w:sz w:val="20"/>
          <w:szCs w:val="20"/>
          <w:shd w:val="clear" w:color="auto" w:fill="FFFFFF"/>
        </w:rPr>
        <w:t>, F., Pinheiro, R., &amp; Brito, A. (2002). Utilization of health care services in Brazil: gender, family characteristics, and social status. </w:t>
      </w:r>
      <w:proofErr w:type="spellStart"/>
      <w:r>
        <w:rPr>
          <w:rFonts w:ascii="Arial" w:hAnsi="Arial" w:cs="Arial"/>
          <w:i/>
          <w:iCs/>
          <w:sz w:val="20"/>
          <w:szCs w:val="20"/>
          <w:shd w:val="clear" w:color="auto" w:fill="FFFFFF"/>
        </w:rPr>
        <w:t>Revista</w:t>
      </w:r>
      <w:proofErr w:type="spellEnd"/>
      <w:r>
        <w:rPr>
          <w:rFonts w:ascii="Arial" w:hAnsi="Arial" w:cs="Arial"/>
          <w:i/>
          <w:iCs/>
          <w:sz w:val="20"/>
          <w:szCs w:val="20"/>
          <w:shd w:val="clear" w:color="auto" w:fill="FFFFFF"/>
        </w:rPr>
        <w:t xml:space="preserve"> </w:t>
      </w:r>
      <w:proofErr w:type="spellStart"/>
      <w:r>
        <w:rPr>
          <w:rFonts w:ascii="Arial" w:hAnsi="Arial" w:cs="Arial"/>
          <w:i/>
          <w:iCs/>
          <w:sz w:val="20"/>
          <w:szCs w:val="20"/>
          <w:shd w:val="clear" w:color="auto" w:fill="FFFFFF"/>
        </w:rPr>
        <w:t>panamericana</w:t>
      </w:r>
      <w:proofErr w:type="spellEnd"/>
      <w:r>
        <w:rPr>
          <w:rFonts w:ascii="Arial" w:hAnsi="Arial" w:cs="Arial"/>
          <w:i/>
          <w:iCs/>
          <w:sz w:val="20"/>
          <w:szCs w:val="20"/>
          <w:shd w:val="clear" w:color="auto" w:fill="FFFFFF"/>
        </w:rPr>
        <w:t xml:space="preserve"> de </w:t>
      </w:r>
      <w:proofErr w:type="spellStart"/>
      <w:r>
        <w:rPr>
          <w:rFonts w:ascii="Arial" w:hAnsi="Arial" w:cs="Arial"/>
          <w:i/>
          <w:iCs/>
          <w:sz w:val="20"/>
          <w:szCs w:val="20"/>
          <w:shd w:val="clear" w:color="auto" w:fill="FFFFFF"/>
        </w:rPr>
        <w:t>salud</w:t>
      </w:r>
      <w:proofErr w:type="spellEnd"/>
      <w:r>
        <w:rPr>
          <w:rFonts w:ascii="Arial" w:hAnsi="Arial" w:cs="Arial"/>
          <w:i/>
          <w:iCs/>
          <w:sz w:val="20"/>
          <w:szCs w:val="20"/>
          <w:shd w:val="clear" w:color="auto" w:fill="FFFFFF"/>
        </w:rPr>
        <w:t xml:space="preserve"> publica= Pan American journal of public health</w:t>
      </w:r>
      <w:r>
        <w:rPr>
          <w:rFonts w:ascii="Arial" w:hAnsi="Arial" w:cs="Arial"/>
          <w:sz w:val="20"/>
          <w:szCs w:val="20"/>
          <w:shd w:val="clear" w:color="auto" w:fill="FFFFFF"/>
        </w:rPr>
        <w:t>, </w:t>
      </w:r>
      <w:r>
        <w:rPr>
          <w:rFonts w:ascii="Arial" w:hAnsi="Arial" w:cs="Arial"/>
          <w:i/>
          <w:iCs/>
          <w:sz w:val="20"/>
          <w:szCs w:val="20"/>
          <w:shd w:val="clear" w:color="auto" w:fill="FFFFFF"/>
        </w:rPr>
        <w:t>11</w:t>
      </w:r>
      <w:r>
        <w:rPr>
          <w:rFonts w:ascii="Arial" w:hAnsi="Arial" w:cs="Arial"/>
          <w:sz w:val="20"/>
          <w:szCs w:val="20"/>
          <w:shd w:val="clear" w:color="auto" w:fill="FFFFFF"/>
        </w:rPr>
        <w:t>(5-6), 365-373.</w:t>
      </w:r>
    </w:p>
    <w:p w:rsidR="00037BD0" w:rsidRDefault="00037BD0" w:rsidP="00037BD0">
      <w:pPr>
        <w:pStyle w:val="NormalWeb"/>
        <w:spacing w:before="0" w:beforeAutospacing="0" w:after="0" w:afterAutospacing="0"/>
        <w:ind w:left="426" w:hanging="425"/>
        <w:jc w:val="both"/>
        <w:rPr>
          <w:rStyle w:val="url"/>
        </w:rPr>
      </w:pPr>
      <w:r>
        <w:rPr>
          <w:rFonts w:ascii="Arial" w:hAnsi="Arial" w:cs="Arial"/>
          <w:sz w:val="20"/>
          <w:szCs w:val="20"/>
        </w:rPr>
        <w:t xml:space="preserve">World Health Organization: WHO. (2021, July 7). </w:t>
      </w:r>
      <w:r>
        <w:rPr>
          <w:rFonts w:ascii="Arial" w:hAnsi="Arial" w:cs="Arial"/>
          <w:i/>
          <w:iCs/>
          <w:sz w:val="20"/>
          <w:szCs w:val="20"/>
        </w:rPr>
        <w:t>Health equity</w:t>
      </w:r>
      <w:r>
        <w:rPr>
          <w:rFonts w:ascii="Arial" w:hAnsi="Arial" w:cs="Arial"/>
          <w:sz w:val="20"/>
          <w:szCs w:val="20"/>
        </w:rPr>
        <w:t xml:space="preserve">. </w:t>
      </w:r>
      <w:hyperlink r:id="rId26" w:anchor="tab=tab_1" w:history="1">
        <w:r>
          <w:rPr>
            <w:rStyle w:val="Hyperlink"/>
            <w:rFonts w:ascii="Arial" w:hAnsi="Arial" w:cs="Arial"/>
            <w:sz w:val="20"/>
            <w:szCs w:val="20"/>
          </w:rPr>
          <w:t>https://www.who.int/health-topics/health-equity#tab=tab_1</w:t>
        </w:r>
      </w:hyperlink>
      <w:r>
        <w:rPr>
          <w:rStyle w:val="url"/>
          <w:rFonts w:ascii="Arial" w:hAnsi="Arial" w:cs="Arial"/>
          <w:sz w:val="20"/>
          <w:szCs w:val="20"/>
        </w:rPr>
        <w:t xml:space="preserve"> </w:t>
      </w:r>
    </w:p>
    <w:p w:rsidR="002D22EB" w:rsidRPr="003A16CC" w:rsidRDefault="002D22EB" w:rsidP="00872D5C">
      <w:pPr>
        <w:pStyle w:val="NormalWeb"/>
        <w:spacing w:before="0" w:beforeAutospacing="0" w:after="0" w:afterAutospacing="0"/>
        <w:jc w:val="both"/>
        <w:rPr>
          <w:rStyle w:val="url"/>
          <w:rFonts w:ascii="Arial" w:hAnsi="Arial" w:cs="Arial"/>
          <w:sz w:val="20"/>
          <w:szCs w:val="20"/>
        </w:rPr>
      </w:pPr>
    </w:p>
    <w:sectPr w:rsidR="002D22EB" w:rsidRPr="003A16CC">
      <w:headerReference w:type="even" r:id="rId27"/>
      <w:head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020" w:rsidRDefault="003F6020">
      <w:pPr>
        <w:spacing w:after="0" w:line="240" w:lineRule="auto"/>
      </w:pPr>
      <w:r>
        <w:separator/>
      </w:r>
    </w:p>
  </w:endnote>
  <w:endnote w:type="continuationSeparator" w:id="0">
    <w:p w:rsidR="003F6020" w:rsidRDefault="003F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796" w:rsidRDefault="0020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020" w:rsidRDefault="003F6020">
      <w:pPr>
        <w:spacing w:after="0" w:line="240" w:lineRule="auto"/>
      </w:pPr>
      <w:r>
        <w:separator/>
      </w:r>
    </w:p>
  </w:footnote>
  <w:footnote w:type="continuationSeparator" w:id="0">
    <w:p w:rsidR="003F6020" w:rsidRDefault="003F6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796" w:rsidRDefault="003F60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1" o:spid="_x0000_s3073"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796" w:rsidRDefault="003F60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2" o:spid="_x0000_s3074"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796" w:rsidRDefault="003F60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8238640" o:spid="_x0000_s307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866"/>
    <w:multiLevelType w:val="multilevel"/>
    <w:tmpl w:val="B2FAA54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13371"/>
    <w:multiLevelType w:val="multilevel"/>
    <w:tmpl w:val="5408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D5466"/>
    <w:multiLevelType w:val="multilevel"/>
    <w:tmpl w:val="4664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7713A"/>
    <w:multiLevelType w:val="hybridMultilevel"/>
    <w:tmpl w:val="4CA4923C"/>
    <w:lvl w:ilvl="0" w:tplc="F9584AF6">
      <w:start w:val="1"/>
      <w:numFmt w:val="decimal"/>
      <w:lvlText w:val="%1."/>
      <w:lvlJc w:val="left"/>
      <w:pPr>
        <w:ind w:left="720" w:hanging="360"/>
      </w:pPr>
      <w:rPr>
        <w:rFonts w:hint="default"/>
        <w:i w:val="0"/>
        <w:sz w:val="20"/>
        <w:szCs w:val="20"/>
      </w:rPr>
    </w:lvl>
    <w:lvl w:ilvl="1" w:tplc="31A2A47A" w:tentative="1">
      <w:start w:val="1"/>
      <w:numFmt w:val="lowerLetter"/>
      <w:lvlText w:val="%2."/>
      <w:lvlJc w:val="left"/>
      <w:pPr>
        <w:ind w:left="1440" w:hanging="360"/>
      </w:pPr>
    </w:lvl>
    <w:lvl w:ilvl="2" w:tplc="6D721134" w:tentative="1">
      <w:start w:val="1"/>
      <w:numFmt w:val="lowerRoman"/>
      <w:lvlText w:val="%3."/>
      <w:lvlJc w:val="right"/>
      <w:pPr>
        <w:ind w:left="2160" w:hanging="180"/>
      </w:pPr>
    </w:lvl>
    <w:lvl w:ilvl="3" w:tplc="43F2E816" w:tentative="1">
      <w:start w:val="1"/>
      <w:numFmt w:val="decimal"/>
      <w:lvlText w:val="%4."/>
      <w:lvlJc w:val="left"/>
      <w:pPr>
        <w:ind w:left="2880" w:hanging="360"/>
      </w:pPr>
    </w:lvl>
    <w:lvl w:ilvl="4" w:tplc="1A6AB616" w:tentative="1">
      <w:start w:val="1"/>
      <w:numFmt w:val="lowerLetter"/>
      <w:lvlText w:val="%5."/>
      <w:lvlJc w:val="left"/>
      <w:pPr>
        <w:ind w:left="3600" w:hanging="360"/>
      </w:pPr>
    </w:lvl>
    <w:lvl w:ilvl="5" w:tplc="0D967BAE" w:tentative="1">
      <w:start w:val="1"/>
      <w:numFmt w:val="lowerRoman"/>
      <w:lvlText w:val="%6."/>
      <w:lvlJc w:val="right"/>
      <w:pPr>
        <w:ind w:left="4320" w:hanging="180"/>
      </w:pPr>
    </w:lvl>
    <w:lvl w:ilvl="6" w:tplc="58B6AEEA" w:tentative="1">
      <w:start w:val="1"/>
      <w:numFmt w:val="decimal"/>
      <w:lvlText w:val="%7."/>
      <w:lvlJc w:val="left"/>
      <w:pPr>
        <w:ind w:left="5040" w:hanging="360"/>
      </w:pPr>
    </w:lvl>
    <w:lvl w:ilvl="7" w:tplc="BF2CA226" w:tentative="1">
      <w:start w:val="1"/>
      <w:numFmt w:val="lowerLetter"/>
      <w:lvlText w:val="%8."/>
      <w:lvlJc w:val="left"/>
      <w:pPr>
        <w:ind w:left="5760" w:hanging="360"/>
      </w:pPr>
    </w:lvl>
    <w:lvl w:ilvl="8" w:tplc="2F74FB5A" w:tentative="1">
      <w:start w:val="1"/>
      <w:numFmt w:val="lowerRoman"/>
      <w:lvlText w:val="%9."/>
      <w:lvlJc w:val="right"/>
      <w:pPr>
        <w:ind w:left="6480" w:hanging="180"/>
      </w:pPr>
    </w:lvl>
  </w:abstractNum>
  <w:abstractNum w:abstractNumId="4" w15:restartNumberingAfterBreak="0">
    <w:nsid w:val="290672E4"/>
    <w:multiLevelType w:val="multilevel"/>
    <w:tmpl w:val="B1C8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21FEB"/>
    <w:multiLevelType w:val="multilevel"/>
    <w:tmpl w:val="6A9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13984"/>
    <w:multiLevelType w:val="multilevel"/>
    <w:tmpl w:val="91F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F32A7"/>
    <w:multiLevelType w:val="multilevel"/>
    <w:tmpl w:val="F39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662BBF"/>
    <w:multiLevelType w:val="hybridMultilevel"/>
    <w:tmpl w:val="532C541C"/>
    <w:lvl w:ilvl="0" w:tplc="39605F96">
      <w:start w:val="1"/>
      <w:numFmt w:val="decimal"/>
      <w:lvlText w:val="%1."/>
      <w:lvlJc w:val="left"/>
      <w:pPr>
        <w:ind w:left="720" w:hanging="360"/>
      </w:pPr>
      <w:rPr>
        <w:rFonts w:hint="default"/>
      </w:rPr>
    </w:lvl>
    <w:lvl w:ilvl="1" w:tplc="543AB6C0" w:tentative="1">
      <w:start w:val="1"/>
      <w:numFmt w:val="lowerLetter"/>
      <w:lvlText w:val="%2."/>
      <w:lvlJc w:val="left"/>
      <w:pPr>
        <w:ind w:left="1440" w:hanging="360"/>
      </w:pPr>
    </w:lvl>
    <w:lvl w:ilvl="2" w:tplc="912826B4" w:tentative="1">
      <w:start w:val="1"/>
      <w:numFmt w:val="lowerRoman"/>
      <w:lvlText w:val="%3."/>
      <w:lvlJc w:val="right"/>
      <w:pPr>
        <w:ind w:left="2160" w:hanging="180"/>
      </w:pPr>
    </w:lvl>
    <w:lvl w:ilvl="3" w:tplc="11682A00" w:tentative="1">
      <w:start w:val="1"/>
      <w:numFmt w:val="decimal"/>
      <w:lvlText w:val="%4."/>
      <w:lvlJc w:val="left"/>
      <w:pPr>
        <w:ind w:left="2880" w:hanging="360"/>
      </w:pPr>
    </w:lvl>
    <w:lvl w:ilvl="4" w:tplc="A3E4E81C" w:tentative="1">
      <w:start w:val="1"/>
      <w:numFmt w:val="lowerLetter"/>
      <w:lvlText w:val="%5."/>
      <w:lvlJc w:val="left"/>
      <w:pPr>
        <w:ind w:left="3600" w:hanging="360"/>
      </w:pPr>
    </w:lvl>
    <w:lvl w:ilvl="5" w:tplc="FB7A22E2" w:tentative="1">
      <w:start w:val="1"/>
      <w:numFmt w:val="lowerRoman"/>
      <w:lvlText w:val="%6."/>
      <w:lvlJc w:val="right"/>
      <w:pPr>
        <w:ind w:left="4320" w:hanging="180"/>
      </w:pPr>
    </w:lvl>
    <w:lvl w:ilvl="6" w:tplc="A13ABA86" w:tentative="1">
      <w:start w:val="1"/>
      <w:numFmt w:val="decimal"/>
      <w:lvlText w:val="%7."/>
      <w:lvlJc w:val="left"/>
      <w:pPr>
        <w:ind w:left="5040" w:hanging="360"/>
      </w:pPr>
    </w:lvl>
    <w:lvl w:ilvl="7" w:tplc="5ECE589A" w:tentative="1">
      <w:start w:val="1"/>
      <w:numFmt w:val="lowerLetter"/>
      <w:lvlText w:val="%8."/>
      <w:lvlJc w:val="left"/>
      <w:pPr>
        <w:ind w:left="5760" w:hanging="360"/>
      </w:pPr>
    </w:lvl>
    <w:lvl w:ilvl="8" w:tplc="64FCA1DA" w:tentative="1">
      <w:start w:val="1"/>
      <w:numFmt w:val="lowerRoman"/>
      <w:lvlText w:val="%9."/>
      <w:lvlJc w:val="right"/>
      <w:pPr>
        <w:ind w:left="6480" w:hanging="180"/>
      </w:pPr>
    </w:lvl>
  </w:abstractNum>
  <w:abstractNum w:abstractNumId="9" w15:restartNumberingAfterBreak="0">
    <w:nsid w:val="5E714D8A"/>
    <w:multiLevelType w:val="multilevel"/>
    <w:tmpl w:val="D35A9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F44C4C"/>
    <w:multiLevelType w:val="multilevel"/>
    <w:tmpl w:val="66D8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5"/>
  </w:num>
  <w:num w:numId="4">
    <w:abstractNumId w:val="4"/>
  </w:num>
  <w:num w:numId="5">
    <w:abstractNumId w:val="7"/>
  </w:num>
  <w:num w:numId="6">
    <w:abstractNumId w:val="2"/>
  </w:num>
  <w:num w:numId="7">
    <w:abstractNumId w:val="1"/>
  </w:num>
  <w:num w:numId="8">
    <w:abstractNumId w:val="6"/>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21E"/>
    <w:rsid w:val="00003D74"/>
    <w:rsid w:val="00014756"/>
    <w:rsid w:val="00037BD0"/>
    <w:rsid w:val="00040443"/>
    <w:rsid w:val="00052C82"/>
    <w:rsid w:val="00064D36"/>
    <w:rsid w:val="00065315"/>
    <w:rsid w:val="00145ADF"/>
    <w:rsid w:val="00170C98"/>
    <w:rsid w:val="001B24E5"/>
    <w:rsid w:val="001F46A5"/>
    <w:rsid w:val="00201796"/>
    <w:rsid w:val="0023607C"/>
    <w:rsid w:val="002623E6"/>
    <w:rsid w:val="0029339F"/>
    <w:rsid w:val="002A1A55"/>
    <w:rsid w:val="002A7BA9"/>
    <w:rsid w:val="002D22EB"/>
    <w:rsid w:val="00307E98"/>
    <w:rsid w:val="0034025D"/>
    <w:rsid w:val="00340940"/>
    <w:rsid w:val="00374B9E"/>
    <w:rsid w:val="003A16CC"/>
    <w:rsid w:val="003A24F5"/>
    <w:rsid w:val="003B00B1"/>
    <w:rsid w:val="003C3F4B"/>
    <w:rsid w:val="003F6020"/>
    <w:rsid w:val="00417578"/>
    <w:rsid w:val="00486007"/>
    <w:rsid w:val="00514D55"/>
    <w:rsid w:val="0051723E"/>
    <w:rsid w:val="00543C7E"/>
    <w:rsid w:val="005474BA"/>
    <w:rsid w:val="005758D1"/>
    <w:rsid w:val="00577E51"/>
    <w:rsid w:val="005E2992"/>
    <w:rsid w:val="00605382"/>
    <w:rsid w:val="006102DF"/>
    <w:rsid w:val="00611EFE"/>
    <w:rsid w:val="00643BDE"/>
    <w:rsid w:val="0066173B"/>
    <w:rsid w:val="00685CC2"/>
    <w:rsid w:val="006A1423"/>
    <w:rsid w:val="006C1357"/>
    <w:rsid w:val="006C78DB"/>
    <w:rsid w:val="006D0A9A"/>
    <w:rsid w:val="006E3EB0"/>
    <w:rsid w:val="00711B53"/>
    <w:rsid w:val="007276C2"/>
    <w:rsid w:val="0074140D"/>
    <w:rsid w:val="00751587"/>
    <w:rsid w:val="00751F0E"/>
    <w:rsid w:val="0076060C"/>
    <w:rsid w:val="00761CF9"/>
    <w:rsid w:val="007D30AF"/>
    <w:rsid w:val="007D7534"/>
    <w:rsid w:val="007E1E88"/>
    <w:rsid w:val="00811315"/>
    <w:rsid w:val="00835228"/>
    <w:rsid w:val="00846037"/>
    <w:rsid w:val="00872D5C"/>
    <w:rsid w:val="008E7D78"/>
    <w:rsid w:val="009808E2"/>
    <w:rsid w:val="00983E7F"/>
    <w:rsid w:val="009B7220"/>
    <w:rsid w:val="009D642A"/>
    <w:rsid w:val="009E1738"/>
    <w:rsid w:val="00A01995"/>
    <w:rsid w:val="00A06D87"/>
    <w:rsid w:val="00A11322"/>
    <w:rsid w:val="00A469EF"/>
    <w:rsid w:val="00A47C14"/>
    <w:rsid w:val="00A554EF"/>
    <w:rsid w:val="00AB67C6"/>
    <w:rsid w:val="00AD036D"/>
    <w:rsid w:val="00AD6D82"/>
    <w:rsid w:val="00AE4AB6"/>
    <w:rsid w:val="00B113B6"/>
    <w:rsid w:val="00B1384D"/>
    <w:rsid w:val="00B3283F"/>
    <w:rsid w:val="00B479AD"/>
    <w:rsid w:val="00BB3EC8"/>
    <w:rsid w:val="00BD01C9"/>
    <w:rsid w:val="00BF7536"/>
    <w:rsid w:val="00C167DE"/>
    <w:rsid w:val="00C202F1"/>
    <w:rsid w:val="00C62EEE"/>
    <w:rsid w:val="00C73805"/>
    <w:rsid w:val="00C92B6E"/>
    <w:rsid w:val="00CA1426"/>
    <w:rsid w:val="00CB025E"/>
    <w:rsid w:val="00CB723F"/>
    <w:rsid w:val="00CC2685"/>
    <w:rsid w:val="00D0021E"/>
    <w:rsid w:val="00D1018E"/>
    <w:rsid w:val="00D9353A"/>
    <w:rsid w:val="00DC0656"/>
    <w:rsid w:val="00DE3B88"/>
    <w:rsid w:val="00E13251"/>
    <w:rsid w:val="00E3703F"/>
    <w:rsid w:val="00E6229F"/>
    <w:rsid w:val="00EA3744"/>
    <w:rsid w:val="00EF35FC"/>
    <w:rsid w:val="00F42B9A"/>
    <w:rsid w:val="00F4650D"/>
    <w:rsid w:val="00F51E2A"/>
    <w:rsid w:val="00F55ADE"/>
    <w:rsid w:val="00F60A36"/>
    <w:rsid w:val="00F61BF9"/>
    <w:rsid w:val="00F82C57"/>
    <w:rsid w:val="00FF3E92"/>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AB462CC"/>
  <w15:docId w15:val="{CE8E62DE-8542-41F9-A9F0-10368B2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933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33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339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39F"/>
    <w:pPr>
      <w:ind w:left="720"/>
      <w:contextualSpacing/>
    </w:pPr>
  </w:style>
  <w:style w:type="character" w:customStyle="1" w:styleId="Heading1Char">
    <w:name w:val="Heading 1 Char"/>
    <w:basedOn w:val="DefaultParagraphFont"/>
    <w:link w:val="Heading1"/>
    <w:uiPriority w:val="9"/>
    <w:rsid w:val="002933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339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339F"/>
    <w:rPr>
      <w:rFonts w:ascii="Times New Roman" w:eastAsia="Times New Roman" w:hAnsi="Times New Roman" w:cs="Times New Roman"/>
      <w:b/>
      <w:bCs/>
      <w:sz w:val="27"/>
      <w:szCs w:val="27"/>
    </w:rPr>
  </w:style>
  <w:style w:type="paragraph" w:styleId="NormalWeb">
    <w:name w:val="Normal (Web)"/>
    <w:basedOn w:val="Normal"/>
    <w:uiPriority w:val="99"/>
    <w:unhideWhenUsed/>
    <w:rsid w:val="00293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339F"/>
    <w:rPr>
      <w:b/>
      <w:bCs/>
    </w:rPr>
  </w:style>
  <w:style w:type="character" w:styleId="Emphasis">
    <w:name w:val="Emphasis"/>
    <w:basedOn w:val="DefaultParagraphFont"/>
    <w:uiPriority w:val="20"/>
    <w:qFormat/>
    <w:rsid w:val="0029339F"/>
    <w:rPr>
      <w:i/>
      <w:iCs/>
    </w:rPr>
  </w:style>
  <w:style w:type="character" w:styleId="HTMLCode">
    <w:name w:val="HTML Code"/>
    <w:basedOn w:val="DefaultParagraphFont"/>
    <w:uiPriority w:val="99"/>
    <w:semiHidden/>
    <w:unhideWhenUsed/>
    <w:rsid w:val="00B113B6"/>
    <w:rPr>
      <w:rFonts w:ascii="Courier New" w:eastAsia="Times New Roman" w:hAnsi="Courier New" w:cs="Courier New"/>
      <w:sz w:val="20"/>
      <w:szCs w:val="20"/>
    </w:rPr>
  </w:style>
  <w:style w:type="character" w:styleId="Hyperlink">
    <w:name w:val="Hyperlink"/>
    <w:basedOn w:val="DefaultParagraphFont"/>
    <w:uiPriority w:val="99"/>
    <w:unhideWhenUsed/>
    <w:rsid w:val="001F46A5"/>
    <w:rPr>
      <w:color w:val="0000FF" w:themeColor="hyperlink"/>
      <w:u w:val="single"/>
    </w:rPr>
  </w:style>
  <w:style w:type="paragraph" w:customStyle="1" w:styleId="Author">
    <w:name w:val="Author"/>
    <w:basedOn w:val="Normal"/>
    <w:rsid w:val="001F46A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F46A5"/>
    <w:pPr>
      <w:spacing w:after="240" w:line="240" w:lineRule="exact"/>
      <w:jc w:val="right"/>
    </w:pPr>
    <w:rPr>
      <w:rFonts w:ascii="Helvetica" w:eastAsia="Times New Roman" w:hAnsi="Helvetica" w:cs="Times New Roman"/>
      <w:sz w:val="20"/>
      <w:szCs w:val="20"/>
    </w:rPr>
  </w:style>
  <w:style w:type="table" w:styleId="TableGrid">
    <w:name w:val="Table Grid"/>
    <w:basedOn w:val="TableNormal"/>
    <w:uiPriority w:val="59"/>
    <w:rsid w:val="003C3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007"/>
    <w:rPr>
      <w:rFonts w:ascii="Tahoma" w:hAnsi="Tahoma" w:cs="Tahoma"/>
      <w:sz w:val="16"/>
      <w:szCs w:val="16"/>
    </w:rPr>
  </w:style>
  <w:style w:type="character" w:customStyle="1" w:styleId="url">
    <w:name w:val="url"/>
    <w:basedOn w:val="DefaultParagraphFont"/>
    <w:rsid w:val="002D22EB"/>
  </w:style>
  <w:style w:type="character" w:customStyle="1" w:styleId="UnresolvedMention1">
    <w:name w:val="Unresolved Mention1"/>
    <w:basedOn w:val="DefaultParagraphFont"/>
    <w:uiPriority w:val="99"/>
    <w:semiHidden/>
    <w:unhideWhenUsed/>
    <w:rsid w:val="00307E98"/>
    <w:rPr>
      <w:color w:val="605E5C"/>
      <w:shd w:val="clear" w:color="auto" w:fill="E1DFDD"/>
    </w:rPr>
  </w:style>
  <w:style w:type="paragraph" w:styleId="Header">
    <w:name w:val="header"/>
    <w:basedOn w:val="Normal"/>
    <w:link w:val="HeaderChar"/>
    <w:uiPriority w:val="99"/>
    <w:unhideWhenUsed/>
    <w:rsid w:val="00340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940"/>
  </w:style>
  <w:style w:type="paragraph" w:styleId="Footer">
    <w:name w:val="footer"/>
    <w:basedOn w:val="Normal"/>
    <w:link w:val="FooterChar"/>
    <w:uiPriority w:val="99"/>
    <w:unhideWhenUsed/>
    <w:rsid w:val="00340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2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pb.kerala.gov.in" TargetMode="External"/><Relationship Id="rId18" Type="http://schemas.openxmlformats.org/officeDocument/2006/relationships/hyperlink" Target="https://nhm.gov.in" TargetMode="External"/><Relationship Id="rId26" Type="http://schemas.openxmlformats.org/officeDocument/2006/relationships/hyperlink" Target="https://www.who.int/health-topics/health-equity" TargetMode="External"/><Relationship Id="rId3" Type="http://schemas.openxmlformats.org/officeDocument/2006/relationships/settings" Target="settings.xml"/><Relationship Id="rId21" Type="http://schemas.openxmlformats.org/officeDocument/2006/relationships/hyperlink" Target="https://censusindia.gov.in" TargetMode="External"/><Relationship Id="rId7" Type="http://schemas.openxmlformats.org/officeDocument/2006/relationships/image" Target="media/image1.png"/><Relationship Id="rId12" Type="http://schemas.openxmlformats.org/officeDocument/2006/relationships/hyperlink" Target="https://mospi.gov.in" TargetMode="External"/><Relationship Id="rId17" Type="http://schemas.openxmlformats.org/officeDocument/2006/relationships/hyperlink" Target="https://doi.org/10.1093/heapol/15.1.103" TargetMode="External"/><Relationship Id="rId25" Type="http://schemas.openxmlformats.org/officeDocument/2006/relationships/hyperlink" Target="https://doi.org/10.1186/s13561-014-0010-x" TargetMode="External"/><Relationship Id="rId2" Type="http://schemas.openxmlformats.org/officeDocument/2006/relationships/styles" Target="styles.xml"/><Relationship Id="rId16" Type="http://schemas.openxmlformats.org/officeDocument/2006/relationships/hyperlink" Target="https://spb.kerala.gov.in" TargetMode="External"/><Relationship Id="rId20" Type="http://schemas.openxmlformats.org/officeDocument/2006/relationships/hyperlink" Target="https://www.oecd.org/health/health-data.ht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n.mohfw.gov.in" TargetMode="External"/><Relationship Id="rId24" Type="http://schemas.openxmlformats.org/officeDocument/2006/relationships/hyperlink" Target="https://doi.org/10.1136/bmjgh-2023-01331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ashboard.ehealth.kerala.gov.in" TargetMode="External"/><Relationship Id="rId23" Type="http://schemas.openxmlformats.org/officeDocument/2006/relationships/hyperlink" Target="https://doi.org/10.4103/jfmpc.jfmpc_81_23" TargetMode="External"/><Relationship Id="rId28" Type="http://schemas.openxmlformats.org/officeDocument/2006/relationships/header" Target="header2.xml"/><Relationship Id="rId10" Type="http://schemas.openxmlformats.org/officeDocument/2006/relationships/hyperlink" Target="https://doi.org/10.2190/4l9m-8k7n-g6ac-wehn" TargetMode="External"/><Relationship Id="rId19" Type="http://schemas.openxmlformats.org/officeDocument/2006/relationships/hyperlink" Target="https://www.niti.gov.i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ipsindia.ac.in" TargetMode="External"/><Relationship Id="rId22" Type="http://schemas.openxmlformats.org/officeDocument/2006/relationships/hyperlink" Target="https://doi.org/10.4103/2249-4863.123781" TargetMode="External"/><Relationship Id="rId27" Type="http://schemas.openxmlformats.org/officeDocument/2006/relationships/header" Target="header1.xm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13</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cp:lastModifiedBy>
  <cp:revision>21</cp:revision>
  <dcterms:created xsi:type="dcterms:W3CDTF">2025-10-15T16:10:00Z</dcterms:created>
  <dcterms:modified xsi:type="dcterms:W3CDTF">2025-11-03T11:02:00Z</dcterms:modified>
</cp:coreProperties>
</file>