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30C2" w:rsidRPr="008030C2" w:rsidRDefault="008030C2" w:rsidP="008030C2">
      <w:pPr>
        <w:spacing w:after="200" w:line="276" w:lineRule="auto"/>
        <w:jc w:val="right"/>
        <w:rPr>
          <w:rFonts w:ascii="Arial" w:eastAsia="Calibri" w:hAnsi="Arial" w:cs="Arial"/>
          <w:b/>
          <w:i/>
          <w:sz w:val="36"/>
          <w:szCs w:val="28"/>
          <w:u w:val="single"/>
        </w:rPr>
      </w:pPr>
      <w:r w:rsidRPr="008030C2">
        <w:rPr>
          <w:rFonts w:ascii="Arial" w:eastAsia="Calibri" w:hAnsi="Arial" w:cs="Arial"/>
          <w:b/>
          <w:i/>
          <w:sz w:val="36"/>
          <w:szCs w:val="28"/>
          <w:u w:val="single"/>
        </w:rPr>
        <w:t>Original Research Article</w:t>
      </w:r>
    </w:p>
    <w:p w:rsidR="005B2FB9" w:rsidRDefault="005B2FB9" w:rsidP="005B2FB9">
      <w:pPr>
        <w:spacing w:after="200" w:line="276" w:lineRule="auto"/>
        <w:jc w:val="both"/>
        <w:rPr>
          <w:rFonts w:ascii="Arial" w:eastAsia="Calibri" w:hAnsi="Arial" w:cs="Arial"/>
          <w:b/>
          <w:sz w:val="28"/>
          <w:szCs w:val="28"/>
        </w:rPr>
      </w:pPr>
      <w:r w:rsidRPr="005B2FB9">
        <w:rPr>
          <w:rFonts w:ascii="Arial" w:eastAsia="Calibri" w:hAnsi="Arial" w:cs="Arial"/>
          <w:b/>
          <w:sz w:val="28"/>
          <w:szCs w:val="28"/>
        </w:rPr>
        <w:t>Visual Outcomes between Intravitreal Bevacizumab versus Intravitreal Bevacizumab plus Focal Laser among Patients with Diabetic Macular Edema at Kilimanjaro Christian Medical Centre 2021-2024</w:t>
      </w:r>
    </w:p>
    <w:p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rsidTr="001E44FE">
        <w:tc>
          <w:tcPr>
            <w:tcW w:w="9576" w:type="dxa"/>
            <w:shd w:val="clear" w:color="auto" w:fill="F2F2F2"/>
          </w:tcPr>
          <w:p w:rsidR="001464EC" w:rsidRPr="0070078A" w:rsidRDefault="001464EC" w:rsidP="001464EC">
            <w:pPr>
              <w:rPr>
                <w:rFonts w:ascii="Arial" w:hAnsi="Arial" w:cs="Arial"/>
              </w:rPr>
            </w:pPr>
            <w:r w:rsidRPr="009F6BE0">
              <w:rPr>
                <w:rFonts w:ascii="Arial" w:hAnsi="Arial" w:cs="Arial"/>
                <w:b/>
              </w:rPr>
              <w:t>Aim</w:t>
            </w:r>
            <w:r w:rsidRPr="0070078A">
              <w:rPr>
                <w:rFonts w:ascii="Arial" w:hAnsi="Arial" w:cs="Arial"/>
                <w:b/>
              </w:rPr>
              <w:t xml:space="preserve">: </w:t>
            </w:r>
            <w:r w:rsidRPr="0070078A">
              <w:rPr>
                <w:rFonts w:ascii="Arial" w:hAnsi="Arial" w:cs="Arial"/>
              </w:rPr>
              <w:t>To determine visual outcome in diabetic macular edema patients treated with bevacizumab alone versus bevacizumab plus focal laser.</w:t>
            </w:r>
          </w:p>
          <w:p w:rsidR="001464EC" w:rsidRPr="0070078A" w:rsidRDefault="001464EC" w:rsidP="001464EC">
            <w:pPr>
              <w:rPr>
                <w:rFonts w:ascii="Arial" w:hAnsi="Arial" w:cs="Arial"/>
              </w:rPr>
            </w:pPr>
            <w:r w:rsidRPr="009F6BE0">
              <w:rPr>
                <w:rFonts w:ascii="Arial" w:hAnsi="Arial" w:cs="Arial"/>
                <w:b/>
              </w:rPr>
              <w:t>Study design:</w:t>
            </w:r>
            <w:r w:rsidRPr="0070078A">
              <w:rPr>
                <w:rFonts w:ascii="Arial" w:hAnsi="Arial" w:cs="Arial"/>
              </w:rPr>
              <w:t xml:space="preserve"> A retrospective cohort study</w:t>
            </w:r>
          </w:p>
          <w:p w:rsidR="001464EC" w:rsidRPr="0070078A" w:rsidRDefault="001464EC" w:rsidP="001464EC">
            <w:pPr>
              <w:tabs>
                <w:tab w:val="left" w:pos="3450"/>
              </w:tabs>
              <w:rPr>
                <w:rFonts w:ascii="Arial" w:hAnsi="Arial" w:cs="Arial"/>
                <w:b/>
              </w:rPr>
            </w:pPr>
            <w:r w:rsidRPr="009F6BE0">
              <w:rPr>
                <w:rFonts w:ascii="Arial" w:hAnsi="Arial" w:cs="Arial"/>
                <w:b/>
              </w:rPr>
              <w:t>Place and Duration of Study:</w:t>
            </w:r>
            <w:r w:rsidRPr="0070078A">
              <w:rPr>
                <w:rFonts w:ascii="Arial" w:hAnsi="Arial" w:cs="Arial"/>
                <w:b/>
              </w:rPr>
              <w:t xml:space="preserve"> </w:t>
            </w:r>
            <w:r w:rsidRPr="0070078A">
              <w:rPr>
                <w:rFonts w:ascii="Arial" w:hAnsi="Arial" w:cs="Arial"/>
              </w:rPr>
              <w:t>A 1 year follow-up,</w:t>
            </w:r>
            <w:r w:rsidRPr="0070078A">
              <w:rPr>
                <w:rFonts w:ascii="Arial" w:hAnsi="Arial" w:cs="Arial"/>
                <w:b/>
              </w:rPr>
              <w:t xml:space="preserve"> </w:t>
            </w:r>
            <w:r w:rsidRPr="0070078A">
              <w:rPr>
                <w:rFonts w:ascii="Arial" w:hAnsi="Arial" w:cs="Arial"/>
              </w:rPr>
              <w:t>conducted at Kilimanjaro Christian Medical Centre from 2021 to 2024.</w:t>
            </w:r>
          </w:p>
          <w:p w:rsidR="001464EC" w:rsidRPr="0070078A" w:rsidRDefault="001464EC" w:rsidP="001464EC">
            <w:pPr>
              <w:rPr>
                <w:rFonts w:ascii="Arial" w:hAnsi="Arial" w:cs="Arial"/>
              </w:rPr>
            </w:pPr>
            <w:r w:rsidRPr="009F6BE0">
              <w:rPr>
                <w:rFonts w:ascii="Arial" w:hAnsi="Arial" w:cs="Arial"/>
                <w:b/>
              </w:rPr>
              <w:t>Methodology:</w:t>
            </w:r>
            <w:r w:rsidRPr="0070078A">
              <w:rPr>
                <w:rFonts w:ascii="Arial" w:hAnsi="Arial" w:cs="Arial"/>
              </w:rPr>
              <w:t xml:space="preserve"> Patients with diabetic macular edema and satisfied the inclusion criteria were included in the study, those who received bevacizumab alone (120) were group one and those who combined with focal laser (116) were in group two. Visual acuity and central macular thickness at baseline, 6th week, 12th week, 18th week and 1 year were recorded in both groups. </w:t>
            </w:r>
          </w:p>
          <w:p w:rsidR="001464EC" w:rsidRPr="0070078A" w:rsidRDefault="001464EC" w:rsidP="001464EC">
            <w:pPr>
              <w:rPr>
                <w:rFonts w:ascii="Arial" w:hAnsi="Arial" w:cs="Arial"/>
              </w:rPr>
            </w:pPr>
            <w:r w:rsidRPr="00B91C9C">
              <w:rPr>
                <w:rFonts w:ascii="Arial" w:hAnsi="Arial" w:cs="Arial"/>
                <w:b/>
              </w:rPr>
              <w:t>Results:</w:t>
            </w:r>
            <w:r w:rsidRPr="0070078A">
              <w:rPr>
                <w:rFonts w:ascii="Arial" w:hAnsi="Arial" w:cs="Arial"/>
              </w:rPr>
              <w:t xml:space="preserve"> Patients treated with bevacizumab plus focal laser had more improvement in mean visual acuity than bevacizumab alone. In bevacizumab plus focal laser group the mean visual acuity changed from baseline (0.63±0.5logMAR95%CI: 0.55-0.72) to end follow up (0.46±0.33logMAR95%CI: 0.40-0.52, </w:t>
            </w:r>
            <w:r w:rsidRPr="0070078A">
              <w:rPr>
                <w:rFonts w:ascii="Arial" w:hAnsi="Arial" w:cs="Arial"/>
                <w:i/>
              </w:rPr>
              <w:t>P</w:t>
            </w:r>
            <w:r w:rsidRPr="0070078A">
              <w:rPr>
                <w:rFonts w:ascii="Arial" w:hAnsi="Arial" w:cs="Arial"/>
              </w:rPr>
              <w:t xml:space="preserve"> &lt; .001). But in bevacizumab alone the mean visual outcome changed from baseline (0.86±0.9logMAR95%CI: 0.77-0.94) to end follow up (0.62±0.3logMAR95%CI: 0.55-0.69 </w:t>
            </w:r>
            <w:r w:rsidRPr="0070078A">
              <w:rPr>
                <w:rFonts w:ascii="Arial" w:hAnsi="Arial" w:cs="Arial"/>
                <w:i/>
              </w:rPr>
              <w:t>P</w:t>
            </w:r>
            <w:r w:rsidRPr="0070078A">
              <w:rPr>
                <w:rFonts w:ascii="Arial" w:hAnsi="Arial" w:cs="Arial"/>
              </w:rPr>
              <w:t xml:space="preserve"> &lt; .001. The mean macular thickness reduction was more in combined group than bevacizumab alone group from baseline (424.72±195.32um95%CI: 388.79-460.63), (453.48±155.61um95%CI: 425.36-481.61) to end of follow-up (277.14±63.84 um95%CI: 265.40-288.88 </w:t>
            </w:r>
            <w:r w:rsidRPr="0070078A">
              <w:rPr>
                <w:rFonts w:ascii="Arial" w:hAnsi="Arial" w:cs="Arial"/>
                <w:i/>
              </w:rPr>
              <w:t>P</w:t>
            </w:r>
            <w:r w:rsidRPr="0070078A">
              <w:rPr>
                <w:rFonts w:ascii="Arial" w:hAnsi="Arial" w:cs="Arial"/>
              </w:rPr>
              <w:t xml:space="preserve"> &lt; .001), (287.05±81.86 um 95%CI: 272.25-301.85 </w:t>
            </w:r>
            <w:r w:rsidRPr="0070078A">
              <w:rPr>
                <w:rFonts w:ascii="Arial" w:hAnsi="Arial" w:cs="Arial"/>
                <w:i/>
              </w:rPr>
              <w:t>P</w:t>
            </w:r>
            <w:r w:rsidRPr="0070078A">
              <w:rPr>
                <w:rFonts w:ascii="Arial" w:hAnsi="Arial" w:cs="Arial"/>
              </w:rPr>
              <w:t xml:space="preserve"> &lt; .001) respectively. Male gender was associate</w:t>
            </w:r>
            <w:r w:rsidR="00F74E37">
              <w:rPr>
                <w:rFonts w:ascii="Arial" w:hAnsi="Arial" w:cs="Arial"/>
              </w:rPr>
              <w:t>d</w:t>
            </w:r>
            <w:r w:rsidR="001C0605">
              <w:rPr>
                <w:rFonts w:ascii="Arial" w:hAnsi="Arial" w:cs="Arial"/>
              </w:rPr>
              <w:t xml:space="preserve"> with lower functional success while good baseline visual acuity and </w:t>
            </w:r>
            <w:r w:rsidR="00F74E37" w:rsidRPr="00F74E37">
              <w:rPr>
                <w:rFonts w:ascii="Arial" w:hAnsi="Arial" w:cs="Arial"/>
              </w:rPr>
              <w:t xml:space="preserve">shorter diabetes duration of less than 15 years </w:t>
            </w:r>
            <w:r w:rsidR="00F74E37" w:rsidRPr="0070078A">
              <w:rPr>
                <w:rFonts w:ascii="Arial" w:hAnsi="Arial" w:cs="Arial"/>
              </w:rPr>
              <w:t>significantly</w:t>
            </w:r>
            <w:r w:rsidRPr="0070078A">
              <w:rPr>
                <w:rFonts w:ascii="Arial" w:hAnsi="Arial" w:cs="Arial"/>
              </w:rPr>
              <w:t xml:space="preserve"> increased the likelihood of achieving functional success</w:t>
            </w:r>
            <w:r w:rsidR="001C0605">
              <w:rPr>
                <w:rFonts w:ascii="Arial" w:hAnsi="Arial" w:cs="Arial"/>
              </w:rPr>
              <w:t>. L</w:t>
            </w:r>
            <w:r w:rsidR="00F74E37">
              <w:rPr>
                <w:rFonts w:ascii="Arial" w:hAnsi="Arial" w:cs="Arial"/>
              </w:rPr>
              <w:t xml:space="preserve">ess number of </w:t>
            </w:r>
            <w:r w:rsidR="00F74E37" w:rsidRPr="00F74E37">
              <w:rPr>
                <w:rFonts w:ascii="Arial" w:hAnsi="Arial" w:cs="Arial"/>
              </w:rPr>
              <w:t>intravitr</w:t>
            </w:r>
            <w:r w:rsidR="00F74E37">
              <w:rPr>
                <w:rFonts w:ascii="Arial" w:hAnsi="Arial" w:cs="Arial"/>
              </w:rPr>
              <w:t>eal bevacizumab injections (≤3) was associated with good anatomical outcome.</w:t>
            </w:r>
          </w:p>
          <w:p w:rsidR="001464EC" w:rsidRPr="0070078A" w:rsidRDefault="001464EC" w:rsidP="001464EC">
            <w:pPr>
              <w:rPr>
                <w:rFonts w:ascii="Arial" w:hAnsi="Arial" w:cs="Arial"/>
              </w:rPr>
            </w:pPr>
            <w:r w:rsidRPr="00B91C9C">
              <w:rPr>
                <w:rFonts w:ascii="Arial" w:hAnsi="Arial" w:cs="Arial"/>
                <w:b/>
              </w:rPr>
              <w:t>Conclusion</w:t>
            </w:r>
            <w:r w:rsidRPr="00B91C9C">
              <w:rPr>
                <w:rFonts w:ascii="Arial" w:hAnsi="Arial" w:cs="Arial"/>
              </w:rPr>
              <w:t>:</w:t>
            </w:r>
            <w:r w:rsidRPr="0070078A">
              <w:rPr>
                <w:rFonts w:ascii="Arial" w:hAnsi="Arial" w:cs="Arial"/>
              </w:rPr>
              <w:t xml:space="preserve"> This study showed that the intravitreal bevacizumab plus focal laser group led to better visual outcomes over a 1year period compared to the bevacizumab alone group especially those with good baseline visual acuity, female gender, shorter diabetes duration of less than 15 years and less number of  intravitreal bevacizumab injections (≤3). </w:t>
            </w:r>
          </w:p>
          <w:p w:rsidR="00505F06" w:rsidRPr="00BA1B01" w:rsidRDefault="00505F06" w:rsidP="00441B6F">
            <w:pPr>
              <w:pStyle w:val="Body"/>
              <w:spacing w:after="0"/>
              <w:rPr>
                <w:rFonts w:ascii="Arial" w:eastAsia="Calibri" w:hAnsi="Arial" w:cs="Arial"/>
                <w:szCs w:val="22"/>
              </w:rPr>
            </w:pPr>
          </w:p>
        </w:tc>
        <w:bookmarkStart w:id="0" w:name="_GoBack"/>
        <w:bookmarkEnd w:id="0"/>
      </w:tr>
    </w:tbl>
    <w:p w:rsidR="00636EB2" w:rsidRDefault="00636EB2" w:rsidP="00441B6F">
      <w:pPr>
        <w:pStyle w:val="Body"/>
        <w:spacing w:after="0"/>
        <w:rPr>
          <w:rFonts w:ascii="Arial" w:hAnsi="Arial" w:cs="Arial"/>
          <w:i/>
        </w:rPr>
      </w:pPr>
    </w:p>
    <w:p w:rsidR="00B52896" w:rsidRPr="004539DB" w:rsidRDefault="00A24E7E" w:rsidP="001464EC">
      <w:pPr>
        <w:pStyle w:val="Body"/>
        <w:spacing w:after="0"/>
        <w:rPr>
          <w:rFonts w:ascii="Arial" w:hAnsi="Arial" w:cs="Arial"/>
          <w:i/>
          <w:sz w:val="18"/>
        </w:rPr>
      </w:pPr>
      <w:r>
        <w:rPr>
          <w:rFonts w:ascii="Arial" w:hAnsi="Arial" w:cs="Arial"/>
          <w:i/>
        </w:rPr>
        <w:t xml:space="preserve">Keywords: </w:t>
      </w:r>
      <w:r w:rsidR="001464EC" w:rsidRPr="0070078A">
        <w:rPr>
          <w:rFonts w:ascii="Arial" w:hAnsi="Arial" w:cs="Arial"/>
          <w:i/>
        </w:rPr>
        <w:t>Diabetic macular edema,</w:t>
      </w:r>
      <w:r w:rsidR="001464EC" w:rsidRPr="0070078A">
        <w:rPr>
          <w:rFonts w:ascii="Arial" w:hAnsi="Arial" w:cs="Arial"/>
        </w:rPr>
        <w:t xml:space="preserve"> </w:t>
      </w:r>
      <w:r w:rsidR="001464EC" w:rsidRPr="0070078A">
        <w:rPr>
          <w:rFonts w:ascii="Arial" w:hAnsi="Arial" w:cs="Arial"/>
          <w:i/>
        </w:rPr>
        <w:t>intravitreal bevacizumab,</w:t>
      </w:r>
      <w:r w:rsidR="001464EC" w:rsidRPr="0070078A">
        <w:rPr>
          <w:rFonts w:ascii="Arial" w:hAnsi="Arial" w:cs="Arial"/>
        </w:rPr>
        <w:t xml:space="preserve"> </w:t>
      </w:r>
      <w:r w:rsidR="001464EC" w:rsidRPr="0070078A">
        <w:rPr>
          <w:rFonts w:ascii="Arial" w:hAnsi="Arial" w:cs="Arial"/>
          <w:i/>
        </w:rPr>
        <w:t>focal laser</w:t>
      </w:r>
      <w:r w:rsidR="001464EC">
        <w:rPr>
          <w:rFonts w:ascii="Arial" w:hAnsi="Arial" w:cs="Arial"/>
          <w:b/>
          <w:i/>
          <w:sz w:val="18"/>
        </w:rPr>
        <w:t xml:space="preserve"> </w:t>
      </w:r>
    </w:p>
    <w:p w:rsidR="0024282C" w:rsidRDefault="0024282C" w:rsidP="00441B6F">
      <w:pPr>
        <w:pStyle w:val="Body"/>
        <w:spacing w:after="0"/>
        <w:rPr>
          <w:rFonts w:ascii="Arial" w:hAnsi="Arial" w:cs="Arial"/>
          <w:i/>
          <w:sz w:val="18"/>
        </w:rPr>
      </w:pPr>
    </w:p>
    <w:p w:rsidR="00505F06" w:rsidRPr="00A24E7E" w:rsidRDefault="00505F06" w:rsidP="00441B6F">
      <w:pPr>
        <w:pStyle w:val="Body"/>
        <w:spacing w:after="0"/>
        <w:rPr>
          <w:rFonts w:ascii="Arial" w:hAnsi="Arial" w:cs="Arial"/>
          <w:i/>
        </w:rPr>
      </w:pPr>
    </w:p>
    <w:p w:rsidR="007F7B32" w:rsidRDefault="00902823" w:rsidP="001464EC">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rsidR="001464EC" w:rsidRPr="0070078A" w:rsidRDefault="001464EC" w:rsidP="001464EC">
      <w:pPr>
        <w:jc w:val="both"/>
        <w:rPr>
          <w:rFonts w:ascii="Arial" w:hAnsi="Arial" w:cs="Arial"/>
        </w:rPr>
      </w:pPr>
      <w:r w:rsidRPr="0070078A">
        <w:rPr>
          <w:rFonts w:ascii="Arial" w:hAnsi="Arial" w:cs="Arial"/>
        </w:rPr>
        <w:t>Diabetes affects about 425 million people in the world, with ages ranging from 20 to 79. It affects people in low and middle income countries disproportionately.  1 in 10 adults worldwide or 700 million people will have diabetes by 2045. (International diabetes Federation, 2023)</w:t>
      </w:r>
    </w:p>
    <w:p w:rsidR="001464EC" w:rsidRPr="0070078A" w:rsidRDefault="001464EC" w:rsidP="001464EC">
      <w:pPr>
        <w:jc w:val="both"/>
        <w:rPr>
          <w:rFonts w:ascii="Arial" w:hAnsi="Arial" w:cs="Arial"/>
        </w:rPr>
      </w:pPr>
      <w:r w:rsidRPr="0070078A">
        <w:rPr>
          <w:rFonts w:ascii="Arial" w:hAnsi="Arial" w:cs="Arial"/>
        </w:rPr>
        <w:t>Globally it affects approximately 21 million people: In Europe it is 11%, but in many African nations it is low as 7.5%. In some cases, DME affects about 1 in every 14 diabetic patients. (International Diabetes Federation, 2023)</w:t>
      </w:r>
    </w:p>
    <w:p w:rsidR="001464EC" w:rsidRPr="0070078A" w:rsidRDefault="001464EC" w:rsidP="001464EC">
      <w:pPr>
        <w:jc w:val="both"/>
        <w:rPr>
          <w:rFonts w:ascii="Arial" w:hAnsi="Arial" w:cs="Arial"/>
        </w:rPr>
      </w:pPr>
      <w:r w:rsidRPr="0070078A">
        <w:rPr>
          <w:rFonts w:ascii="Arial" w:hAnsi="Arial" w:cs="Arial"/>
        </w:rPr>
        <w:lastRenderedPageBreak/>
        <w:t xml:space="preserve">Diabetic retinopathy (DR) is the one of the complications of diabetes that is the disease of microvascular abnormality in the fundus of the eye. It can cause vision impairment and blindness. This complication can </w:t>
      </w:r>
      <w:r w:rsidR="00DE6C73">
        <w:rPr>
          <w:rFonts w:ascii="Arial" w:hAnsi="Arial" w:cs="Arial"/>
        </w:rPr>
        <w:t>be unnoticeable in early stages</w:t>
      </w:r>
      <w:r w:rsidRPr="0070078A">
        <w:rPr>
          <w:rFonts w:ascii="Arial" w:hAnsi="Arial" w:cs="Arial"/>
        </w:rPr>
        <w:t>. (Kanji et al., 2020)</w:t>
      </w:r>
    </w:p>
    <w:p w:rsidR="001464EC" w:rsidRPr="0070078A" w:rsidRDefault="001464EC" w:rsidP="001464EC">
      <w:pPr>
        <w:jc w:val="both"/>
        <w:rPr>
          <w:rFonts w:ascii="Arial" w:hAnsi="Arial" w:cs="Arial"/>
        </w:rPr>
      </w:pPr>
      <w:r w:rsidRPr="0070078A">
        <w:rPr>
          <w:rFonts w:ascii="Arial" w:hAnsi="Arial" w:cs="Arial"/>
        </w:rPr>
        <w:t>DME is characterized by fluid pooling in the central region of the retina as a result of the blood-retinal-barrier deterioration. Focal or multifocal leaking from clustered microaneurysms results in localized edema but capillary leakage generates widespread edema. Retinal hypoxia leads to increased VEGF through activation of hypoxia inducible factor 1 (HIF-1). (AOO, diabetic   retinopathy, 2023)</w:t>
      </w:r>
    </w:p>
    <w:p w:rsidR="001464EC" w:rsidRPr="0070078A" w:rsidRDefault="001464EC" w:rsidP="001464EC">
      <w:pPr>
        <w:jc w:val="both"/>
        <w:rPr>
          <w:rFonts w:ascii="Arial" w:hAnsi="Arial" w:cs="Arial"/>
        </w:rPr>
      </w:pPr>
      <w:r w:rsidRPr="0070078A">
        <w:rPr>
          <w:rFonts w:ascii="Arial" w:hAnsi="Arial" w:cs="Arial"/>
        </w:rPr>
        <w:t>Macula edema is caused by different causes such as diabetic retinopathy (DR), intraocular inflammation (uveitis), retinal vein occlusion (RVO), and pseudophakia. Diabetic macular edema is the most common type of macular edema (</w:t>
      </w:r>
      <w:proofErr w:type="spellStart"/>
      <w:r w:rsidRPr="0070078A">
        <w:rPr>
          <w:rFonts w:ascii="Arial" w:hAnsi="Arial" w:cs="Arial"/>
        </w:rPr>
        <w:t>Kabunga</w:t>
      </w:r>
      <w:proofErr w:type="spellEnd"/>
      <w:r w:rsidRPr="0070078A">
        <w:rPr>
          <w:rFonts w:ascii="Arial" w:hAnsi="Arial" w:cs="Arial"/>
        </w:rPr>
        <w:t xml:space="preserve"> et al., 2022).</w:t>
      </w:r>
    </w:p>
    <w:p w:rsidR="001464EC" w:rsidRPr="0070078A" w:rsidRDefault="001464EC" w:rsidP="001464EC">
      <w:pPr>
        <w:jc w:val="both"/>
        <w:rPr>
          <w:rFonts w:ascii="Arial" w:hAnsi="Arial" w:cs="Arial"/>
        </w:rPr>
      </w:pPr>
      <w:r w:rsidRPr="0070078A">
        <w:rPr>
          <w:rFonts w:ascii="Arial" w:hAnsi="Arial" w:cs="Arial"/>
        </w:rPr>
        <w:t>Risk factors of DME are modifiable and non-modifiable, which are hyperglycemia in the presence of hypertension, long duration of T1D and T2D, dyslipidemia, gender more common in males, obesity, pregnancy with pre-existing diabetes not gestational DM, and previous cataract surgery (Jafri et al., 2017).</w:t>
      </w:r>
    </w:p>
    <w:p w:rsidR="001464EC" w:rsidRPr="0070078A" w:rsidRDefault="001464EC" w:rsidP="001464EC">
      <w:pPr>
        <w:jc w:val="both"/>
        <w:rPr>
          <w:rFonts w:ascii="Arial" w:hAnsi="Arial" w:cs="Arial"/>
        </w:rPr>
      </w:pPr>
      <w:r w:rsidRPr="0070078A">
        <w:rPr>
          <w:rFonts w:ascii="Arial" w:hAnsi="Arial" w:cs="Arial"/>
        </w:rPr>
        <w:t>DME is diagnosed clinically by using a direct or indirect ophthalmoscope with the a</w:t>
      </w:r>
      <w:r w:rsidR="00C82885">
        <w:rPr>
          <w:rFonts w:ascii="Arial" w:hAnsi="Arial" w:cs="Arial"/>
        </w:rPr>
        <w:t xml:space="preserve">id of a 90D lens, slit lamp and </w:t>
      </w:r>
      <w:r w:rsidRPr="0070078A">
        <w:rPr>
          <w:rFonts w:ascii="Arial" w:hAnsi="Arial" w:cs="Arial"/>
        </w:rPr>
        <w:t>Optical C</w:t>
      </w:r>
      <w:r w:rsidR="00C82885">
        <w:rPr>
          <w:rFonts w:ascii="Arial" w:hAnsi="Arial" w:cs="Arial"/>
        </w:rPr>
        <w:t>oherent Tomography (OCT)</w:t>
      </w:r>
      <w:r w:rsidRPr="0070078A">
        <w:rPr>
          <w:rFonts w:ascii="Arial" w:hAnsi="Arial" w:cs="Arial"/>
        </w:rPr>
        <w:t>. (</w:t>
      </w:r>
      <w:proofErr w:type="spellStart"/>
      <w:r w:rsidRPr="0070078A">
        <w:rPr>
          <w:rFonts w:ascii="Arial" w:hAnsi="Arial" w:cs="Arial"/>
        </w:rPr>
        <w:t>Jatoi</w:t>
      </w:r>
      <w:proofErr w:type="spellEnd"/>
      <w:r w:rsidRPr="0070078A">
        <w:rPr>
          <w:rFonts w:ascii="Arial" w:hAnsi="Arial" w:cs="Arial"/>
        </w:rPr>
        <w:t xml:space="preserve"> et al., 2022).</w:t>
      </w:r>
    </w:p>
    <w:p w:rsidR="001464EC" w:rsidRPr="0070078A" w:rsidRDefault="001464EC" w:rsidP="001464EC">
      <w:pPr>
        <w:jc w:val="both"/>
        <w:rPr>
          <w:rFonts w:ascii="Arial" w:hAnsi="Arial" w:cs="Arial"/>
        </w:rPr>
      </w:pPr>
      <w:r w:rsidRPr="0070078A">
        <w:rPr>
          <w:rFonts w:ascii="Arial" w:hAnsi="Arial" w:cs="Arial"/>
        </w:rPr>
        <w:t>Management of DME includes Ant-Vascular endothelial derived factors (Ant-VEGF), focal macular photocoagulation or a combination, intravitreal corticosteroids and pars plana vitrectomy (PPV). (Lui et al., 2014).</w:t>
      </w:r>
    </w:p>
    <w:p w:rsidR="001464EC" w:rsidRPr="0070078A" w:rsidRDefault="001464EC" w:rsidP="001464EC">
      <w:pPr>
        <w:jc w:val="both"/>
        <w:rPr>
          <w:rFonts w:ascii="Arial" w:hAnsi="Arial" w:cs="Arial"/>
        </w:rPr>
      </w:pPr>
      <w:r w:rsidRPr="0070078A">
        <w:rPr>
          <w:rFonts w:ascii="Arial" w:hAnsi="Arial" w:cs="Arial"/>
        </w:rPr>
        <w:t xml:space="preserve">The introduction of Ant-VEGF has improved vision impairment. Ant- VEGF medication is like bevacizumab, ranibizumab and aflibercept, which are the first line for treatment of DME. (Kanji et al., 2020). </w:t>
      </w:r>
    </w:p>
    <w:p w:rsidR="001464EC" w:rsidRPr="0070078A" w:rsidRDefault="001464EC" w:rsidP="001464EC">
      <w:pPr>
        <w:jc w:val="both"/>
        <w:rPr>
          <w:rFonts w:ascii="Arial" w:hAnsi="Arial" w:cs="Arial"/>
        </w:rPr>
      </w:pPr>
      <w:r w:rsidRPr="0070078A">
        <w:rPr>
          <w:rFonts w:ascii="Arial" w:hAnsi="Arial" w:cs="Arial"/>
        </w:rPr>
        <w:t xml:space="preserve">Managing DME can be accomplished with a variety of therapeutic options such as intravitreal bevacizumab, focal laser or a combination. Still, opinions differ over whether bevacizumab alone or in combination with focal laser is the best course of action. Also, there is limited published study in Sub-Sahara Africa, East Africa and Tanzania in general that compares the visual outcome of using bevacizumab alone against bevacizumab plus focal laser treatment in DME patients. This study will assist in knowing the one year visual outcome in DME patients at Kilimanjaro Christian Medical Centre who are using intravitreal bevacizumab alone or intravitreal bevacizumab in combination with focal laser also factors affecting visual outcome among two treatment group. </w:t>
      </w:r>
    </w:p>
    <w:p w:rsidR="00790ADA" w:rsidRPr="00FB3A86" w:rsidRDefault="00790ADA" w:rsidP="00441B6F">
      <w:pPr>
        <w:pStyle w:val="AbstHead"/>
        <w:spacing w:after="0"/>
        <w:jc w:val="both"/>
        <w:rPr>
          <w:rFonts w:ascii="Arial" w:hAnsi="Arial" w:cs="Arial"/>
        </w:rPr>
      </w:pPr>
    </w:p>
    <w:p w:rsidR="00790ADA" w:rsidRPr="00FB3A86" w:rsidRDefault="00826B5D" w:rsidP="00826B5D">
      <w:pPr>
        <w:pStyle w:val="Body"/>
        <w:tabs>
          <w:tab w:val="left" w:pos="1567"/>
        </w:tabs>
        <w:spacing w:after="0"/>
        <w:jc w:val="left"/>
        <w:rPr>
          <w:rFonts w:ascii="Arial" w:hAnsi="Arial" w:cs="Arial"/>
        </w:rPr>
      </w:pPr>
      <w:r>
        <w:rPr>
          <w:rFonts w:ascii="Arial" w:hAnsi="Arial" w:cs="Arial"/>
        </w:rPr>
        <w:tab/>
      </w:r>
    </w:p>
    <w:p w:rsidR="007F7B32" w:rsidRDefault="00902823" w:rsidP="00826B5D">
      <w:pPr>
        <w:pStyle w:val="AbstHead"/>
        <w:spacing w:after="0"/>
        <w:rPr>
          <w:rFonts w:ascii="Arial" w:hAnsi="Arial" w:cs="Arial"/>
        </w:rPr>
      </w:pPr>
      <w:r>
        <w:rPr>
          <w:rFonts w:ascii="Arial" w:hAnsi="Arial" w:cs="Arial"/>
        </w:rPr>
        <w:t xml:space="preserve">2. </w:t>
      </w:r>
      <w:r w:rsidR="006B57D0">
        <w:rPr>
          <w:rFonts w:ascii="Arial" w:hAnsi="Arial" w:cs="Arial"/>
        </w:rPr>
        <w:t>methodology</w:t>
      </w:r>
      <w:r w:rsidR="00826B5D">
        <w:rPr>
          <w:rFonts w:ascii="Arial" w:hAnsi="Arial" w:cs="Arial"/>
        </w:rPr>
        <w:t xml:space="preserve"> </w:t>
      </w:r>
    </w:p>
    <w:p w:rsidR="00790ADA" w:rsidRPr="00FB3A86" w:rsidRDefault="00790ADA" w:rsidP="00441B6F">
      <w:pPr>
        <w:pStyle w:val="AbstHead"/>
        <w:spacing w:after="0"/>
        <w:jc w:val="both"/>
        <w:rPr>
          <w:rFonts w:ascii="Arial" w:hAnsi="Arial" w:cs="Arial"/>
        </w:rPr>
      </w:pPr>
    </w:p>
    <w:p w:rsidR="00826B5D" w:rsidRPr="0070078A" w:rsidRDefault="00826B5D" w:rsidP="00826B5D">
      <w:pPr>
        <w:jc w:val="both"/>
        <w:rPr>
          <w:rFonts w:ascii="Arial" w:hAnsi="Arial" w:cs="Arial"/>
        </w:rPr>
      </w:pPr>
      <w:r w:rsidRPr="0070078A">
        <w:rPr>
          <w:rFonts w:ascii="Arial" w:hAnsi="Arial" w:cs="Arial"/>
        </w:rPr>
        <w:t>This was a retrospective cohort study of 1 year follow-up conducted at Kilimanjaro Christian Medical located in Mo</w:t>
      </w:r>
      <w:r w:rsidR="00525523">
        <w:rPr>
          <w:rFonts w:ascii="Arial" w:hAnsi="Arial" w:cs="Arial"/>
        </w:rPr>
        <w:t>shi, Northern Tanzania from</w:t>
      </w:r>
      <w:r w:rsidR="0057408E">
        <w:rPr>
          <w:rFonts w:ascii="Arial" w:hAnsi="Arial" w:cs="Arial"/>
        </w:rPr>
        <w:t xml:space="preserve"> </w:t>
      </w:r>
      <w:r w:rsidRPr="0070078A">
        <w:rPr>
          <w:rFonts w:ascii="Arial" w:hAnsi="Arial" w:cs="Arial"/>
        </w:rPr>
        <w:t>January 2021 to January 2024.  Consecutive sampling technique was used. Inclusion criteria were all patients with diabetic macula edema managed by intravitreal bevacizumab alone and intravitreal bevacizumab plus focal laser and exclusion criteria were presence of vitreomacular traction, epiretinal membrane in addition to DME, patient who had any ocular surgery within 6 month, all patients with retinal visual impairing condition like glaucoma, retinitis pigmentosa, optic atrophy and macula dystrophy, patients with insufficient data of visual acuity, central macular thickness and patients who had pan-retinal photocoagulation, intravitreal triamcinolone within 12 months.</w:t>
      </w:r>
    </w:p>
    <w:p w:rsidR="00826B5D" w:rsidRPr="0070078A" w:rsidRDefault="00826B5D" w:rsidP="00826B5D">
      <w:pPr>
        <w:jc w:val="both"/>
        <w:rPr>
          <w:rFonts w:ascii="Arial" w:hAnsi="Arial" w:cs="Arial"/>
        </w:rPr>
      </w:pPr>
      <w:r w:rsidRPr="0070078A">
        <w:rPr>
          <w:rFonts w:ascii="Arial" w:hAnsi="Arial" w:cs="Arial"/>
        </w:rPr>
        <w:t xml:space="preserve">A data extraction sheet was used to collect data whereby patients with diabetic retinopathy were obtained from the hospital </w:t>
      </w:r>
      <w:proofErr w:type="spellStart"/>
      <w:r w:rsidRPr="0070078A">
        <w:rPr>
          <w:rFonts w:ascii="Arial" w:hAnsi="Arial" w:cs="Arial"/>
        </w:rPr>
        <w:t>eHMS</w:t>
      </w:r>
      <w:proofErr w:type="spellEnd"/>
      <w:r w:rsidRPr="0070078A">
        <w:rPr>
          <w:rFonts w:ascii="Arial" w:hAnsi="Arial" w:cs="Arial"/>
        </w:rPr>
        <w:t xml:space="preserve"> by entering the ICD-10 code with the help of medical records personnel. A list of diabetic retinopathy patients who visited Kilimanjaro Christian Medical from J</w:t>
      </w:r>
      <w:r w:rsidR="00020BD3">
        <w:rPr>
          <w:rFonts w:ascii="Arial" w:hAnsi="Arial" w:cs="Arial"/>
        </w:rPr>
        <w:t xml:space="preserve">anuary 2021 to January 2024 were </w:t>
      </w:r>
      <w:r w:rsidRPr="0070078A">
        <w:rPr>
          <w:rFonts w:ascii="Arial" w:hAnsi="Arial" w:cs="Arial"/>
        </w:rPr>
        <w:t>obtained and DME patients were sor</w:t>
      </w:r>
      <w:r w:rsidR="003C2E81">
        <w:rPr>
          <w:rFonts w:ascii="Arial" w:hAnsi="Arial" w:cs="Arial"/>
        </w:rPr>
        <w:t>ted from them and two groups were</w:t>
      </w:r>
      <w:r w:rsidRPr="0070078A">
        <w:rPr>
          <w:rFonts w:ascii="Arial" w:hAnsi="Arial" w:cs="Arial"/>
        </w:rPr>
        <w:t xml:space="preserve"> obtained from them Group 1 was the patients with DME managed by intravitreal bevacizumab injection alone (2.5 mg/0.1 mL) thereafter came for follow up visits every 6 weeks and group 2 was the one managed by intravitreal </w:t>
      </w:r>
      <w:r w:rsidRPr="0070078A">
        <w:rPr>
          <w:rFonts w:ascii="Arial" w:hAnsi="Arial" w:cs="Arial"/>
        </w:rPr>
        <w:lastRenderedPageBreak/>
        <w:t>bevacizumab injection plus focal laser. Intravitreal bevacizumab was given as of group 1 and focal laser was added after 6 weeks according to the doctor’s decision following OCT findings. From the files age, sex, place of resident, occupation,</w:t>
      </w:r>
      <w:r>
        <w:rPr>
          <w:rFonts w:ascii="Arial" w:hAnsi="Arial" w:cs="Arial"/>
        </w:rPr>
        <w:t xml:space="preserve"> </w:t>
      </w:r>
      <w:r w:rsidRPr="0070078A">
        <w:rPr>
          <w:rFonts w:ascii="Arial" w:hAnsi="Arial" w:cs="Arial"/>
        </w:rPr>
        <w:t xml:space="preserve">hypertension, duration of diabetic mellitus and visual acuity at the baseline, 6th week, 12th week, 18th week and 12th months were recorded. Visual acuity was tested using the Snellen's chart and converted to </w:t>
      </w:r>
      <w:proofErr w:type="spellStart"/>
      <w:r w:rsidRPr="0070078A">
        <w:rPr>
          <w:rFonts w:ascii="Arial" w:hAnsi="Arial" w:cs="Arial"/>
        </w:rPr>
        <w:t>loMAR</w:t>
      </w:r>
      <w:proofErr w:type="spellEnd"/>
      <w:r w:rsidRPr="0070078A">
        <w:rPr>
          <w:rFonts w:ascii="Arial" w:hAnsi="Arial" w:cs="Arial"/>
        </w:rPr>
        <w:t xml:space="preserve">. Centre macula thickness at baseline, 6th week, 12th week and 18th week and 12th month for both groups were obtained from the OCT done (time domain OCT machine, Carl Zeiss, PRIMUS 200, REF 000000-2162-427). Injections or focal laser were stopped once the macular thickness came back to normal level. Normal macular thickness was considered to be ≤ 252 </w:t>
      </w:r>
      <w:proofErr w:type="spellStart"/>
      <w:r w:rsidRPr="0070078A">
        <w:rPr>
          <w:rFonts w:ascii="Arial" w:hAnsi="Arial" w:cs="Arial"/>
        </w:rPr>
        <w:t>μm</w:t>
      </w:r>
      <w:proofErr w:type="spellEnd"/>
      <w:r w:rsidRPr="0070078A">
        <w:rPr>
          <w:rFonts w:ascii="Arial" w:hAnsi="Arial" w:cs="Arial"/>
        </w:rPr>
        <w:t>.</w:t>
      </w:r>
    </w:p>
    <w:p w:rsidR="00826B5D" w:rsidRPr="0070078A" w:rsidRDefault="00826B5D" w:rsidP="00826B5D">
      <w:pPr>
        <w:jc w:val="both"/>
        <w:rPr>
          <w:rFonts w:ascii="Arial" w:hAnsi="Arial" w:cs="Arial"/>
        </w:rPr>
      </w:pPr>
      <w:r w:rsidRPr="0070078A">
        <w:rPr>
          <w:rFonts w:ascii="Arial" w:hAnsi="Arial" w:cs="Arial"/>
        </w:rPr>
        <w:t xml:space="preserve">Data was entered, cleaned and analyzed by using STATA version 17. . Descriptive statistics were carried out whereby categorical variables were summarized using frequency and percentages and numeric variables were summarized using mean with standard deviation (SD) and median with interquartile range (IQR). </w:t>
      </w:r>
    </w:p>
    <w:p w:rsidR="00826B5D" w:rsidRPr="0070078A" w:rsidRDefault="00826B5D" w:rsidP="00826B5D">
      <w:pPr>
        <w:jc w:val="both"/>
        <w:rPr>
          <w:rFonts w:ascii="Arial" w:hAnsi="Arial" w:cs="Arial"/>
        </w:rPr>
      </w:pPr>
      <w:r w:rsidRPr="0070078A">
        <w:rPr>
          <w:rFonts w:ascii="Arial" w:hAnsi="Arial" w:cs="Arial"/>
        </w:rPr>
        <w:t>A univariate analysis was done to obtain the crude hazard ratio (CHR) and a multivariable analysis was done to obtain the adjusted hazard ratio (AHR). Variables with a p-value of &lt; 0.05 were considered statistically significantly.</w:t>
      </w:r>
    </w:p>
    <w:p w:rsidR="00E66E10" w:rsidRDefault="00E66E10" w:rsidP="00441B6F">
      <w:pPr>
        <w:pStyle w:val="Body"/>
        <w:spacing w:after="0"/>
        <w:rPr>
          <w:rFonts w:ascii="Arial" w:hAnsi="Arial" w:cs="Arial"/>
        </w:rPr>
      </w:pPr>
    </w:p>
    <w:p w:rsidR="00790ADA" w:rsidRPr="00FB3A86" w:rsidRDefault="00826B5D" w:rsidP="00826B5D">
      <w:pPr>
        <w:pStyle w:val="Body"/>
        <w:tabs>
          <w:tab w:val="left" w:pos="5242"/>
        </w:tabs>
        <w:spacing w:after="0"/>
        <w:rPr>
          <w:rFonts w:ascii="Arial" w:hAnsi="Arial" w:cs="Arial"/>
        </w:rPr>
      </w:pPr>
      <w:r>
        <w:rPr>
          <w:rFonts w:ascii="Arial" w:hAnsi="Arial" w:cs="Arial"/>
        </w:rPr>
        <w:tab/>
      </w:r>
    </w:p>
    <w:p w:rsidR="00790ADA" w:rsidRPr="00FB3A86" w:rsidRDefault="00790ADA" w:rsidP="00441B6F">
      <w:pPr>
        <w:pStyle w:val="Body"/>
        <w:spacing w:after="0"/>
        <w:rPr>
          <w:rFonts w:ascii="Arial" w:hAnsi="Arial" w:cs="Arial"/>
        </w:rPr>
      </w:pPr>
    </w:p>
    <w:p w:rsidR="003D4A00" w:rsidRDefault="00000F8F" w:rsidP="003D4A00">
      <w:pPr>
        <w:pStyle w:val="Head1"/>
        <w:spacing w:after="0"/>
        <w:rPr>
          <w:rFonts w:ascii="Arial" w:hAnsi="Arial" w:cs="Arial"/>
        </w:rPr>
      </w:pPr>
      <w:r>
        <w:rPr>
          <w:rFonts w:ascii="Arial" w:hAnsi="Arial" w:cs="Arial"/>
        </w:rPr>
        <w:t>3</w:t>
      </w:r>
      <w:r w:rsidR="00902823">
        <w:rPr>
          <w:rFonts w:ascii="Arial" w:hAnsi="Arial" w:cs="Arial"/>
        </w:rPr>
        <w:t xml:space="preserve">. </w:t>
      </w:r>
      <w:r w:rsidR="003D4A00">
        <w:rPr>
          <w:rFonts w:ascii="Arial" w:hAnsi="Arial" w:cs="Arial"/>
        </w:rPr>
        <w:t xml:space="preserve">results </w:t>
      </w:r>
    </w:p>
    <w:p w:rsidR="003D4A00" w:rsidRPr="003D4A00" w:rsidRDefault="003D4A00" w:rsidP="003D4A00">
      <w:pPr>
        <w:pStyle w:val="Head1"/>
        <w:spacing w:after="0"/>
        <w:jc w:val="both"/>
        <w:rPr>
          <w:rFonts w:ascii="Arial" w:hAnsi="Arial" w:cs="Arial"/>
        </w:rPr>
      </w:pPr>
      <w:r w:rsidRPr="009F6BE0">
        <w:rPr>
          <w:rFonts w:ascii="Arial" w:hAnsi="Arial" w:cs="Arial"/>
        </w:rPr>
        <w:tab/>
      </w:r>
    </w:p>
    <w:p w:rsidR="003D4A00" w:rsidRPr="003D4A00" w:rsidRDefault="003D4A00" w:rsidP="003D4A00">
      <w:pPr>
        <w:tabs>
          <w:tab w:val="left" w:pos="6630"/>
        </w:tabs>
        <w:rPr>
          <w:rFonts w:ascii="Arial" w:hAnsi="Arial" w:cs="Arial"/>
          <w:b/>
          <w:sz w:val="22"/>
          <w:szCs w:val="22"/>
        </w:rPr>
      </w:pPr>
      <w:r w:rsidRPr="003D4A00">
        <w:rPr>
          <w:rFonts w:ascii="Arial" w:hAnsi="Arial" w:cs="Arial"/>
          <w:b/>
          <w:sz w:val="22"/>
          <w:szCs w:val="22"/>
        </w:rPr>
        <w:t>3.1 Participants Background Characteristics</w:t>
      </w:r>
      <w:r w:rsidRPr="003D4A00">
        <w:rPr>
          <w:rFonts w:ascii="Arial" w:hAnsi="Arial" w:cs="Arial"/>
          <w:b/>
          <w:sz w:val="22"/>
          <w:szCs w:val="22"/>
        </w:rPr>
        <w:tab/>
      </w:r>
    </w:p>
    <w:p w:rsidR="003D4A00" w:rsidRPr="0070078A" w:rsidRDefault="003D4A00" w:rsidP="003D4A00">
      <w:pPr>
        <w:jc w:val="both"/>
        <w:rPr>
          <w:rFonts w:ascii="Arial" w:hAnsi="Arial" w:cs="Arial"/>
          <w:i/>
        </w:rPr>
      </w:pPr>
      <w:r w:rsidRPr="0070078A">
        <w:rPr>
          <w:rFonts w:ascii="Arial" w:hAnsi="Arial" w:cs="Arial"/>
        </w:rPr>
        <w:t xml:space="preserve">This study comprised 236 diabetic macular edema patients treated at the Kilimanjaro Christian Medical Centre with either intravitreal bevacizumab alone (120) or in combination with a focal laser (116) and followed for 1 year period. Out of the 236 patients that were enrolled in the study, 133 (56.4%) were women and 103 (43.6%) were men. The mean age of the participants was 64.32(±8.38) years. The majority of participants were from Kilimanjaro, 155 (65.7%). Among DME patients in this study, 33 (14%) had diabetic mellitus for &lt;10 years, 166 (70.3 %) between 10 and 20 years and 37 (15.7%) for &gt;20 years. This study also found that most of the participants were hypertensive by 191 (80.9%). The mean baseline VA of patients who received intravitreal bevacizumab alone was 0.86 </w:t>
      </w:r>
      <w:proofErr w:type="spellStart"/>
      <w:r w:rsidRPr="0070078A">
        <w:rPr>
          <w:rFonts w:ascii="Arial" w:hAnsi="Arial" w:cs="Arial"/>
        </w:rPr>
        <w:t>logMAR</w:t>
      </w:r>
      <w:proofErr w:type="spellEnd"/>
      <w:r w:rsidRPr="0070078A">
        <w:rPr>
          <w:rFonts w:ascii="Arial" w:hAnsi="Arial" w:cs="Arial"/>
        </w:rPr>
        <w:t xml:space="preserve"> (±0.49) and in combination was 0.63 </w:t>
      </w:r>
      <w:proofErr w:type="spellStart"/>
      <w:r w:rsidRPr="0070078A">
        <w:rPr>
          <w:rFonts w:ascii="Arial" w:hAnsi="Arial" w:cs="Arial"/>
        </w:rPr>
        <w:t>logMAR</w:t>
      </w:r>
      <w:proofErr w:type="spellEnd"/>
      <w:r w:rsidRPr="0070078A">
        <w:rPr>
          <w:rFonts w:ascii="Arial" w:hAnsi="Arial" w:cs="Arial"/>
        </w:rPr>
        <w:t xml:space="preserve"> (±0.45) and the mean IOP was 14 mmHg (±3.28).</w:t>
      </w:r>
    </w:p>
    <w:p w:rsidR="003D4A00" w:rsidRPr="0070078A" w:rsidRDefault="003D4A00" w:rsidP="003D4A00">
      <w:pPr>
        <w:jc w:val="both"/>
        <w:rPr>
          <w:rFonts w:ascii="Arial" w:hAnsi="Arial" w:cs="Arial"/>
        </w:rPr>
      </w:pPr>
      <w:r w:rsidRPr="0070078A">
        <w:rPr>
          <w:rFonts w:ascii="Arial" w:hAnsi="Arial" w:cs="Arial"/>
        </w:rPr>
        <w:t xml:space="preserve">Those who received intravitreal bevacizumab of ≤3 were 136 (57.6%) and ˃3 was 100 (42.4%) during the treatment period. Also, 69 (59.4%) received less than or equal to one focal laser and 47 (40.5%) received more than one focal laser.  </w:t>
      </w:r>
      <w:r w:rsidRPr="0070078A">
        <w:rPr>
          <w:rFonts w:ascii="Arial" w:hAnsi="Arial" w:cs="Arial"/>
          <w:b/>
        </w:rPr>
        <w:t>Table 1</w:t>
      </w:r>
      <w:r w:rsidRPr="0070078A">
        <w:rPr>
          <w:rFonts w:ascii="Arial" w:hAnsi="Arial" w:cs="Arial"/>
        </w:rPr>
        <w:t xml:space="preserve"> summarized the background characteristics of participants by treatment modality.</w:t>
      </w:r>
    </w:p>
    <w:p w:rsidR="003D4A00" w:rsidRPr="0070078A" w:rsidRDefault="003D4A00" w:rsidP="003D4A00">
      <w:pPr>
        <w:pStyle w:val="Caption"/>
        <w:jc w:val="both"/>
        <w:rPr>
          <w:rFonts w:ascii="Arial" w:hAnsi="Arial" w:cs="Arial"/>
          <w:sz w:val="20"/>
          <w:szCs w:val="20"/>
        </w:rPr>
      </w:pPr>
      <w:r w:rsidRPr="0070078A">
        <w:rPr>
          <w:rFonts w:ascii="Arial" w:hAnsi="Arial" w:cs="Arial"/>
          <w:sz w:val="20"/>
          <w:szCs w:val="20"/>
        </w:rPr>
        <w:t xml:space="preserve">Table </w:t>
      </w:r>
      <w:r w:rsidRPr="0070078A">
        <w:rPr>
          <w:rFonts w:ascii="Arial" w:hAnsi="Arial" w:cs="Arial"/>
          <w:sz w:val="20"/>
          <w:szCs w:val="20"/>
        </w:rPr>
        <w:fldChar w:fldCharType="begin"/>
      </w:r>
      <w:r w:rsidRPr="0070078A">
        <w:rPr>
          <w:rFonts w:ascii="Arial" w:hAnsi="Arial" w:cs="Arial"/>
          <w:sz w:val="20"/>
          <w:szCs w:val="20"/>
        </w:rPr>
        <w:instrText xml:space="preserve"> SEQ Table \* ARABIC </w:instrText>
      </w:r>
      <w:r w:rsidRPr="0070078A">
        <w:rPr>
          <w:rFonts w:ascii="Arial" w:hAnsi="Arial" w:cs="Arial"/>
          <w:sz w:val="20"/>
          <w:szCs w:val="20"/>
        </w:rPr>
        <w:fldChar w:fldCharType="separate"/>
      </w:r>
      <w:r w:rsidRPr="0070078A">
        <w:rPr>
          <w:rFonts w:ascii="Arial" w:hAnsi="Arial" w:cs="Arial"/>
          <w:noProof/>
          <w:sz w:val="20"/>
          <w:szCs w:val="20"/>
        </w:rPr>
        <w:t>1</w:t>
      </w:r>
      <w:r w:rsidRPr="0070078A">
        <w:rPr>
          <w:rFonts w:ascii="Arial" w:hAnsi="Arial" w:cs="Arial"/>
          <w:noProof/>
          <w:sz w:val="20"/>
          <w:szCs w:val="20"/>
        </w:rPr>
        <w:fldChar w:fldCharType="end"/>
      </w:r>
      <w:r w:rsidRPr="0070078A">
        <w:rPr>
          <w:rFonts w:ascii="Arial" w:hAnsi="Arial" w:cs="Arial"/>
          <w:sz w:val="20"/>
          <w:szCs w:val="20"/>
        </w:rPr>
        <w:t>: Participants Background Characteristics by Treatment Modality (N=236)</w:t>
      </w:r>
    </w:p>
    <w:tbl>
      <w:tblPr>
        <w:tblW w:w="10890" w:type="dxa"/>
        <w:jc w:val="center"/>
        <w:tblLook w:val="04A0" w:firstRow="1" w:lastRow="0" w:firstColumn="1" w:lastColumn="0" w:noHBand="0" w:noVBand="1"/>
      </w:tblPr>
      <w:tblGrid>
        <w:gridCol w:w="4135"/>
        <w:gridCol w:w="2056"/>
        <w:gridCol w:w="2598"/>
        <w:gridCol w:w="2101"/>
      </w:tblGrid>
      <w:tr w:rsidR="003D4A00" w:rsidRPr="0070078A" w:rsidTr="00DE6C73">
        <w:trPr>
          <w:trHeight w:val="315"/>
          <w:jc w:val="center"/>
        </w:trPr>
        <w:tc>
          <w:tcPr>
            <w:tcW w:w="4135" w:type="dxa"/>
            <w:tcBorders>
              <w:top w:val="single" w:sz="12" w:space="0" w:color="auto"/>
            </w:tcBorders>
            <w:shd w:val="clear" w:color="auto" w:fill="auto"/>
            <w:noWrap/>
            <w:vAlign w:val="center"/>
            <w:hideMark/>
          </w:tcPr>
          <w:p w:rsidR="003D4A00" w:rsidRPr="0070078A" w:rsidRDefault="003D4A00" w:rsidP="00DE6C73">
            <w:pPr>
              <w:jc w:val="both"/>
              <w:rPr>
                <w:rFonts w:ascii="Arial" w:hAnsi="Arial" w:cs="Arial"/>
                <w:b/>
                <w:bCs/>
                <w:color w:val="000000"/>
              </w:rPr>
            </w:pPr>
            <w:r w:rsidRPr="0070078A">
              <w:rPr>
                <w:rFonts w:ascii="Arial" w:hAnsi="Arial" w:cs="Arial"/>
                <w:b/>
                <w:bCs/>
                <w:color w:val="000000"/>
              </w:rPr>
              <w:t>Characteristic</w:t>
            </w:r>
          </w:p>
        </w:tc>
        <w:tc>
          <w:tcPr>
            <w:tcW w:w="2056" w:type="dxa"/>
            <w:tcBorders>
              <w:top w:val="single" w:sz="12" w:space="0" w:color="auto"/>
              <w:bottom w:val="single" w:sz="12" w:space="0" w:color="auto"/>
            </w:tcBorders>
            <w:shd w:val="clear" w:color="auto" w:fill="auto"/>
            <w:noWrap/>
            <w:vAlign w:val="center"/>
            <w:hideMark/>
          </w:tcPr>
          <w:p w:rsidR="003D4A00" w:rsidRPr="0070078A" w:rsidRDefault="003D4A00" w:rsidP="00DE6C73">
            <w:pPr>
              <w:jc w:val="both"/>
              <w:rPr>
                <w:rFonts w:ascii="Arial" w:hAnsi="Arial" w:cs="Arial"/>
                <w:b/>
                <w:bCs/>
                <w:color w:val="000000"/>
              </w:rPr>
            </w:pPr>
            <w:r w:rsidRPr="0070078A">
              <w:rPr>
                <w:rFonts w:ascii="Arial" w:hAnsi="Arial" w:cs="Arial"/>
                <w:b/>
                <w:bCs/>
                <w:color w:val="000000"/>
              </w:rPr>
              <w:t>Bevacizumab alone</w:t>
            </w:r>
          </w:p>
        </w:tc>
        <w:tc>
          <w:tcPr>
            <w:tcW w:w="2598" w:type="dxa"/>
            <w:tcBorders>
              <w:top w:val="single" w:sz="12" w:space="0" w:color="auto"/>
              <w:bottom w:val="single" w:sz="12" w:space="0" w:color="auto"/>
            </w:tcBorders>
            <w:shd w:val="clear" w:color="auto" w:fill="auto"/>
            <w:noWrap/>
            <w:vAlign w:val="center"/>
            <w:hideMark/>
          </w:tcPr>
          <w:p w:rsidR="003D4A00" w:rsidRPr="0070078A" w:rsidRDefault="003D4A00" w:rsidP="00DE6C73">
            <w:pPr>
              <w:jc w:val="both"/>
              <w:rPr>
                <w:rFonts w:ascii="Arial" w:hAnsi="Arial" w:cs="Arial"/>
                <w:color w:val="000000"/>
              </w:rPr>
            </w:pPr>
            <w:r w:rsidRPr="0070078A">
              <w:rPr>
                <w:rFonts w:ascii="Arial" w:hAnsi="Arial" w:cs="Arial"/>
                <w:b/>
                <w:bCs/>
                <w:color w:val="000000"/>
              </w:rPr>
              <w:t>Bevacizumab plus focal laser</w:t>
            </w:r>
          </w:p>
        </w:tc>
        <w:tc>
          <w:tcPr>
            <w:tcW w:w="2101" w:type="dxa"/>
            <w:tcBorders>
              <w:top w:val="single" w:sz="12" w:space="0" w:color="auto"/>
              <w:bottom w:val="single" w:sz="12" w:space="0" w:color="auto"/>
            </w:tcBorders>
            <w:shd w:val="clear" w:color="auto" w:fill="auto"/>
            <w:noWrap/>
            <w:vAlign w:val="bottom"/>
            <w:hideMark/>
          </w:tcPr>
          <w:p w:rsidR="003D4A00" w:rsidRPr="0070078A" w:rsidRDefault="003D4A00" w:rsidP="00DE6C73">
            <w:pPr>
              <w:jc w:val="both"/>
              <w:rPr>
                <w:rFonts w:ascii="Arial" w:hAnsi="Arial" w:cs="Arial"/>
                <w:b/>
                <w:bCs/>
                <w:color w:val="000000"/>
              </w:rPr>
            </w:pPr>
            <w:r w:rsidRPr="0070078A">
              <w:rPr>
                <w:rFonts w:ascii="Arial" w:hAnsi="Arial" w:cs="Arial"/>
                <w:b/>
                <w:bCs/>
                <w:color w:val="000000"/>
              </w:rPr>
              <w:t>Total</w:t>
            </w:r>
          </w:p>
        </w:tc>
      </w:tr>
      <w:tr w:rsidR="003D4A00" w:rsidRPr="0070078A" w:rsidTr="00DE6C73">
        <w:trPr>
          <w:trHeight w:val="315"/>
          <w:jc w:val="center"/>
        </w:trPr>
        <w:tc>
          <w:tcPr>
            <w:tcW w:w="4135" w:type="dxa"/>
            <w:tcBorders>
              <w:bottom w:val="single" w:sz="12" w:space="0" w:color="auto"/>
            </w:tcBorders>
            <w:shd w:val="clear" w:color="auto" w:fill="auto"/>
            <w:noWrap/>
            <w:vAlign w:val="center"/>
            <w:hideMark/>
          </w:tcPr>
          <w:p w:rsidR="003D4A00" w:rsidRPr="0070078A" w:rsidRDefault="003D4A00" w:rsidP="00DE6C73">
            <w:pPr>
              <w:jc w:val="both"/>
              <w:rPr>
                <w:rFonts w:ascii="Arial" w:hAnsi="Arial" w:cs="Arial"/>
                <w:b/>
                <w:bCs/>
                <w:color w:val="000000"/>
              </w:rPr>
            </w:pPr>
            <w:r w:rsidRPr="0070078A">
              <w:rPr>
                <w:rFonts w:ascii="Arial" w:hAnsi="Arial" w:cs="Arial"/>
                <w:b/>
                <w:bCs/>
                <w:color w:val="000000"/>
              </w:rPr>
              <w:t> </w:t>
            </w:r>
          </w:p>
        </w:tc>
        <w:tc>
          <w:tcPr>
            <w:tcW w:w="2056" w:type="dxa"/>
            <w:tcBorders>
              <w:top w:val="single" w:sz="12" w:space="0" w:color="auto"/>
              <w:bottom w:val="single" w:sz="12" w:space="0" w:color="auto"/>
            </w:tcBorders>
            <w:shd w:val="clear" w:color="auto" w:fill="auto"/>
            <w:noWrap/>
            <w:vAlign w:val="center"/>
            <w:hideMark/>
          </w:tcPr>
          <w:p w:rsidR="003D4A00" w:rsidRPr="0070078A" w:rsidRDefault="003D4A00" w:rsidP="00DE6C73">
            <w:pPr>
              <w:jc w:val="both"/>
              <w:rPr>
                <w:rFonts w:ascii="Arial" w:hAnsi="Arial" w:cs="Arial"/>
                <w:b/>
                <w:bCs/>
                <w:color w:val="000000"/>
              </w:rPr>
            </w:pPr>
            <w:r w:rsidRPr="0070078A">
              <w:rPr>
                <w:rFonts w:ascii="Arial" w:hAnsi="Arial" w:cs="Arial"/>
                <w:b/>
                <w:bCs/>
                <w:color w:val="000000"/>
              </w:rPr>
              <w:t>N=120</w:t>
            </w:r>
          </w:p>
        </w:tc>
        <w:tc>
          <w:tcPr>
            <w:tcW w:w="2598" w:type="dxa"/>
            <w:tcBorders>
              <w:top w:val="single" w:sz="12" w:space="0" w:color="auto"/>
              <w:bottom w:val="single" w:sz="12" w:space="0" w:color="auto"/>
            </w:tcBorders>
            <w:shd w:val="clear" w:color="auto" w:fill="auto"/>
            <w:noWrap/>
            <w:vAlign w:val="center"/>
            <w:hideMark/>
          </w:tcPr>
          <w:p w:rsidR="003D4A00" w:rsidRPr="0070078A" w:rsidRDefault="003D4A00" w:rsidP="00DE6C73">
            <w:pPr>
              <w:jc w:val="both"/>
              <w:rPr>
                <w:rFonts w:ascii="Arial" w:hAnsi="Arial" w:cs="Arial"/>
                <w:color w:val="000000"/>
              </w:rPr>
            </w:pPr>
            <w:r w:rsidRPr="0070078A">
              <w:rPr>
                <w:rFonts w:ascii="Arial" w:hAnsi="Arial" w:cs="Arial"/>
                <w:b/>
                <w:bCs/>
                <w:color w:val="000000"/>
              </w:rPr>
              <w:t>N=116</w:t>
            </w:r>
          </w:p>
        </w:tc>
        <w:tc>
          <w:tcPr>
            <w:tcW w:w="2101" w:type="dxa"/>
            <w:tcBorders>
              <w:top w:val="single" w:sz="12" w:space="0" w:color="auto"/>
              <w:bottom w:val="single" w:sz="12" w:space="0" w:color="auto"/>
            </w:tcBorders>
            <w:shd w:val="clear" w:color="auto" w:fill="auto"/>
            <w:noWrap/>
            <w:vAlign w:val="bottom"/>
            <w:hideMark/>
          </w:tcPr>
          <w:p w:rsidR="003D4A00" w:rsidRPr="0070078A" w:rsidRDefault="003D4A00" w:rsidP="00DE6C73">
            <w:pPr>
              <w:jc w:val="both"/>
              <w:rPr>
                <w:rFonts w:ascii="Arial" w:hAnsi="Arial" w:cs="Arial"/>
                <w:b/>
                <w:bCs/>
                <w:color w:val="000000"/>
              </w:rPr>
            </w:pPr>
            <w:r w:rsidRPr="0070078A">
              <w:rPr>
                <w:rFonts w:ascii="Arial" w:hAnsi="Arial" w:cs="Arial"/>
                <w:b/>
                <w:bCs/>
                <w:color w:val="000000"/>
              </w:rPr>
              <w:t>N=236</w:t>
            </w:r>
          </w:p>
        </w:tc>
      </w:tr>
      <w:tr w:rsidR="003D4A00" w:rsidRPr="0070078A" w:rsidTr="00DE6C73">
        <w:trPr>
          <w:trHeight w:val="315"/>
          <w:jc w:val="center"/>
        </w:trPr>
        <w:tc>
          <w:tcPr>
            <w:tcW w:w="4135" w:type="dxa"/>
            <w:tcBorders>
              <w:top w:val="single" w:sz="12" w:space="0" w:color="auto"/>
            </w:tcBorders>
            <w:shd w:val="clear" w:color="auto" w:fill="auto"/>
            <w:noWrap/>
            <w:vAlign w:val="center"/>
            <w:hideMark/>
          </w:tcPr>
          <w:p w:rsidR="003D4A00" w:rsidRPr="0070078A" w:rsidRDefault="003D4A00" w:rsidP="00DE6C73">
            <w:pPr>
              <w:jc w:val="both"/>
              <w:rPr>
                <w:rFonts w:ascii="Arial" w:hAnsi="Arial" w:cs="Arial"/>
                <w:color w:val="000000"/>
              </w:rPr>
            </w:pPr>
            <w:r w:rsidRPr="0070078A">
              <w:rPr>
                <w:rFonts w:ascii="Arial" w:hAnsi="Arial" w:cs="Arial"/>
                <w:color w:val="000000"/>
              </w:rPr>
              <w:t> </w:t>
            </w:r>
          </w:p>
        </w:tc>
        <w:tc>
          <w:tcPr>
            <w:tcW w:w="2056" w:type="dxa"/>
            <w:tcBorders>
              <w:top w:val="single" w:sz="12" w:space="0" w:color="auto"/>
            </w:tcBorders>
            <w:shd w:val="clear" w:color="auto" w:fill="auto"/>
            <w:noWrap/>
            <w:vAlign w:val="center"/>
            <w:hideMark/>
          </w:tcPr>
          <w:p w:rsidR="003D4A00" w:rsidRPr="0070078A" w:rsidRDefault="003D4A00" w:rsidP="00DE6C73">
            <w:pPr>
              <w:jc w:val="both"/>
              <w:rPr>
                <w:rFonts w:ascii="Arial" w:hAnsi="Arial" w:cs="Arial"/>
                <w:b/>
                <w:bCs/>
                <w:color w:val="000000"/>
              </w:rPr>
            </w:pPr>
          </w:p>
        </w:tc>
        <w:tc>
          <w:tcPr>
            <w:tcW w:w="2598" w:type="dxa"/>
            <w:tcBorders>
              <w:top w:val="single" w:sz="12" w:space="0" w:color="auto"/>
            </w:tcBorders>
            <w:shd w:val="clear" w:color="auto" w:fill="auto"/>
            <w:noWrap/>
            <w:vAlign w:val="bottom"/>
            <w:hideMark/>
          </w:tcPr>
          <w:p w:rsidR="003D4A00" w:rsidRPr="0070078A" w:rsidRDefault="003D4A00" w:rsidP="00DE6C73">
            <w:pPr>
              <w:jc w:val="both"/>
              <w:rPr>
                <w:rFonts w:ascii="Arial" w:hAnsi="Arial" w:cs="Arial"/>
                <w:color w:val="000000"/>
              </w:rPr>
            </w:pPr>
          </w:p>
        </w:tc>
        <w:tc>
          <w:tcPr>
            <w:tcW w:w="2101" w:type="dxa"/>
            <w:tcBorders>
              <w:top w:val="single" w:sz="12" w:space="0" w:color="auto"/>
            </w:tcBorders>
            <w:shd w:val="clear" w:color="auto" w:fill="auto"/>
            <w:noWrap/>
            <w:vAlign w:val="bottom"/>
            <w:hideMark/>
          </w:tcPr>
          <w:p w:rsidR="003D4A00" w:rsidRPr="0070078A" w:rsidRDefault="003D4A00" w:rsidP="00DE6C73">
            <w:pPr>
              <w:jc w:val="both"/>
              <w:rPr>
                <w:rFonts w:ascii="Arial" w:hAnsi="Arial" w:cs="Arial"/>
                <w:color w:val="000000"/>
              </w:rPr>
            </w:pPr>
          </w:p>
        </w:tc>
      </w:tr>
      <w:tr w:rsidR="003D4A00" w:rsidRPr="0070078A" w:rsidTr="00DE6C73">
        <w:trPr>
          <w:trHeight w:val="315"/>
          <w:jc w:val="center"/>
        </w:trPr>
        <w:tc>
          <w:tcPr>
            <w:tcW w:w="4135" w:type="dxa"/>
            <w:shd w:val="clear" w:color="auto" w:fill="auto"/>
            <w:noWrap/>
            <w:vAlign w:val="center"/>
            <w:hideMark/>
          </w:tcPr>
          <w:p w:rsidR="003D4A00" w:rsidRPr="0070078A" w:rsidRDefault="003D4A00" w:rsidP="00DE6C73">
            <w:pPr>
              <w:jc w:val="both"/>
              <w:rPr>
                <w:rFonts w:ascii="Arial" w:hAnsi="Arial" w:cs="Arial"/>
                <w:b/>
                <w:bCs/>
                <w:color w:val="000000"/>
              </w:rPr>
            </w:pPr>
            <w:r w:rsidRPr="0070078A">
              <w:rPr>
                <w:rFonts w:ascii="Arial" w:hAnsi="Arial" w:cs="Arial"/>
                <w:b/>
                <w:bCs/>
                <w:color w:val="000000"/>
              </w:rPr>
              <w:t>Age of the Participant (In years)</w:t>
            </w:r>
          </w:p>
        </w:tc>
        <w:tc>
          <w:tcPr>
            <w:tcW w:w="2056" w:type="dxa"/>
            <w:shd w:val="clear" w:color="auto" w:fill="auto"/>
            <w:noWrap/>
            <w:vAlign w:val="center"/>
            <w:hideMark/>
          </w:tcPr>
          <w:p w:rsidR="003D4A00" w:rsidRPr="0070078A" w:rsidRDefault="003D4A00" w:rsidP="00DE6C73">
            <w:pPr>
              <w:jc w:val="both"/>
              <w:rPr>
                <w:rFonts w:ascii="Arial" w:hAnsi="Arial" w:cs="Arial"/>
                <w:color w:val="000000"/>
              </w:rPr>
            </w:pPr>
          </w:p>
        </w:tc>
        <w:tc>
          <w:tcPr>
            <w:tcW w:w="2598" w:type="dxa"/>
            <w:shd w:val="clear" w:color="auto" w:fill="auto"/>
            <w:noWrap/>
            <w:vAlign w:val="bottom"/>
            <w:hideMark/>
          </w:tcPr>
          <w:p w:rsidR="003D4A00" w:rsidRPr="0070078A" w:rsidRDefault="003D4A00" w:rsidP="00DE6C73">
            <w:pPr>
              <w:jc w:val="both"/>
              <w:rPr>
                <w:rFonts w:ascii="Arial" w:hAnsi="Arial" w:cs="Arial"/>
                <w:color w:val="000000"/>
              </w:rPr>
            </w:pPr>
          </w:p>
        </w:tc>
        <w:tc>
          <w:tcPr>
            <w:tcW w:w="2101" w:type="dxa"/>
            <w:shd w:val="clear" w:color="auto" w:fill="auto"/>
            <w:noWrap/>
            <w:vAlign w:val="bottom"/>
            <w:hideMark/>
          </w:tcPr>
          <w:p w:rsidR="003D4A00" w:rsidRPr="0070078A" w:rsidRDefault="003D4A00" w:rsidP="00DE6C73">
            <w:pPr>
              <w:jc w:val="both"/>
              <w:rPr>
                <w:rFonts w:ascii="Arial" w:hAnsi="Arial" w:cs="Arial"/>
                <w:color w:val="000000"/>
              </w:rPr>
            </w:pPr>
          </w:p>
        </w:tc>
      </w:tr>
      <w:tr w:rsidR="003D4A00" w:rsidRPr="0070078A" w:rsidTr="00DE6C73">
        <w:trPr>
          <w:trHeight w:val="315"/>
          <w:jc w:val="center"/>
        </w:trPr>
        <w:tc>
          <w:tcPr>
            <w:tcW w:w="4135" w:type="dxa"/>
            <w:shd w:val="clear" w:color="auto" w:fill="auto"/>
            <w:noWrap/>
            <w:vAlign w:val="center"/>
            <w:hideMark/>
          </w:tcPr>
          <w:p w:rsidR="003D4A00" w:rsidRPr="0070078A" w:rsidRDefault="003D4A00" w:rsidP="00DE6C73">
            <w:pPr>
              <w:ind w:firstLineChars="300" w:firstLine="600"/>
              <w:jc w:val="both"/>
              <w:rPr>
                <w:rFonts w:ascii="Arial" w:hAnsi="Arial" w:cs="Arial"/>
                <w:color w:val="000000"/>
              </w:rPr>
            </w:pPr>
            <w:r w:rsidRPr="0070078A">
              <w:rPr>
                <w:rFonts w:ascii="Arial" w:hAnsi="Arial" w:cs="Arial"/>
                <w:color w:val="000000"/>
              </w:rPr>
              <w:t>≤60</w:t>
            </w:r>
          </w:p>
        </w:tc>
        <w:tc>
          <w:tcPr>
            <w:tcW w:w="2056" w:type="dxa"/>
            <w:shd w:val="clear" w:color="auto" w:fill="auto"/>
            <w:noWrap/>
            <w:vAlign w:val="center"/>
            <w:hideMark/>
          </w:tcPr>
          <w:p w:rsidR="003D4A00" w:rsidRPr="0070078A" w:rsidRDefault="003D4A00" w:rsidP="00DE6C73">
            <w:pPr>
              <w:jc w:val="both"/>
              <w:rPr>
                <w:rFonts w:ascii="Arial" w:hAnsi="Arial" w:cs="Arial"/>
                <w:color w:val="000000"/>
              </w:rPr>
            </w:pPr>
            <w:r w:rsidRPr="0070078A">
              <w:rPr>
                <w:rFonts w:ascii="Arial" w:hAnsi="Arial" w:cs="Arial"/>
                <w:color w:val="000000"/>
              </w:rPr>
              <w:t>26(21.7)</w:t>
            </w:r>
          </w:p>
        </w:tc>
        <w:tc>
          <w:tcPr>
            <w:tcW w:w="2598" w:type="dxa"/>
            <w:shd w:val="clear" w:color="auto" w:fill="auto"/>
            <w:noWrap/>
            <w:vAlign w:val="bottom"/>
            <w:hideMark/>
          </w:tcPr>
          <w:p w:rsidR="003D4A00" w:rsidRPr="0070078A" w:rsidRDefault="003D4A00" w:rsidP="00DE6C73">
            <w:pPr>
              <w:jc w:val="both"/>
              <w:rPr>
                <w:rFonts w:ascii="Arial" w:hAnsi="Arial" w:cs="Arial"/>
                <w:color w:val="000000"/>
              </w:rPr>
            </w:pPr>
            <w:r w:rsidRPr="0070078A">
              <w:rPr>
                <w:rFonts w:ascii="Arial" w:hAnsi="Arial" w:cs="Arial"/>
                <w:color w:val="000000"/>
              </w:rPr>
              <w:t>35(30.2)</w:t>
            </w:r>
          </w:p>
        </w:tc>
        <w:tc>
          <w:tcPr>
            <w:tcW w:w="2101" w:type="dxa"/>
            <w:shd w:val="clear" w:color="auto" w:fill="auto"/>
            <w:noWrap/>
            <w:vAlign w:val="bottom"/>
            <w:hideMark/>
          </w:tcPr>
          <w:p w:rsidR="003D4A00" w:rsidRPr="0070078A" w:rsidRDefault="003D4A00" w:rsidP="00DE6C73">
            <w:pPr>
              <w:jc w:val="both"/>
              <w:rPr>
                <w:rFonts w:ascii="Arial" w:hAnsi="Arial" w:cs="Arial"/>
                <w:color w:val="000000"/>
              </w:rPr>
            </w:pPr>
            <w:r w:rsidRPr="0070078A">
              <w:rPr>
                <w:rFonts w:ascii="Arial" w:hAnsi="Arial" w:cs="Arial"/>
                <w:color w:val="000000"/>
              </w:rPr>
              <w:t>61(25.8)</w:t>
            </w:r>
          </w:p>
        </w:tc>
      </w:tr>
      <w:tr w:rsidR="003D4A00" w:rsidRPr="0070078A" w:rsidTr="00DE6C73">
        <w:trPr>
          <w:trHeight w:val="315"/>
          <w:jc w:val="center"/>
        </w:trPr>
        <w:tc>
          <w:tcPr>
            <w:tcW w:w="4135" w:type="dxa"/>
            <w:shd w:val="clear" w:color="auto" w:fill="auto"/>
            <w:noWrap/>
            <w:vAlign w:val="center"/>
            <w:hideMark/>
          </w:tcPr>
          <w:p w:rsidR="003D4A00" w:rsidRPr="0070078A" w:rsidRDefault="003D4A00" w:rsidP="00DE6C73">
            <w:pPr>
              <w:ind w:firstLineChars="300" w:firstLine="600"/>
              <w:jc w:val="both"/>
              <w:rPr>
                <w:rFonts w:ascii="Arial" w:hAnsi="Arial" w:cs="Arial"/>
                <w:color w:val="000000"/>
              </w:rPr>
            </w:pPr>
            <w:r w:rsidRPr="0070078A">
              <w:rPr>
                <w:rFonts w:ascii="Arial" w:hAnsi="Arial" w:cs="Arial"/>
                <w:color w:val="000000"/>
              </w:rPr>
              <w:t>&gt;60</w:t>
            </w:r>
          </w:p>
        </w:tc>
        <w:tc>
          <w:tcPr>
            <w:tcW w:w="2056" w:type="dxa"/>
            <w:shd w:val="clear" w:color="auto" w:fill="auto"/>
            <w:noWrap/>
            <w:vAlign w:val="center"/>
            <w:hideMark/>
          </w:tcPr>
          <w:p w:rsidR="003D4A00" w:rsidRPr="0070078A" w:rsidRDefault="003D4A00" w:rsidP="00DE6C73">
            <w:pPr>
              <w:jc w:val="both"/>
              <w:rPr>
                <w:rFonts w:ascii="Arial" w:hAnsi="Arial" w:cs="Arial"/>
                <w:color w:val="000000"/>
              </w:rPr>
            </w:pPr>
            <w:r w:rsidRPr="0070078A">
              <w:rPr>
                <w:rFonts w:ascii="Arial" w:hAnsi="Arial" w:cs="Arial"/>
                <w:color w:val="000000"/>
              </w:rPr>
              <w:t>94(78.3)</w:t>
            </w:r>
          </w:p>
        </w:tc>
        <w:tc>
          <w:tcPr>
            <w:tcW w:w="2598" w:type="dxa"/>
            <w:shd w:val="clear" w:color="auto" w:fill="auto"/>
            <w:noWrap/>
            <w:vAlign w:val="bottom"/>
            <w:hideMark/>
          </w:tcPr>
          <w:p w:rsidR="003D4A00" w:rsidRPr="0070078A" w:rsidRDefault="003D4A00" w:rsidP="00DE6C73">
            <w:pPr>
              <w:jc w:val="both"/>
              <w:rPr>
                <w:rFonts w:ascii="Arial" w:hAnsi="Arial" w:cs="Arial"/>
                <w:color w:val="000000"/>
              </w:rPr>
            </w:pPr>
            <w:r w:rsidRPr="0070078A">
              <w:rPr>
                <w:rFonts w:ascii="Arial" w:hAnsi="Arial" w:cs="Arial"/>
                <w:color w:val="000000"/>
              </w:rPr>
              <w:t>81(69.8)</w:t>
            </w:r>
          </w:p>
        </w:tc>
        <w:tc>
          <w:tcPr>
            <w:tcW w:w="2101" w:type="dxa"/>
            <w:shd w:val="clear" w:color="auto" w:fill="auto"/>
            <w:noWrap/>
            <w:vAlign w:val="bottom"/>
            <w:hideMark/>
          </w:tcPr>
          <w:p w:rsidR="003D4A00" w:rsidRPr="0070078A" w:rsidRDefault="003D4A00" w:rsidP="00DE6C73">
            <w:pPr>
              <w:jc w:val="both"/>
              <w:rPr>
                <w:rFonts w:ascii="Arial" w:hAnsi="Arial" w:cs="Arial"/>
                <w:color w:val="000000"/>
              </w:rPr>
            </w:pPr>
            <w:r w:rsidRPr="0070078A">
              <w:rPr>
                <w:rFonts w:ascii="Arial" w:hAnsi="Arial" w:cs="Arial"/>
                <w:color w:val="000000"/>
              </w:rPr>
              <w:t>175(74.2)</w:t>
            </w:r>
          </w:p>
        </w:tc>
      </w:tr>
      <w:tr w:rsidR="003D4A00" w:rsidRPr="0070078A" w:rsidTr="00DE6C73">
        <w:trPr>
          <w:trHeight w:val="315"/>
          <w:jc w:val="center"/>
        </w:trPr>
        <w:tc>
          <w:tcPr>
            <w:tcW w:w="4135" w:type="dxa"/>
            <w:shd w:val="clear" w:color="auto" w:fill="auto"/>
            <w:noWrap/>
            <w:vAlign w:val="center"/>
            <w:hideMark/>
          </w:tcPr>
          <w:p w:rsidR="003D4A00" w:rsidRPr="0070078A" w:rsidRDefault="003D4A00" w:rsidP="00DE6C73">
            <w:pPr>
              <w:ind w:firstLineChars="300" w:firstLine="602"/>
              <w:jc w:val="both"/>
              <w:rPr>
                <w:rFonts w:ascii="Arial" w:hAnsi="Arial" w:cs="Arial"/>
                <w:b/>
                <w:bCs/>
                <w:i/>
                <w:iCs/>
                <w:color w:val="000000"/>
              </w:rPr>
            </w:pPr>
            <w:r w:rsidRPr="0070078A">
              <w:rPr>
                <w:rFonts w:ascii="Arial" w:hAnsi="Arial" w:cs="Arial"/>
                <w:b/>
                <w:bCs/>
                <w:i/>
                <w:iCs/>
                <w:color w:val="000000"/>
              </w:rPr>
              <w:t>Mean(SD)</w:t>
            </w:r>
          </w:p>
        </w:tc>
        <w:tc>
          <w:tcPr>
            <w:tcW w:w="2056" w:type="dxa"/>
            <w:shd w:val="clear" w:color="auto" w:fill="auto"/>
            <w:noWrap/>
            <w:vAlign w:val="center"/>
            <w:hideMark/>
          </w:tcPr>
          <w:p w:rsidR="003D4A00" w:rsidRPr="0070078A" w:rsidRDefault="003D4A00" w:rsidP="00DE6C73">
            <w:pPr>
              <w:jc w:val="both"/>
              <w:rPr>
                <w:rFonts w:ascii="Arial" w:hAnsi="Arial" w:cs="Arial"/>
                <w:color w:val="000000"/>
              </w:rPr>
            </w:pPr>
            <w:r w:rsidRPr="0070078A">
              <w:rPr>
                <w:rFonts w:ascii="Arial" w:hAnsi="Arial" w:cs="Arial"/>
                <w:color w:val="000000"/>
              </w:rPr>
              <w:t>66.37(±8.71)</w:t>
            </w:r>
          </w:p>
        </w:tc>
        <w:tc>
          <w:tcPr>
            <w:tcW w:w="2598" w:type="dxa"/>
            <w:shd w:val="clear" w:color="auto" w:fill="auto"/>
            <w:noWrap/>
            <w:vAlign w:val="bottom"/>
            <w:hideMark/>
          </w:tcPr>
          <w:p w:rsidR="003D4A00" w:rsidRPr="0070078A" w:rsidRDefault="003D4A00" w:rsidP="00DE6C73">
            <w:pPr>
              <w:jc w:val="both"/>
              <w:rPr>
                <w:rFonts w:ascii="Arial" w:hAnsi="Arial" w:cs="Arial"/>
                <w:color w:val="000000"/>
              </w:rPr>
            </w:pPr>
            <w:r w:rsidRPr="0070078A">
              <w:rPr>
                <w:rFonts w:ascii="Arial" w:hAnsi="Arial" w:cs="Arial"/>
                <w:color w:val="000000"/>
              </w:rPr>
              <w:t>62.20(±7.49)</w:t>
            </w:r>
          </w:p>
        </w:tc>
        <w:tc>
          <w:tcPr>
            <w:tcW w:w="2101" w:type="dxa"/>
            <w:shd w:val="clear" w:color="auto" w:fill="auto"/>
            <w:noWrap/>
            <w:vAlign w:val="center"/>
            <w:hideMark/>
          </w:tcPr>
          <w:p w:rsidR="003D4A00" w:rsidRPr="0070078A" w:rsidRDefault="003D4A00" w:rsidP="00DE6C73">
            <w:pPr>
              <w:jc w:val="both"/>
              <w:rPr>
                <w:rFonts w:ascii="Arial" w:hAnsi="Arial" w:cs="Arial"/>
                <w:i/>
                <w:iCs/>
                <w:color w:val="000000"/>
              </w:rPr>
            </w:pPr>
            <w:r w:rsidRPr="0070078A">
              <w:rPr>
                <w:rFonts w:ascii="Arial" w:hAnsi="Arial" w:cs="Arial"/>
                <w:i/>
                <w:iCs/>
                <w:color w:val="000000"/>
              </w:rPr>
              <w:t>64.32(±8.38)</w:t>
            </w:r>
          </w:p>
        </w:tc>
      </w:tr>
      <w:tr w:rsidR="003D4A00" w:rsidRPr="0070078A" w:rsidTr="00DE6C73">
        <w:trPr>
          <w:trHeight w:val="315"/>
          <w:jc w:val="center"/>
        </w:trPr>
        <w:tc>
          <w:tcPr>
            <w:tcW w:w="4135" w:type="dxa"/>
            <w:shd w:val="clear" w:color="auto" w:fill="auto"/>
            <w:noWrap/>
            <w:vAlign w:val="center"/>
            <w:hideMark/>
          </w:tcPr>
          <w:p w:rsidR="003D4A00" w:rsidRPr="0070078A" w:rsidRDefault="003D4A00" w:rsidP="00DE6C73">
            <w:pPr>
              <w:jc w:val="both"/>
              <w:rPr>
                <w:rFonts w:ascii="Arial" w:hAnsi="Arial" w:cs="Arial"/>
                <w:b/>
                <w:bCs/>
                <w:color w:val="000000"/>
              </w:rPr>
            </w:pPr>
            <w:r w:rsidRPr="0070078A">
              <w:rPr>
                <w:rFonts w:ascii="Arial" w:hAnsi="Arial" w:cs="Arial"/>
                <w:b/>
                <w:bCs/>
                <w:color w:val="000000"/>
              </w:rPr>
              <w:t xml:space="preserve">Sex of the participant </w:t>
            </w:r>
          </w:p>
        </w:tc>
        <w:tc>
          <w:tcPr>
            <w:tcW w:w="2056" w:type="dxa"/>
            <w:shd w:val="clear" w:color="auto" w:fill="auto"/>
            <w:noWrap/>
            <w:vAlign w:val="center"/>
            <w:hideMark/>
          </w:tcPr>
          <w:p w:rsidR="003D4A00" w:rsidRPr="0070078A" w:rsidRDefault="003D4A00" w:rsidP="00DE6C73">
            <w:pPr>
              <w:jc w:val="both"/>
              <w:rPr>
                <w:rFonts w:ascii="Arial" w:hAnsi="Arial" w:cs="Arial"/>
                <w:color w:val="000000"/>
              </w:rPr>
            </w:pPr>
          </w:p>
        </w:tc>
        <w:tc>
          <w:tcPr>
            <w:tcW w:w="2598" w:type="dxa"/>
            <w:shd w:val="clear" w:color="auto" w:fill="auto"/>
            <w:noWrap/>
            <w:vAlign w:val="bottom"/>
            <w:hideMark/>
          </w:tcPr>
          <w:p w:rsidR="003D4A00" w:rsidRPr="0070078A" w:rsidRDefault="003D4A00" w:rsidP="00DE6C73">
            <w:pPr>
              <w:jc w:val="both"/>
              <w:rPr>
                <w:rFonts w:ascii="Arial" w:hAnsi="Arial" w:cs="Arial"/>
                <w:color w:val="000000"/>
              </w:rPr>
            </w:pPr>
          </w:p>
        </w:tc>
        <w:tc>
          <w:tcPr>
            <w:tcW w:w="2101" w:type="dxa"/>
            <w:shd w:val="clear" w:color="auto" w:fill="auto"/>
            <w:noWrap/>
            <w:vAlign w:val="bottom"/>
            <w:hideMark/>
          </w:tcPr>
          <w:p w:rsidR="003D4A00" w:rsidRPr="0070078A" w:rsidRDefault="003D4A00" w:rsidP="00DE6C73">
            <w:pPr>
              <w:jc w:val="both"/>
              <w:rPr>
                <w:rFonts w:ascii="Arial" w:hAnsi="Arial" w:cs="Arial"/>
                <w:color w:val="000000"/>
              </w:rPr>
            </w:pPr>
          </w:p>
        </w:tc>
      </w:tr>
      <w:tr w:rsidR="003D4A00" w:rsidRPr="0070078A" w:rsidTr="00DE6C73">
        <w:trPr>
          <w:trHeight w:val="315"/>
          <w:jc w:val="center"/>
        </w:trPr>
        <w:tc>
          <w:tcPr>
            <w:tcW w:w="4135" w:type="dxa"/>
            <w:shd w:val="clear" w:color="auto" w:fill="auto"/>
            <w:noWrap/>
            <w:vAlign w:val="center"/>
            <w:hideMark/>
          </w:tcPr>
          <w:p w:rsidR="003D4A00" w:rsidRPr="0070078A" w:rsidRDefault="003D4A00" w:rsidP="00DE6C73">
            <w:pPr>
              <w:ind w:firstLineChars="300" w:firstLine="600"/>
              <w:jc w:val="both"/>
              <w:rPr>
                <w:rFonts w:ascii="Arial" w:hAnsi="Arial" w:cs="Arial"/>
                <w:color w:val="000000"/>
              </w:rPr>
            </w:pPr>
            <w:r w:rsidRPr="0070078A">
              <w:rPr>
                <w:rFonts w:ascii="Arial" w:hAnsi="Arial" w:cs="Arial"/>
                <w:color w:val="000000"/>
              </w:rPr>
              <w:t>Female</w:t>
            </w:r>
          </w:p>
        </w:tc>
        <w:tc>
          <w:tcPr>
            <w:tcW w:w="2056" w:type="dxa"/>
            <w:shd w:val="clear" w:color="auto" w:fill="auto"/>
            <w:noWrap/>
            <w:vAlign w:val="center"/>
            <w:hideMark/>
          </w:tcPr>
          <w:p w:rsidR="003D4A00" w:rsidRPr="0070078A" w:rsidRDefault="003D4A00" w:rsidP="00DE6C73">
            <w:pPr>
              <w:jc w:val="both"/>
              <w:rPr>
                <w:rFonts w:ascii="Arial" w:hAnsi="Arial" w:cs="Arial"/>
                <w:color w:val="000000"/>
              </w:rPr>
            </w:pPr>
            <w:r w:rsidRPr="0070078A">
              <w:rPr>
                <w:rFonts w:ascii="Arial" w:hAnsi="Arial" w:cs="Arial"/>
                <w:color w:val="000000"/>
              </w:rPr>
              <w:t>60(50)</w:t>
            </w:r>
          </w:p>
        </w:tc>
        <w:tc>
          <w:tcPr>
            <w:tcW w:w="2598" w:type="dxa"/>
            <w:shd w:val="clear" w:color="auto" w:fill="auto"/>
            <w:noWrap/>
            <w:vAlign w:val="bottom"/>
            <w:hideMark/>
          </w:tcPr>
          <w:p w:rsidR="003D4A00" w:rsidRPr="0070078A" w:rsidRDefault="003D4A00" w:rsidP="00DE6C73">
            <w:pPr>
              <w:jc w:val="both"/>
              <w:rPr>
                <w:rFonts w:ascii="Arial" w:hAnsi="Arial" w:cs="Arial"/>
                <w:color w:val="000000"/>
              </w:rPr>
            </w:pPr>
            <w:r w:rsidRPr="0070078A">
              <w:rPr>
                <w:rFonts w:ascii="Arial" w:hAnsi="Arial" w:cs="Arial"/>
                <w:color w:val="000000"/>
              </w:rPr>
              <w:t>73(62.9)</w:t>
            </w:r>
          </w:p>
        </w:tc>
        <w:tc>
          <w:tcPr>
            <w:tcW w:w="2101" w:type="dxa"/>
            <w:shd w:val="clear" w:color="auto" w:fill="auto"/>
            <w:noWrap/>
            <w:vAlign w:val="bottom"/>
            <w:hideMark/>
          </w:tcPr>
          <w:p w:rsidR="003D4A00" w:rsidRPr="0070078A" w:rsidRDefault="003D4A00" w:rsidP="00DE6C73">
            <w:pPr>
              <w:jc w:val="both"/>
              <w:rPr>
                <w:rFonts w:ascii="Arial" w:hAnsi="Arial" w:cs="Arial"/>
                <w:color w:val="000000"/>
              </w:rPr>
            </w:pPr>
            <w:r w:rsidRPr="0070078A">
              <w:rPr>
                <w:rFonts w:ascii="Arial" w:hAnsi="Arial" w:cs="Arial"/>
                <w:color w:val="000000"/>
              </w:rPr>
              <w:t>133(56.4)</w:t>
            </w:r>
          </w:p>
        </w:tc>
      </w:tr>
      <w:tr w:rsidR="003D4A00" w:rsidRPr="0070078A" w:rsidTr="00DE6C73">
        <w:trPr>
          <w:trHeight w:val="315"/>
          <w:jc w:val="center"/>
        </w:trPr>
        <w:tc>
          <w:tcPr>
            <w:tcW w:w="4135" w:type="dxa"/>
            <w:shd w:val="clear" w:color="auto" w:fill="auto"/>
            <w:noWrap/>
            <w:vAlign w:val="center"/>
            <w:hideMark/>
          </w:tcPr>
          <w:p w:rsidR="003D4A00" w:rsidRPr="0070078A" w:rsidRDefault="003D4A00" w:rsidP="00DE6C73">
            <w:pPr>
              <w:ind w:firstLineChars="300" w:firstLine="600"/>
              <w:jc w:val="both"/>
              <w:rPr>
                <w:rFonts w:ascii="Arial" w:hAnsi="Arial" w:cs="Arial"/>
                <w:color w:val="000000"/>
              </w:rPr>
            </w:pPr>
            <w:r w:rsidRPr="0070078A">
              <w:rPr>
                <w:rFonts w:ascii="Arial" w:hAnsi="Arial" w:cs="Arial"/>
                <w:color w:val="000000"/>
              </w:rPr>
              <w:lastRenderedPageBreak/>
              <w:t>Male</w:t>
            </w:r>
          </w:p>
        </w:tc>
        <w:tc>
          <w:tcPr>
            <w:tcW w:w="2056" w:type="dxa"/>
            <w:shd w:val="clear" w:color="auto" w:fill="auto"/>
            <w:noWrap/>
            <w:vAlign w:val="center"/>
            <w:hideMark/>
          </w:tcPr>
          <w:p w:rsidR="003D4A00" w:rsidRPr="0070078A" w:rsidRDefault="003D4A00" w:rsidP="00DE6C73">
            <w:pPr>
              <w:jc w:val="both"/>
              <w:rPr>
                <w:rFonts w:ascii="Arial" w:hAnsi="Arial" w:cs="Arial"/>
                <w:color w:val="000000"/>
              </w:rPr>
            </w:pPr>
            <w:r w:rsidRPr="0070078A">
              <w:rPr>
                <w:rFonts w:ascii="Arial" w:hAnsi="Arial" w:cs="Arial"/>
                <w:color w:val="000000"/>
              </w:rPr>
              <w:t>60(50)</w:t>
            </w:r>
          </w:p>
        </w:tc>
        <w:tc>
          <w:tcPr>
            <w:tcW w:w="2598" w:type="dxa"/>
            <w:shd w:val="clear" w:color="auto" w:fill="auto"/>
            <w:noWrap/>
            <w:vAlign w:val="bottom"/>
            <w:hideMark/>
          </w:tcPr>
          <w:p w:rsidR="003D4A00" w:rsidRPr="0070078A" w:rsidRDefault="003D4A00" w:rsidP="00DE6C73">
            <w:pPr>
              <w:jc w:val="both"/>
              <w:rPr>
                <w:rFonts w:ascii="Arial" w:hAnsi="Arial" w:cs="Arial"/>
                <w:color w:val="000000"/>
              </w:rPr>
            </w:pPr>
            <w:r w:rsidRPr="0070078A">
              <w:rPr>
                <w:rFonts w:ascii="Arial" w:hAnsi="Arial" w:cs="Arial"/>
                <w:color w:val="000000"/>
              </w:rPr>
              <w:t>43(37.1)</w:t>
            </w:r>
          </w:p>
        </w:tc>
        <w:tc>
          <w:tcPr>
            <w:tcW w:w="2101" w:type="dxa"/>
            <w:shd w:val="clear" w:color="auto" w:fill="auto"/>
            <w:noWrap/>
            <w:vAlign w:val="bottom"/>
            <w:hideMark/>
          </w:tcPr>
          <w:p w:rsidR="003D4A00" w:rsidRPr="0070078A" w:rsidRDefault="003D4A00" w:rsidP="00DE6C73">
            <w:pPr>
              <w:jc w:val="both"/>
              <w:rPr>
                <w:rFonts w:ascii="Arial" w:hAnsi="Arial" w:cs="Arial"/>
                <w:color w:val="000000"/>
              </w:rPr>
            </w:pPr>
            <w:r w:rsidRPr="0070078A">
              <w:rPr>
                <w:rFonts w:ascii="Arial" w:hAnsi="Arial" w:cs="Arial"/>
                <w:color w:val="000000"/>
              </w:rPr>
              <w:t>103(43.6)</w:t>
            </w:r>
          </w:p>
        </w:tc>
      </w:tr>
      <w:tr w:rsidR="003D4A00" w:rsidRPr="0070078A" w:rsidTr="00DE6C73">
        <w:trPr>
          <w:trHeight w:val="315"/>
          <w:jc w:val="center"/>
        </w:trPr>
        <w:tc>
          <w:tcPr>
            <w:tcW w:w="4135" w:type="dxa"/>
            <w:shd w:val="clear" w:color="auto" w:fill="auto"/>
            <w:noWrap/>
            <w:vAlign w:val="center"/>
            <w:hideMark/>
          </w:tcPr>
          <w:p w:rsidR="003D4A00" w:rsidRPr="0070078A" w:rsidRDefault="003D4A00" w:rsidP="00DE6C73">
            <w:pPr>
              <w:jc w:val="both"/>
              <w:rPr>
                <w:rFonts w:ascii="Arial" w:hAnsi="Arial" w:cs="Arial"/>
                <w:b/>
                <w:bCs/>
                <w:color w:val="000000"/>
              </w:rPr>
            </w:pPr>
            <w:r w:rsidRPr="0070078A">
              <w:rPr>
                <w:rFonts w:ascii="Arial" w:hAnsi="Arial" w:cs="Arial"/>
                <w:b/>
                <w:bCs/>
                <w:color w:val="000000"/>
              </w:rPr>
              <w:t>Residence</w:t>
            </w:r>
          </w:p>
        </w:tc>
        <w:tc>
          <w:tcPr>
            <w:tcW w:w="2056" w:type="dxa"/>
            <w:shd w:val="clear" w:color="auto" w:fill="auto"/>
            <w:noWrap/>
            <w:vAlign w:val="center"/>
            <w:hideMark/>
          </w:tcPr>
          <w:p w:rsidR="003D4A00" w:rsidRPr="0070078A" w:rsidRDefault="003D4A00" w:rsidP="00DE6C73">
            <w:pPr>
              <w:jc w:val="both"/>
              <w:rPr>
                <w:rFonts w:ascii="Arial" w:hAnsi="Arial" w:cs="Arial"/>
                <w:color w:val="000000"/>
              </w:rPr>
            </w:pPr>
          </w:p>
        </w:tc>
        <w:tc>
          <w:tcPr>
            <w:tcW w:w="2598" w:type="dxa"/>
            <w:shd w:val="clear" w:color="auto" w:fill="auto"/>
            <w:noWrap/>
            <w:vAlign w:val="bottom"/>
            <w:hideMark/>
          </w:tcPr>
          <w:p w:rsidR="003D4A00" w:rsidRPr="0070078A" w:rsidRDefault="003D4A00" w:rsidP="00DE6C73">
            <w:pPr>
              <w:jc w:val="both"/>
              <w:rPr>
                <w:rFonts w:ascii="Arial" w:hAnsi="Arial" w:cs="Arial"/>
                <w:color w:val="000000"/>
              </w:rPr>
            </w:pPr>
          </w:p>
        </w:tc>
        <w:tc>
          <w:tcPr>
            <w:tcW w:w="2101" w:type="dxa"/>
            <w:shd w:val="clear" w:color="auto" w:fill="auto"/>
            <w:noWrap/>
            <w:vAlign w:val="bottom"/>
            <w:hideMark/>
          </w:tcPr>
          <w:p w:rsidR="003D4A00" w:rsidRPr="0070078A" w:rsidRDefault="003D4A00" w:rsidP="00DE6C73">
            <w:pPr>
              <w:jc w:val="both"/>
              <w:rPr>
                <w:rFonts w:ascii="Arial" w:hAnsi="Arial" w:cs="Arial"/>
                <w:color w:val="000000"/>
              </w:rPr>
            </w:pPr>
          </w:p>
        </w:tc>
      </w:tr>
      <w:tr w:rsidR="003D4A00" w:rsidRPr="0070078A" w:rsidTr="00DE6C73">
        <w:trPr>
          <w:trHeight w:val="315"/>
          <w:jc w:val="center"/>
        </w:trPr>
        <w:tc>
          <w:tcPr>
            <w:tcW w:w="4135" w:type="dxa"/>
            <w:shd w:val="clear" w:color="auto" w:fill="auto"/>
            <w:noWrap/>
            <w:vAlign w:val="center"/>
            <w:hideMark/>
          </w:tcPr>
          <w:p w:rsidR="003D4A00" w:rsidRPr="0070078A" w:rsidRDefault="003D4A00" w:rsidP="00DE6C73">
            <w:pPr>
              <w:ind w:firstLineChars="300" w:firstLine="600"/>
              <w:jc w:val="both"/>
              <w:rPr>
                <w:rFonts w:ascii="Arial" w:hAnsi="Arial" w:cs="Arial"/>
                <w:color w:val="000000"/>
              </w:rPr>
            </w:pPr>
            <w:r w:rsidRPr="0070078A">
              <w:rPr>
                <w:rFonts w:ascii="Arial" w:hAnsi="Arial" w:cs="Arial"/>
                <w:color w:val="000000"/>
              </w:rPr>
              <w:t>Kilimanjaro</w:t>
            </w:r>
          </w:p>
        </w:tc>
        <w:tc>
          <w:tcPr>
            <w:tcW w:w="2056" w:type="dxa"/>
            <w:shd w:val="clear" w:color="auto" w:fill="auto"/>
            <w:noWrap/>
            <w:vAlign w:val="center"/>
            <w:hideMark/>
          </w:tcPr>
          <w:p w:rsidR="003D4A00" w:rsidRPr="0070078A" w:rsidRDefault="003D4A00" w:rsidP="00DE6C73">
            <w:pPr>
              <w:jc w:val="both"/>
              <w:rPr>
                <w:rFonts w:ascii="Arial" w:hAnsi="Arial" w:cs="Arial"/>
                <w:color w:val="000000"/>
              </w:rPr>
            </w:pPr>
            <w:r w:rsidRPr="0070078A">
              <w:rPr>
                <w:rFonts w:ascii="Arial" w:hAnsi="Arial" w:cs="Arial"/>
                <w:color w:val="000000"/>
              </w:rPr>
              <w:t>81(67.5)</w:t>
            </w:r>
          </w:p>
        </w:tc>
        <w:tc>
          <w:tcPr>
            <w:tcW w:w="2598" w:type="dxa"/>
            <w:shd w:val="clear" w:color="auto" w:fill="auto"/>
            <w:noWrap/>
            <w:vAlign w:val="bottom"/>
            <w:hideMark/>
          </w:tcPr>
          <w:p w:rsidR="003D4A00" w:rsidRPr="0070078A" w:rsidRDefault="003D4A00" w:rsidP="00DE6C73">
            <w:pPr>
              <w:jc w:val="both"/>
              <w:rPr>
                <w:rFonts w:ascii="Arial" w:hAnsi="Arial" w:cs="Arial"/>
                <w:color w:val="000000"/>
              </w:rPr>
            </w:pPr>
            <w:r w:rsidRPr="0070078A">
              <w:rPr>
                <w:rFonts w:ascii="Arial" w:hAnsi="Arial" w:cs="Arial"/>
                <w:color w:val="000000"/>
              </w:rPr>
              <w:t>74(63.8)</w:t>
            </w:r>
          </w:p>
        </w:tc>
        <w:tc>
          <w:tcPr>
            <w:tcW w:w="2101" w:type="dxa"/>
            <w:shd w:val="clear" w:color="auto" w:fill="auto"/>
            <w:noWrap/>
            <w:vAlign w:val="bottom"/>
            <w:hideMark/>
          </w:tcPr>
          <w:p w:rsidR="003D4A00" w:rsidRPr="0070078A" w:rsidRDefault="003D4A00" w:rsidP="00DE6C73">
            <w:pPr>
              <w:jc w:val="both"/>
              <w:rPr>
                <w:rFonts w:ascii="Arial" w:hAnsi="Arial" w:cs="Arial"/>
                <w:color w:val="000000"/>
              </w:rPr>
            </w:pPr>
            <w:r w:rsidRPr="0070078A">
              <w:rPr>
                <w:rFonts w:ascii="Arial" w:hAnsi="Arial" w:cs="Arial"/>
                <w:color w:val="000000"/>
              </w:rPr>
              <w:t>155(65.7)</w:t>
            </w:r>
          </w:p>
        </w:tc>
      </w:tr>
      <w:tr w:rsidR="003D4A00" w:rsidRPr="0070078A" w:rsidTr="00DE6C73">
        <w:trPr>
          <w:trHeight w:val="315"/>
          <w:jc w:val="center"/>
        </w:trPr>
        <w:tc>
          <w:tcPr>
            <w:tcW w:w="4135" w:type="dxa"/>
            <w:shd w:val="clear" w:color="auto" w:fill="auto"/>
            <w:noWrap/>
            <w:vAlign w:val="center"/>
            <w:hideMark/>
          </w:tcPr>
          <w:p w:rsidR="003D4A00" w:rsidRPr="0070078A" w:rsidRDefault="003D4A00" w:rsidP="00DE6C73">
            <w:pPr>
              <w:ind w:firstLineChars="300" w:firstLine="600"/>
              <w:jc w:val="both"/>
              <w:rPr>
                <w:rFonts w:ascii="Arial" w:hAnsi="Arial" w:cs="Arial"/>
                <w:color w:val="000000"/>
              </w:rPr>
            </w:pPr>
            <w:r w:rsidRPr="0070078A">
              <w:rPr>
                <w:rFonts w:ascii="Arial" w:hAnsi="Arial" w:cs="Arial"/>
                <w:color w:val="000000"/>
              </w:rPr>
              <w:t>Out of Kilimanjaro</w:t>
            </w:r>
          </w:p>
        </w:tc>
        <w:tc>
          <w:tcPr>
            <w:tcW w:w="2056" w:type="dxa"/>
            <w:shd w:val="clear" w:color="auto" w:fill="auto"/>
            <w:noWrap/>
            <w:vAlign w:val="center"/>
            <w:hideMark/>
          </w:tcPr>
          <w:p w:rsidR="003D4A00" w:rsidRPr="0070078A" w:rsidRDefault="003D4A00" w:rsidP="00DE6C73">
            <w:pPr>
              <w:jc w:val="both"/>
              <w:rPr>
                <w:rFonts w:ascii="Arial" w:hAnsi="Arial" w:cs="Arial"/>
                <w:color w:val="000000"/>
              </w:rPr>
            </w:pPr>
            <w:r w:rsidRPr="0070078A">
              <w:rPr>
                <w:rFonts w:ascii="Arial" w:hAnsi="Arial" w:cs="Arial"/>
                <w:color w:val="000000"/>
              </w:rPr>
              <w:t>39(32.5)</w:t>
            </w:r>
          </w:p>
        </w:tc>
        <w:tc>
          <w:tcPr>
            <w:tcW w:w="2598" w:type="dxa"/>
            <w:shd w:val="clear" w:color="auto" w:fill="auto"/>
            <w:noWrap/>
            <w:vAlign w:val="bottom"/>
            <w:hideMark/>
          </w:tcPr>
          <w:p w:rsidR="003D4A00" w:rsidRPr="0070078A" w:rsidRDefault="003D4A00" w:rsidP="00DE6C73">
            <w:pPr>
              <w:jc w:val="both"/>
              <w:rPr>
                <w:rFonts w:ascii="Arial" w:hAnsi="Arial" w:cs="Arial"/>
                <w:color w:val="000000"/>
              </w:rPr>
            </w:pPr>
            <w:r w:rsidRPr="0070078A">
              <w:rPr>
                <w:rFonts w:ascii="Arial" w:hAnsi="Arial" w:cs="Arial"/>
                <w:color w:val="000000"/>
              </w:rPr>
              <w:t>42(36.2)</w:t>
            </w:r>
          </w:p>
        </w:tc>
        <w:tc>
          <w:tcPr>
            <w:tcW w:w="2101" w:type="dxa"/>
            <w:shd w:val="clear" w:color="auto" w:fill="auto"/>
            <w:noWrap/>
            <w:vAlign w:val="bottom"/>
            <w:hideMark/>
          </w:tcPr>
          <w:p w:rsidR="003D4A00" w:rsidRPr="0070078A" w:rsidRDefault="003D4A00" w:rsidP="00DE6C73">
            <w:pPr>
              <w:jc w:val="both"/>
              <w:rPr>
                <w:rFonts w:ascii="Arial" w:hAnsi="Arial" w:cs="Arial"/>
                <w:color w:val="000000"/>
              </w:rPr>
            </w:pPr>
            <w:r w:rsidRPr="0070078A">
              <w:rPr>
                <w:rFonts w:ascii="Arial" w:hAnsi="Arial" w:cs="Arial"/>
                <w:color w:val="000000"/>
              </w:rPr>
              <w:t>81(34.3)</w:t>
            </w:r>
          </w:p>
        </w:tc>
      </w:tr>
      <w:tr w:rsidR="003D4A00" w:rsidRPr="0070078A" w:rsidTr="00DE6C73">
        <w:trPr>
          <w:trHeight w:val="315"/>
          <w:jc w:val="center"/>
        </w:trPr>
        <w:tc>
          <w:tcPr>
            <w:tcW w:w="4135" w:type="dxa"/>
            <w:shd w:val="clear" w:color="auto" w:fill="auto"/>
            <w:noWrap/>
            <w:vAlign w:val="center"/>
            <w:hideMark/>
          </w:tcPr>
          <w:p w:rsidR="003D4A00" w:rsidRPr="0070078A" w:rsidRDefault="003D4A00" w:rsidP="00DE6C73">
            <w:pPr>
              <w:jc w:val="both"/>
              <w:rPr>
                <w:rFonts w:ascii="Arial" w:hAnsi="Arial" w:cs="Arial"/>
                <w:b/>
                <w:bCs/>
                <w:color w:val="000000"/>
              </w:rPr>
            </w:pPr>
            <w:r w:rsidRPr="0070078A">
              <w:rPr>
                <w:rFonts w:ascii="Arial" w:hAnsi="Arial" w:cs="Arial"/>
                <w:b/>
                <w:bCs/>
                <w:color w:val="000000"/>
              </w:rPr>
              <w:t>Occupation</w:t>
            </w:r>
          </w:p>
        </w:tc>
        <w:tc>
          <w:tcPr>
            <w:tcW w:w="2056" w:type="dxa"/>
            <w:shd w:val="clear" w:color="auto" w:fill="auto"/>
            <w:noWrap/>
            <w:vAlign w:val="center"/>
            <w:hideMark/>
          </w:tcPr>
          <w:p w:rsidR="003D4A00" w:rsidRPr="0070078A" w:rsidRDefault="003D4A00" w:rsidP="00DE6C73">
            <w:pPr>
              <w:jc w:val="both"/>
              <w:rPr>
                <w:rFonts w:ascii="Arial" w:hAnsi="Arial" w:cs="Arial"/>
                <w:color w:val="000000"/>
              </w:rPr>
            </w:pPr>
          </w:p>
        </w:tc>
        <w:tc>
          <w:tcPr>
            <w:tcW w:w="2598" w:type="dxa"/>
            <w:shd w:val="clear" w:color="auto" w:fill="auto"/>
            <w:noWrap/>
            <w:vAlign w:val="bottom"/>
            <w:hideMark/>
          </w:tcPr>
          <w:p w:rsidR="003D4A00" w:rsidRPr="0070078A" w:rsidRDefault="003D4A00" w:rsidP="00DE6C73">
            <w:pPr>
              <w:jc w:val="both"/>
              <w:rPr>
                <w:rFonts w:ascii="Arial" w:hAnsi="Arial" w:cs="Arial"/>
                <w:color w:val="000000"/>
              </w:rPr>
            </w:pPr>
          </w:p>
        </w:tc>
        <w:tc>
          <w:tcPr>
            <w:tcW w:w="2101" w:type="dxa"/>
            <w:shd w:val="clear" w:color="auto" w:fill="auto"/>
            <w:noWrap/>
            <w:vAlign w:val="bottom"/>
            <w:hideMark/>
          </w:tcPr>
          <w:p w:rsidR="003D4A00" w:rsidRPr="0070078A" w:rsidRDefault="003D4A00" w:rsidP="00DE6C73">
            <w:pPr>
              <w:jc w:val="both"/>
              <w:rPr>
                <w:rFonts w:ascii="Arial" w:hAnsi="Arial" w:cs="Arial"/>
                <w:color w:val="000000"/>
              </w:rPr>
            </w:pPr>
          </w:p>
        </w:tc>
      </w:tr>
      <w:tr w:rsidR="003D4A00" w:rsidRPr="0070078A" w:rsidTr="00DE6C73">
        <w:trPr>
          <w:trHeight w:val="315"/>
          <w:jc w:val="center"/>
        </w:trPr>
        <w:tc>
          <w:tcPr>
            <w:tcW w:w="4135" w:type="dxa"/>
            <w:shd w:val="clear" w:color="auto" w:fill="auto"/>
            <w:noWrap/>
            <w:vAlign w:val="center"/>
            <w:hideMark/>
          </w:tcPr>
          <w:p w:rsidR="003D4A00" w:rsidRPr="0070078A" w:rsidRDefault="003D4A00" w:rsidP="00DE6C73">
            <w:pPr>
              <w:ind w:firstLineChars="300" w:firstLine="600"/>
              <w:jc w:val="both"/>
              <w:rPr>
                <w:rFonts w:ascii="Arial" w:hAnsi="Arial" w:cs="Arial"/>
                <w:color w:val="000000"/>
              </w:rPr>
            </w:pPr>
            <w:r w:rsidRPr="0070078A">
              <w:rPr>
                <w:rFonts w:ascii="Arial" w:hAnsi="Arial" w:cs="Arial"/>
                <w:color w:val="000000"/>
              </w:rPr>
              <w:t>Non employed</w:t>
            </w:r>
          </w:p>
        </w:tc>
        <w:tc>
          <w:tcPr>
            <w:tcW w:w="2056" w:type="dxa"/>
            <w:shd w:val="clear" w:color="auto" w:fill="auto"/>
            <w:noWrap/>
            <w:vAlign w:val="center"/>
            <w:hideMark/>
          </w:tcPr>
          <w:p w:rsidR="003D4A00" w:rsidRPr="0070078A" w:rsidRDefault="003D4A00" w:rsidP="00DE6C73">
            <w:pPr>
              <w:jc w:val="both"/>
              <w:rPr>
                <w:rFonts w:ascii="Arial" w:hAnsi="Arial" w:cs="Arial"/>
                <w:color w:val="000000"/>
              </w:rPr>
            </w:pPr>
            <w:r w:rsidRPr="0070078A">
              <w:rPr>
                <w:rFonts w:ascii="Arial" w:hAnsi="Arial" w:cs="Arial"/>
                <w:color w:val="000000"/>
              </w:rPr>
              <w:t>89(74.2)</w:t>
            </w:r>
          </w:p>
        </w:tc>
        <w:tc>
          <w:tcPr>
            <w:tcW w:w="2598" w:type="dxa"/>
            <w:shd w:val="clear" w:color="auto" w:fill="auto"/>
            <w:noWrap/>
            <w:vAlign w:val="bottom"/>
            <w:hideMark/>
          </w:tcPr>
          <w:p w:rsidR="003D4A00" w:rsidRPr="0070078A" w:rsidRDefault="003D4A00" w:rsidP="00DE6C73">
            <w:pPr>
              <w:jc w:val="both"/>
              <w:rPr>
                <w:rFonts w:ascii="Arial" w:hAnsi="Arial" w:cs="Arial"/>
                <w:color w:val="000000"/>
              </w:rPr>
            </w:pPr>
            <w:r w:rsidRPr="0070078A">
              <w:rPr>
                <w:rFonts w:ascii="Arial" w:hAnsi="Arial" w:cs="Arial"/>
                <w:color w:val="000000"/>
              </w:rPr>
              <w:t>67(57.8)</w:t>
            </w:r>
          </w:p>
        </w:tc>
        <w:tc>
          <w:tcPr>
            <w:tcW w:w="2101" w:type="dxa"/>
            <w:shd w:val="clear" w:color="auto" w:fill="auto"/>
            <w:noWrap/>
            <w:vAlign w:val="bottom"/>
            <w:hideMark/>
          </w:tcPr>
          <w:p w:rsidR="003D4A00" w:rsidRPr="0070078A" w:rsidRDefault="003D4A00" w:rsidP="00DE6C73">
            <w:pPr>
              <w:jc w:val="both"/>
              <w:rPr>
                <w:rFonts w:ascii="Arial" w:hAnsi="Arial" w:cs="Arial"/>
                <w:color w:val="000000"/>
              </w:rPr>
            </w:pPr>
            <w:r w:rsidRPr="0070078A">
              <w:rPr>
                <w:rFonts w:ascii="Arial" w:hAnsi="Arial" w:cs="Arial"/>
                <w:color w:val="000000"/>
              </w:rPr>
              <w:t>156(66.1)</w:t>
            </w:r>
          </w:p>
        </w:tc>
      </w:tr>
      <w:tr w:rsidR="003D4A00" w:rsidRPr="0070078A" w:rsidTr="00DE6C73">
        <w:trPr>
          <w:trHeight w:val="315"/>
          <w:jc w:val="center"/>
        </w:trPr>
        <w:tc>
          <w:tcPr>
            <w:tcW w:w="4135" w:type="dxa"/>
            <w:shd w:val="clear" w:color="auto" w:fill="auto"/>
            <w:noWrap/>
            <w:vAlign w:val="center"/>
            <w:hideMark/>
          </w:tcPr>
          <w:p w:rsidR="003D4A00" w:rsidRPr="0070078A" w:rsidRDefault="003D4A00" w:rsidP="00DE6C73">
            <w:pPr>
              <w:ind w:firstLineChars="300" w:firstLine="600"/>
              <w:jc w:val="both"/>
              <w:rPr>
                <w:rFonts w:ascii="Arial" w:hAnsi="Arial" w:cs="Arial"/>
                <w:color w:val="000000"/>
              </w:rPr>
            </w:pPr>
            <w:r w:rsidRPr="0070078A">
              <w:rPr>
                <w:rFonts w:ascii="Arial" w:hAnsi="Arial" w:cs="Arial"/>
                <w:color w:val="000000"/>
              </w:rPr>
              <w:t>Employed</w:t>
            </w:r>
          </w:p>
        </w:tc>
        <w:tc>
          <w:tcPr>
            <w:tcW w:w="2056" w:type="dxa"/>
            <w:shd w:val="clear" w:color="auto" w:fill="auto"/>
            <w:noWrap/>
            <w:vAlign w:val="center"/>
            <w:hideMark/>
          </w:tcPr>
          <w:p w:rsidR="003D4A00" w:rsidRPr="0070078A" w:rsidRDefault="003D4A00" w:rsidP="00DE6C73">
            <w:pPr>
              <w:jc w:val="both"/>
              <w:rPr>
                <w:rFonts w:ascii="Arial" w:hAnsi="Arial" w:cs="Arial"/>
                <w:color w:val="000000"/>
              </w:rPr>
            </w:pPr>
            <w:r w:rsidRPr="0070078A">
              <w:rPr>
                <w:rFonts w:ascii="Arial" w:hAnsi="Arial" w:cs="Arial"/>
                <w:color w:val="000000"/>
              </w:rPr>
              <w:t>31(25.8)</w:t>
            </w:r>
          </w:p>
        </w:tc>
        <w:tc>
          <w:tcPr>
            <w:tcW w:w="2598" w:type="dxa"/>
            <w:shd w:val="clear" w:color="auto" w:fill="auto"/>
            <w:noWrap/>
            <w:vAlign w:val="bottom"/>
            <w:hideMark/>
          </w:tcPr>
          <w:p w:rsidR="003D4A00" w:rsidRPr="0070078A" w:rsidRDefault="003D4A00" w:rsidP="00DE6C73">
            <w:pPr>
              <w:jc w:val="both"/>
              <w:rPr>
                <w:rFonts w:ascii="Arial" w:hAnsi="Arial" w:cs="Arial"/>
                <w:color w:val="000000"/>
              </w:rPr>
            </w:pPr>
            <w:r w:rsidRPr="0070078A">
              <w:rPr>
                <w:rFonts w:ascii="Arial" w:hAnsi="Arial" w:cs="Arial"/>
                <w:color w:val="000000"/>
              </w:rPr>
              <w:t>49(42.2)</w:t>
            </w:r>
          </w:p>
        </w:tc>
        <w:tc>
          <w:tcPr>
            <w:tcW w:w="2101" w:type="dxa"/>
            <w:shd w:val="clear" w:color="auto" w:fill="auto"/>
            <w:noWrap/>
            <w:vAlign w:val="bottom"/>
            <w:hideMark/>
          </w:tcPr>
          <w:p w:rsidR="003D4A00" w:rsidRPr="0070078A" w:rsidRDefault="003D4A00" w:rsidP="00DE6C73">
            <w:pPr>
              <w:jc w:val="both"/>
              <w:rPr>
                <w:rFonts w:ascii="Arial" w:hAnsi="Arial" w:cs="Arial"/>
                <w:color w:val="000000"/>
              </w:rPr>
            </w:pPr>
            <w:r w:rsidRPr="0070078A">
              <w:rPr>
                <w:rFonts w:ascii="Arial" w:hAnsi="Arial" w:cs="Arial"/>
                <w:color w:val="000000"/>
              </w:rPr>
              <w:t>80(33.9)</w:t>
            </w:r>
          </w:p>
        </w:tc>
      </w:tr>
      <w:tr w:rsidR="003D4A00" w:rsidRPr="0070078A" w:rsidTr="00DE6C73">
        <w:trPr>
          <w:trHeight w:val="315"/>
          <w:jc w:val="center"/>
        </w:trPr>
        <w:tc>
          <w:tcPr>
            <w:tcW w:w="4135" w:type="dxa"/>
            <w:shd w:val="clear" w:color="auto" w:fill="auto"/>
            <w:noWrap/>
            <w:vAlign w:val="center"/>
            <w:hideMark/>
          </w:tcPr>
          <w:p w:rsidR="003D4A00" w:rsidRPr="0070078A" w:rsidRDefault="003D4A00" w:rsidP="00DE6C73">
            <w:pPr>
              <w:jc w:val="both"/>
              <w:rPr>
                <w:rFonts w:ascii="Arial" w:hAnsi="Arial" w:cs="Arial"/>
                <w:b/>
                <w:bCs/>
                <w:color w:val="000000"/>
              </w:rPr>
            </w:pPr>
            <w:r w:rsidRPr="0070078A">
              <w:rPr>
                <w:rFonts w:ascii="Arial" w:hAnsi="Arial" w:cs="Arial"/>
                <w:b/>
                <w:bCs/>
                <w:color w:val="000000"/>
              </w:rPr>
              <w:t>Duration of diabetic mellitus</w:t>
            </w:r>
          </w:p>
        </w:tc>
        <w:tc>
          <w:tcPr>
            <w:tcW w:w="2056" w:type="dxa"/>
            <w:shd w:val="clear" w:color="auto" w:fill="auto"/>
            <w:noWrap/>
            <w:vAlign w:val="center"/>
            <w:hideMark/>
          </w:tcPr>
          <w:p w:rsidR="003D4A00" w:rsidRPr="0070078A" w:rsidRDefault="003D4A00" w:rsidP="00DE6C73">
            <w:pPr>
              <w:jc w:val="both"/>
              <w:rPr>
                <w:rFonts w:ascii="Arial" w:hAnsi="Arial" w:cs="Arial"/>
                <w:color w:val="000000"/>
              </w:rPr>
            </w:pPr>
          </w:p>
        </w:tc>
        <w:tc>
          <w:tcPr>
            <w:tcW w:w="2598" w:type="dxa"/>
            <w:shd w:val="clear" w:color="auto" w:fill="auto"/>
            <w:noWrap/>
            <w:vAlign w:val="bottom"/>
            <w:hideMark/>
          </w:tcPr>
          <w:p w:rsidR="003D4A00" w:rsidRPr="0070078A" w:rsidRDefault="003D4A00" w:rsidP="00DE6C73">
            <w:pPr>
              <w:jc w:val="both"/>
              <w:rPr>
                <w:rFonts w:ascii="Arial" w:hAnsi="Arial" w:cs="Arial"/>
                <w:color w:val="000000"/>
              </w:rPr>
            </w:pPr>
          </w:p>
        </w:tc>
        <w:tc>
          <w:tcPr>
            <w:tcW w:w="2101" w:type="dxa"/>
            <w:shd w:val="clear" w:color="auto" w:fill="auto"/>
            <w:noWrap/>
            <w:vAlign w:val="bottom"/>
            <w:hideMark/>
          </w:tcPr>
          <w:p w:rsidR="003D4A00" w:rsidRPr="0070078A" w:rsidRDefault="003D4A00" w:rsidP="00DE6C73">
            <w:pPr>
              <w:jc w:val="both"/>
              <w:rPr>
                <w:rFonts w:ascii="Arial" w:hAnsi="Arial" w:cs="Arial"/>
                <w:color w:val="000000"/>
              </w:rPr>
            </w:pPr>
          </w:p>
        </w:tc>
      </w:tr>
      <w:tr w:rsidR="003D4A00" w:rsidRPr="0070078A" w:rsidTr="00DE6C73">
        <w:trPr>
          <w:trHeight w:val="315"/>
          <w:jc w:val="center"/>
        </w:trPr>
        <w:tc>
          <w:tcPr>
            <w:tcW w:w="4135" w:type="dxa"/>
            <w:shd w:val="clear" w:color="auto" w:fill="auto"/>
            <w:noWrap/>
            <w:vAlign w:val="center"/>
            <w:hideMark/>
          </w:tcPr>
          <w:p w:rsidR="003D4A00" w:rsidRPr="0070078A" w:rsidRDefault="003D4A00" w:rsidP="00DE6C73">
            <w:pPr>
              <w:ind w:firstLineChars="300" w:firstLine="600"/>
              <w:jc w:val="both"/>
              <w:rPr>
                <w:rFonts w:ascii="Arial" w:hAnsi="Arial" w:cs="Arial"/>
                <w:color w:val="000000"/>
              </w:rPr>
            </w:pPr>
            <w:r w:rsidRPr="0070078A">
              <w:rPr>
                <w:rFonts w:ascii="Arial" w:hAnsi="Arial" w:cs="Arial"/>
                <w:color w:val="000000"/>
              </w:rPr>
              <w:t>&lt;10</w:t>
            </w:r>
          </w:p>
        </w:tc>
        <w:tc>
          <w:tcPr>
            <w:tcW w:w="2056" w:type="dxa"/>
            <w:shd w:val="clear" w:color="auto" w:fill="auto"/>
            <w:noWrap/>
            <w:vAlign w:val="center"/>
            <w:hideMark/>
          </w:tcPr>
          <w:p w:rsidR="003D4A00" w:rsidRPr="0070078A" w:rsidRDefault="003D4A00" w:rsidP="00DE6C73">
            <w:pPr>
              <w:jc w:val="both"/>
              <w:rPr>
                <w:rFonts w:ascii="Arial" w:hAnsi="Arial" w:cs="Arial"/>
                <w:color w:val="000000"/>
              </w:rPr>
            </w:pPr>
            <w:r w:rsidRPr="0070078A">
              <w:rPr>
                <w:rFonts w:ascii="Arial" w:hAnsi="Arial" w:cs="Arial"/>
                <w:color w:val="000000"/>
              </w:rPr>
              <w:t>21(17.5)</w:t>
            </w:r>
          </w:p>
        </w:tc>
        <w:tc>
          <w:tcPr>
            <w:tcW w:w="2598" w:type="dxa"/>
            <w:shd w:val="clear" w:color="auto" w:fill="auto"/>
            <w:noWrap/>
            <w:vAlign w:val="bottom"/>
            <w:hideMark/>
          </w:tcPr>
          <w:p w:rsidR="003D4A00" w:rsidRPr="0070078A" w:rsidRDefault="003D4A00" w:rsidP="00DE6C73">
            <w:pPr>
              <w:jc w:val="both"/>
              <w:rPr>
                <w:rFonts w:ascii="Arial" w:hAnsi="Arial" w:cs="Arial"/>
                <w:color w:val="000000"/>
              </w:rPr>
            </w:pPr>
            <w:r w:rsidRPr="0070078A">
              <w:rPr>
                <w:rFonts w:ascii="Arial" w:hAnsi="Arial" w:cs="Arial"/>
                <w:color w:val="000000"/>
              </w:rPr>
              <w:t>12(10.3)</w:t>
            </w:r>
          </w:p>
        </w:tc>
        <w:tc>
          <w:tcPr>
            <w:tcW w:w="2101" w:type="dxa"/>
            <w:shd w:val="clear" w:color="auto" w:fill="auto"/>
            <w:noWrap/>
            <w:vAlign w:val="bottom"/>
            <w:hideMark/>
          </w:tcPr>
          <w:p w:rsidR="003D4A00" w:rsidRPr="0070078A" w:rsidRDefault="003D4A00" w:rsidP="00DE6C73">
            <w:pPr>
              <w:jc w:val="both"/>
              <w:rPr>
                <w:rFonts w:ascii="Arial" w:hAnsi="Arial" w:cs="Arial"/>
                <w:color w:val="000000"/>
              </w:rPr>
            </w:pPr>
            <w:r w:rsidRPr="0070078A">
              <w:rPr>
                <w:rFonts w:ascii="Arial" w:hAnsi="Arial" w:cs="Arial"/>
                <w:color w:val="000000"/>
              </w:rPr>
              <w:t>33(14)</w:t>
            </w:r>
          </w:p>
        </w:tc>
      </w:tr>
      <w:tr w:rsidR="003D4A00" w:rsidRPr="0070078A" w:rsidTr="00DE6C73">
        <w:trPr>
          <w:trHeight w:val="315"/>
          <w:jc w:val="center"/>
        </w:trPr>
        <w:tc>
          <w:tcPr>
            <w:tcW w:w="4135" w:type="dxa"/>
            <w:shd w:val="clear" w:color="auto" w:fill="auto"/>
            <w:noWrap/>
            <w:vAlign w:val="center"/>
            <w:hideMark/>
          </w:tcPr>
          <w:p w:rsidR="003D4A00" w:rsidRPr="0070078A" w:rsidRDefault="003D4A00" w:rsidP="00DE6C73">
            <w:pPr>
              <w:ind w:firstLineChars="300" w:firstLine="600"/>
              <w:jc w:val="both"/>
              <w:rPr>
                <w:rFonts w:ascii="Arial" w:hAnsi="Arial" w:cs="Arial"/>
                <w:color w:val="000000"/>
              </w:rPr>
            </w:pPr>
            <w:r w:rsidRPr="0070078A">
              <w:rPr>
                <w:rFonts w:ascii="Arial" w:hAnsi="Arial" w:cs="Arial"/>
                <w:color w:val="000000"/>
              </w:rPr>
              <w:t>10-20</w:t>
            </w:r>
          </w:p>
        </w:tc>
        <w:tc>
          <w:tcPr>
            <w:tcW w:w="2056" w:type="dxa"/>
            <w:shd w:val="clear" w:color="auto" w:fill="auto"/>
            <w:noWrap/>
            <w:vAlign w:val="center"/>
            <w:hideMark/>
          </w:tcPr>
          <w:p w:rsidR="003D4A00" w:rsidRPr="0070078A" w:rsidRDefault="003D4A00" w:rsidP="00DE6C73">
            <w:pPr>
              <w:jc w:val="both"/>
              <w:rPr>
                <w:rFonts w:ascii="Arial" w:hAnsi="Arial" w:cs="Arial"/>
                <w:color w:val="000000"/>
              </w:rPr>
            </w:pPr>
            <w:r w:rsidRPr="0070078A">
              <w:rPr>
                <w:rFonts w:ascii="Arial" w:hAnsi="Arial" w:cs="Arial"/>
                <w:color w:val="000000"/>
              </w:rPr>
              <w:t>75(62.5)</w:t>
            </w:r>
          </w:p>
        </w:tc>
        <w:tc>
          <w:tcPr>
            <w:tcW w:w="2598" w:type="dxa"/>
            <w:shd w:val="clear" w:color="auto" w:fill="auto"/>
            <w:noWrap/>
            <w:vAlign w:val="bottom"/>
            <w:hideMark/>
          </w:tcPr>
          <w:p w:rsidR="003D4A00" w:rsidRPr="0070078A" w:rsidRDefault="003D4A00" w:rsidP="00DE6C73">
            <w:pPr>
              <w:jc w:val="both"/>
              <w:rPr>
                <w:rFonts w:ascii="Arial" w:hAnsi="Arial" w:cs="Arial"/>
                <w:color w:val="000000"/>
              </w:rPr>
            </w:pPr>
            <w:r w:rsidRPr="0070078A">
              <w:rPr>
                <w:rFonts w:ascii="Arial" w:hAnsi="Arial" w:cs="Arial"/>
                <w:color w:val="000000"/>
              </w:rPr>
              <w:t>91(78.4)</w:t>
            </w:r>
          </w:p>
        </w:tc>
        <w:tc>
          <w:tcPr>
            <w:tcW w:w="2101" w:type="dxa"/>
            <w:shd w:val="clear" w:color="auto" w:fill="auto"/>
            <w:noWrap/>
            <w:vAlign w:val="bottom"/>
            <w:hideMark/>
          </w:tcPr>
          <w:p w:rsidR="003D4A00" w:rsidRPr="0070078A" w:rsidRDefault="003D4A00" w:rsidP="00DE6C73">
            <w:pPr>
              <w:jc w:val="both"/>
              <w:rPr>
                <w:rFonts w:ascii="Arial" w:hAnsi="Arial" w:cs="Arial"/>
                <w:color w:val="000000"/>
              </w:rPr>
            </w:pPr>
            <w:r w:rsidRPr="0070078A">
              <w:rPr>
                <w:rFonts w:ascii="Arial" w:hAnsi="Arial" w:cs="Arial"/>
                <w:color w:val="000000"/>
              </w:rPr>
              <w:t>166(70.3)</w:t>
            </w:r>
          </w:p>
        </w:tc>
      </w:tr>
      <w:tr w:rsidR="003D4A00" w:rsidRPr="0070078A" w:rsidTr="00DE6C73">
        <w:trPr>
          <w:trHeight w:val="315"/>
          <w:jc w:val="center"/>
        </w:trPr>
        <w:tc>
          <w:tcPr>
            <w:tcW w:w="4135" w:type="dxa"/>
            <w:shd w:val="clear" w:color="auto" w:fill="auto"/>
            <w:noWrap/>
            <w:vAlign w:val="center"/>
            <w:hideMark/>
          </w:tcPr>
          <w:p w:rsidR="003D4A00" w:rsidRPr="0070078A" w:rsidRDefault="003D4A00" w:rsidP="00DE6C73">
            <w:pPr>
              <w:ind w:firstLineChars="300" w:firstLine="600"/>
              <w:jc w:val="both"/>
              <w:rPr>
                <w:rFonts w:ascii="Arial" w:hAnsi="Arial" w:cs="Arial"/>
                <w:color w:val="000000"/>
              </w:rPr>
            </w:pPr>
            <w:r w:rsidRPr="0070078A">
              <w:rPr>
                <w:rFonts w:ascii="Arial" w:hAnsi="Arial" w:cs="Arial"/>
                <w:color w:val="000000"/>
              </w:rPr>
              <w:t>&gt;20</w:t>
            </w:r>
          </w:p>
        </w:tc>
        <w:tc>
          <w:tcPr>
            <w:tcW w:w="2056" w:type="dxa"/>
            <w:shd w:val="clear" w:color="auto" w:fill="auto"/>
            <w:noWrap/>
            <w:vAlign w:val="center"/>
            <w:hideMark/>
          </w:tcPr>
          <w:p w:rsidR="003D4A00" w:rsidRPr="0070078A" w:rsidRDefault="003D4A00" w:rsidP="00DE6C73">
            <w:pPr>
              <w:jc w:val="both"/>
              <w:rPr>
                <w:rFonts w:ascii="Arial" w:hAnsi="Arial" w:cs="Arial"/>
                <w:color w:val="000000"/>
              </w:rPr>
            </w:pPr>
            <w:r w:rsidRPr="0070078A">
              <w:rPr>
                <w:rFonts w:ascii="Arial" w:hAnsi="Arial" w:cs="Arial"/>
                <w:color w:val="000000"/>
              </w:rPr>
              <w:t>24(20)</w:t>
            </w:r>
          </w:p>
        </w:tc>
        <w:tc>
          <w:tcPr>
            <w:tcW w:w="2598" w:type="dxa"/>
            <w:shd w:val="clear" w:color="auto" w:fill="auto"/>
            <w:noWrap/>
            <w:vAlign w:val="bottom"/>
            <w:hideMark/>
          </w:tcPr>
          <w:p w:rsidR="003D4A00" w:rsidRPr="0070078A" w:rsidRDefault="003D4A00" w:rsidP="00DE6C73">
            <w:pPr>
              <w:jc w:val="both"/>
              <w:rPr>
                <w:rFonts w:ascii="Arial" w:hAnsi="Arial" w:cs="Arial"/>
                <w:color w:val="000000"/>
              </w:rPr>
            </w:pPr>
            <w:r w:rsidRPr="0070078A">
              <w:rPr>
                <w:rFonts w:ascii="Arial" w:hAnsi="Arial" w:cs="Arial"/>
                <w:color w:val="000000"/>
              </w:rPr>
              <w:t>13(11.2)</w:t>
            </w:r>
          </w:p>
        </w:tc>
        <w:tc>
          <w:tcPr>
            <w:tcW w:w="2101" w:type="dxa"/>
            <w:shd w:val="clear" w:color="auto" w:fill="auto"/>
            <w:noWrap/>
            <w:vAlign w:val="bottom"/>
            <w:hideMark/>
          </w:tcPr>
          <w:p w:rsidR="003D4A00" w:rsidRPr="0070078A" w:rsidRDefault="003D4A00" w:rsidP="00DE6C73">
            <w:pPr>
              <w:jc w:val="both"/>
              <w:rPr>
                <w:rFonts w:ascii="Arial" w:hAnsi="Arial" w:cs="Arial"/>
                <w:color w:val="000000"/>
              </w:rPr>
            </w:pPr>
            <w:r w:rsidRPr="0070078A">
              <w:rPr>
                <w:rFonts w:ascii="Arial" w:hAnsi="Arial" w:cs="Arial"/>
                <w:color w:val="000000"/>
              </w:rPr>
              <w:t>37(15.7)</w:t>
            </w:r>
          </w:p>
        </w:tc>
      </w:tr>
      <w:tr w:rsidR="003D4A00" w:rsidRPr="0070078A" w:rsidTr="00DE6C73">
        <w:trPr>
          <w:trHeight w:val="315"/>
          <w:jc w:val="center"/>
        </w:trPr>
        <w:tc>
          <w:tcPr>
            <w:tcW w:w="4135" w:type="dxa"/>
            <w:shd w:val="clear" w:color="auto" w:fill="auto"/>
            <w:noWrap/>
            <w:vAlign w:val="center"/>
            <w:hideMark/>
          </w:tcPr>
          <w:p w:rsidR="003D4A00" w:rsidRPr="0070078A" w:rsidRDefault="003D4A00" w:rsidP="00DE6C73">
            <w:pPr>
              <w:jc w:val="both"/>
              <w:rPr>
                <w:rFonts w:ascii="Arial" w:hAnsi="Arial" w:cs="Arial"/>
                <w:b/>
                <w:bCs/>
                <w:color w:val="000000"/>
              </w:rPr>
            </w:pPr>
            <w:r w:rsidRPr="0070078A">
              <w:rPr>
                <w:rFonts w:ascii="Arial" w:hAnsi="Arial" w:cs="Arial"/>
                <w:b/>
                <w:bCs/>
                <w:color w:val="000000"/>
              </w:rPr>
              <w:t>Eye affected</w:t>
            </w:r>
          </w:p>
        </w:tc>
        <w:tc>
          <w:tcPr>
            <w:tcW w:w="2056" w:type="dxa"/>
            <w:shd w:val="clear" w:color="auto" w:fill="auto"/>
            <w:noWrap/>
            <w:vAlign w:val="center"/>
            <w:hideMark/>
          </w:tcPr>
          <w:p w:rsidR="003D4A00" w:rsidRPr="0070078A" w:rsidRDefault="003D4A00" w:rsidP="00DE6C73">
            <w:pPr>
              <w:jc w:val="both"/>
              <w:rPr>
                <w:rFonts w:ascii="Arial" w:hAnsi="Arial" w:cs="Arial"/>
                <w:color w:val="000000"/>
              </w:rPr>
            </w:pPr>
          </w:p>
        </w:tc>
        <w:tc>
          <w:tcPr>
            <w:tcW w:w="2598" w:type="dxa"/>
            <w:shd w:val="clear" w:color="auto" w:fill="auto"/>
            <w:noWrap/>
            <w:vAlign w:val="bottom"/>
            <w:hideMark/>
          </w:tcPr>
          <w:p w:rsidR="003D4A00" w:rsidRPr="0070078A" w:rsidRDefault="003D4A00" w:rsidP="00DE6C73">
            <w:pPr>
              <w:jc w:val="both"/>
              <w:rPr>
                <w:rFonts w:ascii="Arial" w:hAnsi="Arial" w:cs="Arial"/>
                <w:color w:val="000000"/>
              </w:rPr>
            </w:pPr>
          </w:p>
        </w:tc>
        <w:tc>
          <w:tcPr>
            <w:tcW w:w="2101" w:type="dxa"/>
            <w:shd w:val="clear" w:color="auto" w:fill="auto"/>
            <w:noWrap/>
            <w:vAlign w:val="bottom"/>
            <w:hideMark/>
          </w:tcPr>
          <w:p w:rsidR="003D4A00" w:rsidRPr="0070078A" w:rsidRDefault="003D4A00" w:rsidP="00DE6C73">
            <w:pPr>
              <w:jc w:val="both"/>
              <w:rPr>
                <w:rFonts w:ascii="Arial" w:hAnsi="Arial" w:cs="Arial"/>
                <w:color w:val="000000"/>
              </w:rPr>
            </w:pPr>
          </w:p>
        </w:tc>
      </w:tr>
      <w:tr w:rsidR="003D4A00" w:rsidRPr="0070078A" w:rsidTr="00DE6C73">
        <w:trPr>
          <w:trHeight w:val="315"/>
          <w:jc w:val="center"/>
        </w:trPr>
        <w:tc>
          <w:tcPr>
            <w:tcW w:w="4135" w:type="dxa"/>
            <w:shd w:val="clear" w:color="auto" w:fill="auto"/>
            <w:noWrap/>
            <w:vAlign w:val="center"/>
            <w:hideMark/>
          </w:tcPr>
          <w:p w:rsidR="003D4A00" w:rsidRPr="0070078A" w:rsidRDefault="003D4A00" w:rsidP="00DE6C73">
            <w:pPr>
              <w:ind w:firstLineChars="300" w:firstLine="600"/>
              <w:jc w:val="both"/>
              <w:rPr>
                <w:rFonts w:ascii="Arial" w:hAnsi="Arial" w:cs="Arial"/>
                <w:color w:val="000000"/>
              </w:rPr>
            </w:pPr>
            <w:r w:rsidRPr="0070078A">
              <w:rPr>
                <w:rFonts w:ascii="Arial" w:hAnsi="Arial" w:cs="Arial"/>
                <w:color w:val="000000"/>
              </w:rPr>
              <w:t>Right eye</w:t>
            </w:r>
          </w:p>
        </w:tc>
        <w:tc>
          <w:tcPr>
            <w:tcW w:w="2056" w:type="dxa"/>
            <w:shd w:val="clear" w:color="auto" w:fill="auto"/>
            <w:noWrap/>
            <w:vAlign w:val="center"/>
            <w:hideMark/>
          </w:tcPr>
          <w:p w:rsidR="003D4A00" w:rsidRPr="0070078A" w:rsidRDefault="003D4A00" w:rsidP="00DE6C73">
            <w:pPr>
              <w:jc w:val="both"/>
              <w:rPr>
                <w:rFonts w:ascii="Arial" w:hAnsi="Arial" w:cs="Arial"/>
                <w:color w:val="000000"/>
              </w:rPr>
            </w:pPr>
            <w:r w:rsidRPr="0070078A">
              <w:rPr>
                <w:rFonts w:ascii="Arial" w:hAnsi="Arial" w:cs="Arial"/>
                <w:color w:val="000000"/>
              </w:rPr>
              <w:t>65(54.2)</w:t>
            </w:r>
          </w:p>
        </w:tc>
        <w:tc>
          <w:tcPr>
            <w:tcW w:w="2598" w:type="dxa"/>
            <w:shd w:val="clear" w:color="auto" w:fill="auto"/>
            <w:noWrap/>
            <w:vAlign w:val="bottom"/>
            <w:hideMark/>
          </w:tcPr>
          <w:p w:rsidR="003D4A00" w:rsidRPr="0070078A" w:rsidRDefault="003D4A00" w:rsidP="00DE6C73">
            <w:pPr>
              <w:jc w:val="both"/>
              <w:rPr>
                <w:rFonts w:ascii="Arial" w:hAnsi="Arial" w:cs="Arial"/>
                <w:color w:val="000000"/>
              </w:rPr>
            </w:pPr>
            <w:r w:rsidRPr="0070078A">
              <w:rPr>
                <w:rFonts w:ascii="Arial" w:hAnsi="Arial" w:cs="Arial"/>
                <w:color w:val="000000"/>
              </w:rPr>
              <w:t>58(50)</w:t>
            </w:r>
          </w:p>
        </w:tc>
        <w:tc>
          <w:tcPr>
            <w:tcW w:w="2101" w:type="dxa"/>
            <w:shd w:val="clear" w:color="auto" w:fill="auto"/>
            <w:noWrap/>
            <w:vAlign w:val="bottom"/>
            <w:hideMark/>
          </w:tcPr>
          <w:p w:rsidR="003D4A00" w:rsidRPr="0070078A" w:rsidRDefault="003D4A00" w:rsidP="00DE6C73">
            <w:pPr>
              <w:jc w:val="both"/>
              <w:rPr>
                <w:rFonts w:ascii="Arial" w:hAnsi="Arial" w:cs="Arial"/>
                <w:color w:val="000000"/>
              </w:rPr>
            </w:pPr>
            <w:r w:rsidRPr="0070078A">
              <w:rPr>
                <w:rFonts w:ascii="Arial" w:hAnsi="Arial" w:cs="Arial"/>
                <w:color w:val="000000"/>
              </w:rPr>
              <w:t>123(52.1)</w:t>
            </w:r>
          </w:p>
        </w:tc>
      </w:tr>
      <w:tr w:rsidR="003D4A00" w:rsidRPr="0070078A" w:rsidTr="00DE6C73">
        <w:trPr>
          <w:trHeight w:val="315"/>
          <w:jc w:val="center"/>
        </w:trPr>
        <w:tc>
          <w:tcPr>
            <w:tcW w:w="4135" w:type="dxa"/>
            <w:shd w:val="clear" w:color="auto" w:fill="auto"/>
            <w:noWrap/>
            <w:vAlign w:val="center"/>
            <w:hideMark/>
          </w:tcPr>
          <w:p w:rsidR="003D4A00" w:rsidRPr="0070078A" w:rsidRDefault="003D4A00" w:rsidP="00DE6C73">
            <w:pPr>
              <w:ind w:firstLineChars="300" w:firstLine="600"/>
              <w:jc w:val="both"/>
              <w:rPr>
                <w:rFonts w:ascii="Arial" w:hAnsi="Arial" w:cs="Arial"/>
                <w:color w:val="000000"/>
              </w:rPr>
            </w:pPr>
            <w:r w:rsidRPr="0070078A">
              <w:rPr>
                <w:rFonts w:ascii="Arial" w:hAnsi="Arial" w:cs="Arial"/>
                <w:color w:val="000000"/>
              </w:rPr>
              <w:t>Left eye</w:t>
            </w:r>
          </w:p>
        </w:tc>
        <w:tc>
          <w:tcPr>
            <w:tcW w:w="2056" w:type="dxa"/>
            <w:shd w:val="clear" w:color="auto" w:fill="auto"/>
            <w:noWrap/>
            <w:vAlign w:val="center"/>
            <w:hideMark/>
          </w:tcPr>
          <w:p w:rsidR="003D4A00" w:rsidRPr="0070078A" w:rsidRDefault="003D4A00" w:rsidP="00DE6C73">
            <w:pPr>
              <w:jc w:val="both"/>
              <w:rPr>
                <w:rFonts w:ascii="Arial" w:hAnsi="Arial" w:cs="Arial"/>
                <w:color w:val="000000"/>
              </w:rPr>
            </w:pPr>
            <w:r w:rsidRPr="0070078A">
              <w:rPr>
                <w:rFonts w:ascii="Arial" w:hAnsi="Arial" w:cs="Arial"/>
                <w:color w:val="000000"/>
              </w:rPr>
              <w:t>55(45.8)</w:t>
            </w:r>
          </w:p>
        </w:tc>
        <w:tc>
          <w:tcPr>
            <w:tcW w:w="2598" w:type="dxa"/>
            <w:shd w:val="clear" w:color="auto" w:fill="auto"/>
            <w:noWrap/>
            <w:vAlign w:val="bottom"/>
            <w:hideMark/>
          </w:tcPr>
          <w:p w:rsidR="003D4A00" w:rsidRPr="0070078A" w:rsidRDefault="003D4A00" w:rsidP="00DE6C73">
            <w:pPr>
              <w:jc w:val="both"/>
              <w:rPr>
                <w:rFonts w:ascii="Arial" w:hAnsi="Arial" w:cs="Arial"/>
                <w:color w:val="000000"/>
              </w:rPr>
            </w:pPr>
            <w:r w:rsidRPr="0070078A">
              <w:rPr>
                <w:rFonts w:ascii="Arial" w:hAnsi="Arial" w:cs="Arial"/>
                <w:color w:val="000000"/>
              </w:rPr>
              <w:t>58(50)</w:t>
            </w:r>
          </w:p>
        </w:tc>
        <w:tc>
          <w:tcPr>
            <w:tcW w:w="2101" w:type="dxa"/>
            <w:shd w:val="clear" w:color="auto" w:fill="auto"/>
            <w:noWrap/>
            <w:vAlign w:val="bottom"/>
            <w:hideMark/>
          </w:tcPr>
          <w:p w:rsidR="003D4A00" w:rsidRPr="0070078A" w:rsidRDefault="003D4A00" w:rsidP="00DE6C73">
            <w:pPr>
              <w:jc w:val="both"/>
              <w:rPr>
                <w:rFonts w:ascii="Arial" w:hAnsi="Arial" w:cs="Arial"/>
                <w:color w:val="000000"/>
              </w:rPr>
            </w:pPr>
            <w:r w:rsidRPr="0070078A">
              <w:rPr>
                <w:rFonts w:ascii="Arial" w:hAnsi="Arial" w:cs="Arial"/>
                <w:color w:val="000000"/>
              </w:rPr>
              <w:t>113(47.9)</w:t>
            </w:r>
          </w:p>
        </w:tc>
      </w:tr>
      <w:tr w:rsidR="003D4A00" w:rsidRPr="0070078A" w:rsidTr="00DE6C73">
        <w:trPr>
          <w:trHeight w:val="315"/>
          <w:jc w:val="center"/>
        </w:trPr>
        <w:tc>
          <w:tcPr>
            <w:tcW w:w="4135" w:type="dxa"/>
            <w:shd w:val="clear" w:color="auto" w:fill="auto"/>
            <w:noWrap/>
            <w:vAlign w:val="center"/>
            <w:hideMark/>
          </w:tcPr>
          <w:p w:rsidR="003D4A00" w:rsidRPr="0070078A" w:rsidRDefault="003D4A00" w:rsidP="00DE6C73">
            <w:pPr>
              <w:jc w:val="both"/>
              <w:rPr>
                <w:rFonts w:ascii="Arial" w:hAnsi="Arial" w:cs="Arial"/>
                <w:b/>
                <w:bCs/>
                <w:color w:val="000000"/>
              </w:rPr>
            </w:pPr>
            <w:r w:rsidRPr="0070078A">
              <w:rPr>
                <w:rFonts w:ascii="Arial" w:hAnsi="Arial" w:cs="Arial"/>
                <w:b/>
                <w:bCs/>
                <w:color w:val="000000"/>
              </w:rPr>
              <w:t>Hypertension status</w:t>
            </w:r>
          </w:p>
        </w:tc>
        <w:tc>
          <w:tcPr>
            <w:tcW w:w="2056" w:type="dxa"/>
            <w:shd w:val="clear" w:color="auto" w:fill="auto"/>
            <w:noWrap/>
            <w:vAlign w:val="center"/>
            <w:hideMark/>
          </w:tcPr>
          <w:p w:rsidR="003D4A00" w:rsidRPr="0070078A" w:rsidRDefault="003D4A00" w:rsidP="00DE6C73">
            <w:pPr>
              <w:jc w:val="both"/>
              <w:rPr>
                <w:rFonts w:ascii="Arial" w:hAnsi="Arial" w:cs="Arial"/>
                <w:color w:val="000000"/>
              </w:rPr>
            </w:pPr>
          </w:p>
        </w:tc>
        <w:tc>
          <w:tcPr>
            <w:tcW w:w="2598" w:type="dxa"/>
            <w:shd w:val="clear" w:color="auto" w:fill="auto"/>
            <w:noWrap/>
            <w:vAlign w:val="bottom"/>
            <w:hideMark/>
          </w:tcPr>
          <w:p w:rsidR="003D4A00" w:rsidRPr="0070078A" w:rsidRDefault="003D4A00" w:rsidP="00DE6C73">
            <w:pPr>
              <w:jc w:val="both"/>
              <w:rPr>
                <w:rFonts w:ascii="Arial" w:hAnsi="Arial" w:cs="Arial"/>
                <w:color w:val="000000"/>
              </w:rPr>
            </w:pPr>
          </w:p>
        </w:tc>
        <w:tc>
          <w:tcPr>
            <w:tcW w:w="2101" w:type="dxa"/>
            <w:shd w:val="clear" w:color="auto" w:fill="auto"/>
            <w:noWrap/>
            <w:vAlign w:val="bottom"/>
            <w:hideMark/>
          </w:tcPr>
          <w:p w:rsidR="003D4A00" w:rsidRPr="0070078A" w:rsidRDefault="003D4A00" w:rsidP="00DE6C73">
            <w:pPr>
              <w:jc w:val="both"/>
              <w:rPr>
                <w:rFonts w:ascii="Arial" w:hAnsi="Arial" w:cs="Arial"/>
                <w:color w:val="000000"/>
              </w:rPr>
            </w:pPr>
          </w:p>
        </w:tc>
      </w:tr>
      <w:tr w:rsidR="003D4A00" w:rsidRPr="0070078A" w:rsidTr="00DE6C73">
        <w:trPr>
          <w:trHeight w:val="315"/>
          <w:jc w:val="center"/>
        </w:trPr>
        <w:tc>
          <w:tcPr>
            <w:tcW w:w="4135" w:type="dxa"/>
            <w:shd w:val="clear" w:color="auto" w:fill="auto"/>
            <w:noWrap/>
            <w:vAlign w:val="center"/>
            <w:hideMark/>
          </w:tcPr>
          <w:p w:rsidR="003D4A00" w:rsidRPr="0070078A" w:rsidRDefault="003D4A00" w:rsidP="00DE6C73">
            <w:pPr>
              <w:ind w:firstLineChars="300" w:firstLine="600"/>
              <w:jc w:val="both"/>
              <w:rPr>
                <w:rFonts w:ascii="Arial" w:hAnsi="Arial" w:cs="Arial"/>
                <w:color w:val="000000"/>
              </w:rPr>
            </w:pPr>
            <w:r w:rsidRPr="0070078A">
              <w:rPr>
                <w:rFonts w:ascii="Arial" w:hAnsi="Arial" w:cs="Arial"/>
                <w:color w:val="000000"/>
              </w:rPr>
              <w:t>Yes</w:t>
            </w:r>
          </w:p>
        </w:tc>
        <w:tc>
          <w:tcPr>
            <w:tcW w:w="2056" w:type="dxa"/>
            <w:shd w:val="clear" w:color="auto" w:fill="auto"/>
            <w:noWrap/>
            <w:vAlign w:val="center"/>
            <w:hideMark/>
          </w:tcPr>
          <w:p w:rsidR="003D4A00" w:rsidRPr="0070078A" w:rsidRDefault="003D4A00" w:rsidP="00DE6C73">
            <w:pPr>
              <w:jc w:val="both"/>
              <w:rPr>
                <w:rFonts w:ascii="Arial" w:hAnsi="Arial" w:cs="Arial"/>
                <w:color w:val="000000"/>
              </w:rPr>
            </w:pPr>
            <w:r w:rsidRPr="0070078A">
              <w:rPr>
                <w:rFonts w:ascii="Arial" w:hAnsi="Arial" w:cs="Arial"/>
                <w:color w:val="000000"/>
              </w:rPr>
              <w:t>91(75.8)</w:t>
            </w:r>
          </w:p>
        </w:tc>
        <w:tc>
          <w:tcPr>
            <w:tcW w:w="2598" w:type="dxa"/>
            <w:shd w:val="clear" w:color="auto" w:fill="auto"/>
            <w:noWrap/>
            <w:vAlign w:val="bottom"/>
            <w:hideMark/>
          </w:tcPr>
          <w:p w:rsidR="003D4A00" w:rsidRPr="0070078A" w:rsidRDefault="003D4A00" w:rsidP="00DE6C73">
            <w:pPr>
              <w:jc w:val="both"/>
              <w:rPr>
                <w:rFonts w:ascii="Arial" w:hAnsi="Arial" w:cs="Arial"/>
                <w:color w:val="000000"/>
              </w:rPr>
            </w:pPr>
            <w:r w:rsidRPr="0070078A">
              <w:rPr>
                <w:rFonts w:ascii="Arial" w:hAnsi="Arial" w:cs="Arial"/>
                <w:color w:val="000000"/>
              </w:rPr>
              <w:t>100(86.2)</w:t>
            </w:r>
          </w:p>
        </w:tc>
        <w:tc>
          <w:tcPr>
            <w:tcW w:w="2101" w:type="dxa"/>
            <w:shd w:val="clear" w:color="auto" w:fill="auto"/>
            <w:noWrap/>
            <w:vAlign w:val="bottom"/>
            <w:hideMark/>
          </w:tcPr>
          <w:p w:rsidR="003D4A00" w:rsidRPr="0070078A" w:rsidRDefault="003D4A00" w:rsidP="00DE6C73">
            <w:pPr>
              <w:jc w:val="both"/>
              <w:rPr>
                <w:rFonts w:ascii="Arial" w:hAnsi="Arial" w:cs="Arial"/>
                <w:color w:val="000000"/>
              </w:rPr>
            </w:pPr>
            <w:r w:rsidRPr="0070078A">
              <w:rPr>
                <w:rFonts w:ascii="Arial" w:hAnsi="Arial" w:cs="Arial"/>
                <w:color w:val="000000"/>
              </w:rPr>
              <w:t>191(80.9)</w:t>
            </w:r>
          </w:p>
        </w:tc>
      </w:tr>
      <w:tr w:rsidR="003D4A00" w:rsidRPr="0070078A" w:rsidTr="00DE6C73">
        <w:trPr>
          <w:trHeight w:val="315"/>
          <w:jc w:val="center"/>
        </w:trPr>
        <w:tc>
          <w:tcPr>
            <w:tcW w:w="4135" w:type="dxa"/>
            <w:shd w:val="clear" w:color="auto" w:fill="auto"/>
            <w:noWrap/>
            <w:vAlign w:val="center"/>
            <w:hideMark/>
          </w:tcPr>
          <w:p w:rsidR="003D4A00" w:rsidRPr="0070078A" w:rsidRDefault="003D4A00" w:rsidP="00DE6C73">
            <w:pPr>
              <w:ind w:firstLineChars="300" w:firstLine="600"/>
              <w:jc w:val="both"/>
              <w:rPr>
                <w:rFonts w:ascii="Arial" w:hAnsi="Arial" w:cs="Arial"/>
                <w:color w:val="000000"/>
              </w:rPr>
            </w:pPr>
            <w:r w:rsidRPr="0070078A">
              <w:rPr>
                <w:rFonts w:ascii="Arial" w:hAnsi="Arial" w:cs="Arial"/>
                <w:color w:val="000000"/>
              </w:rPr>
              <w:t>No</w:t>
            </w:r>
          </w:p>
        </w:tc>
        <w:tc>
          <w:tcPr>
            <w:tcW w:w="2056" w:type="dxa"/>
            <w:shd w:val="clear" w:color="auto" w:fill="auto"/>
            <w:noWrap/>
            <w:vAlign w:val="center"/>
            <w:hideMark/>
          </w:tcPr>
          <w:p w:rsidR="003D4A00" w:rsidRPr="0070078A" w:rsidRDefault="003D4A00" w:rsidP="00DE6C73">
            <w:pPr>
              <w:jc w:val="both"/>
              <w:rPr>
                <w:rFonts w:ascii="Arial" w:hAnsi="Arial" w:cs="Arial"/>
                <w:color w:val="000000"/>
              </w:rPr>
            </w:pPr>
            <w:r w:rsidRPr="0070078A">
              <w:rPr>
                <w:rFonts w:ascii="Arial" w:hAnsi="Arial" w:cs="Arial"/>
                <w:color w:val="000000"/>
              </w:rPr>
              <w:t>29(24.2)</w:t>
            </w:r>
          </w:p>
        </w:tc>
        <w:tc>
          <w:tcPr>
            <w:tcW w:w="2598" w:type="dxa"/>
            <w:shd w:val="clear" w:color="auto" w:fill="auto"/>
            <w:noWrap/>
            <w:vAlign w:val="bottom"/>
            <w:hideMark/>
          </w:tcPr>
          <w:p w:rsidR="003D4A00" w:rsidRPr="0070078A" w:rsidRDefault="003D4A00" w:rsidP="00DE6C73">
            <w:pPr>
              <w:jc w:val="both"/>
              <w:rPr>
                <w:rFonts w:ascii="Arial" w:hAnsi="Arial" w:cs="Arial"/>
                <w:color w:val="000000"/>
              </w:rPr>
            </w:pPr>
            <w:r w:rsidRPr="0070078A">
              <w:rPr>
                <w:rFonts w:ascii="Arial" w:hAnsi="Arial" w:cs="Arial"/>
                <w:color w:val="000000"/>
              </w:rPr>
              <w:t>16(13.8)</w:t>
            </w:r>
          </w:p>
        </w:tc>
        <w:tc>
          <w:tcPr>
            <w:tcW w:w="2101" w:type="dxa"/>
            <w:shd w:val="clear" w:color="auto" w:fill="auto"/>
            <w:noWrap/>
            <w:vAlign w:val="bottom"/>
            <w:hideMark/>
          </w:tcPr>
          <w:p w:rsidR="003D4A00" w:rsidRPr="0070078A" w:rsidRDefault="003D4A00" w:rsidP="00DE6C73">
            <w:pPr>
              <w:jc w:val="both"/>
              <w:rPr>
                <w:rFonts w:ascii="Arial" w:hAnsi="Arial" w:cs="Arial"/>
                <w:color w:val="000000"/>
              </w:rPr>
            </w:pPr>
            <w:r w:rsidRPr="0070078A">
              <w:rPr>
                <w:rFonts w:ascii="Arial" w:hAnsi="Arial" w:cs="Arial"/>
                <w:color w:val="000000"/>
              </w:rPr>
              <w:t>45(19.1)</w:t>
            </w:r>
          </w:p>
        </w:tc>
      </w:tr>
      <w:tr w:rsidR="003D4A00" w:rsidRPr="0070078A" w:rsidTr="00DE6C73">
        <w:trPr>
          <w:trHeight w:val="315"/>
          <w:jc w:val="center"/>
        </w:trPr>
        <w:tc>
          <w:tcPr>
            <w:tcW w:w="4135" w:type="dxa"/>
            <w:shd w:val="clear" w:color="auto" w:fill="auto"/>
            <w:noWrap/>
            <w:vAlign w:val="center"/>
            <w:hideMark/>
          </w:tcPr>
          <w:p w:rsidR="003D4A00" w:rsidRPr="0070078A" w:rsidRDefault="003D4A00" w:rsidP="00DE6C73">
            <w:pPr>
              <w:jc w:val="both"/>
              <w:rPr>
                <w:rFonts w:ascii="Arial" w:hAnsi="Arial" w:cs="Arial"/>
                <w:b/>
                <w:bCs/>
                <w:color w:val="000000"/>
              </w:rPr>
            </w:pPr>
            <w:r w:rsidRPr="0070078A">
              <w:rPr>
                <w:rFonts w:ascii="Arial" w:hAnsi="Arial" w:cs="Arial"/>
                <w:b/>
                <w:bCs/>
                <w:color w:val="000000"/>
              </w:rPr>
              <w:t>Baseline VA</w:t>
            </w:r>
          </w:p>
          <w:p w:rsidR="003D4A00" w:rsidRPr="0070078A" w:rsidRDefault="003D4A00" w:rsidP="00DE6C73">
            <w:pPr>
              <w:jc w:val="both"/>
              <w:rPr>
                <w:rFonts w:ascii="Arial" w:hAnsi="Arial" w:cs="Arial"/>
                <w:b/>
                <w:bCs/>
                <w:color w:val="000000"/>
              </w:rPr>
            </w:pPr>
          </w:p>
        </w:tc>
        <w:tc>
          <w:tcPr>
            <w:tcW w:w="2056" w:type="dxa"/>
            <w:shd w:val="clear" w:color="auto" w:fill="auto"/>
            <w:noWrap/>
            <w:vAlign w:val="center"/>
            <w:hideMark/>
          </w:tcPr>
          <w:p w:rsidR="003D4A00" w:rsidRPr="0070078A" w:rsidRDefault="003D4A00" w:rsidP="00DE6C73">
            <w:pPr>
              <w:jc w:val="both"/>
              <w:rPr>
                <w:rFonts w:ascii="Arial" w:hAnsi="Arial" w:cs="Arial"/>
                <w:color w:val="000000"/>
              </w:rPr>
            </w:pPr>
          </w:p>
        </w:tc>
        <w:tc>
          <w:tcPr>
            <w:tcW w:w="2598" w:type="dxa"/>
            <w:shd w:val="clear" w:color="auto" w:fill="auto"/>
            <w:noWrap/>
            <w:vAlign w:val="bottom"/>
            <w:hideMark/>
          </w:tcPr>
          <w:p w:rsidR="003D4A00" w:rsidRPr="0070078A" w:rsidRDefault="003D4A00" w:rsidP="00DE6C73">
            <w:pPr>
              <w:jc w:val="both"/>
              <w:rPr>
                <w:rFonts w:ascii="Arial" w:hAnsi="Arial" w:cs="Arial"/>
                <w:color w:val="000000"/>
              </w:rPr>
            </w:pPr>
          </w:p>
        </w:tc>
        <w:tc>
          <w:tcPr>
            <w:tcW w:w="2101" w:type="dxa"/>
            <w:shd w:val="clear" w:color="auto" w:fill="auto"/>
            <w:noWrap/>
            <w:vAlign w:val="bottom"/>
            <w:hideMark/>
          </w:tcPr>
          <w:p w:rsidR="003D4A00" w:rsidRPr="0070078A" w:rsidRDefault="003D4A00" w:rsidP="00DE6C73">
            <w:pPr>
              <w:jc w:val="both"/>
              <w:rPr>
                <w:rFonts w:ascii="Arial" w:hAnsi="Arial" w:cs="Arial"/>
                <w:color w:val="000000"/>
              </w:rPr>
            </w:pPr>
          </w:p>
        </w:tc>
      </w:tr>
      <w:tr w:rsidR="003D4A00" w:rsidRPr="0070078A" w:rsidTr="00DE6C73">
        <w:trPr>
          <w:trHeight w:val="315"/>
          <w:jc w:val="center"/>
        </w:trPr>
        <w:tc>
          <w:tcPr>
            <w:tcW w:w="4135" w:type="dxa"/>
            <w:shd w:val="clear" w:color="auto" w:fill="auto"/>
            <w:noWrap/>
            <w:vAlign w:val="center"/>
            <w:hideMark/>
          </w:tcPr>
          <w:p w:rsidR="003D4A00" w:rsidRPr="0070078A" w:rsidRDefault="003D4A00" w:rsidP="00DE6C73">
            <w:pPr>
              <w:jc w:val="both"/>
              <w:rPr>
                <w:rFonts w:ascii="Arial" w:hAnsi="Arial" w:cs="Arial"/>
                <w:bCs/>
                <w:color w:val="000000"/>
              </w:rPr>
            </w:pPr>
            <w:r w:rsidRPr="0070078A">
              <w:rPr>
                <w:rFonts w:ascii="Arial" w:hAnsi="Arial" w:cs="Arial"/>
                <w:bCs/>
                <w:color w:val="000000"/>
              </w:rPr>
              <w:t xml:space="preserve">      Good</w:t>
            </w:r>
          </w:p>
        </w:tc>
        <w:tc>
          <w:tcPr>
            <w:tcW w:w="2056" w:type="dxa"/>
            <w:shd w:val="clear" w:color="auto" w:fill="auto"/>
            <w:noWrap/>
            <w:vAlign w:val="center"/>
            <w:hideMark/>
          </w:tcPr>
          <w:p w:rsidR="003D4A00" w:rsidRPr="0070078A" w:rsidRDefault="003D4A00" w:rsidP="00DE6C73">
            <w:pPr>
              <w:jc w:val="both"/>
              <w:rPr>
                <w:rFonts w:ascii="Arial" w:hAnsi="Arial" w:cs="Arial"/>
                <w:color w:val="000000"/>
              </w:rPr>
            </w:pPr>
            <w:r w:rsidRPr="0070078A">
              <w:rPr>
                <w:rFonts w:ascii="Arial" w:hAnsi="Arial" w:cs="Arial"/>
                <w:color w:val="000000"/>
              </w:rPr>
              <w:t>39(67.5)</w:t>
            </w:r>
          </w:p>
        </w:tc>
        <w:tc>
          <w:tcPr>
            <w:tcW w:w="2598" w:type="dxa"/>
            <w:shd w:val="clear" w:color="auto" w:fill="auto"/>
            <w:noWrap/>
            <w:vAlign w:val="bottom"/>
            <w:hideMark/>
          </w:tcPr>
          <w:p w:rsidR="003D4A00" w:rsidRPr="0070078A" w:rsidRDefault="003D4A00" w:rsidP="00DE6C73">
            <w:pPr>
              <w:jc w:val="both"/>
              <w:rPr>
                <w:rFonts w:ascii="Arial" w:hAnsi="Arial" w:cs="Arial"/>
                <w:color w:val="000000"/>
              </w:rPr>
            </w:pPr>
            <w:r w:rsidRPr="0070078A">
              <w:rPr>
                <w:rFonts w:ascii="Arial" w:hAnsi="Arial" w:cs="Arial"/>
                <w:color w:val="000000"/>
              </w:rPr>
              <w:t>66(56.9)</w:t>
            </w:r>
          </w:p>
        </w:tc>
        <w:tc>
          <w:tcPr>
            <w:tcW w:w="2101" w:type="dxa"/>
            <w:shd w:val="clear" w:color="auto" w:fill="auto"/>
            <w:noWrap/>
            <w:vAlign w:val="bottom"/>
            <w:hideMark/>
          </w:tcPr>
          <w:p w:rsidR="003D4A00" w:rsidRPr="0070078A" w:rsidRDefault="003D4A00" w:rsidP="00DE6C73">
            <w:pPr>
              <w:jc w:val="both"/>
              <w:rPr>
                <w:rFonts w:ascii="Arial" w:hAnsi="Arial" w:cs="Arial"/>
                <w:color w:val="000000"/>
              </w:rPr>
            </w:pPr>
            <w:r w:rsidRPr="0070078A">
              <w:rPr>
                <w:rFonts w:ascii="Arial" w:hAnsi="Arial" w:cs="Arial"/>
                <w:color w:val="000000"/>
              </w:rPr>
              <w:t>105(45.5)</w:t>
            </w:r>
          </w:p>
        </w:tc>
      </w:tr>
      <w:tr w:rsidR="003D4A00" w:rsidRPr="0070078A" w:rsidTr="00DE6C73">
        <w:trPr>
          <w:trHeight w:val="315"/>
          <w:jc w:val="center"/>
        </w:trPr>
        <w:tc>
          <w:tcPr>
            <w:tcW w:w="4135" w:type="dxa"/>
            <w:shd w:val="clear" w:color="auto" w:fill="auto"/>
            <w:noWrap/>
            <w:vAlign w:val="center"/>
            <w:hideMark/>
          </w:tcPr>
          <w:p w:rsidR="003D4A00" w:rsidRPr="0070078A" w:rsidRDefault="003D4A00" w:rsidP="00DE6C73">
            <w:pPr>
              <w:jc w:val="both"/>
              <w:rPr>
                <w:rFonts w:ascii="Arial" w:hAnsi="Arial" w:cs="Arial"/>
                <w:bCs/>
                <w:color w:val="000000"/>
              </w:rPr>
            </w:pPr>
            <w:r w:rsidRPr="0070078A">
              <w:rPr>
                <w:rFonts w:ascii="Arial" w:hAnsi="Arial" w:cs="Arial"/>
                <w:bCs/>
                <w:color w:val="000000"/>
              </w:rPr>
              <w:t xml:space="preserve">      Poor</w:t>
            </w:r>
          </w:p>
        </w:tc>
        <w:tc>
          <w:tcPr>
            <w:tcW w:w="2056" w:type="dxa"/>
            <w:shd w:val="clear" w:color="auto" w:fill="auto"/>
            <w:noWrap/>
            <w:vAlign w:val="center"/>
            <w:hideMark/>
          </w:tcPr>
          <w:p w:rsidR="003D4A00" w:rsidRPr="0070078A" w:rsidRDefault="003D4A00" w:rsidP="00DE6C73">
            <w:pPr>
              <w:jc w:val="both"/>
              <w:rPr>
                <w:rFonts w:ascii="Arial" w:hAnsi="Arial" w:cs="Arial"/>
                <w:color w:val="000000"/>
              </w:rPr>
            </w:pPr>
            <w:r w:rsidRPr="0070078A">
              <w:rPr>
                <w:rFonts w:ascii="Arial" w:hAnsi="Arial" w:cs="Arial"/>
                <w:color w:val="000000"/>
              </w:rPr>
              <w:t>81(65.5)</w:t>
            </w:r>
          </w:p>
        </w:tc>
        <w:tc>
          <w:tcPr>
            <w:tcW w:w="2598" w:type="dxa"/>
            <w:shd w:val="clear" w:color="auto" w:fill="auto"/>
            <w:noWrap/>
            <w:vAlign w:val="bottom"/>
            <w:hideMark/>
          </w:tcPr>
          <w:p w:rsidR="003D4A00" w:rsidRPr="0070078A" w:rsidRDefault="003D4A00" w:rsidP="00DE6C73">
            <w:pPr>
              <w:jc w:val="both"/>
              <w:rPr>
                <w:rFonts w:ascii="Arial" w:hAnsi="Arial" w:cs="Arial"/>
                <w:color w:val="000000"/>
              </w:rPr>
            </w:pPr>
            <w:r w:rsidRPr="0070078A">
              <w:rPr>
                <w:rFonts w:ascii="Arial" w:hAnsi="Arial" w:cs="Arial"/>
                <w:color w:val="000000"/>
              </w:rPr>
              <w:t>50(43.1)</w:t>
            </w:r>
          </w:p>
        </w:tc>
        <w:tc>
          <w:tcPr>
            <w:tcW w:w="2101" w:type="dxa"/>
            <w:shd w:val="clear" w:color="auto" w:fill="auto"/>
            <w:noWrap/>
            <w:vAlign w:val="bottom"/>
            <w:hideMark/>
          </w:tcPr>
          <w:p w:rsidR="003D4A00" w:rsidRPr="0070078A" w:rsidRDefault="003D4A00" w:rsidP="00DE6C73">
            <w:pPr>
              <w:jc w:val="both"/>
              <w:rPr>
                <w:rFonts w:ascii="Arial" w:hAnsi="Arial" w:cs="Arial"/>
                <w:color w:val="000000"/>
              </w:rPr>
            </w:pPr>
            <w:r w:rsidRPr="0070078A">
              <w:rPr>
                <w:rFonts w:ascii="Arial" w:hAnsi="Arial" w:cs="Arial"/>
                <w:color w:val="000000"/>
              </w:rPr>
              <w:t>131(55.5)</w:t>
            </w:r>
          </w:p>
        </w:tc>
      </w:tr>
      <w:tr w:rsidR="003D4A00" w:rsidRPr="0070078A" w:rsidTr="00DE6C73">
        <w:trPr>
          <w:trHeight w:val="315"/>
          <w:jc w:val="center"/>
        </w:trPr>
        <w:tc>
          <w:tcPr>
            <w:tcW w:w="4135" w:type="dxa"/>
            <w:shd w:val="clear" w:color="auto" w:fill="auto"/>
            <w:noWrap/>
            <w:vAlign w:val="center"/>
            <w:hideMark/>
          </w:tcPr>
          <w:p w:rsidR="003D4A00" w:rsidRPr="0070078A" w:rsidRDefault="003D4A00" w:rsidP="00DE6C73">
            <w:pPr>
              <w:jc w:val="both"/>
              <w:rPr>
                <w:rFonts w:ascii="Arial" w:hAnsi="Arial" w:cs="Arial"/>
                <w:bCs/>
                <w:i/>
                <w:color w:val="000000"/>
              </w:rPr>
            </w:pPr>
            <w:r w:rsidRPr="0070078A">
              <w:rPr>
                <w:rFonts w:ascii="Arial" w:hAnsi="Arial" w:cs="Arial"/>
                <w:bCs/>
                <w:i/>
                <w:color w:val="000000"/>
              </w:rPr>
              <w:t xml:space="preserve">      Mean(SD)</w:t>
            </w:r>
          </w:p>
        </w:tc>
        <w:tc>
          <w:tcPr>
            <w:tcW w:w="2056" w:type="dxa"/>
            <w:shd w:val="clear" w:color="auto" w:fill="auto"/>
            <w:noWrap/>
            <w:vAlign w:val="center"/>
            <w:hideMark/>
          </w:tcPr>
          <w:p w:rsidR="003D4A00" w:rsidRPr="0070078A" w:rsidRDefault="003D4A00" w:rsidP="00DE6C73">
            <w:pPr>
              <w:jc w:val="both"/>
              <w:rPr>
                <w:rFonts w:ascii="Arial" w:hAnsi="Arial" w:cs="Arial"/>
                <w:i/>
                <w:color w:val="000000"/>
              </w:rPr>
            </w:pPr>
            <w:r w:rsidRPr="0070078A">
              <w:rPr>
                <w:rFonts w:ascii="Arial" w:hAnsi="Arial" w:cs="Arial"/>
                <w:i/>
                <w:color w:val="000000"/>
              </w:rPr>
              <w:t>0.86(±0.49)</w:t>
            </w:r>
          </w:p>
        </w:tc>
        <w:tc>
          <w:tcPr>
            <w:tcW w:w="2598" w:type="dxa"/>
            <w:shd w:val="clear" w:color="auto" w:fill="auto"/>
            <w:noWrap/>
            <w:vAlign w:val="bottom"/>
            <w:hideMark/>
          </w:tcPr>
          <w:p w:rsidR="003D4A00" w:rsidRPr="0070078A" w:rsidRDefault="003D4A00" w:rsidP="00DE6C73">
            <w:pPr>
              <w:jc w:val="both"/>
              <w:rPr>
                <w:rFonts w:ascii="Arial" w:hAnsi="Arial" w:cs="Arial"/>
                <w:i/>
                <w:color w:val="000000"/>
              </w:rPr>
            </w:pPr>
            <w:r w:rsidRPr="0070078A">
              <w:rPr>
                <w:rFonts w:ascii="Arial" w:hAnsi="Arial" w:cs="Arial"/>
                <w:i/>
                <w:color w:val="000000"/>
              </w:rPr>
              <w:t>0.63(±0.45)</w:t>
            </w:r>
          </w:p>
        </w:tc>
        <w:tc>
          <w:tcPr>
            <w:tcW w:w="2101" w:type="dxa"/>
            <w:shd w:val="clear" w:color="auto" w:fill="auto"/>
            <w:noWrap/>
            <w:vAlign w:val="bottom"/>
            <w:hideMark/>
          </w:tcPr>
          <w:p w:rsidR="003D4A00" w:rsidRPr="0070078A" w:rsidRDefault="003D4A00" w:rsidP="00DE6C73">
            <w:pPr>
              <w:jc w:val="both"/>
              <w:rPr>
                <w:rFonts w:ascii="Arial" w:hAnsi="Arial" w:cs="Arial"/>
                <w:i/>
                <w:color w:val="000000"/>
              </w:rPr>
            </w:pPr>
            <w:r w:rsidRPr="0070078A">
              <w:rPr>
                <w:rFonts w:ascii="Arial" w:hAnsi="Arial" w:cs="Arial"/>
                <w:i/>
                <w:color w:val="000000"/>
              </w:rPr>
              <w:t>0.74(±0.48)</w:t>
            </w:r>
          </w:p>
        </w:tc>
      </w:tr>
      <w:tr w:rsidR="003D4A00" w:rsidRPr="0070078A" w:rsidTr="00DE6C73">
        <w:trPr>
          <w:trHeight w:val="315"/>
          <w:jc w:val="center"/>
        </w:trPr>
        <w:tc>
          <w:tcPr>
            <w:tcW w:w="4135" w:type="dxa"/>
            <w:shd w:val="clear" w:color="auto" w:fill="auto"/>
            <w:noWrap/>
            <w:vAlign w:val="center"/>
            <w:hideMark/>
          </w:tcPr>
          <w:p w:rsidR="003D4A00" w:rsidRPr="0070078A" w:rsidRDefault="003D4A00" w:rsidP="00DE6C73">
            <w:pPr>
              <w:jc w:val="both"/>
              <w:rPr>
                <w:rFonts w:ascii="Arial" w:hAnsi="Arial" w:cs="Arial"/>
                <w:b/>
                <w:bCs/>
                <w:color w:val="000000"/>
              </w:rPr>
            </w:pPr>
            <w:r w:rsidRPr="0070078A">
              <w:rPr>
                <w:rFonts w:ascii="Arial" w:hAnsi="Arial" w:cs="Arial"/>
                <w:b/>
                <w:bCs/>
                <w:color w:val="000000"/>
              </w:rPr>
              <w:t>IOP</w:t>
            </w:r>
          </w:p>
        </w:tc>
        <w:tc>
          <w:tcPr>
            <w:tcW w:w="2056" w:type="dxa"/>
            <w:shd w:val="clear" w:color="auto" w:fill="auto"/>
            <w:noWrap/>
            <w:vAlign w:val="center"/>
            <w:hideMark/>
          </w:tcPr>
          <w:p w:rsidR="003D4A00" w:rsidRPr="0070078A" w:rsidRDefault="003D4A00" w:rsidP="00DE6C73">
            <w:pPr>
              <w:jc w:val="both"/>
              <w:rPr>
                <w:rFonts w:ascii="Arial" w:hAnsi="Arial" w:cs="Arial"/>
                <w:color w:val="000000"/>
              </w:rPr>
            </w:pPr>
          </w:p>
        </w:tc>
        <w:tc>
          <w:tcPr>
            <w:tcW w:w="2598" w:type="dxa"/>
            <w:shd w:val="clear" w:color="auto" w:fill="auto"/>
            <w:noWrap/>
            <w:vAlign w:val="bottom"/>
            <w:hideMark/>
          </w:tcPr>
          <w:p w:rsidR="003D4A00" w:rsidRPr="0070078A" w:rsidRDefault="003D4A00" w:rsidP="00DE6C73">
            <w:pPr>
              <w:jc w:val="both"/>
              <w:rPr>
                <w:rFonts w:ascii="Arial" w:hAnsi="Arial" w:cs="Arial"/>
                <w:color w:val="000000"/>
              </w:rPr>
            </w:pPr>
          </w:p>
        </w:tc>
        <w:tc>
          <w:tcPr>
            <w:tcW w:w="2101" w:type="dxa"/>
            <w:shd w:val="clear" w:color="auto" w:fill="auto"/>
            <w:noWrap/>
            <w:vAlign w:val="bottom"/>
            <w:hideMark/>
          </w:tcPr>
          <w:p w:rsidR="003D4A00" w:rsidRPr="0070078A" w:rsidRDefault="003D4A00" w:rsidP="00DE6C73">
            <w:pPr>
              <w:jc w:val="both"/>
              <w:rPr>
                <w:rFonts w:ascii="Arial" w:hAnsi="Arial" w:cs="Arial"/>
                <w:color w:val="000000"/>
              </w:rPr>
            </w:pPr>
          </w:p>
        </w:tc>
      </w:tr>
      <w:tr w:rsidR="003D4A00" w:rsidRPr="0070078A" w:rsidTr="00DE6C73">
        <w:trPr>
          <w:trHeight w:val="315"/>
          <w:jc w:val="center"/>
        </w:trPr>
        <w:tc>
          <w:tcPr>
            <w:tcW w:w="4135" w:type="dxa"/>
            <w:shd w:val="clear" w:color="auto" w:fill="auto"/>
            <w:noWrap/>
            <w:vAlign w:val="center"/>
            <w:hideMark/>
          </w:tcPr>
          <w:p w:rsidR="003D4A00" w:rsidRPr="0070078A" w:rsidRDefault="003D4A00" w:rsidP="00DE6C73">
            <w:pPr>
              <w:ind w:firstLineChars="300" w:firstLine="600"/>
              <w:jc w:val="both"/>
              <w:rPr>
                <w:rFonts w:ascii="Arial" w:hAnsi="Arial" w:cs="Arial"/>
                <w:b/>
                <w:bCs/>
                <w:i/>
                <w:iCs/>
                <w:color w:val="000000"/>
              </w:rPr>
            </w:pPr>
            <w:r w:rsidRPr="0070078A">
              <w:rPr>
                <w:rFonts w:ascii="Arial" w:hAnsi="Arial" w:cs="Arial"/>
                <w:i/>
                <w:iCs/>
                <w:color w:val="000000"/>
              </w:rPr>
              <w:t>Mean(SD</w:t>
            </w:r>
            <w:r w:rsidRPr="0070078A">
              <w:rPr>
                <w:rFonts w:ascii="Arial" w:hAnsi="Arial" w:cs="Arial"/>
                <w:b/>
                <w:bCs/>
                <w:i/>
                <w:iCs/>
                <w:color w:val="000000"/>
              </w:rPr>
              <w:t>)</w:t>
            </w:r>
          </w:p>
        </w:tc>
        <w:tc>
          <w:tcPr>
            <w:tcW w:w="2056" w:type="dxa"/>
            <w:shd w:val="clear" w:color="auto" w:fill="auto"/>
            <w:noWrap/>
            <w:vAlign w:val="center"/>
            <w:hideMark/>
          </w:tcPr>
          <w:p w:rsidR="003D4A00" w:rsidRPr="0070078A" w:rsidRDefault="003D4A00" w:rsidP="00DE6C73">
            <w:pPr>
              <w:jc w:val="both"/>
              <w:rPr>
                <w:rFonts w:ascii="Arial" w:hAnsi="Arial" w:cs="Arial"/>
                <w:color w:val="000000"/>
              </w:rPr>
            </w:pPr>
            <w:r w:rsidRPr="0070078A">
              <w:rPr>
                <w:rFonts w:ascii="Arial" w:hAnsi="Arial" w:cs="Arial"/>
                <w:color w:val="000000"/>
              </w:rPr>
              <w:t>14.4(±3.18)</w:t>
            </w:r>
          </w:p>
        </w:tc>
        <w:tc>
          <w:tcPr>
            <w:tcW w:w="2598" w:type="dxa"/>
            <w:shd w:val="clear" w:color="auto" w:fill="auto"/>
            <w:noWrap/>
            <w:vAlign w:val="bottom"/>
            <w:hideMark/>
          </w:tcPr>
          <w:p w:rsidR="003D4A00" w:rsidRPr="0070078A" w:rsidRDefault="003D4A00" w:rsidP="00DE6C73">
            <w:pPr>
              <w:jc w:val="both"/>
              <w:rPr>
                <w:rFonts w:ascii="Arial" w:hAnsi="Arial" w:cs="Arial"/>
                <w:color w:val="000000"/>
              </w:rPr>
            </w:pPr>
            <w:r w:rsidRPr="0070078A">
              <w:rPr>
                <w:rFonts w:ascii="Arial" w:hAnsi="Arial" w:cs="Arial"/>
                <w:color w:val="000000"/>
              </w:rPr>
              <w:t>14.27(±3.39)</w:t>
            </w:r>
          </w:p>
        </w:tc>
        <w:tc>
          <w:tcPr>
            <w:tcW w:w="2101" w:type="dxa"/>
            <w:shd w:val="clear" w:color="auto" w:fill="auto"/>
            <w:noWrap/>
            <w:vAlign w:val="bottom"/>
            <w:hideMark/>
          </w:tcPr>
          <w:p w:rsidR="003D4A00" w:rsidRPr="0070078A" w:rsidRDefault="003D4A00" w:rsidP="00DE6C73">
            <w:pPr>
              <w:jc w:val="both"/>
              <w:rPr>
                <w:rFonts w:ascii="Arial" w:hAnsi="Arial" w:cs="Arial"/>
                <w:color w:val="000000"/>
              </w:rPr>
            </w:pPr>
            <w:r w:rsidRPr="0070078A">
              <w:rPr>
                <w:rFonts w:ascii="Arial" w:hAnsi="Arial" w:cs="Arial"/>
                <w:color w:val="000000"/>
              </w:rPr>
              <w:t>14.33(±3.28)</w:t>
            </w:r>
          </w:p>
        </w:tc>
      </w:tr>
      <w:tr w:rsidR="003D4A00" w:rsidRPr="0070078A" w:rsidTr="00DE6C73">
        <w:trPr>
          <w:trHeight w:val="315"/>
          <w:jc w:val="center"/>
        </w:trPr>
        <w:tc>
          <w:tcPr>
            <w:tcW w:w="4135" w:type="dxa"/>
            <w:shd w:val="clear" w:color="auto" w:fill="auto"/>
            <w:noWrap/>
            <w:vAlign w:val="center"/>
            <w:hideMark/>
          </w:tcPr>
          <w:p w:rsidR="003D4A00" w:rsidRPr="0070078A" w:rsidRDefault="003D4A00" w:rsidP="00DE6C73">
            <w:pPr>
              <w:jc w:val="both"/>
              <w:rPr>
                <w:rFonts w:ascii="Arial" w:hAnsi="Arial" w:cs="Arial"/>
                <w:b/>
                <w:bCs/>
                <w:color w:val="000000"/>
              </w:rPr>
            </w:pPr>
            <w:r w:rsidRPr="0070078A">
              <w:rPr>
                <w:rFonts w:ascii="Arial" w:hAnsi="Arial" w:cs="Arial"/>
                <w:b/>
                <w:bCs/>
                <w:color w:val="000000"/>
              </w:rPr>
              <w:t>Number of IVB given during treatment period</w:t>
            </w:r>
          </w:p>
        </w:tc>
        <w:tc>
          <w:tcPr>
            <w:tcW w:w="2056" w:type="dxa"/>
            <w:shd w:val="clear" w:color="auto" w:fill="auto"/>
            <w:noWrap/>
            <w:vAlign w:val="center"/>
            <w:hideMark/>
          </w:tcPr>
          <w:p w:rsidR="003D4A00" w:rsidRPr="0070078A" w:rsidRDefault="003D4A00" w:rsidP="00DE6C73">
            <w:pPr>
              <w:jc w:val="both"/>
              <w:rPr>
                <w:rFonts w:ascii="Arial" w:hAnsi="Arial" w:cs="Arial"/>
                <w:color w:val="000000"/>
              </w:rPr>
            </w:pPr>
          </w:p>
        </w:tc>
        <w:tc>
          <w:tcPr>
            <w:tcW w:w="2598" w:type="dxa"/>
            <w:shd w:val="clear" w:color="auto" w:fill="auto"/>
            <w:noWrap/>
            <w:vAlign w:val="bottom"/>
            <w:hideMark/>
          </w:tcPr>
          <w:p w:rsidR="003D4A00" w:rsidRPr="0070078A" w:rsidRDefault="003D4A00" w:rsidP="00DE6C73">
            <w:pPr>
              <w:jc w:val="both"/>
              <w:rPr>
                <w:rFonts w:ascii="Arial" w:hAnsi="Arial" w:cs="Arial"/>
                <w:color w:val="000000"/>
              </w:rPr>
            </w:pPr>
          </w:p>
        </w:tc>
        <w:tc>
          <w:tcPr>
            <w:tcW w:w="2101" w:type="dxa"/>
            <w:shd w:val="clear" w:color="auto" w:fill="auto"/>
            <w:noWrap/>
            <w:vAlign w:val="bottom"/>
            <w:hideMark/>
          </w:tcPr>
          <w:p w:rsidR="003D4A00" w:rsidRPr="0070078A" w:rsidRDefault="003D4A00" w:rsidP="00DE6C73">
            <w:pPr>
              <w:jc w:val="both"/>
              <w:rPr>
                <w:rFonts w:ascii="Arial" w:hAnsi="Arial" w:cs="Arial"/>
                <w:color w:val="000000"/>
              </w:rPr>
            </w:pPr>
          </w:p>
        </w:tc>
      </w:tr>
      <w:tr w:rsidR="003D4A00" w:rsidRPr="0070078A" w:rsidTr="00DE6C73">
        <w:trPr>
          <w:trHeight w:val="315"/>
          <w:jc w:val="center"/>
        </w:trPr>
        <w:tc>
          <w:tcPr>
            <w:tcW w:w="4135" w:type="dxa"/>
            <w:shd w:val="clear" w:color="auto" w:fill="auto"/>
            <w:noWrap/>
            <w:vAlign w:val="center"/>
            <w:hideMark/>
          </w:tcPr>
          <w:p w:rsidR="003D4A00" w:rsidRPr="0070078A" w:rsidRDefault="003D4A00" w:rsidP="00DE6C73">
            <w:pPr>
              <w:ind w:firstLineChars="300" w:firstLine="600"/>
              <w:jc w:val="both"/>
              <w:rPr>
                <w:rFonts w:ascii="Arial" w:hAnsi="Arial" w:cs="Arial"/>
                <w:color w:val="000000"/>
              </w:rPr>
            </w:pPr>
            <w:r w:rsidRPr="0070078A">
              <w:rPr>
                <w:rFonts w:ascii="Arial" w:hAnsi="Arial" w:cs="Arial"/>
                <w:color w:val="000000"/>
              </w:rPr>
              <w:t>≤3</w:t>
            </w:r>
          </w:p>
        </w:tc>
        <w:tc>
          <w:tcPr>
            <w:tcW w:w="2056" w:type="dxa"/>
            <w:shd w:val="clear" w:color="auto" w:fill="auto"/>
            <w:noWrap/>
            <w:vAlign w:val="center"/>
            <w:hideMark/>
          </w:tcPr>
          <w:p w:rsidR="003D4A00" w:rsidRPr="0070078A" w:rsidRDefault="003D4A00" w:rsidP="00DE6C73">
            <w:pPr>
              <w:jc w:val="both"/>
              <w:rPr>
                <w:rFonts w:ascii="Arial" w:hAnsi="Arial" w:cs="Arial"/>
                <w:color w:val="000000"/>
              </w:rPr>
            </w:pPr>
            <w:r w:rsidRPr="0070078A">
              <w:rPr>
                <w:rFonts w:ascii="Arial" w:hAnsi="Arial" w:cs="Arial"/>
                <w:color w:val="000000"/>
              </w:rPr>
              <w:t>63(52.5)</w:t>
            </w:r>
          </w:p>
        </w:tc>
        <w:tc>
          <w:tcPr>
            <w:tcW w:w="2598" w:type="dxa"/>
            <w:shd w:val="clear" w:color="auto" w:fill="auto"/>
            <w:noWrap/>
            <w:vAlign w:val="bottom"/>
            <w:hideMark/>
          </w:tcPr>
          <w:p w:rsidR="003D4A00" w:rsidRPr="0070078A" w:rsidRDefault="003D4A00" w:rsidP="00DE6C73">
            <w:pPr>
              <w:jc w:val="both"/>
              <w:rPr>
                <w:rFonts w:ascii="Arial" w:hAnsi="Arial" w:cs="Arial"/>
                <w:color w:val="000000"/>
              </w:rPr>
            </w:pPr>
            <w:r w:rsidRPr="0070078A">
              <w:rPr>
                <w:rFonts w:ascii="Arial" w:hAnsi="Arial" w:cs="Arial"/>
                <w:color w:val="000000"/>
              </w:rPr>
              <w:t>73(62.9)</w:t>
            </w:r>
          </w:p>
        </w:tc>
        <w:tc>
          <w:tcPr>
            <w:tcW w:w="2101" w:type="dxa"/>
            <w:shd w:val="clear" w:color="auto" w:fill="auto"/>
            <w:noWrap/>
            <w:vAlign w:val="bottom"/>
            <w:hideMark/>
          </w:tcPr>
          <w:p w:rsidR="003D4A00" w:rsidRPr="0070078A" w:rsidRDefault="003D4A00" w:rsidP="00DE6C73">
            <w:pPr>
              <w:jc w:val="both"/>
              <w:rPr>
                <w:rFonts w:ascii="Arial" w:hAnsi="Arial" w:cs="Arial"/>
                <w:color w:val="000000"/>
              </w:rPr>
            </w:pPr>
            <w:r w:rsidRPr="0070078A">
              <w:rPr>
                <w:rFonts w:ascii="Arial" w:hAnsi="Arial" w:cs="Arial"/>
                <w:color w:val="000000"/>
              </w:rPr>
              <w:t>136(57.6)</w:t>
            </w:r>
          </w:p>
        </w:tc>
      </w:tr>
      <w:tr w:rsidR="003D4A00" w:rsidRPr="0070078A" w:rsidTr="00DE6C73">
        <w:trPr>
          <w:trHeight w:val="315"/>
          <w:jc w:val="center"/>
        </w:trPr>
        <w:tc>
          <w:tcPr>
            <w:tcW w:w="4135" w:type="dxa"/>
            <w:shd w:val="clear" w:color="auto" w:fill="auto"/>
            <w:noWrap/>
            <w:vAlign w:val="center"/>
            <w:hideMark/>
          </w:tcPr>
          <w:p w:rsidR="003D4A00" w:rsidRPr="0070078A" w:rsidRDefault="003D4A00" w:rsidP="00DE6C73">
            <w:pPr>
              <w:ind w:firstLineChars="300" w:firstLine="600"/>
              <w:jc w:val="both"/>
              <w:rPr>
                <w:rFonts w:ascii="Arial" w:hAnsi="Arial" w:cs="Arial"/>
                <w:color w:val="000000"/>
              </w:rPr>
            </w:pPr>
            <w:r w:rsidRPr="0070078A">
              <w:rPr>
                <w:rFonts w:ascii="Arial" w:hAnsi="Arial" w:cs="Arial"/>
                <w:color w:val="000000"/>
              </w:rPr>
              <w:t>˃3</w:t>
            </w:r>
          </w:p>
        </w:tc>
        <w:tc>
          <w:tcPr>
            <w:tcW w:w="2056" w:type="dxa"/>
            <w:shd w:val="clear" w:color="auto" w:fill="auto"/>
            <w:noWrap/>
            <w:vAlign w:val="center"/>
            <w:hideMark/>
          </w:tcPr>
          <w:p w:rsidR="003D4A00" w:rsidRPr="0070078A" w:rsidRDefault="003D4A00" w:rsidP="00DE6C73">
            <w:pPr>
              <w:jc w:val="both"/>
              <w:rPr>
                <w:rFonts w:ascii="Arial" w:hAnsi="Arial" w:cs="Arial"/>
                <w:color w:val="000000"/>
              </w:rPr>
            </w:pPr>
            <w:r w:rsidRPr="0070078A">
              <w:rPr>
                <w:rFonts w:ascii="Arial" w:hAnsi="Arial" w:cs="Arial"/>
                <w:color w:val="000000"/>
              </w:rPr>
              <w:t>57(47.5)</w:t>
            </w:r>
          </w:p>
        </w:tc>
        <w:tc>
          <w:tcPr>
            <w:tcW w:w="2598" w:type="dxa"/>
            <w:shd w:val="clear" w:color="auto" w:fill="auto"/>
            <w:noWrap/>
            <w:vAlign w:val="bottom"/>
            <w:hideMark/>
          </w:tcPr>
          <w:p w:rsidR="003D4A00" w:rsidRPr="0070078A" w:rsidRDefault="003D4A00" w:rsidP="00DE6C73">
            <w:pPr>
              <w:jc w:val="both"/>
              <w:rPr>
                <w:rFonts w:ascii="Arial" w:hAnsi="Arial" w:cs="Arial"/>
                <w:color w:val="000000"/>
              </w:rPr>
            </w:pPr>
            <w:r w:rsidRPr="0070078A">
              <w:rPr>
                <w:rFonts w:ascii="Arial" w:hAnsi="Arial" w:cs="Arial"/>
                <w:color w:val="000000"/>
              </w:rPr>
              <w:t>43(37.1)</w:t>
            </w:r>
          </w:p>
        </w:tc>
        <w:tc>
          <w:tcPr>
            <w:tcW w:w="2101" w:type="dxa"/>
            <w:shd w:val="clear" w:color="auto" w:fill="auto"/>
            <w:noWrap/>
            <w:vAlign w:val="bottom"/>
            <w:hideMark/>
          </w:tcPr>
          <w:p w:rsidR="003D4A00" w:rsidRPr="0070078A" w:rsidRDefault="003D4A00" w:rsidP="00DE6C73">
            <w:pPr>
              <w:jc w:val="both"/>
              <w:rPr>
                <w:rFonts w:ascii="Arial" w:hAnsi="Arial" w:cs="Arial"/>
                <w:color w:val="000000"/>
              </w:rPr>
            </w:pPr>
            <w:r w:rsidRPr="0070078A">
              <w:rPr>
                <w:rFonts w:ascii="Arial" w:hAnsi="Arial" w:cs="Arial"/>
                <w:color w:val="000000"/>
              </w:rPr>
              <w:t>100(42.4)</w:t>
            </w:r>
          </w:p>
        </w:tc>
      </w:tr>
      <w:tr w:rsidR="003D4A00" w:rsidRPr="0070078A" w:rsidTr="00DE6C73">
        <w:trPr>
          <w:trHeight w:val="315"/>
          <w:jc w:val="center"/>
        </w:trPr>
        <w:tc>
          <w:tcPr>
            <w:tcW w:w="4135" w:type="dxa"/>
            <w:shd w:val="clear" w:color="auto" w:fill="auto"/>
            <w:noWrap/>
            <w:vAlign w:val="center"/>
            <w:hideMark/>
          </w:tcPr>
          <w:p w:rsidR="003D4A00" w:rsidRPr="0070078A" w:rsidRDefault="003D4A00" w:rsidP="00DE6C73">
            <w:pPr>
              <w:jc w:val="both"/>
              <w:rPr>
                <w:rFonts w:ascii="Arial" w:hAnsi="Arial" w:cs="Arial"/>
                <w:b/>
                <w:bCs/>
                <w:color w:val="000000"/>
              </w:rPr>
            </w:pPr>
            <w:r w:rsidRPr="0070078A">
              <w:rPr>
                <w:rFonts w:ascii="Arial" w:hAnsi="Arial" w:cs="Arial"/>
                <w:b/>
                <w:bCs/>
                <w:color w:val="000000"/>
              </w:rPr>
              <w:t>Number of focal lasers given during treatment period</w:t>
            </w:r>
          </w:p>
        </w:tc>
        <w:tc>
          <w:tcPr>
            <w:tcW w:w="2056" w:type="dxa"/>
            <w:shd w:val="clear" w:color="auto" w:fill="auto"/>
            <w:noWrap/>
            <w:vAlign w:val="center"/>
            <w:hideMark/>
          </w:tcPr>
          <w:p w:rsidR="003D4A00" w:rsidRPr="0070078A" w:rsidRDefault="003D4A00" w:rsidP="00DE6C73">
            <w:pPr>
              <w:jc w:val="both"/>
              <w:rPr>
                <w:rFonts w:ascii="Arial" w:hAnsi="Arial" w:cs="Arial"/>
                <w:color w:val="000000"/>
              </w:rPr>
            </w:pPr>
          </w:p>
        </w:tc>
        <w:tc>
          <w:tcPr>
            <w:tcW w:w="2598" w:type="dxa"/>
            <w:shd w:val="clear" w:color="auto" w:fill="auto"/>
            <w:noWrap/>
            <w:vAlign w:val="bottom"/>
            <w:hideMark/>
          </w:tcPr>
          <w:p w:rsidR="003D4A00" w:rsidRPr="0070078A" w:rsidRDefault="003D4A00" w:rsidP="00DE6C73">
            <w:pPr>
              <w:jc w:val="both"/>
              <w:rPr>
                <w:rFonts w:ascii="Arial" w:hAnsi="Arial" w:cs="Arial"/>
                <w:color w:val="000000"/>
              </w:rPr>
            </w:pPr>
          </w:p>
        </w:tc>
        <w:tc>
          <w:tcPr>
            <w:tcW w:w="2101" w:type="dxa"/>
            <w:shd w:val="clear" w:color="auto" w:fill="auto"/>
            <w:noWrap/>
            <w:vAlign w:val="bottom"/>
            <w:hideMark/>
          </w:tcPr>
          <w:p w:rsidR="003D4A00" w:rsidRPr="0070078A" w:rsidRDefault="003D4A00" w:rsidP="00DE6C73">
            <w:pPr>
              <w:jc w:val="both"/>
              <w:rPr>
                <w:rFonts w:ascii="Arial" w:hAnsi="Arial" w:cs="Arial"/>
                <w:color w:val="000000"/>
              </w:rPr>
            </w:pPr>
          </w:p>
        </w:tc>
      </w:tr>
      <w:tr w:rsidR="003D4A00" w:rsidRPr="0070078A" w:rsidTr="00DE6C73">
        <w:trPr>
          <w:trHeight w:val="315"/>
          <w:jc w:val="center"/>
        </w:trPr>
        <w:tc>
          <w:tcPr>
            <w:tcW w:w="4135" w:type="dxa"/>
            <w:shd w:val="clear" w:color="auto" w:fill="auto"/>
            <w:noWrap/>
            <w:vAlign w:val="center"/>
            <w:hideMark/>
          </w:tcPr>
          <w:p w:rsidR="003D4A00" w:rsidRPr="0070078A" w:rsidRDefault="003D4A00" w:rsidP="00DE6C73">
            <w:pPr>
              <w:jc w:val="both"/>
              <w:rPr>
                <w:rFonts w:ascii="Arial" w:hAnsi="Arial" w:cs="Arial"/>
                <w:color w:val="000000"/>
              </w:rPr>
            </w:pPr>
          </w:p>
        </w:tc>
        <w:tc>
          <w:tcPr>
            <w:tcW w:w="2056" w:type="dxa"/>
            <w:shd w:val="clear" w:color="auto" w:fill="auto"/>
            <w:noWrap/>
            <w:vAlign w:val="center"/>
            <w:hideMark/>
          </w:tcPr>
          <w:p w:rsidR="003D4A00" w:rsidRPr="0070078A" w:rsidRDefault="003D4A00" w:rsidP="00DE6C73">
            <w:pPr>
              <w:jc w:val="both"/>
              <w:rPr>
                <w:rFonts w:ascii="Arial" w:hAnsi="Arial" w:cs="Arial"/>
                <w:color w:val="000000"/>
              </w:rPr>
            </w:pPr>
          </w:p>
        </w:tc>
        <w:tc>
          <w:tcPr>
            <w:tcW w:w="2598" w:type="dxa"/>
            <w:shd w:val="clear" w:color="auto" w:fill="auto"/>
            <w:noWrap/>
            <w:vAlign w:val="bottom"/>
            <w:hideMark/>
          </w:tcPr>
          <w:p w:rsidR="003D4A00" w:rsidRPr="0070078A" w:rsidRDefault="003D4A00" w:rsidP="00DE6C73">
            <w:pPr>
              <w:jc w:val="both"/>
              <w:rPr>
                <w:rFonts w:ascii="Arial" w:hAnsi="Arial" w:cs="Arial"/>
                <w:color w:val="000000"/>
              </w:rPr>
            </w:pPr>
          </w:p>
        </w:tc>
        <w:tc>
          <w:tcPr>
            <w:tcW w:w="2101" w:type="dxa"/>
            <w:shd w:val="clear" w:color="auto" w:fill="auto"/>
            <w:noWrap/>
            <w:vAlign w:val="bottom"/>
            <w:hideMark/>
          </w:tcPr>
          <w:p w:rsidR="003D4A00" w:rsidRPr="0070078A" w:rsidRDefault="003D4A00" w:rsidP="00DE6C73">
            <w:pPr>
              <w:jc w:val="both"/>
              <w:rPr>
                <w:rFonts w:ascii="Arial" w:hAnsi="Arial" w:cs="Arial"/>
                <w:color w:val="000000"/>
              </w:rPr>
            </w:pPr>
          </w:p>
        </w:tc>
      </w:tr>
      <w:tr w:rsidR="003D4A00" w:rsidRPr="0070078A" w:rsidTr="00DE6C73">
        <w:trPr>
          <w:trHeight w:val="315"/>
          <w:jc w:val="center"/>
        </w:trPr>
        <w:tc>
          <w:tcPr>
            <w:tcW w:w="4135" w:type="dxa"/>
            <w:shd w:val="clear" w:color="auto" w:fill="auto"/>
            <w:noWrap/>
            <w:vAlign w:val="center"/>
            <w:hideMark/>
          </w:tcPr>
          <w:p w:rsidR="003D4A00" w:rsidRPr="0070078A" w:rsidRDefault="003D4A00" w:rsidP="00DE6C73">
            <w:pPr>
              <w:ind w:firstLineChars="300" w:firstLine="600"/>
              <w:jc w:val="both"/>
              <w:rPr>
                <w:rFonts w:ascii="Arial" w:hAnsi="Arial" w:cs="Arial"/>
                <w:color w:val="000000"/>
              </w:rPr>
            </w:pPr>
            <w:r w:rsidRPr="0070078A">
              <w:rPr>
                <w:rFonts w:ascii="Arial" w:hAnsi="Arial" w:cs="Arial"/>
                <w:color w:val="000000"/>
              </w:rPr>
              <w:t>1</w:t>
            </w:r>
          </w:p>
        </w:tc>
        <w:tc>
          <w:tcPr>
            <w:tcW w:w="2056" w:type="dxa"/>
            <w:shd w:val="clear" w:color="auto" w:fill="auto"/>
            <w:noWrap/>
            <w:vAlign w:val="center"/>
            <w:hideMark/>
          </w:tcPr>
          <w:p w:rsidR="003D4A00" w:rsidRPr="0070078A" w:rsidRDefault="003D4A00" w:rsidP="00DE6C73">
            <w:pPr>
              <w:jc w:val="both"/>
              <w:rPr>
                <w:rFonts w:ascii="Arial" w:hAnsi="Arial" w:cs="Arial"/>
                <w:color w:val="000000"/>
              </w:rPr>
            </w:pPr>
          </w:p>
        </w:tc>
        <w:tc>
          <w:tcPr>
            <w:tcW w:w="2598" w:type="dxa"/>
            <w:shd w:val="clear" w:color="auto" w:fill="auto"/>
            <w:noWrap/>
            <w:vAlign w:val="bottom"/>
            <w:hideMark/>
          </w:tcPr>
          <w:p w:rsidR="003D4A00" w:rsidRPr="0070078A" w:rsidRDefault="003D4A00" w:rsidP="00DE6C73">
            <w:pPr>
              <w:jc w:val="both"/>
              <w:rPr>
                <w:rFonts w:ascii="Arial" w:hAnsi="Arial" w:cs="Arial"/>
                <w:color w:val="000000"/>
              </w:rPr>
            </w:pPr>
            <w:r w:rsidRPr="0070078A">
              <w:rPr>
                <w:rFonts w:ascii="Arial" w:hAnsi="Arial" w:cs="Arial"/>
                <w:color w:val="000000"/>
              </w:rPr>
              <w:t>69(59.5)</w:t>
            </w:r>
          </w:p>
        </w:tc>
        <w:tc>
          <w:tcPr>
            <w:tcW w:w="2101" w:type="dxa"/>
            <w:shd w:val="clear" w:color="auto" w:fill="auto"/>
            <w:noWrap/>
            <w:vAlign w:val="bottom"/>
            <w:hideMark/>
          </w:tcPr>
          <w:p w:rsidR="003D4A00" w:rsidRPr="0070078A" w:rsidRDefault="003D4A00" w:rsidP="00DE6C73">
            <w:pPr>
              <w:jc w:val="both"/>
              <w:rPr>
                <w:rFonts w:ascii="Arial" w:hAnsi="Arial" w:cs="Arial"/>
                <w:color w:val="000000"/>
              </w:rPr>
            </w:pPr>
            <w:r w:rsidRPr="0070078A">
              <w:rPr>
                <w:rFonts w:ascii="Arial" w:hAnsi="Arial" w:cs="Arial"/>
                <w:color w:val="000000"/>
              </w:rPr>
              <w:t>69(59.5)</w:t>
            </w:r>
          </w:p>
        </w:tc>
      </w:tr>
      <w:tr w:rsidR="003D4A00" w:rsidRPr="0070078A" w:rsidTr="00DE6C73">
        <w:trPr>
          <w:trHeight w:val="315"/>
          <w:jc w:val="center"/>
        </w:trPr>
        <w:tc>
          <w:tcPr>
            <w:tcW w:w="4135" w:type="dxa"/>
            <w:shd w:val="clear" w:color="auto" w:fill="auto"/>
            <w:noWrap/>
            <w:vAlign w:val="center"/>
            <w:hideMark/>
          </w:tcPr>
          <w:p w:rsidR="003D4A00" w:rsidRPr="0070078A" w:rsidRDefault="003D4A00" w:rsidP="00DE6C73">
            <w:pPr>
              <w:ind w:firstLineChars="300" w:firstLine="600"/>
              <w:jc w:val="both"/>
              <w:rPr>
                <w:rFonts w:ascii="Arial" w:hAnsi="Arial" w:cs="Arial"/>
                <w:color w:val="000000"/>
              </w:rPr>
            </w:pPr>
            <w:r w:rsidRPr="0070078A">
              <w:rPr>
                <w:rFonts w:ascii="Arial" w:hAnsi="Arial" w:cs="Arial"/>
                <w:color w:val="000000"/>
              </w:rPr>
              <w:t>2</w:t>
            </w:r>
          </w:p>
        </w:tc>
        <w:tc>
          <w:tcPr>
            <w:tcW w:w="2056" w:type="dxa"/>
            <w:shd w:val="clear" w:color="auto" w:fill="auto"/>
            <w:noWrap/>
            <w:vAlign w:val="center"/>
            <w:hideMark/>
          </w:tcPr>
          <w:p w:rsidR="003D4A00" w:rsidRPr="0070078A" w:rsidRDefault="003D4A00" w:rsidP="00DE6C73">
            <w:pPr>
              <w:jc w:val="both"/>
              <w:rPr>
                <w:rFonts w:ascii="Arial" w:hAnsi="Arial" w:cs="Arial"/>
                <w:color w:val="000000"/>
              </w:rPr>
            </w:pPr>
          </w:p>
        </w:tc>
        <w:tc>
          <w:tcPr>
            <w:tcW w:w="2598" w:type="dxa"/>
            <w:shd w:val="clear" w:color="auto" w:fill="auto"/>
            <w:noWrap/>
            <w:vAlign w:val="bottom"/>
            <w:hideMark/>
          </w:tcPr>
          <w:p w:rsidR="003D4A00" w:rsidRPr="0070078A" w:rsidRDefault="003D4A00" w:rsidP="00DE6C73">
            <w:pPr>
              <w:jc w:val="both"/>
              <w:rPr>
                <w:rFonts w:ascii="Arial" w:hAnsi="Arial" w:cs="Arial"/>
                <w:color w:val="000000"/>
              </w:rPr>
            </w:pPr>
            <w:r w:rsidRPr="0070078A">
              <w:rPr>
                <w:rFonts w:ascii="Arial" w:hAnsi="Arial" w:cs="Arial"/>
                <w:color w:val="000000"/>
              </w:rPr>
              <w:t>35(30.2)</w:t>
            </w:r>
          </w:p>
        </w:tc>
        <w:tc>
          <w:tcPr>
            <w:tcW w:w="2101" w:type="dxa"/>
            <w:shd w:val="clear" w:color="auto" w:fill="auto"/>
            <w:noWrap/>
            <w:vAlign w:val="bottom"/>
            <w:hideMark/>
          </w:tcPr>
          <w:p w:rsidR="003D4A00" w:rsidRPr="0070078A" w:rsidRDefault="003D4A00" w:rsidP="00DE6C73">
            <w:pPr>
              <w:jc w:val="both"/>
              <w:rPr>
                <w:rFonts w:ascii="Arial" w:hAnsi="Arial" w:cs="Arial"/>
                <w:color w:val="000000"/>
              </w:rPr>
            </w:pPr>
            <w:r w:rsidRPr="0070078A">
              <w:rPr>
                <w:rFonts w:ascii="Arial" w:hAnsi="Arial" w:cs="Arial"/>
                <w:color w:val="000000"/>
              </w:rPr>
              <w:t>35(30.2)</w:t>
            </w:r>
          </w:p>
        </w:tc>
      </w:tr>
      <w:tr w:rsidR="003D4A00" w:rsidRPr="0070078A" w:rsidTr="00DE6C73">
        <w:trPr>
          <w:trHeight w:val="315"/>
          <w:jc w:val="center"/>
        </w:trPr>
        <w:tc>
          <w:tcPr>
            <w:tcW w:w="4135" w:type="dxa"/>
            <w:tcBorders>
              <w:bottom w:val="single" w:sz="12" w:space="0" w:color="auto"/>
            </w:tcBorders>
            <w:shd w:val="clear" w:color="auto" w:fill="auto"/>
            <w:noWrap/>
            <w:vAlign w:val="center"/>
            <w:hideMark/>
          </w:tcPr>
          <w:p w:rsidR="003D4A00" w:rsidRPr="0070078A" w:rsidRDefault="003D4A00" w:rsidP="00DE6C73">
            <w:pPr>
              <w:ind w:firstLineChars="300" w:firstLine="600"/>
              <w:jc w:val="both"/>
              <w:rPr>
                <w:rFonts w:ascii="Arial" w:hAnsi="Arial" w:cs="Arial"/>
                <w:color w:val="000000"/>
              </w:rPr>
            </w:pPr>
            <w:r w:rsidRPr="0070078A">
              <w:rPr>
                <w:rFonts w:ascii="Arial" w:hAnsi="Arial" w:cs="Arial"/>
                <w:color w:val="000000"/>
              </w:rPr>
              <w:t>3</w:t>
            </w:r>
          </w:p>
        </w:tc>
        <w:tc>
          <w:tcPr>
            <w:tcW w:w="2056" w:type="dxa"/>
            <w:tcBorders>
              <w:bottom w:val="single" w:sz="12" w:space="0" w:color="auto"/>
            </w:tcBorders>
            <w:shd w:val="clear" w:color="auto" w:fill="auto"/>
            <w:noWrap/>
            <w:vAlign w:val="center"/>
            <w:hideMark/>
          </w:tcPr>
          <w:p w:rsidR="003D4A00" w:rsidRPr="0070078A" w:rsidRDefault="003D4A00" w:rsidP="00DE6C73">
            <w:pPr>
              <w:jc w:val="both"/>
              <w:rPr>
                <w:rFonts w:ascii="Arial" w:hAnsi="Arial" w:cs="Arial"/>
                <w:color w:val="000000"/>
              </w:rPr>
            </w:pPr>
          </w:p>
        </w:tc>
        <w:tc>
          <w:tcPr>
            <w:tcW w:w="2598" w:type="dxa"/>
            <w:tcBorders>
              <w:bottom w:val="single" w:sz="12" w:space="0" w:color="auto"/>
            </w:tcBorders>
            <w:shd w:val="clear" w:color="auto" w:fill="auto"/>
            <w:noWrap/>
            <w:vAlign w:val="bottom"/>
            <w:hideMark/>
          </w:tcPr>
          <w:p w:rsidR="003D4A00" w:rsidRPr="0070078A" w:rsidRDefault="003D4A00" w:rsidP="00DE6C73">
            <w:pPr>
              <w:jc w:val="both"/>
              <w:rPr>
                <w:rFonts w:ascii="Arial" w:hAnsi="Arial" w:cs="Arial"/>
                <w:color w:val="000000"/>
              </w:rPr>
            </w:pPr>
            <w:r w:rsidRPr="0070078A">
              <w:rPr>
                <w:rFonts w:ascii="Arial" w:hAnsi="Arial" w:cs="Arial"/>
                <w:color w:val="000000"/>
              </w:rPr>
              <w:t>12(10.3)</w:t>
            </w:r>
          </w:p>
        </w:tc>
        <w:tc>
          <w:tcPr>
            <w:tcW w:w="2101" w:type="dxa"/>
            <w:tcBorders>
              <w:bottom w:val="single" w:sz="12" w:space="0" w:color="auto"/>
            </w:tcBorders>
            <w:shd w:val="clear" w:color="auto" w:fill="auto"/>
            <w:noWrap/>
            <w:vAlign w:val="bottom"/>
            <w:hideMark/>
          </w:tcPr>
          <w:p w:rsidR="003D4A00" w:rsidRPr="0070078A" w:rsidRDefault="003D4A00" w:rsidP="00DE6C73">
            <w:pPr>
              <w:jc w:val="both"/>
              <w:rPr>
                <w:rFonts w:ascii="Arial" w:hAnsi="Arial" w:cs="Arial"/>
                <w:color w:val="000000"/>
              </w:rPr>
            </w:pPr>
            <w:r w:rsidRPr="0070078A">
              <w:rPr>
                <w:rFonts w:ascii="Arial" w:hAnsi="Arial" w:cs="Arial"/>
                <w:color w:val="000000"/>
              </w:rPr>
              <w:t>12(10.3)</w:t>
            </w:r>
          </w:p>
        </w:tc>
      </w:tr>
    </w:tbl>
    <w:p w:rsidR="003D4A00" w:rsidRPr="0070078A" w:rsidRDefault="003D4A00" w:rsidP="003D4A00">
      <w:pPr>
        <w:jc w:val="both"/>
        <w:rPr>
          <w:rFonts w:ascii="Arial" w:hAnsi="Arial" w:cs="Arial"/>
          <w:i/>
        </w:rPr>
      </w:pPr>
      <w:r w:rsidRPr="0070078A">
        <w:rPr>
          <w:rFonts w:ascii="Arial" w:hAnsi="Arial" w:cs="Arial"/>
          <w:i/>
        </w:rPr>
        <w:t>(Abbreviations: VA - Visual Acuity; SD - Standard Deviation; IOP- Intraocular Presser; IVB – intravitreal bevacizumab)</w:t>
      </w:r>
    </w:p>
    <w:p w:rsidR="003D4A00" w:rsidRPr="0070078A" w:rsidRDefault="003D4A00" w:rsidP="003D4A00">
      <w:pPr>
        <w:jc w:val="both"/>
        <w:rPr>
          <w:rFonts w:ascii="Arial" w:hAnsi="Arial" w:cs="Arial"/>
        </w:rPr>
      </w:pPr>
    </w:p>
    <w:p w:rsidR="003D4A00" w:rsidRPr="0070078A" w:rsidRDefault="003D4A00" w:rsidP="003D4A00">
      <w:pPr>
        <w:tabs>
          <w:tab w:val="left" w:pos="5490"/>
        </w:tabs>
        <w:jc w:val="both"/>
        <w:rPr>
          <w:rFonts w:ascii="Arial" w:hAnsi="Arial" w:cs="Arial"/>
          <w:i/>
        </w:rPr>
      </w:pPr>
      <w:r>
        <w:rPr>
          <w:rFonts w:ascii="Arial" w:hAnsi="Arial" w:cs="Arial"/>
          <w:i/>
        </w:rPr>
        <w:tab/>
      </w:r>
    </w:p>
    <w:p w:rsidR="003D4A00" w:rsidRPr="003D4A00" w:rsidRDefault="003D4A00" w:rsidP="003D4A00">
      <w:pPr>
        <w:tabs>
          <w:tab w:val="left" w:pos="910"/>
        </w:tabs>
        <w:rPr>
          <w:rFonts w:ascii="Arial" w:hAnsi="Arial" w:cs="Arial"/>
          <w:b/>
          <w:sz w:val="22"/>
          <w:szCs w:val="22"/>
        </w:rPr>
      </w:pPr>
      <w:r w:rsidRPr="003D4A00">
        <w:rPr>
          <w:rFonts w:ascii="Arial" w:hAnsi="Arial" w:cs="Arial"/>
          <w:b/>
          <w:sz w:val="22"/>
          <w:szCs w:val="22"/>
        </w:rPr>
        <w:tab/>
      </w:r>
    </w:p>
    <w:p w:rsidR="003D4A00" w:rsidRPr="009F6BE0" w:rsidRDefault="003D4A00" w:rsidP="003D4A00">
      <w:pPr>
        <w:rPr>
          <w:rFonts w:ascii="Arial" w:hAnsi="Arial" w:cs="Arial"/>
          <w:i/>
        </w:rPr>
      </w:pPr>
      <w:r w:rsidRPr="003D4A00">
        <w:rPr>
          <w:rFonts w:ascii="Arial" w:hAnsi="Arial" w:cs="Arial"/>
          <w:b/>
          <w:sz w:val="22"/>
          <w:szCs w:val="22"/>
        </w:rPr>
        <w:t>3.2 Functional Changes</w:t>
      </w:r>
      <w:r w:rsidRPr="009F6BE0">
        <w:rPr>
          <w:rFonts w:ascii="Arial" w:hAnsi="Arial" w:cs="Arial"/>
          <w:i/>
        </w:rPr>
        <w:t xml:space="preserve">  </w:t>
      </w:r>
      <w:r w:rsidRPr="009F6BE0">
        <w:rPr>
          <w:rFonts w:ascii="Arial" w:hAnsi="Arial" w:cs="Arial"/>
          <w:i/>
        </w:rPr>
        <w:tab/>
      </w:r>
    </w:p>
    <w:p w:rsidR="003D4A00" w:rsidRPr="0070078A" w:rsidRDefault="003D4A00" w:rsidP="003D4A00">
      <w:pPr>
        <w:jc w:val="both"/>
        <w:rPr>
          <w:rFonts w:ascii="Arial" w:hAnsi="Arial" w:cs="Arial"/>
        </w:rPr>
      </w:pPr>
      <w:r w:rsidRPr="0070078A">
        <w:rPr>
          <w:rFonts w:ascii="Arial" w:hAnsi="Arial" w:cs="Arial"/>
        </w:rPr>
        <w:t xml:space="preserve">With regard to visual acuity, patients with DME treated by bevacizumab alone and bevacizumab plus focal laser had a mean visual acuity change that was statistically significant from baseline to six weeks 0.86 (±0.9) </w:t>
      </w:r>
      <w:proofErr w:type="spellStart"/>
      <w:r w:rsidRPr="0070078A">
        <w:rPr>
          <w:rFonts w:ascii="Arial" w:hAnsi="Arial" w:cs="Arial"/>
        </w:rPr>
        <w:t>logMAR</w:t>
      </w:r>
      <w:proofErr w:type="spellEnd"/>
      <w:r w:rsidRPr="0070078A">
        <w:rPr>
          <w:rFonts w:ascii="Arial" w:hAnsi="Arial" w:cs="Arial"/>
        </w:rPr>
        <w:t xml:space="preserve"> (95% CI; 0.77-0.94)  to 0.75 (±0.8) </w:t>
      </w:r>
      <w:proofErr w:type="spellStart"/>
      <w:r w:rsidRPr="0070078A">
        <w:rPr>
          <w:rFonts w:ascii="Arial" w:hAnsi="Arial" w:cs="Arial"/>
        </w:rPr>
        <w:lastRenderedPageBreak/>
        <w:t>logMAR</w:t>
      </w:r>
      <w:proofErr w:type="spellEnd"/>
      <w:r w:rsidRPr="0070078A">
        <w:rPr>
          <w:rFonts w:ascii="Arial" w:hAnsi="Arial" w:cs="Arial"/>
        </w:rPr>
        <w:t xml:space="preserve"> (95% CI; 0.67-0.84, </w:t>
      </w:r>
      <w:r w:rsidRPr="0070078A">
        <w:rPr>
          <w:rFonts w:ascii="Arial" w:hAnsi="Arial" w:cs="Arial"/>
          <w:i/>
        </w:rPr>
        <w:t>P</w:t>
      </w:r>
      <w:r w:rsidRPr="0070078A">
        <w:rPr>
          <w:rFonts w:ascii="Arial" w:hAnsi="Arial" w:cs="Arial"/>
        </w:rPr>
        <w:t xml:space="preserve"> &lt; .001) and 0.55 (±0.4) </w:t>
      </w:r>
      <w:proofErr w:type="spellStart"/>
      <w:r w:rsidRPr="0070078A">
        <w:rPr>
          <w:rFonts w:ascii="Arial" w:hAnsi="Arial" w:cs="Arial"/>
        </w:rPr>
        <w:t>logMAR</w:t>
      </w:r>
      <w:proofErr w:type="spellEnd"/>
      <w:r w:rsidRPr="0070078A">
        <w:rPr>
          <w:rFonts w:ascii="Arial" w:hAnsi="Arial" w:cs="Arial"/>
        </w:rPr>
        <w:t xml:space="preserve"> (95% CI; 0.49-0.62, </w:t>
      </w:r>
      <w:r w:rsidRPr="0070078A">
        <w:rPr>
          <w:rFonts w:ascii="Arial" w:hAnsi="Arial" w:cs="Arial"/>
          <w:i/>
        </w:rPr>
        <w:t>P</w:t>
      </w:r>
      <w:r w:rsidRPr="0070078A">
        <w:rPr>
          <w:rFonts w:ascii="Arial" w:hAnsi="Arial" w:cs="Arial"/>
        </w:rPr>
        <w:t xml:space="preserve"> &lt; .0054) from 0.63 (±0.5) </w:t>
      </w:r>
      <w:proofErr w:type="spellStart"/>
      <w:r w:rsidRPr="0070078A">
        <w:rPr>
          <w:rFonts w:ascii="Arial" w:hAnsi="Arial" w:cs="Arial"/>
        </w:rPr>
        <w:t>logMAR</w:t>
      </w:r>
      <w:proofErr w:type="spellEnd"/>
      <w:r w:rsidRPr="0070078A">
        <w:rPr>
          <w:rFonts w:ascii="Arial" w:hAnsi="Arial" w:cs="Arial"/>
        </w:rPr>
        <w:t xml:space="preserve"> (95% CI 0.55- 0.72) respectively.</w:t>
      </w:r>
    </w:p>
    <w:p w:rsidR="003D4A00" w:rsidRPr="0070078A" w:rsidRDefault="003D4A00" w:rsidP="003D4A00">
      <w:pPr>
        <w:jc w:val="both"/>
        <w:rPr>
          <w:rFonts w:ascii="Arial" w:hAnsi="Arial" w:cs="Arial"/>
        </w:rPr>
      </w:pPr>
      <w:r w:rsidRPr="0070078A">
        <w:rPr>
          <w:rFonts w:ascii="Arial" w:hAnsi="Arial" w:cs="Arial"/>
        </w:rPr>
        <w:t xml:space="preserve">At 12 and 18 weeks, the mean visual acuity change in the bevacizumab alone group was the same and statistically significant from baseline 0.68 (±0.5) </w:t>
      </w:r>
      <w:proofErr w:type="spellStart"/>
      <w:r w:rsidRPr="0070078A">
        <w:rPr>
          <w:rFonts w:ascii="Arial" w:hAnsi="Arial" w:cs="Arial"/>
        </w:rPr>
        <w:t>logMAR</w:t>
      </w:r>
      <w:proofErr w:type="spellEnd"/>
      <w:r w:rsidRPr="0070078A">
        <w:rPr>
          <w:rFonts w:ascii="Arial" w:hAnsi="Arial" w:cs="Arial"/>
        </w:rPr>
        <w:t xml:space="preserve"> (95% CI; 0.60-0.76, </w:t>
      </w:r>
      <w:r w:rsidRPr="0070078A">
        <w:rPr>
          <w:rFonts w:ascii="Arial" w:hAnsi="Arial" w:cs="Arial"/>
          <w:i/>
        </w:rPr>
        <w:t>P</w:t>
      </w:r>
      <w:r w:rsidRPr="0070078A">
        <w:rPr>
          <w:rFonts w:ascii="Arial" w:hAnsi="Arial" w:cs="Arial"/>
        </w:rPr>
        <w:t xml:space="preserve"> &lt; .01) and in the bevacizumab plus focal laser change to 0.53 (±0.3) </w:t>
      </w:r>
      <w:proofErr w:type="spellStart"/>
      <w:r w:rsidRPr="0070078A">
        <w:rPr>
          <w:rFonts w:ascii="Arial" w:hAnsi="Arial" w:cs="Arial"/>
        </w:rPr>
        <w:t>logMAR</w:t>
      </w:r>
      <w:proofErr w:type="spellEnd"/>
      <w:r w:rsidRPr="0070078A">
        <w:rPr>
          <w:rFonts w:ascii="Arial" w:hAnsi="Arial" w:cs="Arial"/>
        </w:rPr>
        <w:t xml:space="preserve"> (95% CI; 0.47-0.59, </w:t>
      </w:r>
      <w:r w:rsidRPr="0070078A">
        <w:rPr>
          <w:rFonts w:ascii="Arial" w:hAnsi="Arial" w:cs="Arial"/>
          <w:i/>
        </w:rPr>
        <w:t>P</w:t>
      </w:r>
      <w:r w:rsidRPr="0070078A">
        <w:rPr>
          <w:rFonts w:ascii="Arial" w:hAnsi="Arial" w:cs="Arial"/>
        </w:rPr>
        <w:t xml:space="preserve"> &lt; .0012) at 12 weeks and 0.51 (±0.3) </w:t>
      </w:r>
      <w:proofErr w:type="spellStart"/>
      <w:r w:rsidRPr="0070078A">
        <w:rPr>
          <w:rFonts w:ascii="Arial" w:hAnsi="Arial" w:cs="Arial"/>
        </w:rPr>
        <w:t>logMAR</w:t>
      </w:r>
      <w:proofErr w:type="spellEnd"/>
      <w:r w:rsidRPr="0070078A">
        <w:rPr>
          <w:rFonts w:ascii="Arial" w:hAnsi="Arial" w:cs="Arial"/>
        </w:rPr>
        <w:t xml:space="preserve"> (95% CI; 0.45-0.57, </w:t>
      </w:r>
      <w:r w:rsidRPr="0070078A">
        <w:rPr>
          <w:rFonts w:ascii="Arial" w:hAnsi="Arial" w:cs="Arial"/>
          <w:i/>
        </w:rPr>
        <w:t>P</w:t>
      </w:r>
      <w:r w:rsidRPr="0070078A">
        <w:rPr>
          <w:rFonts w:ascii="Arial" w:hAnsi="Arial" w:cs="Arial"/>
        </w:rPr>
        <w:t xml:space="preserve"> &lt; .0003) at 18 weeks.</w:t>
      </w:r>
    </w:p>
    <w:p w:rsidR="003D4A00" w:rsidRPr="0070078A" w:rsidRDefault="003D4A00" w:rsidP="003D4A00">
      <w:pPr>
        <w:jc w:val="both"/>
        <w:rPr>
          <w:rFonts w:ascii="Arial" w:hAnsi="Arial" w:cs="Arial"/>
        </w:rPr>
      </w:pPr>
      <w:r w:rsidRPr="0070078A">
        <w:rPr>
          <w:rFonts w:ascii="Arial" w:hAnsi="Arial" w:cs="Arial"/>
        </w:rPr>
        <w:t xml:space="preserve">At the end of follow-up (1 year), the mean visual acuity in combined therapy appeared to be superior to intravitreal bevacizumab alone, 0.46 (±0.33) </w:t>
      </w:r>
      <w:proofErr w:type="spellStart"/>
      <w:r w:rsidRPr="0070078A">
        <w:rPr>
          <w:rFonts w:ascii="Arial" w:hAnsi="Arial" w:cs="Arial"/>
        </w:rPr>
        <w:t>logMAR</w:t>
      </w:r>
      <w:proofErr w:type="spellEnd"/>
      <w:r w:rsidRPr="0070078A">
        <w:rPr>
          <w:rFonts w:ascii="Arial" w:hAnsi="Arial" w:cs="Arial"/>
        </w:rPr>
        <w:t xml:space="preserve"> (95% CI; 0.40-0.52, </w:t>
      </w:r>
      <w:r w:rsidRPr="0070078A">
        <w:rPr>
          <w:rFonts w:ascii="Arial" w:hAnsi="Arial" w:cs="Arial"/>
          <w:i/>
        </w:rPr>
        <w:t>P</w:t>
      </w:r>
      <w:r w:rsidRPr="0070078A">
        <w:rPr>
          <w:rFonts w:ascii="Arial" w:hAnsi="Arial" w:cs="Arial"/>
        </w:rPr>
        <w:t xml:space="preserve"> &lt; .001) and 0.62 (±0.3) </w:t>
      </w:r>
      <w:proofErr w:type="spellStart"/>
      <w:r w:rsidRPr="0070078A">
        <w:rPr>
          <w:rFonts w:ascii="Arial" w:hAnsi="Arial" w:cs="Arial"/>
        </w:rPr>
        <w:t>logMAR</w:t>
      </w:r>
      <w:proofErr w:type="spellEnd"/>
      <w:r w:rsidRPr="0070078A">
        <w:rPr>
          <w:rFonts w:ascii="Arial" w:hAnsi="Arial" w:cs="Arial"/>
        </w:rPr>
        <w:t xml:space="preserve"> (95% CI; 0.55-0.69, </w:t>
      </w:r>
      <w:r w:rsidRPr="0070078A">
        <w:rPr>
          <w:rFonts w:ascii="Arial" w:hAnsi="Arial" w:cs="Arial"/>
          <w:i/>
        </w:rPr>
        <w:t>P</w:t>
      </w:r>
      <w:r w:rsidRPr="0070078A">
        <w:rPr>
          <w:rFonts w:ascii="Arial" w:hAnsi="Arial" w:cs="Arial"/>
        </w:rPr>
        <w:t xml:space="preserve"> &lt; .01) respectively. </w:t>
      </w:r>
    </w:p>
    <w:p w:rsidR="003D4A00" w:rsidRPr="0070078A" w:rsidRDefault="003D4A00" w:rsidP="003D4A00">
      <w:pPr>
        <w:jc w:val="both"/>
        <w:rPr>
          <w:rFonts w:ascii="Arial" w:hAnsi="Arial" w:cs="Arial"/>
        </w:rPr>
      </w:pPr>
      <w:r w:rsidRPr="0070078A">
        <w:rPr>
          <w:rFonts w:ascii="Arial" w:hAnsi="Arial" w:cs="Arial"/>
          <w:b/>
        </w:rPr>
        <w:t>Table 2</w:t>
      </w:r>
      <w:r w:rsidRPr="0070078A">
        <w:rPr>
          <w:rFonts w:ascii="Arial" w:hAnsi="Arial" w:cs="Arial"/>
        </w:rPr>
        <w:t xml:space="preserve"> show the distribution of mean visual acuity change from baseline to 1 year follow-up by treatment modality.</w:t>
      </w:r>
    </w:p>
    <w:p w:rsidR="003D4A00" w:rsidRPr="003D4A00" w:rsidRDefault="003D4A00" w:rsidP="003D4A00">
      <w:pPr>
        <w:pStyle w:val="Caption"/>
        <w:jc w:val="both"/>
        <w:rPr>
          <w:rFonts w:ascii="Arial" w:eastAsia="Calibri" w:hAnsi="Arial" w:cs="Arial"/>
          <w:kern w:val="2"/>
          <w:sz w:val="20"/>
          <w:szCs w:val="20"/>
        </w:rPr>
      </w:pPr>
      <w:r w:rsidRPr="0070078A">
        <w:rPr>
          <w:rFonts w:ascii="Arial" w:hAnsi="Arial" w:cs="Arial"/>
          <w:sz w:val="20"/>
          <w:szCs w:val="20"/>
        </w:rPr>
        <w:t xml:space="preserve">Table </w:t>
      </w:r>
      <w:r w:rsidRPr="0070078A">
        <w:rPr>
          <w:rFonts w:ascii="Arial" w:hAnsi="Arial" w:cs="Arial"/>
          <w:sz w:val="20"/>
          <w:szCs w:val="20"/>
        </w:rPr>
        <w:fldChar w:fldCharType="begin"/>
      </w:r>
      <w:r w:rsidRPr="0070078A">
        <w:rPr>
          <w:rFonts w:ascii="Arial" w:hAnsi="Arial" w:cs="Arial"/>
          <w:sz w:val="20"/>
          <w:szCs w:val="20"/>
        </w:rPr>
        <w:instrText xml:space="preserve"> SEQ Table \* ARABIC </w:instrText>
      </w:r>
      <w:r w:rsidRPr="0070078A">
        <w:rPr>
          <w:rFonts w:ascii="Arial" w:hAnsi="Arial" w:cs="Arial"/>
          <w:sz w:val="20"/>
          <w:szCs w:val="20"/>
        </w:rPr>
        <w:fldChar w:fldCharType="separate"/>
      </w:r>
      <w:r w:rsidRPr="0070078A">
        <w:rPr>
          <w:rFonts w:ascii="Arial" w:hAnsi="Arial" w:cs="Arial"/>
          <w:noProof/>
          <w:sz w:val="20"/>
          <w:szCs w:val="20"/>
        </w:rPr>
        <w:t>2</w:t>
      </w:r>
      <w:r w:rsidRPr="0070078A">
        <w:rPr>
          <w:rFonts w:ascii="Arial" w:hAnsi="Arial" w:cs="Arial"/>
          <w:noProof/>
          <w:sz w:val="20"/>
          <w:szCs w:val="20"/>
        </w:rPr>
        <w:fldChar w:fldCharType="end"/>
      </w:r>
      <w:r w:rsidRPr="0070078A">
        <w:rPr>
          <w:rFonts w:ascii="Arial" w:hAnsi="Arial" w:cs="Arial"/>
          <w:sz w:val="20"/>
          <w:szCs w:val="20"/>
        </w:rPr>
        <w:t>: Distribution of Mean VA over Time by Treatment Modality</w:t>
      </w:r>
    </w:p>
    <w:tbl>
      <w:tblPr>
        <w:tblW w:w="9576" w:type="dxa"/>
        <w:tblLook w:val="04A0" w:firstRow="1" w:lastRow="0" w:firstColumn="1" w:lastColumn="0" w:noHBand="0" w:noVBand="1"/>
      </w:tblPr>
      <w:tblGrid>
        <w:gridCol w:w="1548"/>
        <w:gridCol w:w="1620"/>
        <w:gridCol w:w="1440"/>
        <w:gridCol w:w="1052"/>
        <w:gridCol w:w="1468"/>
        <w:gridCol w:w="1530"/>
        <w:gridCol w:w="918"/>
      </w:tblGrid>
      <w:tr w:rsidR="003D4A00" w:rsidRPr="0070078A" w:rsidTr="00DE6C73">
        <w:trPr>
          <w:trHeight w:val="315"/>
        </w:trPr>
        <w:tc>
          <w:tcPr>
            <w:tcW w:w="1548" w:type="dxa"/>
            <w:tcBorders>
              <w:top w:val="single" w:sz="12" w:space="0" w:color="auto"/>
            </w:tcBorders>
            <w:shd w:val="clear" w:color="auto" w:fill="auto"/>
            <w:noWrap/>
            <w:vAlign w:val="bottom"/>
            <w:hideMark/>
          </w:tcPr>
          <w:p w:rsidR="003D4A00" w:rsidRPr="0070078A" w:rsidRDefault="003D4A00" w:rsidP="00DE6C73">
            <w:pPr>
              <w:jc w:val="both"/>
              <w:rPr>
                <w:rFonts w:ascii="Arial" w:hAnsi="Arial" w:cs="Arial"/>
                <w:b/>
                <w:bCs/>
                <w:color w:val="000000"/>
              </w:rPr>
            </w:pPr>
            <w:r w:rsidRPr="0070078A">
              <w:rPr>
                <w:rFonts w:ascii="Arial" w:hAnsi="Arial" w:cs="Arial"/>
                <w:b/>
                <w:bCs/>
                <w:color w:val="000000"/>
              </w:rPr>
              <w:t> Variable</w:t>
            </w:r>
          </w:p>
        </w:tc>
        <w:tc>
          <w:tcPr>
            <w:tcW w:w="4112" w:type="dxa"/>
            <w:gridSpan w:val="3"/>
            <w:tcBorders>
              <w:top w:val="single" w:sz="12" w:space="0" w:color="auto"/>
              <w:bottom w:val="single" w:sz="12" w:space="0" w:color="auto"/>
            </w:tcBorders>
            <w:shd w:val="clear" w:color="auto" w:fill="auto"/>
            <w:noWrap/>
            <w:vAlign w:val="bottom"/>
            <w:hideMark/>
          </w:tcPr>
          <w:p w:rsidR="003D4A00" w:rsidRPr="0070078A" w:rsidRDefault="003D4A00" w:rsidP="00DE6C73">
            <w:pPr>
              <w:jc w:val="both"/>
              <w:rPr>
                <w:rFonts w:ascii="Arial" w:hAnsi="Arial" w:cs="Arial"/>
                <w:color w:val="000000"/>
              </w:rPr>
            </w:pPr>
            <w:r w:rsidRPr="0070078A">
              <w:rPr>
                <w:rFonts w:ascii="Arial" w:hAnsi="Arial" w:cs="Arial"/>
                <w:b/>
                <w:bCs/>
                <w:color w:val="000000"/>
              </w:rPr>
              <w:t>Bevacizumab alone</w:t>
            </w:r>
          </w:p>
        </w:tc>
        <w:tc>
          <w:tcPr>
            <w:tcW w:w="3916" w:type="dxa"/>
            <w:gridSpan w:val="3"/>
            <w:tcBorders>
              <w:top w:val="single" w:sz="12" w:space="0" w:color="auto"/>
              <w:bottom w:val="single" w:sz="12" w:space="0" w:color="auto"/>
            </w:tcBorders>
            <w:shd w:val="clear" w:color="auto" w:fill="auto"/>
            <w:noWrap/>
            <w:vAlign w:val="bottom"/>
            <w:hideMark/>
          </w:tcPr>
          <w:p w:rsidR="003D4A00" w:rsidRPr="0070078A" w:rsidRDefault="003D4A00" w:rsidP="00DE6C73">
            <w:pPr>
              <w:jc w:val="both"/>
              <w:rPr>
                <w:rFonts w:ascii="Arial" w:hAnsi="Arial" w:cs="Arial"/>
                <w:color w:val="000000"/>
              </w:rPr>
            </w:pPr>
            <w:r w:rsidRPr="0070078A">
              <w:rPr>
                <w:rFonts w:ascii="Arial" w:hAnsi="Arial" w:cs="Arial"/>
                <w:b/>
                <w:bCs/>
                <w:color w:val="000000"/>
              </w:rPr>
              <w:t xml:space="preserve">Bevacizumab plus focal laser </w:t>
            </w:r>
          </w:p>
        </w:tc>
      </w:tr>
      <w:tr w:rsidR="003D4A00" w:rsidRPr="0070078A" w:rsidTr="00DE6C73">
        <w:trPr>
          <w:trHeight w:val="315"/>
        </w:trPr>
        <w:tc>
          <w:tcPr>
            <w:tcW w:w="1548" w:type="dxa"/>
            <w:tcBorders>
              <w:bottom w:val="single" w:sz="12" w:space="0" w:color="auto"/>
            </w:tcBorders>
            <w:shd w:val="clear" w:color="auto" w:fill="auto"/>
            <w:noWrap/>
            <w:vAlign w:val="bottom"/>
            <w:hideMark/>
          </w:tcPr>
          <w:p w:rsidR="003D4A00" w:rsidRPr="0070078A" w:rsidRDefault="003D4A00" w:rsidP="00DE6C73">
            <w:pPr>
              <w:jc w:val="both"/>
              <w:rPr>
                <w:rFonts w:ascii="Arial" w:hAnsi="Arial" w:cs="Arial"/>
                <w:b/>
                <w:bCs/>
                <w:color w:val="000000"/>
              </w:rPr>
            </w:pPr>
            <w:r w:rsidRPr="0070078A">
              <w:rPr>
                <w:rFonts w:ascii="Arial" w:hAnsi="Arial" w:cs="Arial"/>
                <w:b/>
                <w:bCs/>
                <w:color w:val="000000"/>
              </w:rPr>
              <w:t> </w:t>
            </w:r>
          </w:p>
        </w:tc>
        <w:tc>
          <w:tcPr>
            <w:tcW w:w="1620" w:type="dxa"/>
            <w:tcBorders>
              <w:top w:val="single" w:sz="12" w:space="0" w:color="auto"/>
              <w:bottom w:val="single" w:sz="12" w:space="0" w:color="auto"/>
            </w:tcBorders>
            <w:shd w:val="clear" w:color="auto" w:fill="auto"/>
            <w:noWrap/>
            <w:vAlign w:val="bottom"/>
            <w:hideMark/>
          </w:tcPr>
          <w:p w:rsidR="003D4A00" w:rsidRPr="0070078A" w:rsidRDefault="003D4A00" w:rsidP="00DE6C73">
            <w:pPr>
              <w:jc w:val="both"/>
              <w:rPr>
                <w:rFonts w:ascii="Arial" w:hAnsi="Arial" w:cs="Arial"/>
                <w:color w:val="000000"/>
              </w:rPr>
            </w:pPr>
            <w:r w:rsidRPr="0070078A">
              <w:rPr>
                <w:rFonts w:ascii="Arial" w:hAnsi="Arial" w:cs="Arial"/>
                <w:color w:val="000000"/>
              </w:rPr>
              <w:t>Mean(SD)</w:t>
            </w:r>
          </w:p>
        </w:tc>
        <w:tc>
          <w:tcPr>
            <w:tcW w:w="1440" w:type="dxa"/>
            <w:tcBorders>
              <w:top w:val="single" w:sz="12" w:space="0" w:color="auto"/>
              <w:bottom w:val="single" w:sz="12" w:space="0" w:color="auto"/>
            </w:tcBorders>
            <w:shd w:val="clear" w:color="auto" w:fill="auto"/>
            <w:noWrap/>
            <w:vAlign w:val="bottom"/>
            <w:hideMark/>
          </w:tcPr>
          <w:p w:rsidR="003D4A00" w:rsidRPr="0070078A" w:rsidRDefault="003D4A00" w:rsidP="00DE6C73">
            <w:pPr>
              <w:jc w:val="both"/>
              <w:rPr>
                <w:rFonts w:ascii="Arial" w:hAnsi="Arial" w:cs="Arial"/>
                <w:color w:val="000000"/>
              </w:rPr>
            </w:pPr>
            <w:r w:rsidRPr="0070078A">
              <w:rPr>
                <w:rFonts w:ascii="Arial" w:hAnsi="Arial" w:cs="Arial"/>
                <w:color w:val="000000"/>
              </w:rPr>
              <w:t>95% CI</w:t>
            </w:r>
          </w:p>
        </w:tc>
        <w:tc>
          <w:tcPr>
            <w:tcW w:w="1052" w:type="dxa"/>
            <w:tcBorders>
              <w:bottom w:val="single" w:sz="12" w:space="0" w:color="auto"/>
            </w:tcBorders>
            <w:shd w:val="clear" w:color="auto" w:fill="auto"/>
            <w:noWrap/>
            <w:vAlign w:val="bottom"/>
            <w:hideMark/>
          </w:tcPr>
          <w:p w:rsidR="003D4A00" w:rsidRPr="0070078A" w:rsidRDefault="003D4A00" w:rsidP="00DE6C73">
            <w:pPr>
              <w:jc w:val="both"/>
              <w:rPr>
                <w:rFonts w:ascii="Arial" w:hAnsi="Arial" w:cs="Arial"/>
                <w:color w:val="000000"/>
              </w:rPr>
            </w:pPr>
            <w:r w:rsidRPr="0070078A">
              <w:rPr>
                <w:rFonts w:ascii="Arial" w:hAnsi="Arial" w:cs="Arial"/>
                <w:i/>
              </w:rPr>
              <w:t>P</w:t>
            </w:r>
            <w:r w:rsidRPr="0070078A">
              <w:rPr>
                <w:rFonts w:ascii="Arial" w:hAnsi="Arial" w:cs="Arial"/>
                <w:color w:val="000000"/>
              </w:rPr>
              <w:t>-value</w:t>
            </w:r>
          </w:p>
        </w:tc>
        <w:tc>
          <w:tcPr>
            <w:tcW w:w="1468" w:type="dxa"/>
            <w:tcBorders>
              <w:top w:val="single" w:sz="12" w:space="0" w:color="auto"/>
              <w:bottom w:val="single" w:sz="12" w:space="0" w:color="auto"/>
            </w:tcBorders>
            <w:shd w:val="clear" w:color="auto" w:fill="auto"/>
            <w:noWrap/>
            <w:vAlign w:val="bottom"/>
            <w:hideMark/>
          </w:tcPr>
          <w:p w:rsidR="003D4A00" w:rsidRPr="0070078A" w:rsidRDefault="003D4A00" w:rsidP="00DE6C73">
            <w:pPr>
              <w:jc w:val="both"/>
              <w:rPr>
                <w:rFonts w:ascii="Arial" w:hAnsi="Arial" w:cs="Arial"/>
                <w:color w:val="000000"/>
              </w:rPr>
            </w:pPr>
            <w:r w:rsidRPr="0070078A">
              <w:rPr>
                <w:rFonts w:ascii="Arial" w:hAnsi="Arial" w:cs="Arial"/>
                <w:color w:val="000000"/>
              </w:rPr>
              <w:t>Mean(SD)</w:t>
            </w:r>
          </w:p>
        </w:tc>
        <w:tc>
          <w:tcPr>
            <w:tcW w:w="1530" w:type="dxa"/>
            <w:tcBorders>
              <w:top w:val="single" w:sz="12" w:space="0" w:color="auto"/>
              <w:bottom w:val="single" w:sz="12" w:space="0" w:color="auto"/>
            </w:tcBorders>
            <w:shd w:val="clear" w:color="auto" w:fill="auto"/>
            <w:noWrap/>
            <w:vAlign w:val="bottom"/>
          </w:tcPr>
          <w:p w:rsidR="003D4A00" w:rsidRPr="0070078A" w:rsidRDefault="003D4A00" w:rsidP="00DE6C73">
            <w:pPr>
              <w:jc w:val="both"/>
              <w:rPr>
                <w:rFonts w:ascii="Arial" w:hAnsi="Arial" w:cs="Arial"/>
                <w:color w:val="000000"/>
              </w:rPr>
            </w:pPr>
            <w:r w:rsidRPr="0070078A">
              <w:rPr>
                <w:rFonts w:ascii="Arial" w:hAnsi="Arial" w:cs="Arial"/>
                <w:color w:val="000000"/>
              </w:rPr>
              <w:t>95% CI</w:t>
            </w:r>
          </w:p>
        </w:tc>
        <w:tc>
          <w:tcPr>
            <w:tcW w:w="918" w:type="dxa"/>
            <w:tcBorders>
              <w:top w:val="single" w:sz="12" w:space="0" w:color="auto"/>
              <w:bottom w:val="single" w:sz="12" w:space="0" w:color="auto"/>
            </w:tcBorders>
            <w:shd w:val="clear" w:color="auto" w:fill="auto"/>
            <w:noWrap/>
            <w:vAlign w:val="bottom"/>
          </w:tcPr>
          <w:p w:rsidR="003D4A00" w:rsidRPr="0070078A" w:rsidRDefault="003D4A00" w:rsidP="00DE6C73">
            <w:pPr>
              <w:jc w:val="both"/>
              <w:rPr>
                <w:rFonts w:ascii="Arial" w:hAnsi="Arial" w:cs="Arial"/>
                <w:color w:val="000000"/>
              </w:rPr>
            </w:pPr>
            <w:r w:rsidRPr="0070078A">
              <w:rPr>
                <w:rFonts w:ascii="Arial" w:hAnsi="Arial" w:cs="Arial"/>
                <w:i/>
              </w:rPr>
              <w:t>P</w:t>
            </w:r>
            <w:r w:rsidRPr="0070078A">
              <w:rPr>
                <w:rFonts w:ascii="Arial" w:hAnsi="Arial" w:cs="Arial"/>
                <w:color w:val="000000"/>
              </w:rPr>
              <w:t>-value</w:t>
            </w:r>
          </w:p>
        </w:tc>
      </w:tr>
      <w:tr w:rsidR="003D4A00" w:rsidRPr="0070078A" w:rsidTr="00DE6C73">
        <w:trPr>
          <w:trHeight w:val="315"/>
        </w:trPr>
        <w:tc>
          <w:tcPr>
            <w:tcW w:w="1548" w:type="dxa"/>
            <w:tcBorders>
              <w:top w:val="single" w:sz="12" w:space="0" w:color="auto"/>
            </w:tcBorders>
            <w:shd w:val="clear" w:color="auto" w:fill="auto"/>
            <w:noWrap/>
            <w:vAlign w:val="bottom"/>
            <w:hideMark/>
          </w:tcPr>
          <w:p w:rsidR="003D4A00" w:rsidRPr="0070078A" w:rsidRDefault="003D4A00" w:rsidP="00DE6C73">
            <w:pPr>
              <w:jc w:val="both"/>
              <w:rPr>
                <w:rFonts w:ascii="Arial" w:hAnsi="Arial" w:cs="Arial"/>
                <w:b/>
                <w:bCs/>
                <w:color w:val="000000"/>
              </w:rPr>
            </w:pPr>
            <w:r w:rsidRPr="0070078A">
              <w:rPr>
                <w:rFonts w:ascii="Arial" w:hAnsi="Arial" w:cs="Arial"/>
                <w:b/>
                <w:bCs/>
                <w:color w:val="000000"/>
              </w:rPr>
              <w:t>Baseline VA</w:t>
            </w:r>
          </w:p>
        </w:tc>
        <w:tc>
          <w:tcPr>
            <w:tcW w:w="1620" w:type="dxa"/>
            <w:tcBorders>
              <w:top w:val="single" w:sz="12" w:space="0" w:color="auto"/>
            </w:tcBorders>
            <w:shd w:val="clear" w:color="auto" w:fill="auto"/>
            <w:noWrap/>
            <w:vAlign w:val="bottom"/>
            <w:hideMark/>
          </w:tcPr>
          <w:p w:rsidR="003D4A00" w:rsidRPr="0070078A" w:rsidRDefault="003D4A00" w:rsidP="00DE6C73">
            <w:pPr>
              <w:jc w:val="both"/>
              <w:rPr>
                <w:rFonts w:ascii="Arial" w:hAnsi="Arial" w:cs="Arial"/>
                <w:color w:val="000000"/>
              </w:rPr>
            </w:pPr>
            <w:r w:rsidRPr="0070078A">
              <w:rPr>
                <w:rFonts w:ascii="Arial" w:hAnsi="Arial" w:cs="Arial"/>
                <w:color w:val="000000"/>
              </w:rPr>
              <w:t>0.86(±0.9)</w:t>
            </w:r>
          </w:p>
        </w:tc>
        <w:tc>
          <w:tcPr>
            <w:tcW w:w="1440" w:type="dxa"/>
            <w:tcBorders>
              <w:top w:val="single" w:sz="12" w:space="0" w:color="auto"/>
            </w:tcBorders>
            <w:shd w:val="clear" w:color="auto" w:fill="auto"/>
            <w:noWrap/>
            <w:vAlign w:val="bottom"/>
            <w:hideMark/>
          </w:tcPr>
          <w:p w:rsidR="003D4A00" w:rsidRPr="0070078A" w:rsidRDefault="003D4A00" w:rsidP="00DE6C73">
            <w:pPr>
              <w:jc w:val="both"/>
              <w:rPr>
                <w:rFonts w:ascii="Arial" w:hAnsi="Arial" w:cs="Arial"/>
                <w:color w:val="000000"/>
              </w:rPr>
            </w:pPr>
            <w:r w:rsidRPr="0070078A">
              <w:rPr>
                <w:rFonts w:ascii="Arial" w:hAnsi="Arial" w:cs="Arial"/>
                <w:color w:val="000000"/>
              </w:rPr>
              <w:t>0.77-0.94</w:t>
            </w:r>
          </w:p>
        </w:tc>
        <w:tc>
          <w:tcPr>
            <w:tcW w:w="1052" w:type="dxa"/>
            <w:tcBorders>
              <w:top w:val="single" w:sz="12" w:space="0" w:color="auto"/>
            </w:tcBorders>
            <w:shd w:val="clear" w:color="auto" w:fill="auto"/>
            <w:noWrap/>
            <w:vAlign w:val="bottom"/>
            <w:hideMark/>
          </w:tcPr>
          <w:p w:rsidR="003D4A00" w:rsidRPr="0070078A" w:rsidRDefault="003D4A00" w:rsidP="00DE6C73">
            <w:pPr>
              <w:jc w:val="both"/>
              <w:rPr>
                <w:rFonts w:ascii="Arial" w:hAnsi="Arial" w:cs="Arial"/>
                <w:color w:val="000000"/>
              </w:rPr>
            </w:pPr>
            <w:r w:rsidRPr="0070078A">
              <w:rPr>
                <w:rFonts w:ascii="Arial" w:hAnsi="Arial" w:cs="Arial"/>
                <w:color w:val="000000"/>
              </w:rPr>
              <w:t> </w:t>
            </w:r>
          </w:p>
        </w:tc>
        <w:tc>
          <w:tcPr>
            <w:tcW w:w="1468" w:type="dxa"/>
            <w:tcBorders>
              <w:top w:val="single" w:sz="12" w:space="0" w:color="auto"/>
            </w:tcBorders>
            <w:shd w:val="clear" w:color="auto" w:fill="auto"/>
            <w:noWrap/>
            <w:vAlign w:val="bottom"/>
            <w:hideMark/>
          </w:tcPr>
          <w:p w:rsidR="003D4A00" w:rsidRPr="0070078A" w:rsidRDefault="003D4A00" w:rsidP="00DE6C73">
            <w:pPr>
              <w:jc w:val="both"/>
              <w:rPr>
                <w:rFonts w:ascii="Arial" w:hAnsi="Arial" w:cs="Arial"/>
                <w:color w:val="000000"/>
              </w:rPr>
            </w:pPr>
            <w:r w:rsidRPr="0070078A">
              <w:rPr>
                <w:rFonts w:ascii="Arial" w:hAnsi="Arial" w:cs="Arial"/>
                <w:color w:val="000000"/>
              </w:rPr>
              <w:t>0.63(±0.5)</w:t>
            </w:r>
          </w:p>
        </w:tc>
        <w:tc>
          <w:tcPr>
            <w:tcW w:w="1530" w:type="dxa"/>
            <w:tcBorders>
              <w:top w:val="single" w:sz="12" w:space="0" w:color="auto"/>
            </w:tcBorders>
            <w:shd w:val="clear" w:color="auto" w:fill="auto"/>
            <w:noWrap/>
            <w:vAlign w:val="bottom"/>
            <w:hideMark/>
          </w:tcPr>
          <w:p w:rsidR="003D4A00" w:rsidRPr="0070078A" w:rsidRDefault="003D4A00" w:rsidP="00DE6C73">
            <w:pPr>
              <w:jc w:val="both"/>
              <w:rPr>
                <w:rFonts w:ascii="Arial" w:hAnsi="Arial" w:cs="Arial"/>
                <w:color w:val="000000"/>
              </w:rPr>
            </w:pPr>
            <w:r w:rsidRPr="0070078A">
              <w:rPr>
                <w:rFonts w:ascii="Arial" w:hAnsi="Arial" w:cs="Arial"/>
                <w:color w:val="000000"/>
              </w:rPr>
              <w:t>0.55- 0.72</w:t>
            </w:r>
          </w:p>
        </w:tc>
        <w:tc>
          <w:tcPr>
            <w:tcW w:w="918" w:type="dxa"/>
            <w:tcBorders>
              <w:top w:val="single" w:sz="12" w:space="0" w:color="auto"/>
            </w:tcBorders>
            <w:shd w:val="clear" w:color="auto" w:fill="auto"/>
            <w:noWrap/>
            <w:vAlign w:val="bottom"/>
            <w:hideMark/>
          </w:tcPr>
          <w:p w:rsidR="003D4A00" w:rsidRPr="0070078A" w:rsidRDefault="003D4A00" w:rsidP="00DE6C73">
            <w:pPr>
              <w:jc w:val="both"/>
              <w:rPr>
                <w:rFonts w:ascii="Arial" w:hAnsi="Arial" w:cs="Arial"/>
                <w:color w:val="000000"/>
              </w:rPr>
            </w:pPr>
            <w:r w:rsidRPr="0070078A">
              <w:rPr>
                <w:rFonts w:ascii="Arial" w:hAnsi="Arial" w:cs="Arial"/>
                <w:color w:val="000000"/>
              </w:rPr>
              <w:t> </w:t>
            </w:r>
          </w:p>
        </w:tc>
      </w:tr>
      <w:tr w:rsidR="003D4A00" w:rsidRPr="0070078A" w:rsidTr="00DE6C73">
        <w:trPr>
          <w:trHeight w:val="315"/>
        </w:trPr>
        <w:tc>
          <w:tcPr>
            <w:tcW w:w="1548" w:type="dxa"/>
            <w:shd w:val="clear" w:color="auto" w:fill="auto"/>
            <w:noWrap/>
            <w:vAlign w:val="bottom"/>
            <w:hideMark/>
          </w:tcPr>
          <w:p w:rsidR="003D4A00" w:rsidRPr="0070078A" w:rsidRDefault="003D4A00" w:rsidP="00DE6C73">
            <w:pPr>
              <w:jc w:val="both"/>
              <w:rPr>
                <w:rFonts w:ascii="Arial" w:hAnsi="Arial" w:cs="Arial"/>
                <w:b/>
                <w:bCs/>
                <w:color w:val="000000"/>
              </w:rPr>
            </w:pPr>
            <w:r w:rsidRPr="0070078A">
              <w:rPr>
                <w:rFonts w:ascii="Arial" w:hAnsi="Arial" w:cs="Arial"/>
                <w:b/>
                <w:bCs/>
                <w:color w:val="000000"/>
              </w:rPr>
              <w:t>VA at 6 weeks</w:t>
            </w:r>
          </w:p>
        </w:tc>
        <w:tc>
          <w:tcPr>
            <w:tcW w:w="1620" w:type="dxa"/>
            <w:shd w:val="clear" w:color="auto" w:fill="auto"/>
            <w:noWrap/>
            <w:vAlign w:val="bottom"/>
            <w:hideMark/>
          </w:tcPr>
          <w:p w:rsidR="003D4A00" w:rsidRPr="0070078A" w:rsidRDefault="003D4A00" w:rsidP="00DE6C73">
            <w:pPr>
              <w:jc w:val="both"/>
              <w:rPr>
                <w:rFonts w:ascii="Arial" w:hAnsi="Arial" w:cs="Arial"/>
                <w:color w:val="000000"/>
              </w:rPr>
            </w:pPr>
            <w:r w:rsidRPr="0070078A">
              <w:rPr>
                <w:rFonts w:ascii="Arial" w:hAnsi="Arial" w:cs="Arial"/>
                <w:color w:val="000000"/>
              </w:rPr>
              <w:t>0.75(±0.8)</w:t>
            </w:r>
          </w:p>
        </w:tc>
        <w:tc>
          <w:tcPr>
            <w:tcW w:w="1440" w:type="dxa"/>
            <w:shd w:val="clear" w:color="auto" w:fill="auto"/>
            <w:noWrap/>
            <w:vAlign w:val="bottom"/>
            <w:hideMark/>
          </w:tcPr>
          <w:p w:rsidR="003D4A00" w:rsidRPr="0070078A" w:rsidRDefault="003D4A00" w:rsidP="00DE6C73">
            <w:pPr>
              <w:jc w:val="both"/>
              <w:rPr>
                <w:rFonts w:ascii="Arial" w:hAnsi="Arial" w:cs="Arial"/>
                <w:color w:val="000000"/>
              </w:rPr>
            </w:pPr>
            <w:r w:rsidRPr="0070078A">
              <w:rPr>
                <w:rFonts w:ascii="Arial" w:hAnsi="Arial" w:cs="Arial"/>
                <w:color w:val="000000"/>
              </w:rPr>
              <w:t>0.67-0.84</w:t>
            </w:r>
          </w:p>
        </w:tc>
        <w:tc>
          <w:tcPr>
            <w:tcW w:w="1052" w:type="dxa"/>
            <w:shd w:val="clear" w:color="auto" w:fill="auto"/>
            <w:noWrap/>
            <w:vAlign w:val="bottom"/>
            <w:hideMark/>
          </w:tcPr>
          <w:p w:rsidR="003D4A00" w:rsidRPr="0070078A" w:rsidRDefault="003D4A00" w:rsidP="00DE6C73">
            <w:pPr>
              <w:jc w:val="both"/>
              <w:rPr>
                <w:rFonts w:ascii="Arial" w:hAnsi="Arial" w:cs="Arial"/>
                <w:color w:val="000000"/>
              </w:rPr>
            </w:pPr>
            <w:r w:rsidRPr="0070078A">
              <w:rPr>
                <w:rFonts w:ascii="Arial" w:hAnsi="Arial" w:cs="Arial"/>
                <w:color w:val="000000"/>
              </w:rPr>
              <w:t>.001</w:t>
            </w:r>
          </w:p>
        </w:tc>
        <w:tc>
          <w:tcPr>
            <w:tcW w:w="1468" w:type="dxa"/>
            <w:shd w:val="clear" w:color="auto" w:fill="auto"/>
            <w:noWrap/>
            <w:vAlign w:val="bottom"/>
            <w:hideMark/>
          </w:tcPr>
          <w:p w:rsidR="003D4A00" w:rsidRPr="0070078A" w:rsidRDefault="003D4A00" w:rsidP="00DE6C73">
            <w:pPr>
              <w:jc w:val="both"/>
              <w:rPr>
                <w:rFonts w:ascii="Arial" w:hAnsi="Arial" w:cs="Arial"/>
                <w:color w:val="000000"/>
              </w:rPr>
            </w:pPr>
            <w:r w:rsidRPr="0070078A">
              <w:rPr>
                <w:rFonts w:ascii="Arial" w:hAnsi="Arial" w:cs="Arial"/>
                <w:color w:val="000000"/>
              </w:rPr>
              <w:t>0.55(±0.4)</w:t>
            </w:r>
          </w:p>
        </w:tc>
        <w:tc>
          <w:tcPr>
            <w:tcW w:w="1530" w:type="dxa"/>
            <w:shd w:val="clear" w:color="auto" w:fill="auto"/>
            <w:noWrap/>
            <w:vAlign w:val="bottom"/>
            <w:hideMark/>
          </w:tcPr>
          <w:p w:rsidR="003D4A00" w:rsidRPr="0070078A" w:rsidRDefault="003D4A00" w:rsidP="00DE6C73">
            <w:pPr>
              <w:jc w:val="both"/>
              <w:rPr>
                <w:rFonts w:ascii="Arial" w:hAnsi="Arial" w:cs="Arial"/>
                <w:color w:val="000000"/>
              </w:rPr>
            </w:pPr>
            <w:r w:rsidRPr="0070078A">
              <w:rPr>
                <w:rFonts w:ascii="Arial" w:hAnsi="Arial" w:cs="Arial"/>
                <w:color w:val="000000"/>
              </w:rPr>
              <w:t>0.49-0.62</w:t>
            </w:r>
          </w:p>
        </w:tc>
        <w:tc>
          <w:tcPr>
            <w:tcW w:w="918" w:type="dxa"/>
            <w:shd w:val="clear" w:color="auto" w:fill="auto"/>
            <w:noWrap/>
            <w:vAlign w:val="bottom"/>
            <w:hideMark/>
          </w:tcPr>
          <w:p w:rsidR="003D4A00" w:rsidRPr="0070078A" w:rsidRDefault="003D4A00" w:rsidP="00DE6C73">
            <w:pPr>
              <w:jc w:val="both"/>
              <w:rPr>
                <w:rFonts w:ascii="Arial" w:hAnsi="Arial" w:cs="Arial"/>
                <w:color w:val="000000"/>
              </w:rPr>
            </w:pPr>
            <w:r w:rsidRPr="0070078A">
              <w:rPr>
                <w:rFonts w:ascii="Arial" w:hAnsi="Arial" w:cs="Arial"/>
                <w:color w:val="000000"/>
              </w:rPr>
              <w:t>.0054</w:t>
            </w:r>
          </w:p>
        </w:tc>
      </w:tr>
      <w:tr w:rsidR="003D4A00" w:rsidRPr="0070078A" w:rsidTr="00DE6C73">
        <w:trPr>
          <w:trHeight w:val="315"/>
        </w:trPr>
        <w:tc>
          <w:tcPr>
            <w:tcW w:w="1548" w:type="dxa"/>
            <w:shd w:val="clear" w:color="auto" w:fill="auto"/>
            <w:noWrap/>
            <w:vAlign w:val="bottom"/>
            <w:hideMark/>
          </w:tcPr>
          <w:p w:rsidR="003D4A00" w:rsidRPr="0070078A" w:rsidRDefault="003D4A00" w:rsidP="00DE6C73">
            <w:pPr>
              <w:jc w:val="both"/>
              <w:rPr>
                <w:rFonts w:ascii="Arial" w:hAnsi="Arial" w:cs="Arial"/>
                <w:b/>
                <w:bCs/>
                <w:color w:val="000000"/>
              </w:rPr>
            </w:pPr>
            <w:r w:rsidRPr="0070078A">
              <w:rPr>
                <w:rFonts w:ascii="Arial" w:hAnsi="Arial" w:cs="Arial"/>
                <w:b/>
                <w:bCs/>
                <w:color w:val="000000"/>
              </w:rPr>
              <w:t>VA at 12 weeks</w:t>
            </w:r>
          </w:p>
        </w:tc>
        <w:tc>
          <w:tcPr>
            <w:tcW w:w="1620" w:type="dxa"/>
            <w:shd w:val="clear" w:color="auto" w:fill="auto"/>
            <w:noWrap/>
            <w:vAlign w:val="bottom"/>
            <w:hideMark/>
          </w:tcPr>
          <w:p w:rsidR="003D4A00" w:rsidRPr="0070078A" w:rsidRDefault="003D4A00" w:rsidP="00DE6C73">
            <w:pPr>
              <w:jc w:val="both"/>
              <w:rPr>
                <w:rFonts w:ascii="Arial" w:hAnsi="Arial" w:cs="Arial"/>
                <w:color w:val="000000"/>
              </w:rPr>
            </w:pPr>
            <w:r w:rsidRPr="0070078A">
              <w:rPr>
                <w:rFonts w:ascii="Arial" w:hAnsi="Arial" w:cs="Arial"/>
                <w:color w:val="000000"/>
              </w:rPr>
              <w:t>0.68(±0.5)</w:t>
            </w:r>
          </w:p>
        </w:tc>
        <w:tc>
          <w:tcPr>
            <w:tcW w:w="1440" w:type="dxa"/>
            <w:shd w:val="clear" w:color="auto" w:fill="auto"/>
            <w:noWrap/>
            <w:vAlign w:val="bottom"/>
            <w:hideMark/>
          </w:tcPr>
          <w:p w:rsidR="003D4A00" w:rsidRPr="0070078A" w:rsidRDefault="003D4A00" w:rsidP="00DE6C73">
            <w:pPr>
              <w:jc w:val="both"/>
              <w:rPr>
                <w:rFonts w:ascii="Arial" w:hAnsi="Arial" w:cs="Arial"/>
                <w:color w:val="000000"/>
              </w:rPr>
            </w:pPr>
            <w:r w:rsidRPr="0070078A">
              <w:rPr>
                <w:rFonts w:ascii="Arial" w:hAnsi="Arial" w:cs="Arial"/>
                <w:color w:val="000000"/>
              </w:rPr>
              <w:t>0.60-0.76</w:t>
            </w:r>
          </w:p>
        </w:tc>
        <w:tc>
          <w:tcPr>
            <w:tcW w:w="1052" w:type="dxa"/>
            <w:shd w:val="clear" w:color="auto" w:fill="auto"/>
            <w:noWrap/>
            <w:vAlign w:val="bottom"/>
            <w:hideMark/>
          </w:tcPr>
          <w:p w:rsidR="003D4A00" w:rsidRPr="0070078A" w:rsidRDefault="003D4A00" w:rsidP="00DE6C73">
            <w:pPr>
              <w:jc w:val="both"/>
              <w:rPr>
                <w:rFonts w:ascii="Arial" w:hAnsi="Arial" w:cs="Arial"/>
                <w:color w:val="000000"/>
              </w:rPr>
            </w:pPr>
            <w:r w:rsidRPr="0070078A">
              <w:rPr>
                <w:rFonts w:ascii="Arial" w:hAnsi="Arial" w:cs="Arial"/>
                <w:color w:val="000000"/>
              </w:rPr>
              <w:t>&lt;.01</w:t>
            </w:r>
          </w:p>
        </w:tc>
        <w:tc>
          <w:tcPr>
            <w:tcW w:w="1468" w:type="dxa"/>
            <w:shd w:val="clear" w:color="auto" w:fill="auto"/>
            <w:noWrap/>
            <w:vAlign w:val="bottom"/>
            <w:hideMark/>
          </w:tcPr>
          <w:p w:rsidR="003D4A00" w:rsidRPr="0070078A" w:rsidRDefault="003D4A00" w:rsidP="00DE6C73">
            <w:pPr>
              <w:jc w:val="both"/>
              <w:rPr>
                <w:rFonts w:ascii="Arial" w:hAnsi="Arial" w:cs="Arial"/>
                <w:color w:val="000000"/>
              </w:rPr>
            </w:pPr>
            <w:r w:rsidRPr="0070078A">
              <w:rPr>
                <w:rFonts w:ascii="Arial" w:hAnsi="Arial" w:cs="Arial"/>
                <w:color w:val="000000"/>
              </w:rPr>
              <w:t>0.53(±0.3)</w:t>
            </w:r>
          </w:p>
        </w:tc>
        <w:tc>
          <w:tcPr>
            <w:tcW w:w="1530" w:type="dxa"/>
            <w:shd w:val="clear" w:color="auto" w:fill="auto"/>
            <w:noWrap/>
            <w:vAlign w:val="bottom"/>
            <w:hideMark/>
          </w:tcPr>
          <w:p w:rsidR="003D4A00" w:rsidRPr="0070078A" w:rsidRDefault="003D4A00" w:rsidP="00DE6C73">
            <w:pPr>
              <w:jc w:val="both"/>
              <w:rPr>
                <w:rFonts w:ascii="Arial" w:hAnsi="Arial" w:cs="Arial"/>
                <w:color w:val="000000"/>
              </w:rPr>
            </w:pPr>
            <w:r w:rsidRPr="0070078A">
              <w:rPr>
                <w:rFonts w:ascii="Arial" w:hAnsi="Arial" w:cs="Arial"/>
                <w:color w:val="000000"/>
              </w:rPr>
              <w:t>0.47-0.59</w:t>
            </w:r>
          </w:p>
        </w:tc>
        <w:tc>
          <w:tcPr>
            <w:tcW w:w="918" w:type="dxa"/>
            <w:shd w:val="clear" w:color="auto" w:fill="auto"/>
            <w:noWrap/>
            <w:vAlign w:val="bottom"/>
            <w:hideMark/>
          </w:tcPr>
          <w:p w:rsidR="003D4A00" w:rsidRPr="0070078A" w:rsidRDefault="003D4A00" w:rsidP="00DE6C73">
            <w:pPr>
              <w:jc w:val="both"/>
              <w:rPr>
                <w:rFonts w:ascii="Arial" w:hAnsi="Arial" w:cs="Arial"/>
                <w:color w:val="000000"/>
              </w:rPr>
            </w:pPr>
            <w:r w:rsidRPr="0070078A">
              <w:rPr>
                <w:rFonts w:ascii="Arial" w:hAnsi="Arial" w:cs="Arial"/>
                <w:color w:val="000000"/>
              </w:rPr>
              <w:t>.0012</w:t>
            </w:r>
          </w:p>
        </w:tc>
      </w:tr>
      <w:tr w:rsidR="003D4A00" w:rsidRPr="0070078A" w:rsidTr="00DE6C73">
        <w:trPr>
          <w:trHeight w:val="315"/>
        </w:trPr>
        <w:tc>
          <w:tcPr>
            <w:tcW w:w="1548" w:type="dxa"/>
            <w:shd w:val="clear" w:color="auto" w:fill="auto"/>
            <w:noWrap/>
            <w:vAlign w:val="bottom"/>
            <w:hideMark/>
          </w:tcPr>
          <w:p w:rsidR="003D4A00" w:rsidRPr="0070078A" w:rsidRDefault="003D4A00" w:rsidP="00DE6C73">
            <w:pPr>
              <w:jc w:val="both"/>
              <w:rPr>
                <w:rFonts w:ascii="Arial" w:hAnsi="Arial" w:cs="Arial"/>
                <w:b/>
                <w:bCs/>
                <w:color w:val="000000"/>
              </w:rPr>
            </w:pPr>
            <w:r w:rsidRPr="0070078A">
              <w:rPr>
                <w:rFonts w:ascii="Arial" w:hAnsi="Arial" w:cs="Arial"/>
                <w:b/>
                <w:bCs/>
                <w:color w:val="000000"/>
              </w:rPr>
              <w:t>VA at 18 weeks</w:t>
            </w:r>
          </w:p>
        </w:tc>
        <w:tc>
          <w:tcPr>
            <w:tcW w:w="1620" w:type="dxa"/>
            <w:shd w:val="clear" w:color="auto" w:fill="auto"/>
            <w:noWrap/>
            <w:vAlign w:val="bottom"/>
            <w:hideMark/>
          </w:tcPr>
          <w:p w:rsidR="003D4A00" w:rsidRPr="0070078A" w:rsidRDefault="003D4A00" w:rsidP="00DE6C73">
            <w:pPr>
              <w:jc w:val="both"/>
              <w:rPr>
                <w:rFonts w:ascii="Arial" w:hAnsi="Arial" w:cs="Arial"/>
                <w:color w:val="000000"/>
              </w:rPr>
            </w:pPr>
            <w:r w:rsidRPr="0070078A">
              <w:rPr>
                <w:rFonts w:ascii="Arial" w:hAnsi="Arial" w:cs="Arial"/>
                <w:color w:val="000000"/>
              </w:rPr>
              <w:t>0.68(±0.44)</w:t>
            </w:r>
          </w:p>
        </w:tc>
        <w:tc>
          <w:tcPr>
            <w:tcW w:w="1440" w:type="dxa"/>
            <w:shd w:val="clear" w:color="auto" w:fill="auto"/>
            <w:noWrap/>
            <w:vAlign w:val="bottom"/>
            <w:hideMark/>
          </w:tcPr>
          <w:p w:rsidR="003D4A00" w:rsidRPr="0070078A" w:rsidRDefault="003D4A00" w:rsidP="00DE6C73">
            <w:pPr>
              <w:jc w:val="both"/>
              <w:rPr>
                <w:rFonts w:ascii="Arial" w:hAnsi="Arial" w:cs="Arial"/>
                <w:color w:val="000000"/>
              </w:rPr>
            </w:pPr>
            <w:r w:rsidRPr="0070078A">
              <w:rPr>
                <w:rFonts w:ascii="Arial" w:hAnsi="Arial" w:cs="Arial"/>
                <w:color w:val="000000"/>
              </w:rPr>
              <w:t>0.60-0.76</w:t>
            </w:r>
          </w:p>
        </w:tc>
        <w:tc>
          <w:tcPr>
            <w:tcW w:w="1052" w:type="dxa"/>
            <w:shd w:val="clear" w:color="auto" w:fill="auto"/>
            <w:noWrap/>
            <w:vAlign w:val="bottom"/>
            <w:hideMark/>
          </w:tcPr>
          <w:p w:rsidR="003D4A00" w:rsidRPr="0070078A" w:rsidRDefault="003D4A00" w:rsidP="00DE6C73">
            <w:pPr>
              <w:jc w:val="both"/>
              <w:rPr>
                <w:rFonts w:ascii="Arial" w:hAnsi="Arial" w:cs="Arial"/>
                <w:color w:val="000000"/>
              </w:rPr>
            </w:pPr>
            <w:r w:rsidRPr="0070078A">
              <w:rPr>
                <w:rFonts w:ascii="Arial" w:hAnsi="Arial" w:cs="Arial"/>
                <w:color w:val="000000"/>
              </w:rPr>
              <w:t>&lt;.01</w:t>
            </w:r>
          </w:p>
        </w:tc>
        <w:tc>
          <w:tcPr>
            <w:tcW w:w="1468" w:type="dxa"/>
            <w:shd w:val="clear" w:color="auto" w:fill="auto"/>
            <w:noWrap/>
            <w:vAlign w:val="bottom"/>
            <w:hideMark/>
          </w:tcPr>
          <w:p w:rsidR="003D4A00" w:rsidRPr="0070078A" w:rsidRDefault="003D4A00" w:rsidP="00DE6C73">
            <w:pPr>
              <w:jc w:val="both"/>
              <w:rPr>
                <w:rFonts w:ascii="Arial" w:hAnsi="Arial" w:cs="Arial"/>
                <w:color w:val="000000"/>
              </w:rPr>
            </w:pPr>
            <w:r w:rsidRPr="0070078A">
              <w:rPr>
                <w:rFonts w:ascii="Arial" w:hAnsi="Arial" w:cs="Arial"/>
                <w:color w:val="000000"/>
              </w:rPr>
              <w:t>0.51(±0.3)</w:t>
            </w:r>
          </w:p>
        </w:tc>
        <w:tc>
          <w:tcPr>
            <w:tcW w:w="1530" w:type="dxa"/>
            <w:shd w:val="clear" w:color="auto" w:fill="auto"/>
            <w:noWrap/>
            <w:vAlign w:val="bottom"/>
            <w:hideMark/>
          </w:tcPr>
          <w:p w:rsidR="003D4A00" w:rsidRPr="0070078A" w:rsidRDefault="003D4A00" w:rsidP="00DE6C73">
            <w:pPr>
              <w:jc w:val="both"/>
              <w:rPr>
                <w:rFonts w:ascii="Arial" w:hAnsi="Arial" w:cs="Arial"/>
                <w:color w:val="000000"/>
              </w:rPr>
            </w:pPr>
            <w:r w:rsidRPr="0070078A">
              <w:rPr>
                <w:rFonts w:ascii="Arial" w:hAnsi="Arial" w:cs="Arial"/>
                <w:color w:val="000000"/>
              </w:rPr>
              <w:t>0.45-0.57</w:t>
            </w:r>
          </w:p>
        </w:tc>
        <w:tc>
          <w:tcPr>
            <w:tcW w:w="918" w:type="dxa"/>
            <w:shd w:val="clear" w:color="auto" w:fill="auto"/>
            <w:noWrap/>
            <w:vAlign w:val="bottom"/>
            <w:hideMark/>
          </w:tcPr>
          <w:p w:rsidR="003D4A00" w:rsidRPr="0070078A" w:rsidRDefault="003D4A00" w:rsidP="00DE6C73">
            <w:pPr>
              <w:jc w:val="both"/>
              <w:rPr>
                <w:rFonts w:ascii="Arial" w:hAnsi="Arial" w:cs="Arial"/>
                <w:color w:val="000000"/>
              </w:rPr>
            </w:pPr>
            <w:r w:rsidRPr="0070078A">
              <w:rPr>
                <w:rFonts w:ascii="Arial" w:hAnsi="Arial" w:cs="Arial"/>
                <w:color w:val="000000"/>
              </w:rPr>
              <w:t>.0003</w:t>
            </w:r>
          </w:p>
        </w:tc>
      </w:tr>
      <w:tr w:rsidR="003D4A00" w:rsidRPr="0070078A" w:rsidTr="00DE6C73">
        <w:trPr>
          <w:trHeight w:val="315"/>
        </w:trPr>
        <w:tc>
          <w:tcPr>
            <w:tcW w:w="1548" w:type="dxa"/>
            <w:tcBorders>
              <w:bottom w:val="single" w:sz="12" w:space="0" w:color="auto"/>
            </w:tcBorders>
            <w:shd w:val="clear" w:color="auto" w:fill="auto"/>
            <w:noWrap/>
            <w:vAlign w:val="bottom"/>
            <w:hideMark/>
          </w:tcPr>
          <w:p w:rsidR="003D4A00" w:rsidRPr="0070078A" w:rsidRDefault="003D4A00" w:rsidP="00DE6C73">
            <w:pPr>
              <w:jc w:val="both"/>
              <w:rPr>
                <w:rFonts w:ascii="Arial" w:hAnsi="Arial" w:cs="Arial"/>
                <w:b/>
                <w:bCs/>
                <w:color w:val="000000"/>
              </w:rPr>
            </w:pPr>
            <w:r w:rsidRPr="0070078A">
              <w:rPr>
                <w:rFonts w:ascii="Arial" w:hAnsi="Arial" w:cs="Arial"/>
                <w:b/>
                <w:bCs/>
                <w:color w:val="000000"/>
              </w:rPr>
              <w:t>VA at I year</w:t>
            </w:r>
          </w:p>
        </w:tc>
        <w:tc>
          <w:tcPr>
            <w:tcW w:w="1620" w:type="dxa"/>
            <w:tcBorders>
              <w:bottom w:val="single" w:sz="12" w:space="0" w:color="auto"/>
            </w:tcBorders>
            <w:shd w:val="clear" w:color="auto" w:fill="auto"/>
            <w:noWrap/>
            <w:vAlign w:val="bottom"/>
            <w:hideMark/>
          </w:tcPr>
          <w:p w:rsidR="003D4A00" w:rsidRPr="0070078A" w:rsidRDefault="003D4A00" w:rsidP="00DE6C73">
            <w:pPr>
              <w:jc w:val="both"/>
              <w:rPr>
                <w:rFonts w:ascii="Arial" w:hAnsi="Arial" w:cs="Arial"/>
                <w:color w:val="000000"/>
              </w:rPr>
            </w:pPr>
            <w:r w:rsidRPr="0070078A">
              <w:rPr>
                <w:rFonts w:ascii="Arial" w:hAnsi="Arial" w:cs="Arial"/>
                <w:color w:val="000000"/>
              </w:rPr>
              <w:t>0.62(±0.3)</w:t>
            </w:r>
          </w:p>
        </w:tc>
        <w:tc>
          <w:tcPr>
            <w:tcW w:w="1440" w:type="dxa"/>
            <w:tcBorders>
              <w:bottom w:val="single" w:sz="12" w:space="0" w:color="auto"/>
            </w:tcBorders>
            <w:shd w:val="clear" w:color="auto" w:fill="auto"/>
            <w:noWrap/>
            <w:vAlign w:val="bottom"/>
            <w:hideMark/>
          </w:tcPr>
          <w:p w:rsidR="003D4A00" w:rsidRPr="0070078A" w:rsidRDefault="003D4A00" w:rsidP="00DE6C73">
            <w:pPr>
              <w:jc w:val="both"/>
              <w:rPr>
                <w:rFonts w:ascii="Arial" w:hAnsi="Arial" w:cs="Arial"/>
                <w:color w:val="000000"/>
              </w:rPr>
            </w:pPr>
            <w:r w:rsidRPr="0070078A">
              <w:rPr>
                <w:rFonts w:ascii="Arial" w:hAnsi="Arial" w:cs="Arial"/>
                <w:color w:val="000000"/>
              </w:rPr>
              <w:t>0.55-0.69</w:t>
            </w:r>
          </w:p>
        </w:tc>
        <w:tc>
          <w:tcPr>
            <w:tcW w:w="1052" w:type="dxa"/>
            <w:tcBorders>
              <w:bottom w:val="single" w:sz="12" w:space="0" w:color="auto"/>
            </w:tcBorders>
            <w:shd w:val="clear" w:color="auto" w:fill="auto"/>
            <w:noWrap/>
            <w:vAlign w:val="bottom"/>
            <w:hideMark/>
          </w:tcPr>
          <w:p w:rsidR="003D4A00" w:rsidRPr="0070078A" w:rsidRDefault="003D4A00" w:rsidP="00DE6C73">
            <w:pPr>
              <w:jc w:val="both"/>
              <w:rPr>
                <w:rFonts w:ascii="Arial" w:hAnsi="Arial" w:cs="Arial"/>
                <w:color w:val="000000"/>
              </w:rPr>
            </w:pPr>
            <w:r w:rsidRPr="0070078A">
              <w:rPr>
                <w:rFonts w:ascii="Arial" w:hAnsi="Arial" w:cs="Arial"/>
                <w:color w:val="000000"/>
              </w:rPr>
              <w:t>&lt;.01</w:t>
            </w:r>
          </w:p>
        </w:tc>
        <w:tc>
          <w:tcPr>
            <w:tcW w:w="1468" w:type="dxa"/>
            <w:tcBorders>
              <w:bottom w:val="single" w:sz="12" w:space="0" w:color="auto"/>
            </w:tcBorders>
            <w:shd w:val="clear" w:color="auto" w:fill="auto"/>
            <w:noWrap/>
            <w:vAlign w:val="bottom"/>
            <w:hideMark/>
          </w:tcPr>
          <w:p w:rsidR="003D4A00" w:rsidRPr="0070078A" w:rsidRDefault="003D4A00" w:rsidP="00DE6C73">
            <w:pPr>
              <w:jc w:val="both"/>
              <w:rPr>
                <w:rFonts w:ascii="Arial" w:hAnsi="Arial" w:cs="Arial"/>
                <w:color w:val="000000"/>
              </w:rPr>
            </w:pPr>
            <w:r w:rsidRPr="0070078A">
              <w:rPr>
                <w:rFonts w:ascii="Arial" w:hAnsi="Arial" w:cs="Arial"/>
                <w:color w:val="000000"/>
              </w:rPr>
              <w:t>0.46(0.33)</w:t>
            </w:r>
          </w:p>
        </w:tc>
        <w:tc>
          <w:tcPr>
            <w:tcW w:w="1530" w:type="dxa"/>
            <w:tcBorders>
              <w:bottom w:val="single" w:sz="12" w:space="0" w:color="auto"/>
            </w:tcBorders>
            <w:shd w:val="clear" w:color="auto" w:fill="auto"/>
            <w:noWrap/>
            <w:vAlign w:val="bottom"/>
            <w:hideMark/>
          </w:tcPr>
          <w:p w:rsidR="003D4A00" w:rsidRPr="0070078A" w:rsidRDefault="003D4A00" w:rsidP="00DE6C73">
            <w:pPr>
              <w:jc w:val="both"/>
              <w:rPr>
                <w:rFonts w:ascii="Arial" w:hAnsi="Arial" w:cs="Arial"/>
                <w:color w:val="000000"/>
              </w:rPr>
            </w:pPr>
            <w:r w:rsidRPr="0070078A">
              <w:rPr>
                <w:rFonts w:ascii="Arial" w:hAnsi="Arial" w:cs="Arial"/>
                <w:color w:val="000000"/>
              </w:rPr>
              <w:t>0.40-0.52</w:t>
            </w:r>
          </w:p>
        </w:tc>
        <w:tc>
          <w:tcPr>
            <w:tcW w:w="918" w:type="dxa"/>
            <w:tcBorders>
              <w:bottom w:val="single" w:sz="12" w:space="0" w:color="auto"/>
            </w:tcBorders>
            <w:shd w:val="clear" w:color="auto" w:fill="auto"/>
            <w:noWrap/>
            <w:vAlign w:val="bottom"/>
            <w:hideMark/>
          </w:tcPr>
          <w:p w:rsidR="003D4A00" w:rsidRPr="0070078A" w:rsidRDefault="003D4A00" w:rsidP="00DE6C73">
            <w:pPr>
              <w:jc w:val="both"/>
              <w:rPr>
                <w:rFonts w:ascii="Arial" w:hAnsi="Arial" w:cs="Arial"/>
                <w:color w:val="000000"/>
              </w:rPr>
            </w:pPr>
            <w:r w:rsidRPr="0070078A">
              <w:rPr>
                <w:rFonts w:ascii="Arial" w:hAnsi="Arial" w:cs="Arial"/>
                <w:color w:val="000000"/>
              </w:rPr>
              <w:t>&lt;.001</w:t>
            </w:r>
          </w:p>
        </w:tc>
      </w:tr>
    </w:tbl>
    <w:p w:rsidR="003D4A00" w:rsidRPr="0070078A" w:rsidRDefault="003D4A00" w:rsidP="003D4A00">
      <w:pPr>
        <w:jc w:val="both"/>
        <w:rPr>
          <w:rFonts w:ascii="Arial" w:hAnsi="Arial" w:cs="Arial"/>
          <w:i/>
        </w:rPr>
      </w:pPr>
      <w:r w:rsidRPr="0070078A">
        <w:rPr>
          <w:rFonts w:ascii="Arial" w:hAnsi="Arial" w:cs="Arial"/>
          <w:i/>
        </w:rPr>
        <w:t>(Abbreviations: VA - Visual Acuity; SD-Standard Deviation)</w:t>
      </w:r>
    </w:p>
    <w:p w:rsidR="003D4A00" w:rsidRPr="0070078A" w:rsidRDefault="003D4A00" w:rsidP="003D4A00">
      <w:pPr>
        <w:jc w:val="both"/>
        <w:rPr>
          <w:rFonts w:ascii="Arial" w:hAnsi="Arial" w:cs="Arial"/>
          <w:i/>
        </w:rPr>
      </w:pPr>
    </w:p>
    <w:p w:rsidR="003D4A00" w:rsidRPr="003D4A00" w:rsidRDefault="003D4A00" w:rsidP="003D4A00">
      <w:pPr>
        <w:rPr>
          <w:rFonts w:ascii="Arial" w:hAnsi="Arial" w:cs="Arial"/>
          <w:b/>
          <w:sz w:val="22"/>
          <w:szCs w:val="22"/>
        </w:rPr>
      </w:pPr>
      <w:r w:rsidRPr="003D4A00">
        <w:rPr>
          <w:rFonts w:ascii="Arial" w:hAnsi="Arial" w:cs="Arial"/>
          <w:b/>
          <w:sz w:val="22"/>
          <w:szCs w:val="22"/>
        </w:rPr>
        <w:t>3.3 Anatomical Changes</w:t>
      </w:r>
    </w:p>
    <w:p w:rsidR="003D4A00" w:rsidRPr="0070078A" w:rsidRDefault="003D4A00" w:rsidP="003D4A00">
      <w:pPr>
        <w:jc w:val="both"/>
        <w:rPr>
          <w:rFonts w:ascii="Arial" w:hAnsi="Arial" w:cs="Arial"/>
        </w:rPr>
      </w:pPr>
      <w:r w:rsidRPr="0070078A">
        <w:rPr>
          <w:rFonts w:ascii="Arial" w:hAnsi="Arial" w:cs="Arial"/>
        </w:rPr>
        <w:t xml:space="preserve">With regard to macular thickness of the patients with DME treated by bevacizumab alone, the mean CMT at baseline was 453.48 (±155.61) µm (95% CI: 425.36-481.61) and it decreased statistically significantly in each subsequent visit. Decreased to 370.93 (±133.13) µm (95% CI: 346.86-394.99, </w:t>
      </w:r>
      <w:r w:rsidRPr="0070078A">
        <w:rPr>
          <w:rFonts w:ascii="Arial" w:hAnsi="Arial" w:cs="Arial"/>
          <w:i/>
        </w:rPr>
        <w:t>P</w:t>
      </w:r>
      <w:r w:rsidRPr="0070078A">
        <w:rPr>
          <w:rFonts w:ascii="Arial" w:hAnsi="Arial" w:cs="Arial"/>
        </w:rPr>
        <w:t xml:space="preserve"> &lt; .001) at 6 weeks, 348.89 (±327.57) µm (95% CI: 425.36-481.61, </w:t>
      </w:r>
      <w:r w:rsidRPr="0070078A">
        <w:rPr>
          <w:rFonts w:ascii="Arial" w:hAnsi="Arial" w:cs="Arial"/>
          <w:i/>
        </w:rPr>
        <w:t>P</w:t>
      </w:r>
      <w:r w:rsidRPr="0070078A">
        <w:rPr>
          <w:rFonts w:ascii="Arial" w:hAnsi="Arial" w:cs="Arial"/>
        </w:rPr>
        <w:t xml:space="preserve"> &lt; .001) at 12 weeks, 325.02 (±97.69) µm (95% CI: 307.37-342.68, </w:t>
      </w:r>
      <w:r w:rsidRPr="0070078A">
        <w:rPr>
          <w:rFonts w:ascii="Arial" w:hAnsi="Arial" w:cs="Arial"/>
          <w:i/>
        </w:rPr>
        <w:t>P</w:t>
      </w:r>
      <w:r w:rsidRPr="0070078A">
        <w:rPr>
          <w:rFonts w:ascii="Arial" w:hAnsi="Arial" w:cs="Arial"/>
        </w:rPr>
        <w:t xml:space="preserve"> &lt; .001) at 18 weeks and at the end of follow-up (1 year) was 287.05 (±81.86) µm (95% CI: 272.25-301.85, </w:t>
      </w:r>
      <w:r w:rsidRPr="0070078A">
        <w:rPr>
          <w:rFonts w:ascii="Arial" w:hAnsi="Arial" w:cs="Arial"/>
          <w:i/>
        </w:rPr>
        <w:t>P</w:t>
      </w:r>
      <w:r w:rsidRPr="0070078A">
        <w:rPr>
          <w:rFonts w:ascii="Arial" w:hAnsi="Arial" w:cs="Arial"/>
        </w:rPr>
        <w:t xml:space="preserve"> &lt; .001). </w:t>
      </w:r>
    </w:p>
    <w:p w:rsidR="003D4A00" w:rsidRPr="0070078A" w:rsidRDefault="003D4A00" w:rsidP="003D4A00">
      <w:pPr>
        <w:jc w:val="both"/>
        <w:rPr>
          <w:rFonts w:ascii="Arial" w:hAnsi="Arial" w:cs="Arial"/>
        </w:rPr>
      </w:pPr>
      <w:r w:rsidRPr="0070078A">
        <w:rPr>
          <w:rFonts w:ascii="Arial" w:hAnsi="Arial" w:cs="Arial"/>
        </w:rPr>
        <w:t xml:space="preserve">Patients who received bevacizumab plus focal laser therapy had a mean CMT at baseline of 424.72 (±195.32) µm (95% CI: 388.79-460.63) it decreased significantly in each visit to the end of follow up (1 year). At 6 weeks 331.94 (±105.16) µm (95% CI: 312.60-351.28, </w:t>
      </w:r>
      <w:r w:rsidRPr="0070078A">
        <w:rPr>
          <w:rFonts w:ascii="Arial" w:hAnsi="Arial" w:cs="Arial"/>
          <w:i/>
        </w:rPr>
        <w:t>P</w:t>
      </w:r>
      <w:r w:rsidRPr="0070078A">
        <w:rPr>
          <w:rFonts w:ascii="Arial" w:hAnsi="Arial" w:cs="Arial"/>
        </w:rPr>
        <w:t xml:space="preserve"> &lt; .001), 315.32 (±87.49) µm (95% CI: 299.23-331.41, </w:t>
      </w:r>
      <w:r w:rsidRPr="0070078A">
        <w:rPr>
          <w:rFonts w:ascii="Arial" w:hAnsi="Arial" w:cs="Arial"/>
          <w:i/>
        </w:rPr>
        <w:t>P</w:t>
      </w:r>
      <w:r w:rsidRPr="0070078A">
        <w:rPr>
          <w:rFonts w:ascii="Arial" w:hAnsi="Arial" w:cs="Arial"/>
        </w:rPr>
        <w:t xml:space="preserve"> &lt; .001) at 12 weeks, 299.58 (±79.35) µm (95% CI: 284.98-314.17, </w:t>
      </w:r>
      <w:r w:rsidRPr="0070078A">
        <w:rPr>
          <w:rFonts w:ascii="Arial" w:hAnsi="Arial" w:cs="Arial"/>
          <w:i/>
        </w:rPr>
        <w:t>P</w:t>
      </w:r>
      <w:r w:rsidRPr="0070078A">
        <w:rPr>
          <w:rFonts w:ascii="Arial" w:hAnsi="Arial" w:cs="Arial"/>
        </w:rPr>
        <w:t xml:space="preserve"> &lt; .001) at 18 weeks, 277.14 (±63.84) µm (95% CI: 265.40-288.88, </w:t>
      </w:r>
      <w:r w:rsidRPr="0070078A">
        <w:rPr>
          <w:rFonts w:ascii="Arial" w:hAnsi="Arial" w:cs="Arial"/>
          <w:i/>
        </w:rPr>
        <w:t>P</w:t>
      </w:r>
      <w:r w:rsidRPr="0070078A">
        <w:rPr>
          <w:rFonts w:ascii="Arial" w:hAnsi="Arial" w:cs="Arial"/>
        </w:rPr>
        <w:t xml:space="preserve"> &lt; .001) at 1 year. </w:t>
      </w:r>
      <w:r w:rsidRPr="0070078A">
        <w:rPr>
          <w:rFonts w:ascii="Arial" w:hAnsi="Arial" w:cs="Arial"/>
          <w:b/>
        </w:rPr>
        <w:t>Figure 1</w:t>
      </w:r>
      <w:r w:rsidRPr="0070078A">
        <w:rPr>
          <w:rFonts w:ascii="Arial" w:hAnsi="Arial" w:cs="Arial"/>
        </w:rPr>
        <w:t xml:space="preserve"> shows the distribution of mean CMT change from baseline to 1 year follow-up by treatment modality.</w:t>
      </w:r>
    </w:p>
    <w:p w:rsidR="003D4A00" w:rsidRPr="0070078A" w:rsidRDefault="003D4A00" w:rsidP="003D4A00">
      <w:pPr>
        <w:jc w:val="both"/>
        <w:rPr>
          <w:rFonts w:ascii="Arial" w:hAnsi="Arial" w:cs="Arial"/>
        </w:rPr>
      </w:pPr>
      <w:r w:rsidRPr="003D4A00">
        <w:rPr>
          <w:rFonts w:ascii="Arial" w:eastAsia="Calibri" w:hAnsi="Arial" w:cs="Arial"/>
          <w:noProof/>
          <w:kern w:val="2"/>
        </w:rPr>
        <w:lastRenderedPageBreak/>
        <w:drawing>
          <wp:inline distT="0" distB="0" distL="0" distR="0" wp14:anchorId="3C6E9A80" wp14:editId="7A29F564">
            <wp:extent cx="5771693" cy="3182112"/>
            <wp:effectExtent l="0" t="0" r="635" b="0"/>
            <wp:docPr id="1" name="Chart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40EF39AF-1F8D-F733-4779-1BFA71529B0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D4A00" w:rsidRPr="0070078A" w:rsidRDefault="003D4A00" w:rsidP="003D4A00">
      <w:pPr>
        <w:jc w:val="both"/>
        <w:rPr>
          <w:rFonts w:ascii="Arial" w:hAnsi="Arial" w:cs="Arial"/>
        </w:rPr>
      </w:pPr>
      <w:r w:rsidRPr="0070078A">
        <w:rPr>
          <w:rFonts w:ascii="Arial" w:hAnsi="Arial" w:cs="Arial"/>
        </w:rPr>
        <w:t>Figure 1: Mean CMT Change from Baseline to 1 Year Follow-up by Treatment Modality.</w:t>
      </w:r>
    </w:p>
    <w:p w:rsidR="003D4A00" w:rsidRPr="003D4A00" w:rsidRDefault="003D4A00" w:rsidP="003D4A00">
      <w:pPr>
        <w:rPr>
          <w:rFonts w:ascii="Arial" w:hAnsi="Arial" w:cs="Arial"/>
          <w:b/>
          <w:sz w:val="22"/>
          <w:szCs w:val="22"/>
        </w:rPr>
      </w:pPr>
      <w:r w:rsidRPr="003D4A00">
        <w:rPr>
          <w:rFonts w:ascii="Arial" w:hAnsi="Arial" w:cs="Arial"/>
          <w:b/>
          <w:sz w:val="22"/>
          <w:szCs w:val="22"/>
        </w:rPr>
        <w:t>3.4 Predictors of Functional Success</w:t>
      </w:r>
    </w:p>
    <w:p w:rsidR="003D4A00" w:rsidRPr="0070078A" w:rsidRDefault="003D4A00" w:rsidP="003D4A00">
      <w:pPr>
        <w:jc w:val="both"/>
        <w:rPr>
          <w:rFonts w:ascii="Arial" w:hAnsi="Arial" w:cs="Arial"/>
        </w:rPr>
      </w:pPr>
      <w:r w:rsidRPr="0070078A">
        <w:rPr>
          <w:rFonts w:ascii="Arial" w:hAnsi="Arial" w:cs="Arial"/>
        </w:rPr>
        <w:t xml:space="preserve">In crude analysis, participants who received bevacizumab plus focal laser showed a significant association with functional success, whereby participants who received bevacizumab plus focal laser had 65% higher functional success (CHR = 1.65; 95% CI: 1.17-2.33; p-value = 0.005) compared to participants who received Avastin alone. Also male participants were 45% less likely to achieve better functional success compared to female participants (CHR = 0.55; 95% CI: 0.38-0.79; </w:t>
      </w:r>
      <w:r w:rsidRPr="0070078A">
        <w:rPr>
          <w:rFonts w:ascii="Arial" w:hAnsi="Arial" w:cs="Arial"/>
          <w:i/>
        </w:rPr>
        <w:t>P</w:t>
      </w:r>
      <w:r w:rsidRPr="0070078A">
        <w:rPr>
          <w:rFonts w:ascii="Arial" w:hAnsi="Arial" w:cs="Arial"/>
        </w:rPr>
        <w:t xml:space="preserve"> &lt;.001), this association was statistically significant. Patients with ≥15 years of diabetes were 30% less likely to have better functional success compared to those with &lt;15 years, this association was statistically significant (CHR = 0.70; 95% CI: 0.50-0.99;</w:t>
      </w:r>
      <w:r w:rsidRPr="0070078A">
        <w:rPr>
          <w:rFonts w:ascii="Arial" w:hAnsi="Arial" w:cs="Arial"/>
          <w:i/>
        </w:rPr>
        <w:t xml:space="preserve"> P꞊ </w:t>
      </w:r>
      <w:r w:rsidRPr="0070078A">
        <w:rPr>
          <w:rFonts w:ascii="Arial" w:hAnsi="Arial" w:cs="Arial"/>
        </w:rPr>
        <w:t xml:space="preserve">.042). Patients with good baseline visual acuity  were 2.44 times more likely to have higher functional success compared to those with poor baseline visual acuity  , this association  was statistically significant (CHR=2.44; 95%CI: 1.71-3.50; </w:t>
      </w:r>
      <w:r w:rsidRPr="0070078A">
        <w:rPr>
          <w:rFonts w:ascii="Arial" w:hAnsi="Arial" w:cs="Arial"/>
          <w:i/>
        </w:rPr>
        <w:t>P</w:t>
      </w:r>
      <w:r w:rsidRPr="0070078A">
        <w:rPr>
          <w:rFonts w:ascii="Arial" w:hAnsi="Arial" w:cs="Arial"/>
        </w:rPr>
        <w:t xml:space="preserve"> &lt; 0.001).</w:t>
      </w:r>
    </w:p>
    <w:p w:rsidR="003D4A00" w:rsidRPr="0070078A" w:rsidRDefault="003D4A00" w:rsidP="003D4A00">
      <w:pPr>
        <w:jc w:val="both"/>
        <w:rPr>
          <w:rFonts w:ascii="Arial" w:hAnsi="Arial" w:cs="Arial"/>
        </w:rPr>
      </w:pPr>
      <w:r w:rsidRPr="0070078A">
        <w:rPr>
          <w:rFonts w:ascii="Arial" w:hAnsi="Arial" w:cs="Arial"/>
        </w:rPr>
        <w:t xml:space="preserve">In adjusted analysis, only male gender and baseline visual acuity show significant association. Males were still 35% less likely to achieve better functional success compared to females (AHR = 0.65; 95% CI: 0.45-0.95; </w:t>
      </w:r>
      <w:r w:rsidRPr="0070078A">
        <w:rPr>
          <w:rFonts w:ascii="Arial" w:hAnsi="Arial" w:cs="Arial"/>
          <w:i/>
        </w:rPr>
        <w:t>P</w:t>
      </w:r>
      <w:r w:rsidRPr="0070078A">
        <w:rPr>
          <w:rFonts w:ascii="Arial" w:hAnsi="Arial" w:cs="Arial"/>
        </w:rPr>
        <w:t xml:space="preserve"> = .025) and patients with good baseline visual acuity  were 2.2 times more likely to have higher functional success than those who started with poor visual acuity, this association was statistically significant (AHR = 2.20; 95%CI: 1.50-3.22; </w:t>
      </w:r>
      <w:r w:rsidRPr="0070078A">
        <w:rPr>
          <w:rFonts w:ascii="Arial" w:hAnsi="Arial" w:cs="Arial"/>
          <w:i/>
        </w:rPr>
        <w:t>P</w:t>
      </w:r>
      <w:r w:rsidRPr="0070078A">
        <w:rPr>
          <w:rFonts w:ascii="Arial" w:hAnsi="Arial" w:cs="Arial"/>
        </w:rPr>
        <w:t xml:space="preserve"> &lt; .001). </w:t>
      </w:r>
      <w:r w:rsidRPr="0070078A">
        <w:rPr>
          <w:rFonts w:ascii="Arial" w:hAnsi="Arial" w:cs="Arial"/>
          <w:b/>
        </w:rPr>
        <w:t>Table 3</w:t>
      </w:r>
      <w:r w:rsidRPr="0070078A">
        <w:rPr>
          <w:rFonts w:ascii="Arial" w:hAnsi="Arial" w:cs="Arial"/>
        </w:rPr>
        <w:t xml:space="preserve"> shows predictors of functional success in both Crude Hazard Ratio (CHR) and Adjusted Hazard Ratio (AHR).</w:t>
      </w:r>
    </w:p>
    <w:p w:rsidR="003D4A00" w:rsidRPr="0070078A" w:rsidRDefault="003D4A00" w:rsidP="003D4A00">
      <w:pPr>
        <w:jc w:val="both"/>
        <w:rPr>
          <w:rFonts w:ascii="Arial" w:hAnsi="Arial" w:cs="Arial"/>
          <w:b/>
          <w:bCs/>
        </w:rPr>
      </w:pPr>
      <w:r w:rsidRPr="0070078A">
        <w:rPr>
          <w:rFonts w:ascii="Arial" w:hAnsi="Arial" w:cs="Arial"/>
          <w:b/>
          <w:bCs/>
        </w:rPr>
        <w:t>Table 3: Predictors of Functional Success (Visual Acuity)</w:t>
      </w:r>
    </w:p>
    <w:tbl>
      <w:tblPr>
        <w:tblW w:w="9630" w:type="dxa"/>
        <w:tblLook w:val="04A0" w:firstRow="1" w:lastRow="0" w:firstColumn="1" w:lastColumn="0" w:noHBand="0" w:noVBand="1"/>
      </w:tblPr>
      <w:tblGrid>
        <w:gridCol w:w="4050"/>
        <w:gridCol w:w="1800"/>
        <w:gridCol w:w="990"/>
        <w:gridCol w:w="1800"/>
        <w:gridCol w:w="990"/>
      </w:tblGrid>
      <w:tr w:rsidR="003D4A00" w:rsidRPr="0070078A" w:rsidTr="00DE6C73">
        <w:trPr>
          <w:trHeight w:val="315"/>
        </w:trPr>
        <w:tc>
          <w:tcPr>
            <w:tcW w:w="4050" w:type="dxa"/>
            <w:tcBorders>
              <w:top w:val="single" w:sz="12" w:space="0" w:color="auto"/>
              <w:bottom w:val="single" w:sz="12" w:space="0" w:color="auto"/>
            </w:tcBorders>
            <w:shd w:val="clear" w:color="auto" w:fill="auto"/>
            <w:noWrap/>
            <w:vAlign w:val="bottom"/>
            <w:hideMark/>
          </w:tcPr>
          <w:p w:rsidR="003D4A00" w:rsidRPr="0070078A" w:rsidRDefault="003D4A00" w:rsidP="00DE6C73">
            <w:pPr>
              <w:jc w:val="both"/>
              <w:rPr>
                <w:rFonts w:ascii="Arial" w:hAnsi="Arial" w:cs="Arial"/>
                <w:b/>
                <w:bCs/>
              </w:rPr>
            </w:pPr>
            <w:r w:rsidRPr="0070078A">
              <w:rPr>
                <w:rFonts w:ascii="Arial" w:hAnsi="Arial" w:cs="Arial"/>
                <w:b/>
                <w:bCs/>
              </w:rPr>
              <w:t>Variable</w:t>
            </w:r>
          </w:p>
        </w:tc>
        <w:tc>
          <w:tcPr>
            <w:tcW w:w="1800" w:type="dxa"/>
            <w:tcBorders>
              <w:top w:val="single" w:sz="12" w:space="0" w:color="auto"/>
              <w:bottom w:val="single" w:sz="12" w:space="0" w:color="auto"/>
            </w:tcBorders>
            <w:shd w:val="clear" w:color="auto" w:fill="auto"/>
            <w:noWrap/>
            <w:vAlign w:val="bottom"/>
            <w:hideMark/>
          </w:tcPr>
          <w:p w:rsidR="003D4A00" w:rsidRPr="0070078A" w:rsidRDefault="003D4A00" w:rsidP="00DE6C73">
            <w:pPr>
              <w:jc w:val="both"/>
              <w:rPr>
                <w:rFonts w:ascii="Arial" w:hAnsi="Arial" w:cs="Arial"/>
                <w:b/>
                <w:bCs/>
              </w:rPr>
            </w:pPr>
            <w:r w:rsidRPr="0070078A">
              <w:rPr>
                <w:rFonts w:ascii="Arial" w:hAnsi="Arial" w:cs="Arial"/>
                <w:b/>
                <w:bCs/>
              </w:rPr>
              <w:t>CHR</w:t>
            </w:r>
          </w:p>
        </w:tc>
        <w:tc>
          <w:tcPr>
            <w:tcW w:w="990" w:type="dxa"/>
            <w:tcBorders>
              <w:top w:val="single" w:sz="12" w:space="0" w:color="auto"/>
              <w:bottom w:val="single" w:sz="12" w:space="0" w:color="auto"/>
            </w:tcBorders>
            <w:shd w:val="clear" w:color="auto" w:fill="auto"/>
            <w:noWrap/>
            <w:vAlign w:val="bottom"/>
            <w:hideMark/>
          </w:tcPr>
          <w:p w:rsidR="003D4A00" w:rsidRPr="0070078A" w:rsidRDefault="003D4A00" w:rsidP="00DE6C73">
            <w:pPr>
              <w:jc w:val="both"/>
              <w:rPr>
                <w:rFonts w:ascii="Arial" w:hAnsi="Arial" w:cs="Arial"/>
                <w:b/>
                <w:bCs/>
              </w:rPr>
            </w:pPr>
            <w:r w:rsidRPr="0070078A">
              <w:rPr>
                <w:rFonts w:ascii="Arial" w:hAnsi="Arial" w:cs="Arial"/>
                <w:i/>
              </w:rPr>
              <w:t>P</w:t>
            </w:r>
            <w:r w:rsidRPr="0070078A">
              <w:rPr>
                <w:rFonts w:ascii="Arial" w:hAnsi="Arial" w:cs="Arial"/>
                <w:b/>
                <w:bCs/>
              </w:rPr>
              <w:t xml:space="preserve"> –value</w:t>
            </w:r>
          </w:p>
        </w:tc>
        <w:tc>
          <w:tcPr>
            <w:tcW w:w="1800" w:type="dxa"/>
            <w:tcBorders>
              <w:top w:val="single" w:sz="12" w:space="0" w:color="auto"/>
              <w:bottom w:val="single" w:sz="12" w:space="0" w:color="auto"/>
            </w:tcBorders>
            <w:shd w:val="clear" w:color="auto" w:fill="auto"/>
            <w:noWrap/>
            <w:vAlign w:val="bottom"/>
            <w:hideMark/>
          </w:tcPr>
          <w:p w:rsidR="003D4A00" w:rsidRPr="0070078A" w:rsidRDefault="003D4A00" w:rsidP="00DE6C73">
            <w:pPr>
              <w:jc w:val="both"/>
              <w:rPr>
                <w:rFonts w:ascii="Arial" w:hAnsi="Arial" w:cs="Arial"/>
                <w:b/>
                <w:bCs/>
              </w:rPr>
            </w:pPr>
            <w:r w:rsidRPr="0070078A">
              <w:rPr>
                <w:rFonts w:ascii="Arial" w:hAnsi="Arial" w:cs="Arial"/>
                <w:b/>
                <w:bCs/>
              </w:rPr>
              <w:t>AHR</w:t>
            </w:r>
          </w:p>
        </w:tc>
        <w:tc>
          <w:tcPr>
            <w:tcW w:w="990" w:type="dxa"/>
            <w:tcBorders>
              <w:top w:val="single" w:sz="12" w:space="0" w:color="auto"/>
              <w:bottom w:val="single" w:sz="12" w:space="0" w:color="auto"/>
            </w:tcBorders>
            <w:shd w:val="clear" w:color="auto" w:fill="auto"/>
            <w:noWrap/>
            <w:vAlign w:val="bottom"/>
            <w:hideMark/>
          </w:tcPr>
          <w:p w:rsidR="003D4A00" w:rsidRPr="0070078A" w:rsidRDefault="003D4A00" w:rsidP="00DE6C73">
            <w:pPr>
              <w:jc w:val="both"/>
              <w:rPr>
                <w:rFonts w:ascii="Arial" w:hAnsi="Arial" w:cs="Arial"/>
                <w:b/>
                <w:bCs/>
              </w:rPr>
            </w:pPr>
            <w:r w:rsidRPr="0070078A">
              <w:rPr>
                <w:rFonts w:ascii="Arial" w:hAnsi="Arial" w:cs="Arial"/>
                <w:i/>
              </w:rPr>
              <w:t>P</w:t>
            </w:r>
            <w:r w:rsidRPr="0070078A">
              <w:rPr>
                <w:rFonts w:ascii="Arial" w:hAnsi="Arial" w:cs="Arial"/>
                <w:b/>
                <w:bCs/>
              </w:rPr>
              <w:t xml:space="preserve"> -value</w:t>
            </w:r>
          </w:p>
        </w:tc>
      </w:tr>
      <w:tr w:rsidR="003D4A00" w:rsidRPr="0070078A" w:rsidTr="00DE6C73">
        <w:trPr>
          <w:trHeight w:val="315"/>
        </w:trPr>
        <w:tc>
          <w:tcPr>
            <w:tcW w:w="4050" w:type="dxa"/>
            <w:tcBorders>
              <w:top w:val="single" w:sz="12" w:space="0" w:color="auto"/>
            </w:tcBorders>
            <w:shd w:val="clear" w:color="auto" w:fill="auto"/>
            <w:noWrap/>
            <w:vAlign w:val="bottom"/>
            <w:hideMark/>
          </w:tcPr>
          <w:p w:rsidR="003D4A00" w:rsidRPr="0070078A" w:rsidRDefault="003D4A00" w:rsidP="00DE6C73">
            <w:pPr>
              <w:jc w:val="both"/>
              <w:rPr>
                <w:rFonts w:ascii="Arial" w:hAnsi="Arial" w:cs="Arial"/>
                <w:b/>
                <w:bCs/>
              </w:rPr>
            </w:pPr>
            <w:r w:rsidRPr="0070078A">
              <w:rPr>
                <w:rFonts w:ascii="Arial" w:hAnsi="Arial" w:cs="Arial"/>
                <w:b/>
                <w:bCs/>
              </w:rPr>
              <w:t>Treatment Modality</w:t>
            </w:r>
          </w:p>
        </w:tc>
        <w:tc>
          <w:tcPr>
            <w:tcW w:w="1800" w:type="dxa"/>
            <w:tcBorders>
              <w:top w:val="single" w:sz="12" w:space="0" w:color="auto"/>
            </w:tcBorders>
            <w:shd w:val="clear" w:color="auto" w:fill="auto"/>
            <w:noWrap/>
            <w:vAlign w:val="bottom"/>
            <w:hideMark/>
          </w:tcPr>
          <w:p w:rsidR="003D4A00" w:rsidRPr="0070078A" w:rsidRDefault="003D4A00" w:rsidP="00DE6C73">
            <w:pPr>
              <w:jc w:val="both"/>
              <w:rPr>
                <w:rFonts w:ascii="Arial" w:hAnsi="Arial" w:cs="Arial"/>
              </w:rPr>
            </w:pPr>
          </w:p>
        </w:tc>
        <w:tc>
          <w:tcPr>
            <w:tcW w:w="990" w:type="dxa"/>
            <w:tcBorders>
              <w:top w:val="single" w:sz="12" w:space="0" w:color="auto"/>
            </w:tcBorders>
            <w:shd w:val="clear" w:color="auto" w:fill="auto"/>
            <w:noWrap/>
            <w:vAlign w:val="bottom"/>
            <w:hideMark/>
          </w:tcPr>
          <w:p w:rsidR="003D4A00" w:rsidRPr="0070078A" w:rsidRDefault="003D4A00" w:rsidP="00DE6C73">
            <w:pPr>
              <w:jc w:val="both"/>
              <w:rPr>
                <w:rFonts w:ascii="Arial" w:hAnsi="Arial" w:cs="Arial"/>
              </w:rPr>
            </w:pPr>
          </w:p>
        </w:tc>
        <w:tc>
          <w:tcPr>
            <w:tcW w:w="1800" w:type="dxa"/>
            <w:tcBorders>
              <w:top w:val="single" w:sz="12" w:space="0" w:color="auto"/>
            </w:tcBorders>
            <w:shd w:val="clear" w:color="auto" w:fill="auto"/>
            <w:noWrap/>
            <w:vAlign w:val="bottom"/>
            <w:hideMark/>
          </w:tcPr>
          <w:p w:rsidR="003D4A00" w:rsidRPr="0070078A" w:rsidRDefault="003D4A00" w:rsidP="00DE6C73">
            <w:pPr>
              <w:jc w:val="both"/>
              <w:rPr>
                <w:rFonts w:ascii="Arial" w:hAnsi="Arial" w:cs="Arial"/>
              </w:rPr>
            </w:pPr>
          </w:p>
        </w:tc>
        <w:tc>
          <w:tcPr>
            <w:tcW w:w="990" w:type="dxa"/>
            <w:tcBorders>
              <w:top w:val="single" w:sz="12" w:space="0" w:color="auto"/>
            </w:tcBorders>
            <w:shd w:val="clear" w:color="auto" w:fill="auto"/>
            <w:noWrap/>
            <w:vAlign w:val="bottom"/>
            <w:hideMark/>
          </w:tcPr>
          <w:p w:rsidR="003D4A00" w:rsidRPr="0070078A" w:rsidRDefault="003D4A00" w:rsidP="00DE6C73">
            <w:pPr>
              <w:jc w:val="both"/>
              <w:rPr>
                <w:rFonts w:ascii="Arial" w:hAnsi="Arial" w:cs="Arial"/>
              </w:rPr>
            </w:pPr>
          </w:p>
        </w:tc>
      </w:tr>
      <w:tr w:rsidR="003D4A00" w:rsidRPr="0070078A" w:rsidTr="00DE6C73">
        <w:trPr>
          <w:trHeight w:val="315"/>
        </w:trPr>
        <w:tc>
          <w:tcPr>
            <w:tcW w:w="4050" w:type="dxa"/>
            <w:shd w:val="clear" w:color="auto" w:fill="auto"/>
            <w:noWrap/>
            <w:vAlign w:val="center"/>
            <w:hideMark/>
          </w:tcPr>
          <w:p w:rsidR="003D4A00" w:rsidRPr="0070078A" w:rsidRDefault="003D4A00" w:rsidP="00DE6C73">
            <w:pPr>
              <w:jc w:val="both"/>
              <w:rPr>
                <w:rFonts w:ascii="Arial" w:hAnsi="Arial" w:cs="Arial"/>
              </w:rPr>
            </w:pPr>
            <w:r w:rsidRPr="0070078A">
              <w:rPr>
                <w:rFonts w:ascii="Arial" w:hAnsi="Arial" w:cs="Arial"/>
              </w:rPr>
              <w:t>Bevacizumab Only</w:t>
            </w:r>
          </w:p>
        </w:tc>
        <w:tc>
          <w:tcPr>
            <w:tcW w:w="1800" w:type="dxa"/>
            <w:shd w:val="clear" w:color="auto" w:fill="auto"/>
            <w:noWrap/>
            <w:vAlign w:val="bottom"/>
            <w:hideMark/>
          </w:tcPr>
          <w:p w:rsidR="003D4A00" w:rsidRPr="0070078A" w:rsidRDefault="003D4A00" w:rsidP="00DE6C73">
            <w:pPr>
              <w:jc w:val="both"/>
              <w:rPr>
                <w:rFonts w:ascii="Arial" w:hAnsi="Arial" w:cs="Arial"/>
              </w:rPr>
            </w:pPr>
            <w:r w:rsidRPr="0070078A">
              <w:rPr>
                <w:rFonts w:ascii="Arial" w:hAnsi="Arial" w:cs="Arial"/>
              </w:rPr>
              <w:t>Ref</w:t>
            </w:r>
          </w:p>
        </w:tc>
        <w:tc>
          <w:tcPr>
            <w:tcW w:w="990" w:type="dxa"/>
            <w:shd w:val="clear" w:color="auto" w:fill="auto"/>
            <w:noWrap/>
            <w:vAlign w:val="bottom"/>
            <w:hideMark/>
          </w:tcPr>
          <w:p w:rsidR="003D4A00" w:rsidRPr="0070078A" w:rsidRDefault="003D4A00" w:rsidP="00DE6C73">
            <w:pPr>
              <w:jc w:val="both"/>
              <w:rPr>
                <w:rFonts w:ascii="Arial" w:hAnsi="Arial" w:cs="Arial"/>
              </w:rPr>
            </w:pPr>
          </w:p>
        </w:tc>
        <w:tc>
          <w:tcPr>
            <w:tcW w:w="1800" w:type="dxa"/>
            <w:shd w:val="clear" w:color="auto" w:fill="auto"/>
            <w:noWrap/>
            <w:vAlign w:val="bottom"/>
            <w:hideMark/>
          </w:tcPr>
          <w:p w:rsidR="003D4A00" w:rsidRPr="0070078A" w:rsidRDefault="003D4A00" w:rsidP="00DE6C73">
            <w:pPr>
              <w:jc w:val="both"/>
              <w:rPr>
                <w:rFonts w:ascii="Arial" w:hAnsi="Arial" w:cs="Arial"/>
              </w:rPr>
            </w:pPr>
            <w:r w:rsidRPr="0070078A">
              <w:rPr>
                <w:rFonts w:ascii="Arial" w:hAnsi="Arial" w:cs="Arial"/>
              </w:rPr>
              <w:t>Ref</w:t>
            </w:r>
          </w:p>
        </w:tc>
        <w:tc>
          <w:tcPr>
            <w:tcW w:w="990" w:type="dxa"/>
            <w:shd w:val="clear" w:color="auto" w:fill="auto"/>
            <w:noWrap/>
            <w:vAlign w:val="bottom"/>
            <w:hideMark/>
          </w:tcPr>
          <w:p w:rsidR="003D4A00" w:rsidRPr="0070078A" w:rsidRDefault="003D4A00" w:rsidP="00DE6C73">
            <w:pPr>
              <w:jc w:val="both"/>
              <w:rPr>
                <w:rFonts w:ascii="Arial" w:hAnsi="Arial" w:cs="Arial"/>
              </w:rPr>
            </w:pPr>
          </w:p>
        </w:tc>
      </w:tr>
      <w:tr w:rsidR="003D4A00" w:rsidRPr="0070078A" w:rsidTr="00DE6C73">
        <w:trPr>
          <w:trHeight w:val="315"/>
        </w:trPr>
        <w:tc>
          <w:tcPr>
            <w:tcW w:w="4050" w:type="dxa"/>
            <w:shd w:val="clear" w:color="auto" w:fill="auto"/>
            <w:noWrap/>
            <w:vAlign w:val="center"/>
            <w:hideMark/>
          </w:tcPr>
          <w:p w:rsidR="003D4A00" w:rsidRPr="0070078A" w:rsidRDefault="003D4A00" w:rsidP="00DE6C73">
            <w:pPr>
              <w:jc w:val="both"/>
              <w:rPr>
                <w:rFonts w:ascii="Arial" w:hAnsi="Arial" w:cs="Arial"/>
              </w:rPr>
            </w:pPr>
            <w:r w:rsidRPr="0070078A">
              <w:rPr>
                <w:rFonts w:ascii="Arial" w:hAnsi="Arial" w:cs="Arial"/>
              </w:rPr>
              <w:t>Bevacizumab plus focal</w:t>
            </w:r>
          </w:p>
        </w:tc>
        <w:tc>
          <w:tcPr>
            <w:tcW w:w="1800" w:type="dxa"/>
            <w:shd w:val="clear" w:color="auto" w:fill="auto"/>
            <w:noWrap/>
            <w:vAlign w:val="bottom"/>
            <w:hideMark/>
          </w:tcPr>
          <w:p w:rsidR="003D4A00" w:rsidRPr="0070078A" w:rsidRDefault="003D4A00" w:rsidP="00DE6C73">
            <w:pPr>
              <w:jc w:val="both"/>
              <w:rPr>
                <w:rFonts w:ascii="Arial" w:hAnsi="Arial" w:cs="Arial"/>
              </w:rPr>
            </w:pPr>
            <w:r w:rsidRPr="0070078A">
              <w:rPr>
                <w:rFonts w:ascii="Arial" w:hAnsi="Arial" w:cs="Arial"/>
              </w:rPr>
              <w:t>1.65(1.17-2.33)</w:t>
            </w:r>
          </w:p>
        </w:tc>
        <w:tc>
          <w:tcPr>
            <w:tcW w:w="990" w:type="dxa"/>
            <w:shd w:val="clear" w:color="auto" w:fill="auto"/>
            <w:noWrap/>
            <w:vAlign w:val="bottom"/>
            <w:hideMark/>
          </w:tcPr>
          <w:p w:rsidR="003D4A00" w:rsidRPr="0070078A" w:rsidRDefault="003D4A00" w:rsidP="00DE6C73">
            <w:pPr>
              <w:jc w:val="both"/>
              <w:rPr>
                <w:rFonts w:ascii="Arial" w:hAnsi="Arial" w:cs="Arial"/>
              </w:rPr>
            </w:pPr>
            <w:r w:rsidRPr="0070078A">
              <w:rPr>
                <w:rFonts w:ascii="Arial" w:hAnsi="Arial" w:cs="Arial"/>
              </w:rPr>
              <w:t>.005</w:t>
            </w:r>
          </w:p>
        </w:tc>
        <w:tc>
          <w:tcPr>
            <w:tcW w:w="1800" w:type="dxa"/>
            <w:shd w:val="clear" w:color="auto" w:fill="auto"/>
            <w:noWrap/>
            <w:vAlign w:val="bottom"/>
            <w:hideMark/>
          </w:tcPr>
          <w:p w:rsidR="003D4A00" w:rsidRPr="0070078A" w:rsidRDefault="003D4A00" w:rsidP="00DE6C73">
            <w:pPr>
              <w:jc w:val="both"/>
              <w:rPr>
                <w:rFonts w:ascii="Arial" w:hAnsi="Arial" w:cs="Arial"/>
              </w:rPr>
            </w:pPr>
            <w:r w:rsidRPr="0070078A">
              <w:rPr>
                <w:rFonts w:ascii="Arial" w:hAnsi="Arial" w:cs="Arial"/>
              </w:rPr>
              <w:t>1.36(0.95-1.94</w:t>
            </w:r>
          </w:p>
        </w:tc>
        <w:tc>
          <w:tcPr>
            <w:tcW w:w="990" w:type="dxa"/>
            <w:shd w:val="clear" w:color="auto" w:fill="auto"/>
            <w:noWrap/>
            <w:vAlign w:val="bottom"/>
            <w:hideMark/>
          </w:tcPr>
          <w:p w:rsidR="003D4A00" w:rsidRPr="0070078A" w:rsidRDefault="003D4A00" w:rsidP="00DE6C73">
            <w:pPr>
              <w:jc w:val="both"/>
              <w:rPr>
                <w:rFonts w:ascii="Arial" w:hAnsi="Arial" w:cs="Arial"/>
              </w:rPr>
            </w:pPr>
            <w:r w:rsidRPr="0070078A">
              <w:rPr>
                <w:rFonts w:ascii="Arial" w:hAnsi="Arial" w:cs="Arial"/>
              </w:rPr>
              <w:t>.096</w:t>
            </w:r>
          </w:p>
        </w:tc>
      </w:tr>
      <w:tr w:rsidR="003D4A00" w:rsidRPr="0070078A" w:rsidTr="00DE6C73">
        <w:trPr>
          <w:trHeight w:val="315"/>
        </w:trPr>
        <w:tc>
          <w:tcPr>
            <w:tcW w:w="4050" w:type="dxa"/>
            <w:shd w:val="clear" w:color="auto" w:fill="auto"/>
            <w:noWrap/>
            <w:vAlign w:val="center"/>
            <w:hideMark/>
          </w:tcPr>
          <w:p w:rsidR="003D4A00" w:rsidRPr="0070078A" w:rsidRDefault="003D4A00" w:rsidP="00DE6C73">
            <w:pPr>
              <w:jc w:val="both"/>
              <w:rPr>
                <w:rFonts w:ascii="Arial" w:hAnsi="Arial" w:cs="Arial"/>
                <w:b/>
                <w:bCs/>
              </w:rPr>
            </w:pPr>
            <w:r w:rsidRPr="0070078A">
              <w:rPr>
                <w:rFonts w:ascii="Arial" w:hAnsi="Arial" w:cs="Arial"/>
                <w:b/>
                <w:bCs/>
              </w:rPr>
              <w:t>Age of the Participant (In years)</w:t>
            </w:r>
          </w:p>
        </w:tc>
        <w:tc>
          <w:tcPr>
            <w:tcW w:w="1800" w:type="dxa"/>
            <w:shd w:val="clear" w:color="auto" w:fill="auto"/>
            <w:noWrap/>
            <w:vAlign w:val="bottom"/>
            <w:hideMark/>
          </w:tcPr>
          <w:p w:rsidR="003D4A00" w:rsidRPr="0070078A" w:rsidRDefault="003D4A00" w:rsidP="00DE6C73">
            <w:pPr>
              <w:jc w:val="both"/>
              <w:rPr>
                <w:rFonts w:ascii="Arial" w:hAnsi="Arial" w:cs="Arial"/>
              </w:rPr>
            </w:pPr>
          </w:p>
        </w:tc>
        <w:tc>
          <w:tcPr>
            <w:tcW w:w="990" w:type="dxa"/>
            <w:shd w:val="clear" w:color="auto" w:fill="auto"/>
            <w:noWrap/>
            <w:vAlign w:val="bottom"/>
            <w:hideMark/>
          </w:tcPr>
          <w:p w:rsidR="003D4A00" w:rsidRPr="0070078A" w:rsidRDefault="003D4A00" w:rsidP="00DE6C73">
            <w:pPr>
              <w:jc w:val="both"/>
              <w:rPr>
                <w:rFonts w:ascii="Arial" w:hAnsi="Arial" w:cs="Arial"/>
              </w:rPr>
            </w:pPr>
          </w:p>
        </w:tc>
        <w:tc>
          <w:tcPr>
            <w:tcW w:w="1800" w:type="dxa"/>
            <w:shd w:val="clear" w:color="auto" w:fill="auto"/>
            <w:noWrap/>
            <w:vAlign w:val="bottom"/>
            <w:hideMark/>
          </w:tcPr>
          <w:p w:rsidR="003D4A00" w:rsidRPr="0070078A" w:rsidRDefault="003D4A00" w:rsidP="00DE6C73">
            <w:pPr>
              <w:jc w:val="both"/>
              <w:rPr>
                <w:rFonts w:ascii="Arial" w:hAnsi="Arial" w:cs="Arial"/>
              </w:rPr>
            </w:pPr>
          </w:p>
        </w:tc>
        <w:tc>
          <w:tcPr>
            <w:tcW w:w="990" w:type="dxa"/>
            <w:shd w:val="clear" w:color="auto" w:fill="auto"/>
            <w:noWrap/>
            <w:vAlign w:val="bottom"/>
            <w:hideMark/>
          </w:tcPr>
          <w:p w:rsidR="003D4A00" w:rsidRPr="0070078A" w:rsidRDefault="003D4A00" w:rsidP="00DE6C73">
            <w:pPr>
              <w:jc w:val="both"/>
              <w:rPr>
                <w:rFonts w:ascii="Arial" w:hAnsi="Arial" w:cs="Arial"/>
              </w:rPr>
            </w:pPr>
          </w:p>
        </w:tc>
      </w:tr>
      <w:tr w:rsidR="003D4A00" w:rsidRPr="0070078A" w:rsidTr="00DE6C73">
        <w:trPr>
          <w:trHeight w:val="315"/>
        </w:trPr>
        <w:tc>
          <w:tcPr>
            <w:tcW w:w="4050" w:type="dxa"/>
            <w:shd w:val="clear" w:color="auto" w:fill="auto"/>
            <w:noWrap/>
            <w:vAlign w:val="center"/>
            <w:hideMark/>
          </w:tcPr>
          <w:p w:rsidR="003D4A00" w:rsidRPr="0070078A" w:rsidRDefault="003D4A00" w:rsidP="00DE6C73">
            <w:pPr>
              <w:jc w:val="both"/>
              <w:rPr>
                <w:rFonts w:ascii="Arial" w:hAnsi="Arial" w:cs="Arial"/>
              </w:rPr>
            </w:pPr>
            <w:r w:rsidRPr="0070078A">
              <w:rPr>
                <w:rFonts w:ascii="Arial" w:hAnsi="Arial" w:cs="Arial"/>
              </w:rPr>
              <w:t>≤60</w:t>
            </w:r>
          </w:p>
        </w:tc>
        <w:tc>
          <w:tcPr>
            <w:tcW w:w="1800" w:type="dxa"/>
            <w:shd w:val="clear" w:color="auto" w:fill="auto"/>
            <w:noWrap/>
            <w:vAlign w:val="bottom"/>
            <w:hideMark/>
          </w:tcPr>
          <w:p w:rsidR="003D4A00" w:rsidRPr="0070078A" w:rsidRDefault="003D4A00" w:rsidP="00DE6C73">
            <w:pPr>
              <w:jc w:val="both"/>
              <w:rPr>
                <w:rFonts w:ascii="Arial" w:hAnsi="Arial" w:cs="Arial"/>
              </w:rPr>
            </w:pPr>
            <w:r w:rsidRPr="0070078A">
              <w:rPr>
                <w:rFonts w:ascii="Arial" w:hAnsi="Arial" w:cs="Arial"/>
              </w:rPr>
              <w:t>Ref</w:t>
            </w:r>
          </w:p>
        </w:tc>
        <w:tc>
          <w:tcPr>
            <w:tcW w:w="990" w:type="dxa"/>
            <w:shd w:val="clear" w:color="auto" w:fill="auto"/>
            <w:noWrap/>
            <w:vAlign w:val="bottom"/>
            <w:hideMark/>
          </w:tcPr>
          <w:p w:rsidR="003D4A00" w:rsidRPr="0070078A" w:rsidRDefault="003D4A00" w:rsidP="00DE6C73">
            <w:pPr>
              <w:jc w:val="both"/>
              <w:rPr>
                <w:rFonts w:ascii="Arial" w:hAnsi="Arial" w:cs="Arial"/>
              </w:rPr>
            </w:pPr>
          </w:p>
        </w:tc>
        <w:tc>
          <w:tcPr>
            <w:tcW w:w="1800" w:type="dxa"/>
            <w:shd w:val="clear" w:color="auto" w:fill="auto"/>
            <w:noWrap/>
            <w:vAlign w:val="bottom"/>
            <w:hideMark/>
          </w:tcPr>
          <w:p w:rsidR="003D4A00" w:rsidRPr="0070078A" w:rsidRDefault="003D4A00" w:rsidP="00DE6C73">
            <w:pPr>
              <w:jc w:val="both"/>
              <w:rPr>
                <w:rFonts w:ascii="Arial" w:hAnsi="Arial" w:cs="Arial"/>
              </w:rPr>
            </w:pPr>
            <w:r w:rsidRPr="0070078A">
              <w:rPr>
                <w:rFonts w:ascii="Arial" w:hAnsi="Arial" w:cs="Arial"/>
              </w:rPr>
              <w:t>Ref</w:t>
            </w:r>
          </w:p>
        </w:tc>
        <w:tc>
          <w:tcPr>
            <w:tcW w:w="990" w:type="dxa"/>
            <w:shd w:val="clear" w:color="auto" w:fill="auto"/>
            <w:noWrap/>
            <w:vAlign w:val="bottom"/>
            <w:hideMark/>
          </w:tcPr>
          <w:p w:rsidR="003D4A00" w:rsidRPr="0070078A" w:rsidRDefault="003D4A00" w:rsidP="00DE6C73">
            <w:pPr>
              <w:jc w:val="both"/>
              <w:rPr>
                <w:rFonts w:ascii="Arial" w:hAnsi="Arial" w:cs="Arial"/>
              </w:rPr>
            </w:pPr>
          </w:p>
        </w:tc>
      </w:tr>
      <w:tr w:rsidR="003D4A00" w:rsidRPr="0070078A" w:rsidTr="00DE6C73">
        <w:trPr>
          <w:trHeight w:val="315"/>
        </w:trPr>
        <w:tc>
          <w:tcPr>
            <w:tcW w:w="4050" w:type="dxa"/>
            <w:shd w:val="clear" w:color="auto" w:fill="auto"/>
            <w:noWrap/>
            <w:vAlign w:val="center"/>
            <w:hideMark/>
          </w:tcPr>
          <w:p w:rsidR="003D4A00" w:rsidRPr="0070078A" w:rsidRDefault="003D4A00" w:rsidP="00DE6C73">
            <w:pPr>
              <w:jc w:val="both"/>
              <w:rPr>
                <w:rFonts w:ascii="Arial" w:hAnsi="Arial" w:cs="Arial"/>
              </w:rPr>
            </w:pPr>
            <w:r w:rsidRPr="0070078A">
              <w:rPr>
                <w:rFonts w:ascii="Arial" w:hAnsi="Arial" w:cs="Arial"/>
              </w:rPr>
              <w:lastRenderedPageBreak/>
              <w:t>&gt;60</w:t>
            </w:r>
          </w:p>
        </w:tc>
        <w:tc>
          <w:tcPr>
            <w:tcW w:w="1800" w:type="dxa"/>
            <w:shd w:val="clear" w:color="auto" w:fill="auto"/>
            <w:noWrap/>
            <w:vAlign w:val="bottom"/>
            <w:hideMark/>
          </w:tcPr>
          <w:p w:rsidR="003D4A00" w:rsidRPr="0070078A" w:rsidRDefault="003D4A00" w:rsidP="00DE6C73">
            <w:pPr>
              <w:jc w:val="both"/>
              <w:rPr>
                <w:rFonts w:ascii="Arial" w:hAnsi="Arial" w:cs="Arial"/>
              </w:rPr>
            </w:pPr>
            <w:r w:rsidRPr="0070078A">
              <w:rPr>
                <w:rFonts w:ascii="Arial" w:hAnsi="Arial" w:cs="Arial"/>
              </w:rPr>
              <w:t>0.74(0.51-1.07)</w:t>
            </w:r>
          </w:p>
        </w:tc>
        <w:tc>
          <w:tcPr>
            <w:tcW w:w="990" w:type="dxa"/>
            <w:shd w:val="clear" w:color="auto" w:fill="auto"/>
            <w:noWrap/>
            <w:vAlign w:val="bottom"/>
            <w:hideMark/>
          </w:tcPr>
          <w:p w:rsidR="003D4A00" w:rsidRPr="0070078A" w:rsidRDefault="003D4A00" w:rsidP="00DE6C73">
            <w:pPr>
              <w:jc w:val="both"/>
              <w:rPr>
                <w:rFonts w:ascii="Arial" w:hAnsi="Arial" w:cs="Arial"/>
              </w:rPr>
            </w:pPr>
            <w:r w:rsidRPr="0070078A">
              <w:rPr>
                <w:rFonts w:ascii="Arial" w:hAnsi="Arial" w:cs="Arial"/>
              </w:rPr>
              <w:t>.107</w:t>
            </w:r>
          </w:p>
        </w:tc>
        <w:tc>
          <w:tcPr>
            <w:tcW w:w="1800" w:type="dxa"/>
            <w:shd w:val="clear" w:color="auto" w:fill="auto"/>
            <w:noWrap/>
            <w:vAlign w:val="bottom"/>
            <w:hideMark/>
          </w:tcPr>
          <w:p w:rsidR="003D4A00" w:rsidRPr="0070078A" w:rsidRDefault="003D4A00" w:rsidP="00DE6C73">
            <w:pPr>
              <w:jc w:val="both"/>
              <w:rPr>
                <w:rFonts w:ascii="Arial" w:hAnsi="Arial" w:cs="Arial"/>
              </w:rPr>
            </w:pPr>
            <w:r w:rsidRPr="0070078A">
              <w:rPr>
                <w:rFonts w:ascii="Arial" w:hAnsi="Arial" w:cs="Arial"/>
              </w:rPr>
              <w:t>0.83(0.56-1.23)</w:t>
            </w:r>
          </w:p>
        </w:tc>
        <w:tc>
          <w:tcPr>
            <w:tcW w:w="990" w:type="dxa"/>
            <w:shd w:val="clear" w:color="auto" w:fill="auto"/>
            <w:noWrap/>
            <w:vAlign w:val="bottom"/>
            <w:hideMark/>
          </w:tcPr>
          <w:p w:rsidR="003D4A00" w:rsidRPr="0070078A" w:rsidRDefault="003D4A00" w:rsidP="00DE6C73">
            <w:pPr>
              <w:jc w:val="both"/>
              <w:rPr>
                <w:rFonts w:ascii="Arial" w:hAnsi="Arial" w:cs="Arial"/>
              </w:rPr>
            </w:pPr>
            <w:r w:rsidRPr="0070078A">
              <w:rPr>
                <w:rFonts w:ascii="Arial" w:hAnsi="Arial" w:cs="Arial"/>
              </w:rPr>
              <w:t>.357</w:t>
            </w:r>
          </w:p>
        </w:tc>
      </w:tr>
      <w:tr w:rsidR="003D4A00" w:rsidRPr="0070078A" w:rsidTr="00DE6C73">
        <w:trPr>
          <w:trHeight w:val="315"/>
        </w:trPr>
        <w:tc>
          <w:tcPr>
            <w:tcW w:w="4050" w:type="dxa"/>
            <w:shd w:val="clear" w:color="auto" w:fill="auto"/>
            <w:noWrap/>
            <w:vAlign w:val="center"/>
            <w:hideMark/>
          </w:tcPr>
          <w:p w:rsidR="003D4A00" w:rsidRPr="0070078A" w:rsidRDefault="003D4A00" w:rsidP="00DE6C73">
            <w:pPr>
              <w:jc w:val="both"/>
              <w:rPr>
                <w:rFonts w:ascii="Arial" w:hAnsi="Arial" w:cs="Arial"/>
                <w:b/>
                <w:bCs/>
              </w:rPr>
            </w:pPr>
            <w:r w:rsidRPr="0070078A">
              <w:rPr>
                <w:rFonts w:ascii="Arial" w:hAnsi="Arial" w:cs="Arial"/>
                <w:b/>
                <w:bCs/>
              </w:rPr>
              <w:t>Sex</w:t>
            </w:r>
          </w:p>
        </w:tc>
        <w:tc>
          <w:tcPr>
            <w:tcW w:w="1800" w:type="dxa"/>
            <w:shd w:val="clear" w:color="auto" w:fill="auto"/>
            <w:noWrap/>
            <w:vAlign w:val="bottom"/>
            <w:hideMark/>
          </w:tcPr>
          <w:p w:rsidR="003D4A00" w:rsidRPr="0070078A" w:rsidRDefault="003D4A00" w:rsidP="00DE6C73">
            <w:pPr>
              <w:jc w:val="both"/>
              <w:rPr>
                <w:rFonts w:ascii="Arial" w:hAnsi="Arial" w:cs="Arial"/>
              </w:rPr>
            </w:pPr>
          </w:p>
        </w:tc>
        <w:tc>
          <w:tcPr>
            <w:tcW w:w="990" w:type="dxa"/>
            <w:shd w:val="clear" w:color="auto" w:fill="auto"/>
            <w:noWrap/>
            <w:vAlign w:val="bottom"/>
            <w:hideMark/>
          </w:tcPr>
          <w:p w:rsidR="003D4A00" w:rsidRPr="0070078A" w:rsidRDefault="003D4A00" w:rsidP="00DE6C73">
            <w:pPr>
              <w:jc w:val="both"/>
              <w:rPr>
                <w:rFonts w:ascii="Arial" w:hAnsi="Arial" w:cs="Arial"/>
              </w:rPr>
            </w:pPr>
          </w:p>
        </w:tc>
        <w:tc>
          <w:tcPr>
            <w:tcW w:w="1800" w:type="dxa"/>
            <w:shd w:val="clear" w:color="auto" w:fill="auto"/>
            <w:noWrap/>
            <w:vAlign w:val="bottom"/>
            <w:hideMark/>
          </w:tcPr>
          <w:p w:rsidR="003D4A00" w:rsidRPr="0070078A" w:rsidRDefault="003D4A00" w:rsidP="00DE6C73">
            <w:pPr>
              <w:jc w:val="both"/>
              <w:rPr>
                <w:rFonts w:ascii="Arial" w:hAnsi="Arial" w:cs="Arial"/>
              </w:rPr>
            </w:pPr>
          </w:p>
        </w:tc>
        <w:tc>
          <w:tcPr>
            <w:tcW w:w="990" w:type="dxa"/>
            <w:shd w:val="clear" w:color="auto" w:fill="auto"/>
            <w:noWrap/>
            <w:vAlign w:val="bottom"/>
            <w:hideMark/>
          </w:tcPr>
          <w:p w:rsidR="003D4A00" w:rsidRPr="0070078A" w:rsidRDefault="003D4A00" w:rsidP="00DE6C73">
            <w:pPr>
              <w:jc w:val="both"/>
              <w:rPr>
                <w:rFonts w:ascii="Arial" w:hAnsi="Arial" w:cs="Arial"/>
              </w:rPr>
            </w:pPr>
          </w:p>
        </w:tc>
      </w:tr>
      <w:tr w:rsidR="003D4A00" w:rsidRPr="0070078A" w:rsidTr="00DE6C73">
        <w:trPr>
          <w:trHeight w:val="315"/>
        </w:trPr>
        <w:tc>
          <w:tcPr>
            <w:tcW w:w="4050" w:type="dxa"/>
            <w:shd w:val="clear" w:color="auto" w:fill="auto"/>
            <w:noWrap/>
            <w:vAlign w:val="center"/>
            <w:hideMark/>
          </w:tcPr>
          <w:p w:rsidR="003D4A00" w:rsidRPr="0070078A" w:rsidRDefault="003D4A00" w:rsidP="00DE6C73">
            <w:pPr>
              <w:jc w:val="both"/>
              <w:rPr>
                <w:rFonts w:ascii="Arial" w:hAnsi="Arial" w:cs="Arial"/>
              </w:rPr>
            </w:pPr>
            <w:r w:rsidRPr="0070078A">
              <w:rPr>
                <w:rFonts w:ascii="Arial" w:hAnsi="Arial" w:cs="Arial"/>
              </w:rPr>
              <w:t>Female</w:t>
            </w:r>
          </w:p>
        </w:tc>
        <w:tc>
          <w:tcPr>
            <w:tcW w:w="1800" w:type="dxa"/>
            <w:shd w:val="clear" w:color="auto" w:fill="auto"/>
            <w:noWrap/>
            <w:vAlign w:val="bottom"/>
            <w:hideMark/>
          </w:tcPr>
          <w:p w:rsidR="003D4A00" w:rsidRPr="0070078A" w:rsidRDefault="003D4A00" w:rsidP="00DE6C73">
            <w:pPr>
              <w:jc w:val="both"/>
              <w:rPr>
                <w:rFonts w:ascii="Arial" w:hAnsi="Arial" w:cs="Arial"/>
              </w:rPr>
            </w:pPr>
            <w:r w:rsidRPr="0070078A">
              <w:rPr>
                <w:rFonts w:ascii="Arial" w:hAnsi="Arial" w:cs="Arial"/>
              </w:rPr>
              <w:t>Ref</w:t>
            </w:r>
          </w:p>
        </w:tc>
        <w:tc>
          <w:tcPr>
            <w:tcW w:w="990" w:type="dxa"/>
            <w:shd w:val="clear" w:color="auto" w:fill="auto"/>
            <w:noWrap/>
            <w:vAlign w:val="bottom"/>
            <w:hideMark/>
          </w:tcPr>
          <w:p w:rsidR="003D4A00" w:rsidRPr="0070078A" w:rsidRDefault="003D4A00" w:rsidP="00DE6C73">
            <w:pPr>
              <w:jc w:val="both"/>
              <w:rPr>
                <w:rFonts w:ascii="Arial" w:hAnsi="Arial" w:cs="Arial"/>
              </w:rPr>
            </w:pPr>
          </w:p>
        </w:tc>
        <w:tc>
          <w:tcPr>
            <w:tcW w:w="1800" w:type="dxa"/>
            <w:shd w:val="clear" w:color="auto" w:fill="auto"/>
            <w:noWrap/>
            <w:vAlign w:val="bottom"/>
            <w:hideMark/>
          </w:tcPr>
          <w:p w:rsidR="003D4A00" w:rsidRPr="0070078A" w:rsidRDefault="003D4A00" w:rsidP="00DE6C73">
            <w:pPr>
              <w:jc w:val="both"/>
              <w:rPr>
                <w:rFonts w:ascii="Arial" w:hAnsi="Arial" w:cs="Arial"/>
              </w:rPr>
            </w:pPr>
            <w:r w:rsidRPr="0070078A">
              <w:rPr>
                <w:rFonts w:ascii="Arial" w:hAnsi="Arial" w:cs="Arial"/>
              </w:rPr>
              <w:t>Ref</w:t>
            </w:r>
          </w:p>
        </w:tc>
        <w:tc>
          <w:tcPr>
            <w:tcW w:w="990" w:type="dxa"/>
            <w:shd w:val="clear" w:color="auto" w:fill="auto"/>
            <w:noWrap/>
            <w:vAlign w:val="bottom"/>
            <w:hideMark/>
          </w:tcPr>
          <w:p w:rsidR="003D4A00" w:rsidRPr="0070078A" w:rsidRDefault="003D4A00" w:rsidP="00DE6C73">
            <w:pPr>
              <w:jc w:val="both"/>
              <w:rPr>
                <w:rFonts w:ascii="Arial" w:hAnsi="Arial" w:cs="Arial"/>
              </w:rPr>
            </w:pPr>
          </w:p>
        </w:tc>
      </w:tr>
      <w:tr w:rsidR="003D4A00" w:rsidRPr="0070078A" w:rsidTr="00DE6C73">
        <w:trPr>
          <w:trHeight w:val="315"/>
        </w:trPr>
        <w:tc>
          <w:tcPr>
            <w:tcW w:w="4050" w:type="dxa"/>
            <w:shd w:val="clear" w:color="auto" w:fill="auto"/>
            <w:noWrap/>
            <w:vAlign w:val="center"/>
            <w:hideMark/>
          </w:tcPr>
          <w:p w:rsidR="003D4A00" w:rsidRPr="0070078A" w:rsidRDefault="003D4A00" w:rsidP="00DE6C73">
            <w:pPr>
              <w:jc w:val="both"/>
              <w:rPr>
                <w:rFonts w:ascii="Arial" w:hAnsi="Arial" w:cs="Arial"/>
              </w:rPr>
            </w:pPr>
            <w:r w:rsidRPr="0070078A">
              <w:rPr>
                <w:rFonts w:ascii="Arial" w:hAnsi="Arial" w:cs="Arial"/>
              </w:rPr>
              <w:t>Male</w:t>
            </w:r>
          </w:p>
        </w:tc>
        <w:tc>
          <w:tcPr>
            <w:tcW w:w="1800" w:type="dxa"/>
            <w:shd w:val="clear" w:color="auto" w:fill="auto"/>
            <w:noWrap/>
            <w:vAlign w:val="bottom"/>
            <w:hideMark/>
          </w:tcPr>
          <w:p w:rsidR="003D4A00" w:rsidRPr="0070078A" w:rsidRDefault="003D4A00" w:rsidP="00DE6C73">
            <w:pPr>
              <w:jc w:val="both"/>
              <w:rPr>
                <w:rFonts w:ascii="Arial" w:hAnsi="Arial" w:cs="Arial"/>
              </w:rPr>
            </w:pPr>
            <w:r w:rsidRPr="0070078A">
              <w:rPr>
                <w:rFonts w:ascii="Arial" w:hAnsi="Arial" w:cs="Arial"/>
              </w:rPr>
              <w:t>0.55(0.38-0.79)</w:t>
            </w:r>
          </w:p>
        </w:tc>
        <w:tc>
          <w:tcPr>
            <w:tcW w:w="990" w:type="dxa"/>
            <w:shd w:val="clear" w:color="auto" w:fill="auto"/>
            <w:noWrap/>
            <w:vAlign w:val="bottom"/>
            <w:hideMark/>
          </w:tcPr>
          <w:p w:rsidR="003D4A00" w:rsidRPr="0070078A" w:rsidRDefault="003D4A00" w:rsidP="00DE6C73">
            <w:pPr>
              <w:jc w:val="both"/>
              <w:rPr>
                <w:rFonts w:ascii="Arial" w:hAnsi="Arial" w:cs="Arial"/>
              </w:rPr>
            </w:pPr>
            <w:r w:rsidRPr="0070078A">
              <w:rPr>
                <w:rFonts w:ascii="Arial" w:hAnsi="Arial" w:cs="Arial"/>
              </w:rPr>
              <w:t>.001</w:t>
            </w:r>
          </w:p>
        </w:tc>
        <w:tc>
          <w:tcPr>
            <w:tcW w:w="1800" w:type="dxa"/>
            <w:shd w:val="clear" w:color="auto" w:fill="auto"/>
            <w:noWrap/>
            <w:vAlign w:val="bottom"/>
            <w:hideMark/>
          </w:tcPr>
          <w:p w:rsidR="003D4A00" w:rsidRPr="0070078A" w:rsidRDefault="003D4A00" w:rsidP="00DE6C73">
            <w:pPr>
              <w:jc w:val="both"/>
              <w:rPr>
                <w:rFonts w:ascii="Arial" w:hAnsi="Arial" w:cs="Arial"/>
              </w:rPr>
            </w:pPr>
            <w:r w:rsidRPr="0070078A">
              <w:rPr>
                <w:rFonts w:ascii="Arial" w:hAnsi="Arial" w:cs="Arial"/>
              </w:rPr>
              <w:t>0.65(0.45-0.95)</w:t>
            </w:r>
          </w:p>
        </w:tc>
        <w:tc>
          <w:tcPr>
            <w:tcW w:w="990" w:type="dxa"/>
            <w:shd w:val="clear" w:color="auto" w:fill="auto"/>
            <w:noWrap/>
            <w:vAlign w:val="bottom"/>
            <w:hideMark/>
          </w:tcPr>
          <w:p w:rsidR="003D4A00" w:rsidRPr="0070078A" w:rsidRDefault="003D4A00" w:rsidP="00DE6C73">
            <w:pPr>
              <w:jc w:val="both"/>
              <w:rPr>
                <w:rFonts w:ascii="Arial" w:hAnsi="Arial" w:cs="Arial"/>
              </w:rPr>
            </w:pPr>
            <w:r w:rsidRPr="0070078A">
              <w:rPr>
                <w:rFonts w:ascii="Arial" w:hAnsi="Arial" w:cs="Arial"/>
              </w:rPr>
              <w:t>.025</w:t>
            </w:r>
          </w:p>
        </w:tc>
      </w:tr>
      <w:tr w:rsidR="003D4A00" w:rsidRPr="0070078A" w:rsidTr="00DE6C73">
        <w:trPr>
          <w:trHeight w:val="315"/>
        </w:trPr>
        <w:tc>
          <w:tcPr>
            <w:tcW w:w="4050" w:type="dxa"/>
            <w:shd w:val="clear" w:color="auto" w:fill="auto"/>
            <w:noWrap/>
            <w:vAlign w:val="center"/>
            <w:hideMark/>
          </w:tcPr>
          <w:p w:rsidR="003D4A00" w:rsidRPr="0070078A" w:rsidRDefault="003D4A00" w:rsidP="00DE6C73">
            <w:pPr>
              <w:jc w:val="both"/>
              <w:rPr>
                <w:rFonts w:ascii="Arial" w:hAnsi="Arial" w:cs="Arial"/>
                <w:b/>
                <w:bCs/>
              </w:rPr>
            </w:pPr>
            <w:r w:rsidRPr="0070078A">
              <w:rPr>
                <w:rFonts w:ascii="Arial" w:hAnsi="Arial" w:cs="Arial"/>
                <w:b/>
                <w:bCs/>
              </w:rPr>
              <w:t>Duration of diabetic mellitus(In years)</w:t>
            </w:r>
          </w:p>
        </w:tc>
        <w:tc>
          <w:tcPr>
            <w:tcW w:w="1800" w:type="dxa"/>
            <w:shd w:val="clear" w:color="auto" w:fill="auto"/>
            <w:noWrap/>
            <w:vAlign w:val="bottom"/>
            <w:hideMark/>
          </w:tcPr>
          <w:p w:rsidR="003D4A00" w:rsidRPr="0070078A" w:rsidRDefault="003D4A00" w:rsidP="00DE6C73">
            <w:pPr>
              <w:jc w:val="both"/>
              <w:rPr>
                <w:rFonts w:ascii="Arial" w:hAnsi="Arial" w:cs="Arial"/>
              </w:rPr>
            </w:pPr>
          </w:p>
        </w:tc>
        <w:tc>
          <w:tcPr>
            <w:tcW w:w="990" w:type="dxa"/>
            <w:shd w:val="clear" w:color="auto" w:fill="auto"/>
            <w:noWrap/>
            <w:vAlign w:val="bottom"/>
            <w:hideMark/>
          </w:tcPr>
          <w:p w:rsidR="003D4A00" w:rsidRPr="0070078A" w:rsidRDefault="003D4A00" w:rsidP="00DE6C73">
            <w:pPr>
              <w:jc w:val="both"/>
              <w:rPr>
                <w:rFonts w:ascii="Arial" w:hAnsi="Arial" w:cs="Arial"/>
              </w:rPr>
            </w:pPr>
          </w:p>
        </w:tc>
        <w:tc>
          <w:tcPr>
            <w:tcW w:w="1800" w:type="dxa"/>
            <w:shd w:val="clear" w:color="auto" w:fill="auto"/>
            <w:noWrap/>
            <w:vAlign w:val="bottom"/>
            <w:hideMark/>
          </w:tcPr>
          <w:p w:rsidR="003D4A00" w:rsidRPr="0070078A" w:rsidRDefault="003D4A00" w:rsidP="00DE6C73">
            <w:pPr>
              <w:jc w:val="both"/>
              <w:rPr>
                <w:rFonts w:ascii="Arial" w:hAnsi="Arial" w:cs="Arial"/>
              </w:rPr>
            </w:pPr>
          </w:p>
        </w:tc>
        <w:tc>
          <w:tcPr>
            <w:tcW w:w="990" w:type="dxa"/>
            <w:shd w:val="clear" w:color="auto" w:fill="auto"/>
            <w:noWrap/>
            <w:vAlign w:val="bottom"/>
            <w:hideMark/>
          </w:tcPr>
          <w:p w:rsidR="003D4A00" w:rsidRPr="0070078A" w:rsidRDefault="003D4A00" w:rsidP="00DE6C73">
            <w:pPr>
              <w:jc w:val="both"/>
              <w:rPr>
                <w:rFonts w:ascii="Arial" w:hAnsi="Arial" w:cs="Arial"/>
              </w:rPr>
            </w:pPr>
          </w:p>
        </w:tc>
      </w:tr>
      <w:tr w:rsidR="003D4A00" w:rsidRPr="0070078A" w:rsidTr="00DE6C73">
        <w:trPr>
          <w:trHeight w:val="315"/>
        </w:trPr>
        <w:tc>
          <w:tcPr>
            <w:tcW w:w="4050" w:type="dxa"/>
            <w:shd w:val="clear" w:color="auto" w:fill="auto"/>
            <w:noWrap/>
            <w:vAlign w:val="center"/>
            <w:hideMark/>
          </w:tcPr>
          <w:p w:rsidR="003D4A00" w:rsidRPr="0070078A" w:rsidRDefault="003D4A00" w:rsidP="00DE6C73">
            <w:pPr>
              <w:jc w:val="both"/>
              <w:rPr>
                <w:rFonts w:ascii="Arial" w:hAnsi="Arial" w:cs="Arial"/>
              </w:rPr>
            </w:pPr>
            <w:r w:rsidRPr="0070078A">
              <w:rPr>
                <w:rFonts w:ascii="Arial" w:hAnsi="Arial" w:cs="Arial"/>
              </w:rPr>
              <w:t>≤15</w:t>
            </w:r>
          </w:p>
        </w:tc>
        <w:tc>
          <w:tcPr>
            <w:tcW w:w="1800" w:type="dxa"/>
            <w:shd w:val="clear" w:color="auto" w:fill="auto"/>
            <w:noWrap/>
            <w:vAlign w:val="bottom"/>
            <w:hideMark/>
          </w:tcPr>
          <w:p w:rsidR="003D4A00" w:rsidRPr="0070078A" w:rsidRDefault="003D4A00" w:rsidP="00DE6C73">
            <w:pPr>
              <w:jc w:val="both"/>
              <w:rPr>
                <w:rFonts w:ascii="Arial" w:hAnsi="Arial" w:cs="Arial"/>
              </w:rPr>
            </w:pPr>
            <w:r w:rsidRPr="0070078A">
              <w:rPr>
                <w:rFonts w:ascii="Arial" w:hAnsi="Arial" w:cs="Arial"/>
              </w:rPr>
              <w:t>Ref</w:t>
            </w:r>
          </w:p>
        </w:tc>
        <w:tc>
          <w:tcPr>
            <w:tcW w:w="990" w:type="dxa"/>
            <w:shd w:val="clear" w:color="auto" w:fill="auto"/>
            <w:noWrap/>
            <w:vAlign w:val="bottom"/>
            <w:hideMark/>
          </w:tcPr>
          <w:p w:rsidR="003D4A00" w:rsidRPr="0070078A" w:rsidRDefault="003D4A00" w:rsidP="00DE6C73">
            <w:pPr>
              <w:jc w:val="both"/>
              <w:rPr>
                <w:rFonts w:ascii="Arial" w:hAnsi="Arial" w:cs="Arial"/>
              </w:rPr>
            </w:pPr>
          </w:p>
        </w:tc>
        <w:tc>
          <w:tcPr>
            <w:tcW w:w="1800" w:type="dxa"/>
            <w:shd w:val="clear" w:color="auto" w:fill="auto"/>
            <w:noWrap/>
            <w:vAlign w:val="bottom"/>
            <w:hideMark/>
          </w:tcPr>
          <w:p w:rsidR="003D4A00" w:rsidRPr="0070078A" w:rsidRDefault="003D4A00" w:rsidP="00DE6C73">
            <w:pPr>
              <w:jc w:val="both"/>
              <w:rPr>
                <w:rFonts w:ascii="Arial" w:hAnsi="Arial" w:cs="Arial"/>
              </w:rPr>
            </w:pPr>
            <w:r w:rsidRPr="0070078A">
              <w:rPr>
                <w:rFonts w:ascii="Arial" w:hAnsi="Arial" w:cs="Arial"/>
              </w:rPr>
              <w:t>Ref</w:t>
            </w:r>
          </w:p>
        </w:tc>
        <w:tc>
          <w:tcPr>
            <w:tcW w:w="990" w:type="dxa"/>
            <w:shd w:val="clear" w:color="auto" w:fill="auto"/>
            <w:noWrap/>
            <w:vAlign w:val="bottom"/>
            <w:hideMark/>
          </w:tcPr>
          <w:p w:rsidR="003D4A00" w:rsidRPr="0070078A" w:rsidRDefault="003D4A00" w:rsidP="00DE6C73">
            <w:pPr>
              <w:jc w:val="both"/>
              <w:rPr>
                <w:rFonts w:ascii="Arial" w:hAnsi="Arial" w:cs="Arial"/>
              </w:rPr>
            </w:pPr>
          </w:p>
        </w:tc>
      </w:tr>
      <w:tr w:rsidR="003D4A00" w:rsidRPr="0070078A" w:rsidTr="00DE6C73">
        <w:trPr>
          <w:trHeight w:val="315"/>
        </w:trPr>
        <w:tc>
          <w:tcPr>
            <w:tcW w:w="4050" w:type="dxa"/>
            <w:shd w:val="clear" w:color="auto" w:fill="auto"/>
            <w:noWrap/>
            <w:vAlign w:val="center"/>
            <w:hideMark/>
          </w:tcPr>
          <w:p w:rsidR="003D4A00" w:rsidRPr="0070078A" w:rsidRDefault="003D4A00" w:rsidP="00DE6C73">
            <w:pPr>
              <w:jc w:val="both"/>
              <w:rPr>
                <w:rFonts w:ascii="Arial" w:hAnsi="Arial" w:cs="Arial"/>
              </w:rPr>
            </w:pPr>
            <w:r w:rsidRPr="0070078A">
              <w:rPr>
                <w:rFonts w:ascii="Arial" w:hAnsi="Arial" w:cs="Arial"/>
              </w:rPr>
              <w:t>&gt;15</w:t>
            </w:r>
          </w:p>
        </w:tc>
        <w:tc>
          <w:tcPr>
            <w:tcW w:w="1800" w:type="dxa"/>
            <w:shd w:val="clear" w:color="auto" w:fill="auto"/>
            <w:noWrap/>
            <w:vAlign w:val="bottom"/>
            <w:hideMark/>
          </w:tcPr>
          <w:p w:rsidR="003D4A00" w:rsidRPr="0070078A" w:rsidRDefault="003D4A00" w:rsidP="00DE6C73">
            <w:pPr>
              <w:jc w:val="both"/>
              <w:rPr>
                <w:rFonts w:ascii="Arial" w:hAnsi="Arial" w:cs="Arial"/>
              </w:rPr>
            </w:pPr>
            <w:r w:rsidRPr="0070078A">
              <w:rPr>
                <w:rFonts w:ascii="Arial" w:hAnsi="Arial" w:cs="Arial"/>
              </w:rPr>
              <w:t>0.70(0.50-0.99)</w:t>
            </w:r>
          </w:p>
        </w:tc>
        <w:tc>
          <w:tcPr>
            <w:tcW w:w="990" w:type="dxa"/>
            <w:shd w:val="clear" w:color="auto" w:fill="auto"/>
            <w:noWrap/>
            <w:vAlign w:val="bottom"/>
            <w:hideMark/>
          </w:tcPr>
          <w:p w:rsidR="003D4A00" w:rsidRPr="0070078A" w:rsidRDefault="003D4A00" w:rsidP="00DE6C73">
            <w:pPr>
              <w:jc w:val="both"/>
              <w:rPr>
                <w:rFonts w:ascii="Arial" w:hAnsi="Arial" w:cs="Arial"/>
              </w:rPr>
            </w:pPr>
            <w:r w:rsidRPr="0070078A">
              <w:rPr>
                <w:rFonts w:ascii="Arial" w:hAnsi="Arial" w:cs="Arial"/>
              </w:rPr>
              <w:t>.042</w:t>
            </w:r>
          </w:p>
        </w:tc>
        <w:tc>
          <w:tcPr>
            <w:tcW w:w="1800" w:type="dxa"/>
            <w:shd w:val="clear" w:color="auto" w:fill="auto"/>
            <w:noWrap/>
            <w:vAlign w:val="bottom"/>
            <w:hideMark/>
          </w:tcPr>
          <w:p w:rsidR="003D4A00" w:rsidRPr="0070078A" w:rsidRDefault="003D4A00" w:rsidP="00DE6C73">
            <w:pPr>
              <w:jc w:val="both"/>
              <w:rPr>
                <w:rFonts w:ascii="Arial" w:hAnsi="Arial" w:cs="Arial"/>
              </w:rPr>
            </w:pPr>
            <w:r w:rsidRPr="0070078A">
              <w:rPr>
                <w:rFonts w:ascii="Arial" w:hAnsi="Arial" w:cs="Arial"/>
              </w:rPr>
              <w:t>0.93(0.64-1.35)</w:t>
            </w:r>
          </w:p>
        </w:tc>
        <w:tc>
          <w:tcPr>
            <w:tcW w:w="990" w:type="dxa"/>
            <w:shd w:val="clear" w:color="auto" w:fill="auto"/>
            <w:noWrap/>
            <w:vAlign w:val="bottom"/>
            <w:hideMark/>
          </w:tcPr>
          <w:p w:rsidR="003D4A00" w:rsidRPr="0070078A" w:rsidRDefault="003D4A00" w:rsidP="00DE6C73">
            <w:pPr>
              <w:jc w:val="both"/>
              <w:rPr>
                <w:rFonts w:ascii="Arial" w:hAnsi="Arial" w:cs="Arial"/>
              </w:rPr>
            </w:pPr>
            <w:r w:rsidRPr="0070078A">
              <w:rPr>
                <w:rFonts w:ascii="Arial" w:hAnsi="Arial" w:cs="Arial"/>
              </w:rPr>
              <w:t>.703</w:t>
            </w:r>
          </w:p>
        </w:tc>
      </w:tr>
      <w:tr w:rsidR="003D4A00" w:rsidRPr="0070078A" w:rsidTr="00DE6C73">
        <w:trPr>
          <w:trHeight w:val="315"/>
        </w:trPr>
        <w:tc>
          <w:tcPr>
            <w:tcW w:w="4050" w:type="dxa"/>
            <w:shd w:val="clear" w:color="auto" w:fill="auto"/>
            <w:noWrap/>
            <w:vAlign w:val="center"/>
            <w:hideMark/>
          </w:tcPr>
          <w:p w:rsidR="003D4A00" w:rsidRPr="0070078A" w:rsidRDefault="003D4A00" w:rsidP="00DE6C73">
            <w:pPr>
              <w:jc w:val="both"/>
              <w:rPr>
                <w:rFonts w:ascii="Arial" w:hAnsi="Arial" w:cs="Arial"/>
                <w:b/>
                <w:bCs/>
              </w:rPr>
            </w:pPr>
            <w:r w:rsidRPr="0070078A">
              <w:rPr>
                <w:rFonts w:ascii="Arial" w:hAnsi="Arial" w:cs="Arial"/>
                <w:b/>
                <w:bCs/>
              </w:rPr>
              <w:t>Hypertension status</w:t>
            </w:r>
          </w:p>
        </w:tc>
        <w:tc>
          <w:tcPr>
            <w:tcW w:w="1800" w:type="dxa"/>
            <w:shd w:val="clear" w:color="auto" w:fill="auto"/>
            <w:noWrap/>
            <w:vAlign w:val="bottom"/>
            <w:hideMark/>
          </w:tcPr>
          <w:p w:rsidR="003D4A00" w:rsidRPr="0070078A" w:rsidRDefault="003D4A00" w:rsidP="00DE6C73">
            <w:pPr>
              <w:jc w:val="both"/>
              <w:rPr>
                <w:rFonts w:ascii="Arial" w:hAnsi="Arial" w:cs="Arial"/>
              </w:rPr>
            </w:pPr>
          </w:p>
        </w:tc>
        <w:tc>
          <w:tcPr>
            <w:tcW w:w="990" w:type="dxa"/>
            <w:shd w:val="clear" w:color="auto" w:fill="auto"/>
            <w:noWrap/>
            <w:vAlign w:val="bottom"/>
            <w:hideMark/>
          </w:tcPr>
          <w:p w:rsidR="003D4A00" w:rsidRPr="0070078A" w:rsidRDefault="003D4A00" w:rsidP="00DE6C73">
            <w:pPr>
              <w:jc w:val="both"/>
              <w:rPr>
                <w:rFonts w:ascii="Arial" w:hAnsi="Arial" w:cs="Arial"/>
              </w:rPr>
            </w:pPr>
          </w:p>
        </w:tc>
        <w:tc>
          <w:tcPr>
            <w:tcW w:w="1800" w:type="dxa"/>
            <w:shd w:val="clear" w:color="auto" w:fill="auto"/>
            <w:noWrap/>
            <w:vAlign w:val="bottom"/>
            <w:hideMark/>
          </w:tcPr>
          <w:p w:rsidR="003D4A00" w:rsidRPr="0070078A" w:rsidRDefault="003D4A00" w:rsidP="00DE6C73">
            <w:pPr>
              <w:jc w:val="both"/>
              <w:rPr>
                <w:rFonts w:ascii="Arial" w:hAnsi="Arial" w:cs="Arial"/>
              </w:rPr>
            </w:pPr>
          </w:p>
        </w:tc>
        <w:tc>
          <w:tcPr>
            <w:tcW w:w="990" w:type="dxa"/>
            <w:shd w:val="clear" w:color="auto" w:fill="auto"/>
            <w:noWrap/>
            <w:vAlign w:val="bottom"/>
            <w:hideMark/>
          </w:tcPr>
          <w:p w:rsidR="003D4A00" w:rsidRPr="0070078A" w:rsidRDefault="003D4A00" w:rsidP="00DE6C73">
            <w:pPr>
              <w:jc w:val="both"/>
              <w:rPr>
                <w:rFonts w:ascii="Arial" w:hAnsi="Arial" w:cs="Arial"/>
              </w:rPr>
            </w:pPr>
          </w:p>
        </w:tc>
      </w:tr>
      <w:tr w:rsidR="003D4A00" w:rsidRPr="0070078A" w:rsidTr="00DE6C73">
        <w:trPr>
          <w:trHeight w:val="315"/>
        </w:trPr>
        <w:tc>
          <w:tcPr>
            <w:tcW w:w="4050" w:type="dxa"/>
            <w:shd w:val="clear" w:color="auto" w:fill="auto"/>
            <w:noWrap/>
            <w:vAlign w:val="center"/>
            <w:hideMark/>
          </w:tcPr>
          <w:p w:rsidR="003D4A00" w:rsidRPr="0070078A" w:rsidRDefault="003D4A00" w:rsidP="00DE6C73">
            <w:pPr>
              <w:jc w:val="both"/>
              <w:rPr>
                <w:rFonts w:ascii="Arial" w:hAnsi="Arial" w:cs="Arial"/>
              </w:rPr>
            </w:pPr>
            <w:r w:rsidRPr="0070078A">
              <w:rPr>
                <w:rFonts w:ascii="Arial" w:hAnsi="Arial" w:cs="Arial"/>
              </w:rPr>
              <w:t>Yes</w:t>
            </w:r>
          </w:p>
        </w:tc>
        <w:tc>
          <w:tcPr>
            <w:tcW w:w="1800" w:type="dxa"/>
            <w:shd w:val="clear" w:color="auto" w:fill="auto"/>
            <w:noWrap/>
            <w:vAlign w:val="bottom"/>
            <w:hideMark/>
          </w:tcPr>
          <w:p w:rsidR="003D4A00" w:rsidRPr="0070078A" w:rsidRDefault="003D4A00" w:rsidP="00DE6C73">
            <w:pPr>
              <w:jc w:val="both"/>
              <w:rPr>
                <w:rFonts w:ascii="Arial" w:hAnsi="Arial" w:cs="Arial"/>
              </w:rPr>
            </w:pPr>
            <w:r w:rsidRPr="0070078A">
              <w:rPr>
                <w:rFonts w:ascii="Arial" w:hAnsi="Arial" w:cs="Arial"/>
              </w:rPr>
              <w:t>Ref</w:t>
            </w:r>
          </w:p>
        </w:tc>
        <w:tc>
          <w:tcPr>
            <w:tcW w:w="990" w:type="dxa"/>
            <w:shd w:val="clear" w:color="auto" w:fill="auto"/>
            <w:noWrap/>
            <w:vAlign w:val="bottom"/>
            <w:hideMark/>
          </w:tcPr>
          <w:p w:rsidR="003D4A00" w:rsidRPr="0070078A" w:rsidRDefault="003D4A00" w:rsidP="00DE6C73">
            <w:pPr>
              <w:jc w:val="both"/>
              <w:rPr>
                <w:rFonts w:ascii="Arial" w:hAnsi="Arial" w:cs="Arial"/>
              </w:rPr>
            </w:pPr>
          </w:p>
        </w:tc>
        <w:tc>
          <w:tcPr>
            <w:tcW w:w="1800" w:type="dxa"/>
            <w:shd w:val="clear" w:color="auto" w:fill="auto"/>
            <w:noWrap/>
            <w:vAlign w:val="bottom"/>
            <w:hideMark/>
          </w:tcPr>
          <w:p w:rsidR="003D4A00" w:rsidRPr="0070078A" w:rsidRDefault="003D4A00" w:rsidP="00DE6C73">
            <w:pPr>
              <w:jc w:val="both"/>
              <w:rPr>
                <w:rFonts w:ascii="Arial" w:hAnsi="Arial" w:cs="Arial"/>
              </w:rPr>
            </w:pPr>
            <w:r w:rsidRPr="0070078A">
              <w:rPr>
                <w:rFonts w:ascii="Arial" w:hAnsi="Arial" w:cs="Arial"/>
              </w:rPr>
              <w:t>Ref</w:t>
            </w:r>
          </w:p>
        </w:tc>
        <w:tc>
          <w:tcPr>
            <w:tcW w:w="990" w:type="dxa"/>
            <w:shd w:val="clear" w:color="auto" w:fill="auto"/>
            <w:noWrap/>
            <w:vAlign w:val="bottom"/>
            <w:hideMark/>
          </w:tcPr>
          <w:p w:rsidR="003D4A00" w:rsidRPr="0070078A" w:rsidRDefault="003D4A00" w:rsidP="00DE6C73">
            <w:pPr>
              <w:jc w:val="both"/>
              <w:rPr>
                <w:rFonts w:ascii="Arial" w:hAnsi="Arial" w:cs="Arial"/>
              </w:rPr>
            </w:pPr>
          </w:p>
        </w:tc>
      </w:tr>
      <w:tr w:rsidR="003D4A00" w:rsidRPr="0070078A" w:rsidTr="00DE6C73">
        <w:trPr>
          <w:trHeight w:val="315"/>
        </w:trPr>
        <w:tc>
          <w:tcPr>
            <w:tcW w:w="4050" w:type="dxa"/>
            <w:shd w:val="clear" w:color="auto" w:fill="auto"/>
            <w:noWrap/>
            <w:vAlign w:val="center"/>
            <w:hideMark/>
          </w:tcPr>
          <w:p w:rsidR="003D4A00" w:rsidRPr="0070078A" w:rsidRDefault="003D4A00" w:rsidP="00DE6C73">
            <w:pPr>
              <w:jc w:val="both"/>
              <w:rPr>
                <w:rFonts w:ascii="Arial" w:hAnsi="Arial" w:cs="Arial"/>
              </w:rPr>
            </w:pPr>
            <w:r w:rsidRPr="0070078A">
              <w:rPr>
                <w:rFonts w:ascii="Arial" w:hAnsi="Arial" w:cs="Arial"/>
              </w:rPr>
              <w:t>No</w:t>
            </w:r>
          </w:p>
        </w:tc>
        <w:tc>
          <w:tcPr>
            <w:tcW w:w="1800" w:type="dxa"/>
            <w:shd w:val="clear" w:color="auto" w:fill="auto"/>
            <w:noWrap/>
            <w:vAlign w:val="bottom"/>
            <w:hideMark/>
          </w:tcPr>
          <w:p w:rsidR="003D4A00" w:rsidRPr="0070078A" w:rsidRDefault="003D4A00" w:rsidP="00DE6C73">
            <w:pPr>
              <w:jc w:val="both"/>
              <w:rPr>
                <w:rFonts w:ascii="Arial" w:hAnsi="Arial" w:cs="Arial"/>
              </w:rPr>
            </w:pPr>
            <w:r w:rsidRPr="0070078A">
              <w:rPr>
                <w:rFonts w:ascii="Arial" w:hAnsi="Arial" w:cs="Arial"/>
              </w:rPr>
              <w:t>1.07(0.69-1.64)</w:t>
            </w:r>
          </w:p>
        </w:tc>
        <w:tc>
          <w:tcPr>
            <w:tcW w:w="990" w:type="dxa"/>
            <w:shd w:val="clear" w:color="auto" w:fill="auto"/>
            <w:noWrap/>
            <w:vAlign w:val="bottom"/>
            <w:hideMark/>
          </w:tcPr>
          <w:p w:rsidR="003D4A00" w:rsidRPr="0070078A" w:rsidRDefault="003D4A00" w:rsidP="00DE6C73">
            <w:pPr>
              <w:jc w:val="both"/>
              <w:rPr>
                <w:rFonts w:ascii="Arial" w:hAnsi="Arial" w:cs="Arial"/>
              </w:rPr>
            </w:pPr>
            <w:r w:rsidRPr="0070078A">
              <w:rPr>
                <w:rFonts w:ascii="Arial" w:hAnsi="Arial" w:cs="Arial"/>
              </w:rPr>
              <w:t>.772</w:t>
            </w:r>
          </w:p>
        </w:tc>
        <w:tc>
          <w:tcPr>
            <w:tcW w:w="1800" w:type="dxa"/>
            <w:shd w:val="clear" w:color="auto" w:fill="auto"/>
            <w:noWrap/>
            <w:vAlign w:val="bottom"/>
            <w:hideMark/>
          </w:tcPr>
          <w:p w:rsidR="003D4A00" w:rsidRPr="0070078A" w:rsidRDefault="003D4A00" w:rsidP="00DE6C73">
            <w:pPr>
              <w:jc w:val="both"/>
              <w:rPr>
                <w:rFonts w:ascii="Arial" w:hAnsi="Arial" w:cs="Arial"/>
              </w:rPr>
            </w:pPr>
            <w:r w:rsidRPr="0070078A">
              <w:rPr>
                <w:rFonts w:ascii="Arial" w:hAnsi="Arial" w:cs="Arial"/>
              </w:rPr>
              <w:t>1.07(0.69-1.67)</w:t>
            </w:r>
          </w:p>
        </w:tc>
        <w:tc>
          <w:tcPr>
            <w:tcW w:w="990" w:type="dxa"/>
            <w:shd w:val="clear" w:color="auto" w:fill="auto"/>
            <w:noWrap/>
            <w:vAlign w:val="bottom"/>
            <w:hideMark/>
          </w:tcPr>
          <w:p w:rsidR="003D4A00" w:rsidRPr="0070078A" w:rsidRDefault="003D4A00" w:rsidP="00DE6C73">
            <w:pPr>
              <w:jc w:val="both"/>
              <w:rPr>
                <w:rFonts w:ascii="Arial" w:hAnsi="Arial" w:cs="Arial"/>
              </w:rPr>
            </w:pPr>
            <w:r w:rsidRPr="0070078A">
              <w:rPr>
                <w:rFonts w:ascii="Arial" w:hAnsi="Arial" w:cs="Arial"/>
              </w:rPr>
              <w:t>.748</w:t>
            </w:r>
          </w:p>
        </w:tc>
      </w:tr>
      <w:tr w:rsidR="003D4A00" w:rsidRPr="0070078A" w:rsidTr="00DE6C73">
        <w:trPr>
          <w:trHeight w:val="315"/>
        </w:trPr>
        <w:tc>
          <w:tcPr>
            <w:tcW w:w="4050" w:type="dxa"/>
            <w:shd w:val="clear" w:color="auto" w:fill="auto"/>
            <w:noWrap/>
            <w:vAlign w:val="center"/>
            <w:hideMark/>
          </w:tcPr>
          <w:p w:rsidR="003D4A00" w:rsidRPr="0070078A" w:rsidRDefault="003D4A00" w:rsidP="00DE6C73">
            <w:pPr>
              <w:jc w:val="both"/>
              <w:rPr>
                <w:rFonts w:ascii="Arial" w:hAnsi="Arial" w:cs="Arial"/>
                <w:b/>
                <w:bCs/>
              </w:rPr>
            </w:pPr>
            <w:r w:rsidRPr="0070078A">
              <w:rPr>
                <w:rFonts w:ascii="Arial" w:hAnsi="Arial" w:cs="Arial"/>
                <w:b/>
                <w:bCs/>
              </w:rPr>
              <w:t>Baseline VA</w:t>
            </w:r>
          </w:p>
        </w:tc>
        <w:tc>
          <w:tcPr>
            <w:tcW w:w="1800" w:type="dxa"/>
            <w:shd w:val="clear" w:color="auto" w:fill="auto"/>
            <w:noWrap/>
            <w:vAlign w:val="bottom"/>
            <w:hideMark/>
          </w:tcPr>
          <w:p w:rsidR="003D4A00" w:rsidRPr="0070078A" w:rsidRDefault="003D4A00" w:rsidP="00DE6C73">
            <w:pPr>
              <w:jc w:val="both"/>
              <w:rPr>
                <w:rFonts w:ascii="Arial" w:hAnsi="Arial" w:cs="Arial"/>
              </w:rPr>
            </w:pPr>
          </w:p>
        </w:tc>
        <w:tc>
          <w:tcPr>
            <w:tcW w:w="990" w:type="dxa"/>
            <w:shd w:val="clear" w:color="auto" w:fill="auto"/>
            <w:noWrap/>
            <w:vAlign w:val="bottom"/>
            <w:hideMark/>
          </w:tcPr>
          <w:p w:rsidR="003D4A00" w:rsidRPr="0070078A" w:rsidRDefault="003D4A00" w:rsidP="00DE6C73">
            <w:pPr>
              <w:jc w:val="both"/>
              <w:rPr>
                <w:rFonts w:ascii="Arial" w:hAnsi="Arial" w:cs="Arial"/>
              </w:rPr>
            </w:pPr>
          </w:p>
        </w:tc>
        <w:tc>
          <w:tcPr>
            <w:tcW w:w="1800" w:type="dxa"/>
            <w:shd w:val="clear" w:color="auto" w:fill="auto"/>
            <w:noWrap/>
            <w:vAlign w:val="bottom"/>
            <w:hideMark/>
          </w:tcPr>
          <w:p w:rsidR="003D4A00" w:rsidRPr="0070078A" w:rsidRDefault="003D4A00" w:rsidP="00DE6C73">
            <w:pPr>
              <w:jc w:val="both"/>
              <w:rPr>
                <w:rFonts w:ascii="Arial" w:hAnsi="Arial" w:cs="Arial"/>
              </w:rPr>
            </w:pPr>
          </w:p>
        </w:tc>
        <w:tc>
          <w:tcPr>
            <w:tcW w:w="990" w:type="dxa"/>
            <w:shd w:val="clear" w:color="auto" w:fill="auto"/>
            <w:noWrap/>
            <w:vAlign w:val="bottom"/>
            <w:hideMark/>
          </w:tcPr>
          <w:p w:rsidR="003D4A00" w:rsidRPr="0070078A" w:rsidRDefault="003D4A00" w:rsidP="00DE6C73">
            <w:pPr>
              <w:jc w:val="both"/>
              <w:rPr>
                <w:rFonts w:ascii="Arial" w:hAnsi="Arial" w:cs="Arial"/>
              </w:rPr>
            </w:pPr>
          </w:p>
        </w:tc>
      </w:tr>
      <w:tr w:rsidR="003D4A00" w:rsidRPr="0070078A" w:rsidTr="00DE6C73">
        <w:trPr>
          <w:trHeight w:val="315"/>
        </w:trPr>
        <w:tc>
          <w:tcPr>
            <w:tcW w:w="4050" w:type="dxa"/>
            <w:shd w:val="clear" w:color="auto" w:fill="auto"/>
            <w:noWrap/>
            <w:vAlign w:val="center"/>
            <w:hideMark/>
          </w:tcPr>
          <w:p w:rsidR="003D4A00" w:rsidRPr="0070078A" w:rsidRDefault="003D4A00" w:rsidP="00DE6C73">
            <w:pPr>
              <w:jc w:val="both"/>
              <w:rPr>
                <w:rFonts w:ascii="Arial" w:hAnsi="Arial" w:cs="Arial"/>
              </w:rPr>
            </w:pPr>
            <w:r w:rsidRPr="0070078A">
              <w:rPr>
                <w:rFonts w:ascii="Arial" w:hAnsi="Arial" w:cs="Arial"/>
              </w:rPr>
              <w:t>Poor</w:t>
            </w:r>
          </w:p>
        </w:tc>
        <w:tc>
          <w:tcPr>
            <w:tcW w:w="1800" w:type="dxa"/>
            <w:shd w:val="clear" w:color="auto" w:fill="auto"/>
            <w:noWrap/>
            <w:vAlign w:val="bottom"/>
            <w:hideMark/>
          </w:tcPr>
          <w:p w:rsidR="003D4A00" w:rsidRPr="0070078A" w:rsidRDefault="003D4A00" w:rsidP="00DE6C73">
            <w:pPr>
              <w:jc w:val="both"/>
              <w:rPr>
                <w:rFonts w:ascii="Arial" w:hAnsi="Arial" w:cs="Arial"/>
              </w:rPr>
            </w:pPr>
            <w:r w:rsidRPr="0070078A">
              <w:rPr>
                <w:rFonts w:ascii="Arial" w:hAnsi="Arial" w:cs="Arial"/>
              </w:rPr>
              <w:t>Ref</w:t>
            </w:r>
          </w:p>
        </w:tc>
        <w:tc>
          <w:tcPr>
            <w:tcW w:w="990" w:type="dxa"/>
            <w:shd w:val="clear" w:color="auto" w:fill="auto"/>
            <w:noWrap/>
            <w:vAlign w:val="bottom"/>
            <w:hideMark/>
          </w:tcPr>
          <w:p w:rsidR="003D4A00" w:rsidRPr="0070078A" w:rsidRDefault="003D4A00" w:rsidP="00DE6C73">
            <w:pPr>
              <w:jc w:val="both"/>
              <w:rPr>
                <w:rFonts w:ascii="Arial" w:hAnsi="Arial" w:cs="Arial"/>
              </w:rPr>
            </w:pPr>
          </w:p>
        </w:tc>
        <w:tc>
          <w:tcPr>
            <w:tcW w:w="1800" w:type="dxa"/>
            <w:shd w:val="clear" w:color="auto" w:fill="auto"/>
            <w:noWrap/>
            <w:vAlign w:val="bottom"/>
            <w:hideMark/>
          </w:tcPr>
          <w:p w:rsidR="003D4A00" w:rsidRPr="0070078A" w:rsidRDefault="003D4A00" w:rsidP="00DE6C73">
            <w:pPr>
              <w:jc w:val="both"/>
              <w:rPr>
                <w:rFonts w:ascii="Arial" w:hAnsi="Arial" w:cs="Arial"/>
              </w:rPr>
            </w:pPr>
            <w:r w:rsidRPr="0070078A">
              <w:rPr>
                <w:rFonts w:ascii="Arial" w:hAnsi="Arial" w:cs="Arial"/>
              </w:rPr>
              <w:t>Ref</w:t>
            </w:r>
          </w:p>
        </w:tc>
        <w:tc>
          <w:tcPr>
            <w:tcW w:w="990" w:type="dxa"/>
            <w:shd w:val="clear" w:color="auto" w:fill="auto"/>
            <w:noWrap/>
            <w:vAlign w:val="bottom"/>
            <w:hideMark/>
          </w:tcPr>
          <w:p w:rsidR="003D4A00" w:rsidRPr="0070078A" w:rsidRDefault="003D4A00" w:rsidP="00DE6C73">
            <w:pPr>
              <w:jc w:val="both"/>
              <w:rPr>
                <w:rFonts w:ascii="Arial" w:hAnsi="Arial" w:cs="Arial"/>
              </w:rPr>
            </w:pPr>
          </w:p>
        </w:tc>
      </w:tr>
      <w:tr w:rsidR="003D4A00" w:rsidRPr="0070078A" w:rsidTr="00DE6C73">
        <w:trPr>
          <w:trHeight w:val="315"/>
        </w:trPr>
        <w:tc>
          <w:tcPr>
            <w:tcW w:w="4050" w:type="dxa"/>
            <w:shd w:val="clear" w:color="auto" w:fill="auto"/>
            <w:noWrap/>
            <w:vAlign w:val="center"/>
            <w:hideMark/>
          </w:tcPr>
          <w:p w:rsidR="003D4A00" w:rsidRPr="0070078A" w:rsidRDefault="003D4A00" w:rsidP="00DE6C73">
            <w:pPr>
              <w:jc w:val="both"/>
              <w:rPr>
                <w:rFonts w:ascii="Arial" w:hAnsi="Arial" w:cs="Arial"/>
              </w:rPr>
            </w:pPr>
            <w:r w:rsidRPr="0070078A">
              <w:rPr>
                <w:rFonts w:ascii="Arial" w:hAnsi="Arial" w:cs="Arial"/>
              </w:rPr>
              <w:t>Good</w:t>
            </w:r>
          </w:p>
        </w:tc>
        <w:tc>
          <w:tcPr>
            <w:tcW w:w="1800" w:type="dxa"/>
            <w:shd w:val="clear" w:color="auto" w:fill="auto"/>
            <w:noWrap/>
            <w:vAlign w:val="bottom"/>
            <w:hideMark/>
          </w:tcPr>
          <w:p w:rsidR="003D4A00" w:rsidRPr="0070078A" w:rsidRDefault="003D4A00" w:rsidP="00DE6C73">
            <w:pPr>
              <w:jc w:val="both"/>
              <w:rPr>
                <w:rFonts w:ascii="Arial" w:hAnsi="Arial" w:cs="Arial"/>
              </w:rPr>
            </w:pPr>
            <w:r w:rsidRPr="0070078A">
              <w:rPr>
                <w:rFonts w:ascii="Arial" w:hAnsi="Arial" w:cs="Arial"/>
              </w:rPr>
              <w:t>2.44(1.71-3.50)</w:t>
            </w:r>
          </w:p>
        </w:tc>
        <w:tc>
          <w:tcPr>
            <w:tcW w:w="990" w:type="dxa"/>
            <w:shd w:val="clear" w:color="auto" w:fill="auto"/>
            <w:noWrap/>
            <w:vAlign w:val="bottom"/>
            <w:hideMark/>
          </w:tcPr>
          <w:p w:rsidR="003D4A00" w:rsidRPr="0070078A" w:rsidRDefault="003D4A00" w:rsidP="00DE6C73">
            <w:pPr>
              <w:jc w:val="both"/>
              <w:rPr>
                <w:rFonts w:ascii="Arial" w:hAnsi="Arial" w:cs="Arial"/>
              </w:rPr>
            </w:pPr>
            <w:r w:rsidRPr="0070078A">
              <w:rPr>
                <w:rFonts w:ascii="Arial" w:hAnsi="Arial" w:cs="Arial"/>
              </w:rPr>
              <w:t>&lt;.001</w:t>
            </w:r>
          </w:p>
        </w:tc>
        <w:tc>
          <w:tcPr>
            <w:tcW w:w="1800" w:type="dxa"/>
            <w:shd w:val="clear" w:color="auto" w:fill="auto"/>
            <w:noWrap/>
            <w:vAlign w:val="bottom"/>
            <w:hideMark/>
          </w:tcPr>
          <w:p w:rsidR="003D4A00" w:rsidRPr="0070078A" w:rsidRDefault="003D4A00" w:rsidP="00DE6C73">
            <w:pPr>
              <w:jc w:val="both"/>
              <w:rPr>
                <w:rFonts w:ascii="Arial" w:hAnsi="Arial" w:cs="Arial"/>
              </w:rPr>
            </w:pPr>
            <w:r w:rsidRPr="0070078A">
              <w:rPr>
                <w:rFonts w:ascii="Arial" w:hAnsi="Arial" w:cs="Arial"/>
              </w:rPr>
              <w:t>2.20(1.50-3.22)</w:t>
            </w:r>
          </w:p>
        </w:tc>
        <w:tc>
          <w:tcPr>
            <w:tcW w:w="990" w:type="dxa"/>
            <w:shd w:val="clear" w:color="auto" w:fill="auto"/>
            <w:noWrap/>
            <w:vAlign w:val="bottom"/>
            <w:hideMark/>
          </w:tcPr>
          <w:p w:rsidR="003D4A00" w:rsidRPr="0070078A" w:rsidRDefault="003D4A00" w:rsidP="00DE6C73">
            <w:pPr>
              <w:jc w:val="both"/>
              <w:rPr>
                <w:rFonts w:ascii="Arial" w:hAnsi="Arial" w:cs="Arial"/>
              </w:rPr>
            </w:pPr>
            <w:r w:rsidRPr="0070078A">
              <w:rPr>
                <w:rFonts w:ascii="Arial" w:hAnsi="Arial" w:cs="Arial"/>
              </w:rPr>
              <w:t>&lt;.001</w:t>
            </w:r>
          </w:p>
        </w:tc>
      </w:tr>
      <w:tr w:rsidR="003D4A00" w:rsidRPr="0070078A" w:rsidTr="00DE6C73">
        <w:trPr>
          <w:trHeight w:val="315"/>
        </w:trPr>
        <w:tc>
          <w:tcPr>
            <w:tcW w:w="4050" w:type="dxa"/>
            <w:shd w:val="clear" w:color="auto" w:fill="auto"/>
            <w:noWrap/>
            <w:vAlign w:val="center"/>
            <w:hideMark/>
          </w:tcPr>
          <w:p w:rsidR="003D4A00" w:rsidRPr="0070078A" w:rsidRDefault="003D4A00" w:rsidP="00DE6C73">
            <w:pPr>
              <w:jc w:val="both"/>
              <w:rPr>
                <w:rFonts w:ascii="Arial" w:hAnsi="Arial" w:cs="Arial"/>
                <w:b/>
                <w:bCs/>
              </w:rPr>
            </w:pPr>
          </w:p>
          <w:p w:rsidR="003D4A00" w:rsidRPr="0070078A" w:rsidRDefault="003D4A00" w:rsidP="00DE6C73">
            <w:pPr>
              <w:jc w:val="both"/>
              <w:rPr>
                <w:rFonts w:ascii="Arial" w:hAnsi="Arial" w:cs="Arial"/>
                <w:b/>
                <w:bCs/>
              </w:rPr>
            </w:pPr>
            <w:r w:rsidRPr="0070078A">
              <w:rPr>
                <w:rFonts w:ascii="Arial" w:hAnsi="Arial" w:cs="Arial"/>
                <w:b/>
                <w:bCs/>
              </w:rPr>
              <w:t>IOP at Baseline</w:t>
            </w:r>
          </w:p>
        </w:tc>
        <w:tc>
          <w:tcPr>
            <w:tcW w:w="1800" w:type="dxa"/>
            <w:shd w:val="clear" w:color="auto" w:fill="auto"/>
            <w:noWrap/>
            <w:vAlign w:val="bottom"/>
            <w:hideMark/>
          </w:tcPr>
          <w:p w:rsidR="003D4A00" w:rsidRPr="0070078A" w:rsidRDefault="003D4A00" w:rsidP="00DE6C73">
            <w:pPr>
              <w:jc w:val="both"/>
              <w:rPr>
                <w:rFonts w:ascii="Arial" w:hAnsi="Arial" w:cs="Arial"/>
              </w:rPr>
            </w:pPr>
            <w:r w:rsidRPr="0070078A">
              <w:rPr>
                <w:rFonts w:ascii="Arial" w:hAnsi="Arial" w:cs="Arial"/>
              </w:rPr>
              <w:t>1.05(0.99-1.11)</w:t>
            </w:r>
          </w:p>
        </w:tc>
        <w:tc>
          <w:tcPr>
            <w:tcW w:w="990" w:type="dxa"/>
            <w:shd w:val="clear" w:color="auto" w:fill="auto"/>
            <w:noWrap/>
            <w:vAlign w:val="bottom"/>
            <w:hideMark/>
          </w:tcPr>
          <w:p w:rsidR="003D4A00" w:rsidRPr="0070078A" w:rsidRDefault="003D4A00" w:rsidP="00DE6C73">
            <w:pPr>
              <w:jc w:val="both"/>
              <w:rPr>
                <w:rFonts w:ascii="Arial" w:hAnsi="Arial" w:cs="Arial"/>
              </w:rPr>
            </w:pPr>
            <w:r w:rsidRPr="0070078A">
              <w:rPr>
                <w:rFonts w:ascii="Arial" w:hAnsi="Arial" w:cs="Arial"/>
              </w:rPr>
              <w:t>.057</w:t>
            </w:r>
          </w:p>
        </w:tc>
        <w:tc>
          <w:tcPr>
            <w:tcW w:w="1800" w:type="dxa"/>
            <w:shd w:val="clear" w:color="auto" w:fill="auto"/>
            <w:noWrap/>
            <w:vAlign w:val="bottom"/>
            <w:hideMark/>
          </w:tcPr>
          <w:p w:rsidR="003D4A00" w:rsidRPr="0070078A" w:rsidRDefault="003D4A00" w:rsidP="00DE6C73">
            <w:pPr>
              <w:jc w:val="both"/>
              <w:rPr>
                <w:rFonts w:ascii="Arial" w:hAnsi="Arial" w:cs="Arial"/>
              </w:rPr>
            </w:pPr>
          </w:p>
        </w:tc>
        <w:tc>
          <w:tcPr>
            <w:tcW w:w="990" w:type="dxa"/>
            <w:shd w:val="clear" w:color="auto" w:fill="auto"/>
            <w:noWrap/>
            <w:vAlign w:val="bottom"/>
            <w:hideMark/>
          </w:tcPr>
          <w:p w:rsidR="003D4A00" w:rsidRPr="0070078A" w:rsidRDefault="003D4A00" w:rsidP="00DE6C73">
            <w:pPr>
              <w:jc w:val="both"/>
              <w:rPr>
                <w:rFonts w:ascii="Arial" w:hAnsi="Arial" w:cs="Arial"/>
              </w:rPr>
            </w:pPr>
          </w:p>
        </w:tc>
      </w:tr>
      <w:tr w:rsidR="003D4A00" w:rsidRPr="0070078A" w:rsidTr="00DE6C73">
        <w:trPr>
          <w:trHeight w:val="315"/>
        </w:trPr>
        <w:tc>
          <w:tcPr>
            <w:tcW w:w="4050" w:type="dxa"/>
            <w:shd w:val="clear" w:color="auto" w:fill="auto"/>
            <w:noWrap/>
            <w:vAlign w:val="center"/>
            <w:hideMark/>
          </w:tcPr>
          <w:p w:rsidR="003D4A00" w:rsidRPr="0070078A" w:rsidRDefault="003D4A00" w:rsidP="00DE6C73">
            <w:pPr>
              <w:jc w:val="both"/>
              <w:rPr>
                <w:rFonts w:ascii="Arial" w:hAnsi="Arial" w:cs="Arial"/>
                <w:b/>
                <w:bCs/>
              </w:rPr>
            </w:pPr>
          </w:p>
          <w:p w:rsidR="003D4A00" w:rsidRPr="0070078A" w:rsidRDefault="003D4A00" w:rsidP="00DE6C73">
            <w:pPr>
              <w:jc w:val="both"/>
              <w:rPr>
                <w:rFonts w:ascii="Arial" w:hAnsi="Arial" w:cs="Arial"/>
                <w:b/>
                <w:bCs/>
              </w:rPr>
            </w:pPr>
            <w:r w:rsidRPr="0070078A">
              <w:rPr>
                <w:rFonts w:ascii="Arial" w:hAnsi="Arial" w:cs="Arial"/>
                <w:b/>
                <w:bCs/>
              </w:rPr>
              <w:t>Number of IVB given during treatment period</w:t>
            </w:r>
          </w:p>
        </w:tc>
        <w:tc>
          <w:tcPr>
            <w:tcW w:w="1800" w:type="dxa"/>
            <w:shd w:val="clear" w:color="auto" w:fill="auto"/>
            <w:noWrap/>
            <w:vAlign w:val="bottom"/>
            <w:hideMark/>
          </w:tcPr>
          <w:p w:rsidR="003D4A00" w:rsidRPr="0070078A" w:rsidRDefault="003D4A00" w:rsidP="00DE6C73">
            <w:pPr>
              <w:jc w:val="both"/>
              <w:rPr>
                <w:rFonts w:ascii="Arial" w:hAnsi="Arial" w:cs="Arial"/>
              </w:rPr>
            </w:pPr>
          </w:p>
        </w:tc>
        <w:tc>
          <w:tcPr>
            <w:tcW w:w="990" w:type="dxa"/>
            <w:shd w:val="clear" w:color="auto" w:fill="auto"/>
            <w:noWrap/>
            <w:vAlign w:val="bottom"/>
            <w:hideMark/>
          </w:tcPr>
          <w:p w:rsidR="003D4A00" w:rsidRPr="0070078A" w:rsidRDefault="003D4A00" w:rsidP="00DE6C73">
            <w:pPr>
              <w:jc w:val="both"/>
              <w:rPr>
                <w:rFonts w:ascii="Arial" w:hAnsi="Arial" w:cs="Arial"/>
              </w:rPr>
            </w:pPr>
          </w:p>
        </w:tc>
        <w:tc>
          <w:tcPr>
            <w:tcW w:w="1800" w:type="dxa"/>
            <w:shd w:val="clear" w:color="auto" w:fill="auto"/>
            <w:noWrap/>
            <w:vAlign w:val="bottom"/>
            <w:hideMark/>
          </w:tcPr>
          <w:p w:rsidR="003D4A00" w:rsidRPr="0070078A" w:rsidRDefault="003D4A00" w:rsidP="00DE6C73">
            <w:pPr>
              <w:jc w:val="both"/>
              <w:rPr>
                <w:rFonts w:ascii="Arial" w:hAnsi="Arial" w:cs="Arial"/>
              </w:rPr>
            </w:pPr>
          </w:p>
        </w:tc>
        <w:tc>
          <w:tcPr>
            <w:tcW w:w="990" w:type="dxa"/>
            <w:shd w:val="clear" w:color="auto" w:fill="auto"/>
            <w:noWrap/>
            <w:vAlign w:val="bottom"/>
            <w:hideMark/>
          </w:tcPr>
          <w:p w:rsidR="003D4A00" w:rsidRPr="0070078A" w:rsidRDefault="003D4A00" w:rsidP="00DE6C73">
            <w:pPr>
              <w:jc w:val="both"/>
              <w:rPr>
                <w:rFonts w:ascii="Arial" w:hAnsi="Arial" w:cs="Arial"/>
              </w:rPr>
            </w:pPr>
          </w:p>
        </w:tc>
      </w:tr>
      <w:tr w:rsidR="003D4A00" w:rsidRPr="0070078A" w:rsidTr="00DE6C73">
        <w:trPr>
          <w:trHeight w:val="315"/>
        </w:trPr>
        <w:tc>
          <w:tcPr>
            <w:tcW w:w="4050" w:type="dxa"/>
            <w:shd w:val="clear" w:color="auto" w:fill="auto"/>
            <w:noWrap/>
            <w:vAlign w:val="center"/>
            <w:hideMark/>
          </w:tcPr>
          <w:p w:rsidR="003D4A00" w:rsidRPr="0070078A" w:rsidRDefault="003D4A00" w:rsidP="00DE6C73">
            <w:pPr>
              <w:jc w:val="both"/>
              <w:rPr>
                <w:rFonts w:ascii="Arial" w:hAnsi="Arial" w:cs="Arial"/>
              </w:rPr>
            </w:pPr>
            <w:r w:rsidRPr="0070078A">
              <w:rPr>
                <w:rFonts w:ascii="Arial" w:hAnsi="Arial" w:cs="Arial"/>
              </w:rPr>
              <w:t>≤3</w:t>
            </w:r>
          </w:p>
        </w:tc>
        <w:tc>
          <w:tcPr>
            <w:tcW w:w="1800" w:type="dxa"/>
            <w:shd w:val="clear" w:color="auto" w:fill="auto"/>
            <w:noWrap/>
            <w:vAlign w:val="bottom"/>
            <w:hideMark/>
          </w:tcPr>
          <w:p w:rsidR="003D4A00" w:rsidRPr="0070078A" w:rsidRDefault="003D4A00" w:rsidP="00DE6C73">
            <w:pPr>
              <w:jc w:val="both"/>
              <w:rPr>
                <w:rFonts w:ascii="Arial" w:hAnsi="Arial" w:cs="Arial"/>
              </w:rPr>
            </w:pPr>
            <w:r w:rsidRPr="0070078A">
              <w:rPr>
                <w:rFonts w:ascii="Arial" w:hAnsi="Arial" w:cs="Arial"/>
              </w:rPr>
              <w:t>Ref</w:t>
            </w:r>
          </w:p>
        </w:tc>
        <w:tc>
          <w:tcPr>
            <w:tcW w:w="990" w:type="dxa"/>
            <w:shd w:val="clear" w:color="auto" w:fill="auto"/>
            <w:noWrap/>
            <w:vAlign w:val="bottom"/>
            <w:hideMark/>
          </w:tcPr>
          <w:p w:rsidR="003D4A00" w:rsidRPr="0070078A" w:rsidRDefault="003D4A00" w:rsidP="00DE6C73">
            <w:pPr>
              <w:jc w:val="both"/>
              <w:rPr>
                <w:rFonts w:ascii="Arial" w:hAnsi="Arial" w:cs="Arial"/>
              </w:rPr>
            </w:pPr>
          </w:p>
        </w:tc>
        <w:tc>
          <w:tcPr>
            <w:tcW w:w="1800" w:type="dxa"/>
            <w:shd w:val="clear" w:color="auto" w:fill="auto"/>
            <w:noWrap/>
            <w:vAlign w:val="bottom"/>
            <w:hideMark/>
          </w:tcPr>
          <w:p w:rsidR="003D4A00" w:rsidRPr="0070078A" w:rsidRDefault="003D4A00" w:rsidP="00DE6C73">
            <w:pPr>
              <w:jc w:val="both"/>
              <w:rPr>
                <w:rFonts w:ascii="Arial" w:hAnsi="Arial" w:cs="Arial"/>
              </w:rPr>
            </w:pPr>
            <w:r w:rsidRPr="0070078A">
              <w:rPr>
                <w:rFonts w:ascii="Arial" w:hAnsi="Arial" w:cs="Arial"/>
              </w:rPr>
              <w:t>Ref</w:t>
            </w:r>
          </w:p>
        </w:tc>
        <w:tc>
          <w:tcPr>
            <w:tcW w:w="990" w:type="dxa"/>
            <w:shd w:val="clear" w:color="auto" w:fill="auto"/>
            <w:noWrap/>
            <w:vAlign w:val="bottom"/>
            <w:hideMark/>
          </w:tcPr>
          <w:p w:rsidR="003D4A00" w:rsidRPr="0070078A" w:rsidRDefault="003D4A00" w:rsidP="00DE6C73">
            <w:pPr>
              <w:jc w:val="both"/>
              <w:rPr>
                <w:rFonts w:ascii="Arial" w:hAnsi="Arial" w:cs="Arial"/>
              </w:rPr>
            </w:pPr>
          </w:p>
        </w:tc>
      </w:tr>
      <w:tr w:rsidR="003D4A00" w:rsidRPr="0070078A" w:rsidTr="00DE6C73">
        <w:trPr>
          <w:trHeight w:val="315"/>
        </w:trPr>
        <w:tc>
          <w:tcPr>
            <w:tcW w:w="4050" w:type="dxa"/>
            <w:tcBorders>
              <w:bottom w:val="single" w:sz="12" w:space="0" w:color="auto"/>
            </w:tcBorders>
            <w:shd w:val="clear" w:color="auto" w:fill="auto"/>
            <w:noWrap/>
            <w:vAlign w:val="center"/>
            <w:hideMark/>
          </w:tcPr>
          <w:p w:rsidR="003D4A00" w:rsidRPr="0070078A" w:rsidRDefault="003D4A00" w:rsidP="00DE6C73">
            <w:pPr>
              <w:jc w:val="both"/>
              <w:rPr>
                <w:rFonts w:ascii="Arial" w:hAnsi="Arial" w:cs="Arial"/>
              </w:rPr>
            </w:pPr>
            <w:r w:rsidRPr="0070078A">
              <w:rPr>
                <w:rFonts w:ascii="Arial" w:hAnsi="Arial" w:cs="Arial"/>
              </w:rPr>
              <w:t>&gt;3</w:t>
            </w:r>
          </w:p>
        </w:tc>
        <w:tc>
          <w:tcPr>
            <w:tcW w:w="1800" w:type="dxa"/>
            <w:tcBorders>
              <w:bottom w:val="single" w:sz="12" w:space="0" w:color="auto"/>
            </w:tcBorders>
            <w:shd w:val="clear" w:color="auto" w:fill="auto"/>
            <w:noWrap/>
            <w:vAlign w:val="bottom"/>
            <w:hideMark/>
          </w:tcPr>
          <w:p w:rsidR="003D4A00" w:rsidRPr="0070078A" w:rsidRDefault="003D4A00" w:rsidP="00DE6C73">
            <w:pPr>
              <w:jc w:val="both"/>
              <w:rPr>
                <w:rFonts w:ascii="Arial" w:hAnsi="Arial" w:cs="Arial"/>
              </w:rPr>
            </w:pPr>
            <w:r w:rsidRPr="0070078A">
              <w:rPr>
                <w:rFonts w:ascii="Arial" w:hAnsi="Arial" w:cs="Arial"/>
              </w:rPr>
              <w:t>0.94(0.67-1.33)</w:t>
            </w:r>
          </w:p>
        </w:tc>
        <w:tc>
          <w:tcPr>
            <w:tcW w:w="990" w:type="dxa"/>
            <w:tcBorders>
              <w:bottom w:val="single" w:sz="12" w:space="0" w:color="auto"/>
            </w:tcBorders>
            <w:shd w:val="clear" w:color="auto" w:fill="auto"/>
            <w:noWrap/>
            <w:vAlign w:val="bottom"/>
            <w:hideMark/>
          </w:tcPr>
          <w:p w:rsidR="003D4A00" w:rsidRPr="0070078A" w:rsidRDefault="003D4A00" w:rsidP="00DE6C73">
            <w:pPr>
              <w:jc w:val="both"/>
              <w:rPr>
                <w:rFonts w:ascii="Arial" w:hAnsi="Arial" w:cs="Arial"/>
              </w:rPr>
            </w:pPr>
            <w:r w:rsidRPr="0070078A">
              <w:rPr>
                <w:rFonts w:ascii="Arial" w:hAnsi="Arial" w:cs="Arial"/>
              </w:rPr>
              <w:t>.729</w:t>
            </w:r>
          </w:p>
        </w:tc>
        <w:tc>
          <w:tcPr>
            <w:tcW w:w="1800" w:type="dxa"/>
            <w:tcBorders>
              <w:bottom w:val="single" w:sz="12" w:space="0" w:color="auto"/>
            </w:tcBorders>
            <w:shd w:val="clear" w:color="auto" w:fill="auto"/>
            <w:noWrap/>
            <w:vAlign w:val="bottom"/>
            <w:hideMark/>
          </w:tcPr>
          <w:p w:rsidR="003D4A00" w:rsidRPr="0070078A" w:rsidRDefault="003D4A00" w:rsidP="00DE6C73">
            <w:pPr>
              <w:jc w:val="both"/>
              <w:rPr>
                <w:rFonts w:ascii="Arial" w:hAnsi="Arial" w:cs="Arial"/>
              </w:rPr>
            </w:pPr>
            <w:r w:rsidRPr="0070078A">
              <w:rPr>
                <w:rFonts w:ascii="Arial" w:hAnsi="Arial" w:cs="Arial"/>
              </w:rPr>
              <w:t>1.16(0.80-1.67)</w:t>
            </w:r>
          </w:p>
        </w:tc>
        <w:tc>
          <w:tcPr>
            <w:tcW w:w="990" w:type="dxa"/>
            <w:tcBorders>
              <w:bottom w:val="single" w:sz="12" w:space="0" w:color="auto"/>
            </w:tcBorders>
            <w:shd w:val="clear" w:color="auto" w:fill="auto"/>
            <w:noWrap/>
            <w:vAlign w:val="bottom"/>
            <w:hideMark/>
          </w:tcPr>
          <w:p w:rsidR="003D4A00" w:rsidRPr="0070078A" w:rsidRDefault="003D4A00" w:rsidP="00DE6C73">
            <w:pPr>
              <w:jc w:val="both"/>
              <w:rPr>
                <w:rFonts w:ascii="Arial" w:hAnsi="Arial" w:cs="Arial"/>
              </w:rPr>
            </w:pPr>
            <w:r w:rsidRPr="0070078A">
              <w:rPr>
                <w:rFonts w:ascii="Arial" w:hAnsi="Arial" w:cs="Arial"/>
              </w:rPr>
              <w:t>.432</w:t>
            </w:r>
          </w:p>
        </w:tc>
      </w:tr>
    </w:tbl>
    <w:p w:rsidR="003D4A00" w:rsidRPr="0070078A" w:rsidRDefault="003D4A00" w:rsidP="003D4A00">
      <w:pPr>
        <w:jc w:val="both"/>
        <w:rPr>
          <w:rFonts w:ascii="Arial" w:hAnsi="Arial" w:cs="Arial"/>
          <w:bCs/>
          <w:i/>
        </w:rPr>
      </w:pPr>
      <w:r w:rsidRPr="0070078A">
        <w:rPr>
          <w:rFonts w:ascii="Arial" w:hAnsi="Arial" w:cs="Arial"/>
          <w:bCs/>
          <w:i/>
        </w:rPr>
        <w:t>(Abbreviations: VA - Visual Acuity; SD-Standard Deviation; IVB – Intravitreal Bevacizumab; CHR-Crude Hazard Ratio; AHR-Adjusted Hazard Ratio)</w:t>
      </w:r>
    </w:p>
    <w:p w:rsidR="003D4A00" w:rsidRPr="0070078A" w:rsidRDefault="003D4A00" w:rsidP="003D4A00">
      <w:pPr>
        <w:jc w:val="both"/>
        <w:rPr>
          <w:rFonts w:ascii="Arial" w:hAnsi="Arial" w:cs="Arial"/>
        </w:rPr>
      </w:pPr>
    </w:p>
    <w:p w:rsidR="003D4A00" w:rsidRPr="0070078A" w:rsidRDefault="003D4A00" w:rsidP="003D4A00">
      <w:pPr>
        <w:jc w:val="both"/>
        <w:rPr>
          <w:rFonts w:ascii="Arial" w:hAnsi="Arial" w:cs="Arial"/>
          <w:b/>
        </w:rPr>
      </w:pPr>
    </w:p>
    <w:p w:rsidR="003D4A00" w:rsidRPr="0070078A" w:rsidRDefault="003D4A00" w:rsidP="003D4A00">
      <w:pPr>
        <w:jc w:val="both"/>
        <w:rPr>
          <w:rFonts w:ascii="Arial" w:hAnsi="Arial" w:cs="Arial"/>
          <w:b/>
        </w:rPr>
      </w:pPr>
    </w:p>
    <w:p w:rsidR="003D4A00" w:rsidRPr="003D4A00" w:rsidRDefault="003D4A00" w:rsidP="003D4A00">
      <w:pPr>
        <w:rPr>
          <w:rFonts w:ascii="Arial" w:hAnsi="Arial" w:cs="Arial"/>
          <w:b/>
          <w:sz w:val="22"/>
          <w:szCs w:val="22"/>
        </w:rPr>
      </w:pPr>
      <w:r w:rsidRPr="003D4A00">
        <w:rPr>
          <w:rFonts w:ascii="Arial" w:hAnsi="Arial" w:cs="Arial"/>
          <w:b/>
          <w:sz w:val="22"/>
          <w:szCs w:val="22"/>
        </w:rPr>
        <w:t>3.5 Predictors of Anatomical Success</w:t>
      </w:r>
    </w:p>
    <w:p w:rsidR="003D4A00" w:rsidRPr="0070078A" w:rsidRDefault="003D4A00" w:rsidP="003D4A00">
      <w:pPr>
        <w:jc w:val="both"/>
        <w:rPr>
          <w:rFonts w:ascii="Arial" w:hAnsi="Arial" w:cs="Arial"/>
        </w:rPr>
      </w:pPr>
      <w:r w:rsidRPr="0070078A">
        <w:rPr>
          <w:rFonts w:ascii="Arial" w:hAnsi="Arial" w:cs="Arial"/>
        </w:rPr>
        <w:t xml:space="preserve">In crude analysis, only the number of intravitreal bevacizumab showed a significant association with anatomical changes, whereby participants who had greater than 3 intravitreal bevacizumab were 70% (CHR=0.30; 95%CI: 0.49-0.98; </w:t>
      </w:r>
      <w:r w:rsidRPr="0070078A">
        <w:rPr>
          <w:rFonts w:ascii="Arial" w:hAnsi="Arial" w:cs="Arial"/>
          <w:i/>
        </w:rPr>
        <w:t>P</w:t>
      </w:r>
      <w:r w:rsidRPr="0070078A">
        <w:rPr>
          <w:rFonts w:ascii="Arial" w:hAnsi="Arial" w:cs="Arial"/>
        </w:rPr>
        <w:t xml:space="preserve"> value = .042) significantly less likely to have anatomical success compared to participants with intravitreal bevacizumab less than or equal to 3 intravitreal bevacizumab.</w:t>
      </w:r>
    </w:p>
    <w:p w:rsidR="003D4A00" w:rsidRPr="0070078A" w:rsidRDefault="003D4A00" w:rsidP="003D4A00">
      <w:pPr>
        <w:jc w:val="both"/>
        <w:rPr>
          <w:rFonts w:ascii="Arial" w:hAnsi="Arial" w:cs="Arial"/>
        </w:rPr>
      </w:pPr>
      <w:r w:rsidRPr="0070078A">
        <w:rPr>
          <w:rFonts w:ascii="Arial" w:hAnsi="Arial" w:cs="Arial"/>
        </w:rPr>
        <w:t xml:space="preserve">There were no variables that showed significant association in adjusted analysis. </w:t>
      </w:r>
      <w:r w:rsidRPr="0070078A">
        <w:rPr>
          <w:rFonts w:ascii="Arial" w:hAnsi="Arial" w:cs="Arial"/>
          <w:b/>
        </w:rPr>
        <w:t xml:space="preserve">Table 4 </w:t>
      </w:r>
      <w:r w:rsidRPr="0070078A">
        <w:rPr>
          <w:rFonts w:ascii="Arial" w:hAnsi="Arial" w:cs="Arial"/>
        </w:rPr>
        <w:t>Shows Predictors of Anatomical Success.</w:t>
      </w:r>
    </w:p>
    <w:p w:rsidR="003D4A00" w:rsidRPr="003D4A00" w:rsidRDefault="003D4A00" w:rsidP="003D4A00">
      <w:pPr>
        <w:pStyle w:val="Caption"/>
        <w:jc w:val="both"/>
        <w:rPr>
          <w:rFonts w:ascii="Arial" w:eastAsia="Calibri" w:hAnsi="Arial" w:cs="Arial"/>
          <w:kern w:val="2"/>
          <w:sz w:val="20"/>
          <w:szCs w:val="20"/>
        </w:rPr>
      </w:pPr>
      <w:r w:rsidRPr="0070078A">
        <w:rPr>
          <w:rFonts w:ascii="Arial" w:hAnsi="Arial" w:cs="Arial"/>
          <w:sz w:val="20"/>
          <w:szCs w:val="20"/>
        </w:rPr>
        <w:t>Table 4: Predictors of Anatomical Success</w:t>
      </w:r>
    </w:p>
    <w:tbl>
      <w:tblPr>
        <w:tblW w:w="9804" w:type="dxa"/>
        <w:tblLook w:val="04A0" w:firstRow="1" w:lastRow="0" w:firstColumn="1" w:lastColumn="0" w:noHBand="0" w:noVBand="1"/>
      </w:tblPr>
      <w:tblGrid>
        <w:gridCol w:w="4211"/>
        <w:gridCol w:w="1807"/>
        <w:gridCol w:w="1032"/>
        <w:gridCol w:w="1726"/>
        <w:gridCol w:w="1028"/>
      </w:tblGrid>
      <w:tr w:rsidR="003D4A00" w:rsidRPr="0070078A" w:rsidTr="00DE6C73">
        <w:trPr>
          <w:trHeight w:val="309"/>
        </w:trPr>
        <w:tc>
          <w:tcPr>
            <w:tcW w:w="4211" w:type="dxa"/>
            <w:tcBorders>
              <w:top w:val="single" w:sz="12" w:space="0" w:color="auto"/>
              <w:bottom w:val="single" w:sz="12" w:space="0" w:color="auto"/>
            </w:tcBorders>
            <w:shd w:val="clear" w:color="auto" w:fill="auto"/>
            <w:noWrap/>
            <w:vAlign w:val="bottom"/>
            <w:hideMark/>
          </w:tcPr>
          <w:p w:rsidR="003D4A00" w:rsidRPr="0070078A" w:rsidRDefault="003D4A00" w:rsidP="00DE6C73">
            <w:pPr>
              <w:jc w:val="both"/>
              <w:rPr>
                <w:rFonts w:ascii="Arial" w:hAnsi="Arial" w:cs="Arial"/>
                <w:b/>
                <w:bCs/>
                <w:color w:val="000000"/>
              </w:rPr>
            </w:pPr>
            <w:r w:rsidRPr="0070078A">
              <w:rPr>
                <w:rFonts w:ascii="Arial" w:hAnsi="Arial" w:cs="Arial"/>
                <w:b/>
                <w:bCs/>
                <w:color w:val="000000"/>
              </w:rPr>
              <w:t>Variable</w:t>
            </w:r>
          </w:p>
        </w:tc>
        <w:tc>
          <w:tcPr>
            <w:tcW w:w="1807" w:type="dxa"/>
            <w:tcBorders>
              <w:top w:val="single" w:sz="12" w:space="0" w:color="auto"/>
              <w:bottom w:val="single" w:sz="12" w:space="0" w:color="auto"/>
            </w:tcBorders>
            <w:shd w:val="clear" w:color="auto" w:fill="auto"/>
            <w:noWrap/>
            <w:vAlign w:val="bottom"/>
            <w:hideMark/>
          </w:tcPr>
          <w:p w:rsidR="003D4A00" w:rsidRPr="0070078A" w:rsidRDefault="003D4A00" w:rsidP="00DE6C73">
            <w:pPr>
              <w:jc w:val="both"/>
              <w:rPr>
                <w:rFonts w:ascii="Arial" w:hAnsi="Arial" w:cs="Arial"/>
                <w:b/>
                <w:bCs/>
                <w:color w:val="000000"/>
              </w:rPr>
            </w:pPr>
            <w:r w:rsidRPr="0070078A">
              <w:rPr>
                <w:rFonts w:ascii="Arial" w:hAnsi="Arial" w:cs="Arial"/>
                <w:b/>
                <w:bCs/>
                <w:color w:val="000000"/>
              </w:rPr>
              <w:t>CHR</w:t>
            </w:r>
          </w:p>
        </w:tc>
        <w:tc>
          <w:tcPr>
            <w:tcW w:w="1032" w:type="dxa"/>
            <w:tcBorders>
              <w:top w:val="single" w:sz="12" w:space="0" w:color="auto"/>
              <w:bottom w:val="single" w:sz="12" w:space="0" w:color="auto"/>
            </w:tcBorders>
            <w:shd w:val="clear" w:color="auto" w:fill="auto"/>
            <w:noWrap/>
            <w:vAlign w:val="bottom"/>
            <w:hideMark/>
          </w:tcPr>
          <w:p w:rsidR="003D4A00" w:rsidRPr="0070078A" w:rsidRDefault="003D4A00" w:rsidP="00DE6C73">
            <w:pPr>
              <w:jc w:val="both"/>
              <w:rPr>
                <w:rFonts w:ascii="Arial" w:hAnsi="Arial" w:cs="Arial"/>
                <w:b/>
                <w:bCs/>
                <w:color w:val="000000"/>
              </w:rPr>
            </w:pPr>
            <w:r w:rsidRPr="0070078A">
              <w:rPr>
                <w:rFonts w:ascii="Arial" w:hAnsi="Arial" w:cs="Arial"/>
                <w:i/>
              </w:rPr>
              <w:t>P</w:t>
            </w:r>
            <w:r w:rsidRPr="0070078A">
              <w:rPr>
                <w:rFonts w:ascii="Arial" w:hAnsi="Arial" w:cs="Arial"/>
                <w:b/>
                <w:bCs/>
                <w:color w:val="000000"/>
              </w:rPr>
              <w:t xml:space="preserve"> -value</w:t>
            </w:r>
          </w:p>
        </w:tc>
        <w:tc>
          <w:tcPr>
            <w:tcW w:w="1726" w:type="dxa"/>
            <w:tcBorders>
              <w:top w:val="single" w:sz="12" w:space="0" w:color="auto"/>
              <w:bottom w:val="single" w:sz="12" w:space="0" w:color="auto"/>
            </w:tcBorders>
            <w:shd w:val="clear" w:color="auto" w:fill="auto"/>
            <w:noWrap/>
            <w:vAlign w:val="bottom"/>
            <w:hideMark/>
          </w:tcPr>
          <w:p w:rsidR="003D4A00" w:rsidRPr="0070078A" w:rsidRDefault="003D4A00" w:rsidP="00DE6C73">
            <w:pPr>
              <w:jc w:val="both"/>
              <w:rPr>
                <w:rFonts w:ascii="Arial" w:hAnsi="Arial" w:cs="Arial"/>
                <w:b/>
                <w:bCs/>
                <w:color w:val="000000"/>
              </w:rPr>
            </w:pPr>
            <w:r w:rsidRPr="0070078A">
              <w:rPr>
                <w:rFonts w:ascii="Arial" w:hAnsi="Arial" w:cs="Arial"/>
                <w:b/>
                <w:bCs/>
                <w:color w:val="000000"/>
              </w:rPr>
              <w:t>AHR</w:t>
            </w:r>
          </w:p>
        </w:tc>
        <w:tc>
          <w:tcPr>
            <w:tcW w:w="1028" w:type="dxa"/>
            <w:tcBorders>
              <w:top w:val="single" w:sz="12" w:space="0" w:color="auto"/>
              <w:bottom w:val="single" w:sz="12" w:space="0" w:color="auto"/>
            </w:tcBorders>
            <w:shd w:val="clear" w:color="auto" w:fill="auto"/>
            <w:noWrap/>
            <w:vAlign w:val="bottom"/>
            <w:hideMark/>
          </w:tcPr>
          <w:p w:rsidR="003D4A00" w:rsidRPr="0070078A" w:rsidRDefault="003D4A00" w:rsidP="00DE6C73">
            <w:pPr>
              <w:jc w:val="both"/>
              <w:rPr>
                <w:rFonts w:ascii="Arial" w:hAnsi="Arial" w:cs="Arial"/>
                <w:b/>
                <w:bCs/>
                <w:color w:val="000000"/>
              </w:rPr>
            </w:pPr>
            <w:r w:rsidRPr="0070078A">
              <w:rPr>
                <w:rFonts w:ascii="Arial" w:hAnsi="Arial" w:cs="Arial"/>
                <w:i/>
              </w:rPr>
              <w:t>P</w:t>
            </w:r>
            <w:r w:rsidRPr="0070078A">
              <w:rPr>
                <w:rFonts w:ascii="Arial" w:hAnsi="Arial" w:cs="Arial"/>
                <w:b/>
                <w:bCs/>
                <w:color w:val="000000"/>
              </w:rPr>
              <w:t xml:space="preserve"> -value</w:t>
            </w:r>
          </w:p>
        </w:tc>
      </w:tr>
      <w:tr w:rsidR="003D4A00" w:rsidRPr="0070078A" w:rsidTr="00DE6C73">
        <w:trPr>
          <w:trHeight w:val="309"/>
        </w:trPr>
        <w:tc>
          <w:tcPr>
            <w:tcW w:w="4211" w:type="dxa"/>
            <w:tcBorders>
              <w:top w:val="single" w:sz="12" w:space="0" w:color="auto"/>
            </w:tcBorders>
            <w:shd w:val="clear" w:color="auto" w:fill="auto"/>
            <w:noWrap/>
            <w:vAlign w:val="bottom"/>
            <w:hideMark/>
          </w:tcPr>
          <w:p w:rsidR="003D4A00" w:rsidRPr="0070078A" w:rsidRDefault="003D4A00" w:rsidP="00DE6C73">
            <w:pPr>
              <w:jc w:val="both"/>
              <w:rPr>
                <w:rFonts w:ascii="Arial" w:hAnsi="Arial" w:cs="Arial"/>
                <w:b/>
                <w:bCs/>
                <w:color w:val="000000"/>
              </w:rPr>
            </w:pPr>
            <w:r w:rsidRPr="0070078A">
              <w:rPr>
                <w:rFonts w:ascii="Arial" w:hAnsi="Arial" w:cs="Arial"/>
                <w:b/>
                <w:bCs/>
                <w:color w:val="000000"/>
              </w:rPr>
              <w:t>Treatment Modality</w:t>
            </w:r>
          </w:p>
        </w:tc>
        <w:tc>
          <w:tcPr>
            <w:tcW w:w="1807" w:type="dxa"/>
            <w:tcBorders>
              <w:top w:val="single" w:sz="12" w:space="0" w:color="auto"/>
            </w:tcBorders>
            <w:shd w:val="clear" w:color="auto" w:fill="auto"/>
            <w:noWrap/>
            <w:vAlign w:val="bottom"/>
            <w:hideMark/>
          </w:tcPr>
          <w:p w:rsidR="003D4A00" w:rsidRPr="0070078A" w:rsidRDefault="003D4A00" w:rsidP="00DE6C73">
            <w:pPr>
              <w:jc w:val="both"/>
              <w:rPr>
                <w:rFonts w:ascii="Arial" w:hAnsi="Arial" w:cs="Arial"/>
                <w:color w:val="000000"/>
              </w:rPr>
            </w:pPr>
          </w:p>
        </w:tc>
        <w:tc>
          <w:tcPr>
            <w:tcW w:w="1032" w:type="dxa"/>
            <w:tcBorders>
              <w:top w:val="single" w:sz="12" w:space="0" w:color="auto"/>
            </w:tcBorders>
            <w:shd w:val="clear" w:color="auto" w:fill="auto"/>
            <w:noWrap/>
            <w:vAlign w:val="bottom"/>
            <w:hideMark/>
          </w:tcPr>
          <w:p w:rsidR="003D4A00" w:rsidRPr="0070078A" w:rsidRDefault="003D4A00" w:rsidP="00DE6C73">
            <w:pPr>
              <w:jc w:val="both"/>
              <w:rPr>
                <w:rFonts w:ascii="Arial" w:hAnsi="Arial" w:cs="Arial"/>
                <w:color w:val="000000"/>
              </w:rPr>
            </w:pPr>
          </w:p>
        </w:tc>
        <w:tc>
          <w:tcPr>
            <w:tcW w:w="1726" w:type="dxa"/>
            <w:tcBorders>
              <w:top w:val="single" w:sz="12" w:space="0" w:color="auto"/>
            </w:tcBorders>
            <w:shd w:val="clear" w:color="auto" w:fill="auto"/>
            <w:noWrap/>
            <w:vAlign w:val="bottom"/>
            <w:hideMark/>
          </w:tcPr>
          <w:p w:rsidR="003D4A00" w:rsidRPr="0070078A" w:rsidRDefault="003D4A00" w:rsidP="00DE6C73">
            <w:pPr>
              <w:jc w:val="both"/>
              <w:rPr>
                <w:rFonts w:ascii="Arial" w:hAnsi="Arial" w:cs="Arial"/>
                <w:color w:val="000000"/>
              </w:rPr>
            </w:pPr>
          </w:p>
        </w:tc>
        <w:tc>
          <w:tcPr>
            <w:tcW w:w="1028" w:type="dxa"/>
            <w:tcBorders>
              <w:top w:val="single" w:sz="12" w:space="0" w:color="auto"/>
            </w:tcBorders>
            <w:shd w:val="clear" w:color="auto" w:fill="auto"/>
            <w:noWrap/>
            <w:vAlign w:val="bottom"/>
            <w:hideMark/>
          </w:tcPr>
          <w:p w:rsidR="003D4A00" w:rsidRPr="0070078A" w:rsidRDefault="003D4A00" w:rsidP="00DE6C73">
            <w:pPr>
              <w:jc w:val="both"/>
              <w:rPr>
                <w:rFonts w:ascii="Arial" w:hAnsi="Arial" w:cs="Arial"/>
                <w:color w:val="000000"/>
              </w:rPr>
            </w:pPr>
          </w:p>
        </w:tc>
      </w:tr>
      <w:tr w:rsidR="003D4A00" w:rsidRPr="0070078A" w:rsidTr="00DE6C73">
        <w:trPr>
          <w:trHeight w:val="309"/>
        </w:trPr>
        <w:tc>
          <w:tcPr>
            <w:tcW w:w="4211" w:type="dxa"/>
            <w:shd w:val="clear" w:color="auto" w:fill="auto"/>
            <w:noWrap/>
            <w:vAlign w:val="center"/>
            <w:hideMark/>
          </w:tcPr>
          <w:p w:rsidR="003D4A00" w:rsidRPr="0070078A" w:rsidRDefault="003D4A00" w:rsidP="00DE6C73">
            <w:pPr>
              <w:ind w:firstLineChars="300" w:firstLine="600"/>
              <w:jc w:val="both"/>
              <w:rPr>
                <w:rFonts w:ascii="Arial" w:hAnsi="Arial" w:cs="Arial"/>
                <w:color w:val="000000"/>
              </w:rPr>
            </w:pPr>
            <w:r w:rsidRPr="0070078A">
              <w:rPr>
                <w:rFonts w:ascii="Arial" w:hAnsi="Arial" w:cs="Arial"/>
                <w:color w:val="000000"/>
              </w:rPr>
              <w:t>Bevacizumab Only</w:t>
            </w:r>
          </w:p>
        </w:tc>
        <w:tc>
          <w:tcPr>
            <w:tcW w:w="1807" w:type="dxa"/>
            <w:shd w:val="clear" w:color="auto" w:fill="auto"/>
            <w:noWrap/>
            <w:vAlign w:val="bottom"/>
            <w:hideMark/>
          </w:tcPr>
          <w:p w:rsidR="003D4A00" w:rsidRPr="0070078A" w:rsidRDefault="003D4A00" w:rsidP="00DE6C73">
            <w:pPr>
              <w:jc w:val="both"/>
              <w:rPr>
                <w:rFonts w:ascii="Arial" w:hAnsi="Arial" w:cs="Arial"/>
                <w:color w:val="000000"/>
              </w:rPr>
            </w:pPr>
            <w:r w:rsidRPr="0070078A">
              <w:rPr>
                <w:rFonts w:ascii="Arial" w:hAnsi="Arial" w:cs="Arial"/>
                <w:color w:val="000000"/>
              </w:rPr>
              <w:t>Ref</w:t>
            </w:r>
          </w:p>
        </w:tc>
        <w:tc>
          <w:tcPr>
            <w:tcW w:w="1032" w:type="dxa"/>
            <w:shd w:val="clear" w:color="auto" w:fill="auto"/>
            <w:noWrap/>
            <w:vAlign w:val="bottom"/>
            <w:hideMark/>
          </w:tcPr>
          <w:p w:rsidR="003D4A00" w:rsidRPr="0070078A" w:rsidRDefault="003D4A00" w:rsidP="00DE6C73">
            <w:pPr>
              <w:jc w:val="both"/>
              <w:rPr>
                <w:rFonts w:ascii="Arial" w:hAnsi="Arial" w:cs="Arial"/>
                <w:color w:val="000000"/>
              </w:rPr>
            </w:pPr>
          </w:p>
        </w:tc>
        <w:tc>
          <w:tcPr>
            <w:tcW w:w="1726" w:type="dxa"/>
            <w:shd w:val="clear" w:color="auto" w:fill="auto"/>
            <w:noWrap/>
            <w:vAlign w:val="bottom"/>
            <w:hideMark/>
          </w:tcPr>
          <w:p w:rsidR="003D4A00" w:rsidRPr="0070078A" w:rsidRDefault="003D4A00" w:rsidP="00DE6C73">
            <w:pPr>
              <w:jc w:val="both"/>
              <w:rPr>
                <w:rFonts w:ascii="Arial" w:hAnsi="Arial" w:cs="Arial"/>
                <w:color w:val="000000"/>
              </w:rPr>
            </w:pPr>
            <w:r w:rsidRPr="0070078A">
              <w:rPr>
                <w:rFonts w:ascii="Arial" w:hAnsi="Arial" w:cs="Arial"/>
                <w:color w:val="000000"/>
              </w:rPr>
              <w:t>Ref</w:t>
            </w:r>
          </w:p>
        </w:tc>
        <w:tc>
          <w:tcPr>
            <w:tcW w:w="1028" w:type="dxa"/>
            <w:shd w:val="clear" w:color="auto" w:fill="auto"/>
            <w:noWrap/>
            <w:vAlign w:val="bottom"/>
            <w:hideMark/>
          </w:tcPr>
          <w:p w:rsidR="003D4A00" w:rsidRPr="0070078A" w:rsidRDefault="003D4A00" w:rsidP="00DE6C73">
            <w:pPr>
              <w:jc w:val="both"/>
              <w:rPr>
                <w:rFonts w:ascii="Arial" w:hAnsi="Arial" w:cs="Arial"/>
                <w:color w:val="000000"/>
              </w:rPr>
            </w:pPr>
          </w:p>
        </w:tc>
      </w:tr>
      <w:tr w:rsidR="003D4A00" w:rsidRPr="0070078A" w:rsidTr="00DE6C73">
        <w:trPr>
          <w:trHeight w:val="309"/>
        </w:trPr>
        <w:tc>
          <w:tcPr>
            <w:tcW w:w="4211" w:type="dxa"/>
            <w:shd w:val="clear" w:color="auto" w:fill="auto"/>
            <w:noWrap/>
            <w:vAlign w:val="center"/>
            <w:hideMark/>
          </w:tcPr>
          <w:p w:rsidR="003D4A00" w:rsidRPr="0070078A" w:rsidRDefault="003D4A00" w:rsidP="00DE6C73">
            <w:pPr>
              <w:ind w:firstLineChars="300" w:firstLine="600"/>
              <w:jc w:val="both"/>
              <w:rPr>
                <w:rFonts w:ascii="Arial" w:hAnsi="Arial" w:cs="Arial"/>
                <w:color w:val="000000"/>
              </w:rPr>
            </w:pPr>
            <w:r w:rsidRPr="0070078A">
              <w:rPr>
                <w:rFonts w:ascii="Arial" w:hAnsi="Arial" w:cs="Arial"/>
                <w:color w:val="000000"/>
              </w:rPr>
              <w:t>Bevacizumab plus focal</w:t>
            </w:r>
          </w:p>
        </w:tc>
        <w:tc>
          <w:tcPr>
            <w:tcW w:w="1807" w:type="dxa"/>
            <w:shd w:val="clear" w:color="auto" w:fill="auto"/>
            <w:noWrap/>
            <w:vAlign w:val="bottom"/>
            <w:hideMark/>
          </w:tcPr>
          <w:p w:rsidR="003D4A00" w:rsidRPr="0070078A" w:rsidRDefault="003D4A00" w:rsidP="00DE6C73">
            <w:pPr>
              <w:jc w:val="both"/>
              <w:rPr>
                <w:rFonts w:ascii="Arial" w:hAnsi="Arial" w:cs="Arial"/>
                <w:color w:val="000000"/>
              </w:rPr>
            </w:pPr>
            <w:r w:rsidRPr="0070078A">
              <w:rPr>
                <w:rFonts w:ascii="Arial" w:hAnsi="Arial" w:cs="Arial"/>
                <w:color w:val="000000"/>
              </w:rPr>
              <w:t>1.05(0.75-1.47)</w:t>
            </w:r>
          </w:p>
        </w:tc>
        <w:tc>
          <w:tcPr>
            <w:tcW w:w="1032" w:type="dxa"/>
            <w:shd w:val="clear" w:color="auto" w:fill="auto"/>
            <w:noWrap/>
            <w:vAlign w:val="bottom"/>
            <w:hideMark/>
          </w:tcPr>
          <w:p w:rsidR="003D4A00" w:rsidRPr="0070078A" w:rsidRDefault="003D4A00" w:rsidP="00DE6C73">
            <w:pPr>
              <w:jc w:val="both"/>
              <w:rPr>
                <w:rFonts w:ascii="Arial" w:hAnsi="Arial" w:cs="Arial"/>
                <w:color w:val="000000"/>
              </w:rPr>
            </w:pPr>
            <w:r w:rsidRPr="0070078A">
              <w:rPr>
                <w:rFonts w:ascii="Arial" w:hAnsi="Arial" w:cs="Arial"/>
                <w:color w:val="000000"/>
              </w:rPr>
              <w:t>.759</w:t>
            </w:r>
          </w:p>
        </w:tc>
        <w:tc>
          <w:tcPr>
            <w:tcW w:w="1726" w:type="dxa"/>
            <w:shd w:val="clear" w:color="auto" w:fill="auto"/>
            <w:noWrap/>
            <w:vAlign w:val="bottom"/>
            <w:hideMark/>
          </w:tcPr>
          <w:p w:rsidR="003D4A00" w:rsidRPr="0070078A" w:rsidRDefault="003D4A00" w:rsidP="00DE6C73">
            <w:pPr>
              <w:jc w:val="both"/>
              <w:rPr>
                <w:rFonts w:ascii="Arial" w:hAnsi="Arial" w:cs="Arial"/>
                <w:color w:val="000000"/>
              </w:rPr>
            </w:pPr>
            <w:r w:rsidRPr="0070078A">
              <w:rPr>
                <w:rFonts w:ascii="Arial" w:hAnsi="Arial" w:cs="Arial"/>
                <w:color w:val="000000"/>
              </w:rPr>
              <w:t>0.99(0.71-1.39)</w:t>
            </w:r>
          </w:p>
        </w:tc>
        <w:tc>
          <w:tcPr>
            <w:tcW w:w="1028" w:type="dxa"/>
            <w:shd w:val="clear" w:color="auto" w:fill="auto"/>
            <w:noWrap/>
            <w:vAlign w:val="bottom"/>
            <w:hideMark/>
          </w:tcPr>
          <w:p w:rsidR="003D4A00" w:rsidRPr="0070078A" w:rsidRDefault="003D4A00" w:rsidP="00DE6C73">
            <w:pPr>
              <w:jc w:val="both"/>
              <w:rPr>
                <w:rFonts w:ascii="Arial" w:hAnsi="Arial" w:cs="Arial"/>
                <w:color w:val="000000"/>
              </w:rPr>
            </w:pPr>
            <w:r w:rsidRPr="0070078A">
              <w:rPr>
                <w:rFonts w:ascii="Arial" w:hAnsi="Arial" w:cs="Arial"/>
                <w:color w:val="000000"/>
              </w:rPr>
              <w:t>.968</w:t>
            </w:r>
          </w:p>
        </w:tc>
      </w:tr>
      <w:tr w:rsidR="003D4A00" w:rsidRPr="0070078A" w:rsidTr="00DE6C73">
        <w:trPr>
          <w:trHeight w:val="309"/>
        </w:trPr>
        <w:tc>
          <w:tcPr>
            <w:tcW w:w="4211" w:type="dxa"/>
            <w:shd w:val="clear" w:color="auto" w:fill="auto"/>
            <w:noWrap/>
            <w:vAlign w:val="center"/>
            <w:hideMark/>
          </w:tcPr>
          <w:p w:rsidR="003D4A00" w:rsidRPr="0070078A" w:rsidRDefault="003D4A00" w:rsidP="00DE6C73">
            <w:pPr>
              <w:jc w:val="both"/>
              <w:rPr>
                <w:rFonts w:ascii="Arial" w:hAnsi="Arial" w:cs="Arial"/>
                <w:b/>
                <w:bCs/>
                <w:color w:val="000000"/>
              </w:rPr>
            </w:pPr>
            <w:r w:rsidRPr="0070078A">
              <w:rPr>
                <w:rFonts w:ascii="Arial" w:hAnsi="Arial" w:cs="Arial"/>
                <w:b/>
                <w:bCs/>
                <w:color w:val="000000"/>
              </w:rPr>
              <w:t>Age of the Participant (In years)</w:t>
            </w:r>
          </w:p>
        </w:tc>
        <w:tc>
          <w:tcPr>
            <w:tcW w:w="1807" w:type="dxa"/>
            <w:shd w:val="clear" w:color="auto" w:fill="auto"/>
            <w:noWrap/>
            <w:vAlign w:val="bottom"/>
            <w:hideMark/>
          </w:tcPr>
          <w:p w:rsidR="003D4A00" w:rsidRPr="0070078A" w:rsidRDefault="003D4A00" w:rsidP="00DE6C73">
            <w:pPr>
              <w:jc w:val="both"/>
              <w:rPr>
                <w:rFonts w:ascii="Arial" w:hAnsi="Arial" w:cs="Arial"/>
                <w:color w:val="000000"/>
              </w:rPr>
            </w:pPr>
          </w:p>
        </w:tc>
        <w:tc>
          <w:tcPr>
            <w:tcW w:w="1032" w:type="dxa"/>
            <w:shd w:val="clear" w:color="auto" w:fill="auto"/>
            <w:noWrap/>
            <w:vAlign w:val="bottom"/>
            <w:hideMark/>
          </w:tcPr>
          <w:p w:rsidR="003D4A00" w:rsidRPr="0070078A" w:rsidRDefault="003D4A00" w:rsidP="00DE6C73">
            <w:pPr>
              <w:jc w:val="both"/>
              <w:rPr>
                <w:rFonts w:ascii="Arial" w:hAnsi="Arial" w:cs="Arial"/>
                <w:color w:val="000000"/>
              </w:rPr>
            </w:pPr>
          </w:p>
        </w:tc>
        <w:tc>
          <w:tcPr>
            <w:tcW w:w="1726" w:type="dxa"/>
            <w:shd w:val="clear" w:color="auto" w:fill="auto"/>
            <w:noWrap/>
            <w:vAlign w:val="bottom"/>
            <w:hideMark/>
          </w:tcPr>
          <w:p w:rsidR="003D4A00" w:rsidRPr="0070078A" w:rsidRDefault="003D4A00" w:rsidP="00DE6C73">
            <w:pPr>
              <w:jc w:val="both"/>
              <w:rPr>
                <w:rFonts w:ascii="Arial" w:hAnsi="Arial" w:cs="Arial"/>
                <w:color w:val="000000"/>
              </w:rPr>
            </w:pPr>
          </w:p>
        </w:tc>
        <w:tc>
          <w:tcPr>
            <w:tcW w:w="1028" w:type="dxa"/>
            <w:shd w:val="clear" w:color="auto" w:fill="auto"/>
            <w:noWrap/>
            <w:vAlign w:val="bottom"/>
            <w:hideMark/>
          </w:tcPr>
          <w:p w:rsidR="003D4A00" w:rsidRPr="0070078A" w:rsidRDefault="003D4A00" w:rsidP="00DE6C73">
            <w:pPr>
              <w:jc w:val="both"/>
              <w:rPr>
                <w:rFonts w:ascii="Arial" w:hAnsi="Arial" w:cs="Arial"/>
                <w:color w:val="000000"/>
              </w:rPr>
            </w:pPr>
          </w:p>
        </w:tc>
      </w:tr>
      <w:tr w:rsidR="003D4A00" w:rsidRPr="0070078A" w:rsidTr="00DE6C73">
        <w:trPr>
          <w:trHeight w:val="309"/>
        </w:trPr>
        <w:tc>
          <w:tcPr>
            <w:tcW w:w="4211" w:type="dxa"/>
            <w:shd w:val="clear" w:color="auto" w:fill="auto"/>
            <w:noWrap/>
            <w:vAlign w:val="center"/>
            <w:hideMark/>
          </w:tcPr>
          <w:p w:rsidR="003D4A00" w:rsidRPr="0070078A" w:rsidRDefault="003D4A00" w:rsidP="00DE6C73">
            <w:pPr>
              <w:ind w:firstLineChars="300" w:firstLine="600"/>
              <w:jc w:val="both"/>
              <w:rPr>
                <w:rFonts w:ascii="Arial" w:hAnsi="Arial" w:cs="Arial"/>
                <w:color w:val="000000"/>
              </w:rPr>
            </w:pPr>
            <w:r w:rsidRPr="0070078A">
              <w:rPr>
                <w:rFonts w:ascii="Arial" w:hAnsi="Arial" w:cs="Arial"/>
                <w:color w:val="000000"/>
              </w:rPr>
              <w:t>≤60</w:t>
            </w:r>
          </w:p>
        </w:tc>
        <w:tc>
          <w:tcPr>
            <w:tcW w:w="1807" w:type="dxa"/>
            <w:shd w:val="clear" w:color="auto" w:fill="auto"/>
            <w:noWrap/>
            <w:vAlign w:val="bottom"/>
            <w:hideMark/>
          </w:tcPr>
          <w:p w:rsidR="003D4A00" w:rsidRPr="0070078A" w:rsidRDefault="003D4A00" w:rsidP="00DE6C73">
            <w:pPr>
              <w:jc w:val="both"/>
              <w:rPr>
                <w:rFonts w:ascii="Arial" w:hAnsi="Arial" w:cs="Arial"/>
                <w:color w:val="000000"/>
              </w:rPr>
            </w:pPr>
            <w:r w:rsidRPr="0070078A">
              <w:rPr>
                <w:rFonts w:ascii="Arial" w:hAnsi="Arial" w:cs="Arial"/>
                <w:color w:val="000000"/>
              </w:rPr>
              <w:t>Ref</w:t>
            </w:r>
          </w:p>
        </w:tc>
        <w:tc>
          <w:tcPr>
            <w:tcW w:w="1032" w:type="dxa"/>
            <w:shd w:val="clear" w:color="auto" w:fill="auto"/>
            <w:noWrap/>
            <w:vAlign w:val="bottom"/>
            <w:hideMark/>
          </w:tcPr>
          <w:p w:rsidR="003D4A00" w:rsidRPr="0070078A" w:rsidRDefault="003D4A00" w:rsidP="00DE6C73">
            <w:pPr>
              <w:jc w:val="both"/>
              <w:rPr>
                <w:rFonts w:ascii="Arial" w:hAnsi="Arial" w:cs="Arial"/>
                <w:color w:val="000000"/>
              </w:rPr>
            </w:pPr>
          </w:p>
        </w:tc>
        <w:tc>
          <w:tcPr>
            <w:tcW w:w="1726" w:type="dxa"/>
            <w:shd w:val="clear" w:color="auto" w:fill="auto"/>
            <w:noWrap/>
            <w:vAlign w:val="bottom"/>
            <w:hideMark/>
          </w:tcPr>
          <w:p w:rsidR="003D4A00" w:rsidRPr="0070078A" w:rsidRDefault="003D4A00" w:rsidP="00DE6C73">
            <w:pPr>
              <w:jc w:val="both"/>
              <w:rPr>
                <w:rFonts w:ascii="Arial" w:hAnsi="Arial" w:cs="Arial"/>
                <w:color w:val="000000"/>
              </w:rPr>
            </w:pPr>
            <w:r w:rsidRPr="0070078A">
              <w:rPr>
                <w:rFonts w:ascii="Arial" w:hAnsi="Arial" w:cs="Arial"/>
                <w:color w:val="000000"/>
              </w:rPr>
              <w:t>Ref</w:t>
            </w:r>
          </w:p>
        </w:tc>
        <w:tc>
          <w:tcPr>
            <w:tcW w:w="1028" w:type="dxa"/>
            <w:shd w:val="clear" w:color="auto" w:fill="auto"/>
            <w:noWrap/>
            <w:vAlign w:val="bottom"/>
            <w:hideMark/>
          </w:tcPr>
          <w:p w:rsidR="003D4A00" w:rsidRPr="0070078A" w:rsidRDefault="003D4A00" w:rsidP="00DE6C73">
            <w:pPr>
              <w:jc w:val="both"/>
              <w:rPr>
                <w:rFonts w:ascii="Arial" w:hAnsi="Arial" w:cs="Arial"/>
                <w:color w:val="000000"/>
              </w:rPr>
            </w:pPr>
          </w:p>
        </w:tc>
      </w:tr>
      <w:tr w:rsidR="003D4A00" w:rsidRPr="0070078A" w:rsidTr="00DE6C73">
        <w:trPr>
          <w:trHeight w:val="309"/>
        </w:trPr>
        <w:tc>
          <w:tcPr>
            <w:tcW w:w="4211" w:type="dxa"/>
            <w:shd w:val="clear" w:color="auto" w:fill="auto"/>
            <w:noWrap/>
            <w:vAlign w:val="center"/>
            <w:hideMark/>
          </w:tcPr>
          <w:p w:rsidR="003D4A00" w:rsidRPr="0070078A" w:rsidRDefault="003D4A00" w:rsidP="00DE6C73">
            <w:pPr>
              <w:ind w:firstLineChars="300" w:firstLine="600"/>
              <w:jc w:val="both"/>
              <w:rPr>
                <w:rFonts w:ascii="Arial" w:hAnsi="Arial" w:cs="Arial"/>
                <w:color w:val="000000"/>
              </w:rPr>
            </w:pPr>
            <w:r w:rsidRPr="0070078A">
              <w:rPr>
                <w:rFonts w:ascii="Arial" w:hAnsi="Arial" w:cs="Arial"/>
                <w:color w:val="000000"/>
              </w:rPr>
              <w:t>&gt;60</w:t>
            </w:r>
          </w:p>
        </w:tc>
        <w:tc>
          <w:tcPr>
            <w:tcW w:w="1807" w:type="dxa"/>
            <w:shd w:val="clear" w:color="auto" w:fill="auto"/>
            <w:noWrap/>
            <w:vAlign w:val="bottom"/>
            <w:hideMark/>
          </w:tcPr>
          <w:p w:rsidR="003D4A00" w:rsidRPr="0070078A" w:rsidRDefault="003D4A00" w:rsidP="00DE6C73">
            <w:pPr>
              <w:jc w:val="both"/>
              <w:rPr>
                <w:rFonts w:ascii="Arial" w:hAnsi="Arial" w:cs="Arial"/>
                <w:color w:val="000000"/>
              </w:rPr>
            </w:pPr>
            <w:r w:rsidRPr="0070078A">
              <w:rPr>
                <w:rFonts w:ascii="Arial" w:hAnsi="Arial" w:cs="Arial"/>
                <w:color w:val="000000"/>
              </w:rPr>
              <w:t>1.26(0.84-1.90)</w:t>
            </w:r>
          </w:p>
        </w:tc>
        <w:tc>
          <w:tcPr>
            <w:tcW w:w="1032" w:type="dxa"/>
            <w:shd w:val="clear" w:color="auto" w:fill="auto"/>
            <w:noWrap/>
            <w:vAlign w:val="bottom"/>
            <w:hideMark/>
          </w:tcPr>
          <w:p w:rsidR="003D4A00" w:rsidRPr="0070078A" w:rsidRDefault="003D4A00" w:rsidP="00DE6C73">
            <w:pPr>
              <w:jc w:val="both"/>
              <w:rPr>
                <w:rFonts w:ascii="Arial" w:hAnsi="Arial" w:cs="Arial"/>
                <w:color w:val="000000"/>
              </w:rPr>
            </w:pPr>
            <w:r w:rsidRPr="0070078A">
              <w:rPr>
                <w:rFonts w:ascii="Arial" w:hAnsi="Arial" w:cs="Arial"/>
                <w:color w:val="000000"/>
              </w:rPr>
              <w:t>.265</w:t>
            </w:r>
          </w:p>
        </w:tc>
        <w:tc>
          <w:tcPr>
            <w:tcW w:w="1726" w:type="dxa"/>
            <w:shd w:val="clear" w:color="auto" w:fill="auto"/>
            <w:noWrap/>
            <w:vAlign w:val="bottom"/>
            <w:hideMark/>
          </w:tcPr>
          <w:p w:rsidR="003D4A00" w:rsidRPr="0070078A" w:rsidRDefault="003D4A00" w:rsidP="00DE6C73">
            <w:pPr>
              <w:jc w:val="both"/>
              <w:rPr>
                <w:rFonts w:ascii="Arial" w:hAnsi="Arial" w:cs="Arial"/>
                <w:color w:val="000000"/>
              </w:rPr>
            </w:pPr>
            <w:r w:rsidRPr="0070078A">
              <w:rPr>
                <w:rFonts w:ascii="Arial" w:hAnsi="Arial" w:cs="Arial"/>
                <w:color w:val="000000"/>
              </w:rPr>
              <w:t>1.48(0.97-2.27)</w:t>
            </w:r>
          </w:p>
        </w:tc>
        <w:tc>
          <w:tcPr>
            <w:tcW w:w="1028" w:type="dxa"/>
            <w:shd w:val="clear" w:color="auto" w:fill="auto"/>
            <w:noWrap/>
            <w:vAlign w:val="bottom"/>
            <w:hideMark/>
          </w:tcPr>
          <w:p w:rsidR="003D4A00" w:rsidRPr="0070078A" w:rsidRDefault="003D4A00" w:rsidP="00DE6C73">
            <w:pPr>
              <w:jc w:val="both"/>
              <w:rPr>
                <w:rFonts w:ascii="Arial" w:hAnsi="Arial" w:cs="Arial"/>
                <w:color w:val="000000"/>
              </w:rPr>
            </w:pPr>
            <w:r w:rsidRPr="0070078A">
              <w:rPr>
                <w:rFonts w:ascii="Arial" w:hAnsi="Arial" w:cs="Arial"/>
                <w:color w:val="000000"/>
              </w:rPr>
              <w:t>.072</w:t>
            </w:r>
          </w:p>
        </w:tc>
      </w:tr>
      <w:tr w:rsidR="003D4A00" w:rsidRPr="0070078A" w:rsidTr="00DE6C73">
        <w:trPr>
          <w:trHeight w:val="309"/>
        </w:trPr>
        <w:tc>
          <w:tcPr>
            <w:tcW w:w="4211" w:type="dxa"/>
            <w:shd w:val="clear" w:color="auto" w:fill="auto"/>
            <w:noWrap/>
            <w:vAlign w:val="center"/>
            <w:hideMark/>
          </w:tcPr>
          <w:p w:rsidR="003D4A00" w:rsidRPr="0070078A" w:rsidRDefault="003D4A00" w:rsidP="00DE6C73">
            <w:pPr>
              <w:jc w:val="both"/>
              <w:rPr>
                <w:rFonts w:ascii="Arial" w:hAnsi="Arial" w:cs="Arial"/>
                <w:b/>
                <w:bCs/>
                <w:color w:val="000000"/>
              </w:rPr>
            </w:pPr>
            <w:r w:rsidRPr="0070078A">
              <w:rPr>
                <w:rFonts w:ascii="Arial" w:hAnsi="Arial" w:cs="Arial"/>
                <w:b/>
                <w:bCs/>
                <w:color w:val="000000"/>
              </w:rPr>
              <w:t>Sex of the participant</w:t>
            </w:r>
          </w:p>
        </w:tc>
        <w:tc>
          <w:tcPr>
            <w:tcW w:w="1807" w:type="dxa"/>
            <w:shd w:val="clear" w:color="auto" w:fill="auto"/>
            <w:noWrap/>
            <w:vAlign w:val="bottom"/>
            <w:hideMark/>
          </w:tcPr>
          <w:p w:rsidR="003D4A00" w:rsidRPr="0070078A" w:rsidRDefault="003D4A00" w:rsidP="00DE6C73">
            <w:pPr>
              <w:jc w:val="both"/>
              <w:rPr>
                <w:rFonts w:ascii="Arial" w:hAnsi="Arial" w:cs="Arial"/>
                <w:color w:val="000000"/>
              </w:rPr>
            </w:pPr>
          </w:p>
        </w:tc>
        <w:tc>
          <w:tcPr>
            <w:tcW w:w="1032" w:type="dxa"/>
            <w:shd w:val="clear" w:color="auto" w:fill="auto"/>
            <w:noWrap/>
            <w:vAlign w:val="bottom"/>
            <w:hideMark/>
          </w:tcPr>
          <w:p w:rsidR="003D4A00" w:rsidRPr="0070078A" w:rsidRDefault="003D4A00" w:rsidP="00DE6C73">
            <w:pPr>
              <w:jc w:val="both"/>
              <w:rPr>
                <w:rFonts w:ascii="Arial" w:hAnsi="Arial" w:cs="Arial"/>
                <w:color w:val="000000"/>
              </w:rPr>
            </w:pPr>
          </w:p>
        </w:tc>
        <w:tc>
          <w:tcPr>
            <w:tcW w:w="1726" w:type="dxa"/>
            <w:shd w:val="clear" w:color="auto" w:fill="auto"/>
            <w:noWrap/>
            <w:vAlign w:val="bottom"/>
            <w:hideMark/>
          </w:tcPr>
          <w:p w:rsidR="003D4A00" w:rsidRPr="0070078A" w:rsidRDefault="003D4A00" w:rsidP="00DE6C73">
            <w:pPr>
              <w:jc w:val="both"/>
              <w:rPr>
                <w:rFonts w:ascii="Arial" w:hAnsi="Arial" w:cs="Arial"/>
                <w:color w:val="000000"/>
              </w:rPr>
            </w:pPr>
          </w:p>
        </w:tc>
        <w:tc>
          <w:tcPr>
            <w:tcW w:w="1028" w:type="dxa"/>
            <w:shd w:val="clear" w:color="auto" w:fill="auto"/>
            <w:noWrap/>
            <w:vAlign w:val="bottom"/>
            <w:hideMark/>
          </w:tcPr>
          <w:p w:rsidR="003D4A00" w:rsidRPr="0070078A" w:rsidRDefault="003D4A00" w:rsidP="00DE6C73">
            <w:pPr>
              <w:jc w:val="both"/>
              <w:rPr>
                <w:rFonts w:ascii="Arial" w:hAnsi="Arial" w:cs="Arial"/>
                <w:color w:val="000000"/>
              </w:rPr>
            </w:pPr>
          </w:p>
        </w:tc>
      </w:tr>
      <w:tr w:rsidR="003D4A00" w:rsidRPr="0070078A" w:rsidTr="00DE6C73">
        <w:trPr>
          <w:trHeight w:val="309"/>
        </w:trPr>
        <w:tc>
          <w:tcPr>
            <w:tcW w:w="4211" w:type="dxa"/>
            <w:shd w:val="clear" w:color="auto" w:fill="auto"/>
            <w:noWrap/>
            <w:vAlign w:val="center"/>
            <w:hideMark/>
          </w:tcPr>
          <w:p w:rsidR="003D4A00" w:rsidRPr="0070078A" w:rsidRDefault="003D4A00" w:rsidP="00DE6C73">
            <w:pPr>
              <w:ind w:firstLineChars="300" w:firstLine="600"/>
              <w:jc w:val="both"/>
              <w:rPr>
                <w:rFonts w:ascii="Arial" w:hAnsi="Arial" w:cs="Arial"/>
                <w:color w:val="000000"/>
              </w:rPr>
            </w:pPr>
            <w:r w:rsidRPr="0070078A">
              <w:rPr>
                <w:rFonts w:ascii="Arial" w:hAnsi="Arial" w:cs="Arial"/>
                <w:color w:val="000000"/>
              </w:rPr>
              <w:t>Female</w:t>
            </w:r>
          </w:p>
        </w:tc>
        <w:tc>
          <w:tcPr>
            <w:tcW w:w="1807" w:type="dxa"/>
            <w:shd w:val="clear" w:color="auto" w:fill="auto"/>
            <w:noWrap/>
            <w:vAlign w:val="bottom"/>
            <w:hideMark/>
          </w:tcPr>
          <w:p w:rsidR="003D4A00" w:rsidRPr="0070078A" w:rsidRDefault="003D4A00" w:rsidP="00DE6C73">
            <w:pPr>
              <w:jc w:val="both"/>
              <w:rPr>
                <w:rFonts w:ascii="Arial" w:hAnsi="Arial" w:cs="Arial"/>
                <w:color w:val="000000"/>
              </w:rPr>
            </w:pPr>
            <w:r w:rsidRPr="0070078A">
              <w:rPr>
                <w:rFonts w:ascii="Arial" w:hAnsi="Arial" w:cs="Arial"/>
                <w:color w:val="000000"/>
              </w:rPr>
              <w:t>Ref</w:t>
            </w:r>
          </w:p>
        </w:tc>
        <w:tc>
          <w:tcPr>
            <w:tcW w:w="1032" w:type="dxa"/>
            <w:shd w:val="clear" w:color="auto" w:fill="auto"/>
            <w:noWrap/>
            <w:vAlign w:val="bottom"/>
            <w:hideMark/>
          </w:tcPr>
          <w:p w:rsidR="003D4A00" w:rsidRPr="0070078A" w:rsidRDefault="003D4A00" w:rsidP="00DE6C73">
            <w:pPr>
              <w:jc w:val="both"/>
              <w:rPr>
                <w:rFonts w:ascii="Arial" w:hAnsi="Arial" w:cs="Arial"/>
                <w:color w:val="000000"/>
              </w:rPr>
            </w:pPr>
          </w:p>
        </w:tc>
        <w:tc>
          <w:tcPr>
            <w:tcW w:w="1726" w:type="dxa"/>
            <w:shd w:val="clear" w:color="auto" w:fill="auto"/>
            <w:noWrap/>
            <w:vAlign w:val="bottom"/>
            <w:hideMark/>
          </w:tcPr>
          <w:p w:rsidR="003D4A00" w:rsidRPr="0070078A" w:rsidRDefault="003D4A00" w:rsidP="00DE6C73">
            <w:pPr>
              <w:jc w:val="both"/>
              <w:rPr>
                <w:rFonts w:ascii="Arial" w:hAnsi="Arial" w:cs="Arial"/>
                <w:color w:val="000000"/>
              </w:rPr>
            </w:pPr>
            <w:r w:rsidRPr="0070078A">
              <w:rPr>
                <w:rFonts w:ascii="Arial" w:hAnsi="Arial" w:cs="Arial"/>
                <w:color w:val="000000"/>
              </w:rPr>
              <w:t>Ref</w:t>
            </w:r>
          </w:p>
        </w:tc>
        <w:tc>
          <w:tcPr>
            <w:tcW w:w="1028" w:type="dxa"/>
            <w:shd w:val="clear" w:color="auto" w:fill="auto"/>
            <w:noWrap/>
            <w:vAlign w:val="bottom"/>
            <w:hideMark/>
          </w:tcPr>
          <w:p w:rsidR="003D4A00" w:rsidRPr="0070078A" w:rsidRDefault="003D4A00" w:rsidP="00DE6C73">
            <w:pPr>
              <w:jc w:val="both"/>
              <w:rPr>
                <w:rFonts w:ascii="Arial" w:hAnsi="Arial" w:cs="Arial"/>
                <w:color w:val="000000"/>
              </w:rPr>
            </w:pPr>
          </w:p>
        </w:tc>
      </w:tr>
      <w:tr w:rsidR="003D4A00" w:rsidRPr="0070078A" w:rsidTr="00DE6C73">
        <w:trPr>
          <w:trHeight w:val="309"/>
        </w:trPr>
        <w:tc>
          <w:tcPr>
            <w:tcW w:w="4211" w:type="dxa"/>
            <w:shd w:val="clear" w:color="auto" w:fill="auto"/>
            <w:noWrap/>
            <w:vAlign w:val="center"/>
            <w:hideMark/>
          </w:tcPr>
          <w:p w:rsidR="003D4A00" w:rsidRPr="0070078A" w:rsidRDefault="003D4A00" w:rsidP="00DE6C73">
            <w:pPr>
              <w:ind w:firstLineChars="300" w:firstLine="600"/>
              <w:jc w:val="both"/>
              <w:rPr>
                <w:rFonts w:ascii="Arial" w:hAnsi="Arial" w:cs="Arial"/>
                <w:color w:val="000000"/>
              </w:rPr>
            </w:pPr>
            <w:r w:rsidRPr="0070078A">
              <w:rPr>
                <w:rFonts w:ascii="Arial" w:hAnsi="Arial" w:cs="Arial"/>
                <w:color w:val="000000"/>
              </w:rPr>
              <w:lastRenderedPageBreak/>
              <w:t>Male</w:t>
            </w:r>
          </w:p>
        </w:tc>
        <w:tc>
          <w:tcPr>
            <w:tcW w:w="1807" w:type="dxa"/>
            <w:shd w:val="clear" w:color="auto" w:fill="auto"/>
            <w:noWrap/>
            <w:vAlign w:val="bottom"/>
            <w:hideMark/>
          </w:tcPr>
          <w:p w:rsidR="003D4A00" w:rsidRPr="0070078A" w:rsidRDefault="003D4A00" w:rsidP="00DE6C73">
            <w:pPr>
              <w:jc w:val="both"/>
              <w:rPr>
                <w:rFonts w:ascii="Arial" w:hAnsi="Arial" w:cs="Arial"/>
                <w:color w:val="000000"/>
              </w:rPr>
            </w:pPr>
            <w:r w:rsidRPr="0070078A">
              <w:rPr>
                <w:rFonts w:ascii="Arial" w:hAnsi="Arial" w:cs="Arial"/>
                <w:color w:val="000000"/>
              </w:rPr>
              <w:t>0.74(0.52-1.05)</w:t>
            </w:r>
          </w:p>
        </w:tc>
        <w:tc>
          <w:tcPr>
            <w:tcW w:w="1032" w:type="dxa"/>
            <w:shd w:val="clear" w:color="auto" w:fill="auto"/>
            <w:noWrap/>
            <w:vAlign w:val="bottom"/>
            <w:hideMark/>
          </w:tcPr>
          <w:p w:rsidR="003D4A00" w:rsidRPr="0070078A" w:rsidRDefault="003D4A00" w:rsidP="00DE6C73">
            <w:pPr>
              <w:jc w:val="both"/>
              <w:rPr>
                <w:rFonts w:ascii="Arial" w:hAnsi="Arial" w:cs="Arial"/>
                <w:color w:val="000000"/>
              </w:rPr>
            </w:pPr>
            <w:r w:rsidRPr="0070078A">
              <w:rPr>
                <w:rFonts w:ascii="Arial" w:hAnsi="Arial" w:cs="Arial"/>
                <w:color w:val="000000"/>
              </w:rPr>
              <w:t>.09</w:t>
            </w:r>
          </w:p>
        </w:tc>
        <w:tc>
          <w:tcPr>
            <w:tcW w:w="1726" w:type="dxa"/>
            <w:shd w:val="clear" w:color="auto" w:fill="auto"/>
            <w:noWrap/>
            <w:vAlign w:val="bottom"/>
            <w:hideMark/>
          </w:tcPr>
          <w:p w:rsidR="003D4A00" w:rsidRPr="0070078A" w:rsidRDefault="003D4A00" w:rsidP="00DE6C73">
            <w:pPr>
              <w:jc w:val="both"/>
              <w:rPr>
                <w:rFonts w:ascii="Arial" w:hAnsi="Arial" w:cs="Arial"/>
                <w:color w:val="000000"/>
              </w:rPr>
            </w:pPr>
            <w:r w:rsidRPr="0070078A">
              <w:rPr>
                <w:rFonts w:ascii="Arial" w:hAnsi="Arial" w:cs="Arial"/>
                <w:color w:val="000000"/>
              </w:rPr>
              <w:t>0.73(0.51-1.03)</w:t>
            </w:r>
          </w:p>
        </w:tc>
        <w:tc>
          <w:tcPr>
            <w:tcW w:w="1028" w:type="dxa"/>
            <w:shd w:val="clear" w:color="auto" w:fill="auto"/>
            <w:noWrap/>
            <w:vAlign w:val="bottom"/>
            <w:hideMark/>
          </w:tcPr>
          <w:p w:rsidR="003D4A00" w:rsidRPr="0070078A" w:rsidRDefault="003D4A00" w:rsidP="00DE6C73">
            <w:pPr>
              <w:jc w:val="both"/>
              <w:rPr>
                <w:rFonts w:ascii="Arial" w:hAnsi="Arial" w:cs="Arial"/>
                <w:color w:val="000000"/>
              </w:rPr>
            </w:pPr>
            <w:r w:rsidRPr="0070078A">
              <w:rPr>
                <w:rFonts w:ascii="Arial" w:hAnsi="Arial" w:cs="Arial"/>
                <w:color w:val="000000"/>
              </w:rPr>
              <w:t>.075</w:t>
            </w:r>
          </w:p>
        </w:tc>
      </w:tr>
      <w:tr w:rsidR="003D4A00" w:rsidRPr="0070078A" w:rsidTr="00DE6C73">
        <w:trPr>
          <w:trHeight w:val="309"/>
        </w:trPr>
        <w:tc>
          <w:tcPr>
            <w:tcW w:w="4211" w:type="dxa"/>
            <w:shd w:val="clear" w:color="auto" w:fill="auto"/>
            <w:noWrap/>
            <w:vAlign w:val="center"/>
            <w:hideMark/>
          </w:tcPr>
          <w:p w:rsidR="003D4A00" w:rsidRPr="0070078A" w:rsidRDefault="003D4A00" w:rsidP="00DE6C73">
            <w:pPr>
              <w:jc w:val="both"/>
              <w:rPr>
                <w:rFonts w:ascii="Arial" w:hAnsi="Arial" w:cs="Arial"/>
                <w:b/>
                <w:bCs/>
                <w:color w:val="000000"/>
              </w:rPr>
            </w:pPr>
            <w:r w:rsidRPr="0070078A">
              <w:rPr>
                <w:rFonts w:ascii="Arial" w:hAnsi="Arial" w:cs="Arial"/>
                <w:b/>
                <w:bCs/>
                <w:color w:val="000000"/>
              </w:rPr>
              <w:t>Duration of diabetic mellitus (In years)</w:t>
            </w:r>
          </w:p>
        </w:tc>
        <w:tc>
          <w:tcPr>
            <w:tcW w:w="1807" w:type="dxa"/>
            <w:shd w:val="clear" w:color="auto" w:fill="auto"/>
            <w:noWrap/>
            <w:vAlign w:val="bottom"/>
            <w:hideMark/>
          </w:tcPr>
          <w:p w:rsidR="003D4A00" w:rsidRPr="0070078A" w:rsidRDefault="003D4A00" w:rsidP="00DE6C73">
            <w:pPr>
              <w:jc w:val="both"/>
              <w:rPr>
                <w:rFonts w:ascii="Arial" w:hAnsi="Arial" w:cs="Arial"/>
                <w:color w:val="000000"/>
              </w:rPr>
            </w:pPr>
          </w:p>
        </w:tc>
        <w:tc>
          <w:tcPr>
            <w:tcW w:w="1032" w:type="dxa"/>
            <w:shd w:val="clear" w:color="auto" w:fill="auto"/>
            <w:noWrap/>
            <w:vAlign w:val="bottom"/>
            <w:hideMark/>
          </w:tcPr>
          <w:p w:rsidR="003D4A00" w:rsidRPr="0070078A" w:rsidRDefault="003D4A00" w:rsidP="00DE6C73">
            <w:pPr>
              <w:jc w:val="both"/>
              <w:rPr>
                <w:rFonts w:ascii="Arial" w:hAnsi="Arial" w:cs="Arial"/>
                <w:color w:val="000000"/>
              </w:rPr>
            </w:pPr>
          </w:p>
        </w:tc>
        <w:tc>
          <w:tcPr>
            <w:tcW w:w="1726" w:type="dxa"/>
            <w:shd w:val="clear" w:color="auto" w:fill="auto"/>
            <w:noWrap/>
            <w:vAlign w:val="bottom"/>
            <w:hideMark/>
          </w:tcPr>
          <w:p w:rsidR="003D4A00" w:rsidRPr="0070078A" w:rsidRDefault="003D4A00" w:rsidP="00DE6C73">
            <w:pPr>
              <w:jc w:val="both"/>
              <w:rPr>
                <w:rFonts w:ascii="Arial" w:hAnsi="Arial" w:cs="Arial"/>
                <w:color w:val="000000"/>
              </w:rPr>
            </w:pPr>
          </w:p>
        </w:tc>
        <w:tc>
          <w:tcPr>
            <w:tcW w:w="1028" w:type="dxa"/>
            <w:shd w:val="clear" w:color="auto" w:fill="auto"/>
            <w:noWrap/>
            <w:vAlign w:val="bottom"/>
            <w:hideMark/>
          </w:tcPr>
          <w:p w:rsidR="003D4A00" w:rsidRPr="0070078A" w:rsidRDefault="003D4A00" w:rsidP="00DE6C73">
            <w:pPr>
              <w:jc w:val="both"/>
              <w:rPr>
                <w:rFonts w:ascii="Arial" w:hAnsi="Arial" w:cs="Arial"/>
                <w:color w:val="000000"/>
              </w:rPr>
            </w:pPr>
          </w:p>
        </w:tc>
      </w:tr>
      <w:tr w:rsidR="003D4A00" w:rsidRPr="0070078A" w:rsidTr="00DE6C73">
        <w:trPr>
          <w:trHeight w:val="309"/>
        </w:trPr>
        <w:tc>
          <w:tcPr>
            <w:tcW w:w="4211" w:type="dxa"/>
            <w:shd w:val="clear" w:color="auto" w:fill="auto"/>
            <w:noWrap/>
            <w:vAlign w:val="center"/>
            <w:hideMark/>
          </w:tcPr>
          <w:p w:rsidR="003D4A00" w:rsidRPr="0070078A" w:rsidRDefault="003D4A00" w:rsidP="00DE6C73">
            <w:pPr>
              <w:ind w:firstLineChars="300" w:firstLine="600"/>
              <w:jc w:val="both"/>
              <w:rPr>
                <w:rFonts w:ascii="Arial" w:hAnsi="Arial" w:cs="Arial"/>
                <w:color w:val="000000"/>
              </w:rPr>
            </w:pPr>
            <w:r w:rsidRPr="0070078A">
              <w:rPr>
                <w:rFonts w:ascii="Arial" w:hAnsi="Arial" w:cs="Arial"/>
                <w:color w:val="000000"/>
              </w:rPr>
              <w:t>≤15</w:t>
            </w:r>
          </w:p>
        </w:tc>
        <w:tc>
          <w:tcPr>
            <w:tcW w:w="1807" w:type="dxa"/>
            <w:shd w:val="clear" w:color="auto" w:fill="auto"/>
            <w:noWrap/>
            <w:vAlign w:val="bottom"/>
            <w:hideMark/>
          </w:tcPr>
          <w:p w:rsidR="003D4A00" w:rsidRPr="0070078A" w:rsidRDefault="003D4A00" w:rsidP="00DE6C73">
            <w:pPr>
              <w:jc w:val="both"/>
              <w:rPr>
                <w:rFonts w:ascii="Arial" w:hAnsi="Arial" w:cs="Arial"/>
                <w:color w:val="000000"/>
              </w:rPr>
            </w:pPr>
            <w:r w:rsidRPr="0070078A">
              <w:rPr>
                <w:rFonts w:ascii="Arial" w:hAnsi="Arial" w:cs="Arial"/>
                <w:color w:val="000000"/>
              </w:rPr>
              <w:t>Ref</w:t>
            </w:r>
          </w:p>
        </w:tc>
        <w:tc>
          <w:tcPr>
            <w:tcW w:w="1032" w:type="dxa"/>
            <w:shd w:val="clear" w:color="auto" w:fill="auto"/>
            <w:noWrap/>
            <w:vAlign w:val="bottom"/>
            <w:hideMark/>
          </w:tcPr>
          <w:p w:rsidR="003D4A00" w:rsidRPr="0070078A" w:rsidRDefault="003D4A00" w:rsidP="00DE6C73">
            <w:pPr>
              <w:jc w:val="both"/>
              <w:rPr>
                <w:rFonts w:ascii="Arial" w:hAnsi="Arial" w:cs="Arial"/>
                <w:color w:val="000000"/>
              </w:rPr>
            </w:pPr>
          </w:p>
        </w:tc>
        <w:tc>
          <w:tcPr>
            <w:tcW w:w="1726" w:type="dxa"/>
            <w:shd w:val="clear" w:color="auto" w:fill="auto"/>
            <w:noWrap/>
            <w:vAlign w:val="bottom"/>
            <w:hideMark/>
          </w:tcPr>
          <w:p w:rsidR="003D4A00" w:rsidRPr="0070078A" w:rsidRDefault="003D4A00" w:rsidP="00DE6C73">
            <w:pPr>
              <w:jc w:val="both"/>
              <w:rPr>
                <w:rFonts w:ascii="Arial" w:hAnsi="Arial" w:cs="Arial"/>
                <w:color w:val="000000"/>
              </w:rPr>
            </w:pPr>
            <w:r w:rsidRPr="0070078A">
              <w:rPr>
                <w:rFonts w:ascii="Arial" w:hAnsi="Arial" w:cs="Arial"/>
                <w:color w:val="000000"/>
              </w:rPr>
              <w:t>Ref</w:t>
            </w:r>
          </w:p>
        </w:tc>
        <w:tc>
          <w:tcPr>
            <w:tcW w:w="1028" w:type="dxa"/>
            <w:shd w:val="clear" w:color="auto" w:fill="auto"/>
            <w:noWrap/>
            <w:vAlign w:val="bottom"/>
            <w:hideMark/>
          </w:tcPr>
          <w:p w:rsidR="003D4A00" w:rsidRPr="0070078A" w:rsidRDefault="003D4A00" w:rsidP="00DE6C73">
            <w:pPr>
              <w:jc w:val="both"/>
              <w:rPr>
                <w:rFonts w:ascii="Arial" w:hAnsi="Arial" w:cs="Arial"/>
                <w:color w:val="000000"/>
              </w:rPr>
            </w:pPr>
          </w:p>
        </w:tc>
      </w:tr>
      <w:tr w:rsidR="003D4A00" w:rsidRPr="0070078A" w:rsidTr="00DE6C73">
        <w:trPr>
          <w:trHeight w:val="309"/>
        </w:trPr>
        <w:tc>
          <w:tcPr>
            <w:tcW w:w="4211" w:type="dxa"/>
            <w:shd w:val="clear" w:color="auto" w:fill="auto"/>
            <w:noWrap/>
            <w:vAlign w:val="center"/>
            <w:hideMark/>
          </w:tcPr>
          <w:p w:rsidR="003D4A00" w:rsidRPr="0070078A" w:rsidRDefault="003D4A00" w:rsidP="00DE6C73">
            <w:pPr>
              <w:ind w:firstLineChars="300" w:firstLine="600"/>
              <w:jc w:val="both"/>
              <w:rPr>
                <w:rFonts w:ascii="Arial" w:hAnsi="Arial" w:cs="Arial"/>
                <w:color w:val="000000"/>
              </w:rPr>
            </w:pPr>
            <w:r w:rsidRPr="0070078A">
              <w:rPr>
                <w:rFonts w:ascii="Arial" w:hAnsi="Arial" w:cs="Arial"/>
                <w:color w:val="000000"/>
              </w:rPr>
              <w:t>&gt;15</w:t>
            </w:r>
          </w:p>
        </w:tc>
        <w:tc>
          <w:tcPr>
            <w:tcW w:w="1807" w:type="dxa"/>
            <w:shd w:val="clear" w:color="auto" w:fill="auto"/>
            <w:noWrap/>
            <w:vAlign w:val="bottom"/>
            <w:hideMark/>
          </w:tcPr>
          <w:p w:rsidR="003D4A00" w:rsidRPr="0070078A" w:rsidRDefault="003D4A00" w:rsidP="00DE6C73">
            <w:pPr>
              <w:jc w:val="both"/>
              <w:rPr>
                <w:rFonts w:ascii="Arial" w:hAnsi="Arial" w:cs="Arial"/>
                <w:color w:val="000000"/>
              </w:rPr>
            </w:pPr>
            <w:r w:rsidRPr="0070078A">
              <w:rPr>
                <w:rFonts w:ascii="Arial" w:hAnsi="Arial" w:cs="Arial"/>
                <w:color w:val="000000"/>
              </w:rPr>
              <w:t>0.76(0.55-1.06)</w:t>
            </w:r>
          </w:p>
        </w:tc>
        <w:tc>
          <w:tcPr>
            <w:tcW w:w="1032" w:type="dxa"/>
            <w:shd w:val="clear" w:color="auto" w:fill="auto"/>
            <w:noWrap/>
            <w:vAlign w:val="bottom"/>
            <w:hideMark/>
          </w:tcPr>
          <w:p w:rsidR="003D4A00" w:rsidRPr="0070078A" w:rsidRDefault="003D4A00" w:rsidP="00DE6C73">
            <w:pPr>
              <w:jc w:val="both"/>
              <w:rPr>
                <w:rFonts w:ascii="Arial" w:hAnsi="Arial" w:cs="Arial"/>
                <w:color w:val="000000"/>
              </w:rPr>
            </w:pPr>
            <w:r w:rsidRPr="0070078A">
              <w:rPr>
                <w:rFonts w:ascii="Arial" w:hAnsi="Arial" w:cs="Arial"/>
                <w:color w:val="000000"/>
              </w:rPr>
              <w:t>.109</w:t>
            </w:r>
          </w:p>
        </w:tc>
        <w:tc>
          <w:tcPr>
            <w:tcW w:w="1726" w:type="dxa"/>
            <w:shd w:val="clear" w:color="auto" w:fill="auto"/>
            <w:noWrap/>
            <w:vAlign w:val="bottom"/>
            <w:hideMark/>
          </w:tcPr>
          <w:p w:rsidR="003D4A00" w:rsidRPr="0070078A" w:rsidRDefault="003D4A00" w:rsidP="00DE6C73">
            <w:pPr>
              <w:jc w:val="both"/>
              <w:rPr>
                <w:rFonts w:ascii="Arial" w:hAnsi="Arial" w:cs="Arial"/>
                <w:color w:val="000000"/>
              </w:rPr>
            </w:pPr>
            <w:r w:rsidRPr="0070078A">
              <w:rPr>
                <w:rFonts w:ascii="Arial" w:hAnsi="Arial" w:cs="Arial"/>
                <w:color w:val="000000"/>
              </w:rPr>
              <w:t>0.84(0.59-1.21)</w:t>
            </w:r>
          </w:p>
        </w:tc>
        <w:tc>
          <w:tcPr>
            <w:tcW w:w="1028" w:type="dxa"/>
            <w:shd w:val="clear" w:color="auto" w:fill="auto"/>
            <w:noWrap/>
            <w:vAlign w:val="bottom"/>
            <w:hideMark/>
          </w:tcPr>
          <w:p w:rsidR="003D4A00" w:rsidRPr="0070078A" w:rsidRDefault="003D4A00" w:rsidP="00DE6C73">
            <w:pPr>
              <w:jc w:val="both"/>
              <w:rPr>
                <w:rFonts w:ascii="Arial" w:hAnsi="Arial" w:cs="Arial"/>
                <w:color w:val="000000"/>
              </w:rPr>
            </w:pPr>
            <w:r w:rsidRPr="0070078A">
              <w:rPr>
                <w:rFonts w:ascii="Arial" w:hAnsi="Arial" w:cs="Arial"/>
                <w:color w:val="000000"/>
              </w:rPr>
              <w:t>.359</w:t>
            </w:r>
          </w:p>
        </w:tc>
      </w:tr>
      <w:tr w:rsidR="003D4A00" w:rsidRPr="0070078A" w:rsidTr="00DE6C73">
        <w:trPr>
          <w:trHeight w:val="309"/>
        </w:trPr>
        <w:tc>
          <w:tcPr>
            <w:tcW w:w="4211" w:type="dxa"/>
            <w:shd w:val="clear" w:color="auto" w:fill="auto"/>
            <w:noWrap/>
            <w:vAlign w:val="center"/>
            <w:hideMark/>
          </w:tcPr>
          <w:p w:rsidR="003D4A00" w:rsidRPr="0070078A" w:rsidRDefault="003D4A00" w:rsidP="00DE6C73">
            <w:pPr>
              <w:jc w:val="both"/>
              <w:rPr>
                <w:rFonts w:ascii="Arial" w:hAnsi="Arial" w:cs="Arial"/>
                <w:b/>
                <w:bCs/>
                <w:color w:val="000000"/>
              </w:rPr>
            </w:pPr>
            <w:r w:rsidRPr="0070078A">
              <w:rPr>
                <w:rFonts w:ascii="Arial" w:hAnsi="Arial" w:cs="Arial"/>
                <w:b/>
                <w:bCs/>
                <w:color w:val="000000"/>
              </w:rPr>
              <w:t>Hypertension status</w:t>
            </w:r>
          </w:p>
        </w:tc>
        <w:tc>
          <w:tcPr>
            <w:tcW w:w="1807" w:type="dxa"/>
            <w:shd w:val="clear" w:color="auto" w:fill="auto"/>
            <w:noWrap/>
            <w:vAlign w:val="bottom"/>
            <w:hideMark/>
          </w:tcPr>
          <w:p w:rsidR="003D4A00" w:rsidRPr="0070078A" w:rsidRDefault="003D4A00" w:rsidP="00DE6C73">
            <w:pPr>
              <w:jc w:val="both"/>
              <w:rPr>
                <w:rFonts w:ascii="Arial" w:hAnsi="Arial" w:cs="Arial"/>
                <w:color w:val="000000"/>
              </w:rPr>
            </w:pPr>
          </w:p>
        </w:tc>
        <w:tc>
          <w:tcPr>
            <w:tcW w:w="1032" w:type="dxa"/>
            <w:shd w:val="clear" w:color="auto" w:fill="auto"/>
            <w:noWrap/>
            <w:vAlign w:val="bottom"/>
            <w:hideMark/>
          </w:tcPr>
          <w:p w:rsidR="003D4A00" w:rsidRPr="0070078A" w:rsidRDefault="003D4A00" w:rsidP="00DE6C73">
            <w:pPr>
              <w:jc w:val="both"/>
              <w:rPr>
                <w:rFonts w:ascii="Arial" w:hAnsi="Arial" w:cs="Arial"/>
                <w:color w:val="000000"/>
              </w:rPr>
            </w:pPr>
          </w:p>
        </w:tc>
        <w:tc>
          <w:tcPr>
            <w:tcW w:w="1726" w:type="dxa"/>
            <w:shd w:val="clear" w:color="auto" w:fill="auto"/>
            <w:noWrap/>
            <w:vAlign w:val="bottom"/>
            <w:hideMark/>
          </w:tcPr>
          <w:p w:rsidR="003D4A00" w:rsidRPr="0070078A" w:rsidRDefault="003D4A00" w:rsidP="00DE6C73">
            <w:pPr>
              <w:jc w:val="both"/>
              <w:rPr>
                <w:rFonts w:ascii="Arial" w:hAnsi="Arial" w:cs="Arial"/>
                <w:color w:val="000000"/>
              </w:rPr>
            </w:pPr>
          </w:p>
        </w:tc>
        <w:tc>
          <w:tcPr>
            <w:tcW w:w="1028" w:type="dxa"/>
            <w:shd w:val="clear" w:color="auto" w:fill="auto"/>
            <w:noWrap/>
            <w:vAlign w:val="bottom"/>
            <w:hideMark/>
          </w:tcPr>
          <w:p w:rsidR="003D4A00" w:rsidRPr="0070078A" w:rsidRDefault="003D4A00" w:rsidP="00DE6C73">
            <w:pPr>
              <w:jc w:val="both"/>
              <w:rPr>
                <w:rFonts w:ascii="Arial" w:hAnsi="Arial" w:cs="Arial"/>
                <w:color w:val="000000"/>
              </w:rPr>
            </w:pPr>
          </w:p>
        </w:tc>
      </w:tr>
      <w:tr w:rsidR="003D4A00" w:rsidRPr="0070078A" w:rsidTr="00DE6C73">
        <w:trPr>
          <w:trHeight w:val="309"/>
        </w:trPr>
        <w:tc>
          <w:tcPr>
            <w:tcW w:w="4211" w:type="dxa"/>
            <w:shd w:val="clear" w:color="auto" w:fill="auto"/>
            <w:noWrap/>
            <w:vAlign w:val="center"/>
            <w:hideMark/>
          </w:tcPr>
          <w:p w:rsidR="003D4A00" w:rsidRPr="0070078A" w:rsidRDefault="003D4A00" w:rsidP="00DE6C73">
            <w:pPr>
              <w:ind w:firstLineChars="300" w:firstLine="600"/>
              <w:jc w:val="both"/>
              <w:rPr>
                <w:rFonts w:ascii="Arial" w:hAnsi="Arial" w:cs="Arial"/>
                <w:color w:val="000000"/>
              </w:rPr>
            </w:pPr>
            <w:r w:rsidRPr="0070078A">
              <w:rPr>
                <w:rFonts w:ascii="Arial" w:hAnsi="Arial" w:cs="Arial"/>
                <w:color w:val="000000"/>
              </w:rPr>
              <w:t>Yes</w:t>
            </w:r>
          </w:p>
        </w:tc>
        <w:tc>
          <w:tcPr>
            <w:tcW w:w="1807" w:type="dxa"/>
            <w:shd w:val="clear" w:color="auto" w:fill="auto"/>
            <w:noWrap/>
            <w:vAlign w:val="bottom"/>
            <w:hideMark/>
          </w:tcPr>
          <w:p w:rsidR="003D4A00" w:rsidRPr="0070078A" w:rsidRDefault="003D4A00" w:rsidP="00DE6C73">
            <w:pPr>
              <w:jc w:val="both"/>
              <w:rPr>
                <w:rFonts w:ascii="Arial" w:hAnsi="Arial" w:cs="Arial"/>
                <w:color w:val="000000"/>
              </w:rPr>
            </w:pPr>
            <w:r w:rsidRPr="0070078A">
              <w:rPr>
                <w:rFonts w:ascii="Arial" w:hAnsi="Arial" w:cs="Arial"/>
                <w:color w:val="000000"/>
              </w:rPr>
              <w:t>Ref</w:t>
            </w:r>
          </w:p>
        </w:tc>
        <w:tc>
          <w:tcPr>
            <w:tcW w:w="1032" w:type="dxa"/>
            <w:shd w:val="clear" w:color="auto" w:fill="auto"/>
            <w:noWrap/>
            <w:vAlign w:val="bottom"/>
            <w:hideMark/>
          </w:tcPr>
          <w:p w:rsidR="003D4A00" w:rsidRPr="0070078A" w:rsidRDefault="003D4A00" w:rsidP="00DE6C73">
            <w:pPr>
              <w:jc w:val="both"/>
              <w:rPr>
                <w:rFonts w:ascii="Arial" w:hAnsi="Arial" w:cs="Arial"/>
                <w:color w:val="000000"/>
              </w:rPr>
            </w:pPr>
          </w:p>
        </w:tc>
        <w:tc>
          <w:tcPr>
            <w:tcW w:w="1726" w:type="dxa"/>
            <w:shd w:val="clear" w:color="auto" w:fill="auto"/>
            <w:noWrap/>
            <w:vAlign w:val="bottom"/>
            <w:hideMark/>
          </w:tcPr>
          <w:p w:rsidR="003D4A00" w:rsidRPr="0070078A" w:rsidRDefault="003D4A00" w:rsidP="00DE6C73">
            <w:pPr>
              <w:jc w:val="both"/>
              <w:rPr>
                <w:rFonts w:ascii="Arial" w:hAnsi="Arial" w:cs="Arial"/>
                <w:color w:val="000000"/>
              </w:rPr>
            </w:pPr>
            <w:r w:rsidRPr="0070078A">
              <w:rPr>
                <w:rFonts w:ascii="Arial" w:hAnsi="Arial" w:cs="Arial"/>
                <w:color w:val="000000"/>
              </w:rPr>
              <w:t>Ref</w:t>
            </w:r>
          </w:p>
        </w:tc>
        <w:tc>
          <w:tcPr>
            <w:tcW w:w="1028" w:type="dxa"/>
            <w:shd w:val="clear" w:color="auto" w:fill="auto"/>
            <w:noWrap/>
            <w:vAlign w:val="bottom"/>
            <w:hideMark/>
          </w:tcPr>
          <w:p w:rsidR="003D4A00" w:rsidRPr="0070078A" w:rsidRDefault="003D4A00" w:rsidP="00DE6C73">
            <w:pPr>
              <w:jc w:val="both"/>
              <w:rPr>
                <w:rFonts w:ascii="Arial" w:hAnsi="Arial" w:cs="Arial"/>
                <w:color w:val="000000"/>
              </w:rPr>
            </w:pPr>
          </w:p>
        </w:tc>
      </w:tr>
      <w:tr w:rsidR="003D4A00" w:rsidRPr="0070078A" w:rsidTr="00DE6C73">
        <w:trPr>
          <w:trHeight w:val="309"/>
        </w:trPr>
        <w:tc>
          <w:tcPr>
            <w:tcW w:w="4211" w:type="dxa"/>
            <w:shd w:val="clear" w:color="auto" w:fill="auto"/>
            <w:noWrap/>
            <w:vAlign w:val="center"/>
            <w:hideMark/>
          </w:tcPr>
          <w:p w:rsidR="003D4A00" w:rsidRPr="0070078A" w:rsidRDefault="003D4A00" w:rsidP="00DE6C73">
            <w:pPr>
              <w:ind w:firstLineChars="300" w:firstLine="600"/>
              <w:jc w:val="both"/>
              <w:rPr>
                <w:rFonts w:ascii="Arial" w:hAnsi="Arial" w:cs="Arial"/>
                <w:color w:val="000000"/>
              </w:rPr>
            </w:pPr>
            <w:r w:rsidRPr="0070078A">
              <w:rPr>
                <w:rFonts w:ascii="Arial" w:hAnsi="Arial" w:cs="Arial"/>
                <w:color w:val="000000"/>
              </w:rPr>
              <w:t>No</w:t>
            </w:r>
          </w:p>
        </w:tc>
        <w:tc>
          <w:tcPr>
            <w:tcW w:w="1807" w:type="dxa"/>
            <w:shd w:val="clear" w:color="auto" w:fill="auto"/>
            <w:noWrap/>
            <w:vAlign w:val="bottom"/>
            <w:hideMark/>
          </w:tcPr>
          <w:p w:rsidR="003D4A00" w:rsidRPr="0070078A" w:rsidRDefault="003D4A00" w:rsidP="00DE6C73">
            <w:pPr>
              <w:jc w:val="both"/>
              <w:rPr>
                <w:rFonts w:ascii="Arial" w:hAnsi="Arial" w:cs="Arial"/>
                <w:color w:val="000000"/>
              </w:rPr>
            </w:pPr>
            <w:r w:rsidRPr="0070078A">
              <w:rPr>
                <w:rFonts w:ascii="Arial" w:hAnsi="Arial" w:cs="Arial"/>
                <w:color w:val="000000"/>
              </w:rPr>
              <w:t>1.26(0.85-1.87)</w:t>
            </w:r>
          </w:p>
        </w:tc>
        <w:tc>
          <w:tcPr>
            <w:tcW w:w="1032" w:type="dxa"/>
            <w:shd w:val="clear" w:color="auto" w:fill="auto"/>
            <w:noWrap/>
            <w:vAlign w:val="bottom"/>
            <w:hideMark/>
          </w:tcPr>
          <w:p w:rsidR="003D4A00" w:rsidRPr="0070078A" w:rsidRDefault="003D4A00" w:rsidP="00DE6C73">
            <w:pPr>
              <w:jc w:val="both"/>
              <w:rPr>
                <w:rFonts w:ascii="Arial" w:hAnsi="Arial" w:cs="Arial"/>
                <w:color w:val="000000"/>
              </w:rPr>
            </w:pPr>
            <w:r w:rsidRPr="0070078A">
              <w:rPr>
                <w:rFonts w:ascii="Arial" w:hAnsi="Arial" w:cs="Arial"/>
                <w:color w:val="000000"/>
              </w:rPr>
              <w:t>.256</w:t>
            </w:r>
          </w:p>
        </w:tc>
        <w:tc>
          <w:tcPr>
            <w:tcW w:w="1726" w:type="dxa"/>
            <w:shd w:val="clear" w:color="auto" w:fill="auto"/>
            <w:noWrap/>
            <w:vAlign w:val="bottom"/>
            <w:hideMark/>
          </w:tcPr>
          <w:p w:rsidR="003D4A00" w:rsidRPr="0070078A" w:rsidRDefault="003D4A00" w:rsidP="00DE6C73">
            <w:pPr>
              <w:jc w:val="both"/>
              <w:rPr>
                <w:rFonts w:ascii="Arial" w:hAnsi="Arial" w:cs="Arial"/>
                <w:color w:val="000000"/>
              </w:rPr>
            </w:pPr>
            <w:r w:rsidRPr="0070078A">
              <w:rPr>
                <w:rFonts w:ascii="Arial" w:hAnsi="Arial" w:cs="Arial"/>
                <w:color w:val="000000"/>
              </w:rPr>
              <w:t>1.16(0.77-1.73</w:t>
            </w:r>
          </w:p>
        </w:tc>
        <w:tc>
          <w:tcPr>
            <w:tcW w:w="1028" w:type="dxa"/>
            <w:shd w:val="clear" w:color="auto" w:fill="auto"/>
            <w:noWrap/>
            <w:vAlign w:val="bottom"/>
            <w:hideMark/>
          </w:tcPr>
          <w:p w:rsidR="003D4A00" w:rsidRPr="0070078A" w:rsidRDefault="003D4A00" w:rsidP="00DE6C73">
            <w:pPr>
              <w:jc w:val="both"/>
              <w:rPr>
                <w:rFonts w:ascii="Arial" w:hAnsi="Arial" w:cs="Arial"/>
                <w:color w:val="000000"/>
              </w:rPr>
            </w:pPr>
            <w:r w:rsidRPr="0070078A">
              <w:rPr>
                <w:rFonts w:ascii="Arial" w:hAnsi="Arial" w:cs="Arial"/>
                <w:color w:val="000000"/>
              </w:rPr>
              <w:t>.474</w:t>
            </w:r>
          </w:p>
        </w:tc>
      </w:tr>
      <w:tr w:rsidR="003D4A00" w:rsidRPr="0070078A" w:rsidTr="00DE6C73">
        <w:trPr>
          <w:trHeight w:val="309"/>
        </w:trPr>
        <w:tc>
          <w:tcPr>
            <w:tcW w:w="4211" w:type="dxa"/>
            <w:shd w:val="clear" w:color="auto" w:fill="auto"/>
            <w:noWrap/>
            <w:vAlign w:val="center"/>
            <w:hideMark/>
          </w:tcPr>
          <w:p w:rsidR="003D4A00" w:rsidRPr="0070078A" w:rsidRDefault="003D4A00" w:rsidP="00DE6C73">
            <w:pPr>
              <w:jc w:val="both"/>
              <w:rPr>
                <w:rFonts w:ascii="Arial" w:hAnsi="Arial" w:cs="Arial"/>
                <w:b/>
                <w:bCs/>
                <w:color w:val="000000"/>
              </w:rPr>
            </w:pPr>
            <w:r w:rsidRPr="0070078A">
              <w:rPr>
                <w:rFonts w:ascii="Arial" w:hAnsi="Arial" w:cs="Arial"/>
                <w:b/>
                <w:bCs/>
                <w:color w:val="000000"/>
              </w:rPr>
              <w:t>Baseline VA</w:t>
            </w:r>
          </w:p>
        </w:tc>
        <w:tc>
          <w:tcPr>
            <w:tcW w:w="1807" w:type="dxa"/>
            <w:shd w:val="clear" w:color="auto" w:fill="auto"/>
            <w:noWrap/>
            <w:vAlign w:val="bottom"/>
            <w:hideMark/>
          </w:tcPr>
          <w:p w:rsidR="003D4A00" w:rsidRPr="0070078A" w:rsidRDefault="003D4A00" w:rsidP="00DE6C73">
            <w:pPr>
              <w:jc w:val="both"/>
              <w:rPr>
                <w:rFonts w:ascii="Arial" w:hAnsi="Arial" w:cs="Arial"/>
                <w:color w:val="000000"/>
              </w:rPr>
            </w:pPr>
          </w:p>
        </w:tc>
        <w:tc>
          <w:tcPr>
            <w:tcW w:w="1032" w:type="dxa"/>
            <w:shd w:val="clear" w:color="auto" w:fill="auto"/>
            <w:noWrap/>
            <w:vAlign w:val="bottom"/>
            <w:hideMark/>
          </w:tcPr>
          <w:p w:rsidR="003D4A00" w:rsidRPr="0070078A" w:rsidRDefault="003D4A00" w:rsidP="00DE6C73">
            <w:pPr>
              <w:jc w:val="both"/>
              <w:rPr>
                <w:rFonts w:ascii="Arial" w:hAnsi="Arial" w:cs="Arial"/>
                <w:color w:val="000000"/>
              </w:rPr>
            </w:pPr>
          </w:p>
        </w:tc>
        <w:tc>
          <w:tcPr>
            <w:tcW w:w="1726" w:type="dxa"/>
            <w:shd w:val="clear" w:color="auto" w:fill="auto"/>
            <w:noWrap/>
            <w:vAlign w:val="bottom"/>
            <w:hideMark/>
          </w:tcPr>
          <w:p w:rsidR="003D4A00" w:rsidRPr="0070078A" w:rsidRDefault="003D4A00" w:rsidP="00DE6C73">
            <w:pPr>
              <w:jc w:val="both"/>
              <w:rPr>
                <w:rFonts w:ascii="Arial" w:hAnsi="Arial" w:cs="Arial"/>
                <w:color w:val="000000"/>
              </w:rPr>
            </w:pPr>
          </w:p>
        </w:tc>
        <w:tc>
          <w:tcPr>
            <w:tcW w:w="1028" w:type="dxa"/>
            <w:shd w:val="clear" w:color="auto" w:fill="auto"/>
            <w:noWrap/>
            <w:vAlign w:val="bottom"/>
            <w:hideMark/>
          </w:tcPr>
          <w:p w:rsidR="003D4A00" w:rsidRPr="0070078A" w:rsidRDefault="003D4A00" w:rsidP="00DE6C73">
            <w:pPr>
              <w:jc w:val="both"/>
              <w:rPr>
                <w:rFonts w:ascii="Arial" w:hAnsi="Arial" w:cs="Arial"/>
                <w:color w:val="000000"/>
              </w:rPr>
            </w:pPr>
          </w:p>
        </w:tc>
      </w:tr>
      <w:tr w:rsidR="003D4A00" w:rsidRPr="0070078A" w:rsidTr="00DE6C73">
        <w:trPr>
          <w:trHeight w:val="309"/>
        </w:trPr>
        <w:tc>
          <w:tcPr>
            <w:tcW w:w="4211" w:type="dxa"/>
            <w:shd w:val="clear" w:color="auto" w:fill="auto"/>
            <w:noWrap/>
            <w:vAlign w:val="center"/>
            <w:hideMark/>
          </w:tcPr>
          <w:p w:rsidR="003D4A00" w:rsidRPr="0070078A" w:rsidRDefault="003D4A00" w:rsidP="00DE6C73">
            <w:pPr>
              <w:ind w:firstLineChars="300" w:firstLine="600"/>
              <w:jc w:val="both"/>
              <w:rPr>
                <w:rFonts w:ascii="Arial" w:hAnsi="Arial" w:cs="Arial"/>
                <w:color w:val="000000"/>
              </w:rPr>
            </w:pPr>
            <w:r w:rsidRPr="0070078A">
              <w:rPr>
                <w:rFonts w:ascii="Arial" w:hAnsi="Arial" w:cs="Arial"/>
                <w:color w:val="000000"/>
              </w:rPr>
              <w:t>Poor</w:t>
            </w:r>
          </w:p>
        </w:tc>
        <w:tc>
          <w:tcPr>
            <w:tcW w:w="1807" w:type="dxa"/>
            <w:shd w:val="clear" w:color="auto" w:fill="auto"/>
            <w:noWrap/>
            <w:vAlign w:val="bottom"/>
            <w:hideMark/>
          </w:tcPr>
          <w:p w:rsidR="003D4A00" w:rsidRPr="0070078A" w:rsidRDefault="003D4A00" w:rsidP="00DE6C73">
            <w:pPr>
              <w:jc w:val="both"/>
              <w:rPr>
                <w:rFonts w:ascii="Arial" w:hAnsi="Arial" w:cs="Arial"/>
                <w:color w:val="000000"/>
              </w:rPr>
            </w:pPr>
            <w:r w:rsidRPr="0070078A">
              <w:rPr>
                <w:rFonts w:ascii="Arial" w:hAnsi="Arial" w:cs="Arial"/>
                <w:color w:val="000000"/>
              </w:rPr>
              <w:t>Ref</w:t>
            </w:r>
          </w:p>
        </w:tc>
        <w:tc>
          <w:tcPr>
            <w:tcW w:w="1032" w:type="dxa"/>
            <w:shd w:val="clear" w:color="auto" w:fill="auto"/>
            <w:noWrap/>
            <w:vAlign w:val="bottom"/>
            <w:hideMark/>
          </w:tcPr>
          <w:p w:rsidR="003D4A00" w:rsidRPr="0070078A" w:rsidRDefault="003D4A00" w:rsidP="00DE6C73">
            <w:pPr>
              <w:jc w:val="both"/>
              <w:rPr>
                <w:rFonts w:ascii="Arial" w:hAnsi="Arial" w:cs="Arial"/>
                <w:color w:val="000000"/>
              </w:rPr>
            </w:pPr>
          </w:p>
        </w:tc>
        <w:tc>
          <w:tcPr>
            <w:tcW w:w="1726" w:type="dxa"/>
            <w:shd w:val="clear" w:color="auto" w:fill="auto"/>
            <w:noWrap/>
            <w:vAlign w:val="bottom"/>
            <w:hideMark/>
          </w:tcPr>
          <w:p w:rsidR="003D4A00" w:rsidRPr="0070078A" w:rsidRDefault="003D4A00" w:rsidP="00DE6C73">
            <w:pPr>
              <w:jc w:val="both"/>
              <w:rPr>
                <w:rFonts w:ascii="Arial" w:hAnsi="Arial" w:cs="Arial"/>
                <w:color w:val="000000"/>
              </w:rPr>
            </w:pPr>
            <w:r w:rsidRPr="0070078A">
              <w:rPr>
                <w:rFonts w:ascii="Arial" w:hAnsi="Arial" w:cs="Arial"/>
                <w:color w:val="000000"/>
              </w:rPr>
              <w:t>Ref</w:t>
            </w:r>
          </w:p>
        </w:tc>
        <w:tc>
          <w:tcPr>
            <w:tcW w:w="1028" w:type="dxa"/>
            <w:shd w:val="clear" w:color="auto" w:fill="auto"/>
            <w:noWrap/>
            <w:vAlign w:val="bottom"/>
            <w:hideMark/>
          </w:tcPr>
          <w:p w:rsidR="003D4A00" w:rsidRPr="0070078A" w:rsidRDefault="003D4A00" w:rsidP="00DE6C73">
            <w:pPr>
              <w:jc w:val="both"/>
              <w:rPr>
                <w:rFonts w:ascii="Arial" w:hAnsi="Arial" w:cs="Arial"/>
                <w:color w:val="000000"/>
              </w:rPr>
            </w:pPr>
          </w:p>
        </w:tc>
      </w:tr>
      <w:tr w:rsidR="003D4A00" w:rsidRPr="0070078A" w:rsidTr="00DE6C73">
        <w:trPr>
          <w:trHeight w:val="309"/>
        </w:trPr>
        <w:tc>
          <w:tcPr>
            <w:tcW w:w="4211" w:type="dxa"/>
            <w:shd w:val="clear" w:color="auto" w:fill="auto"/>
            <w:noWrap/>
            <w:vAlign w:val="center"/>
            <w:hideMark/>
          </w:tcPr>
          <w:p w:rsidR="003D4A00" w:rsidRPr="0070078A" w:rsidRDefault="003D4A00" w:rsidP="00DE6C73">
            <w:pPr>
              <w:ind w:firstLineChars="300" w:firstLine="600"/>
              <w:jc w:val="both"/>
              <w:rPr>
                <w:rFonts w:ascii="Arial" w:hAnsi="Arial" w:cs="Arial"/>
                <w:color w:val="000000"/>
              </w:rPr>
            </w:pPr>
            <w:r w:rsidRPr="0070078A">
              <w:rPr>
                <w:rFonts w:ascii="Arial" w:hAnsi="Arial" w:cs="Arial"/>
                <w:color w:val="000000"/>
              </w:rPr>
              <w:t>Good</w:t>
            </w:r>
          </w:p>
        </w:tc>
        <w:tc>
          <w:tcPr>
            <w:tcW w:w="1807" w:type="dxa"/>
            <w:shd w:val="clear" w:color="auto" w:fill="auto"/>
            <w:noWrap/>
            <w:vAlign w:val="bottom"/>
            <w:hideMark/>
          </w:tcPr>
          <w:p w:rsidR="003D4A00" w:rsidRPr="0070078A" w:rsidRDefault="003D4A00" w:rsidP="00DE6C73">
            <w:pPr>
              <w:jc w:val="both"/>
              <w:rPr>
                <w:rFonts w:ascii="Arial" w:hAnsi="Arial" w:cs="Arial"/>
                <w:color w:val="000000"/>
              </w:rPr>
            </w:pPr>
            <w:r w:rsidRPr="0070078A">
              <w:rPr>
                <w:rFonts w:ascii="Arial" w:hAnsi="Arial" w:cs="Arial"/>
                <w:color w:val="000000"/>
              </w:rPr>
              <w:t>1.35(0.89-2.03)</w:t>
            </w:r>
          </w:p>
        </w:tc>
        <w:tc>
          <w:tcPr>
            <w:tcW w:w="1032" w:type="dxa"/>
            <w:shd w:val="clear" w:color="auto" w:fill="auto"/>
            <w:noWrap/>
            <w:vAlign w:val="bottom"/>
            <w:hideMark/>
          </w:tcPr>
          <w:p w:rsidR="003D4A00" w:rsidRPr="0070078A" w:rsidRDefault="003D4A00" w:rsidP="00DE6C73">
            <w:pPr>
              <w:jc w:val="both"/>
              <w:rPr>
                <w:rFonts w:ascii="Arial" w:hAnsi="Arial" w:cs="Arial"/>
                <w:color w:val="000000"/>
              </w:rPr>
            </w:pPr>
            <w:r w:rsidRPr="0070078A">
              <w:rPr>
                <w:rFonts w:ascii="Arial" w:hAnsi="Arial" w:cs="Arial"/>
                <w:color w:val="000000"/>
              </w:rPr>
              <w:t>.155</w:t>
            </w:r>
          </w:p>
        </w:tc>
        <w:tc>
          <w:tcPr>
            <w:tcW w:w="1726" w:type="dxa"/>
            <w:shd w:val="clear" w:color="auto" w:fill="auto"/>
            <w:noWrap/>
            <w:vAlign w:val="bottom"/>
            <w:hideMark/>
          </w:tcPr>
          <w:p w:rsidR="003D4A00" w:rsidRPr="0070078A" w:rsidRDefault="003D4A00" w:rsidP="00DE6C73">
            <w:pPr>
              <w:jc w:val="both"/>
              <w:rPr>
                <w:rFonts w:ascii="Arial" w:hAnsi="Arial" w:cs="Arial"/>
                <w:color w:val="000000"/>
              </w:rPr>
            </w:pPr>
            <w:r w:rsidRPr="0070078A">
              <w:rPr>
                <w:rFonts w:ascii="Arial" w:hAnsi="Arial" w:cs="Arial"/>
                <w:color w:val="000000"/>
              </w:rPr>
              <w:t>1.24(0.82-1.89)</w:t>
            </w:r>
          </w:p>
        </w:tc>
        <w:tc>
          <w:tcPr>
            <w:tcW w:w="1028" w:type="dxa"/>
            <w:shd w:val="clear" w:color="auto" w:fill="auto"/>
            <w:noWrap/>
            <w:vAlign w:val="bottom"/>
            <w:hideMark/>
          </w:tcPr>
          <w:p w:rsidR="003D4A00" w:rsidRPr="0070078A" w:rsidRDefault="003D4A00" w:rsidP="00DE6C73">
            <w:pPr>
              <w:jc w:val="both"/>
              <w:rPr>
                <w:rFonts w:ascii="Arial" w:hAnsi="Arial" w:cs="Arial"/>
                <w:color w:val="000000"/>
              </w:rPr>
            </w:pPr>
            <w:r w:rsidRPr="0070078A">
              <w:rPr>
                <w:rFonts w:ascii="Arial" w:hAnsi="Arial" w:cs="Arial"/>
                <w:color w:val="000000"/>
              </w:rPr>
              <w:t>.312</w:t>
            </w:r>
          </w:p>
        </w:tc>
      </w:tr>
      <w:tr w:rsidR="003D4A00" w:rsidRPr="0070078A" w:rsidTr="00DE6C73">
        <w:trPr>
          <w:trHeight w:val="309"/>
        </w:trPr>
        <w:tc>
          <w:tcPr>
            <w:tcW w:w="4211" w:type="dxa"/>
            <w:shd w:val="clear" w:color="auto" w:fill="auto"/>
            <w:noWrap/>
            <w:vAlign w:val="center"/>
            <w:hideMark/>
          </w:tcPr>
          <w:p w:rsidR="003D4A00" w:rsidRPr="0070078A" w:rsidRDefault="003D4A00" w:rsidP="00DE6C73">
            <w:pPr>
              <w:jc w:val="both"/>
              <w:rPr>
                <w:rFonts w:ascii="Arial" w:hAnsi="Arial" w:cs="Arial"/>
                <w:b/>
                <w:bCs/>
                <w:color w:val="000000"/>
              </w:rPr>
            </w:pPr>
            <w:r w:rsidRPr="0070078A">
              <w:rPr>
                <w:rFonts w:ascii="Arial" w:hAnsi="Arial" w:cs="Arial"/>
                <w:b/>
                <w:bCs/>
                <w:color w:val="000000"/>
              </w:rPr>
              <w:t>IOP at Baseline</w:t>
            </w:r>
          </w:p>
        </w:tc>
        <w:tc>
          <w:tcPr>
            <w:tcW w:w="1807" w:type="dxa"/>
            <w:shd w:val="clear" w:color="auto" w:fill="auto"/>
            <w:noWrap/>
            <w:vAlign w:val="bottom"/>
            <w:hideMark/>
          </w:tcPr>
          <w:p w:rsidR="003D4A00" w:rsidRPr="0070078A" w:rsidRDefault="003D4A00" w:rsidP="00DE6C73">
            <w:pPr>
              <w:jc w:val="both"/>
              <w:rPr>
                <w:rFonts w:ascii="Arial" w:hAnsi="Arial" w:cs="Arial"/>
                <w:color w:val="000000"/>
              </w:rPr>
            </w:pPr>
            <w:r w:rsidRPr="0070078A">
              <w:rPr>
                <w:rFonts w:ascii="Arial" w:hAnsi="Arial" w:cs="Arial"/>
                <w:color w:val="000000"/>
              </w:rPr>
              <w:t>0.86(0.61-1.19)</w:t>
            </w:r>
          </w:p>
        </w:tc>
        <w:tc>
          <w:tcPr>
            <w:tcW w:w="1032" w:type="dxa"/>
            <w:shd w:val="clear" w:color="auto" w:fill="auto"/>
            <w:noWrap/>
            <w:vAlign w:val="bottom"/>
            <w:hideMark/>
          </w:tcPr>
          <w:p w:rsidR="003D4A00" w:rsidRPr="0070078A" w:rsidRDefault="003D4A00" w:rsidP="00DE6C73">
            <w:pPr>
              <w:jc w:val="both"/>
              <w:rPr>
                <w:rFonts w:ascii="Arial" w:hAnsi="Arial" w:cs="Arial"/>
                <w:color w:val="000000"/>
              </w:rPr>
            </w:pPr>
            <w:r w:rsidRPr="0070078A">
              <w:rPr>
                <w:rFonts w:ascii="Arial" w:hAnsi="Arial" w:cs="Arial"/>
                <w:color w:val="000000"/>
              </w:rPr>
              <w:t>.363</w:t>
            </w:r>
          </w:p>
        </w:tc>
        <w:tc>
          <w:tcPr>
            <w:tcW w:w="1726" w:type="dxa"/>
            <w:shd w:val="clear" w:color="auto" w:fill="auto"/>
            <w:noWrap/>
            <w:vAlign w:val="bottom"/>
            <w:hideMark/>
          </w:tcPr>
          <w:p w:rsidR="003D4A00" w:rsidRPr="0070078A" w:rsidRDefault="003D4A00" w:rsidP="00DE6C73">
            <w:pPr>
              <w:jc w:val="both"/>
              <w:rPr>
                <w:rFonts w:ascii="Arial" w:hAnsi="Arial" w:cs="Arial"/>
                <w:color w:val="000000"/>
              </w:rPr>
            </w:pPr>
          </w:p>
        </w:tc>
        <w:tc>
          <w:tcPr>
            <w:tcW w:w="1028" w:type="dxa"/>
            <w:shd w:val="clear" w:color="auto" w:fill="auto"/>
            <w:noWrap/>
            <w:vAlign w:val="bottom"/>
            <w:hideMark/>
          </w:tcPr>
          <w:p w:rsidR="003D4A00" w:rsidRPr="0070078A" w:rsidRDefault="003D4A00" w:rsidP="00DE6C73">
            <w:pPr>
              <w:jc w:val="both"/>
              <w:rPr>
                <w:rFonts w:ascii="Arial" w:hAnsi="Arial" w:cs="Arial"/>
                <w:color w:val="000000"/>
              </w:rPr>
            </w:pPr>
          </w:p>
        </w:tc>
      </w:tr>
      <w:tr w:rsidR="003D4A00" w:rsidRPr="0070078A" w:rsidTr="00DE6C73">
        <w:trPr>
          <w:trHeight w:val="309"/>
        </w:trPr>
        <w:tc>
          <w:tcPr>
            <w:tcW w:w="4211" w:type="dxa"/>
            <w:shd w:val="clear" w:color="auto" w:fill="auto"/>
            <w:noWrap/>
            <w:vAlign w:val="center"/>
            <w:hideMark/>
          </w:tcPr>
          <w:p w:rsidR="003D4A00" w:rsidRPr="0070078A" w:rsidRDefault="003D4A00" w:rsidP="00DE6C73">
            <w:pPr>
              <w:jc w:val="both"/>
              <w:rPr>
                <w:rFonts w:ascii="Arial" w:hAnsi="Arial" w:cs="Arial"/>
                <w:b/>
                <w:bCs/>
                <w:color w:val="000000"/>
              </w:rPr>
            </w:pPr>
            <w:r w:rsidRPr="0070078A">
              <w:rPr>
                <w:rFonts w:ascii="Arial" w:hAnsi="Arial" w:cs="Arial"/>
                <w:b/>
                <w:bCs/>
                <w:color w:val="000000"/>
              </w:rPr>
              <w:t>Number of IVB given during treatment period</w:t>
            </w:r>
          </w:p>
        </w:tc>
        <w:tc>
          <w:tcPr>
            <w:tcW w:w="1807" w:type="dxa"/>
            <w:shd w:val="clear" w:color="auto" w:fill="auto"/>
            <w:noWrap/>
            <w:vAlign w:val="bottom"/>
            <w:hideMark/>
          </w:tcPr>
          <w:p w:rsidR="003D4A00" w:rsidRPr="0070078A" w:rsidRDefault="003D4A00" w:rsidP="00DE6C73">
            <w:pPr>
              <w:jc w:val="both"/>
              <w:rPr>
                <w:rFonts w:ascii="Arial" w:hAnsi="Arial" w:cs="Arial"/>
                <w:color w:val="000000"/>
              </w:rPr>
            </w:pPr>
          </w:p>
        </w:tc>
        <w:tc>
          <w:tcPr>
            <w:tcW w:w="1032" w:type="dxa"/>
            <w:shd w:val="clear" w:color="auto" w:fill="auto"/>
            <w:noWrap/>
            <w:vAlign w:val="bottom"/>
            <w:hideMark/>
          </w:tcPr>
          <w:p w:rsidR="003D4A00" w:rsidRPr="0070078A" w:rsidRDefault="003D4A00" w:rsidP="00DE6C73">
            <w:pPr>
              <w:jc w:val="both"/>
              <w:rPr>
                <w:rFonts w:ascii="Arial" w:hAnsi="Arial" w:cs="Arial"/>
                <w:color w:val="000000"/>
              </w:rPr>
            </w:pPr>
          </w:p>
        </w:tc>
        <w:tc>
          <w:tcPr>
            <w:tcW w:w="1726" w:type="dxa"/>
            <w:shd w:val="clear" w:color="auto" w:fill="auto"/>
            <w:noWrap/>
            <w:vAlign w:val="bottom"/>
            <w:hideMark/>
          </w:tcPr>
          <w:p w:rsidR="003D4A00" w:rsidRPr="0070078A" w:rsidRDefault="003D4A00" w:rsidP="00DE6C73">
            <w:pPr>
              <w:jc w:val="both"/>
              <w:rPr>
                <w:rFonts w:ascii="Arial" w:hAnsi="Arial" w:cs="Arial"/>
                <w:color w:val="000000"/>
              </w:rPr>
            </w:pPr>
          </w:p>
        </w:tc>
        <w:tc>
          <w:tcPr>
            <w:tcW w:w="1028" w:type="dxa"/>
            <w:shd w:val="clear" w:color="auto" w:fill="auto"/>
            <w:noWrap/>
            <w:vAlign w:val="bottom"/>
            <w:hideMark/>
          </w:tcPr>
          <w:p w:rsidR="003D4A00" w:rsidRPr="0070078A" w:rsidRDefault="003D4A00" w:rsidP="00DE6C73">
            <w:pPr>
              <w:jc w:val="both"/>
              <w:rPr>
                <w:rFonts w:ascii="Arial" w:hAnsi="Arial" w:cs="Arial"/>
                <w:color w:val="000000"/>
              </w:rPr>
            </w:pPr>
          </w:p>
        </w:tc>
      </w:tr>
      <w:tr w:rsidR="003D4A00" w:rsidRPr="0070078A" w:rsidTr="00DE6C73">
        <w:trPr>
          <w:trHeight w:val="309"/>
        </w:trPr>
        <w:tc>
          <w:tcPr>
            <w:tcW w:w="4211" w:type="dxa"/>
            <w:shd w:val="clear" w:color="auto" w:fill="auto"/>
            <w:noWrap/>
            <w:vAlign w:val="center"/>
            <w:hideMark/>
          </w:tcPr>
          <w:p w:rsidR="003D4A00" w:rsidRPr="0070078A" w:rsidRDefault="003D4A00" w:rsidP="00DE6C73">
            <w:pPr>
              <w:ind w:firstLineChars="300" w:firstLine="600"/>
              <w:jc w:val="both"/>
              <w:rPr>
                <w:rFonts w:ascii="Arial" w:hAnsi="Arial" w:cs="Arial"/>
                <w:color w:val="000000"/>
              </w:rPr>
            </w:pPr>
            <w:r w:rsidRPr="0070078A">
              <w:rPr>
                <w:rFonts w:ascii="Arial" w:hAnsi="Arial" w:cs="Arial"/>
                <w:color w:val="000000"/>
              </w:rPr>
              <w:t>≤3</w:t>
            </w:r>
          </w:p>
        </w:tc>
        <w:tc>
          <w:tcPr>
            <w:tcW w:w="1807" w:type="dxa"/>
            <w:shd w:val="clear" w:color="auto" w:fill="auto"/>
            <w:noWrap/>
            <w:vAlign w:val="bottom"/>
            <w:hideMark/>
          </w:tcPr>
          <w:p w:rsidR="003D4A00" w:rsidRPr="0070078A" w:rsidRDefault="003D4A00" w:rsidP="00DE6C73">
            <w:pPr>
              <w:jc w:val="both"/>
              <w:rPr>
                <w:rFonts w:ascii="Arial" w:hAnsi="Arial" w:cs="Arial"/>
                <w:color w:val="000000"/>
              </w:rPr>
            </w:pPr>
            <w:r w:rsidRPr="0070078A">
              <w:rPr>
                <w:rFonts w:ascii="Arial" w:hAnsi="Arial" w:cs="Arial"/>
                <w:color w:val="000000"/>
              </w:rPr>
              <w:t>Ref</w:t>
            </w:r>
          </w:p>
        </w:tc>
        <w:tc>
          <w:tcPr>
            <w:tcW w:w="1032" w:type="dxa"/>
            <w:shd w:val="clear" w:color="auto" w:fill="auto"/>
            <w:noWrap/>
            <w:vAlign w:val="bottom"/>
            <w:hideMark/>
          </w:tcPr>
          <w:p w:rsidR="003D4A00" w:rsidRPr="0070078A" w:rsidRDefault="003D4A00" w:rsidP="00DE6C73">
            <w:pPr>
              <w:jc w:val="both"/>
              <w:rPr>
                <w:rFonts w:ascii="Arial" w:hAnsi="Arial" w:cs="Arial"/>
                <w:color w:val="000000"/>
              </w:rPr>
            </w:pPr>
          </w:p>
        </w:tc>
        <w:tc>
          <w:tcPr>
            <w:tcW w:w="1726" w:type="dxa"/>
            <w:shd w:val="clear" w:color="auto" w:fill="auto"/>
            <w:noWrap/>
            <w:vAlign w:val="bottom"/>
            <w:hideMark/>
          </w:tcPr>
          <w:p w:rsidR="003D4A00" w:rsidRPr="0070078A" w:rsidRDefault="003D4A00" w:rsidP="00DE6C73">
            <w:pPr>
              <w:jc w:val="both"/>
              <w:rPr>
                <w:rFonts w:ascii="Arial" w:hAnsi="Arial" w:cs="Arial"/>
                <w:color w:val="000000"/>
              </w:rPr>
            </w:pPr>
            <w:r w:rsidRPr="0070078A">
              <w:rPr>
                <w:rFonts w:ascii="Arial" w:hAnsi="Arial" w:cs="Arial"/>
                <w:color w:val="000000"/>
              </w:rPr>
              <w:t>Ref</w:t>
            </w:r>
          </w:p>
        </w:tc>
        <w:tc>
          <w:tcPr>
            <w:tcW w:w="1028" w:type="dxa"/>
            <w:shd w:val="clear" w:color="auto" w:fill="auto"/>
            <w:noWrap/>
            <w:vAlign w:val="bottom"/>
            <w:hideMark/>
          </w:tcPr>
          <w:p w:rsidR="003D4A00" w:rsidRPr="0070078A" w:rsidRDefault="003D4A00" w:rsidP="00DE6C73">
            <w:pPr>
              <w:jc w:val="both"/>
              <w:rPr>
                <w:rFonts w:ascii="Arial" w:hAnsi="Arial" w:cs="Arial"/>
                <w:color w:val="000000"/>
              </w:rPr>
            </w:pPr>
          </w:p>
        </w:tc>
      </w:tr>
      <w:tr w:rsidR="003D4A00" w:rsidRPr="0070078A" w:rsidTr="00DE6C73">
        <w:trPr>
          <w:trHeight w:val="309"/>
        </w:trPr>
        <w:tc>
          <w:tcPr>
            <w:tcW w:w="4211" w:type="dxa"/>
            <w:tcBorders>
              <w:bottom w:val="single" w:sz="12" w:space="0" w:color="auto"/>
            </w:tcBorders>
            <w:shd w:val="clear" w:color="auto" w:fill="auto"/>
            <w:noWrap/>
            <w:vAlign w:val="center"/>
            <w:hideMark/>
          </w:tcPr>
          <w:p w:rsidR="003D4A00" w:rsidRPr="0070078A" w:rsidRDefault="003D4A00" w:rsidP="00DE6C73">
            <w:pPr>
              <w:ind w:firstLineChars="300" w:firstLine="600"/>
              <w:jc w:val="both"/>
              <w:rPr>
                <w:rFonts w:ascii="Arial" w:hAnsi="Arial" w:cs="Arial"/>
                <w:color w:val="000000"/>
              </w:rPr>
            </w:pPr>
            <w:r w:rsidRPr="0070078A">
              <w:rPr>
                <w:rFonts w:ascii="Arial" w:hAnsi="Arial" w:cs="Arial"/>
                <w:color w:val="000000"/>
              </w:rPr>
              <w:t>&gt;3</w:t>
            </w:r>
          </w:p>
        </w:tc>
        <w:tc>
          <w:tcPr>
            <w:tcW w:w="1807" w:type="dxa"/>
            <w:tcBorders>
              <w:bottom w:val="single" w:sz="12" w:space="0" w:color="auto"/>
            </w:tcBorders>
            <w:shd w:val="clear" w:color="auto" w:fill="auto"/>
            <w:noWrap/>
            <w:vAlign w:val="bottom"/>
            <w:hideMark/>
          </w:tcPr>
          <w:p w:rsidR="003D4A00" w:rsidRPr="0070078A" w:rsidRDefault="003D4A00" w:rsidP="00DE6C73">
            <w:pPr>
              <w:jc w:val="both"/>
              <w:rPr>
                <w:rFonts w:ascii="Arial" w:hAnsi="Arial" w:cs="Arial"/>
                <w:color w:val="000000"/>
              </w:rPr>
            </w:pPr>
            <w:r w:rsidRPr="0070078A">
              <w:rPr>
                <w:rFonts w:ascii="Arial" w:hAnsi="Arial" w:cs="Arial"/>
                <w:color w:val="000000"/>
              </w:rPr>
              <w:t>0.70(0.49-0.98)</w:t>
            </w:r>
          </w:p>
        </w:tc>
        <w:tc>
          <w:tcPr>
            <w:tcW w:w="1032" w:type="dxa"/>
            <w:tcBorders>
              <w:bottom w:val="single" w:sz="12" w:space="0" w:color="auto"/>
            </w:tcBorders>
            <w:shd w:val="clear" w:color="auto" w:fill="auto"/>
            <w:noWrap/>
            <w:vAlign w:val="bottom"/>
            <w:hideMark/>
          </w:tcPr>
          <w:p w:rsidR="003D4A00" w:rsidRPr="0070078A" w:rsidRDefault="003D4A00" w:rsidP="00DE6C73">
            <w:pPr>
              <w:jc w:val="both"/>
              <w:rPr>
                <w:rFonts w:ascii="Arial" w:hAnsi="Arial" w:cs="Arial"/>
                <w:color w:val="000000"/>
              </w:rPr>
            </w:pPr>
            <w:r w:rsidRPr="0070078A">
              <w:rPr>
                <w:rFonts w:ascii="Arial" w:hAnsi="Arial" w:cs="Arial"/>
                <w:color w:val="000000"/>
              </w:rPr>
              <w:t>.042</w:t>
            </w:r>
          </w:p>
        </w:tc>
        <w:tc>
          <w:tcPr>
            <w:tcW w:w="1726" w:type="dxa"/>
            <w:tcBorders>
              <w:bottom w:val="single" w:sz="12" w:space="0" w:color="auto"/>
            </w:tcBorders>
            <w:shd w:val="clear" w:color="auto" w:fill="auto"/>
            <w:noWrap/>
            <w:vAlign w:val="bottom"/>
            <w:hideMark/>
          </w:tcPr>
          <w:p w:rsidR="003D4A00" w:rsidRPr="0070078A" w:rsidRDefault="003D4A00" w:rsidP="00DE6C73">
            <w:pPr>
              <w:jc w:val="both"/>
              <w:rPr>
                <w:rFonts w:ascii="Arial" w:hAnsi="Arial" w:cs="Arial"/>
                <w:color w:val="000000"/>
              </w:rPr>
            </w:pPr>
            <w:r w:rsidRPr="0070078A">
              <w:rPr>
                <w:rFonts w:ascii="Arial" w:hAnsi="Arial" w:cs="Arial"/>
                <w:color w:val="000000"/>
              </w:rPr>
              <w:t>0.71(0.50-102)</w:t>
            </w:r>
          </w:p>
        </w:tc>
        <w:tc>
          <w:tcPr>
            <w:tcW w:w="1028" w:type="dxa"/>
            <w:tcBorders>
              <w:bottom w:val="single" w:sz="12" w:space="0" w:color="auto"/>
            </w:tcBorders>
            <w:shd w:val="clear" w:color="auto" w:fill="auto"/>
            <w:noWrap/>
            <w:vAlign w:val="bottom"/>
            <w:hideMark/>
          </w:tcPr>
          <w:p w:rsidR="003D4A00" w:rsidRPr="0070078A" w:rsidRDefault="003D4A00" w:rsidP="00DE6C73">
            <w:pPr>
              <w:jc w:val="both"/>
              <w:rPr>
                <w:rFonts w:ascii="Arial" w:hAnsi="Arial" w:cs="Arial"/>
                <w:color w:val="000000"/>
              </w:rPr>
            </w:pPr>
            <w:r w:rsidRPr="0070078A">
              <w:rPr>
                <w:rFonts w:ascii="Arial" w:hAnsi="Arial" w:cs="Arial"/>
                <w:color w:val="000000"/>
              </w:rPr>
              <w:t>.066</w:t>
            </w:r>
          </w:p>
        </w:tc>
      </w:tr>
    </w:tbl>
    <w:p w:rsidR="003D4A00" w:rsidRPr="0070078A" w:rsidRDefault="003D4A00" w:rsidP="003D4A00">
      <w:pPr>
        <w:jc w:val="both"/>
        <w:rPr>
          <w:rFonts w:ascii="Arial" w:hAnsi="Arial" w:cs="Arial"/>
          <w:i/>
        </w:rPr>
      </w:pPr>
      <w:r w:rsidRPr="0070078A">
        <w:rPr>
          <w:rFonts w:ascii="Arial" w:hAnsi="Arial" w:cs="Arial"/>
          <w:i/>
        </w:rPr>
        <w:t>(Abbreviations: VA - Visual Acuity; SD-Standard Deviation; IVB – Intravitreal Bevacizumab; CHR-Crude Hazard Ratio; AHR-Adjusted Hazard Ratio).</w:t>
      </w:r>
    </w:p>
    <w:p w:rsidR="003D4A00" w:rsidRPr="0070078A" w:rsidRDefault="003D4A00" w:rsidP="003D4A00">
      <w:pPr>
        <w:jc w:val="both"/>
        <w:rPr>
          <w:rFonts w:ascii="Arial" w:hAnsi="Arial" w:cs="Arial"/>
        </w:rPr>
      </w:pPr>
    </w:p>
    <w:p w:rsidR="003D4A00" w:rsidRPr="003D4A00" w:rsidRDefault="003D4A00" w:rsidP="003D4A00">
      <w:pPr>
        <w:rPr>
          <w:rFonts w:ascii="Arial" w:hAnsi="Arial" w:cs="Arial"/>
          <w:b/>
          <w:sz w:val="22"/>
          <w:szCs w:val="22"/>
        </w:rPr>
      </w:pPr>
      <w:r w:rsidRPr="003D4A00">
        <w:rPr>
          <w:rFonts w:ascii="Arial" w:hAnsi="Arial" w:cs="Arial"/>
          <w:b/>
          <w:sz w:val="22"/>
          <w:szCs w:val="22"/>
        </w:rPr>
        <w:t xml:space="preserve">DISCUSSION </w:t>
      </w:r>
    </w:p>
    <w:p w:rsidR="003D4A00" w:rsidRPr="0070078A" w:rsidRDefault="003D4A00" w:rsidP="003D4A00">
      <w:pPr>
        <w:jc w:val="both"/>
        <w:rPr>
          <w:rFonts w:ascii="Arial" w:hAnsi="Arial" w:cs="Arial"/>
        </w:rPr>
      </w:pPr>
      <w:r w:rsidRPr="0070078A">
        <w:rPr>
          <w:rFonts w:ascii="Arial" w:hAnsi="Arial" w:cs="Arial"/>
        </w:rPr>
        <w:t xml:space="preserve">With regard to visual acuity, visual acuity improved statistically significantly from baseline in both treatment groups. Compared to the bevacizumab alone group improved from 0.86 ± 0.49 </w:t>
      </w:r>
      <w:proofErr w:type="spellStart"/>
      <w:r w:rsidRPr="0070078A">
        <w:rPr>
          <w:rFonts w:ascii="Arial" w:hAnsi="Arial" w:cs="Arial"/>
        </w:rPr>
        <w:t>logMAR</w:t>
      </w:r>
      <w:proofErr w:type="spellEnd"/>
      <w:r w:rsidRPr="0070078A">
        <w:rPr>
          <w:rFonts w:ascii="Arial" w:hAnsi="Arial" w:cs="Arial"/>
        </w:rPr>
        <w:t xml:space="preserve"> (95% CI: 0.77-0.94) to 0.75 ± 0.48 </w:t>
      </w:r>
      <w:proofErr w:type="spellStart"/>
      <w:r w:rsidRPr="0070078A">
        <w:rPr>
          <w:rFonts w:ascii="Arial" w:hAnsi="Arial" w:cs="Arial"/>
        </w:rPr>
        <w:t>logMAR</w:t>
      </w:r>
      <w:proofErr w:type="spellEnd"/>
      <w:r w:rsidRPr="0070078A">
        <w:rPr>
          <w:rFonts w:ascii="Arial" w:hAnsi="Arial" w:cs="Arial"/>
        </w:rPr>
        <w:t xml:space="preserve"> (95% CI: 0.67-0.84) the bevacizumab plus focal laser group showed greater improvement at 6 weeks from 0.63 ± 0.45 </w:t>
      </w:r>
      <w:proofErr w:type="spellStart"/>
      <w:r w:rsidRPr="0070078A">
        <w:rPr>
          <w:rFonts w:ascii="Arial" w:hAnsi="Arial" w:cs="Arial"/>
        </w:rPr>
        <w:t>logMAR</w:t>
      </w:r>
      <w:proofErr w:type="spellEnd"/>
      <w:r w:rsidRPr="0070078A">
        <w:rPr>
          <w:rFonts w:ascii="Arial" w:hAnsi="Arial" w:cs="Arial"/>
        </w:rPr>
        <w:t xml:space="preserve"> (95% CI: 0.55-0.72)   to 0.55 ± 0.34 </w:t>
      </w:r>
      <w:proofErr w:type="spellStart"/>
      <w:r w:rsidRPr="0070078A">
        <w:rPr>
          <w:rFonts w:ascii="Arial" w:hAnsi="Arial" w:cs="Arial"/>
        </w:rPr>
        <w:t>logMAR</w:t>
      </w:r>
      <w:proofErr w:type="spellEnd"/>
      <w:r w:rsidRPr="0070078A">
        <w:rPr>
          <w:rFonts w:ascii="Arial" w:hAnsi="Arial" w:cs="Arial"/>
        </w:rPr>
        <w:t xml:space="preserve"> (95% CI: 0.49-0.62). Both groups continued to improve at 12 and 18 weeks, however the combined therapy produced significantly superior functional outcomes. At one year, the group receiving combination therapy had better visual acuity 0.460.46 ± 0.33 </w:t>
      </w:r>
      <w:proofErr w:type="spellStart"/>
      <w:r w:rsidRPr="0070078A">
        <w:rPr>
          <w:rFonts w:ascii="Arial" w:hAnsi="Arial" w:cs="Arial"/>
        </w:rPr>
        <w:t>logMAR</w:t>
      </w:r>
      <w:proofErr w:type="spellEnd"/>
      <w:r w:rsidRPr="0070078A">
        <w:rPr>
          <w:rFonts w:ascii="Arial" w:hAnsi="Arial" w:cs="Arial"/>
        </w:rPr>
        <w:t xml:space="preserve"> (95% CI: 0.40-0.52, </w:t>
      </w:r>
      <w:r w:rsidRPr="0070078A">
        <w:rPr>
          <w:rFonts w:ascii="Arial" w:hAnsi="Arial" w:cs="Arial"/>
          <w:i/>
        </w:rPr>
        <w:t>P</w:t>
      </w:r>
      <w:r w:rsidRPr="0070078A">
        <w:rPr>
          <w:rFonts w:ascii="Arial" w:hAnsi="Arial" w:cs="Arial"/>
        </w:rPr>
        <w:t xml:space="preserve"> &lt; .001)   compared to 0.62 ± 0.39 </w:t>
      </w:r>
      <w:proofErr w:type="spellStart"/>
      <w:r w:rsidRPr="0070078A">
        <w:rPr>
          <w:rFonts w:ascii="Arial" w:hAnsi="Arial" w:cs="Arial"/>
        </w:rPr>
        <w:t>logMAR</w:t>
      </w:r>
      <w:proofErr w:type="spellEnd"/>
      <w:r w:rsidRPr="0070078A">
        <w:rPr>
          <w:rFonts w:ascii="Arial" w:hAnsi="Arial" w:cs="Arial"/>
        </w:rPr>
        <w:t xml:space="preserve"> (95% CI: 0.55-0.69, </w:t>
      </w:r>
      <w:r w:rsidRPr="0070078A">
        <w:rPr>
          <w:rFonts w:ascii="Arial" w:hAnsi="Arial" w:cs="Arial"/>
          <w:i/>
        </w:rPr>
        <w:t>P</w:t>
      </w:r>
      <w:r w:rsidRPr="0070078A">
        <w:rPr>
          <w:rFonts w:ascii="Arial" w:hAnsi="Arial" w:cs="Arial"/>
        </w:rPr>
        <w:t xml:space="preserve"> &lt; .01 ) in the group receiving bevacizumab alone. These findings could be explained by the fact that bevacizumab (Avastin) is an anti-VEGF medication that inhibits vascular endothelial growth factor (VEGF) which decreases vascular permeability and fluid leakage and quickly improves retinal edema. Focal laser photocoagulation targets leaking microaneurysms and areas of focal capillary leakage by causing localized retinal scarring and vascular closure over time. When these two therapies are combined, there is long-term structural stability and improvement in visual acuity. A similar study done by Arevalo et al., 2013 found that in 1 month the mean BCVA in the bevacizumab alone group was 0.72 ± 0.50  </w:t>
      </w:r>
      <w:proofErr w:type="spellStart"/>
      <w:r w:rsidRPr="0070078A">
        <w:rPr>
          <w:rFonts w:ascii="Arial" w:hAnsi="Arial" w:cs="Arial"/>
        </w:rPr>
        <w:t>logMAR</w:t>
      </w:r>
      <w:proofErr w:type="spellEnd"/>
      <w:r w:rsidRPr="0070078A">
        <w:rPr>
          <w:rFonts w:ascii="Arial" w:hAnsi="Arial" w:cs="Arial"/>
        </w:rPr>
        <w:t xml:space="preserve"> from baseline 0.87 ± 0.40 </w:t>
      </w:r>
      <w:proofErr w:type="spellStart"/>
      <w:r w:rsidRPr="0070078A">
        <w:rPr>
          <w:rFonts w:ascii="Arial" w:hAnsi="Arial" w:cs="Arial"/>
        </w:rPr>
        <w:t>logMAR</w:t>
      </w:r>
      <w:proofErr w:type="spellEnd"/>
      <w:r w:rsidRPr="0070078A">
        <w:rPr>
          <w:rFonts w:ascii="Arial" w:hAnsi="Arial" w:cs="Arial"/>
        </w:rPr>
        <w:t xml:space="preserve">, but in combined group change from baseline 0.76 ± 0.30  </w:t>
      </w:r>
      <w:proofErr w:type="spellStart"/>
      <w:r w:rsidRPr="0070078A">
        <w:rPr>
          <w:rFonts w:ascii="Arial" w:hAnsi="Arial" w:cs="Arial"/>
        </w:rPr>
        <w:t>logMAR</w:t>
      </w:r>
      <w:proofErr w:type="spellEnd"/>
      <w:r w:rsidRPr="0070078A">
        <w:rPr>
          <w:rFonts w:ascii="Arial" w:hAnsi="Arial" w:cs="Arial"/>
        </w:rPr>
        <w:t xml:space="preserve"> to 0.70 ± 0.6  </w:t>
      </w:r>
      <w:proofErr w:type="spellStart"/>
      <w:r w:rsidRPr="0070078A">
        <w:rPr>
          <w:rFonts w:ascii="Arial" w:hAnsi="Arial" w:cs="Arial"/>
        </w:rPr>
        <w:t>logMAR</w:t>
      </w:r>
      <w:proofErr w:type="spellEnd"/>
      <w:r w:rsidRPr="0070078A">
        <w:rPr>
          <w:rFonts w:ascii="Arial" w:hAnsi="Arial" w:cs="Arial"/>
        </w:rPr>
        <w:t xml:space="preserve">. At 24 months mean BCVA were 0.65± 0.20 </w:t>
      </w:r>
      <w:proofErr w:type="spellStart"/>
      <w:r w:rsidRPr="0070078A">
        <w:rPr>
          <w:rFonts w:ascii="Arial" w:hAnsi="Arial" w:cs="Arial"/>
        </w:rPr>
        <w:t>logMAR</w:t>
      </w:r>
      <w:proofErr w:type="spellEnd"/>
      <w:r w:rsidRPr="0070078A">
        <w:rPr>
          <w:rFonts w:ascii="Arial" w:hAnsi="Arial" w:cs="Arial"/>
        </w:rPr>
        <w:t xml:space="preserve"> in bevacizumab alone group and in combined was 0.60 ± 0.5 </w:t>
      </w:r>
      <w:proofErr w:type="spellStart"/>
      <w:r w:rsidRPr="0070078A">
        <w:rPr>
          <w:rFonts w:ascii="Arial" w:hAnsi="Arial" w:cs="Arial"/>
        </w:rPr>
        <w:t>logMAR</w:t>
      </w:r>
      <w:proofErr w:type="spellEnd"/>
      <w:r w:rsidRPr="0070078A">
        <w:rPr>
          <w:rFonts w:ascii="Arial" w:hAnsi="Arial" w:cs="Arial"/>
        </w:rPr>
        <w:t xml:space="preserve"> this showed that combination with focal laser group lead to improvement of visual acuity from baseline than bevacizumab alone. Also, a study done by </w:t>
      </w:r>
      <w:proofErr w:type="spellStart"/>
      <w:r w:rsidRPr="0070078A">
        <w:rPr>
          <w:rFonts w:ascii="Arial" w:hAnsi="Arial" w:cs="Arial"/>
        </w:rPr>
        <w:t>Alahmadwy</w:t>
      </w:r>
      <w:proofErr w:type="spellEnd"/>
      <w:r w:rsidRPr="0070078A">
        <w:rPr>
          <w:rFonts w:ascii="Arial" w:hAnsi="Arial" w:cs="Arial"/>
        </w:rPr>
        <w:t xml:space="preserve"> et al., 2015 found that there were greater VA improvements in with bevacizumab plus focal laser than bevacizumab alone in 1 year follow-up from baseline that was statistically significant. The change in the bevacizumab alone group over the course of a 1 year was from 0.78 ± 0.50 </w:t>
      </w:r>
      <w:proofErr w:type="spellStart"/>
      <w:r w:rsidRPr="0070078A">
        <w:rPr>
          <w:rFonts w:ascii="Arial" w:hAnsi="Arial" w:cs="Arial"/>
        </w:rPr>
        <w:t>logMAR</w:t>
      </w:r>
      <w:proofErr w:type="spellEnd"/>
      <w:r w:rsidRPr="0070078A">
        <w:rPr>
          <w:rFonts w:ascii="Arial" w:hAnsi="Arial" w:cs="Arial"/>
        </w:rPr>
        <w:t xml:space="preserve"> to 0.75 ± 0.40 </w:t>
      </w:r>
      <w:proofErr w:type="spellStart"/>
      <w:r w:rsidRPr="0070078A">
        <w:rPr>
          <w:rFonts w:ascii="Arial" w:hAnsi="Arial" w:cs="Arial"/>
        </w:rPr>
        <w:t>logMAR</w:t>
      </w:r>
      <w:proofErr w:type="spellEnd"/>
      <w:r w:rsidRPr="0070078A">
        <w:rPr>
          <w:rFonts w:ascii="Arial" w:hAnsi="Arial" w:cs="Arial"/>
        </w:rPr>
        <w:t xml:space="preserve">, in contrast to combined group mean BCVA was 0.46 ± 0.35 </w:t>
      </w:r>
      <w:proofErr w:type="spellStart"/>
      <w:r w:rsidRPr="0070078A">
        <w:rPr>
          <w:rFonts w:ascii="Arial" w:hAnsi="Arial" w:cs="Arial"/>
        </w:rPr>
        <w:t>logMAR</w:t>
      </w:r>
      <w:proofErr w:type="spellEnd"/>
      <w:r w:rsidRPr="0070078A">
        <w:rPr>
          <w:rFonts w:ascii="Arial" w:hAnsi="Arial" w:cs="Arial"/>
        </w:rPr>
        <w:t xml:space="preserve"> from a baseline 0.73 ± 0.42logMAR. These similarities can be due to baseline visual </w:t>
      </w:r>
      <w:proofErr w:type="spellStart"/>
      <w:r w:rsidRPr="0070078A">
        <w:rPr>
          <w:rFonts w:ascii="Arial" w:hAnsi="Arial" w:cs="Arial"/>
        </w:rPr>
        <w:t>acity</w:t>
      </w:r>
      <w:proofErr w:type="spellEnd"/>
      <w:r w:rsidRPr="0070078A">
        <w:rPr>
          <w:rFonts w:ascii="Arial" w:hAnsi="Arial" w:cs="Arial"/>
        </w:rPr>
        <w:t xml:space="preserve"> levels, whereby those who had good baseline visual </w:t>
      </w:r>
      <w:proofErr w:type="spellStart"/>
      <w:r w:rsidRPr="0070078A">
        <w:rPr>
          <w:rFonts w:ascii="Arial" w:hAnsi="Arial" w:cs="Arial"/>
        </w:rPr>
        <w:t>acity</w:t>
      </w:r>
      <w:proofErr w:type="spellEnd"/>
      <w:r w:rsidRPr="0070078A">
        <w:rPr>
          <w:rFonts w:ascii="Arial" w:hAnsi="Arial" w:cs="Arial"/>
        </w:rPr>
        <w:t xml:space="preserve"> (bevacizumab plus focal laser group) had better functional outcome at the end of follow-up.</w:t>
      </w:r>
    </w:p>
    <w:p w:rsidR="003D4A00" w:rsidRPr="0070078A" w:rsidRDefault="003D4A00" w:rsidP="003D4A00">
      <w:pPr>
        <w:jc w:val="both"/>
        <w:rPr>
          <w:rFonts w:ascii="Arial" w:hAnsi="Arial" w:cs="Arial"/>
        </w:rPr>
      </w:pPr>
      <w:r w:rsidRPr="0070078A">
        <w:rPr>
          <w:rFonts w:ascii="Arial" w:hAnsi="Arial" w:cs="Arial"/>
        </w:rPr>
        <w:t xml:space="preserve">However, this study findings differs from the study done by </w:t>
      </w:r>
      <w:proofErr w:type="spellStart"/>
      <w:r w:rsidRPr="0070078A">
        <w:rPr>
          <w:rFonts w:ascii="Arial" w:hAnsi="Arial" w:cs="Arial"/>
        </w:rPr>
        <w:t>Faghihi</w:t>
      </w:r>
      <w:proofErr w:type="spellEnd"/>
      <w:r w:rsidRPr="0070078A">
        <w:rPr>
          <w:rFonts w:ascii="Arial" w:hAnsi="Arial" w:cs="Arial"/>
        </w:rPr>
        <w:t xml:space="preserve"> et al., 2010, which reported more improvement in the bevacizumab alone group from baseline 0.326 ± 0.70 </w:t>
      </w:r>
      <w:proofErr w:type="spellStart"/>
      <w:r w:rsidRPr="0070078A">
        <w:rPr>
          <w:rFonts w:ascii="Arial" w:hAnsi="Arial" w:cs="Arial"/>
        </w:rPr>
        <w:lastRenderedPageBreak/>
        <w:t>logMAR</w:t>
      </w:r>
      <w:proofErr w:type="spellEnd"/>
      <w:r w:rsidRPr="0070078A">
        <w:rPr>
          <w:rFonts w:ascii="Arial" w:hAnsi="Arial" w:cs="Arial"/>
        </w:rPr>
        <w:t xml:space="preserve"> to 0.188 ± 0.20 </w:t>
      </w:r>
      <w:proofErr w:type="spellStart"/>
      <w:r w:rsidRPr="0070078A">
        <w:rPr>
          <w:rFonts w:ascii="Arial" w:hAnsi="Arial" w:cs="Arial"/>
        </w:rPr>
        <w:t>logMAR</w:t>
      </w:r>
      <w:proofErr w:type="spellEnd"/>
      <w:r w:rsidRPr="0070078A">
        <w:rPr>
          <w:rFonts w:ascii="Arial" w:hAnsi="Arial" w:cs="Arial"/>
        </w:rPr>
        <w:t xml:space="preserve"> than in the bevacizumab plus focal laser group after 6 months of follow-up. Also, Lee et al., 2011 found that at the end of follow-up neither therapy showed any significant improvement in visual acuity. In the bevacizumab alone group, the change was from 0.32 ± 0.20 </w:t>
      </w:r>
      <w:proofErr w:type="spellStart"/>
      <w:r w:rsidRPr="0070078A">
        <w:rPr>
          <w:rFonts w:ascii="Arial" w:hAnsi="Arial" w:cs="Arial"/>
        </w:rPr>
        <w:t>logMAR</w:t>
      </w:r>
      <w:proofErr w:type="spellEnd"/>
      <w:r w:rsidRPr="0070078A">
        <w:rPr>
          <w:rFonts w:ascii="Arial" w:hAnsi="Arial" w:cs="Arial"/>
        </w:rPr>
        <w:t xml:space="preserve"> to 0.29 ± 0.18 </w:t>
      </w:r>
      <w:proofErr w:type="spellStart"/>
      <w:r w:rsidRPr="0070078A">
        <w:rPr>
          <w:rFonts w:ascii="Arial" w:hAnsi="Arial" w:cs="Arial"/>
        </w:rPr>
        <w:t>logMAR</w:t>
      </w:r>
      <w:proofErr w:type="spellEnd"/>
      <w:r w:rsidRPr="0070078A">
        <w:rPr>
          <w:rFonts w:ascii="Arial" w:hAnsi="Arial" w:cs="Arial"/>
        </w:rPr>
        <w:t xml:space="preserve"> at 6 months, while in the combined group the change was from 0.36 ± 0.18 </w:t>
      </w:r>
      <w:proofErr w:type="spellStart"/>
      <w:r w:rsidRPr="0070078A">
        <w:rPr>
          <w:rFonts w:ascii="Arial" w:hAnsi="Arial" w:cs="Arial"/>
        </w:rPr>
        <w:t>logMAR</w:t>
      </w:r>
      <w:proofErr w:type="spellEnd"/>
      <w:r w:rsidRPr="0070078A">
        <w:rPr>
          <w:rFonts w:ascii="Arial" w:hAnsi="Arial" w:cs="Arial"/>
        </w:rPr>
        <w:t xml:space="preserve"> to 0.32 ± 0.22 </w:t>
      </w:r>
      <w:proofErr w:type="spellStart"/>
      <w:r w:rsidRPr="0070078A">
        <w:rPr>
          <w:rFonts w:ascii="Arial" w:hAnsi="Arial" w:cs="Arial"/>
        </w:rPr>
        <w:t>logMAR</w:t>
      </w:r>
      <w:proofErr w:type="spellEnd"/>
      <w:r w:rsidRPr="0070078A">
        <w:rPr>
          <w:rFonts w:ascii="Arial" w:hAnsi="Arial" w:cs="Arial"/>
        </w:rPr>
        <w:t>. These differences could be due to the shorter duration of the study, less sample size used and visual acuity at baseline.</w:t>
      </w:r>
    </w:p>
    <w:p w:rsidR="003D4A00" w:rsidRPr="0070078A" w:rsidRDefault="003D4A00" w:rsidP="003D4A00">
      <w:pPr>
        <w:jc w:val="both"/>
        <w:rPr>
          <w:rFonts w:ascii="Arial" w:hAnsi="Arial" w:cs="Arial"/>
        </w:rPr>
      </w:pPr>
      <w:r w:rsidRPr="0070078A">
        <w:rPr>
          <w:rFonts w:ascii="Arial" w:hAnsi="Arial" w:cs="Arial"/>
        </w:rPr>
        <w:t xml:space="preserve">With regard to anatomical change of patients with diabetic macular edema treated by bevacizumab alone or bevacizumab plus focal laser, both groups showed statistically significant reductions in central macular thickness (CMT) in all follow-up visits. However, the bevacizumab plus focal laser group consistently achieved better anatomical outcomes from (453.48 ± 155.61µm; 95% CI: 425.36-481.61) to (277.14 ± 63.84 µm; 95% CI: 265.40-288.88, </w:t>
      </w:r>
      <w:r w:rsidRPr="0070078A">
        <w:rPr>
          <w:rFonts w:ascii="Arial" w:hAnsi="Arial" w:cs="Arial"/>
          <w:i/>
        </w:rPr>
        <w:t>P</w:t>
      </w:r>
      <w:r w:rsidRPr="0070078A">
        <w:rPr>
          <w:rFonts w:ascii="Arial" w:hAnsi="Arial" w:cs="Arial"/>
        </w:rPr>
        <w:t xml:space="preserve"> &lt; .001) than the bevacizumab alone group, from (424.72 ± 195.32 µm; 95% CI: 388.79-460.6) to (287.05 ± 81.86 µm; 95% CI: 272.25-301.85, </w:t>
      </w:r>
      <w:r w:rsidRPr="0070078A">
        <w:rPr>
          <w:rFonts w:ascii="Arial" w:hAnsi="Arial" w:cs="Arial"/>
          <w:i/>
        </w:rPr>
        <w:t>P</w:t>
      </w:r>
      <w:r w:rsidRPr="0070078A">
        <w:rPr>
          <w:rFonts w:ascii="Arial" w:hAnsi="Arial" w:cs="Arial"/>
        </w:rPr>
        <w:t xml:space="preserve"> &lt; .001) at the end of follow-up (1 year).  These findings could be due to the synergistic action of bevacizumab plus focal laser, whereby bevacizumab tends to inhibit VEGF hence reducing vascular permeability and leakage of retinal blood vessels and focal laser leads to retinal scarr</w:t>
      </w:r>
      <w:r w:rsidR="005334CE">
        <w:rPr>
          <w:rFonts w:ascii="Arial" w:hAnsi="Arial" w:cs="Arial"/>
        </w:rPr>
        <w:t>ing and sealing of</w:t>
      </w:r>
      <w:r w:rsidRPr="0070078A">
        <w:rPr>
          <w:rFonts w:ascii="Arial" w:hAnsi="Arial" w:cs="Arial"/>
        </w:rPr>
        <w:t xml:space="preserve"> </w:t>
      </w:r>
      <w:r w:rsidR="00CF05A4">
        <w:rPr>
          <w:rFonts w:ascii="Arial" w:hAnsi="Arial" w:cs="Arial"/>
        </w:rPr>
        <w:t>microaneurysm</w:t>
      </w:r>
      <w:r w:rsidR="005334CE" w:rsidRPr="0070078A">
        <w:rPr>
          <w:rFonts w:ascii="Arial" w:hAnsi="Arial" w:cs="Arial"/>
        </w:rPr>
        <w:t xml:space="preserve"> </w:t>
      </w:r>
      <w:r w:rsidRPr="0070078A">
        <w:rPr>
          <w:rFonts w:ascii="Arial" w:hAnsi="Arial" w:cs="Arial"/>
        </w:rPr>
        <w:t xml:space="preserve">that provide long term benefit that bevacizumab alone. A study with similar results to this included </w:t>
      </w:r>
      <w:proofErr w:type="spellStart"/>
      <w:r w:rsidRPr="0070078A">
        <w:rPr>
          <w:rFonts w:ascii="Arial" w:hAnsi="Arial" w:cs="Arial"/>
        </w:rPr>
        <w:t>Shalaby</w:t>
      </w:r>
      <w:proofErr w:type="spellEnd"/>
      <w:r w:rsidRPr="0070078A">
        <w:rPr>
          <w:rFonts w:ascii="Arial" w:hAnsi="Arial" w:cs="Arial"/>
        </w:rPr>
        <w:t xml:space="preserve"> et al., 2023 found that combination group (bevacizumab plus focal laser) had a lower final mean Centre macular thickness from 396 ± 46 µm to 156.5 ± 33 µm than the bevacizumab alone group change from 398 ± 51µm to 138.3 ± 40 µm (</w:t>
      </w:r>
      <w:r w:rsidRPr="0070078A">
        <w:rPr>
          <w:rFonts w:ascii="Arial" w:hAnsi="Arial" w:cs="Arial"/>
          <w:i/>
        </w:rPr>
        <w:t>P</w:t>
      </w:r>
      <w:r w:rsidRPr="0070078A">
        <w:rPr>
          <w:rFonts w:ascii="Arial" w:hAnsi="Arial" w:cs="Arial"/>
        </w:rPr>
        <w:t xml:space="preserve"> &lt;.0001). These findings can be due to the long duration of study (1 year). Also, a study done by Akpolat et al., 2018, Solainam et al., 2010, Akpolat et al., 2018 concluded that adding macular laser to bevacizumab reduces macular thickness more than the bevacizumab alone group.  These study findings are different from the study done by </w:t>
      </w:r>
      <w:proofErr w:type="spellStart"/>
      <w:r w:rsidRPr="0070078A">
        <w:rPr>
          <w:rFonts w:ascii="Arial" w:hAnsi="Arial" w:cs="Arial"/>
        </w:rPr>
        <w:t>Faghihi</w:t>
      </w:r>
      <w:proofErr w:type="spellEnd"/>
      <w:r w:rsidRPr="0070078A">
        <w:rPr>
          <w:rFonts w:ascii="Arial" w:hAnsi="Arial" w:cs="Arial"/>
        </w:rPr>
        <w:t xml:space="preserve"> et al., 2010, whereby both groups had the same reduction of mean macular thickness at the end of follow-up. bevacizumab alone change was from 261 ± 115 µm at the baseline to 221 ± 87 µm at 6 months and in combined mean center macular thickness changes from 270 ± 93µm at the baseline to 225 ± 80 µm after 6 months of treatment. This findings could be due to the sample had mild edema and a shorter follow-up time (6 months). </w:t>
      </w:r>
    </w:p>
    <w:p w:rsidR="003D4A00" w:rsidRPr="0070078A" w:rsidRDefault="003D4A00" w:rsidP="003D4A00">
      <w:pPr>
        <w:jc w:val="both"/>
        <w:rPr>
          <w:rFonts w:ascii="Arial" w:hAnsi="Arial" w:cs="Arial"/>
        </w:rPr>
      </w:pPr>
      <w:r w:rsidRPr="0070078A">
        <w:rPr>
          <w:rFonts w:ascii="Arial" w:hAnsi="Arial" w:cs="Arial"/>
        </w:rPr>
        <w:t xml:space="preserve">With regard to factors affecting visual outcomes of patients with diabetic macular edema treated by bevacizumab alone or bevacizumab plus focal laser group, the following were the factors that affected functional success: participants who received bevacizumab plus focal laser, male gender, duration of diabetes more than 15 years and good baseline visual acuity. Participants who received bevacizumab plus focal laser showed a statistically significant association with functional success, whereby participants who received bevacizumab plus focal laser had 65% higher functional success (CHR = 1.65; 95% CI: 1.17-2.33; </w:t>
      </w:r>
      <w:r w:rsidRPr="0070078A">
        <w:rPr>
          <w:rFonts w:ascii="Arial" w:hAnsi="Arial" w:cs="Arial"/>
          <w:i/>
        </w:rPr>
        <w:t>P</w:t>
      </w:r>
      <w:r w:rsidRPr="0070078A">
        <w:rPr>
          <w:rFonts w:ascii="Arial" w:hAnsi="Arial" w:cs="Arial"/>
        </w:rPr>
        <w:t xml:space="preserve"> -value &lt;.005) compared to participants who received bevacizumab alone. These findings could be due to synergistic action of bevacizumab plus focal laser, whereby bevacizumab tends to inhibits VEGF hence reducing vascular permeability and leakage of retinal blood vessels and focal laser leads to retinal scarring and sealing of </w:t>
      </w:r>
      <w:r w:rsidR="00CF05A4">
        <w:rPr>
          <w:rFonts w:ascii="Arial" w:hAnsi="Arial" w:cs="Arial"/>
        </w:rPr>
        <w:t>microaneurysm</w:t>
      </w:r>
      <w:r w:rsidRPr="0070078A">
        <w:rPr>
          <w:rFonts w:ascii="Arial" w:hAnsi="Arial" w:cs="Arial"/>
        </w:rPr>
        <w:t xml:space="preserve"> that provide long term benefit that bevacizumab alone. These findings are the same as the study that was done by Arevalo et al., 2013 where the combine group had good visual outcome than the bevacizumab alone group. This is different from the study done by </w:t>
      </w:r>
      <w:proofErr w:type="spellStart"/>
      <w:r w:rsidRPr="0070078A">
        <w:rPr>
          <w:rFonts w:ascii="Arial" w:hAnsi="Arial" w:cs="Arial"/>
        </w:rPr>
        <w:t>Shalaby</w:t>
      </w:r>
      <w:proofErr w:type="spellEnd"/>
      <w:r w:rsidRPr="0070078A">
        <w:rPr>
          <w:rFonts w:ascii="Arial" w:hAnsi="Arial" w:cs="Arial"/>
        </w:rPr>
        <w:t xml:space="preserve"> et al., 2023 that found no clinically significant differences at baseline observed between the two treatment groups. This could be due to small sample size used. Also, males participants were 45% less likely to achieve better functional success compared to female participants (CHR = 0.55; 95% CI: 0.38-0.79; </w:t>
      </w:r>
      <w:r w:rsidRPr="0070078A">
        <w:rPr>
          <w:rFonts w:ascii="Arial" w:hAnsi="Arial" w:cs="Arial"/>
          <w:i/>
        </w:rPr>
        <w:t>P</w:t>
      </w:r>
      <w:r w:rsidRPr="0070078A">
        <w:rPr>
          <w:rFonts w:ascii="Arial" w:hAnsi="Arial" w:cs="Arial"/>
        </w:rPr>
        <w:t xml:space="preserve"> -value &lt;.001) this association was statistically significant. These findings could be due to health seeking behavior whereby male has poor health seeking behavior and hence poor compliance with medications and follow-up which is critical for visual outcomes. Similar studies done by </w:t>
      </w:r>
      <w:proofErr w:type="spellStart"/>
      <w:r w:rsidRPr="0070078A">
        <w:rPr>
          <w:rFonts w:ascii="Arial" w:hAnsi="Arial" w:cs="Arial"/>
        </w:rPr>
        <w:t>Weingessel</w:t>
      </w:r>
      <w:proofErr w:type="spellEnd"/>
      <w:r w:rsidRPr="0070078A">
        <w:rPr>
          <w:rFonts w:ascii="Arial" w:hAnsi="Arial" w:cs="Arial"/>
        </w:rPr>
        <w:t xml:space="preserve"> et al., 2018 found male participants were more common than female participants to have DME and poor visual outcome. Patients with ≥15 years of diabetes were 30% less likely to have better functional success </w:t>
      </w:r>
      <w:r w:rsidRPr="0070078A">
        <w:rPr>
          <w:rFonts w:ascii="Arial" w:hAnsi="Arial" w:cs="Arial"/>
        </w:rPr>
        <w:lastRenderedPageBreak/>
        <w:t>compared to those with &lt;15 years, this association was statistically significant (CHR = 0.70; 95% CI: 0.50-0.99;</w:t>
      </w:r>
      <w:r w:rsidRPr="0070078A">
        <w:rPr>
          <w:rFonts w:ascii="Arial" w:hAnsi="Arial" w:cs="Arial"/>
          <w:i/>
        </w:rPr>
        <w:t xml:space="preserve"> P</w:t>
      </w:r>
      <w:r w:rsidRPr="0070078A">
        <w:rPr>
          <w:rFonts w:ascii="Arial" w:hAnsi="Arial" w:cs="Arial"/>
        </w:rPr>
        <w:t xml:space="preserve"> -value &lt;.042). This could be due to long standing diabetes leading to irreversible chronic microvascular damage like capillary non perfusion and ischemia which limits visual recovery despite edema resolution. These findings are the same as those from the study by Kanji et al., 2020, whereby patients with ≥10 year’s duration of diabetic mellitus were significantly less likely to reduce mean Centre macular thickness. This could be due to some study area and the same retrospective study design. Patients with good baseline visual acuity were 2.44 times more likely to have higher functional success compared to those with poor baseline visual acuity, this association  was statistically significant (CHR = 2.44; 95% CI: 1.71-3.50; </w:t>
      </w:r>
      <w:r w:rsidRPr="0070078A">
        <w:rPr>
          <w:rFonts w:ascii="Arial" w:hAnsi="Arial" w:cs="Arial"/>
          <w:i/>
        </w:rPr>
        <w:t>P</w:t>
      </w:r>
      <w:r w:rsidRPr="0070078A">
        <w:rPr>
          <w:rFonts w:ascii="Arial" w:hAnsi="Arial" w:cs="Arial"/>
        </w:rPr>
        <w:t xml:space="preserve"> &lt; .001). Good baseline visual acuity could be due to less macular ischemia and preserved retinal structures especially outer retinal layers and photoreceptors which are essential for functional success. These findings are the same as the study done by </w:t>
      </w:r>
      <w:proofErr w:type="spellStart"/>
      <w:r w:rsidRPr="0070078A">
        <w:rPr>
          <w:rFonts w:ascii="Arial" w:hAnsi="Arial" w:cs="Arial"/>
        </w:rPr>
        <w:t>Kabunga</w:t>
      </w:r>
      <w:proofErr w:type="spellEnd"/>
      <w:r w:rsidRPr="0070078A">
        <w:rPr>
          <w:rFonts w:ascii="Arial" w:hAnsi="Arial" w:cs="Arial"/>
        </w:rPr>
        <w:t xml:space="preserve"> et al., 2022 whereby baseline BCVA was the strongest predictor of visual improvement at 3 months for patients who received intravitreal bevacizumab alone. But </w:t>
      </w:r>
      <w:proofErr w:type="spellStart"/>
      <w:r w:rsidRPr="0070078A">
        <w:rPr>
          <w:rFonts w:ascii="Arial" w:hAnsi="Arial" w:cs="Arial"/>
        </w:rPr>
        <w:t>Shalaby</w:t>
      </w:r>
      <w:proofErr w:type="spellEnd"/>
      <w:r w:rsidRPr="0070078A">
        <w:rPr>
          <w:rFonts w:ascii="Arial" w:hAnsi="Arial" w:cs="Arial"/>
        </w:rPr>
        <w:t xml:space="preserve"> et al., 2023 found that there were no clinically significant differences at baseline observed between the two treatment groups based on baseline BCVA. After adjusting only male gender and baseline visual acuity shows a significant association. Males were still 35% less likely to achieve better functional success compared to females (AHR = 0.65; 95% CI: 0.45-0.95; </w:t>
      </w:r>
      <w:r w:rsidRPr="0070078A">
        <w:rPr>
          <w:rFonts w:ascii="Arial" w:hAnsi="Arial" w:cs="Arial"/>
          <w:i/>
        </w:rPr>
        <w:t>P</w:t>
      </w:r>
      <w:r w:rsidRPr="0070078A">
        <w:rPr>
          <w:rFonts w:ascii="Arial" w:hAnsi="Arial" w:cs="Arial"/>
        </w:rPr>
        <w:t xml:space="preserve"> = .025) and patients with good baseline visual acuity were 2.2 times more likely to have higher functional success than those who started with poor visual acuity, this association was statistically significant (AHR = 2.20; 95% CI: 1.50-3.22 </w:t>
      </w:r>
      <w:r w:rsidRPr="0070078A">
        <w:rPr>
          <w:rFonts w:ascii="Arial" w:hAnsi="Arial" w:cs="Arial"/>
          <w:i/>
        </w:rPr>
        <w:t>P</w:t>
      </w:r>
      <w:r w:rsidRPr="0070078A">
        <w:rPr>
          <w:rFonts w:ascii="Arial" w:hAnsi="Arial" w:cs="Arial"/>
        </w:rPr>
        <w:t xml:space="preserve"> &lt; .001). With regard to anatomical success only number of intravitreal bevacizumab showed a significance association with anatomical success, whereby participants who had greater than 3 intravitreal bevacizumab were 70% (CHR = 0.30; 95% CI: 0.49-0.98; </w:t>
      </w:r>
      <w:r w:rsidRPr="0070078A">
        <w:rPr>
          <w:rFonts w:ascii="Arial" w:hAnsi="Arial" w:cs="Arial"/>
          <w:i/>
        </w:rPr>
        <w:t>P</w:t>
      </w:r>
      <w:r w:rsidRPr="0070078A">
        <w:rPr>
          <w:rFonts w:ascii="Arial" w:hAnsi="Arial" w:cs="Arial"/>
        </w:rPr>
        <w:t xml:space="preserve"> -value = .042) significantly less likely to have anatomical success compared to participants with intravitreal bevacizumab less than or equal to 3. These findings could be due to patients requiring more than 3 injections are possibly those who had more chronic or severe DME, so more injections to these patients was the marker of severity which correlates with lower anatomical success. These findings are the same as the study done by Arevalo et al., 2013, whereby in intravitreal bevacizumab plus focal laser group needed less number of injections and had better visual outcomes than the intravitreal bevacizumab alone group. After adjusting, there were no variables that showed significant association with anatomical success.</w:t>
      </w:r>
    </w:p>
    <w:p w:rsidR="003D4A00" w:rsidRDefault="003D4A00" w:rsidP="00441B6F">
      <w:pPr>
        <w:pStyle w:val="Head1"/>
        <w:spacing w:after="0"/>
        <w:jc w:val="both"/>
        <w:rPr>
          <w:rFonts w:ascii="Arial" w:hAnsi="Arial" w:cs="Arial"/>
        </w:rPr>
      </w:pPr>
    </w:p>
    <w:p w:rsidR="00790ADA" w:rsidRPr="00FB3A86" w:rsidRDefault="00790ADA" w:rsidP="00441B6F">
      <w:pPr>
        <w:pStyle w:val="Head1"/>
        <w:spacing w:after="0"/>
        <w:jc w:val="both"/>
        <w:rPr>
          <w:rFonts w:ascii="Arial" w:hAnsi="Arial" w:cs="Arial"/>
        </w:rPr>
      </w:pPr>
    </w:p>
    <w:p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rsidR="00BA7495" w:rsidRPr="0070078A" w:rsidRDefault="00BA7495" w:rsidP="00BA7495">
      <w:pPr>
        <w:jc w:val="both"/>
        <w:rPr>
          <w:rFonts w:ascii="Arial" w:hAnsi="Arial" w:cs="Arial"/>
        </w:rPr>
      </w:pPr>
      <w:r w:rsidRPr="0070078A">
        <w:rPr>
          <w:rFonts w:ascii="Arial" w:hAnsi="Arial" w:cs="Arial"/>
        </w:rPr>
        <w:t>This study showed that the intravitreal bevacizumab plus focal laser group led to better visual outcomes over a 1year period compared to the bevacizumab alone group in patients with diabetic macular edema. Patients in the combination group had significantly greater improvements in functional outcomes, especially those with good baseline visual acuity, female gender, and shorter diabetes duration of less than 15 years.</w:t>
      </w:r>
    </w:p>
    <w:p w:rsidR="00BA7495" w:rsidRDefault="00BA7495" w:rsidP="00BA7495">
      <w:pPr>
        <w:jc w:val="both"/>
        <w:rPr>
          <w:rFonts w:ascii="Arial" w:hAnsi="Arial" w:cs="Arial"/>
        </w:rPr>
      </w:pPr>
      <w:r w:rsidRPr="0070078A">
        <w:rPr>
          <w:rFonts w:ascii="Arial" w:hAnsi="Arial" w:cs="Arial"/>
        </w:rPr>
        <w:t>In anatomical outcomes based on mean central macular thickness both groups showed significant improvement in functional outcome, but the bevacizumab plus focal laser group again had slightly higher anatomical success than the bevacizumab only group. Less number of intravitreal bevacizumab injections (≤3) was associated with better anatomical outcomes.</w:t>
      </w:r>
    </w:p>
    <w:p w:rsidR="00D24E3C" w:rsidRDefault="00D24E3C" w:rsidP="00BA7495">
      <w:pPr>
        <w:jc w:val="both"/>
        <w:rPr>
          <w:rFonts w:ascii="Arial" w:hAnsi="Arial" w:cs="Arial"/>
        </w:rPr>
      </w:pPr>
    </w:p>
    <w:p w:rsidR="00D24E3C" w:rsidRDefault="00D24E3C" w:rsidP="00D24E3C">
      <w:pPr>
        <w:pStyle w:val="Body"/>
        <w:spacing w:after="0"/>
        <w:rPr>
          <w:rFonts w:ascii="Arial" w:eastAsiaTheme="majorEastAsia" w:hAnsi="Arial" w:cs="Arial"/>
          <w:b/>
          <w:color w:val="000000" w:themeColor="text1"/>
          <w:kern w:val="24"/>
          <w:sz w:val="22"/>
          <w:szCs w:val="22"/>
        </w:rPr>
      </w:pPr>
      <w:r w:rsidRPr="00A72647">
        <w:rPr>
          <w:rFonts w:ascii="Arial" w:eastAsiaTheme="majorEastAsia" w:hAnsi="Arial" w:cs="Arial"/>
          <w:b/>
          <w:color w:val="000000" w:themeColor="text1"/>
          <w:kern w:val="24"/>
          <w:sz w:val="22"/>
          <w:szCs w:val="22"/>
        </w:rPr>
        <w:t>OPERATIONAL DEFINITIONS</w:t>
      </w:r>
    </w:p>
    <w:p w:rsidR="00D24E3C" w:rsidRPr="00A72647" w:rsidRDefault="00D24E3C" w:rsidP="00D24E3C">
      <w:pPr>
        <w:pStyle w:val="Body"/>
        <w:rPr>
          <w:rFonts w:ascii="Arial" w:hAnsi="Arial" w:cs="Arial"/>
        </w:rPr>
      </w:pPr>
      <w:r w:rsidRPr="00A72647">
        <w:rPr>
          <w:rFonts w:ascii="Arial" w:hAnsi="Arial" w:cs="Arial"/>
        </w:rPr>
        <w:t xml:space="preserve">Macula edema is defined </w:t>
      </w:r>
      <w:r>
        <w:rPr>
          <w:rFonts w:ascii="Arial" w:hAnsi="Arial" w:cs="Arial"/>
        </w:rPr>
        <w:t xml:space="preserve">as a central macular thickness </w:t>
      </w:r>
      <w:r w:rsidRPr="00A72647">
        <w:rPr>
          <w:rFonts w:ascii="Arial" w:hAnsi="Arial" w:cs="Arial"/>
        </w:rPr>
        <w:t>(CMT) of above 250µm as determined by Optical Coherent Tomography.</w:t>
      </w:r>
    </w:p>
    <w:p w:rsidR="00D24E3C" w:rsidRPr="00A72647" w:rsidRDefault="00D24E3C" w:rsidP="00D24E3C">
      <w:pPr>
        <w:pStyle w:val="Body"/>
        <w:rPr>
          <w:rFonts w:ascii="Arial" w:hAnsi="Arial" w:cs="Arial"/>
        </w:rPr>
      </w:pPr>
      <w:r w:rsidRPr="00A72647">
        <w:rPr>
          <w:rFonts w:ascii="Arial" w:hAnsi="Arial" w:cs="Arial"/>
        </w:rPr>
        <w:t xml:space="preserve">Visual outcome will </w:t>
      </w:r>
      <w:r>
        <w:rPr>
          <w:rFonts w:ascii="Arial" w:hAnsi="Arial" w:cs="Arial"/>
        </w:rPr>
        <w:t xml:space="preserve">be categorized as good with a visual acuity of ≥ 6/60. </w:t>
      </w:r>
      <w:proofErr w:type="gramStart"/>
      <w:r>
        <w:rPr>
          <w:rFonts w:ascii="Arial" w:hAnsi="Arial" w:cs="Arial"/>
        </w:rPr>
        <w:t>Poor</w:t>
      </w:r>
      <w:r w:rsidRPr="00A30B1F">
        <w:rPr>
          <w:rFonts w:ascii="Arial" w:hAnsi="Arial" w:cs="Arial"/>
        </w:rPr>
        <w:t xml:space="preserve"> </w:t>
      </w:r>
      <w:r>
        <w:rPr>
          <w:rFonts w:ascii="Arial" w:hAnsi="Arial" w:cs="Arial"/>
        </w:rPr>
        <w:t xml:space="preserve">visual acuity </w:t>
      </w:r>
      <w:r w:rsidRPr="00A72647">
        <w:rPr>
          <w:rFonts w:ascii="Arial" w:hAnsi="Arial" w:cs="Arial"/>
        </w:rPr>
        <w:t>&lt; 6/60 after 1 year follow-up.</w:t>
      </w:r>
      <w:proofErr w:type="gramEnd"/>
    </w:p>
    <w:p w:rsidR="00D24E3C" w:rsidRDefault="00D24E3C" w:rsidP="00D24E3C">
      <w:pPr>
        <w:pStyle w:val="Body"/>
        <w:spacing w:after="0"/>
        <w:rPr>
          <w:rFonts w:ascii="Arial" w:hAnsi="Arial" w:cs="Arial"/>
          <w:b/>
          <w:sz w:val="22"/>
          <w:szCs w:val="22"/>
        </w:rPr>
      </w:pPr>
      <w:r w:rsidRPr="00A72647">
        <w:rPr>
          <w:rFonts w:ascii="Arial" w:hAnsi="Arial" w:cs="Arial"/>
        </w:rPr>
        <w:lastRenderedPageBreak/>
        <w:t>Anatomical outcome will be determined as succ</w:t>
      </w:r>
      <w:r>
        <w:rPr>
          <w:rFonts w:ascii="Arial" w:hAnsi="Arial" w:cs="Arial"/>
        </w:rPr>
        <w:t xml:space="preserve">ess if CMT ≤ 250µm and failure </w:t>
      </w:r>
      <w:r w:rsidRPr="00A72647">
        <w:rPr>
          <w:rFonts w:ascii="Arial" w:hAnsi="Arial" w:cs="Arial"/>
        </w:rPr>
        <w:t>if CMT &gt;250µm at 1 year follow up</w:t>
      </w:r>
      <w:r>
        <w:rPr>
          <w:rFonts w:ascii="Arial" w:hAnsi="Arial" w:cs="Arial"/>
          <w:b/>
          <w:sz w:val="22"/>
          <w:szCs w:val="22"/>
        </w:rPr>
        <w:t>.</w:t>
      </w:r>
    </w:p>
    <w:p w:rsidR="00D24E3C" w:rsidRDefault="00D24E3C" w:rsidP="00D24E3C">
      <w:pPr>
        <w:pStyle w:val="Body"/>
        <w:spacing w:after="0"/>
        <w:rPr>
          <w:rFonts w:ascii="Arial" w:hAnsi="Arial" w:cs="Arial"/>
          <w:b/>
          <w:sz w:val="22"/>
          <w:szCs w:val="22"/>
        </w:rPr>
      </w:pPr>
    </w:p>
    <w:p w:rsidR="00D24E3C" w:rsidRDefault="00D24E3C" w:rsidP="00D24E3C">
      <w:pPr>
        <w:pStyle w:val="Body"/>
        <w:spacing w:after="0"/>
        <w:rPr>
          <w:rFonts w:ascii="Arial" w:hAnsi="Arial" w:cs="Arial"/>
          <w:b/>
          <w:sz w:val="22"/>
          <w:szCs w:val="22"/>
        </w:rPr>
      </w:pPr>
      <w:r w:rsidRPr="00A72647">
        <w:rPr>
          <w:rFonts w:ascii="Arial" w:hAnsi="Arial" w:cs="Arial"/>
          <w:b/>
          <w:sz w:val="22"/>
          <w:szCs w:val="22"/>
        </w:rPr>
        <w:t>ABBREVIATIONS</w:t>
      </w:r>
    </w:p>
    <w:p w:rsidR="00D24E3C" w:rsidRDefault="00D24E3C" w:rsidP="00D24E3C">
      <w:pPr>
        <w:pStyle w:val="Body"/>
        <w:spacing w:after="0"/>
        <w:rPr>
          <w:rFonts w:ascii="Arial" w:hAnsi="Arial" w:cs="Arial"/>
        </w:rPr>
      </w:pPr>
      <w:r w:rsidRPr="00DE42F1">
        <w:rPr>
          <w:rFonts w:ascii="Arial" w:hAnsi="Arial" w:cs="Arial"/>
        </w:rPr>
        <w:t>BCVA-     Best Corrected Visual Acuity</w:t>
      </w:r>
    </w:p>
    <w:p w:rsidR="00D24E3C" w:rsidRDefault="00D24E3C" w:rsidP="00D24E3C">
      <w:pPr>
        <w:pStyle w:val="Body"/>
        <w:spacing w:after="0"/>
        <w:rPr>
          <w:rFonts w:ascii="Arial" w:hAnsi="Arial" w:cs="Arial"/>
        </w:rPr>
      </w:pPr>
    </w:p>
    <w:p w:rsidR="00D24E3C" w:rsidRDefault="00D24E3C" w:rsidP="00D24E3C">
      <w:pPr>
        <w:pStyle w:val="Body"/>
        <w:spacing w:after="0"/>
        <w:rPr>
          <w:rFonts w:ascii="Arial" w:hAnsi="Arial" w:cs="Arial"/>
        </w:rPr>
      </w:pPr>
      <w:r w:rsidRPr="00DE42F1">
        <w:rPr>
          <w:rFonts w:ascii="Arial" w:hAnsi="Arial" w:cs="Arial"/>
        </w:rPr>
        <w:t>CMT-     Central macula thickness</w:t>
      </w:r>
    </w:p>
    <w:p w:rsidR="00D24E3C" w:rsidRDefault="00D24E3C" w:rsidP="00D24E3C">
      <w:pPr>
        <w:pStyle w:val="Body"/>
        <w:spacing w:after="0"/>
        <w:rPr>
          <w:rFonts w:ascii="Arial" w:hAnsi="Arial" w:cs="Arial"/>
        </w:rPr>
      </w:pPr>
    </w:p>
    <w:p w:rsidR="00D24E3C" w:rsidRDefault="00D24E3C" w:rsidP="00D24E3C">
      <w:pPr>
        <w:pStyle w:val="Body"/>
        <w:spacing w:after="0"/>
        <w:rPr>
          <w:rFonts w:ascii="Arial" w:hAnsi="Arial" w:cs="Arial"/>
        </w:rPr>
      </w:pPr>
      <w:r w:rsidRPr="00DE42F1">
        <w:rPr>
          <w:rFonts w:ascii="Arial" w:hAnsi="Arial" w:cs="Arial"/>
        </w:rPr>
        <w:t>DM-      Diabetes Mellitus</w:t>
      </w:r>
    </w:p>
    <w:p w:rsidR="00D24E3C" w:rsidRDefault="00D24E3C" w:rsidP="00D24E3C">
      <w:pPr>
        <w:pStyle w:val="Body"/>
        <w:spacing w:after="0"/>
        <w:rPr>
          <w:rFonts w:ascii="Arial" w:hAnsi="Arial" w:cs="Arial"/>
        </w:rPr>
      </w:pPr>
    </w:p>
    <w:p w:rsidR="00D24E3C" w:rsidRDefault="00D24E3C" w:rsidP="00D24E3C">
      <w:pPr>
        <w:pStyle w:val="Body"/>
        <w:spacing w:after="0"/>
        <w:rPr>
          <w:rFonts w:ascii="Arial" w:hAnsi="Arial" w:cs="Arial"/>
        </w:rPr>
      </w:pPr>
      <w:r w:rsidRPr="00C512DA">
        <w:rPr>
          <w:rFonts w:ascii="Arial" w:hAnsi="Arial" w:cs="Arial"/>
        </w:rPr>
        <w:t>DME-    Diabetic Macula Edema</w:t>
      </w:r>
    </w:p>
    <w:p w:rsidR="00D24E3C" w:rsidRDefault="00D24E3C" w:rsidP="00D24E3C">
      <w:pPr>
        <w:pStyle w:val="Body"/>
        <w:spacing w:after="0"/>
        <w:rPr>
          <w:rFonts w:ascii="Arial" w:hAnsi="Arial" w:cs="Arial"/>
        </w:rPr>
      </w:pPr>
    </w:p>
    <w:p w:rsidR="00D24E3C" w:rsidRPr="00DE42F1" w:rsidRDefault="00D24E3C" w:rsidP="00D24E3C">
      <w:pPr>
        <w:pStyle w:val="Body"/>
        <w:spacing w:after="0"/>
        <w:rPr>
          <w:rFonts w:ascii="Arial" w:hAnsi="Arial" w:cs="Arial"/>
        </w:rPr>
      </w:pPr>
      <w:r w:rsidRPr="00D42846">
        <w:rPr>
          <w:rFonts w:ascii="Arial" w:hAnsi="Arial" w:cs="Arial"/>
        </w:rPr>
        <w:t>KCMC-   Kilimanjaro Christian Medical Center</w:t>
      </w:r>
    </w:p>
    <w:p w:rsidR="00D24E3C" w:rsidRDefault="00D24E3C" w:rsidP="00D24E3C">
      <w:pPr>
        <w:pStyle w:val="Body"/>
        <w:spacing w:after="0"/>
        <w:rPr>
          <w:rFonts w:ascii="Arial" w:hAnsi="Arial" w:cs="Arial"/>
        </w:rPr>
      </w:pPr>
    </w:p>
    <w:p w:rsidR="00D24E3C" w:rsidRDefault="00D24E3C" w:rsidP="00D24E3C">
      <w:pPr>
        <w:pStyle w:val="Body"/>
        <w:spacing w:after="0"/>
        <w:rPr>
          <w:rFonts w:ascii="Arial" w:hAnsi="Arial" w:cs="Arial"/>
        </w:rPr>
      </w:pPr>
      <w:r w:rsidRPr="00C512DA">
        <w:rPr>
          <w:rFonts w:ascii="Arial" w:hAnsi="Arial" w:cs="Arial"/>
        </w:rPr>
        <w:t>OCT-         Optical Coherence Tomography</w:t>
      </w:r>
    </w:p>
    <w:p w:rsidR="00D24E3C" w:rsidRPr="00FD17D5" w:rsidRDefault="00D24E3C" w:rsidP="00D24E3C">
      <w:pPr>
        <w:pStyle w:val="Body"/>
        <w:rPr>
          <w:rFonts w:ascii="Arial" w:hAnsi="Arial" w:cs="Arial"/>
        </w:rPr>
      </w:pPr>
      <w:r w:rsidRPr="00FD17D5">
        <w:rPr>
          <w:rFonts w:ascii="Arial" w:hAnsi="Arial" w:cs="Arial"/>
        </w:rPr>
        <w:t>T1D -        Type 1 Diabetes</w:t>
      </w:r>
    </w:p>
    <w:p w:rsidR="00D24E3C" w:rsidRPr="00FD17D5" w:rsidRDefault="00D24E3C" w:rsidP="00D24E3C">
      <w:pPr>
        <w:pStyle w:val="Body"/>
        <w:rPr>
          <w:rFonts w:ascii="Arial" w:hAnsi="Arial" w:cs="Arial"/>
        </w:rPr>
      </w:pPr>
      <w:r w:rsidRPr="00FD17D5">
        <w:rPr>
          <w:rFonts w:ascii="Arial" w:hAnsi="Arial" w:cs="Arial"/>
        </w:rPr>
        <w:t xml:space="preserve">T2D-         Type 2 diabetes </w:t>
      </w:r>
    </w:p>
    <w:p w:rsidR="00D24E3C" w:rsidRPr="00FD17D5" w:rsidRDefault="00D24E3C" w:rsidP="00D24E3C">
      <w:pPr>
        <w:pStyle w:val="Body"/>
        <w:rPr>
          <w:rFonts w:ascii="Arial" w:hAnsi="Arial" w:cs="Arial"/>
        </w:rPr>
      </w:pPr>
      <w:r w:rsidRPr="00FD17D5">
        <w:rPr>
          <w:rFonts w:ascii="Arial" w:hAnsi="Arial" w:cs="Arial"/>
        </w:rPr>
        <w:t xml:space="preserve">VA-           Visual Acuity </w:t>
      </w:r>
    </w:p>
    <w:p w:rsidR="00D24E3C" w:rsidRPr="00FD17D5" w:rsidRDefault="00D24E3C" w:rsidP="00D24E3C">
      <w:pPr>
        <w:pStyle w:val="Body"/>
        <w:rPr>
          <w:rFonts w:ascii="Arial" w:hAnsi="Arial" w:cs="Arial"/>
        </w:rPr>
      </w:pPr>
      <w:r w:rsidRPr="00FD17D5">
        <w:rPr>
          <w:rFonts w:ascii="Arial" w:hAnsi="Arial" w:cs="Arial"/>
        </w:rPr>
        <w:t xml:space="preserve">VEGF-      Vascular Endothelial Growth Factor </w:t>
      </w:r>
    </w:p>
    <w:p w:rsidR="00D24E3C" w:rsidRDefault="00D24E3C" w:rsidP="00D24E3C">
      <w:pPr>
        <w:jc w:val="both"/>
        <w:rPr>
          <w:rFonts w:ascii="Arial" w:hAnsi="Arial" w:cs="Arial"/>
        </w:rPr>
      </w:pPr>
      <w:r w:rsidRPr="00FD17D5">
        <w:rPr>
          <w:rFonts w:ascii="Arial" w:hAnsi="Arial" w:cs="Arial"/>
        </w:rPr>
        <w:t>WHO-      World Health Organizatio</w:t>
      </w:r>
      <w:r>
        <w:rPr>
          <w:rFonts w:ascii="Arial" w:hAnsi="Arial" w:cs="Arial"/>
        </w:rPr>
        <w:t>n</w:t>
      </w:r>
    </w:p>
    <w:p w:rsidR="00D24E3C" w:rsidRDefault="00D24E3C" w:rsidP="00BA7495">
      <w:pPr>
        <w:jc w:val="both"/>
        <w:rPr>
          <w:rFonts w:ascii="Arial" w:hAnsi="Arial" w:cs="Arial"/>
        </w:rPr>
      </w:pPr>
    </w:p>
    <w:p w:rsidR="001D6D51" w:rsidRDefault="001D6D51" w:rsidP="00441B6F">
      <w:pPr>
        <w:pStyle w:val="ReferHead"/>
        <w:spacing w:after="0"/>
        <w:jc w:val="both"/>
        <w:rPr>
          <w:rFonts w:ascii="Arial" w:hAnsi="Arial" w:cs="Arial"/>
          <w:bCs/>
        </w:rPr>
      </w:pPr>
    </w:p>
    <w:p w:rsidR="002B685A" w:rsidRPr="002B685A" w:rsidRDefault="002B685A" w:rsidP="00441B6F">
      <w:pPr>
        <w:pStyle w:val="ReferHead"/>
        <w:spacing w:after="0"/>
        <w:jc w:val="both"/>
        <w:rPr>
          <w:rFonts w:ascii="Arial" w:hAnsi="Arial" w:cs="Arial"/>
          <w:bCs/>
        </w:rPr>
      </w:pPr>
      <w:r w:rsidRPr="002B685A">
        <w:rPr>
          <w:rFonts w:ascii="Arial" w:hAnsi="Arial" w:cs="Arial"/>
          <w:bCs/>
        </w:rPr>
        <w:t>Consent</w:t>
      </w:r>
      <w:r w:rsidR="001D6D51">
        <w:rPr>
          <w:rFonts w:ascii="Arial" w:hAnsi="Arial" w:cs="Arial"/>
          <w:bCs/>
        </w:rPr>
        <w:t xml:space="preserve"> </w:t>
      </w:r>
    </w:p>
    <w:p w:rsidR="005C784C" w:rsidRPr="001D6D51" w:rsidRDefault="001D6D51" w:rsidP="00441B6F">
      <w:pPr>
        <w:pStyle w:val="ReferHead"/>
        <w:spacing w:after="0"/>
        <w:jc w:val="both"/>
        <w:rPr>
          <w:rFonts w:ascii="Arial" w:hAnsi="Arial" w:cs="Arial"/>
          <w:b w:val="0"/>
          <w:caps w:val="0"/>
          <w:sz w:val="20"/>
        </w:rPr>
      </w:pPr>
      <w:r w:rsidRPr="001D6D51">
        <w:rPr>
          <w:rFonts w:ascii="Arial" w:hAnsi="Arial" w:cs="Arial"/>
          <w:b w:val="0"/>
          <w:caps w:val="0"/>
          <w:sz w:val="20"/>
        </w:rPr>
        <w:t>Written and informed consent has been obtained from the relevant authorities in accordance with the international standard.</w:t>
      </w:r>
    </w:p>
    <w:p w:rsidR="001D6D51" w:rsidRDefault="001D6D51" w:rsidP="00441B6F">
      <w:pPr>
        <w:pStyle w:val="ReferHead"/>
        <w:spacing w:after="0"/>
        <w:jc w:val="both"/>
        <w:rPr>
          <w:rFonts w:ascii="Arial" w:hAnsi="Arial" w:cs="Arial"/>
          <w:bCs/>
        </w:rPr>
      </w:pPr>
    </w:p>
    <w:p w:rsidR="005C784C" w:rsidRDefault="00322A2F" w:rsidP="00441B6F">
      <w:pPr>
        <w:pStyle w:val="ReferHead"/>
        <w:spacing w:after="0"/>
        <w:jc w:val="both"/>
        <w:rPr>
          <w:rFonts w:ascii="Arial" w:hAnsi="Arial" w:cs="Arial"/>
          <w:bCs/>
        </w:rPr>
      </w:pPr>
      <w:r>
        <w:rPr>
          <w:rFonts w:ascii="Arial" w:hAnsi="Arial" w:cs="Arial"/>
          <w:bCs/>
        </w:rPr>
        <w:t>Ethical approval</w:t>
      </w:r>
    </w:p>
    <w:p w:rsidR="00322A2F" w:rsidRDefault="00322A2F" w:rsidP="00322A2F">
      <w:pPr>
        <w:jc w:val="both"/>
        <w:rPr>
          <w:rFonts w:ascii="Arial" w:hAnsi="Arial" w:cs="Arial"/>
        </w:rPr>
      </w:pPr>
    </w:p>
    <w:p w:rsidR="00322A2F" w:rsidRPr="0070078A" w:rsidRDefault="00322A2F" w:rsidP="00322A2F">
      <w:pPr>
        <w:jc w:val="both"/>
        <w:rPr>
          <w:rFonts w:ascii="Arial" w:hAnsi="Arial" w:cs="Arial"/>
        </w:rPr>
      </w:pPr>
      <w:r w:rsidRPr="0070078A">
        <w:rPr>
          <w:rFonts w:ascii="Arial" w:hAnsi="Arial" w:cs="Arial"/>
        </w:rPr>
        <w:t>Ethical consideration approval was obtained from the KCMC University and Research Ethics Review Committee (KCMC-RERC) (PG 96/2024).</w:t>
      </w:r>
    </w:p>
    <w:p w:rsidR="00322A2F" w:rsidRDefault="00322A2F" w:rsidP="00322A2F">
      <w:pPr>
        <w:jc w:val="both"/>
        <w:rPr>
          <w:rFonts w:ascii="Arial" w:hAnsi="Arial" w:cs="Arial"/>
        </w:rPr>
      </w:pPr>
      <w:r w:rsidRPr="0070078A">
        <w:rPr>
          <w:rFonts w:ascii="Arial" w:hAnsi="Arial" w:cs="Arial"/>
        </w:rPr>
        <w:t>During the data collection process, participant’s number was used instead of names, and their information was handled with caution to safeguard confidentiality.</w:t>
      </w:r>
    </w:p>
    <w:p w:rsidR="00FE4218" w:rsidRPr="00F82A18" w:rsidRDefault="00FE4218" w:rsidP="00F82A18">
      <w:pPr>
        <w:rPr>
          <w:rFonts w:ascii="Arial" w:hAnsi="Arial" w:cs="Arial"/>
          <w:b/>
          <w:sz w:val="22"/>
          <w:szCs w:val="22"/>
        </w:rPr>
      </w:pPr>
    </w:p>
    <w:p w:rsidR="00FE4218" w:rsidRPr="00FE4218" w:rsidRDefault="00F82A18" w:rsidP="00F82A18">
      <w:pPr>
        <w:jc w:val="both"/>
        <w:rPr>
          <w:rFonts w:ascii="Arial" w:hAnsi="Arial" w:cs="Arial"/>
        </w:rPr>
      </w:pPr>
      <w:r w:rsidRPr="00F82A18">
        <w:rPr>
          <w:rFonts w:ascii="Arial" w:hAnsi="Arial" w:cs="Arial"/>
          <w:b/>
          <w:sz w:val="22"/>
          <w:szCs w:val="22"/>
        </w:rPr>
        <w:t>DISCLAIMER (ARTIFICIAL INTELLIGENCE)</w:t>
      </w:r>
    </w:p>
    <w:p w:rsidR="00FE4218" w:rsidRPr="00FE4218" w:rsidRDefault="00FE4218" w:rsidP="00FE4218">
      <w:pPr>
        <w:jc w:val="both"/>
        <w:rPr>
          <w:rFonts w:ascii="Arial" w:hAnsi="Arial" w:cs="Arial"/>
        </w:rPr>
      </w:pPr>
      <w:r w:rsidRPr="00FE4218">
        <w:rPr>
          <w:rFonts w:ascii="Arial" w:hAnsi="Arial" w:cs="Arial"/>
        </w:rPr>
        <w:t xml:space="preserve"> </w:t>
      </w:r>
    </w:p>
    <w:p w:rsidR="00FE4218" w:rsidRPr="00FE4218" w:rsidRDefault="00FE4218" w:rsidP="00FE4218">
      <w:pPr>
        <w:jc w:val="both"/>
        <w:rPr>
          <w:rFonts w:ascii="Arial" w:hAnsi="Arial" w:cs="Arial"/>
        </w:rPr>
      </w:pPr>
      <w:r w:rsidRPr="00FE4218">
        <w:rPr>
          <w:rFonts w:ascii="Arial" w:hAnsi="Arial" w:cs="Arial"/>
        </w:rPr>
        <w:t>Author(s) hereby declare that NO generative AI technologies such as Large Language Models (</w:t>
      </w:r>
      <w:proofErr w:type="spellStart"/>
      <w:r w:rsidRPr="00FE4218">
        <w:rPr>
          <w:rFonts w:ascii="Arial" w:hAnsi="Arial" w:cs="Arial"/>
        </w:rPr>
        <w:t>ChatGPT</w:t>
      </w:r>
      <w:proofErr w:type="spellEnd"/>
      <w:r w:rsidRPr="00FE4218">
        <w:rPr>
          <w:rFonts w:ascii="Arial" w:hAnsi="Arial" w:cs="Arial"/>
        </w:rPr>
        <w:t xml:space="preserve">, COPILOT, etc.) and text-to-image generators have been used during the writing or editing of this manuscript. </w:t>
      </w:r>
    </w:p>
    <w:p w:rsidR="00FE4218" w:rsidRDefault="00FE4218" w:rsidP="00322A2F">
      <w:pPr>
        <w:jc w:val="both"/>
        <w:rPr>
          <w:rFonts w:ascii="Arial" w:hAnsi="Arial" w:cs="Arial"/>
        </w:rPr>
      </w:pPr>
    </w:p>
    <w:p w:rsidR="00FE4218" w:rsidRDefault="00FE4218" w:rsidP="00322A2F">
      <w:pPr>
        <w:jc w:val="both"/>
        <w:rPr>
          <w:rFonts w:ascii="Arial" w:hAnsi="Arial" w:cs="Arial"/>
        </w:rPr>
      </w:pPr>
    </w:p>
    <w:p w:rsidR="005C784C" w:rsidRPr="002B685A" w:rsidRDefault="005C784C" w:rsidP="00441B6F">
      <w:pPr>
        <w:pStyle w:val="ReferHead"/>
        <w:spacing w:after="0"/>
        <w:jc w:val="both"/>
        <w:rPr>
          <w:rFonts w:ascii="Arial" w:hAnsi="Arial" w:cs="Arial"/>
          <w:bCs/>
        </w:rPr>
      </w:pPr>
    </w:p>
    <w:p w:rsidR="00860000" w:rsidRDefault="00860000" w:rsidP="00441B6F">
      <w:pPr>
        <w:pStyle w:val="ReferHead"/>
        <w:spacing w:after="0"/>
        <w:jc w:val="both"/>
        <w:rPr>
          <w:rFonts w:ascii="Arial" w:hAnsi="Arial" w:cs="Arial"/>
        </w:rPr>
      </w:pPr>
    </w:p>
    <w:p w:rsidR="00B01FCD" w:rsidRDefault="00B01FCD" w:rsidP="00441B6F">
      <w:pPr>
        <w:pStyle w:val="ReferHead"/>
        <w:spacing w:after="0"/>
        <w:jc w:val="both"/>
        <w:rPr>
          <w:rFonts w:ascii="Arial" w:hAnsi="Arial" w:cs="Arial"/>
        </w:rPr>
      </w:pPr>
      <w:r w:rsidRPr="00FB3A86">
        <w:rPr>
          <w:rFonts w:ascii="Arial" w:hAnsi="Arial" w:cs="Arial"/>
        </w:rPr>
        <w:t>References</w:t>
      </w:r>
    </w:p>
    <w:p w:rsidR="00322A2F" w:rsidRPr="0070078A" w:rsidRDefault="00322A2F" w:rsidP="00322A2F">
      <w:pPr>
        <w:pStyle w:val="ListParagraph"/>
        <w:numPr>
          <w:ilvl w:val="0"/>
          <w:numId w:val="31"/>
        </w:numPr>
        <w:jc w:val="both"/>
        <w:rPr>
          <w:rFonts w:ascii="Arial" w:hAnsi="Arial" w:cs="Arial"/>
          <w:sz w:val="20"/>
          <w:szCs w:val="20"/>
        </w:rPr>
      </w:pPr>
      <w:r w:rsidRPr="0070078A">
        <w:rPr>
          <w:rFonts w:ascii="Arial" w:hAnsi="Arial" w:cs="Arial"/>
          <w:sz w:val="20"/>
          <w:szCs w:val="20"/>
        </w:rPr>
        <w:t xml:space="preserve">Akpolat, Ç., </w:t>
      </w:r>
      <w:proofErr w:type="spellStart"/>
      <w:r w:rsidRPr="0070078A">
        <w:rPr>
          <w:rFonts w:ascii="Arial" w:hAnsi="Arial" w:cs="Arial"/>
          <w:sz w:val="20"/>
          <w:szCs w:val="20"/>
        </w:rPr>
        <w:t>Evli̇Yaoğlu</w:t>
      </w:r>
      <w:proofErr w:type="spellEnd"/>
      <w:r w:rsidRPr="0070078A">
        <w:rPr>
          <w:rFonts w:ascii="Arial" w:hAnsi="Arial" w:cs="Arial"/>
          <w:sz w:val="20"/>
          <w:szCs w:val="20"/>
        </w:rPr>
        <w:t xml:space="preserve">, F., Kurt, M.M., </w:t>
      </w:r>
      <w:proofErr w:type="spellStart"/>
      <w:r w:rsidRPr="0070078A">
        <w:rPr>
          <w:rFonts w:ascii="Arial" w:hAnsi="Arial" w:cs="Arial"/>
          <w:sz w:val="20"/>
          <w:szCs w:val="20"/>
        </w:rPr>
        <w:t>Erden</w:t>
      </w:r>
      <w:proofErr w:type="spellEnd"/>
      <w:r w:rsidRPr="0070078A">
        <w:rPr>
          <w:rFonts w:ascii="Arial" w:hAnsi="Arial" w:cs="Arial"/>
          <w:sz w:val="20"/>
          <w:szCs w:val="20"/>
        </w:rPr>
        <w:t xml:space="preserve">, B., </w:t>
      </w:r>
      <w:proofErr w:type="spellStart"/>
      <w:r w:rsidRPr="0070078A">
        <w:rPr>
          <w:rFonts w:ascii="Arial" w:hAnsi="Arial" w:cs="Arial"/>
          <w:sz w:val="20"/>
          <w:szCs w:val="20"/>
        </w:rPr>
        <w:t>Elçi̇Oğlu</w:t>
      </w:r>
      <w:proofErr w:type="spellEnd"/>
      <w:r w:rsidRPr="0070078A">
        <w:rPr>
          <w:rFonts w:ascii="Arial" w:hAnsi="Arial" w:cs="Arial"/>
          <w:sz w:val="20"/>
          <w:szCs w:val="20"/>
        </w:rPr>
        <w:t xml:space="preserve">, M.N., 2018. Comparison of Intravitreal Bevacizumab Alone Versus Combined Bevacizumab and Macular Photocoagulation in Diabetic Macular Edema. Turk. </w:t>
      </w:r>
      <w:proofErr w:type="spellStart"/>
      <w:r w:rsidRPr="0070078A">
        <w:rPr>
          <w:rFonts w:ascii="Arial" w:hAnsi="Arial" w:cs="Arial"/>
          <w:sz w:val="20"/>
          <w:szCs w:val="20"/>
        </w:rPr>
        <w:t>Klin</w:t>
      </w:r>
      <w:proofErr w:type="spellEnd"/>
      <w:r w:rsidRPr="0070078A">
        <w:rPr>
          <w:rFonts w:ascii="Arial" w:hAnsi="Arial" w:cs="Arial"/>
          <w:sz w:val="20"/>
          <w:szCs w:val="20"/>
        </w:rPr>
        <w:t xml:space="preserve">. J. </w:t>
      </w:r>
      <w:proofErr w:type="spellStart"/>
      <w:r w:rsidRPr="0070078A">
        <w:rPr>
          <w:rFonts w:ascii="Arial" w:hAnsi="Arial" w:cs="Arial"/>
          <w:sz w:val="20"/>
          <w:szCs w:val="20"/>
        </w:rPr>
        <w:t>Ophthalmol</w:t>
      </w:r>
      <w:proofErr w:type="spellEnd"/>
      <w:r w:rsidRPr="0070078A">
        <w:rPr>
          <w:rFonts w:ascii="Arial" w:hAnsi="Arial" w:cs="Arial"/>
          <w:sz w:val="20"/>
          <w:szCs w:val="20"/>
        </w:rPr>
        <w:t>. 27, 187–193. https://doi.org/10.5336/ophthal.2017-57055</w:t>
      </w:r>
    </w:p>
    <w:p w:rsidR="00322A2F" w:rsidRPr="0070078A" w:rsidRDefault="00322A2F" w:rsidP="00322A2F">
      <w:pPr>
        <w:pStyle w:val="ListParagraph"/>
        <w:numPr>
          <w:ilvl w:val="0"/>
          <w:numId w:val="31"/>
        </w:numPr>
        <w:jc w:val="both"/>
        <w:rPr>
          <w:rFonts w:ascii="Arial" w:hAnsi="Arial" w:cs="Arial"/>
          <w:sz w:val="20"/>
          <w:szCs w:val="20"/>
        </w:rPr>
      </w:pPr>
      <w:proofErr w:type="spellStart"/>
      <w:r w:rsidRPr="0070078A">
        <w:rPr>
          <w:rFonts w:ascii="Arial" w:hAnsi="Arial" w:cs="Arial"/>
          <w:sz w:val="20"/>
          <w:szCs w:val="20"/>
        </w:rPr>
        <w:lastRenderedPageBreak/>
        <w:t>Arevalo</w:t>
      </w:r>
      <w:proofErr w:type="spellEnd"/>
      <w:r w:rsidRPr="0070078A">
        <w:rPr>
          <w:rFonts w:ascii="Arial" w:hAnsi="Arial" w:cs="Arial"/>
          <w:sz w:val="20"/>
          <w:szCs w:val="20"/>
        </w:rPr>
        <w:t xml:space="preserve">, J.F., </w:t>
      </w:r>
      <w:proofErr w:type="spellStart"/>
      <w:r w:rsidRPr="0070078A">
        <w:rPr>
          <w:rFonts w:ascii="Arial" w:hAnsi="Arial" w:cs="Arial"/>
          <w:sz w:val="20"/>
          <w:szCs w:val="20"/>
        </w:rPr>
        <w:t>Lasave</w:t>
      </w:r>
      <w:proofErr w:type="spellEnd"/>
      <w:r w:rsidRPr="0070078A">
        <w:rPr>
          <w:rFonts w:ascii="Arial" w:hAnsi="Arial" w:cs="Arial"/>
          <w:sz w:val="20"/>
          <w:szCs w:val="20"/>
        </w:rPr>
        <w:t>, A.F., Wu, L., Diaz-</w:t>
      </w:r>
      <w:proofErr w:type="spellStart"/>
      <w:r w:rsidRPr="0070078A">
        <w:rPr>
          <w:rFonts w:ascii="Arial" w:hAnsi="Arial" w:cs="Arial"/>
          <w:sz w:val="20"/>
          <w:szCs w:val="20"/>
        </w:rPr>
        <w:t>Llopis</w:t>
      </w:r>
      <w:proofErr w:type="spellEnd"/>
      <w:r w:rsidRPr="0070078A">
        <w:rPr>
          <w:rFonts w:ascii="Arial" w:hAnsi="Arial" w:cs="Arial"/>
          <w:sz w:val="20"/>
          <w:szCs w:val="20"/>
        </w:rPr>
        <w:t xml:space="preserve">, M., </w:t>
      </w:r>
      <w:proofErr w:type="spellStart"/>
      <w:r w:rsidRPr="0070078A">
        <w:rPr>
          <w:rFonts w:ascii="Arial" w:hAnsi="Arial" w:cs="Arial"/>
          <w:sz w:val="20"/>
          <w:szCs w:val="20"/>
        </w:rPr>
        <w:t>Gallego-Pinazo</w:t>
      </w:r>
      <w:proofErr w:type="spellEnd"/>
      <w:r w:rsidRPr="0070078A">
        <w:rPr>
          <w:rFonts w:ascii="Arial" w:hAnsi="Arial" w:cs="Arial"/>
          <w:sz w:val="20"/>
          <w:szCs w:val="20"/>
        </w:rPr>
        <w:t xml:space="preserve">, R., </w:t>
      </w:r>
      <w:proofErr w:type="spellStart"/>
      <w:r w:rsidRPr="0070078A">
        <w:rPr>
          <w:rFonts w:ascii="Arial" w:hAnsi="Arial" w:cs="Arial"/>
          <w:sz w:val="20"/>
          <w:szCs w:val="20"/>
        </w:rPr>
        <w:t>Alezzandrini</w:t>
      </w:r>
      <w:proofErr w:type="spellEnd"/>
      <w:r w:rsidRPr="0070078A">
        <w:rPr>
          <w:rFonts w:ascii="Arial" w:hAnsi="Arial" w:cs="Arial"/>
          <w:sz w:val="20"/>
          <w:szCs w:val="20"/>
        </w:rPr>
        <w:t xml:space="preserve">, A.A., </w:t>
      </w:r>
      <w:proofErr w:type="spellStart"/>
      <w:r w:rsidRPr="0070078A">
        <w:rPr>
          <w:rFonts w:ascii="Arial" w:hAnsi="Arial" w:cs="Arial"/>
          <w:sz w:val="20"/>
          <w:szCs w:val="20"/>
        </w:rPr>
        <w:t>Berrocal</w:t>
      </w:r>
      <w:proofErr w:type="spellEnd"/>
      <w:r w:rsidRPr="0070078A">
        <w:rPr>
          <w:rFonts w:ascii="Arial" w:hAnsi="Arial" w:cs="Arial"/>
          <w:sz w:val="20"/>
          <w:szCs w:val="20"/>
        </w:rPr>
        <w:t xml:space="preserve">, M.H., 2013.Intravitreal bevacizumab plus grid laser or intravitreal bevacizumab or grid laser for diffuse diabetic macula </w:t>
      </w:r>
      <w:proofErr w:type="spellStart"/>
      <w:r w:rsidRPr="0070078A">
        <w:rPr>
          <w:rFonts w:ascii="Arial" w:hAnsi="Arial" w:cs="Arial"/>
          <w:sz w:val="20"/>
          <w:szCs w:val="20"/>
        </w:rPr>
        <w:t>edema;Results</w:t>
      </w:r>
      <w:proofErr w:type="spellEnd"/>
      <w:r w:rsidRPr="0070078A">
        <w:rPr>
          <w:rFonts w:ascii="Arial" w:hAnsi="Arial" w:cs="Arial"/>
          <w:sz w:val="20"/>
          <w:szCs w:val="20"/>
        </w:rPr>
        <w:t xml:space="preserve"> of the Pan-American Collaborative Retina Study Group at 24 Months. Retina 33, 403–413. https://doi.org/10.1097/IAE.0b013e3182695b83</w:t>
      </w:r>
    </w:p>
    <w:p w:rsidR="00322A2F" w:rsidRPr="0070078A" w:rsidRDefault="00322A2F" w:rsidP="00322A2F">
      <w:pPr>
        <w:pStyle w:val="ListParagraph"/>
        <w:numPr>
          <w:ilvl w:val="0"/>
          <w:numId w:val="31"/>
        </w:numPr>
        <w:jc w:val="both"/>
        <w:rPr>
          <w:rFonts w:ascii="Arial" w:hAnsi="Arial" w:cs="Arial"/>
          <w:sz w:val="20"/>
          <w:szCs w:val="20"/>
        </w:rPr>
      </w:pPr>
      <w:proofErr w:type="spellStart"/>
      <w:r w:rsidRPr="0070078A">
        <w:rPr>
          <w:rFonts w:ascii="Arial" w:hAnsi="Arial" w:cs="Arial"/>
          <w:sz w:val="20"/>
          <w:szCs w:val="20"/>
        </w:rPr>
        <w:t>Barteselli</w:t>
      </w:r>
      <w:proofErr w:type="spellEnd"/>
      <w:r w:rsidRPr="0070078A">
        <w:rPr>
          <w:rFonts w:ascii="Arial" w:hAnsi="Arial" w:cs="Arial"/>
          <w:sz w:val="20"/>
          <w:szCs w:val="20"/>
        </w:rPr>
        <w:t>, G., Kozak, I., El-</w:t>
      </w:r>
      <w:proofErr w:type="spellStart"/>
      <w:r w:rsidRPr="0070078A">
        <w:rPr>
          <w:rFonts w:ascii="Arial" w:hAnsi="Arial" w:cs="Arial"/>
          <w:sz w:val="20"/>
          <w:szCs w:val="20"/>
        </w:rPr>
        <w:t>Emam</w:t>
      </w:r>
      <w:proofErr w:type="spellEnd"/>
      <w:r w:rsidRPr="0070078A">
        <w:rPr>
          <w:rFonts w:ascii="Arial" w:hAnsi="Arial" w:cs="Arial"/>
          <w:sz w:val="20"/>
          <w:szCs w:val="20"/>
        </w:rPr>
        <w:t xml:space="preserve">, S., </w:t>
      </w:r>
      <w:proofErr w:type="spellStart"/>
      <w:r w:rsidRPr="0070078A">
        <w:rPr>
          <w:rFonts w:ascii="Arial" w:hAnsi="Arial" w:cs="Arial"/>
          <w:sz w:val="20"/>
          <w:szCs w:val="20"/>
        </w:rPr>
        <w:t>Chhablani</w:t>
      </w:r>
      <w:proofErr w:type="spellEnd"/>
      <w:r w:rsidRPr="0070078A">
        <w:rPr>
          <w:rFonts w:ascii="Arial" w:hAnsi="Arial" w:cs="Arial"/>
          <w:sz w:val="20"/>
          <w:szCs w:val="20"/>
        </w:rPr>
        <w:t xml:space="preserve">, J., Cortes, M.A., Freeman, W.R., 2014. 12-month results of the </w:t>
      </w:r>
      <w:proofErr w:type="spellStart"/>
      <w:r w:rsidRPr="0070078A">
        <w:rPr>
          <w:rFonts w:ascii="Arial" w:hAnsi="Arial" w:cs="Arial"/>
          <w:sz w:val="20"/>
          <w:szCs w:val="20"/>
        </w:rPr>
        <w:t>standardised</w:t>
      </w:r>
      <w:proofErr w:type="spellEnd"/>
      <w:r w:rsidRPr="0070078A">
        <w:rPr>
          <w:rFonts w:ascii="Arial" w:hAnsi="Arial" w:cs="Arial"/>
          <w:sz w:val="20"/>
          <w:szCs w:val="20"/>
        </w:rPr>
        <w:t xml:space="preserve"> combination therapy for diabetic macular </w:t>
      </w:r>
      <w:proofErr w:type="spellStart"/>
      <w:r w:rsidRPr="0070078A">
        <w:rPr>
          <w:rFonts w:ascii="Arial" w:hAnsi="Arial" w:cs="Arial"/>
          <w:sz w:val="20"/>
          <w:szCs w:val="20"/>
        </w:rPr>
        <w:t>oedema</w:t>
      </w:r>
      <w:proofErr w:type="spellEnd"/>
      <w:r w:rsidRPr="0070078A">
        <w:rPr>
          <w:rFonts w:ascii="Arial" w:hAnsi="Arial" w:cs="Arial"/>
          <w:sz w:val="20"/>
          <w:szCs w:val="20"/>
        </w:rPr>
        <w:t xml:space="preserve">: intravitreal bevacizumab and navigated retinal photocoagulation. Br. J. </w:t>
      </w:r>
      <w:proofErr w:type="spellStart"/>
      <w:r w:rsidRPr="0070078A">
        <w:rPr>
          <w:rFonts w:ascii="Arial" w:hAnsi="Arial" w:cs="Arial"/>
          <w:sz w:val="20"/>
          <w:szCs w:val="20"/>
        </w:rPr>
        <w:t>Ophthalmol</w:t>
      </w:r>
      <w:proofErr w:type="spellEnd"/>
      <w:r w:rsidRPr="0070078A">
        <w:rPr>
          <w:rFonts w:ascii="Arial" w:hAnsi="Arial" w:cs="Arial"/>
          <w:sz w:val="20"/>
          <w:szCs w:val="20"/>
        </w:rPr>
        <w:t>. 98, 1036–1041. https://doi.org/10.1136/bjophthalmol-2013-304488</w:t>
      </w:r>
    </w:p>
    <w:p w:rsidR="00322A2F" w:rsidRPr="0070078A" w:rsidRDefault="00322A2F" w:rsidP="00322A2F">
      <w:pPr>
        <w:pStyle w:val="ListParagraph"/>
        <w:numPr>
          <w:ilvl w:val="0"/>
          <w:numId w:val="31"/>
        </w:numPr>
        <w:jc w:val="both"/>
        <w:rPr>
          <w:rFonts w:ascii="Arial" w:hAnsi="Arial" w:cs="Arial"/>
          <w:sz w:val="20"/>
          <w:szCs w:val="20"/>
        </w:rPr>
      </w:pPr>
      <w:r w:rsidRPr="0070078A">
        <w:rPr>
          <w:rFonts w:ascii="Arial" w:hAnsi="Arial" w:cs="Arial"/>
          <w:sz w:val="20"/>
          <w:szCs w:val="20"/>
        </w:rPr>
        <w:t xml:space="preserve">Bowling, B. and </w:t>
      </w:r>
      <w:proofErr w:type="spellStart"/>
      <w:r w:rsidRPr="0070078A">
        <w:rPr>
          <w:rFonts w:ascii="Arial" w:hAnsi="Arial" w:cs="Arial"/>
          <w:sz w:val="20"/>
          <w:szCs w:val="20"/>
        </w:rPr>
        <w:t>Kanki,j</w:t>
      </w:r>
      <w:proofErr w:type="spellEnd"/>
      <w:r w:rsidRPr="0070078A">
        <w:rPr>
          <w:rFonts w:ascii="Arial" w:hAnsi="Arial" w:cs="Arial"/>
          <w:sz w:val="20"/>
          <w:szCs w:val="20"/>
        </w:rPr>
        <w:t xml:space="preserve">. (2016) </w:t>
      </w:r>
      <w:proofErr w:type="spellStart"/>
      <w:r w:rsidRPr="0070078A">
        <w:rPr>
          <w:rFonts w:ascii="Arial" w:hAnsi="Arial" w:cs="Arial"/>
          <w:sz w:val="20"/>
          <w:szCs w:val="20"/>
        </w:rPr>
        <w:t>Kanki's</w:t>
      </w:r>
      <w:proofErr w:type="spellEnd"/>
      <w:r w:rsidRPr="0070078A">
        <w:rPr>
          <w:rFonts w:ascii="Arial" w:hAnsi="Arial" w:cs="Arial"/>
          <w:sz w:val="20"/>
          <w:szCs w:val="20"/>
        </w:rPr>
        <w:t xml:space="preserve"> clinical ophthalmology; A Systemic </w:t>
      </w:r>
      <w:proofErr w:type="spellStart"/>
      <w:r w:rsidRPr="0070078A">
        <w:rPr>
          <w:rFonts w:ascii="Arial" w:hAnsi="Arial" w:cs="Arial"/>
          <w:sz w:val="20"/>
          <w:szCs w:val="20"/>
        </w:rPr>
        <w:t>Approach.nine</w:t>
      </w:r>
      <w:proofErr w:type="spellEnd"/>
      <w:r w:rsidRPr="0070078A">
        <w:rPr>
          <w:rFonts w:ascii="Arial" w:hAnsi="Arial" w:cs="Arial"/>
          <w:sz w:val="20"/>
          <w:szCs w:val="20"/>
        </w:rPr>
        <w:t xml:space="preserve"> </w:t>
      </w:r>
      <w:proofErr w:type="spellStart"/>
      <w:r w:rsidRPr="0070078A">
        <w:rPr>
          <w:rFonts w:ascii="Arial" w:hAnsi="Arial" w:cs="Arial"/>
          <w:sz w:val="20"/>
          <w:szCs w:val="20"/>
        </w:rPr>
        <w:t>edition.UK;Elsevier</w:t>
      </w:r>
      <w:proofErr w:type="spellEnd"/>
    </w:p>
    <w:p w:rsidR="00322A2F" w:rsidRPr="0070078A" w:rsidRDefault="00322A2F" w:rsidP="00322A2F">
      <w:pPr>
        <w:pStyle w:val="ListParagraph"/>
        <w:numPr>
          <w:ilvl w:val="0"/>
          <w:numId w:val="31"/>
        </w:numPr>
        <w:jc w:val="both"/>
        <w:rPr>
          <w:rFonts w:ascii="Arial" w:hAnsi="Arial" w:cs="Arial"/>
          <w:sz w:val="20"/>
          <w:szCs w:val="20"/>
        </w:rPr>
      </w:pPr>
      <w:proofErr w:type="spellStart"/>
      <w:r w:rsidRPr="0070078A">
        <w:rPr>
          <w:rFonts w:ascii="Arial" w:hAnsi="Arial" w:cs="Arial"/>
          <w:sz w:val="20"/>
          <w:szCs w:val="20"/>
        </w:rPr>
        <w:t>Charan</w:t>
      </w:r>
      <w:proofErr w:type="spellEnd"/>
      <w:r w:rsidRPr="0070078A">
        <w:rPr>
          <w:rFonts w:ascii="Arial" w:hAnsi="Arial" w:cs="Arial"/>
          <w:sz w:val="20"/>
          <w:szCs w:val="20"/>
        </w:rPr>
        <w:t>, J., Biswas, T., 2013. How to Calculate Sample Size for Different Study Designs in Medical Research? Indian J. Psychol. Med. 35, 121–126. https://doi.org/10.4103/0253-7176.116232</w:t>
      </w:r>
    </w:p>
    <w:p w:rsidR="00322A2F" w:rsidRPr="0070078A" w:rsidRDefault="00322A2F" w:rsidP="00322A2F">
      <w:pPr>
        <w:pStyle w:val="ListParagraph"/>
        <w:numPr>
          <w:ilvl w:val="0"/>
          <w:numId w:val="31"/>
        </w:numPr>
        <w:jc w:val="both"/>
        <w:rPr>
          <w:rFonts w:ascii="Arial" w:hAnsi="Arial" w:cs="Arial"/>
          <w:sz w:val="20"/>
          <w:szCs w:val="20"/>
        </w:rPr>
      </w:pPr>
      <w:r w:rsidRPr="0070078A">
        <w:rPr>
          <w:rFonts w:ascii="Arial" w:hAnsi="Arial" w:cs="Arial"/>
          <w:sz w:val="20"/>
          <w:szCs w:val="20"/>
        </w:rPr>
        <w:t xml:space="preserve">El </w:t>
      </w:r>
      <w:proofErr w:type="spellStart"/>
      <w:r w:rsidRPr="0070078A">
        <w:rPr>
          <w:rFonts w:ascii="Arial" w:hAnsi="Arial" w:cs="Arial"/>
          <w:sz w:val="20"/>
          <w:szCs w:val="20"/>
        </w:rPr>
        <w:t>Matri</w:t>
      </w:r>
      <w:proofErr w:type="spellEnd"/>
      <w:r w:rsidRPr="0070078A">
        <w:rPr>
          <w:rFonts w:ascii="Arial" w:hAnsi="Arial" w:cs="Arial"/>
          <w:sz w:val="20"/>
          <w:szCs w:val="20"/>
        </w:rPr>
        <w:t xml:space="preserve">, L., </w:t>
      </w:r>
      <w:proofErr w:type="spellStart"/>
      <w:r w:rsidRPr="0070078A">
        <w:rPr>
          <w:rFonts w:ascii="Arial" w:hAnsi="Arial" w:cs="Arial"/>
          <w:sz w:val="20"/>
          <w:szCs w:val="20"/>
        </w:rPr>
        <w:t>Chebil</w:t>
      </w:r>
      <w:proofErr w:type="spellEnd"/>
      <w:r w:rsidRPr="0070078A">
        <w:rPr>
          <w:rFonts w:ascii="Arial" w:hAnsi="Arial" w:cs="Arial"/>
          <w:sz w:val="20"/>
          <w:szCs w:val="20"/>
        </w:rPr>
        <w:t xml:space="preserve">, A., El </w:t>
      </w:r>
      <w:proofErr w:type="spellStart"/>
      <w:r w:rsidRPr="0070078A">
        <w:rPr>
          <w:rFonts w:ascii="Arial" w:hAnsi="Arial" w:cs="Arial"/>
          <w:sz w:val="20"/>
          <w:szCs w:val="20"/>
        </w:rPr>
        <w:t>Matri</w:t>
      </w:r>
      <w:proofErr w:type="spellEnd"/>
      <w:r w:rsidRPr="0070078A">
        <w:rPr>
          <w:rFonts w:ascii="Arial" w:hAnsi="Arial" w:cs="Arial"/>
          <w:sz w:val="20"/>
          <w:szCs w:val="20"/>
        </w:rPr>
        <w:t xml:space="preserve">, K., </w:t>
      </w:r>
      <w:proofErr w:type="spellStart"/>
      <w:r w:rsidRPr="0070078A">
        <w:rPr>
          <w:rFonts w:ascii="Arial" w:hAnsi="Arial" w:cs="Arial"/>
          <w:sz w:val="20"/>
          <w:szCs w:val="20"/>
        </w:rPr>
        <w:t>Falfoul</w:t>
      </w:r>
      <w:proofErr w:type="spellEnd"/>
      <w:r w:rsidRPr="0070078A">
        <w:rPr>
          <w:rFonts w:ascii="Arial" w:hAnsi="Arial" w:cs="Arial"/>
          <w:sz w:val="20"/>
          <w:szCs w:val="20"/>
        </w:rPr>
        <w:t xml:space="preserve">, Y., </w:t>
      </w:r>
      <w:proofErr w:type="spellStart"/>
      <w:r w:rsidRPr="0070078A">
        <w:rPr>
          <w:rFonts w:ascii="Arial" w:hAnsi="Arial" w:cs="Arial"/>
          <w:sz w:val="20"/>
          <w:szCs w:val="20"/>
        </w:rPr>
        <w:t>Chebbi</w:t>
      </w:r>
      <w:proofErr w:type="spellEnd"/>
      <w:r w:rsidRPr="0070078A">
        <w:rPr>
          <w:rFonts w:ascii="Arial" w:hAnsi="Arial" w:cs="Arial"/>
          <w:sz w:val="20"/>
          <w:szCs w:val="20"/>
        </w:rPr>
        <w:t xml:space="preserve">, Z., 2021. </w:t>
      </w:r>
      <w:proofErr w:type="spellStart"/>
      <w:r w:rsidRPr="0070078A">
        <w:rPr>
          <w:rFonts w:ascii="Arial" w:hAnsi="Arial" w:cs="Arial"/>
          <w:sz w:val="20"/>
          <w:szCs w:val="20"/>
        </w:rPr>
        <w:t>Subthreshold</w:t>
      </w:r>
      <w:proofErr w:type="spellEnd"/>
      <w:r w:rsidRPr="0070078A">
        <w:rPr>
          <w:rFonts w:ascii="Arial" w:hAnsi="Arial" w:cs="Arial"/>
          <w:sz w:val="20"/>
          <w:szCs w:val="20"/>
        </w:rPr>
        <w:t xml:space="preserve"> </w:t>
      </w:r>
      <w:proofErr w:type="spellStart"/>
      <w:r w:rsidRPr="0070078A">
        <w:rPr>
          <w:rFonts w:ascii="Arial" w:hAnsi="Arial" w:cs="Arial"/>
          <w:sz w:val="20"/>
          <w:szCs w:val="20"/>
        </w:rPr>
        <w:t>micropulse</w:t>
      </w:r>
      <w:proofErr w:type="spellEnd"/>
      <w:r w:rsidRPr="0070078A">
        <w:rPr>
          <w:rFonts w:ascii="Arial" w:hAnsi="Arial" w:cs="Arial"/>
          <w:sz w:val="20"/>
          <w:szCs w:val="20"/>
        </w:rPr>
        <w:t xml:space="preserve"> laser adjuvant to bevacizumab versus bevacizumab monotherapy in treating diabetic macular edema: one- year- follow-up. </w:t>
      </w:r>
      <w:proofErr w:type="spellStart"/>
      <w:r w:rsidRPr="0070078A">
        <w:rPr>
          <w:rFonts w:ascii="Arial" w:hAnsi="Arial" w:cs="Arial"/>
          <w:sz w:val="20"/>
          <w:szCs w:val="20"/>
        </w:rPr>
        <w:t>Ther</w:t>
      </w:r>
      <w:proofErr w:type="spellEnd"/>
      <w:r w:rsidRPr="0070078A">
        <w:rPr>
          <w:rFonts w:ascii="Arial" w:hAnsi="Arial" w:cs="Arial"/>
          <w:sz w:val="20"/>
          <w:szCs w:val="20"/>
        </w:rPr>
        <w:t xml:space="preserve">. Adv. </w:t>
      </w:r>
      <w:proofErr w:type="spellStart"/>
      <w:r w:rsidRPr="0070078A">
        <w:rPr>
          <w:rFonts w:ascii="Arial" w:hAnsi="Arial" w:cs="Arial"/>
          <w:sz w:val="20"/>
          <w:szCs w:val="20"/>
        </w:rPr>
        <w:t>Ophthalmol</w:t>
      </w:r>
      <w:proofErr w:type="spellEnd"/>
      <w:r w:rsidRPr="0070078A">
        <w:rPr>
          <w:rFonts w:ascii="Arial" w:hAnsi="Arial" w:cs="Arial"/>
          <w:sz w:val="20"/>
          <w:szCs w:val="20"/>
        </w:rPr>
        <w:t>. 13, 251584142110408. https://doi.org/10.1177/25158414211040887</w:t>
      </w:r>
    </w:p>
    <w:p w:rsidR="00322A2F" w:rsidRPr="0070078A" w:rsidRDefault="00322A2F" w:rsidP="00322A2F">
      <w:pPr>
        <w:pStyle w:val="ListParagraph"/>
        <w:numPr>
          <w:ilvl w:val="0"/>
          <w:numId w:val="31"/>
        </w:numPr>
        <w:jc w:val="both"/>
        <w:rPr>
          <w:rFonts w:ascii="Arial" w:hAnsi="Arial" w:cs="Arial"/>
          <w:sz w:val="20"/>
          <w:szCs w:val="20"/>
        </w:rPr>
      </w:pPr>
      <w:proofErr w:type="spellStart"/>
      <w:r w:rsidRPr="0070078A">
        <w:rPr>
          <w:rFonts w:ascii="Arial" w:hAnsi="Arial" w:cs="Arial"/>
          <w:sz w:val="20"/>
          <w:szCs w:val="20"/>
        </w:rPr>
        <w:t>Faghihi</w:t>
      </w:r>
      <w:proofErr w:type="spellEnd"/>
      <w:r w:rsidRPr="0070078A">
        <w:rPr>
          <w:rFonts w:ascii="Arial" w:hAnsi="Arial" w:cs="Arial"/>
          <w:sz w:val="20"/>
          <w:szCs w:val="20"/>
        </w:rPr>
        <w:t xml:space="preserve">, H., </w:t>
      </w:r>
      <w:proofErr w:type="spellStart"/>
      <w:r w:rsidRPr="0070078A">
        <w:rPr>
          <w:rFonts w:ascii="Arial" w:hAnsi="Arial" w:cs="Arial"/>
          <w:sz w:val="20"/>
          <w:szCs w:val="20"/>
        </w:rPr>
        <w:t>Esfahani</w:t>
      </w:r>
      <w:proofErr w:type="spellEnd"/>
      <w:r w:rsidRPr="0070078A">
        <w:rPr>
          <w:rFonts w:ascii="Arial" w:hAnsi="Arial" w:cs="Arial"/>
          <w:sz w:val="20"/>
          <w:szCs w:val="20"/>
        </w:rPr>
        <w:t xml:space="preserve">, M.R., </w:t>
      </w:r>
      <w:proofErr w:type="spellStart"/>
      <w:r w:rsidRPr="0070078A">
        <w:rPr>
          <w:rFonts w:ascii="Arial" w:hAnsi="Arial" w:cs="Arial"/>
          <w:sz w:val="20"/>
          <w:szCs w:val="20"/>
        </w:rPr>
        <w:t>Harandi</w:t>
      </w:r>
      <w:proofErr w:type="spellEnd"/>
      <w:r w:rsidRPr="0070078A">
        <w:rPr>
          <w:rFonts w:ascii="Arial" w:hAnsi="Arial" w:cs="Arial"/>
          <w:sz w:val="20"/>
          <w:szCs w:val="20"/>
        </w:rPr>
        <w:t xml:space="preserve">, Z.A., </w:t>
      </w:r>
      <w:proofErr w:type="spellStart"/>
      <w:r w:rsidRPr="0070078A">
        <w:rPr>
          <w:rFonts w:ascii="Arial" w:hAnsi="Arial" w:cs="Arial"/>
          <w:sz w:val="20"/>
          <w:szCs w:val="20"/>
        </w:rPr>
        <w:t>Madani</w:t>
      </w:r>
      <w:proofErr w:type="spellEnd"/>
      <w:r w:rsidRPr="0070078A">
        <w:rPr>
          <w:rFonts w:ascii="Arial" w:hAnsi="Arial" w:cs="Arial"/>
          <w:sz w:val="20"/>
          <w:szCs w:val="20"/>
        </w:rPr>
        <w:t>, S., 2010. Intravitreal Bevacizumab vs. Combination of Intravitreal Bevacizumab plus Macular Photocoagulation in Clinically Significant Diabetic Macular Edema: 6 months Results of a Randomized Clinical Trial 22.</w:t>
      </w:r>
    </w:p>
    <w:p w:rsidR="00322A2F" w:rsidRPr="0070078A" w:rsidRDefault="00322A2F" w:rsidP="00322A2F">
      <w:pPr>
        <w:pStyle w:val="ListParagraph"/>
        <w:numPr>
          <w:ilvl w:val="0"/>
          <w:numId w:val="31"/>
        </w:numPr>
        <w:jc w:val="both"/>
        <w:rPr>
          <w:rFonts w:ascii="Arial" w:hAnsi="Arial" w:cs="Arial"/>
          <w:sz w:val="20"/>
          <w:szCs w:val="20"/>
        </w:rPr>
      </w:pPr>
      <w:r w:rsidRPr="0070078A">
        <w:rPr>
          <w:rFonts w:ascii="Arial" w:hAnsi="Arial" w:cs="Arial"/>
          <w:sz w:val="20"/>
          <w:szCs w:val="20"/>
        </w:rPr>
        <w:t xml:space="preserve">International Diabetes Federation (2023) </w:t>
      </w:r>
      <w:proofErr w:type="spellStart"/>
      <w:r w:rsidRPr="0070078A">
        <w:rPr>
          <w:rFonts w:ascii="Arial" w:hAnsi="Arial" w:cs="Arial"/>
          <w:sz w:val="20"/>
          <w:szCs w:val="20"/>
        </w:rPr>
        <w:t>idf</w:t>
      </w:r>
      <w:proofErr w:type="spellEnd"/>
      <w:r w:rsidRPr="0070078A">
        <w:rPr>
          <w:rFonts w:ascii="Arial" w:hAnsi="Arial" w:cs="Arial"/>
          <w:sz w:val="20"/>
          <w:szCs w:val="20"/>
        </w:rPr>
        <w:t xml:space="preserve"> diabetes Atlas. 8th </w:t>
      </w:r>
      <w:proofErr w:type="spellStart"/>
      <w:r w:rsidRPr="0070078A">
        <w:rPr>
          <w:rFonts w:ascii="Arial" w:hAnsi="Arial" w:cs="Arial"/>
          <w:sz w:val="20"/>
          <w:szCs w:val="20"/>
        </w:rPr>
        <w:t>edn</w:t>
      </w:r>
      <w:proofErr w:type="spellEnd"/>
      <w:r w:rsidRPr="0070078A">
        <w:rPr>
          <w:rFonts w:ascii="Arial" w:hAnsi="Arial" w:cs="Arial"/>
          <w:sz w:val="20"/>
          <w:szCs w:val="20"/>
        </w:rPr>
        <w:t>. Available at</w:t>
      </w:r>
      <w:proofErr w:type="gramStart"/>
      <w:r w:rsidRPr="0070078A">
        <w:rPr>
          <w:rFonts w:ascii="Arial" w:hAnsi="Arial" w:cs="Arial"/>
          <w:sz w:val="20"/>
          <w:szCs w:val="20"/>
        </w:rPr>
        <w:t xml:space="preserve">;  </w:t>
      </w:r>
      <w:proofErr w:type="spellStart"/>
      <w:r w:rsidRPr="0070078A">
        <w:rPr>
          <w:rFonts w:ascii="Arial" w:hAnsi="Arial" w:cs="Arial"/>
          <w:sz w:val="20"/>
          <w:szCs w:val="20"/>
        </w:rPr>
        <w:t>htt</w:t>
      </w:r>
      <w:proofErr w:type="spellEnd"/>
      <w:proofErr w:type="gramEnd"/>
      <w:r w:rsidRPr="0070078A">
        <w:rPr>
          <w:rFonts w:ascii="Arial" w:hAnsi="Arial" w:cs="Arial"/>
          <w:sz w:val="20"/>
          <w:szCs w:val="20"/>
        </w:rPr>
        <w:t>;//www.diabetesatlas.org/.</w:t>
      </w:r>
    </w:p>
    <w:p w:rsidR="00322A2F" w:rsidRPr="0070078A" w:rsidRDefault="00322A2F" w:rsidP="00322A2F">
      <w:pPr>
        <w:pStyle w:val="ListParagraph"/>
        <w:numPr>
          <w:ilvl w:val="0"/>
          <w:numId w:val="31"/>
        </w:numPr>
        <w:jc w:val="both"/>
        <w:rPr>
          <w:rFonts w:ascii="Arial" w:hAnsi="Arial" w:cs="Arial"/>
          <w:sz w:val="20"/>
          <w:szCs w:val="20"/>
        </w:rPr>
      </w:pPr>
      <w:r w:rsidRPr="0070078A">
        <w:rPr>
          <w:rFonts w:ascii="Arial" w:hAnsi="Arial" w:cs="Arial"/>
          <w:sz w:val="20"/>
          <w:szCs w:val="20"/>
        </w:rPr>
        <w:t xml:space="preserve">Jafri, A.S., </w:t>
      </w:r>
      <w:proofErr w:type="spellStart"/>
      <w:r w:rsidRPr="0070078A">
        <w:rPr>
          <w:rFonts w:ascii="Arial" w:hAnsi="Arial" w:cs="Arial"/>
          <w:sz w:val="20"/>
          <w:szCs w:val="20"/>
        </w:rPr>
        <w:t>Rehman</w:t>
      </w:r>
      <w:proofErr w:type="spellEnd"/>
      <w:r w:rsidRPr="0070078A">
        <w:rPr>
          <w:rFonts w:ascii="Arial" w:hAnsi="Arial" w:cs="Arial"/>
          <w:sz w:val="20"/>
          <w:szCs w:val="20"/>
        </w:rPr>
        <w:t xml:space="preserve">, A.U., </w:t>
      </w:r>
      <w:proofErr w:type="spellStart"/>
      <w:r w:rsidRPr="0070078A">
        <w:rPr>
          <w:rFonts w:ascii="Arial" w:hAnsi="Arial" w:cs="Arial"/>
          <w:sz w:val="20"/>
          <w:szCs w:val="20"/>
        </w:rPr>
        <w:t>Mirani</w:t>
      </w:r>
      <w:proofErr w:type="spellEnd"/>
      <w:r w:rsidRPr="0070078A">
        <w:rPr>
          <w:rFonts w:ascii="Arial" w:hAnsi="Arial" w:cs="Arial"/>
          <w:sz w:val="20"/>
          <w:szCs w:val="20"/>
        </w:rPr>
        <w:t xml:space="preserve">, A.H., </w:t>
      </w:r>
      <w:proofErr w:type="spellStart"/>
      <w:r w:rsidRPr="0070078A">
        <w:rPr>
          <w:rFonts w:ascii="Arial" w:hAnsi="Arial" w:cs="Arial"/>
          <w:sz w:val="20"/>
          <w:szCs w:val="20"/>
        </w:rPr>
        <w:t>Memon</w:t>
      </w:r>
      <w:proofErr w:type="spellEnd"/>
      <w:r w:rsidRPr="0070078A">
        <w:rPr>
          <w:rFonts w:ascii="Arial" w:hAnsi="Arial" w:cs="Arial"/>
          <w:sz w:val="20"/>
          <w:szCs w:val="20"/>
        </w:rPr>
        <w:t>, S., 2017. Outcomes of intravitreal bevacizumab and macular photocoagulation for treatment of diabetic macular edema in a tertiary care eye hospital at Karachi. Pak. J. Med. Sci. 33. https://doi.org/10.12669/pjms.335.13222</w:t>
      </w:r>
    </w:p>
    <w:p w:rsidR="00322A2F" w:rsidRPr="0070078A" w:rsidRDefault="00322A2F" w:rsidP="00322A2F">
      <w:pPr>
        <w:pStyle w:val="ListParagraph"/>
        <w:numPr>
          <w:ilvl w:val="0"/>
          <w:numId w:val="31"/>
        </w:numPr>
        <w:jc w:val="both"/>
        <w:rPr>
          <w:rFonts w:ascii="Arial" w:hAnsi="Arial" w:cs="Arial"/>
          <w:sz w:val="20"/>
          <w:szCs w:val="20"/>
        </w:rPr>
      </w:pPr>
      <w:r w:rsidRPr="0070078A">
        <w:rPr>
          <w:rFonts w:ascii="Arial" w:hAnsi="Arial" w:cs="Arial"/>
          <w:sz w:val="20"/>
          <w:szCs w:val="20"/>
        </w:rPr>
        <w:t>Jahangir, T., Jahangir</w:t>
      </w:r>
      <w:r w:rsidR="00C01FEC">
        <w:rPr>
          <w:rFonts w:ascii="Arial" w:hAnsi="Arial" w:cs="Arial"/>
          <w:sz w:val="20"/>
          <w:szCs w:val="20"/>
        </w:rPr>
        <w:t>, S., Tayyab, H., Hamza, U., 2011</w:t>
      </w:r>
      <w:r w:rsidRPr="0070078A">
        <w:rPr>
          <w:rFonts w:ascii="Arial" w:hAnsi="Arial" w:cs="Arial"/>
          <w:sz w:val="20"/>
          <w:szCs w:val="20"/>
        </w:rPr>
        <w:t>. Visual Outcome after Intravitreal Avastin (Bevacizumab) for Persistent Diabetic Macular Edema.</w:t>
      </w:r>
    </w:p>
    <w:p w:rsidR="00322A2F" w:rsidRPr="0070078A" w:rsidRDefault="00322A2F" w:rsidP="00322A2F">
      <w:pPr>
        <w:pStyle w:val="ListParagraph"/>
        <w:numPr>
          <w:ilvl w:val="0"/>
          <w:numId w:val="31"/>
        </w:numPr>
        <w:jc w:val="both"/>
        <w:rPr>
          <w:rFonts w:ascii="Arial" w:hAnsi="Arial" w:cs="Arial"/>
          <w:sz w:val="20"/>
          <w:szCs w:val="20"/>
        </w:rPr>
      </w:pPr>
      <w:proofErr w:type="spellStart"/>
      <w:r w:rsidRPr="0070078A">
        <w:rPr>
          <w:rFonts w:ascii="Arial" w:hAnsi="Arial" w:cs="Arial"/>
          <w:sz w:val="20"/>
          <w:szCs w:val="20"/>
        </w:rPr>
        <w:t>Jatoi</w:t>
      </w:r>
      <w:proofErr w:type="spellEnd"/>
      <w:r w:rsidRPr="0070078A">
        <w:rPr>
          <w:rFonts w:ascii="Arial" w:hAnsi="Arial" w:cs="Arial"/>
          <w:sz w:val="20"/>
          <w:szCs w:val="20"/>
        </w:rPr>
        <w:t xml:space="preserve">, A.U., </w:t>
      </w:r>
      <w:proofErr w:type="spellStart"/>
      <w:r w:rsidRPr="0070078A">
        <w:rPr>
          <w:rFonts w:ascii="Arial" w:hAnsi="Arial" w:cs="Arial"/>
          <w:sz w:val="20"/>
          <w:szCs w:val="20"/>
        </w:rPr>
        <w:t>Shaikh</w:t>
      </w:r>
      <w:proofErr w:type="spellEnd"/>
      <w:r w:rsidRPr="0070078A">
        <w:rPr>
          <w:rFonts w:ascii="Arial" w:hAnsi="Arial" w:cs="Arial"/>
          <w:sz w:val="20"/>
          <w:szCs w:val="20"/>
        </w:rPr>
        <w:t>, N.</w:t>
      </w:r>
      <w:r w:rsidR="00C01FEC">
        <w:rPr>
          <w:rFonts w:ascii="Arial" w:hAnsi="Arial" w:cs="Arial"/>
          <w:sz w:val="20"/>
          <w:szCs w:val="20"/>
        </w:rPr>
        <w:t xml:space="preserve">A., </w:t>
      </w:r>
      <w:proofErr w:type="spellStart"/>
      <w:r w:rsidR="00C01FEC">
        <w:rPr>
          <w:rFonts w:ascii="Arial" w:hAnsi="Arial" w:cs="Arial"/>
          <w:sz w:val="20"/>
          <w:szCs w:val="20"/>
        </w:rPr>
        <w:t>Narsan</w:t>
      </w:r>
      <w:proofErr w:type="spellEnd"/>
      <w:r w:rsidR="00C01FEC">
        <w:rPr>
          <w:rFonts w:ascii="Arial" w:hAnsi="Arial" w:cs="Arial"/>
          <w:sz w:val="20"/>
          <w:szCs w:val="20"/>
        </w:rPr>
        <w:t xml:space="preserve">, A.K., </w:t>
      </w:r>
      <w:proofErr w:type="spellStart"/>
      <w:r w:rsidR="00C01FEC">
        <w:rPr>
          <w:rFonts w:ascii="Arial" w:hAnsi="Arial" w:cs="Arial"/>
          <w:sz w:val="20"/>
          <w:szCs w:val="20"/>
        </w:rPr>
        <w:t>Jatoi</w:t>
      </w:r>
      <w:proofErr w:type="spellEnd"/>
      <w:r w:rsidR="00C01FEC">
        <w:rPr>
          <w:rFonts w:ascii="Arial" w:hAnsi="Arial" w:cs="Arial"/>
          <w:sz w:val="20"/>
          <w:szCs w:val="20"/>
        </w:rPr>
        <w:t>, A., 2022</w:t>
      </w:r>
      <w:r w:rsidRPr="0070078A">
        <w:rPr>
          <w:rFonts w:ascii="Arial" w:hAnsi="Arial" w:cs="Arial"/>
          <w:sz w:val="20"/>
          <w:szCs w:val="20"/>
        </w:rPr>
        <w:t>.</w:t>
      </w:r>
      <w:r w:rsidR="00C01FEC">
        <w:rPr>
          <w:rFonts w:ascii="Arial" w:hAnsi="Arial" w:cs="Arial"/>
          <w:sz w:val="20"/>
          <w:szCs w:val="20"/>
        </w:rPr>
        <w:t xml:space="preserve"> </w:t>
      </w:r>
      <w:proofErr w:type="spellStart"/>
      <w:r w:rsidRPr="0070078A">
        <w:rPr>
          <w:rFonts w:ascii="Arial" w:hAnsi="Arial" w:cs="Arial"/>
          <w:sz w:val="20"/>
          <w:szCs w:val="20"/>
        </w:rPr>
        <w:t>Itravitral</w:t>
      </w:r>
      <w:proofErr w:type="spellEnd"/>
      <w:r w:rsidRPr="0070078A">
        <w:rPr>
          <w:rFonts w:ascii="Arial" w:hAnsi="Arial" w:cs="Arial"/>
          <w:sz w:val="20"/>
          <w:szCs w:val="20"/>
        </w:rPr>
        <w:t xml:space="preserve"> bevacizumab alone versus intravitreal </w:t>
      </w:r>
      <w:proofErr w:type="spellStart"/>
      <w:r w:rsidRPr="0070078A">
        <w:rPr>
          <w:rFonts w:ascii="Arial" w:hAnsi="Arial" w:cs="Arial"/>
          <w:sz w:val="20"/>
          <w:szCs w:val="20"/>
        </w:rPr>
        <w:t>bevacizumaaab</w:t>
      </w:r>
      <w:proofErr w:type="spellEnd"/>
      <w:r w:rsidRPr="0070078A">
        <w:rPr>
          <w:rFonts w:ascii="Arial" w:hAnsi="Arial" w:cs="Arial"/>
          <w:sz w:val="20"/>
          <w:szCs w:val="20"/>
        </w:rPr>
        <w:t xml:space="preserve"> in combination with focal macular photocoagulation in diabetic macula </w:t>
      </w:r>
      <w:proofErr w:type="spellStart"/>
      <w:proofErr w:type="gramStart"/>
      <w:r w:rsidRPr="0070078A">
        <w:rPr>
          <w:rFonts w:ascii="Arial" w:hAnsi="Arial" w:cs="Arial"/>
          <w:sz w:val="20"/>
          <w:szCs w:val="20"/>
        </w:rPr>
        <w:t>oedema</w:t>
      </w:r>
      <w:proofErr w:type="spellEnd"/>
      <w:r w:rsidRPr="0070078A">
        <w:rPr>
          <w:rFonts w:ascii="Arial" w:hAnsi="Arial" w:cs="Arial"/>
          <w:sz w:val="20"/>
          <w:szCs w:val="20"/>
        </w:rPr>
        <w:t xml:space="preserve"> .</w:t>
      </w:r>
      <w:proofErr w:type="gramEnd"/>
      <w:r w:rsidRPr="0070078A">
        <w:rPr>
          <w:rFonts w:ascii="Arial" w:hAnsi="Arial" w:cs="Arial"/>
          <w:sz w:val="20"/>
          <w:szCs w:val="20"/>
        </w:rPr>
        <w:t xml:space="preserve"> J </w:t>
      </w:r>
      <w:proofErr w:type="spellStart"/>
      <w:r w:rsidRPr="0070078A">
        <w:rPr>
          <w:rFonts w:ascii="Arial" w:hAnsi="Arial" w:cs="Arial"/>
          <w:sz w:val="20"/>
          <w:szCs w:val="20"/>
        </w:rPr>
        <w:t>Ayub</w:t>
      </w:r>
      <w:proofErr w:type="spellEnd"/>
      <w:r w:rsidRPr="0070078A">
        <w:rPr>
          <w:rFonts w:ascii="Arial" w:hAnsi="Arial" w:cs="Arial"/>
          <w:sz w:val="20"/>
          <w:szCs w:val="20"/>
        </w:rPr>
        <w:t xml:space="preserve"> Med </w:t>
      </w:r>
      <w:proofErr w:type="spellStart"/>
      <w:r w:rsidRPr="0070078A">
        <w:rPr>
          <w:rFonts w:ascii="Arial" w:hAnsi="Arial" w:cs="Arial"/>
          <w:sz w:val="20"/>
          <w:szCs w:val="20"/>
        </w:rPr>
        <w:t>Coll</w:t>
      </w:r>
      <w:proofErr w:type="spellEnd"/>
      <w:r w:rsidRPr="0070078A">
        <w:rPr>
          <w:rFonts w:ascii="Arial" w:hAnsi="Arial" w:cs="Arial"/>
          <w:sz w:val="20"/>
          <w:szCs w:val="20"/>
        </w:rPr>
        <w:t xml:space="preserve"> Abbottabad.</w:t>
      </w:r>
    </w:p>
    <w:p w:rsidR="00322A2F" w:rsidRPr="00AD088C" w:rsidRDefault="00322A2F" w:rsidP="00AD088C">
      <w:pPr>
        <w:pStyle w:val="ListParagraph"/>
        <w:numPr>
          <w:ilvl w:val="0"/>
          <w:numId w:val="31"/>
        </w:numPr>
        <w:jc w:val="both"/>
        <w:rPr>
          <w:rFonts w:ascii="Arial" w:hAnsi="Arial" w:cs="Arial"/>
          <w:sz w:val="20"/>
          <w:szCs w:val="20"/>
        </w:rPr>
      </w:pPr>
      <w:proofErr w:type="spellStart"/>
      <w:r w:rsidRPr="0070078A">
        <w:rPr>
          <w:rFonts w:ascii="Arial" w:hAnsi="Arial" w:cs="Arial"/>
          <w:sz w:val="20"/>
          <w:szCs w:val="20"/>
        </w:rPr>
        <w:t>Kabunga</w:t>
      </w:r>
      <w:proofErr w:type="spellEnd"/>
      <w:r w:rsidRPr="0070078A">
        <w:rPr>
          <w:rFonts w:ascii="Arial" w:hAnsi="Arial" w:cs="Arial"/>
          <w:sz w:val="20"/>
          <w:szCs w:val="20"/>
        </w:rPr>
        <w:t xml:space="preserve">, R.R., </w:t>
      </w:r>
      <w:proofErr w:type="spellStart"/>
      <w:r w:rsidRPr="0070078A">
        <w:rPr>
          <w:rFonts w:ascii="Arial" w:hAnsi="Arial" w:cs="Arial"/>
          <w:sz w:val="20"/>
          <w:szCs w:val="20"/>
        </w:rPr>
        <w:t>Onyango</w:t>
      </w:r>
      <w:proofErr w:type="spellEnd"/>
      <w:r w:rsidRPr="0070078A">
        <w:rPr>
          <w:rFonts w:ascii="Arial" w:hAnsi="Arial" w:cs="Arial"/>
          <w:sz w:val="20"/>
          <w:szCs w:val="20"/>
        </w:rPr>
        <w:t xml:space="preserve">, J., Ruvuma, S., </w:t>
      </w:r>
      <w:proofErr w:type="spellStart"/>
      <w:r w:rsidRPr="0070078A">
        <w:rPr>
          <w:rFonts w:ascii="Arial" w:hAnsi="Arial" w:cs="Arial"/>
          <w:sz w:val="20"/>
          <w:szCs w:val="20"/>
        </w:rPr>
        <w:t>Arunga</w:t>
      </w:r>
      <w:proofErr w:type="spellEnd"/>
      <w:r w:rsidRPr="0070078A">
        <w:rPr>
          <w:rFonts w:ascii="Arial" w:hAnsi="Arial" w:cs="Arial"/>
          <w:sz w:val="20"/>
          <w:szCs w:val="20"/>
        </w:rPr>
        <w:t xml:space="preserve">, S., 2022. Outcome of intravitreal Avastin® injections in patients with macular </w:t>
      </w:r>
      <w:proofErr w:type="spellStart"/>
      <w:r w:rsidRPr="0070078A">
        <w:rPr>
          <w:rFonts w:ascii="Arial" w:hAnsi="Arial" w:cs="Arial"/>
          <w:sz w:val="20"/>
          <w:szCs w:val="20"/>
        </w:rPr>
        <w:t>oedema</w:t>
      </w:r>
      <w:proofErr w:type="spellEnd"/>
      <w:r w:rsidRPr="0070078A">
        <w:rPr>
          <w:rFonts w:ascii="Arial" w:hAnsi="Arial" w:cs="Arial"/>
          <w:sz w:val="20"/>
          <w:szCs w:val="20"/>
        </w:rPr>
        <w:t xml:space="preserve"> in Uganda: a cohort study. Eye 36, 45–50. https://doi.org/10.1038/s41433-022-02006-5</w:t>
      </w:r>
    </w:p>
    <w:p w:rsidR="00322A2F" w:rsidRPr="0070078A" w:rsidRDefault="00322A2F" w:rsidP="00322A2F">
      <w:pPr>
        <w:pStyle w:val="ListParagraph"/>
        <w:numPr>
          <w:ilvl w:val="0"/>
          <w:numId w:val="31"/>
        </w:numPr>
        <w:jc w:val="both"/>
        <w:rPr>
          <w:rFonts w:ascii="Arial" w:hAnsi="Arial" w:cs="Arial"/>
          <w:sz w:val="20"/>
          <w:szCs w:val="20"/>
        </w:rPr>
      </w:pPr>
      <w:r w:rsidRPr="0070078A">
        <w:rPr>
          <w:rFonts w:ascii="Arial" w:hAnsi="Arial" w:cs="Arial"/>
          <w:sz w:val="20"/>
          <w:szCs w:val="20"/>
        </w:rPr>
        <w:t xml:space="preserve">Kanji, S., </w:t>
      </w:r>
      <w:proofErr w:type="spellStart"/>
      <w:r w:rsidRPr="0070078A">
        <w:rPr>
          <w:rFonts w:ascii="Arial" w:hAnsi="Arial" w:cs="Arial"/>
          <w:sz w:val="20"/>
          <w:szCs w:val="20"/>
        </w:rPr>
        <w:t>Dhalla</w:t>
      </w:r>
      <w:proofErr w:type="spellEnd"/>
      <w:r w:rsidRPr="0070078A">
        <w:rPr>
          <w:rFonts w:ascii="Arial" w:hAnsi="Arial" w:cs="Arial"/>
          <w:sz w:val="20"/>
          <w:szCs w:val="20"/>
        </w:rPr>
        <w:t xml:space="preserve">, K., </w:t>
      </w:r>
      <w:proofErr w:type="spellStart"/>
      <w:r w:rsidRPr="0070078A">
        <w:rPr>
          <w:rFonts w:ascii="Arial" w:hAnsi="Arial" w:cs="Arial"/>
          <w:sz w:val="20"/>
          <w:szCs w:val="20"/>
        </w:rPr>
        <w:t>Makupa</w:t>
      </w:r>
      <w:proofErr w:type="spellEnd"/>
      <w:r w:rsidRPr="0070078A">
        <w:rPr>
          <w:rFonts w:ascii="Arial" w:hAnsi="Arial" w:cs="Arial"/>
          <w:sz w:val="20"/>
          <w:szCs w:val="20"/>
        </w:rPr>
        <w:t xml:space="preserve">, W., 2020. Outcomes of Intravitreal Bevacizumab in Patients with Diabetic Macular Edema at a Tertiary Hospital in Northern Tanzania. </w:t>
      </w:r>
      <w:proofErr w:type="spellStart"/>
      <w:r w:rsidRPr="0070078A">
        <w:rPr>
          <w:rFonts w:ascii="Arial" w:hAnsi="Arial" w:cs="Arial"/>
          <w:sz w:val="20"/>
          <w:szCs w:val="20"/>
        </w:rPr>
        <w:t>Ophthalmol</w:t>
      </w:r>
      <w:proofErr w:type="spellEnd"/>
      <w:r w:rsidRPr="0070078A">
        <w:rPr>
          <w:rFonts w:ascii="Arial" w:hAnsi="Arial" w:cs="Arial"/>
          <w:sz w:val="20"/>
          <w:szCs w:val="20"/>
        </w:rPr>
        <w:t>. Res. Int. J. 27–34. https://doi.org/10.9734/or/2020/v12i430153</w:t>
      </w:r>
    </w:p>
    <w:p w:rsidR="00322A2F" w:rsidRPr="0070078A" w:rsidRDefault="00322A2F" w:rsidP="00322A2F">
      <w:pPr>
        <w:pStyle w:val="ListParagraph"/>
        <w:numPr>
          <w:ilvl w:val="0"/>
          <w:numId w:val="31"/>
        </w:numPr>
        <w:jc w:val="both"/>
        <w:rPr>
          <w:rFonts w:ascii="Arial" w:hAnsi="Arial" w:cs="Arial"/>
          <w:sz w:val="20"/>
          <w:szCs w:val="20"/>
        </w:rPr>
      </w:pPr>
      <w:r w:rsidRPr="0070078A">
        <w:rPr>
          <w:rFonts w:ascii="Arial" w:hAnsi="Arial" w:cs="Arial"/>
          <w:sz w:val="20"/>
          <w:szCs w:val="20"/>
        </w:rPr>
        <w:t xml:space="preserve">Lee, R., Wong, T.Y., </w:t>
      </w:r>
      <w:proofErr w:type="spellStart"/>
      <w:r w:rsidRPr="0070078A">
        <w:rPr>
          <w:rFonts w:ascii="Arial" w:hAnsi="Arial" w:cs="Arial"/>
          <w:sz w:val="20"/>
          <w:szCs w:val="20"/>
        </w:rPr>
        <w:t>Sabanayagam</w:t>
      </w:r>
      <w:proofErr w:type="spellEnd"/>
      <w:r w:rsidRPr="0070078A">
        <w:rPr>
          <w:rFonts w:ascii="Arial" w:hAnsi="Arial" w:cs="Arial"/>
          <w:sz w:val="20"/>
          <w:szCs w:val="20"/>
        </w:rPr>
        <w:t>, C., 2015. Epidemiology of diabetic retinopathy, diabetic macular edema and related vision loss. Eye Vis. 2, 17. https://doi.org/10.1186/ s40662-015-0026-2</w:t>
      </w:r>
    </w:p>
    <w:p w:rsidR="00322A2F" w:rsidRPr="0070078A" w:rsidRDefault="00322A2F" w:rsidP="00322A2F">
      <w:pPr>
        <w:pStyle w:val="ListParagraph"/>
        <w:numPr>
          <w:ilvl w:val="0"/>
          <w:numId w:val="31"/>
        </w:numPr>
        <w:jc w:val="both"/>
        <w:rPr>
          <w:rFonts w:ascii="Arial" w:hAnsi="Arial" w:cs="Arial"/>
          <w:sz w:val="20"/>
          <w:szCs w:val="20"/>
        </w:rPr>
      </w:pPr>
      <w:r w:rsidRPr="0070078A">
        <w:rPr>
          <w:rFonts w:ascii="Arial" w:hAnsi="Arial" w:cs="Arial"/>
          <w:sz w:val="20"/>
          <w:szCs w:val="20"/>
        </w:rPr>
        <w:t xml:space="preserve">Lee, S.J., Kim, E.T., Moon, Y.S., 2011. Intravitreal Bevacizumab Alone versus Combined with Macular Photocoagulation in Diabetic Macular Edema. Korean J. </w:t>
      </w:r>
      <w:proofErr w:type="spellStart"/>
      <w:r w:rsidRPr="0070078A">
        <w:rPr>
          <w:rFonts w:ascii="Arial" w:hAnsi="Arial" w:cs="Arial"/>
          <w:sz w:val="20"/>
          <w:szCs w:val="20"/>
        </w:rPr>
        <w:t>Ophthalmol</w:t>
      </w:r>
      <w:proofErr w:type="spellEnd"/>
      <w:r w:rsidRPr="0070078A">
        <w:rPr>
          <w:rFonts w:ascii="Arial" w:hAnsi="Arial" w:cs="Arial"/>
          <w:sz w:val="20"/>
          <w:szCs w:val="20"/>
        </w:rPr>
        <w:t>. 25, 299. https://doi.org/10.3341/kjo.2011.25.5.299</w:t>
      </w:r>
    </w:p>
    <w:p w:rsidR="00322A2F" w:rsidRPr="0070078A" w:rsidRDefault="00322A2F" w:rsidP="00322A2F">
      <w:pPr>
        <w:pStyle w:val="ListParagraph"/>
        <w:numPr>
          <w:ilvl w:val="0"/>
          <w:numId w:val="31"/>
        </w:numPr>
        <w:jc w:val="both"/>
        <w:rPr>
          <w:rFonts w:ascii="Arial" w:hAnsi="Arial" w:cs="Arial"/>
          <w:sz w:val="20"/>
          <w:szCs w:val="20"/>
        </w:rPr>
      </w:pPr>
      <w:proofErr w:type="spellStart"/>
      <w:r w:rsidRPr="0070078A">
        <w:rPr>
          <w:rFonts w:ascii="Arial" w:hAnsi="Arial" w:cs="Arial"/>
          <w:sz w:val="20"/>
          <w:szCs w:val="20"/>
        </w:rPr>
        <w:lastRenderedPageBreak/>
        <w:t>Shalaby</w:t>
      </w:r>
      <w:proofErr w:type="spellEnd"/>
      <w:r w:rsidRPr="0070078A">
        <w:rPr>
          <w:rFonts w:ascii="Arial" w:hAnsi="Arial" w:cs="Arial"/>
          <w:sz w:val="20"/>
          <w:szCs w:val="20"/>
        </w:rPr>
        <w:t>, U., Soliman, T., El-Hameed Fayed, A., 2017. Intravitreal bevacizumab alone or combined with macular laser for treatment of diabetic macular edema. Egypt. Retina J. 4, 37. https://doi.org/10.4103/erj.erj_8_17</w:t>
      </w:r>
    </w:p>
    <w:p w:rsidR="00322A2F" w:rsidRPr="0070078A" w:rsidRDefault="00322A2F" w:rsidP="00322A2F">
      <w:pPr>
        <w:pStyle w:val="ListParagraph"/>
        <w:numPr>
          <w:ilvl w:val="0"/>
          <w:numId w:val="31"/>
        </w:numPr>
        <w:jc w:val="both"/>
        <w:rPr>
          <w:rFonts w:ascii="Arial" w:hAnsi="Arial" w:cs="Arial"/>
          <w:sz w:val="20"/>
          <w:szCs w:val="20"/>
        </w:rPr>
      </w:pPr>
      <w:proofErr w:type="spellStart"/>
      <w:r w:rsidRPr="0070078A">
        <w:rPr>
          <w:rFonts w:ascii="Arial" w:hAnsi="Arial" w:cs="Arial"/>
          <w:sz w:val="20"/>
          <w:szCs w:val="20"/>
        </w:rPr>
        <w:t>Solaiman</w:t>
      </w:r>
      <w:proofErr w:type="spellEnd"/>
      <w:r w:rsidRPr="0070078A">
        <w:rPr>
          <w:rFonts w:ascii="Arial" w:hAnsi="Arial" w:cs="Arial"/>
          <w:sz w:val="20"/>
          <w:szCs w:val="20"/>
        </w:rPr>
        <w:t xml:space="preserve">, K.A.M., </w:t>
      </w:r>
      <w:proofErr w:type="spellStart"/>
      <w:r w:rsidRPr="0070078A">
        <w:rPr>
          <w:rFonts w:ascii="Arial" w:hAnsi="Arial" w:cs="Arial"/>
          <w:sz w:val="20"/>
          <w:szCs w:val="20"/>
        </w:rPr>
        <w:t>Diab</w:t>
      </w:r>
      <w:proofErr w:type="spellEnd"/>
      <w:r w:rsidRPr="0070078A">
        <w:rPr>
          <w:rFonts w:ascii="Arial" w:hAnsi="Arial" w:cs="Arial"/>
          <w:sz w:val="20"/>
          <w:szCs w:val="20"/>
        </w:rPr>
        <w:t>, M.M., Abo-</w:t>
      </w:r>
      <w:proofErr w:type="spellStart"/>
      <w:r w:rsidRPr="0070078A">
        <w:rPr>
          <w:rFonts w:ascii="Arial" w:hAnsi="Arial" w:cs="Arial"/>
          <w:sz w:val="20"/>
          <w:szCs w:val="20"/>
        </w:rPr>
        <w:t>Elenin</w:t>
      </w:r>
      <w:proofErr w:type="spellEnd"/>
      <w:r w:rsidRPr="0070078A">
        <w:rPr>
          <w:rFonts w:ascii="Arial" w:hAnsi="Arial" w:cs="Arial"/>
          <w:sz w:val="20"/>
          <w:szCs w:val="20"/>
        </w:rPr>
        <w:t xml:space="preserve">, M., 2010. </w:t>
      </w:r>
      <w:proofErr w:type="spellStart"/>
      <w:r w:rsidRPr="0070078A">
        <w:rPr>
          <w:rFonts w:ascii="Arial" w:hAnsi="Arial" w:cs="Arial"/>
          <w:sz w:val="20"/>
          <w:szCs w:val="20"/>
        </w:rPr>
        <w:t>Intravitrial</w:t>
      </w:r>
      <w:proofErr w:type="spellEnd"/>
      <w:r w:rsidRPr="0070078A">
        <w:rPr>
          <w:rFonts w:ascii="Arial" w:hAnsi="Arial" w:cs="Arial"/>
          <w:sz w:val="20"/>
          <w:szCs w:val="20"/>
        </w:rPr>
        <w:t xml:space="preserve"> bevacizumab and /or macula photocoagulation as a primary a primary treatment for diffused diabetic macula edema. Retina 30, 1638–1645. https://doi.org/10.1097/ IAE.0b013e3181e1ed07</w:t>
      </w:r>
    </w:p>
    <w:p w:rsidR="00322A2F" w:rsidRPr="0070078A" w:rsidRDefault="00322A2F" w:rsidP="00322A2F">
      <w:pPr>
        <w:pStyle w:val="ListParagraph"/>
        <w:numPr>
          <w:ilvl w:val="0"/>
          <w:numId w:val="31"/>
        </w:numPr>
        <w:jc w:val="both"/>
        <w:rPr>
          <w:rFonts w:ascii="Arial" w:hAnsi="Arial" w:cs="Arial"/>
          <w:sz w:val="20"/>
          <w:szCs w:val="20"/>
        </w:rPr>
      </w:pPr>
      <w:proofErr w:type="spellStart"/>
      <w:r w:rsidRPr="0070078A">
        <w:rPr>
          <w:rFonts w:ascii="Arial" w:hAnsi="Arial" w:cs="Arial"/>
          <w:sz w:val="20"/>
          <w:szCs w:val="20"/>
        </w:rPr>
        <w:t>Weingessel</w:t>
      </w:r>
      <w:proofErr w:type="spellEnd"/>
      <w:r w:rsidRPr="0070078A">
        <w:rPr>
          <w:rFonts w:ascii="Arial" w:hAnsi="Arial" w:cs="Arial"/>
          <w:sz w:val="20"/>
          <w:szCs w:val="20"/>
        </w:rPr>
        <w:t xml:space="preserve">, B., </w:t>
      </w:r>
      <w:proofErr w:type="spellStart"/>
      <w:r w:rsidRPr="0070078A">
        <w:rPr>
          <w:rFonts w:ascii="Arial" w:hAnsi="Arial" w:cs="Arial"/>
          <w:sz w:val="20"/>
          <w:szCs w:val="20"/>
        </w:rPr>
        <w:t>Miháltz</w:t>
      </w:r>
      <w:proofErr w:type="spellEnd"/>
      <w:r w:rsidRPr="0070078A">
        <w:rPr>
          <w:rFonts w:ascii="Arial" w:hAnsi="Arial" w:cs="Arial"/>
          <w:sz w:val="20"/>
          <w:szCs w:val="20"/>
        </w:rPr>
        <w:t xml:space="preserve">, K., </w:t>
      </w:r>
      <w:proofErr w:type="spellStart"/>
      <w:r w:rsidRPr="0070078A">
        <w:rPr>
          <w:rFonts w:ascii="Arial" w:hAnsi="Arial" w:cs="Arial"/>
          <w:sz w:val="20"/>
          <w:szCs w:val="20"/>
        </w:rPr>
        <w:t>Gleiss</w:t>
      </w:r>
      <w:proofErr w:type="spellEnd"/>
      <w:r w:rsidRPr="0070078A">
        <w:rPr>
          <w:rFonts w:ascii="Arial" w:hAnsi="Arial" w:cs="Arial"/>
          <w:sz w:val="20"/>
          <w:szCs w:val="20"/>
        </w:rPr>
        <w:t xml:space="preserve">, A., </w:t>
      </w:r>
      <w:proofErr w:type="spellStart"/>
      <w:r w:rsidRPr="0070078A">
        <w:rPr>
          <w:rFonts w:ascii="Arial" w:hAnsi="Arial" w:cs="Arial"/>
          <w:sz w:val="20"/>
          <w:szCs w:val="20"/>
        </w:rPr>
        <w:t>Sulzbacher</w:t>
      </w:r>
      <w:proofErr w:type="spellEnd"/>
      <w:r w:rsidRPr="0070078A">
        <w:rPr>
          <w:rFonts w:ascii="Arial" w:hAnsi="Arial" w:cs="Arial"/>
          <w:sz w:val="20"/>
          <w:szCs w:val="20"/>
        </w:rPr>
        <w:t xml:space="preserve">, F., </w:t>
      </w:r>
      <w:proofErr w:type="spellStart"/>
      <w:r w:rsidRPr="0070078A">
        <w:rPr>
          <w:rFonts w:ascii="Arial" w:hAnsi="Arial" w:cs="Arial"/>
          <w:sz w:val="20"/>
          <w:szCs w:val="20"/>
        </w:rPr>
        <w:t>Schütze</w:t>
      </w:r>
      <w:proofErr w:type="spellEnd"/>
      <w:r w:rsidRPr="0070078A">
        <w:rPr>
          <w:rFonts w:ascii="Arial" w:hAnsi="Arial" w:cs="Arial"/>
          <w:sz w:val="20"/>
          <w:szCs w:val="20"/>
        </w:rPr>
        <w:t xml:space="preserve">, C., </w:t>
      </w:r>
      <w:proofErr w:type="spellStart"/>
      <w:r w:rsidRPr="0070078A">
        <w:rPr>
          <w:rFonts w:ascii="Arial" w:hAnsi="Arial" w:cs="Arial"/>
          <w:sz w:val="20"/>
          <w:szCs w:val="20"/>
        </w:rPr>
        <w:t>Vécsei-Marlovits</w:t>
      </w:r>
      <w:proofErr w:type="spellEnd"/>
      <w:r w:rsidRPr="0070078A">
        <w:rPr>
          <w:rFonts w:ascii="Arial" w:hAnsi="Arial" w:cs="Arial"/>
          <w:sz w:val="20"/>
          <w:szCs w:val="20"/>
        </w:rPr>
        <w:t xml:space="preserve">, P.V., 2018. Treatment of Diabetic Macular Edema with Intravitreal </w:t>
      </w:r>
      <w:proofErr w:type="spellStart"/>
      <w:r w:rsidRPr="0070078A">
        <w:rPr>
          <w:rFonts w:ascii="Arial" w:hAnsi="Arial" w:cs="Arial"/>
          <w:sz w:val="20"/>
          <w:szCs w:val="20"/>
        </w:rPr>
        <w:t>Antivascular</w:t>
      </w:r>
      <w:proofErr w:type="spellEnd"/>
      <w:r w:rsidRPr="0070078A">
        <w:rPr>
          <w:rFonts w:ascii="Arial" w:hAnsi="Arial" w:cs="Arial"/>
          <w:sz w:val="20"/>
          <w:szCs w:val="20"/>
        </w:rPr>
        <w:t xml:space="preserve"> Endothelial Growth Factor and Prompt versus Deferred Focal Laser during Long-Term Follow-Up and Identification of Prognostic Retinal Markers. J. </w:t>
      </w:r>
      <w:proofErr w:type="spellStart"/>
      <w:r w:rsidRPr="0070078A">
        <w:rPr>
          <w:rFonts w:ascii="Arial" w:hAnsi="Arial" w:cs="Arial"/>
          <w:sz w:val="20"/>
          <w:szCs w:val="20"/>
        </w:rPr>
        <w:t>Ophthalmol</w:t>
      </w:r>
      <w:proofErr w:type="spellEnd"/>
      <w:r w:rsidRPr="0070078A">
        <w:rPr>
          <w:rFonts w:ascii="Arial" w:hAnsi="Arial" w:cs="Arial"/>
          <w:sz w:val="20"/>
          <w:szCs w:val="20"/>
        </w:rPr>
        <w:t xml:space="preserve">. 2018, 1–11. </w:t>
      </w:r>
      <w:hyperlink r:id="rId10" w:history="1">
        <w:r w:rsidRPr="0070078A">
          <w:rPr>
            <w:rStyle w:val="Hyperlink"/>
            <w:rFonts w:ascii="Arial" w:hAnsi="Arial" w:cs="Arial"/>
            <w:sz w:val="20"/>
            <w:szCs w:val="20"/>
          </w:rPr>
          <w:t>https://doi.org/10.1155/2018/3082560</w:t>
        </w:r>
      </w:hyperlink>
    </w:p>
    <w:p w:rsidR="00A72647" w:rsidRDefault="00A72647" w:rsidP="00441B6F">
      <w:pPr>
        <w:pStyle w:val="DefAcrHead"/>
        <w:spacing w:after="0"/>
        <w:jc w:val="both"/>
        <w:rPr>
          <w:rFonts w:ascii="Arial" w:hAnsi="Arial" w:cs="Arial"/>
          <w:b w:val="0"/>
          <w:caps w:val="0"/>
          <w:sz w:val="20"/>
        </w:rPr>
      </w:pPr>
    </w:p>
    <w:p w:rsidR="00A72647" w:rsidRDefault="00A72647" w:rsidP="00441B6F">
      <w:pPr>
        <w:pStyle w:val="DefAcrHead"/>
        <w:spacing w:after="0"/>
        <w:jc w:val="both"/>
        <w:rPr>
          <w:rFonts w:ascii="Arial" w:hAnsi="Arial" w:cs="Arial"/>
        </w:rPr>
      </w:pPr>
    </w:p>
    <w:p w:rsidR="00FD17D5" w:rsidRDefault="00FD17D5" w:rsidP="00FD17D5">
      <w:pPr>
        <w:pStyle w:val="Body"/>
        <w:spacing w:after="0"/>
        <w:rPr>
          <w:rFonts w:ascii="Arial" w:hAnsi="Arial" w:cs="Arial"/>
        </w:rPr>
      </w:pPr>
    </w:p>
    <w:p w:rsidR="00FD17D5" w:rsidRPr="00E80965" w:rsidRDefault="00FD17D5" w:rsidP="00441B6F">
      <w:pPr>
        <w:pStyle w:val="Appendix"/>
        <w:spacing w:after="0"/>
        <w:jc w:val="both"/>
        <w:rPr>
          <w:rFonts w:ascii="Arial" w:hAnsi="Arial" w:cs="Arial"/>
        </w:rPr>
        <w:sectPr w:rsidR="00FD17D5" w:rsidRPr="00E80965" w:rsidSect="00A54CFA">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2016" w:bottom="2016" w:left="2016" w:header="720" w:footer="1123" w:gutter="0"/>
          <w:cols w:space="720"/>
          <w:docGrid w:linePitch="272"/>
        </w:sectPr>
      </w:pPr>
    </w:p>
    <w:p w:rsidR="00B01FCD" w:rsidRPr="00FB3A86" w:rsidRDefault="00B01FCD" w:rsidP="00441B6F">
      <w:pPr>
        <w:pStyle w:val="Appendix"/>
        <w:spacing w:after="0"/>
        <w:jc w:val="both"/>
        <w:rPr>
          <w:rFonts w:ascii="Arial" w:hAnsi="Arial" w:cs="Arial"/>
          <w:b w:val="0"/>
        </w:rPr>
      </w:pPr>
    </w:p>
    <w:sectPr w:rsidR="00B01FCD" w:rsidRPr="00FB3A86" w:rsidSect="00A54CFA">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3250" w:rsidRDefault="00D83250" w:rsidP="00C37E61">
      <w:r>
        <w:separator/>
      </w:r>
    </w:p>
  </w:endnote>
  <w:endnote w:type="continuationSeparator" w:id="0">
    <w:p w:rsidR="00D83250" w:rsidRDefault="00D8325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4E37" w:rsidRDefault="00F74E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4E37" w:rsidRPr="00C37E61" w:rsidRDefault="00F74E37" w:rsidP="00C37E6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4E37" w:rsidRDefault="00F74E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3250" w:rsidRDefault="00D83250" w:rsidP="00C37E61">
      <w:r>
        <w:separator/>
      </w:r>
    </w:p>
  </w:footnote>
  <w:footnote w:type="continuationSeparator" w:id="0">
    <w:p w:rsidR="00D83250" w:rsidRDefault="00D83250"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4E37" w:rsidRDefault="00F74E3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926920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4E37" w:rsidRDefault="00F74E3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926920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4E37" w:rsidRDefault="00F74E3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9269203"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3E0A54CB"/>
    <w:multiLevelType w:val="hybridMultilevel"/>
    <w:tmpl w:val="586C89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A6219"/>
    <w:rsid w:val="00000F8F"/>
    <w:rsid w:val="00020BD3"/>
    <w:rsid w:val="00030174"/>
    <w:rsid w:val="0004579C"/>
    <w:rsid w:val="000A47FA"/>
    <w:rsid w:val="000A65D3"/>
    <w:rsid w:val="000B1E33"/>
    <w:rsid w:val="000D689F"/>
    <w:rsid w:val="000E7B7B"/>
    <w:rsid w:val="000E7D62"/>
    <w:rsid w:val="00103357"/>
    <w:rsid w:val="00123C9F"/>
    <w:rsid w:val="00126190"/>
    <w:rsid w:val="00130F17"/>
    <w:rsid w:val="001320BF"/>
    <w:rsid w:val="001464EC"/>
    <w:rsid w:val="00154D5D"/>
    <w:rsid w:val="00163BC4"/>
    <w:rsid w:val="00167F68"/>
    <w:rsid w:val="00191062"/>
    <w:rsid w:val="00192B72"/>
    <w:rsid w:val="001A29D8"/>
    <w:rsid w:val="001A5CAA"/>
    <w:rsid w:val="001B0427"/>
    <w:rsid w:val="001C0605"/>
    <w:rsid w:val="001D3A51"/>
    <w:rsid w:val="001D6D51"/>
    <w:rsid w:val="001E10D2"/>
    <w:rsid w:val="001E25B4"/>
    <w:rsid w:val="001E44FE"/>
    <w:rsid w:val="00200595"/>
    <w:rsid w:val="00204835"/>
    <w:rsid w:val="00231920"/>
    <w:rsid w:val="0023195C"/>
    <w:rsid w:val="0024282C"/>
    <w:rsid w:val="00245E0A"/>
    <w:rsid w:val="002460DC"/>
    <w:rsid w:val="00250985"/>
    <w:rsid w:val="002556F6"/>
    <w:rsid w:val="00283105"/>
    <w:rsid w:val="00284C4C"/>
    <w:rsid w:val="00287E68"/>
    <w:rsid w:val="00296529"/>
    <w:rsid w:val="002B0E23"/>
    <w:rsid w:val="002B27FB"/>
    <w:rsid w:val="002B685A"/>
    <w:rsid w:val="002C57D2"/>
    <w:rsid w:val="002E0D56"/>
    <w:rsid w:val="00315186"/>
    <w:rsid w:val="00322A2F"/>
    <w:rsid w:val="0033343E"/>
    <w:rsid w:val="003512C2"/>
    <w:rsid w:val="00371FB6"/>
    <w:rsid w:val="003763C1"/>
    <w:rsid w:val="00376BBE"/>
    <w:rsid w:val="0039224F"/>
    <w:rsid w:val="003A43A4"/>
    <w:rsid w:val="003A7E18"/>
    <w:rsid w:val="003C2E81"/>
    <w:rsid w:val="003C4C86"/>
    <w:rsid w:val="003C6258"/>
    <w:rsid w:val="003D4A00"/>
    <w:rsid w:val="003E2904"/>
    <w:rsid w:val="0040165E"/>
    <w:rsid w:val="00401927"/>
    <w:rsid w:val="0041027F"/>
    <w:rsid w:val="00412475"/>
    <w:rsid w:val="00423789"/>
    <w:rsid w:val="00440F43"/>
    <w:rsid w:val="00441B6F"/>
    <w:rsid w:val="00446221"/>
    <w:rsid w:val="00450E62"/>
    <w:rsid w:val="004539DB"/>
    <w:rsid w:val="00471A80"/>
    <w:rsid w:val="0049402F"/>
    <w:rsid w:val="004D305E"/>
    <w:rsid w:val="004D4277"/>
    <w:rsid w:val="004F2884"/>
    <w:rsid w:val="00502516"/>
    <w:rsid w:val="00505F06"/>
    <w:rsid w:val="00506828"/>
    <w:rsid w:val="00520976"/>
    <w:rsid w:val="00525523"/>
    <w:rsid w:val="0053056E"/>
    <w:rsid w:val="005334CE"/>
    <w:rsid w:val="00554FDA"/>
    <w:rsid w:val="00557A51"/>
    <w:rsid w:val="0057408E"/>
    <w:rsid w:val="005B2FB9"/>
    <w:rsid w:val="005C784C"/>
    <w:rsid w:val="005D17F6"/>
    <w:rsid w:val="005D3B5F"/>
    <w:rsid w:val="005E5539"/>
    <w:rsid w:val="00602BF5"/>
    <w:rsid w:val="00617FDD"/>
    <w:rsid w:val="00633614"/>
    <w:rsid w:val="00633F68"/>
    <w:rsid w:val="006344F6"/>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011A"/>
    <w:rsid w:val="007F7B32"/>
    <w:rsid w:val="008030C2"/>
    <w:rsid w:val="00804BC2"/>
    <w:rsid w:val="0080503B"/>
    <w:rsid w:val="0081431A"/>
    <w:rsid w:val="00826B5D"/>
    <w:rsid w:val="0083216F"/>
    <w:rsid w:val="00860000"/>
    <w:rsid w:val="00863BD3"/>
    <w:rsid w:val="008641ED"/>
    <w:rsid w:val="00866D66"/>
    <w:rsid w:val="008671C6"/>
    <w:rsid w:val="00875803"/>
    <w:rsid w:val="00892D33"/>
    <w:rsid w:val="008B459E"/>
    <w:rsid w:val="008E13AE"/>
    <w:rsid w:val="008E1506"/>
    <w:rsid w:val="008E710C"/>
    <w:rsid w:val="008F69D6"/>
    <w:rsid w:val="00902823"/>
    <w:rsid w:val="00915CA6"/>
    <w:rsid w:val="00927834"/>
    <w:rsid w:val="00945B23"/>
    <w:rsid w:val="009500A6"/>
    <w:rsid w:val="00957C18"/>
    <w:rsid w:val="009659BA"/>
    <w:rsid w:val="00966B67"/>
    <w:rsid w:val="00983040"/>
    <w:rsid w:val="009B3FB9"/>
    <w:rsid w:val="009C2465"/>
    <w:rsid w:val="009D35A0"/>
    <w:rsid w:val="009D7EB7"/>
    <w:rsid w:val="009E048A"/>
    <w:rsid w:val="009E08E9"/>
    <w:rsid w:val="009E3DB9"/>
    <w:rsid w:val="009E6E35"/>
    <w:rsid w:val="009F0EDA"/>
    <w:rsid w:val="00A03B96"/>
    <w:rsid w:val="00A05B19"/>
    <w:rsid w:val="00A1134E"/>
    <w:rsid w:val="00A2309B"/>
    <w:rsid w:val="00A232D4"/>
    <w:rsid w:val="00A24E7E"/>
    <w:rsid w:val="00A258C3"/>
    <w:rsid w:val="00A30B1F"/>
    <w:rsid w:val="00A347C0"/>
    <w:rsid w:val="00A51431"/>
    <w:rsid w:val="00A539AD"/>
    <w:rsid w:val="00A54CFA"/>
    <w:rsid w:val="00A72647"/>
    <w:rsid w:val="00A94063"/>
    <w:rsid w:val="00A95CA6"/>
    <w:rsid w:val="00AA6219"/>
    <w:rsid w:val="00AA6F37"/>
    <w:rsid w:val="00AA74E0"/>
    <w:rsid w:val="00AB703F"/>
    <w:rsid w:val="00AC3374"/>
    <w:rsid w:val="00AC6BB8"/>
    <w:rsid w:val="00AD088C"/>
    <w:rsid w:val="00AE008F"/>
    <w:rsid w:val="00B01FCD"/>
    <w:rsid w:val="00B0283D"/>
    <w:rsid w:val="00B1776C"/>
    <w:rsid w:val="00B52583"/>
    <w:rsid w:val="00B52896"/>
    <w:rsid w:val="00B93995"/>
    <w:rsid w:val="00B95236"/>
    <w:rsid w:val="00B962AD"/>
    <w:rsid w:val="00B96BD9"/>
    <w:rsid w:val="00BA1B01"/>
    <w:rsid w:val="00BA2641"/>
    <w:rsid w:val="00BA7495"/>
    <w:rsid w:val="00BB37AA"/>
    <w:rsid w:val="00BC53A0"/>
    <w:rsid w:val="00BE62AD"/>
    <w:rsid w:val="00BF121F"/>
    <w:rsid w:val="00BF1F80"/>
    <w:rsid w:val="00C01FEC"/>
    <w:rsid w:val="00C166EF"/>
    <w:rsid w:val="00C17EB0"/>
    <w:rsid w:val="00C27F5F"/>
    <w:rsid w:val="00C30A0F"/>
    <w:rsid w:val="00C37E61"/>
    <w:rsid w:val="00C512DA"/>
    <w:rsid w:val="00C70F1B"/>
    <w:rsid w:val="00C71A47"/>
    <w:rsid w:val="00C7464C"/>
    <w:rsid w:val="00C82885"/>
    <w:rsid w:val="00C85588"/>
    <w:rsid w:val="00CD6755"/>
    <w:rsid w:val="00CD6856"/>
    <w:rsid w:val="00CE0089"/>
    <w:rsid w:val="00CE793C"/>
    <w:rsid w:val="00CF05A4"/>
    <w:rsid w:val="00CF193C"/>
    <w:rsid w:val="00D173F1"/>
    <w:rsid w:val="00D24E3C"/>
    <w:rsid w:val="00D42846"/>
    <w:rsid w:val="00D74CB0"/>
    <w:rsid w:val="00D8295D"/>
    <w:rsid w:val="00D83250"/>
    <w:rsid w:val="00DC2A65"/>
    <w:rsid w:val="00DE15F0"/>
    <w:rsid w:val="00DE42F1"/>
    <w:rsid w:val="00DE5663"/>
    <w:rsid w:val="00DE6C73"/>
    <w:rsid w:val="00DE78AA"/>
    <w:rsid w:val="00E053D0"/>
    <w:rsid w:val="00E10D66"/>
    <w:rsid w:val="00E15994"/>
    <w:rsid w:val="00E3114E"/>
    <w:rsid w:val="00E31A70"/>
    <w:rsid w:val="00E35B02"/>
    <w:rsid w:val="00E37B15"/>
    <w:rsid w:val="00E650F2"/>
    <w:rsid w:val="00E66496"/>
    <w:rsid w:val="00E66B35"/>
    <w:rsid w:val="00E66E10"/>
    <w:rsid w:val="00E769F6"/>
    <w:rsid w:val="00E80965"/>
    <w:rsid w:val="00E8407C"/>
    <w:rsid w:val="00E84F3C"/>
    <w:rsid w:val="00EA012C"/>
    <w:rsid w:val="00EC6A55"/>
    <w:rsid w:val="00ED0288"/>
    <w:rsid w:val="00EE52CB"/>
    <w:rsid w:val="00EF581D"/>
    <w:rsid w:val="00EF7FD8"/>
    <w:rsid w:val="00F06F59"/>
    <w:rsid w:val="00F12668"/>
    <w:rsid w:val="00F17988"/>
    <w:rsid w:val="00F469F0"/>
    <w:rsid w:val="00F53273"/>
    <w:rsid w:val="00F74E37"/>
    <w:rsid w:val="00F755E4"/>
    <w:rsid w:val="00F77D02"/>
    <w:rsid w:val="00F82A18"/>
    <w:rsid w:val="00FA6FA0"/>
    <w:rsid w:val="00FB3A86"/>
    <w:rsid w:val="00FC11AE"/>
    <w:rsid w:val="00FD17D5"/>
    <w:rsid w:val="00FD36C8"/>
    <w:rsid w:val="00FE4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uiPriority="35"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Caption">
    <w:name w:val="caption"/>
    <w:basedOn w:val="Normal"/>
    <w:next w:val="Normal"/>
    <w:uiPriority w:val="35"/>
    <w:unhideWhenUsed/>
    <w:qFormat/>
    <w:rsid w:val="003D4A00"/>
    <w:pPr>
      <w:spacing w:line="360" w:lineRule="auto"/>
    </w:pPr>
    <w:rPr>
      <w:rFonts w:ascii="Times New Roman" w:eastAsiaTheme="minorHAnsi" w:hAnsi="Times New Roman"/>
      <w:b/>
      <w:bCs/>
      <w:sz w:val="24"/>
      <w:szCs w:val="24"/>
    </w:rPr>
  </w:style>
  <w:style w:type="paragraph" w:styleId="ListParagraph">
    <w:name w:val="List Paragraph"/>
    <w:basedOn w:val="Normal"/>
    <w:uiPriority w:val="34"/>
    <w:qFormat/>
    <w:rsid w:val="00322A2F"/>
    <w:pPr>
      <w:spacing w:after="200" w:line="276"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doi.org/10.1155/2018/3082560" TargetMode="Externa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Sheet2!$C$3</c:f>
              <c:strCache>
                <c:ptCount val="1"/>
                <c:pt idx="0">
                  <c:v>Avastin ony</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Sheet2!$B$4:$B$8</c:f>
              <c:strCache>
                <c:ptCount val="5"/>
                <c:pt idx="0">
                  <c:v>Baseline CST</c:v>
                </c:pt>
                <c:pt idx="1">
                  <c:v>CST at 6 weeks</c:v>
                </c:pt>
                <c:pt idx="2">
                  <c:v>CST at 12 weeks</c:v>
                </c:pt>
                <c:pt idx="3">
                  <c:v>CST at 18 weeks</c:v>
                </c:pt>
                <c:pt idx="4">
                  <c:v>CST at 1 year</c:v>
                </c:pt>
              </c:strCache>
            </c:strRef>
          </c:cat>
          <c:val>
            <c:numRef>
              <c:f>Sheet2!$C$4:$C$8</c:f>
              <c:numCache>
                <c:formatCode>General</c:formatCode>
                <c:ptCount val="5"/>
                <c:pt idx="0">
                  <c:v>453.48</c:v>
                </c:pt>
                <c:pt idx="1">
                  <c:v>370.93</c:v>
                </c:pt>
                <c:pt idx="2">
                  <c:v>348.89</c:v>
                </c:pt>
                <c:pt idx="3">
                  <c:v>325.02</c:v>
                </c:pt>
                <c:pt idx="4">
                  <c:v>287.05</c:v>
                </c:pt>
              </c:numCache>
            </c:numRef>
          </c:val>
          <c:smooth val="0"/>
          <c:extLst xmlns:c16r2="http://schemas.microsoft.com/office/drawing/2015/06/chart">
            <c:ext xmlns:c16="http://schemas.microsoft.com/office/drawing/2014/chart" uri="{C3380CC4-5D6E-409C-BE32-E72D297353CC}">
              <c16:uniqueId val="{00000000-F67B-4421-BBF3-249AB334073C}"/>
            </c:ext>
          </c:extLst>
        </c:ser>
        <c:ser>
          <c:idx val="1"/>
          <c:order val="1"/>
          <c:tx>
            <c:strRef>
              <c:f>Sheet2!$D$3</c:f>
              <c:strCache>
                <c:ptCount val="1"/>
                <c:pt idx="0">
                  <c:v>Avastin + Focal laser</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0"/>
              <c:layout>
                <c:manualLayout>
                  <c:x val="-6.9541776027996494E-2"/>
                  <c:y val="3.9386482939632525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F67B-4421-BBF3-249AB334073C}"/>
                </c:ext>
              </c:extLst>
            </c:dLbl>
            <c:dLbl>
              <c:idx val="1"/>
              <c:layout>
                <c:manualLayout>
                  <c:x val="-5.0097331583552056E-2"/>
                  <c:y val="3.9386482939632546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F67B-4421-BBF3-249AB334073C}"/>
                </c:ext>
              </c:extLst>
            </c:dLbl>
            <c:dLbl>
              <c:idx val="2"/>
              <c:layout>
                <c:manualLayout>
                  <c:x val="-5.5652887139107612E-2"/>
                  <c:y val="3.9386482939632546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F67B-4421-BBF3-249AB334073C}"/>
                </c:ext>
              </c:extLst>
            </c:dLbl>
            <c:dLbl>
              <c:idx val="3"/>
              <c:layout>
                <c:manualLayout>
                  <c:x val="-5.8430664916885387E-2"/>
                  <c:y val="3.9386482939632546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F67B-4421-BBF3-249AB334073C}"/>
                </c:ext>
              </c:extLst>
            </c:dLbl>
            <c:dLbl>
              <c:idx val="4"/>
              <c:layout>
                <c:manualLayout>
                  <c:x val="-3.8986220472441047E-2"/>
                  <c:y val="5.3275371828521351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F67B-4421-BBF3-249AB334073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Sheet2!$B$4:$B$8</c:f>
              <c:strCache>
                <c:ptCount val="5"/>
                <c:pt idx="0">
                  <c:v>Baseline CST</c:v>
                </c:pt>
                <c:pt idx="1">
                  <c:v>CST at 6 weeks</c:v>
                </c:pt>
                <c:pt idx="2">
                  <c:v>CST at 12 weeks</c:v>
                </c:pt>
                <c:pt idx="3">
                  <c:v>CST at 18 weeks</c:v>
                </c:pt>
                <c:pt idx="4">
                  <c:v>CST at 1 year</c:v>
                </c:pt>
              </c:strCache>
            </c:strRef>
          </c:cat>
          <c:val>
            <c:numRef>
              <c:f>Sheet2!$D$4:$D$8</c:f>
              <c:numCache>
                <c:formatCode>General</c:formatCode>
                <c:ptCount val="5"/>
                <c:pt idx="0">
                  <c:v>424.72</c:v>
                </c:pt>
                <c:pt idx="1">
                  <c:v>331.94</c:v>
                </c:pt>
                <c:pt idx="2">
                  <c:v>315.32</c:v>
                </c:pt>
                <c:pt idx="3">
                  <c:v>299.58</c:v>
                </c:pt>
                <c:pt idx="4">
                  <c:v>277.14</c:v>
                </c:pt>
              </c:numCache>
            </c:numRef>
          </c:val>
          <c:smooth val="0"/>
          <c:extLst xmlns:c16r2="http://schemas.microsoft.com/office/drawing/2015/06/chart">
            <c:ext xmlns:c16="http://schemas.microsoft.com/office/drawing/2014/chart" uri="{C3380CC4-5D6E-409C-BE32-E72D297353CC}">
              <c16:uniqueId val="{00000006-F67B-4421-BBF3-249AB334073C}"/>
            </c:ext>
          </c:extLst>
        </c:ser>
        <c:dLbls>
          <c:dLblPos val="t"/>
          <c:showLegendKey val="0"/>
          <c:showVal val="1"/>
          <c:showCatName val="0"/>
          <c:showSerName val="0"/>
          <c:showPercent val="0"/>
          <c:showBubbleSize val="0"/>
        </c:dLbls>
        <c:marker val="1"/>
        <c:smooth val="0"/>
        <c:axId val="101063296"/>
        <c:axId val="101073280"/>
      </c:lineChart>
      <c:catAx>
        <c:axId val="1010632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1" i="0" u="none" strike="noStrike" kern="1200" baseline="0">
                <a:solidFill>
                  <a:sysClr val="windowText" lastClr="000000"/>
                </a:solidFill>
                <a:latin typeface="+mn-lt"/>
                <a:ea typeface="+mn-ea"/>
                <a:cs typeface="+mn-cs"/>
              </a:defRPr>
            </a:pPr>
            <a:endParaRPr lang="en-US"/>
          </a:p>
        </c:txPr>
        <c:crossAx val="101073280"/>
        <c:crosses val="autoZero"/>
        <c:auto val="1"/>
        <c:lblAlgn val="ctr"/>
        <c:lblOffset val="100"/>
        <c:noMultiLvlLbl val="0"/>
      </c:catAx>
      <c:valAx>
        <c:axId val="1010732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1">
                    <a:solidFill>
                      <a:sysClr val="windowText" lastClr="000000"/>
                    </a:solidFill>
                  </a:rPr>
                  <a:t>CMT IN </a:t>
                </a:r>
                <a:r>
                  <a:rPr lang="el-GR" sz="1200" b="1" i="0" u="none" strike="noStrike" baseline="0">
                    <a:solidFill>
                      <a:sysClr val="windowText" lastClr="000000"/>
                    </a:solidFill>
                    <a:effectLst/>
                  </a:rPr>
                  <a:t>μ</a:t>
                </a:r>
                <a:r>
                  <a:rPr lang="en-US" sz="1200" b="1" i="0" u="none" strike="noStrike" baseline="0">
                    <a:solidFill>
                      <a:sysClr val="windowText" lastClr="000000"/>
                    </a:solidFill>
                    <a:effectLst/>
                  </a:rPr>
                  <a:t>m</a:t>
                </a:r>
                <a:endParaRPr lang="en-US" sz="1200" b="1">
                  <a:solidFill>
                    <a:sysClr val="windowText" lastClr="000000"/>
                  </a:solidFill>
                </a:endParaRPr>
              </a:p>
            </c:rich>
          </c:tx>
          <c:layout>
            <c:manualLayout>
              <c:xMode val="edge"/>
              <c:yMode val="edge"/>
              <c:x val="1.6666666666666666E-2"/>
              <c:y val="0.18708697871099444"/>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1" i="0" u="none" strike="noStrike" kern="1200" baseline="0">
                <a:solidFill>
                  <a:schemeClr val="tx1">
                    <a:lumMod val="65000"/>
                    <a:lumOff val="35000"/>
                  </a:schemeClr>
                </a:solidFill>
                <a:latin typeface="+mn-lt"/>
                <a:ea typeface="+mn-ea"/>
                <a:cs typeface="+mn-cs"/>
              </a:defRPr>
            </a:pPr>
            <a:endParaRPr lang="en-US"/>
          </a:p>
        </c:txPr>
        <c:crossAx val="101063296"/>
        <c:crosses val="autoZero"/>
        <c:crossBetween val="between"/>
      </c:valAx>
      <c:spPr>
        <a:noFill/>
        <a:ln>
          <a:noFill/>
        </a:ln>
        <a:effectLst/>
      </c:spPr>
    </c:plotArea>
    <c:legend>
      <c:legendPos val="b"/>
      <c:layout>
        <c:manualLayout>
          <c:xMode val="edge"/>
          <c:yMode val="edge"/>
          <c:x val="0.22590005457238638"/>
          <c:y val="0.92075925291947203"/>
          <c:w val="0.54819989085522725"/>
          <c:h val="7.9240747080527973E-2"/>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9A78B8-CEE4-49CC-9961-BEA8E9B89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859</TotalTime>
  <Pages>13</Pages>
  <Words>5218</Words>
  <Characters>29749</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34898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DR MINJA</cp:lastModifiedBy>
  <cp:revision>74</cp:revision>
  <cp:lastPrinted>1999-07-06T11:00:00Z</cp:lastPrinted>
  <dcterms:created xsi:type="dcterms:W3CDTF">2014-10-25T14:34:00Z</dcterms:created>
  <dcterms:modified xsi:type="dcterms:W3CDTF">2025-10-30T08:28:00Z</dcterms:modified>
</cp:coreProperties>
</file>