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C5506" w14:textId="77777777" w:rsidR="00754C9A" w:rsidRDefault="00754C9A" w:rsidP="00441B6F">
      <w:pPr>
        <w:pStyle w:val="Title"/>
        <w:spacing w:after="0"/>
        <w:jc w:val="both"/>
        <w:rPr>
          <w:rFonts w:ascii="Arial" w:hAnsi="Arial" w:cs="Arial"/>
        </w:rPr>
      </w:pPr>
    </w:p>
    <w:p w14:paraId="3E8D8649" w14:textId="77777777" w:rsidR="009968BF" w:rsidRPr="0020597B" w:rsidRDefault="009968BF" w:rsidP="00441B6F">
      <w:pPr>
        <w:pStyle w:val="Author"/>
        <w:spacing w:line="240" w:lineRule="auto"/>
        <w:jc w:val="both"/>
        <w:rPr>
          <w:rFonts w:ascii="Arial" w:hAnsi="Arial" w:cs="Arial"/>
          <w:sz w:val="36"/>
          <w:lang w:val="en-US"/>
        </w:rPr>
      </w:pPr>
      <w:bookmarkStart w:id="0" w:name="_Hlk213418282"/>
    </w:p>
    <w:p w14:paraId="46F6B28D" w14:textId="78359643" w:rsidR="00A258C3" w:rsidRPr="0020597B" w:rsidRDefault="00C3738C" w:rsidP="00441B6F">
      <w:pPr>
        <w:pStyle w:val="Author"/>
        <w:spacing w:line="240" w:lineRule="auto"/>
        <w:jc w:val="both"/>
        <w:rPr>
          <w:rFonts w:ascii="Arial" w:hAnsi="Arial" w:cs="Arial"/>
          <w:sz w:val="36"/>
          <w:lang w:val="en-US"/>
        </w:rPr>
      </w:pPr>
      <w:r w:rsidRPr="000057AE">
        <w:rPr>
          <w:rFonts w:ascii="Arial" w:hAnsi="Arial" w:cs="Arial"/>
          <w:sz w:val="36"/>
          <w:highlight w:val="yellow"/>
          <w:lang w:val="en-US"/>
        </w:rPr>
        <w:t xml:space="preserve">Point prevalence survey </w:t>
      </w:r>
      <w:r w:rsidR="000057AE" w:rsidRPr="000057AE">
        <w:rPr>
          <w:rFonts w:ascii="Arial" w:hAnsi="Arial" w:cs="Arial"/>
          <w:sz w:val="36"/>
          <w:highlight w:val="yellow"/>
          <w:lang w:val="en-US"/>
        </w:rPr>
        <w:t>using</w:t>
      </w:r>
      <w:r w:rsidRPr="000057AE">
        <w:rPr>
          <w:rFonts w:ascii="Arial" w:hAnsi="Arial" w:cs="Arial"/>
          <w:sz w:val="36"/>
          <w:highlight w:val="yellow"/>
          <w:lang w:val="en-US"/>
        </w:rPr>
        <w:t xml:space="preserve"> the Global PPS tool and antimicrobial use</w:t>
      </w:r>
      <w:r w:rsidR="000057AE" w:rsidRPr="000057AE">
        <w:rPr>
          <w:rFonts w:ascii="Arial" w:hAnsi="Arial" w:cs="Arial"/>
          <w:sz w:val="36"/>
          <w:highlight w:val="yellow"/>
          <w:lang w:val="en-US"/>
        </w:rPr>
        <w:t xml:space="preserve"> </w:t>
      </w:r>
      <w:r w:rsidRPr="000057AE">
        <w:rPr>
          <w:rFonts w:ascii="Arial" w:hAnsi="Arial" w:cs="Arial"/>
          <w:sz w:val="36"/>
          <w:highlight w:val="yellow"/>
          <w:lang w:val="en-US"/>
        </w:rPr>
        <w:t>at Albert Royer National Children’s Hospital, Dakar</w:t>
      </w:r>
      <w:r w:rsidR="00A94914">
        <w:rPr>
          <w:rFonts w:ascii="Arial" w:hAnsi="Arial" w:cs="Arial"/>
          <w:sz w:val="36"/>
          <w:highlight w:val="yellow"/>
          <w:lang w:val="en-US"/>
        </w:rPr>
        <w:t xml:space="preserve">, </w:t>
      </w:r>
      <w:r w:rsidRPr="000057AE">
        <w:rPr>
          <w:rFonts w:ascii="Arial" w:hAnsi="Arial" w:cs="Arial"/>
          <w:sz w:val="36"/>
          <w:highlight w:val="yellow"/>
          <w:lang w:val="en-US"/>
        </w:rPr>
        <w:t>Senegal</w:t>
      </w:r>
    </w:p>
    <w:p w14:paraId="335BD358" w14:textId="77777777" w:rsidR="00F11F0F" w:rsidRPr="0020597B" w:rsidRDefault="00F11F0F" w:rsidP="00441B6F">
      <w:pPr>
        <w:pStyle w:val="Author"/>
        <w:spacing w:line="240" w:lineRule="auto"/>
        <w:jc w:val="both"/>
        <w:rPr>
          <w:rFonts w:ascii="Arial" w:hAnsi="Arial" w:cs="Arial"/>
          <w:sz w:val="36"/>
          <w:lang w:val="en-US"/>
        </w:rPr>
      </w:pPr>
    </w:p>
    <w:bookmarkEnd w:id="0"/>
    <w:p w14:paraId="06AEC97E" w14:textId="77777777" w:rsidR="002C57D2" w:rsidRPr="0020597B" w:rsidRDefault="002C57D2" w:rsidP="00441B6F">
      <w:pPr>
        <w:pStyle w:val="Affiliation"/>
        <w:spacing w:after="0" w:line="240" w:lineRule="auto"/>
        <w:jc w:val="both"/>
        <w:rPr>
          <w:rFonts w:ascii="Arial" w:hAnsi="Arial" w:cs="Arial"/>
          <w:lang w:val="en-US"/>
        </w:rPr>
      </w:pPr>
    </w:p>
    <w:p w14:paraId="7A748C16" w14:textId="77777777" w:rsidR="00B01FCD" w:rsidRPr="00FB3A86" w:rsidRDefault="00BB4C88" w:rsidP="00441B6F">
      <w:pPr>
        <w:pStyle w:val="Copyright"/>
        <w:spacing w:after="0" w:line="240" w:lineRule="auto"/>
        <w:jc w:val="both"/>
        <w:rPr>
          <w:rFonts w:ascii="Arial" w:hAnsi="Arial" w:cs="Arial"/>
        </w:rPr>
        <w:sectPr w:rsidR="00B01FCD" w:rsidRPr="00FB3A86" w:rsidSect="00A5663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D4BD437">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642F135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D06BBD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0057AE" w14:paraId="4F972D76" w14:textId="77777777" w:rsidTr="001E44FE">
        <w:tc>
          <w:tcPr>
            <w:tcW w:w="9576" w:type="dxa"/>
            <w:shd w:val="clear" w:color="auto" w:fill="F2F2F2"/>
          </w:tcPr>
          <w:p w14:paraId="0661E867" w14:textId="77777777" w:rsidR="00BA1B01" w:rsidRPr="0020597B" w:rsidRDefault="00BA1B01" w:rsidP="00441B6F">
            <w:pPr>
              <w:pStyle w:val="Body"/>
              <w:spacing w:after="0"/>
              <w:rPr>
                <w:rFonts w:ascii="Arial" w:eastAsia="Calibri" w:hAnsi="Arial" w:cs="Arial"/>
                <w:lang w:val="en-US"/>
              </w:rPr>
            </w:pPr>
            <w:r w:rsidRPr="0020597B">
              <w:rPr>
                <w:rFonts w:ascii="Arial" w:eastAsia="Calibri" w:hAnsi="Arial" w:cs="Arial"/>
                <w:b/>
                <w:lang w:val="en-US"/>
              </w:rPr>
              <w:t xml:space="preserve">Aims: </w:t>
            </w:r>
            <w:r w:rsidR="00E94763" w:rsidRPr="0020597B">
              <w:rPr>
                <w:rFonts w:ascii="Arial" w:hAnsi="Arial" w:cs="Arial"/>
                <w:lang w:val="en-US"/>
              </w:rPr>
              <w:t>The Global Point Prevalence Survey (Global-PPS) provides a standardized tool to measure and monitor antimicrobial prescribing and resistance worldwide.</w:t>
            </w:r>
          </w:p>
          <w:p w14:paraId="751D6618" w14:textId="77777777" w:rsidR="00BA1B01" w:rsidRPr="0020597B" w:rsidRDefault="00BA1B01" w:rsidP="00441B6F">
            <w:pPr>
              <w:pStyle w:val="Body"/>
              <w:spacing w:after="0"/>
              <w:rPr>
                <w:rFonts w:ascii="Arial" w:eastAsia="Calibri" w:hAnsi="Arial" w:cs="Arial"/>
                <w:lang w:val="en-US"/>
              </w:rPr>
            </w:pPr>
            <w:r w:rsidRPr="0020597B">
              <w:rPr>
                <w:rFonts w:ascii="Arial" w:eastAsia="Calibri" w:hAnsi="Arial" w:cs="Arial"/>
                <w:b/>
                <w:lang w:val="en-US"/>
              </w:rPr>
              <w:t>Study design:</w:t>
            </w:r>
            <w:r w:rsidRPr="0020597B">
              <w:rPr>
                <w:rFonts w:ascii="Arial" w:eastAsia="Calibri" w:hAnsi="Arial" w:cs="Arial"/>
                <w:lang w:val="en-US"/>
              </w:rPr>
              <w:t xml:space="preserve">  </w:t>
            </w:r>
            <w:r w:rsidR="008B683C" w:rsidRPr="0020597B">
              <w:rPr>
                <w:rFonts w:ascii="Arial" w:hAnsi="Arial" w:cs="Arial"/>
                <w:lang w:val="en-US"/>
              </w:rPr>
              <w:t>A descriptive, cross-sectional point prevalence survey.</w:t>
            </w:r>
          </w:p>
          <w:p w14:paraId="03E2AD25" w14:textId="77777777" w:rsidR="00BA1B01" w:rsidRPr="0020597B" w:rsidRDefault="00BA1B01" w:rsidP="00441B6F">
            <w:pPr>
              <w:pStyle w:val="Body"/>
              <w:spacing w:after="0"/>
              <w:rPr>
                <w:rFonts w:ascii="Arial" w:eastAsia="Calibri" w:hAnsi="Arial" w:cs="Arial"/>
                <w:lang w:val="en-US"/>
              </w:rPr>
            </w:pPr>
            <w:r w:rsidRPr="0020597B">
              <w:rPr>
                <w:rFonts w:ascii="Arial" w:eastAsia="Calibri" w:hAnsi="Arial" w:cs="Arial"/>
                <w:b/>
                <w:lang w:val="en-US"/>
              </w:rPr>
              <w:t>Place and Duration of Study:</w:t>
            </w:r>
            <w:r w:rsidR="00E630DE" w:rsidRPr="0020597B">
              <w:rPr>
                <w:rFonts w:ascii="Arial" w:hAnsi="Arial" w:cs="Arial"/>
                <w:lang w:val="en-US"/>
              </w:rPr>
              <w:t xml:space="preserve"> </w:t>
            </w:r>
            <w:r w:rsidR="00E630DE" w:rsidRPr="005143E3">
              <w:rPr>
                <w:rFonts w:ascii="Arial" w:hAnsi="Arial" w:cs="Arial"/>
                <w:lang w:val="en-US"/>
              </w:rPr>
              <w:t>Albert Royer National Children’s Hospital Center in Dakar, Senegal</w:t>
            </w:r>
            <w:r w:rsidRPr="0020597B">
              <w:rPr>
                <w:rFonts w:ascii="Arial" w:eastAsia="Calibri" w:hAnsi="Arial" w:cs="Arial"/>
                <w:lang w:val="en-US"/>
              </w:rPr>
              <w:t xml:space="preserve">, between </w:t>
            </w:r>
            <w:r w:rsidR="003763F3" w:rsidRPr="005143E3">
              <w:rPr>
                <w:rFonts w:ascii="Arial" w:hAnsi="Arial" w:cs="Arial"/>
                <w:lang w:val="en-US"/>
              </w:rPr>
              <w:t>two consecutive days (16-17 November 2021)</w:t>
            </w:r>
            <w:r w:rsidR="003763F3" w:rsidRPr="0020597B">
              <w:rPr>
                <w:rFonts w:ascii="Arial" w:hAnsi="Arial" w:cs="Arial"/>
                <w:lang w:val="en-US"/>
              </w:rPr>
              <w:t>.</w:t>
            </w:r>
          </w:p>
          <w:p w14:paraId="2A1912D3" w14:textId="77777777" w:rsidR="003763F3" w:rsidRPr="005143E3" w:rsidRDefault="00BA1B01" w:rsidP="003763F3">
            <w:pPr>
              <w:pStyle w:val="NormalWeb"/>
              <w:jc w:val="both"/>
              <w:rPr>
                <w:rFonts w:ascii="Arial" w:hAnsi="Arial" w:cs="Arial"/>
                <w:lang w:val="en-US"/>
              </w:rPr>
            </w:pPr>
            <w:r w:rsidRPr="005143E3">
              <w:rPr>
                <w:rFonts w:ascii="Arial" w:eastAsia="Calibri" w:hAnsi="Arial" w:cs="Arial"/>
                <w:b/>
                <w:bCs/>
                <w:lang w:val="en-US"/>
              </w:rPr>
              <w:t>Methodology:</w:t>
            </w:r>
            <w:r w:rsidRPr="005143E3">
              <w:rPr>
                <w:rFonts w:ascii="Arial" w:eastAsia="Calibri" w:hAnsi="Arial" w:cs="Arial"/>
                <w:lang w:val="en-US"/>
              </w:rPr>
              <w:t xml:space="preserve"> </w:t>
            </w:r>
            <w:r w:rsidR="003763F3" w:rsidRPr="005143E3">
              <w:rPr>
                <w:rFonts w:ascii="Arial" w:eastAsia="Calibri" w:hAnsi="Arial" w:cs="Arial"/>
                <w:lang w:val="en-US"/>
              </w:rPr>
              <w:t xml:space="preserve">This study </w:t>
            </w:r>
            <w:r w:rsidR="003763F3" w:rsidRPr="005143E3">
              <w:rPr>
                <w:rFonts w:ascii="Arial" w:hAnsi="Arial" w:cs="Arial"/>
                <w:lang w:val="en-US"/>
              </w:rPr>
              <w:t>was conducted among hospitalized patients who were receiving oral or parenteral antimicrobial therapy. Data collection followed Global-PPS inclusion criteria and guidelines. Information was recorded using standardized survey forms, entered into Microsoft Excel, and analyzed using Epi Info version 7.</w:t>
            </w:r>
          </w:p>
          <w:p w14:paraId="1EF3ECD7" w14:textId="77777777" w:rsidR="004A40F4" w:rsidRPr="005143E3" w:rsidRDefault="00BA1B01" w:rsidP="004A40F4">
            <w:pPr>
              <w:pStyle w:val="NormalWeb"/>
              <w:jc w:val="both"/>
              <w:rPr>
                <w:rFonts w:ascii="Arial" w:hAnsi="Arial" w:cs="Arial"/>
                <w:lang w:val="en-US"/>
              </w:rPr>
            </w:pPr>
            <w:r w:rsidRPr="005143E3">
              <w:rPr>
                <w:rFonts w:ascii="Arial" w:eastAsia="Calibri" w:hAnsi="Arial" w:cs="Arial"/>
                <w:b/>
                <w:bCs/>
                <w:lang w:val="en-US"/>
              </w:rPr>
              <w:t>Results:</w:t>
            </w:r>
            <w:r w:rsidRPr="005143E3">
              <w:rPr>
                <w:rFonts w:ascii="Arial" w:eastAsia="Calibri" w:hAnsi="Arial" w:cs="Arial"/>
                <w:lang w:val="en-US"/>
              </w:rPr>
              <w:t xml:space="preserve"> </w:t>
            </w:r>
            <w:r w:rsidR="004A40F4" w:rsidRPr="005143E3">
              <w:rPr>
                <w:rFonts w:ascii="Arial" w:hAnsi="Arial" w:cs="Arial"/>
                <w:lang w:val="en-US"/>
              </w:rPr>
              <w:t>Seven clinical departments were included in the survey, with 82 inpatients out of 108 functional beds, representing a bed occupancy rate of 75.9%. Among these, 54 patients (65.9%) were receiving antimicrobials, including 6 (11.1%) treated for healthcare-associated infections. The mean age of patients was 62.1 months, and the most represented age group was 3-60 months (31.4%). Respiratory infections, particularly pneumonia (25.9%), were the most common diagnoses, followed by sepsis (18.5%), central nervous system infections (13%), and severe malaria (7.4%).</w:t>
            </w:r>
          </w:p>
          <w:p w14:paraId="0ED1B2D3" w14:textId="77777777" w:rsidR="00A75ED3" w:rsidRDefault="004A40F4" w:rsidP="005143E3">
            <w:pPr>
              <w:pStyle w:val="NormalWeb"/>
              <w:jc w:val="both"/>
              <w:rPr>
                <w:rFonts w:ascii="Arial" w:hAnsi="Arial" w:cs="Arial"/>
                <w:lang w:val="en-US"/>
              </w:rPr>
            </w:pPr>
            <w:r w:rsidRPr="005143E3">
              <w:rPr>
                <w:rFonts w:ascii="Arial" w:hAnsi="Arial" w:cs="Arial"/>
                <w:lang w:val="en-US"/>
              </w:rPr>
              <w:t xml:space="preserve">Samples for microbiological testing were collected from 40.7% (22/54) of patients, with 9 (40.9%) yielding positive results. Isolated bacteria included </w:t>
            </w:r>
            <w:r w:rsidRPr="005143E3">
              <w:rPr>
                <w:rStyle w:val="Emphasis"/>
                <w:rFonts w:ascii="Arial" w:hAnsi="Arial" w:cs="Arial"/>
                <w:lang w:val="en-US"/>
              </w:rPr>
              <w:t>Pseudomonas aeruginosa</w:t>
            </w:r>
            <w:r w:rsidRPr="005143E3">
              <w:rPr>
                <w:rFonts w:ascii="Arial" w:hAnsi="Arial" w:cs="Arial"/>
                <w:lang w:val="en-US"/>
              </w:rPr>
              <w:t xml:space="preserve">, </w:t>
            </w:r>
            <w:r w:rsidRPr="005143E3">
              <w:rPr>
                <w:rStyle w:val="Emphasis"/>
                <w:rFonts w:ascii="Arial" w:hAnsi="Arial" w:cs="Arial"/>
                <w:lang w:val="en-US"/>
              </w:rPr>
              <w:t>Staphylococcus aureus</w:t>
            </w:r>
            <w:r w:rsidRPr="005143E3">
              <w:rPr>
                <w:rFonts w:ascii="Arial" w:hAnsi="Arial" w:cs="Arial"/>
                <w:lang w:val="en-US"/>
              </w:rPr>
              <w:t xml:space="preserve">, </w:t>
            </w:r>
            <w:r w:rsidRPr="005143E3">
              <w:rPr>
                <w:rStyle w:val="Emphasis"/>
                <w:rFonts w:ascii="Arial" w:hAnsi="Arial" w:cs="Arial"/>
                <w:lang w:val="en-US"/>
              </w:rPr>
              <w:t>Enterobacter spp.</w:t>
            </w:r>
            <w:r w:rsidRPr="005143E3">
              <w:rPr>
                <w:rFonts w:ascii="Arial" w:hAnsi="Arial" w:cs="Arial"/>
                <w:lang w:val="en-US"/>
              </w:rPr>
              <w:t xml:space="preserve">, and </w:t>
            </w:r>
            <w:r w:rsidRPr="005143E3">
              <w:rPr>
                <w:rStyle w:val="Emphasis"/>
                <w:rFonts w:ascii="Arial" w:hAnsi="Arial" w:cs="Arial"/>
                <w:lang w:val="en-US"/>
              </w:rPr>
              <w:t>Klebsiella pneumoniae</w:t>
            </w:r>
            <w:r w:rsidRPr="005143E3">
              <w:rPr>
                <w:rFonts w:ascii="Arial" w:hAnsi="Arial" w:cs="Arial"/>
                <w:lang w:val="en-US"/>
              </w:rPr>
              <w:t xml:space="preserve">. </w:t>
            </w:r>
            <w:r w:rsidRPr="005143E3">
              <w:rPr>
                <w:rStyle w:val="Emphasis"/>
                <w:rFonts w:ascii="Arial" w:hAnsi="Arial" w:cs="Arial"/>
                <w:lang w:val="en-US"/>
              </w:rPr>
              <w:t>Plasmodium falciparum</w:t>
            </w:r>
            <w:r w:rsidRPr="005143E3">
              <w:rPr>
                <w:rFonts w:ascii="Arial" w:hAnsi="Arial" w:cs="Arial"/>
                <w:lang w:val="en-US"/>
              </w:rPr>
              <w:t xml:space="preserve"> was identified in four patients. Antibiotics were the most frequently used antimicrobials (90.6%), followed by antiparasitic agents (7.4%) and antituberculosis drugs (3.7%). Combination therapy was predominant (46.3%), followed by monotherapy (40.7%). Third-generation cephalosporins were the most prescribed antibiotics (87.0%), mainly cefotaxime (46.3%) and ceftriaxone (40.7%), followed by </w:t>
            </w:r>
            <w:proofErr w:type="spellStart"/>
            <w:r w:rsidRPr="005143E3">
              <w:rPr>
                <w:rFonts w:ascii="Arial" w:hAnsi="Arial" w:cs="Arial"/>
                <w:lang w:val="en-US"/>
              </w:rPr>
              <w:t>penicillins</w:t>
            </w:r>
            <w:proofErr w:type="spellEnd"/>
            <w:r w:rsidRPr="005143E3">
              <w:rPr>
                <w:rFonts w:ascii="Arial" w:hAnsi="Arial" w:cs="Arial"/>
                <w:lang w:val="en-US"/>
              </w:rPr>
              <w:t xml:space="preserve"> (13%), quinolones (9.2%), aminoglycosides (48.1%), imipenem (18.5%), and vancomycin (29.6%).</w:t>
            </w:r>
          </w:p>
          <w:p w14:paraId="1DC5FD67" w14:textId="77777777" w:rsidR="00505F06" w:rsidRPr="005143E3" w:rsidRDefault="00BA1B01" w:rsidP="005143E3">
            <w:pPr>
              <w:pStyle w:val="NormalWeb"/>
              <w:jc w:val="both"/>
              <w:rPr>
                <w:rFonts w:ascii="Arial" w:hAnsi="Arial" w:cs="Arial"/>
                <w:lang w:val="en-US"/>
              </w:rPr>
            </w:pPr>
            <w:r w:rsidRPr="005143E3">
              <w:rPr>
                <w:rFonts w:ascii="Arial" w:eastAsia="Calibri" w:hAnsi="Arial" w:cs="Arial"/>
                <w:b/>
                <w:bCs/>
                <w:lang w:val="en-US"/>
              </w:rPr>
              <w:t>Conclusion:</w:t>
            </w:r>
            <w:r w:rsidRPr="005143E3">
              <w:rPr>
                <w:rFonts w:ascii="Arial" w:eastAsia="Calibri" w:hAnsi="Arial" w:cs="Arial"/>
                <w:lang w:val="en-US"/>
              </w:rPr>
              <w:t xml:space="preserve"> </w:t>
            </w:r>
            <w:r w:rsidR="005143E3" w:rsidRPr="005143E3">
              <w:rPr>
                <w:rFonts w:ascii="Arial" w:hAnsi="Arial" w:cs="Arial"/>
                <w:lang w:val="en-US"/>
              </w:rPr>
              <w:t xml:space="preserve">Antibiotics, particularly third-generation cephalosporins, remain the most commonly prescribed antimicrobials in pediatric practice. Strengthening adherence to </w:t>
            </w:r>
            <w:r w:rsidR="005143E3" w:rsidRPr="005143E3">
              <w:rPr>
                <w:rFonts w:ascii="Arial" w:hAnsi="Arial" w:cs="Arial"/>
                <w:lang w:val="en-US"/>
              </w:rPr>
              <w:lastRenderedPageBreak/>
              <w:t>national antibiotic guidelines and enhancing diagnostic stewardship are essential to reduce antimicrobial resistance pressure and promote rational antimicrobial use.</w:t>
            </w:r>
          </w:p>
        </w:tc>
      </w:tr>
    </w:tbl>
    <w:p w14:paraId="75B7E7EC" w14:textId="77777777" w:rsidR="0024282C" w:rsidRPr="00D56196" w:rsidRDefault="00A24E7E" w:rsidP="00D56196">
      <w:pPr>
        <w:pStyle w:val="NormalWeb"/>
        <w:rPr>
          <w:rFonts w:ascii="Arial" w:hAnsi="Arial" w:cs="Arial"/>
          <w:b/>
          <w:i/>
          <w:sz w:val="20"/>
          <w:szCs w:val="20"/>
          <w:lang w:val="en-US"/>
        </w:rPr>
      </w:pPr>
      <w:r w:rsidRPr="0020597B">
        <w:rPr>
          <w:rFonts w:ascii="Arial" w:hAnsi="Arial" w:cs="Arial"/>
          <w:i/>
          <w:lang w:val="en-US"/>
        </w:rPr>
        <w:lastRenderedPageBreak/>
        <w:t xml:space="preserve">Keywords: </w:t>
      </w:r>
      <w:r w:rsidR="00D56196" w:rsidRPr="00D56196">
        <w:rPr>
          <w:rFonts w:ascii="Arial" w:hAnsi="Arial" w:cs="Arial"/>
          <w:b/>
          <w:i/>
          <w:sz w:val="20"/>
          <w:szCs w:val="20"/>
          <w:lang w:val="en-US"/>
        </w:rPr>
        <w:t>antimicrobial resistance, antimicrobial consumption, cephalosporins, Global-PPS, Senega</w:t>
      </w:r>
      <w:r w:rsidR="00A75ED3">
        <w:rPr>
          <w:rFonts w:ascii="Arial" w:hAnsi="Arial" w:cs="Arial"/>
          <w:b/>
          <w:i/>
          <w:sz w:val="20"/>
          <w:szCs w:val="20"/>
          <w:lang w:val="en-US"/>
        </w:rPr>
        <w:t>l</w:t>
      </w:r>
    </w:p>
    <w:p w14:paraId="2B4943B1" w14:textId="77777777" w:rsidR="007F7B32" w:rsidRPr="0020597B" w:rsidRDefault="00902823" w:rsidP="00441B6F">
      <w:pPr>
        <w:pStyle w:val="AbstHead"/>
        <w:spacing w:after="0"/>
        <w:jc w:val="both"/>
        <w:rPr>
          <w:rFonts w:ascii="Arial" w:hAnsi="Arial" w:cs="Arial"/>
          <w:lang w:val="en-US"/>
        </w:rPr>
      </w:pPr>
      <w:r w:rsidRPr="0020597B">
        <w:rPr>
          <w:rFonts w:ascii="Arial" w:hAnsi="Arial" w:cs="Arial"/>
          <w:lang w:val="en-US"/>
        </w:rPr>
        <w:t xml:space="preserve">1. </w:t>
      </w:r>
      <w:r w:rsidR="00B01FCD" w:rsidRPr="0020597B">
        <w:rPr>
          <w:rFonts w:ascii="Arial" w:hAnsi="Arial" w:cs="Arial"/>
          <w:lang w:val="en-US"/>
        </w:rPr>
        <w:t>INTRODUCTION</w:t>
      </w:r>
    </w:p>
    <w:p w14:paraId="34B6B9FD" w14:textId="02C1F3FC" w:rsidR="00D56196" w:rsidRDefault="00D56196" w:rsidP="00D56196">
      <w:pPr>
        <w:pStyle w:val="NormalWeb"/>
        <w:jc w:val="both"/>
        <w:rPr>
          <w:rFonts w:ascii="Arial" w:hAnsi="Arial" w:cs="Arial"/>
          <w:sz w:val="20"/>
          <w:szCs w:val="20"/>
          <w:lang w:val="en-US"/>
        </w:rPr>
      </w:pPr>
      <w:r w:rsidRPr="00D56196">
        <w:rPr>
          <w:rFonts w:ascii="Arial" w:hAnsi="Arial" w:cs="Arial"/>
          <w:sz w:val="20"/>
          <w:szCs w:val="20"/>
          <w:lang w:val="en-US"/>
        </w:rPr>
        <w:t xml:space="preserve">Antimicrobial resistance (AMR) has become one of the most pressing global public health challenges due to the growing threat of resistant microorganisms and their widespread dissemination across healthcare systems </w:t>
      </w:r>
      <w:r w:rsidRPr="00D56196">
        <w:rPr>
          <w:rFonts w:ascii="Arial" w:hAnsi="Arial" w:cs="Arial"/>
          <w:b/>
          <w:sz w:val="20"/>
          <w:szCs w:val="20"/>
          <w:lang w:val="en-US"/>
        </w:rPr>
        <w:t>[1,2</w:t>
      </w:r>
      <w:r w:rsidRPr="00D56196">
        <w:rPr>
          <w:rFonts w:ascii="Arial" w:hAnsi="Arial" w:cs="Arial"/>
          <w:sz w:val="20"/>
          <w:szCs w:val="20"/>
          <w:lang w:val="en-US"/>
        </w:rPr>
        <w:t xml:space="preserve">]. The World Health Organization (WHO) estimates that antimicrobial resistance could cause up to 10 million deaths annually by 2050 if not effectively addressed </w:t>
      </w:r>
      <w:r w:rsidRPr="00D56196">
        <w:rPr>
          <w:rFonts w:ascii="Arial" w:hAnsi="Arial" w:cs="Arial"/>
          <w:b/>
          <w:sz w:val="20"/>
          <w:szCs w:val="20"/>
          <w:lang w:val="en-US"/>
        </w:rPr>
        <w:t>[3]</w:t>
      </w:r>
      <w:r w:rsidRPr="00D56196">
        <w:rPr>
          <w:rFonts w:ascii="Arial" w:hAnsi="Arial" w:cs="Arial"/>
          <w:sz w:val="20"/>
          <w:szCs w:val="20"/>
          <w:lang w:val="en-US"/>
        </w:rPr>
        <w:t>. AMR compromises the success of modern medicine, prolongs hospital stays, and increases mortality and healthcare costs, especially in vulnerable populations such as children.</w:t>
      </w:r>
    </w:p>
    <w:p w14:paraId="03E9E597" w14:textId="1AA520D4" w:rsidR="00E4747A" w:rsidRPr="00891A9C" w:rsidRDefault="00E4747A" w:rsidP="00B446E9">
      <w:pPr>
        <w:jc w:val="both"/>
        <w:rPr>
          <w:rFonts w:ascii="Arial" w:hAnsi="Arial" w:cs="Arial"/>
          <w:sz w:val="20"/>
          <w:szCs w:val="20"/>
          <w:lang w:val="en-US"/>
        </w:rPr>
      </w:pPr>
      <w:r w:rsidRPr="00891A9C">
        <w:rPr>
          <w:rFonts w:ascii="Arial" w:hAnsi="Arial" w:cs="Arial"/>
          <w:sz w:val="20"/>
          <w:szCs w:val="20"/>
          <w:highlight w:val="green"/>
          <w:lang w:val="en-US"/>
        </w:rPr>
        <w:t xml:space="preserve">Antimicrobials include a wide range of agents targeting bacteria, viruses, fungi, and parasites, with </w:t>
      </w:r>
      <w:r w:rsidRPr="00891A9C">
        <w:rPr>
          <w:rStyle w:val="Strong"/>
          <w:rFonts w:ascii="Arial" w:hAnsi="Arial" w:cs="Arial"/>
          <w:b w:val="0"/>
          <w:sz w:val="20"/>
          <w:szCs w:val="20"/>
          <w:highlight w:val="green"/>
          <w:lang w:val="en-US"/>
        </w:rPr>
        <w:t>antibacterial agents</w:t>
      </w:r>
      <w:r w:rsidR="00B446E9" w:rsidRPr="00891A9C">
        <w:rPr>
          <w:rFonts w:ascii="Arial" w:hAnsi="Arial" w:cs="Arial"/>
          <w:sz w:val="20"/>
          <w:szCs w:val="20"/>
          <w:highlight w:val="green"/>
          <w:lang w:val="en-US"/>
        </w:rPr>
        <w:t xml:space="preserve"> </w:t>
      </w:r>
      <w:r w:rsidRPr="00891A9C">
        <w:rPr>
          <w:rFonts w:ascii="Arial" w:hAnsi="Arial" w:cs="Arial"/>
          <w:sz w:val="20"/>
          <w:szCs w:val="20"/>
          <w:highlight w:val="green"/>
          <w:lang w:val="en-US"/>
        </w:rPr>
        <w:t xml:space="preserve">such as </w:t>
      </w:r>
      <w:r w:rsidRPr="00891A9C">
        <w:rPr>
          <w:rFonts w:ascii="Arial" w:hAnsi="Arial" w:cs="Arial"/>
          <w:sz w:val="20"/>
          <w:szCs w:val="20"/>
          <w:highlight w:val="green"/>
        </w:rPr>
        <w:t>β</w:t>
      </w:r>
      <w:r w:rsidRPr="00891A9C">
        <w:rPr>
          <w:rFonts w:ascii="Arial" w:hAnsi="Arial" w:cs="Arial"/>
          <w:sz w:val="20"/>
          <w:szCs w:val="20"/>
          <w:highlight w:val="green"/>
          <w:lang w:val="en-US"/>
        </w:rPr>
        <w:t>-lactams, aminoglycosides, fluoroquinolones, macrolides, and carbapenems</w:t>
      </w:r>
      <w:r w:rsidR="00B446E9" w:rsidRPr="00891A9C">
        <w:rPr>
          <w:rFonts w:ascii="Arial" w:hAnsi="Arial" w:cs="Arial"/>
          <w:sz w:val="20"/>
          <w:szCs w:val="20"/>
          <w:highlight w:val="green"/>
          <w:lang w:val="en-US"/>
        </w:rPr>
        <w:t xml:space="preserve"> </w:t>
      </w:r>
      <w:r w:rsidRPr="00891A9C">
        <w:rPr>
          <w:rFonts w:ascii="Arial" w:hAnsi="Arial" w:cs="Arial"/>
          <w:sz w:val="20"/>
          <w:szCs w:val="20"/>
          <w:highlight w:val="green"/>
          <w:lang w:val="en-US"/>
        </w:rPr>
        <w:t xml:space="preserve">being the most commonly used in clinical practice. Resistance arises through diverse mechanisms, including </w:t>
      </w:r>
      <w:r w:rsidRPr="00891A9C">
        <w:rPr>
          <w:rStyle w:val="Strong"/>
          <w:rFonts w:ascii="Arial" w:hAnsi="Arial" w:cs="Arial"/>
          <w:b w:val="0"/>
          <w:sz w:val="20"/>
          <w:szCs w:val="20"/>
          <w:highlight w:val="green"/>
          <w:lang w:val="en-US"/>
        </w:rPr>
        <w:t>enzymatic inactivation</w:t>
      </w:r>
      <w:r w:rsidRPr="00891A9C">
        <w:rPr>
          <w:rFonts w:ascii="Arial" w:hAnsi="Arial" w:cs="Arial"/>
          <w:b/>
          <w:sz w:val="20"/>
          <w:szCs w:val="20"/>
          <w:highlight w:val="green"/>
          <w:lang w:val="en-US"/>
        </w:rPr>
        <w:t xml:space="preserve"> </w:t>
      </w:r>
      <w:r w:rsidRPr="00891A9C">
        <w:rPr>
          <w:rFonts w:ascii="Arial" w:hAnsi="Arial" w:cs="Arial"/>
          <w:sz w:val="20"/>
          <w:szCs w:val="20"/>
          <w:highlight w:val="green"/>
          <w:lang w:val="en-US"/>
        </w:rPr>
        <w:t xml:space="preserve">(e.g., </w:t>
      </w:r>
      <w:r w:rsidRPr="00891A9C">
        <w:rPr>
          <w:rFonts w:ascii="Arial" w:hAnsi="Arial" w:cs="Arial"/>
          <w:sz w:val="20"/>
          <w:szCs w:val="20"/>
          <w:highlight w:val="green"/>
        </w:rPr>
        <w:t>β</w:t>
      </w:r>
      <w:r w:rsidRPr="00891A9C">
        <w:rPr>
          <w:rFonts w:ascii="Arial" w:hAnsi="Arial" w:cs="Arial"/>
          <w:sz w:val="20"/>
          <w:szCs w:val="20"/>
          <w:highlight w:val="green"/>
          <w:lang w:val="en-US"/>
        </w:rPr>
        <w:t xml:space="preserve">-lactamases), </w:t>
      </w:r>
      <w:r w:rsidRPr="00891A9C">
        <w:rPr>
          <w:rStyle w:val="Strong"/>
          <w:rFonts w:ascii="Arial" w:hAnsi="Arial" w:cs="Arial"/>
          <w:b w:val="0"/>
          <w:sz w:val="20"/>
          <w:szCs w:val="20"/>
          <w:highlight w:val="green"/>
          <w:lang w:val="en-US"/>
        </w:rPr>
        <w:t>target modification</w:t>
      </w:r>
      <w:r w:rsidRPr="00891A9C">
        <w:rPr>
          <w:rFonts w:ascii="Arial" w:hAnsi="Arial" w:cs="Arial"/>
          <w:b/>
          <w:sz w:val="20"/>
          <w:szCs w:val="20"/>
          <w:highlight w:val="green"/>
          <w:lang w:val="en-US"/>
        </w:rPr>
        <w:t xml:space="preserve">, </w:t>
      </w:r>
      <w:r w:rsidRPr="00891A9C">
        <w:rPr>
          <w:rStyle w:val="Strong"/>
          <w:rFonts w:ascii="Arial" w:hAnsi="Arial" w:cs="Arial"/>
          <w:b w:val="0"/>
          <w:sz w:val="20"/>
          <w:szCs w:val="20"/>
          <w:highlight w:val="green"/>
          <w:lang w:val="en-US"/>
        </w:rPr>
        <w:t>reduced permeability</w:t>
      </w:r>
      <w:r w:rsidRPr="00891A9C">
        <w:rPr>
          <w:rFonts w:ascii="Arial" w:hAnsi="Arial" w:cs="Arial"/>
          <w:sz w:val="20"/>
          <w:szCs w:val="20"/>
          <w:highlight w:val="green"/>
          <w:lang w:val="en-US"/>
        </w:rPr>
        <w:t xml:space="preserve">, and </w:t>
      </w:r>
      <w:r w:rsidRPr="00891A9C">
        <w:rPr>
          <w:rStyle w:val="Strong"/>
          <w:rFonts w:ascii="Arial" w:hAnsi="Arial" w:cs="Arial"/>
          <w:b w:val="0"/>
          <w:sz w:val="20"/>
          <w:szCs w:val="20"/>
          <w:highlight w:val="green"/>
          <w:lang w:val="en-US"/>
        </w:rPr>
        <w:t>active efflux pumps</w:t>
      </w:r>
      <w:r w:rsidRPr="00891A9C">
        <w:rPr>
          <w:rFonts w:ascii="Arial" w:hAnsi="Arial" w:cs="Arial"/>
          <w:sz w:val="20"/>
          <w:szCs w:val="20"/>
          <w:highlight w:val="green"/>
          <w:lang w:val="en-US"/>
        </w:rPr>
        <w:t xml:space="preserve">. The spread of these mechanisms through </w:t>
      </w:r>
      <w:r w:rsidRPr="00891A9C">
        <w:rPr>
          <w:rStyle w:val="Strong"/>
          <w:rFonts w:ascii="Arial" w:hAnsi="Arial" w:cs="Arial"/>
          <w:b w:val="0"/>
          <w:sz w:val="20"/>
          <w:szCs w:val="20"/>
          <w:highlight w:val="green"/>
          <w:lang w:val="en-US"/>
        </w:rPr>
        <w:t>mobile genetic elements</w:t>
      </w:r>
      <w:r w:rsidRPr="00891A9C">
        <w:rPr>
          <w:rFonts w:ascii="Arial" w:hAnsi="Arial" w:cs="Arial"/>
          <w:sz w:val="20"/>
          <w:szCs w:val="20"/>
          <w:highlight w:val="green"/>
          <w:lang w:val="en-US"/>
        </w:rPr>
        <w:t xml:space="preserve"> such as plasmids and transposons accelerates the dissemination of multidrug-resistant organisms within healthcare settings </w:t>
      </w:r>
      <w:r w:rsidRPr="009E255A">
        <w:rPr>
          <w:rFonts w:ascii="Arial" w:hAnsi="Arial" w:cs="Arial"/>
          <w:b/>
          <w:sz w:val="20"/>
          <w:szCs w:val="20"/>
          <w:highlight w:val="green"/>
          <w:lang w:val="en-US"/>
        </w:rPr>
        <w:t>[4]</w:t>
      </w:r>
      <w:r w:rsidRPr="00891A9C">
        <w:rPr>
          <w:rFonts w:ascii="Arial" w:hAnsi="Arial" w:cs="Arial"/>
          <w:sz w:val="20"/>
          <w:szCs w:val="20"/>
          <w:highlight w:val="green"/>
          <w:lang w:val="en-US"/>
        </w:rPr>
        <w:t>.</w:t>
      </w:r>
    </w:p>
    <w:p w14:paraId="426AF468" w14:textId="77777777" w:rsidR="00E4747A" w:rsidRPr="00E4747A" w:rsidRDefault="00E4747A" w:rsidP="00B446E9">
      <w:pPr>
        <w:jc w:val="both"/>
        <w:rPr>
          <w:lang w:val="en-US"/>
        </w:rPr>
      </w:pPr>
    </w:p>
    <w:p w14:paraId="275C2AF0" w14:textId="52AE63D8" w:rsidR="00E4747A" w:rsidRPr="00891A9C" w:rsidRDefault="00E4747A" w:rsidP="00891A9C">
      <w:pPr>
        <w:jc w:val="both"/>
        <w:rPr>
          <w:rFonts w:ascii="Arial" w:hAnsi="Arial" w:cs="Arial"/>
          <w:sz w:val="20"/>
          <w:szCs w:val="20"/>
          <w:lang w:val="en-US"/>
        </w:rPr>
      </w:pPr>
      <w:r w:rsidRPr="00891A9C">
        <w:rPr>
          <w:rFonts w:ascii="Arial" w:hAnsi="Arial" w:cs="Arial"/>
          <w:sz w:val="20"/>
          <w:szCs w:val="20"/>
          <w:lang w:val="en-US"/>
        </w:rPr>
        <w:t>In low- and middle-income countries, including Senegal</w:t>
      </w:r>
      <w:r w:rsidRPr="00891A9C">
        <w:rPr>
          <w:rFonts w:ascii="Arial" w:hAnsi="Arial" w:cs="Arial"/>
          <w:sz w:val="20"/>
          <w:szCs w:val="20"/>
          <w:highlight w:val="yellow"/>
          <w:lang w:val="en-US"/>
        </w:rPr>
        <w:t xml:space="preserve">, the </w:t>
      </w:r>
      <w:r w:rsidRPr="00891A9C">
        <w:rPr>
          <w:rStyle w:val="Strong"/>
          <w:rFonts w:ascii="Arial" w:hAnsi="Arial" w:cs="Arial"/>
          <w:b w:val="0"/>
          <w:sz w:val="20"/>
          <w:szCs w:val="20"/>
          <w:highlight w:val="yellow"/>
          <w:lang w:val="en-US"/>
        </w:rPr>
        <w:t>empirical and inappropriate use of antimicrobials</w:t>
      </w:r>
      <w:r w:rsidRPr="00891A9C">
        <w:rPr>
          <w:rFonts w:ascii="Arial" w:hAnsi="Arial" w:cs="Arial"/>
          <w:sz w:val="20"/>
          <w:szCs w:val="20"/>
          <w:highlight w:val="yellow"/>
          <w:lang w:val="en-US"/>
        </w:rPr>
        <w:t xml:space="preserve"> remains a major contributor to resistance </w:t>
      </w:r>
      <w:r w:rsidRPr="009E255A">
        <w:rPr>
          <w:rFonts w:ascii="Arial" w:hAnsi="Arial" w:cs="Arial"/>
          <w:b/>
          <w:sz w:val="20"/>
          <w:szCs w:val="20"/>
          <w:highlight w:val="yellow"/>
          <w:lang w:val="en-US"/>
        </w:rPr>
        <w:t>[5,6]</w:t>
      </w:r>
      <w:r w:rsidRPr="00891A9C">
        <w:rPr>
          <w:rFonts w:ascii="Arial" w:hAnsi="Arial" w:cs="Arial"/>
          <w:sz w:val="20"/>
          <w:szCs w:val="20"/>
          <w:highlight w:val="yellow"/>
          <w:lang w:val="en-US"/>
        </w:rPr>
        <w:t xml:space="preserve">. This is compounded by </w:t>
      </w:r>
      <w:r w:rsidRPr="00891A9C">
        <w:rPr>
          <w:rStyle w:val="Strong"/>
          <w:rFonts w:ascii="Arial" w:hAnsi="Arial" w:cs="Arial"/>
          <w:b w:val="0"/>
          <w:sz w:val="20"/>
          <w:szCs w:val="20"/>
          <w:highlight w:val="yellow"/>
          <w:lang w:val="en-US"/>
        </w:rPr>
        <w:t>limited microbiological capacity</w:t>
      </w:r>
      <w:r w:rsidRPr="00891A9C">
        <w:rPr>
          <w:rFonts w:ascii="Arial" w:hAnsi="Arial" w:cs="Arial"/>
          <w:b/>
          <w:sz w:val="20"/>
          <w:szCs w:val="20"/>
          <w:highlight w:val="yellow"/>
          <w:lang w:val="en-US"/>
        </w:rPr>
        <w:t xml:space="preserve">, </w:t>
      </w:r>
      <w:r w:rsidRPr="00891A9C">
        <w:rPr>
          <w:rStyle w:val="Strong"/>
          <w:rFonts w:ascii="Arial" w:hAnsi="Arial" w:cs="Arial"/>
          <w:b w:val="0"/>
          <w:sz w:val="20"/>
          <w:szCs w:val="20"/>
          <w:highlight w:val="yellow"/>
          <w:lang w:val="en-US"/>
        </w:rPr>
        <w:t>weak infection prevention programs</w:t>
      </w:r>
      <w:r w:rsidRPr="00891A9C">
        <w:rPr>
          <w:rFonts w:ascii="Arial" w:hAnsi="Arial" w:cs="Arial"/>
          <w:sz w:val="20"/>
          <w:szCs w:val="20"/>
          <w:highlight w:val="yellow"/>
          <w:lang w:val="en-US"/>
        </w:rPr>
        <w:t xml:space="preserve">, and </w:t>
      </w:r>
      <w:r w:rsidRPr="00891A9C">
        <w:rPr>
          <w:rStyle w:val="Strong"/>
          <w:rFonts w:ascii="Arial" w:hAnsi="Arial" w:cs="Arial"/>
          <w:b w:val="0"/>
          <w:sz w:val="20"/>
          <w:szCs w:val="20"/>
          <w:highlight w:val="yellow"/>
          <w:lang w:val="en-US"/>
        </w:rPr>
        <w:t>unregulated antibiotic availability</w:t>
      </w:r>
      <w:r w:rsidRPr="00891A9C">
        <w:rPr>
          <w:rFonts w:ascii="Arial" w:hAnsi="Arial" w:cs="Arial"/>
          <w:sz w:val="20"/>
          <w:szCs w:val="20"/>
          <w:highlight w:val="yellow"/>
          <w:lang w:val="en-US"/>
        </w:rPr>
        <w:t xml:space="preserve">, which facilitate misuse and overuse </w:t>
      </w:r>
      <w:r w:rsidRPr="009E255A">
        <w:rPr>
          <w:rFonts w:ascii="Arial" w:hAnsi="Arial" w:cs="Arial"/>
          <w:b/>
          <w:sz w:val="20"/>
          <w:szCs w:val="20"/>
          <w:highlight w:val="yellow"/>
          <w:lang w:val="en-US"/>
        </w:rPr>
        <w:t>[7]</w:t>
      </w:r>
      <w:r w:rsidRPr="00891A9C">
        <w:rPr>
          <w:rFonts w:ascii="Arial" w:hAnsi="Arial" w:cs="Arial"/>
          <w:sz w:val="20"/>
          <w:szCs w:val="20"/>
          <w:highlight w:val="yellow"/>
          <w:lang w:val="en-US"/>
        </w:rPr>
        <w:t>.</w:t>
      </w:r>
    </w:p>
    <w:p w14:paraId="54CFA3FC" w14:textId="0B55508C" w:rsidR="00D56196" w:rsidRDefault="00D56196" w:rsidP="00D56196">
      <w:pPr>
        <w:pStyle w:val="NormalWeb"/>
        <w:jc w:val="both"/>
        <w:rPr>
          <w:rFonts w:ascii="Arial" w:hAnsi="Arial" w:cs="Arial"/>
          <w:sz w:val="20"/>
          <w:szCs w:val="20"/>
          <w:lang w:val="en-US"/>
        </w:rPr>
      </w:pPr>
      <w:r w:rsidRPr="00D56196">
        <w:rPr>
          <w:rFonts w:ascii="Arial" w:hAnsi="Arial" w:cs="Arial"/>
          <w:sz w:val="20"/>
          <w:szCs w:val="20"/>
          <w:lang w:val="en-US"/>
        </w:rPr>
        <w:t xml:space="preserve">To address this challenge, robust surveillance systems are essential to monitor antimicrobial use and resistance trends. The </w:t>
      </w:r>
      <w:r w:rsidRPr="00D56196">
        <w:rPr>
          <w:rStyle w:val="Emphasis"/>
          <w:rFonts w:ascii="Arial" w:hAnsi="Arial" w:cs="Arial"/>
          <w:sz w:val="20"/>
          <w:szCs w:val="20"/>
          <w:lang w:val="en-US"/>
        </w:rPr>
        <w:t>Global Point Prevalence Survey (Global-PPS)</w:t>
      </w:r>
      <w:r w:rsidRPr="00D56196">
        <w:rPr>
          <w:rFonts w:ascii="Arial" w:hAnsi="Arial" w:cs="Arial"/>
          <w:sz w:val="20"/>
          <w:szCs w:val="20"/>
          <w:lang w:val="en-US"/>
        </w:rPr>
        <w:t xml:space="preserve">, initiated by the University of Antwerp in collaboration with WHO and international partners, provides a standardized methodology to collect hospital-level data on antimicrobial consumption and resistance </w:t>
      </w:r>
      <w:r w:rsidRPr="00D56196">
        <w:rPr>
          <w:rFonts w:ascii="Arial" w:hAnsi="Arial" w:cs="Arial"/>
          <w:b/>
          <w:sz w:val="20"/>
          <w:szCs w:val="20"/>
          <w:lang w:val="en-US"/>
        </w:rPr>
        <w:t>[</w:t>
      </w:r>
      <w:r w:rsidR="009E255A">
        <w:rPr>
          <w:rFonts w:ascii="Arial" w:hAnsi="Arial" w:cs="Arial"/>
          <w:b/>
          <w:sz w:val="20"/>
          <w:szCs w:val="20"/>
          <w:lang w:val="en-US"/>
        </w:rPr>
        <w:t>8</w:t>
      </w:r>
      <w:r w:rsidRPr="00D56196">
        <w:rPr>
          <w:rFonts w:ascii="Arial" w:hAnsi="Arial" w:cs="Arial"/>
          <w:b/>
          <w:sz w:val="20"/>
          <w:szCs w:val="20"/>
          <w:lang w:val="en-US"/>
        </w:rPr>
        <w:t>,</w:t>
      </w:r>
      <w:r w:rsidR="009E255A">
        <w:rPr>
          <w:rFonts w:ascii="Arial" w:hAnsi="Arial" w:cs="Arial"/>
          <w:b/>
          <w:sz w:val="20"/>
          <w:szCs w:val="20"/>
          <w:lang w:val="en-US"/>
        </w:rPr>
        <w:t>9</w:t>
      </w:r>
      <w:proofErr w:type="gramStart"/>
      <w:r w:rsidRPr="00D56196">
        <w:rPr>
          <w:rFonts w:ascii="Arial" w:hAnsi="Arial" w:cs="Arial"/>
          <w:b/>
          <w:sz w:val="20"/>
          <w:szCs w:val="20"/>
          <w:lang w:val="en-US"/>
        </w:rPr>
        <w:t>]</w:t>
      </w:r>
      <w:r w:rsidRPr="00D56196">
        <w:rPr>
          <w:rFonts w:ascii="Arial" w:hAnsi="Arial" w:cs="Arial"/>
          <w:sz w:val="20"/>
          <w:szCs w:val="20"/>
          <w:lang w:val="en-US"/>
        </w:rPr>
        <w:t xml:space="preserve"> .</w:t>
      </w:r>
      <w:proofErr w:type="gramEnd"/>
      <w:r w:rsidRPr="00D56196">
        <w:rPr>
          <w:rFonts w:ascii="Arial" w:hAnsi="Arial" w:cs="Arial"/>
          <w:sz w:val="20"/>
          <w:szCs w:val="20"/>
          <w:lang w:val="en-US"/>
        </w:rPr>
        <w:t xml:space="preserve"> The tool has been implemented in more than 700 hospitals across 75 countries, including several in Africa, and offers an opportunity to benchmark local antibiotic prescribing practices and identify targets for antimicrobial stewardship </w:t>
      </w:r>
      <w:r w:rsidRPr="00D56196">
        <w:rPr>
          <w:rFonts w:ascii="Arial" w:hAnsi="Arial" w:cs="Arial"/>
          <w:b/>
          <w:sz w:val="20"/>
          <w:szCs w:val="20"/>
          <w:lang w:val="en-US"/>
        </w:rPr>
        <w:t>[</w:t>
      </w:r>
      <w:r w:rsidR="009E255A">
        <w:rPr>
          <w:rFonts w:ascii="Arial" w:hAnsi="Arial" w:cs="Arial"/>
          <w:b/>
          <w:sz w:val="20"/>
          <w:szCs w:val="20"/>
          <w:lang w:val="en-US"/>
        </w:rPr>
        <w:t>10,</w:t>
      </w:r>
      <w:r w:rsidRPr="00D56196">
        <w:rPr>
          <w:rFonts w:ascii="Arial" w:hAnsi="Arial" w:cs="Arial"/>
          <w:b/>
          <w:sz w:val="20"/>
          <w:szCs w:val="20"/>
          <w:lang w:val="en-US"/>
        </w:rPr>
        <w:t>1</w:t>
      </w:r>
      <w:r w:rsidR="009E255A">
        <w:rPr>
          <w:rFonts w:ascii="Arial" w:hAnsi="Arial" w:cs="Arial"/>
          <w:b/>
          <w:sz w:val="20"/>
          <w:szCs w:val="20"/>
          <w:lang w:val="en-US"/>
        </w:rPr>
        <w:t>1</w:t>
      </w:r>
      <w:r w:rsidRPr="00D56196">
        <w:rPr>
          <w:rFonts w:ascii="Arial" w:hAnsi="Arial" w:cs="Arial"/>
          <w:b/>
          <w:sz w:val="20"/>
          <w:szCs w:val="20"/>
          <w:lang w:val="en-US"/>
        </w:rPr>
        <w:t>]</w:t>
      </w:r>
      <w:r w:rsidRPr="00D56196">
        <w:rPr>
          <w:rFonts w:ascii="Arial" w:hAnsi="Arial" w:cs="Arial"/>
          <w:sz w:val="20"/>
          <w:szCs w:val="20"/>
          <w:lang w:val="en-US"/>
        </w:rPr>
        <w:t>.</w:t>
      </w:r>
    </w:p>
    <w:p w14:paraId="63FB14A5" w14:textId="0ACDBD0B" w:rsidR="00A04636" w:rsidRDefault="00D56196" w:rsidP="00D56196">
      <w:pPr>
        <w:pStyle w:val="NormalWeb"/>
        <w:jc w:val="both"/>
        <w:rPr>
          <w:rFonts w:ascii="Arial" w:hAnsi="Arial" w:cs="Arial"/>
          <w:sz w:val="20"/>
          <w:szCs w:val="20"/>
          <w:lang w:val="en-US"/>
        </w:rPr>
      </w:pPr>
      <w:r w:rsidRPr="00D56196">
        <w:rPr>
          <w:rFonts w:ascii="Arial" w:hAnsi="Arial" w:cs="Arial"/>
          <w:sz w:val="20"/>
          <w:szCs w:val="20"/>
          <w:lang w:val="en-US"/>
        </w:rPr>
        <w:t>In Senegal, limited data are available on antimicrobial consumption and resistance in pediatric hospitals. The present study aimed to evaluate antimicrobial use and resistance at the Albert Royer National Children’s Hospital in Dakar, Senegal, using the Global-PPS methodology. Specifically, we sought to describe the prevalence of antimicrobial prescriptions, identify the main indications and classes of agents used, and assess the extent of microbiological testing to guide stewardship interventions.</w:t>
      </w:r>
    </w:p>
    <w:p w14:paraId="11DA0925" w14:textId="77777777" w:rsidR="009E255A" w:rsidRPr="00D56196" w:rsidRDefault="009E255A" w:rsidP="00D56196">
      <w:pPr>
        <w:pStyle w:val="NormalWeb"/>
        <w:jc w:val="both"/>
        <w:rPr>
          <w:rFonts w:ascii="Arial" w:hAnsi="Arial" w:cs="Arial"/>
          <w:sz w:val="20"/>
          <w:szCs w:val="20"/>
          <w:lang w:val="en-US"/>
        </w:rPr>
      </w:pPr>
    </w:p>
    <w:p w14:paraId="7F8F471B" w14:textId="77777777" w:rsidR="00790ADA" w:rsidRPr="0020597B" w:rsidRDefault="00902823" w:rsidP="00441B6F">
      <w:pPr>
        <w:pStyle w:val="AbstHead"/>
        <w:spacing w:after="0"/>
        <w:jc w:val="both"/>
        <w:rPr>
          <w:rFonts w:ascii="Arial" w:hAnsi="Arial" w:cs="Arial"/>
          <w:lang w:val="en-US"/>
        </w:rPr>
      </w:pPr>
      <w:r w:rsidRPr="0020597B">
        <w:rPr>
          <w:rFonts w:ascii="Arial" w:hAnsi="Arial" w:cs="Arial"/>
          <w:lang w:val="en-US"/>
        </w:rPr>
        <w:t>2. material and method</w:t>
      </w:r>
      <w:r w:rsidR="00000F8F" w:rsidRPr="0020597B">
        <w:rPr>
          <w:rFonts w:ascii="Arial" w:hAnsi="Arial" w:cs="Arial"/>
          <w:lang w:val="en-US"/>
        </w:rPr>
        <w:t xml:space="preserve">s </w:t>
      </w:r>
    </w:p>
    <w:p w14:paraId="36A7DFC7" w14:textId="77777777" w:rsidR="00A925B8" w:rsidRPr="00A925B8" w:rsidRDefault="00A925B8" w:rsidP="00A925B8">
      <w:pPr>
        <w:pStyle w:val="Heading3"/>
        <w:jc w:val="both"/>
        <w:rPr>
          <w:rFonts w:ascii="Arial" w:hAnsi="Arial" w:cs="Arial"/>
          <w:b/>
          <w:color w:val="000000" w:themeColor="text1"/>
          <w:sz w:val="22"/>
          <w:szCs w:val="22"/>
          <w:lang w:val="en-US"/>
        </w:rPr>
      </w:pPr>
      <w:r w:rsidRPr="00A925B8">
        <w:rPr>
          <w:rFonts w:ascii="Arial" w:hAnsi="Arial" w:cs="Arial"/>
          <w:b/>
          <w:color w:val="000000" w:themeColor="text1"/>
          <w:sz w:val="22"/>
          <w:szCs w:val="22"/>
          <w:lang w:val="en-US"/>
        </w:rPr>
        <w:t>2.1 Study design and setting</w:t>
      </w:r>
    </w:p>
    <w:p w14:paraId="6140B0A1" w14:textId="77777777" w:rsidR="00A925B8" w:rsidRPr="00B84875" w:rsidRDefault="00A925B8" w:rsidP="00A925B8">
      <w:pPr>
        <w:pStyle w:val="NormalWeb"/>
        <w:jc w:val="both"/>
        <w:rPr>
          <w:rFonts w:ascii="Arial" w:hAnsi="Arial" w:cs="Arial"/>
          <w:color w:val="000000" w:themeColor="text1"/>
          <w:lang w:val="en-US"/>
        </w:rPr>
      </w:pPr>
      <w:r w:rsidRPr="00B84875">
        <w:rPr>
          <w:rFonts w:ascii="Arial" w:hAnsi="Arial" w:cs="Arial"/>
          <w:color w:val="000000" w:themeColor="text1"/>
          <w:lang w:val="en-US"/>
        </w:rPr>
        <w:t>A descriptive, cross-sectional point prevalence survey was carried out at the Albert Royer National Children’s Hospital, a tertiary pediatric referral hospital in Dakar, Senegal. The survey was conducted over two consecutive days, on 16 and 17 November 2021, among inpatients receiving oral or parenteral antimicrobial therapy at the time of the survey.</w:t>
      </w:r>
    </w:p>
    <w:p w14:paraId="09C4FA71" w14:textId="77777777" w:rsidR="00A925B8" w:rsidRPr="00B84875" w:rsidRDefault="00A925B8" w:rsidP="00A925B8">
      <w:pPr>
        <w:pStyle w:val="Heading3"/>
        <w:jc w:val="both"/>
        <w:rPr>
          <w:rFonts w:ascii="Arial" w:hAnsi="Arial" w:cs="Arial"/>
          <w:b/>
          <w:color w:val="000000" w:themeColor="text1"/>
          <w:lang w:val="en-US"/>
        </w:rPr>
      </w:pPr>
      <w:r w:rsidRPr="00B84875">
        <w:rPr>
          <w:rFonts w:ascii="Arial" w:hAnsi="Arial" w:cs="Arial"/>
          <w:b/>
          <w:color w:val="000000" w:themeColor="text1"/>
          <w:lang w:val="en-US"/>
        </w:rPr>
        <w:t>2.2 Inclusion criteria</w:t>
      </w:r>
    </w:p>
    <w:p w14:paraId="64C86E61" w14:textId="77777777" w:rsidR="00A925B8" w:rsidRPr="00B84875" w:rsidRDefault="00A925B8" w:rsidP="00A925B8">
      <w:pPr>
        <w:pStyle w:val="NormalWeb"/>
        <w:jc w:val="both"/>
        <w:rPr>
          <w:rFonts w:ascii="Arial" w:hAnsi="Arial" w:cs="Arial"/>
          <w:color w:val="000000" w:themeColor="text1"/>
          <w:lang w:val="en-US"/>
        </w:rPr>
      </w:pPr>
      <w:r w:rsidRPr="00B84875">
        <w:rPr>
          <w:rFonts w:ascii="Arial" w:hAnsi="Arial" w:cs="Arial"/>
          <w:color w:val="000000" w:themeColor="text1"/>
          <w:lang w:val="en-US"/>
        </w:rPr>
        <w:t>All hospitalized patients present in the wards at 8:00 a.m. on the day of data collection and receiving at least one antimicrobial agent were included. Patients on prophylactic treatment were also recorded if they met the Global-PPS inclusion criteria. Outpatients and patients discharged before the survey were excluded.</w:t>
      </w:r>
    </w:p>
    <w:p w14:paraId="783F7B51" w14:textId="77777777" w:rsidR="00A925B8" w:rsidRPr="00B84875" w:rsidRDefault="00A925B8" w:rsidP="00A925B8">
      <w:pPr>
        <w:pStyle w:val="Heading3"/>
        <w:jc w:val="both"/>
        <w:rPr>
          <w:rFonts w:ascii="Arial" w:hAnsi="Arial" w:cs="Arial"/>
          <w:b/>
          <w:color w:val="000000" w:themeColor="text1"/>
          <w:lang w:val="en-US"/>
        </w:rPr>
      </w:pPr>
      <w:r w:rsidRPr="00B84875">
        <w:rPr>
          <w:rFonts w:ascii="Arial" w:hAnsi="Arial" w:cs="Arial"/>
          <w:b/>
          <w:color w:val="000000" w:themeColor="text1"/>
          <w:lang w:val="en-US"/>
        </w:rPr>
        <w:lastRenderedPageBreak/>
        <w:t>2.3 Data collection and analysis</w:t>
      </w:r>
    </w:p>
    <w:p w14:paraId="366ACAD6" w14:textId="77777777" w:rsidR="00A925B8" w:rsidRPr="00B84875" w:rsidRDefault="00A925B8" w:rsidP="00A925B8">
      <w:pPr>
        <w:pStyle w:val="NormalWeb"/>
        <w:jc w:val="both"/>
        <w:rPr>
          <w:rFonts w:ascii="Arial" w:hAnsi="Arial" w:cs="Arial"/>
          <w:color w:val="000000" w:themeColor="text1"/>
          <w:lang w:val="en-US"/>
        </w:rPr>
      </w:pPr>
      <w:r w:rsidRPr="00B84875">
        <w:rPr>
          <w:rFonts w:ascii="Arial" w:hAnsi="Arial" w:cs="Arial"/>
          <w:color w:val="000000" w:themeColor="text1"/>
          <w:lang w:val="en-US"/>
        </w:rPr>
        <w:t>Data were collected using the standardized Global-PPS forms covering demographic characteristics, clinical diagnoses, antimicrobial agents prescribed, their routes of administration, indications (treatment or prophylaxis), and documentation of microbiological testing. Laboratory and clinical information were extracted from medical records and prescription charts.</w:t>
      </w:r>
    </w:p>
    <w:p w14:paraId="39F449B0" w14:textId="59CBC3E7" w:rsidR="00A925B8" w:rsidRPr="00BF7EFE" w:rsidRDefault="00A925B8" w:rsidP="00A3533D">
      <w:pPr>
        <w:pStyle w:val="NormalWeb"/>
        <w:jc w:val="both"/>
        <w:rPr>
          <w:rFonts w:ascii="Arial" w:hAnsi="Arial" w:cs="Arial"/>
          <w:color w:val="000000" w:themeColor="text1"/>
          <w:sz w:val="20"/>
          <w:szCs w:val="20"/>
          <w:lang w:val="en-US"/>
        </w:rPr>
      </w:pPr>
      <w:r w:rsidRPr="00E45021">
        <w:rPr>
          <w:rFonts w:ascii="Arial" w:hAnsi="Arial" w:cs="Arial"/>
          <w:color w:val="000000" w:themeColor="text1"/>
          <w:sz w:val="20"/>
          <w:szCs w:val="20"/>
          <w:lang w:val="en-US"/>
        </w:rPr>
        <w:t xml:space="preserve">Collected data were entered into Microsoft Excel and analyzed using Epi Info version 7. </w:t>
      </w:r>
      <w:r w:rsidR="00732A01" w:rsidRPr="00E45021">
        <w:rPr>
          <w:rFonts w:ascii="Arial" w:hAnsi="Arial" w:cs="Arial"/>
          <w:sz w:val="20"/>
          <w:szCs w:val="20"/>
          <w:highlight w:val="yellow"/>
          <w:lang w:val="en-US"/>
        </w:rPr>
        <w:t>The analysis of the appropriateness of the prescription was done by the prescribing committee, takin</w:t>
      </w:r>
      <w:bookmarkStart w:id="1" w:name="_GoBack"/>
      <w:bookmarkEnd w:id="1"/>
      <w:r w:rsidR="00732A01" w:rsidRPr="00E45021">
        <w:rPr>
          <w:rFonts w:ascii="Arial" w:hAnsi="Arial" w:cs="Arial"/>
          <w:sz w:val="20"/>
          <w:szCs w:val="20"/>
          <w:highlight w:val="yellow"/>
          <w:lang w:val="en-US"/>
        </w:rPr>
        <w:t>g into account local recommendations on antibiotic therapy</w:t>
      </w:r>
      <w:r w:rsidRPr="00E45021">
        <w:rPr>
          <w:rFonts w:ascii="Arial" w:hAnsi="Arial" w:cs="Arial"/>
          <w:color w:val="000000" w:themeColor="text1"/>
          <w:sz w:val="20"/>
          <w:szCs w:val="20"/>
          <w:highlight w:val="yellow"/>
          <w:lang w:val="en-US"/>
        </w:rPr>
        <w:t>,</w:t>
      </w:r>
      <w:r w:rsidRPr="00E45021">
        <w:rPr>
          <w:rFonts w:ascii="Arial" w:hAnsi="Arial" w:cs="Arial"/>
          <w:color w:val="000000" w:themeColor="text1"/>
          <w:sz w:val="20"/>
          <w:szCs w:val="20"/>
          <w:lang w:val="en-US"/>
        </w:rPr>
        <w:t xml:space="preserve"> and results were expressed as frequencies and proportions. Antimicrobial prescribing patterns were assessed according to the WHO Anatomical Therapeutic Chemical (ATC) classification</w:t>
      </w:r>
      <w:r w:rsidR="00BF7EFE">
        <w:rPr>
          <w:rFonts w:ascii="Arial" w:hAnsi="Arial" w:cs="Arial"/>
          <w:color w:val="000000" w:themeColor="text1"/>
          <w:sz w:val="20"/>
          <w:szCs w:val="20"/>
          <w:lang w:val="en-US"/>
        </w:rPr>
        <w:t xml:space="preserve">. </w:t>
      </w:r>
      <w:r w:rsidR="00BF7EFE" w:rsidRPr="00BF7EFE">
        <w:rPr>
          <w:rFonts w:ascii="Arial" w:hAnsi="Arial" w:cs="Arial"/>
          <w:sz w:val="20"/>
          <w:szCs w:val="20"/>
          <w:highlight w:val="green"/>
          <w:lang w:val="en"/>
        </w:rPr>
        <w:t xml:space="preserve">the </w:t>
      </w:r>
      <w:r w:rsidR="00BF7EFE" w:rsidRPr="00BF7EFE">
        <w:rPr>
          <w:rFonts w:ascii="Arial" w:hAnsi="Arial" w:cs="Arial"/>
          <w:color w:val="000000" w:themeColor="text1"/>
          <w:sz w:val="20"/>
          <w:szCs w:val="20"/>
          <w:highlight w:val="green"/>
          <w:lang w:val="en"/>
        </w:rPr>
        <w:t>antibiotics susceptibility</w:t>
      </w:r>
      <w:r w:rsidR="00BF7EFE" w:rsidRPr="00BF7EFE">
        <w:rPr>
          <w:rFonts w:ascii="Arial" w:hAnsi="Arial" w:cs="Arial"/>
          <w:color w:val="FF0000"/>
          <w:sz w:val="20"/>
          <w:szCs w:val="20"/>
          <w:highlight w:val="green"/>
          <w:lang w:val="en"/>
        </w:rPr>
        <w:t xml:space="preserve"> </w:t>
      </w:r>
      <w:r w:rsidR="00BF7EFE" w:rsidRPr="00BF7EFE">
        <w:rPr>
          <w:rFonts w:ascii="Arial" w:hAnsi="Arial" w:cs="Arial"/>
          <w:sz w:val="20"/>
          <w:szCs w:val="20"/>
          <w:highlight w:val="green"/>
          <w:lang w:val="en"/>
        </w:rPr>
        <w:t>was carried out according to the recommendations of CA</w:t>
      </w:r>
      <w:r w:rsidR="00BF7EFE">
        <w:rPr>
          <w:rFonts w:ascii="Arial" w:hAnsi="Arial" w:cs="Arial"/>
          <w:sz w:val="20"/>
          <w:szCs w:val="20"/>
          <w:highlight w:val="green"/>
          <w:lang w:val="en"/>
        </w:rPr>
        <w:t>-</w:t>
      </w:r>
      <w:r w:rsidR="00BF7EFE" w:rsidRPr="00BF7EFE">
        <w:rPr>
          <w:rFonts w:ascii="Arial" w:hAnsi="Arial" w:cs="Arial"/>
          <w:sz w:val="20"/>
          <w:szCs w:val="20"/>
          <w:highlight w:val="green"/>
          <w:lang w:val="en"/>
        </w:rPr>
        <w:t>SFM 202</w:t>
      </w:r>
      <w:r w:rsidR="00BF7EFE">
        <w:rPr>
          <w:rFonts w:ascii="Arial" w:hAnsi="Arial" w:cs="Arial"/>
          <w:sz w:val="20"/>
          <w:szCs w:val="20"/>
          <w:highlight w:val="green"/>
          <w:lang w:val="en"/>
        </w:rPr>
        <w:t>1.</w:t>
      </w:r>
    </w:p>
    <w:p w14:paraId="6B4FE912" w14:textId="77777777" w:rsidR="00E45021" w:rsidRPr="00E45021" w:rsidRDefault="00E45021" w:rsidP="00E45021">
      <w:pPr>
        <w:jc w:val="both"/>
        <w:rPr>
          <w:rFonts w:ascii="Arial" w:hAnsi="Arial" w:cs="Arial"/>
          <w:sz w:val="20"/>
          <w:szCs w:val="20"/>
          <w:lang w:val="en-US"/>
        </w:rPr>
      </w:pPr>
      <w:r w:rsidRPr="00E45021">
        <w:rPr>
          <w:rFonts w:ascii="Arial" w:hAnsi="Arial" w:cs="Arial"/>
          <w:sz w:val="20"/>
          <w:szCs w:val="20"/>
          <w:highlight w:val="green"/>
          <w:lang w:val="en-US"/>
        </w:rPr>
        <w:t xml:space="preserve">Healthcare-associated infections (HAIs) were identified according to the standardized definitions used in the Global Point Prevalence Survey (Global-PPS) protocol. A case was classified as an HAI when the infection occurred </w:t>
      </w:r>
      <w:r w:rsidRPr="00E45021">
        <w:rPr>
          <w:rStyle w:val="Strong"/>
          <w:rFonts w:ascii="Arial" w:hAnsi="Arial" w:cs="Arial"/>
          <w:b w:val="0"/>
          <w:sz w:val="20"/>
          <w:szCs w:val="20"/>
          <w:highlight w:val="green"/>
          <w:lang w:val="en-US"/>
        </w:rPr>
        <w:t>48 hours or more after hospital admission</w:t>
      </w:r>
      <w:r w:rsidRPr="00E45021">
        <w:rPr>
          <w:rFonts w:ascii="Arial" w:hAnsi="Arial" w:cs="Arial"/>
          <w:b/>
          <w:sz w:val="20"/>
          <w:szCs w:val="20"/>
          <w:highlight w:val="green"/>
          <w:lang w:val="en-US"/>
        </w:rPr>
        <w:t>,</w:t>
      </w:r>
      <w:r w:rsidRPr="00E45021">
        <w:rPr>
          <w:rFonts w:ascii="Arial" w:hAnsi="Arial" w:cs="Arial"/>
          <w:sz w:val="20"/>
          <w:szCs w:val="20"/>
          <w:highlight w:val="green"/>
          <w:lang w:val="en-US"/>
        </w:rPr>
        <w:t xml:space="preserve"> or when there was clear clinical and/or microbiological evidence suggesting that the infection was </w:t>
      </w:r>
      <w:r w:rsidRPr="00E45021">
        <w:rPr>
          <w:rStyle w:val="Strong"/>
          <w:rFonts w:ascii="Arial" w:hAnsi="Arial" w:cs="Arial"/>
          <w:b w:val="0"/>
          <w:sz w:val="20"/>
          <w:szCs w:val="20"/>
          <w:highlight w:val="green"/>
          <w:lang w:val="en-US"/>
        </w:rPr>
        <w:t>acquired during hospitalization</w:t>
      </w:r>
      <w:r w:rsidRPr="00E45021">
        <w:rPr>
          <w:rFonts w:ascii="Arial" w:hAnsi="Arial" w:cs="Arial"/>
          <w:sz w:val="20"/>
          <w:szCs w:val="20"/>
          <w:highlight w:val="green"/>
          <w:lang w:val="en-US"/>
        </w:rPr>
        <w:t xml:space="preserve">. Diagnostic confirmation was based on </w:t>
      </w:r>
      <w:r w:rsidRPr="00E45021">
        <w:rPr>
          <w:rStyle w:val="Strong"/>
          <w:rFonts w:ascii="Arial" w:hAnsi="Arial" w:cs="Arial"/>
          <w:b w:val="0"/>
          <w:sz w:val="20"/>
          <w:szCs w:val="20"/>
          <w:highlight w:val="green"/>
          <w:lang w:val="en-US"/>
        </w:rPr>
        <w:t>clinical signs and symptoms</w:t>
      </w:r>
      <w:r w:rsidRPr="00E45021">
        <w:rPr>
          <w:rFonts w:ascii="Arial" w:hAnsi="Arial" w:cs="Arial"/>
          <w:sz w:val="20"/>
          <w:szCs w:val="20"/>
          <w:highlight w:val="green"/>
          <w:lang w:val="en-US"/>
        </w:rPr>
        <w:t xml:space="preserve">, supported, whenever available, by </w:t>
      </w:r>
      <w:r w:rsidRPr="00E45021">
        <w:rPr>
          <w:rStyle w:val="Strong"/>
          <w:rFonts w:ascii="Arial" w:hAnsi="Arial" w:cs="Arial"/>
          <w:b w:val="0"/>
          <w:sz w:val="20"/>
          <w:szCs w:val="20"/>
          <w:highlight w:val="green"/>
          <w:lang w:val="en-US"/>
        </w:rPr>
        <w:t>laboratory and microbiological results</w:t>
      </w:r>
      <w:r w:rsidRPr="00E45021">
        <w:rPr>
          <w:rFonts w:ascii="Arial" w:hAnsi="Arial" w:cs="Arial"/>
          <w:sz w:val="20"/>
          <w:szCs w:val="20"/>
          <w:highlight w:val="green"/>
          <w:lang w:val="en-US"/>
        </w:rPr>
        <w:t xml:space="preserve"> recorded in patient files.</w:t>
      </w:r>
    </w:p>
    <w:p w14:paraId="18C9F58D" w14:textId="3919AA8F" w:rsidR="00902823" w:rsidRPr="0020597B" w:rsidRDefault="00000F8F" w:rsidP="00441B6F">
      <w:pPr>
        <w:pStyle w:val="Head1"/>
        <w:spacing w:after="0"/>
        <w:jc w:val="both"/>
        <w:rPr>
          <w:rFonts w:ascii="Arial" w:hAnsi="Arial" w:cs="Arial"/>
          <w:lang w:val="en-US"/>
        </w:rPr>
      </w:pPr>
      <w:r w:rsidRPr="0020597B">
        <w:rPr>
          <w:rFonts w:ascii="Arial" w:hAnsi="Arial" w:cs="Arial"/>
          <w:lang w:val="en-US"/>
        </w:rPr>
        <w:t>3</w:t>
      </w:r>
      <w:r w:rsidR="00902823" w:rsidRPr="0020597B">
        <w:rPr>
          <w:rFonts w:ascii="Arial" w:hAnsi="Arial" w:cs="Arial"/>
          <w:lang w:val="en-US"/>
        </w:rPr>
        <w:t xml:space="preserve">. </w:t>
      </w:r>
      <w:r w:rsidRPr="0020597B">
        <w:rPr>
          <w:rFonts w:ascii="Arial" w:hAnsi="Arial" w:cs="Arial"/>
          <w:lang w:val="en-US"/>
        </w:rPr>
        <w:t xml:space="preserve">results </w:t>
      </w:r>
    </w:p>
    <w:p w14:paraId="16DDDD0B" w14:textId="77777777" w:rsidR="00790ADA" w:rsidRPr="0020597B" w:rsidRDefault="00790ADA" w:rsidP="00441B6F">
      <w:pPr>
        <w:pStyle w:val="Head1"/>
        <w:spacing w:after="0"/>
        <w:jc w:val="both"/>
        <w:rPr>
          <w:rFonts w:ascii="Arial" w:hAnsi="Arial" w:cs="Arial"/>
          <w:lang w:val="en-US"/>
        </w:rPr>
      </w:pPr>
    </w:p>
    <w:p w14:paraId="5875B906" w14:textId="77777777" w:rsidR="00B061E5" w:rsidRPr="00B84875" w:rsidRDefault="00B061E5" w:rsidP="00B061E5">
      <w:pPr>
        <w:pStyle w:val="Heading3"/>
        <w:jc w:val="both"/>
        <w:rPr>
          <w:rFonts w:ascii="Arial" w:hAnsi="Arial" w:cs="Arial"/>
          <w:b/>
          <w:color w:val="000000" w:themeColor="text1"/>
          <w:sz w:val="22"/>
          <w:szCs w:val="22"/>
          <w:lang w:val="en-US"/>
        </w:rPr>
      </w:pPr>
      <w:r w:rsidRPr="00B84875">
        <w:rPr>
          <w:rFonts w:ascii="Arial" w:hAnsi="Arial" w:cs="Arial"/>
          <w:b/>
          <w:color w:val="000000" w:themeColor="text1"/>
          <w:sz w:val="22"/>
          <w:szCs w:val="22"/>
          <w:lang w:val="en-US"/>
        </w:rPr>
        <w:t>Hospital characteristics and patient demographics</w:t>
      </w:r>
    </w:p>
    <w:p w14:paraId="374806B4" w14:textId="17F1A36B" w:rsidR="00B061E5" w:rsidRPr="00B84875" w:rsidRDefault="00B061E5" w:rsidP="00B061E5">
      <w:pPr>
        <w:pStyle w:val="NormalWeb"/>
        <w:jc w:val="both"/>
        <w:rPr>
          <w:rFonts w:ascii="Arial" w:hAnsi="Arial" w:cs="Arial"/>
          <w:sz w:val="20"/>
          <w:szCs w:val="20"/>
          <w:lang w:val="en-US"/>
        </w:rPr>
      </w:pPr>
      <w:r w:rsidRPr="00B84875">
        <w:rPr>
          <w:rFonts w:ascii="Arial" w:hAnsi="Arial" w:cs="Arial"/>
          <w:sz w:val="20"/>
          <w:szCs w:val="20"/>
          <w:lang w:val="en-US"/>
        </w:rPr>
        <w:t xml:space="preserve">All seven clinical departments of the hospital were included in the survey, corresponding to 108 functional beds, with a bed occupancy rate of 75.9% (82/108). A total of 54 patients (65.9%) were receiving antimicrobial therapy at the time of the survey, including 6 patients (11.1%) treated for healthcare-associated infections </w:t>
      </w:r>
      <w:r w:rsidRPr="00B84875">
        <w:rPr>
          <w:rFonts w:ascii="Arial" w:hAnsi="Arial" w:cs="Arial"/>
          <w:b/>
          <w:sz w:val="20"/>
          <w:szCs w:val="20"/>
          <w:lang w:val="en-US"/>
        </w:rPr>
        <w:t xml:space="preserve">(Table </w:t>
      </w:r>
      <w:r w:rsidR="0082788F">
        <w:rPr>
          <w:rFonts w:ascii="Arial" w:hAnsi="Arial" w:cs="Arial"/>
          <w:b/>
          <w:sz w:val="20"/>
          <w:szCs w:val="20"/>
          <w:lang w:val="en-US"/>
        </w:rPr>
        <w:t>1</w:t>
      </w:r>
      <w:r w:rsidRPr="00B84875">
        <w:rPr>
          <w:rFonts w:ascii="Arial" w:hAnsi="Arial" w:cs="Arial"/>
          <w:b/>
          <w:sz w:val="20"/>
          <w:szCs w:val="20"/>
          <w:lang w:val="en-US"/>
        </w:rPr>
        <w:t>)</w:t>
      </w:r>
      <w:r w:rsidRPr="00B84875">
        <w:rPr>
          <w:rFonts w:ascii="Arial" w:hAnsi="Arial" w:cs="Arial"/>
          <w:sz w:val="20"/>
          <w:szCs w:val="20"/>
          <w:lang w:val="en-US"/>
        </w:rPr>
        <w:t>.</w:t>
      </w:r>
    </w:p>
    <w:p w14:paraId="6135F3F7" w14:textId="07826F02" w:rsidR="00790ADA" w:rsidRPr="0020597B" w:rsidRDefault="00B061E5" w:rsidP="00B061E5">
      <w:pPr>
        <w:pStyle w:val="Body"/>
        <w:spacing w:after="0"/>
        <w:rPr>
          <w:rFonts w:ascii="Arial" w:hAnsi="Arial" w:cs="Arial"/>
          <w:sz w:val="20"/>
          <w:szCs w:val="20"/>
          <w:lang w:val="en-US"/>
        </w:rPr>
      </w:pPr>
      <w:r w:rsidRPr="00B84875">
        <w:rPr>
          <w:rFonts w:ascii="Arial" w:hAnsi="Arial" w:cs="Arial"/>
          <w:b/>
          <w:sz w:val="20"/>
          <w:szCs w:val="20"/>
          <w:lang w:val="en-US"/>
        </w:rPr>
        <w:t xml:space="preserve">Table </w:t>
      </w:r>
      <w:r w:rsidR="0082788F">
        <w:rPr>
          <w:rFonts w:ascii="Arial" w:hAnsi="Arial" w:cs="Arial"/>
          <w:b/>
          <w:sz w:val="20"/>
          <w:szCs w:val="20"/>
          <w:lang w:val="en-US"/>
        </w:rPr>
        <w:t>1</w:t>
      </w:r>
      <w:r w:rsidRPr="00B84875">
        <w:rPr>
          <w:rFonts w:ascii="Arial" w:hAnsi="Arial" w:cs="Arial"/>
          <w:b/>
          <w:sz w:val="20"/>
          <w:szCs w:val="20"/>
          <w:lang w:val="en-US"/>
        </w:rPr>
        <w:t>: Distribution of patients by service</w:t>
      </w:r>
    </w:p>
    <w:p w14:paraId="6DDD3CFE" w14:textId="77777777" w:rsidR="00B061E5" w:rsidRPr="0020597B" w:rsidRDefault="00B061E5" w:rsidP="00441B6F">
      <w:pPr>
        <w:pStyle w:val="Body"/>
        <w:spacing w:after="0"/>
        <w:rPr>
          <w:rFonts w:ascii="Arial" w:hAnsi="Arial" w:cs="Arial"/>
          <w:lang w:val="en-US"/>
        </w:rPr>
      </w:pPr>
    </w:p>
    <w:p w14:paraId="5B79DC8D" w14:textId="77777777" w:rsidR="00B061E5" w:rsidRPr="0020597B" w:rsidRDefault="00B061E5" w:rsidP="00441B6F">
      <w:pPr>
        <w:pStyle w:val="Body"/>
        <w:spacing w:after="0"/>
        <w:rPr>
          <w:rFonts w:ascii="Arial" w:hAnsi="Arial" w:cs="Arial"/>
          <w:lang w:val="en-US"/>
        </w:rPr>
      </w:pPr>
    </w:p>
    <w:tbl>
      <w:tblPr>
        <w:tblStyle w:val="TableGrid"/>
        <w:tblW w:w="9254" w:type="dxa"/>
        <w:tblLook w:val="04A0" w:firstRow="1" w:lastRow="0" w:firstColumn="1" w:lastColumn="0" w:noHBand="0" w:noVBand="1"/>
      </w:tblPr>
      <w:tblGrid>
        <w:gridCol w:w="2194"/>
        <w:gridCol w:w="2314"/>
        <w:gridCol w:w="2148"/>
        <w:gridCol w:w="2598"/>
      </w:tblGrid>
      <w:tr w:rsidR="00B061E5" w:rsidRPr="00B061E5" w14:paraId="04F8A083" w14:textId="77777777" w:rsidTr="00EB5817">
        <w:trPr>
          <w:trHeight w:val="973"/>
        </w:trPr>
        <w:tc>
          <w:tcPr>
            <w:tcW w:w="2194" w:type="dxa"/>
          </w:tcPr>
          <w:p w14:paraId="6D0EE5DC" w14:textId="77777777" w:rsidR="00B061E5" w:rsidRPr="00B061E5" w:rsidRDefault="00B061E5" w:rsidP="00EB5817">
            <w:pPr>
              <w:jc w:val="center"/>
              <w:rPr>
                <w:rFonts w:ascii="Arial" w:hAnsi="Arial" w:cs="Arial"/>
                <w:b/>
                <w:sz w:val="20"/>
                <w:szCs w:val="20"/>
              </w:rPr>
            </w:pPr>
            <w:r w:rsidRPr="00B061E5">
              <w:rPr>
                <w:rFonts w:ascii="Arial" w:hAnsi="Arial" w:cs="Arial"/>
                <w:b/>
                <w:sz w:val="20"/>
                <w:szCs w:val="20"/>
              </w:rPr>
              <w:t>SERVICES</w:t>
            </w:r>
          </w:p>
        </w:tc>
        <w:tc>
          <w:tcPr>
            <w:tcW w:w="2314" w:type="dxa"/>
          </w:tcPr>
          <w:p w14:paraId="6F95248D" w14:textId="77777777" w:rsidR="00B061E5" w:rsidRPr="00B061E5" w:rsidRDefault="00B061E5" w:rsidP="00EB5817">
            <w:pPr>
              <w:jc w:val="center"/>
              <w:rPr>
                <w:rFonts w:ascii="Arial" w:hAnsi="Arial" w:cs="Arial"/>
                <w:b/>
                <w:sz w:val="20"/>
                <w:szCs w:val="20"/>
              </w:rPr>
            </w:pPr>
            <w:proofErr w:type="spellStart"/>
            <w:r w:rsidRPr="00B061E5">
              <w:rPr>
                <w:rFonts w:ascii="Arial" w:hAnsi="Arial" w:cs="Arial"/>
                <w:b/>
                <w:sz w:val="20"/>
                <w:szCs w:val="20"/>
              </w:rPr>
              <w:t>Number</w:t>
            </w:r>
            <w:proofErr w:type="spellEnd"/>
            <w:r w:rsidRPr="00B061E5">
              <w:rPr>
                <w:rFonts w:ascii="Arial" w:hAnsi="Arial" w:cs="Arial"/>
                <w:b/>
                <w:sz w:val="20"/>
                <w:szCs w:val="20"/>
              </w:rPr>
              <w:t xml:space="preserve"> of </w:t>
            </w:r>
            <w:proofErr w:type="spellStart"/>
            <w:r w:rsidRPr="00B061E5">
              <w:rPr>
                <w:rFonts w:ascii="Arial" w:hAnsi="Arial" w:cs="Arial"/>
                <w:b/>
                <w:sz w:val="20"/>
                <w:szCs w:val="20"/>
              </w:rPr>
              <w:t>beds</w:t>
            </w:r>
            <w:proofErr w:type="spellEnd"/>
            <w:r w:rsidRPr="00B061E5">
              <w:rPr>
                <w:rFonts w:ascii="Arial" w:hAnsi="Arial" w:cs="Arial"/>
                <w:b/>
                <w:sz w:val="20"/>
                <w:szCs w:val="20"/>
              </w:rPr>
              <w:t xml:space="preserve"> /N (%)</w:t>
            </w:r>
          </w:p>
        </w:tc>
        <w:tc>
          <w:tcPr>
            <w:tcW w:w="2148" w:type="dxa"/>
          </w:tcPr>
          <w:p w14:paraId="47A82A56" w14:textId="77777777" w:rsidR="00B061E5" w:rsidRPr="00B061E5" w:rsidRDefault="00B061E5" w:rsidP="00EB5817">
            <w:pPr>
              <w:jc w:val="center"/>
              <w:rPr>
                <w:rFonts w:ascii="Arial" w:hAnsi="Arial" w:cs="Arial"/>
                <w:b/>
                <w:sz w:val="20"/>
                <w:szCs w:val="20"/>
              </w:rPr>
            </w:pPr>
            <w:proofErr w:type="spellStart"/>
            <w:r w:rsidRPr="00B061E5">
              <w:rPr>
                <w:rFonts w:ascii="Arial" w:hAnsi="Arial" w:cs="Arial"/>
                <w:b/>
                <w:sz w:val="20"/>
                <w:szCs w:val="20"/>
              </w:rPr>
              <w:t>Inpatients</w:t>
            </w:r>
            <w:proofErr w:type="spellEnd"/>
            <w:r w:rsidRPr="00B061E5">
              <w:rPr>
                <w:rFonts w:ascii="Arial" w:hAnsi="Arial" w:cs="Arial"/>
                <w:b/>
                <w:sz w:val="20"/>
                <w:szCs w:val="20"/>
              </w:rPr>
              <w:t xml:space="preserve"> /N (%)</w:t>
            </w:r>
          </w:p>
        </w:tc>
        <w:tc>
          <w:tcPr>
            <w:tcW w:w="2598" w:type="dxa"/>
          </w:tcPr>
          <w:p w14:paraId="196CFB7D" w14:textId="77777777" w:rsidR="00B061E5" w:rsidRPr="00B061E5" w:rsidRDefault="00B061E5" w:rsidP="00EB5817">
            <w:pPr>
              <w:jc w:val="center"/>
              <w:rPr>
                <w:rFonts w:ascii="Arial" w:hAnsi="Arial" w:cs="Arial"/>
                <w:b/>
                <w:sz w:val="20"/>
                <w:szCs w:val="20"/>
              </w:rPr>
            </w:pPr>
            <w:r w:rsidRPr="00B061E5">
              <w:rPr>
                <w:rFonts w:ascii="Arial" w:hAnsi="Arial" w:cs="Arial"/>
                <w:b/>
                <w:sz w:val="20"/>
                <w:szCs w:val="20"/>
              </w:rPr>
              <w:t xml:space="preserve">Patients on </w:t>
            </w:r>
            <w:proofErr w:type="spellStart"/>
            <w:r w:rsidRPr="00B061E5">
              <w:rPr>
                <w:rFonts w:ascii="Arial" w:hAnsi="Arial" w:cs="Arial"/>
                <w:b/>
                <w:sz w:val="20"/>
                <w:szCs w:val="20"/>
              </w:rPr>
              <w:t>antimicrobial</w:t>
            </w:r>
            <w:proofErr w:type="spellEnd"/>
            <w:r w:rsidRPr="00B061E5">
              <w:rPr>
                <w:rFonts w:ascii="Arial" w:hAnsi="Arial" w:cs="Arial"/>
                <w:b/>
                <w:sz w:val="20"/>
                <w:szCs w:val="20"/>
              </w:rPr>
              <w:t xml:space="preserve"> </w:t>
            </w:r>
            <w:proofErr w:type="spellStart"/>
            <w:r w:rsidRPr="00B061E5">
              <w:rPr>
                <w:rFonts w:ascii="Arial" w:hAnsi="Arial" w:cs="Arial"/>
                <w:b/>
                <w:sz w:val="20"/>
                <w:szCs w:val="20"/>
              </w:rPr>
              <w:t>therapy</w:t>
            </w:r>
            <w:proofErr w:type="spellEnd"/>
            <w:r w:rsidRPr="00B061E5">
              <w:rPr>
                <w:rFonts w:ascii="Arial" w:hAnsi="Arial" w:cs="Arial"/>
                <w:b/>
                <w:sz w:val="20"/>
                <w:szCs w:val="20"/>
              </w:rPr>
              <w:t xml:space="preserve"> / N (%)</w:t>
            </w:r>
          </w:p>
        </w:tc>
      </w:tr>
      <w:tr w:rsidR="00B061E5" w:rsidRPr="00B061E5" w14:paraId="64BDF9E1" w14:textId="77777777" w:rsidTr="00EB5817">
        <w:trPr>
          <w:trHeight w:val="382"/>
        </w:trPr>
        <w:tc>
          <w:tcPr>
            <w:tcW w:w="2194" w:type="dxa"/>
          </w:tcPr>
          <w:p w14:paraId="51327A9C" w14:textId="77777777" w:rsidR="00B061E5" w:rsidRPr="00B061E5" w:rsidRDefault="00B061E5" w:rsidP="00EB5817">
            <w:pPr>
              <w:jc w:val="center"/>
              <w:rPr>
                <w:rFonts w:ascii="Arial" w:hAnsi="Arial" w:cs="Arial"/>
                <w:b/>
                <w:sz w:val="20"/>
                <w:szCs w:val="20"/>
              </w:rPr>
            </w:pPr>
            <w:proofErr w:type="spellStart"/>
            <w:r w:rsidRPr="00B061E5">
              <w:rPr>
                <w:rFonts w:ascii="Arial" w:hAnsi="Arial" w:cs="Arial"/>
                <w:b/>
                <w:sz w:val="20"/>
                <w:szCs w:val="20"/>
              </w:rPr>
              <w:t>Chronic</w:t>
            </w:r>
            <w:proofErr w:type="spellEnd"/>
            <w:r w:rsidRPr="00B061E5">
              <w:rPr>
                <w:rFonts w:ascii="Arial" w:hAnsi="Arial" w:cs="Arial"/>
                <w:b/>
                <w:sz w:val="20"/>
                <w:szCs w:val="20"/>
              </w:rPr>
              <w:t xml:space="preserve"> </w:t>
            </w:r>
            <w:proofErr w:type="spellStart"/>
            <w:r w:rsidRPr="00B061E5">
              <w:rPr>
                <w:rFonts w:ascii="Arial" w:hAnsi="Arial" w:cs="Arial"/>
                <w:b/>
                <w:sz w:val="20"/>
                <w:szCs w:val="20"/>
              </w:rPr>
              <w:t>diseases</w:t>
            </w:r>
            <w:proofErr w:type="spellEnd"/>
          </w:p>
        </w:tc>
        <w:tc>
          <w:tcPr>
            <w:tcW w:w="2314" w:type="dxa"/>
          </w:tcPr>
          <w:p w14:paraId="18969548"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16 (14.8%)</w:t>
            </w:r>
          </w:p>
        </w:tc>
        <w:tc>
          <w:tcPr>
            <w:tcW w:w="2148" w:type="dxa"/>
          </w:tcPr>
          <w:p w14:paraId="63E9A021"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7 (8.5%)</w:t>
            </w:r>
          </w:p>
        </w:tc>
        <w:tc>
          <w:tcPr>
            <w:tcW w:w="2598" w:type="dxa"/>
          </w:tcPr>
          <w:p w14:paraId="14B0FBF1" w14:textId="77777777" w:rsidR="00B061E5" w:rsidRPr="00B061E5" w:rsidRDefault="00B061E5" w:rsidP="00EB5817">
            <w:pPr>
              <w:jc w:val="center"/>
              <w:rPr>
                <w:rFonts w:ascii="Arial" w:hAnsi="Arial" w:cs="Arial"/>
                <w:b/>
                <w:bCs/>
                <w:sz w:val="20"/>
                <w:szCs w:val="20"/>
              </w:rPr>
            </w:pPr>
            <w:r w:rsidRPr="00B061E5">
              <w:rPr>
                <w:rFonts w:ascii="Arial" w:hAnsi="Arial" w:cs="Arial"/>
                <w:b/>
                <w:bCs/>
                <w:sz w:val="20"/>
                <w:szCs w:val="20"/>
              </w:rPr>
              <w:t>7 (13%)</w:t>
            </w:r>
          </w:p>
        </w:tc>
      </w:tr>
      <w:tr w:rsidR="00B061E5" w:rsidRPr="00B061E5" w14:paraId="4447B128" w14:textId="77777777" w:rsidTr="00EB5817">
        <w:trPr>
          <w:trHeight w:val="382"/>
        </w:trPr>
        <w:tc>
          <w:tcPr>
            <w:tcW w:w="2194" w:type="dxa"/>
          </w:tcPr>
          <w:p w14:paraId="672828D1" w14:textId="77777777" w:rsidR="00B061E5" w:rsidRPr="00B061E5" w:rsidRDefault="00B061E5" w:rsidP="00EB5817">
            <w:pPr>
              <w:jc w:val="center"/>
              <w:rPr>
                <w:rFonts w:ascii="Arial" w:hAnsi="Arial" w:cs="Arial"/>
                <w:b/>
                <w:sz w:val="20"/>
                <w:szCs w:val="20"/>
              </w:rPr>
            </w:pPr>
            <w:r w:rsidRPr="00B061E5">
              <w:rPr>
                <w:rFonts w:ascii="Arial" w:hAnsi="Arial" w:cs="Arial"/>
                <w:b/>
                <w:sz w:val="20"/>
                <w:szCs w:val="20"/>
              </w:rPr>
              <w:t>Emergency</w:t>
            </w:r>
          </w:p>
        </w:tc>
        <w:tc>
          <w:tcPr>
            <w:tcW w:w="2314" w:type="dxa"/>
          </w:tcPr>
          <w:p w14:paraId="0AB2D257"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12 (11.1%)</w:t>
            </w:r>
          </w:p>
        </w:tc>
        <w:tc>
          <w:tcPr>
            <w:tcW w:w="2148" w:type="dxa"/>
          </w:tcPr>
          <w:p w14:paraId="093C031D"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11 (13.4%)</w:t>
            </w:r>
          </w:p>
        </w:tc>
        <w:tc>
          <w:tcPr>
            <w:tcW w:w="2598" w:type="dxa"/>
          </w:tcPr>
          <w:p w14:paraId="5E502927" w14:textId="77777777" w:rsidR="00B061E5" w:rsidRPr="00B061E5" w:rsidRDefault="00B061E5" w:rsidP="00EB5817">
            <w:pPr>
              <w:jc w:val="center"/>
              <w:rPr>
                <w:rFonts w:ascii="Arial" w:hAnsi="Arial" w:cs="Arial"/>
                <w:b/>
                <w:bCs/>
                <w:sz w:val="20"/>
                <w:szCs w:val="20"/>
              </w:rPr>
            </w:pPr>
            <w:r w:rsidRPr="00B061E5">
              <w:rPr>
                <w:rFonts w:ascii="Arial" w:hAnsi="Arial" w:cs="Arial"/>
                <w:b/>
                <w:bCs/>
                <w:sz w:val="20"/>
                <w:szCs w:val="20"/>
              </w:rPr>
              <w:t>5 (9.3%)</w:t>
            </w:r>
          </w:p>
        </w:tc>
      </w:tr>
      <w:tr w:rsidR="00B061E5" w:rsidRPr="00B061E5" w14:paraId="7F4D7033" w14:textId="77777777" w:rsidTr="00EB5817">
        <w:trPr>
          <w:trHeight w:val="637"/>
        </w:trPr>
        <w:tc>
          <w:tcPr>
            <w:tcW w:w="2194" w:type="dxa"/>
          </w:tcPr>
          <w:p w14:paraId="0D642C44" w14:textId="77777777" w:rsidR="00B061E5" w:rsidRPr="00B061E5" w:rsidRDefault="00B061E5" w:rsidP="00EB5817">
            <w:pPr>
              <w:jc w:val="center"/>
              <w:rPr>
                <w:rFonts w:ascii="Arial" w:hAnsi="Arial" w:cs="Arial"/>
                <w:b/>
                <w:sz w:val="20"/>
                <w:szCs w:val="20"/>
              </w:rPr>
            </w:pPr>
            <w:proofErr w:type="spellStart"/>
            <w:r w:rsidRPr="00B061E5">
              <w:rPr>
                <w:rFonts w:ascii="Arial" w:hAnsi="Arial" w:cs="Arial"/>
                <w:b/>
                <w:sz w:val="20"/>
                <w:szCs w:val="20"/>
              </w:rPr>
              <w:t>Pediatric</w:t>
            </w:r>
            <w:proofErr w:type="spellEnd"/>
            <w:r w:rsidRPr="00B061E5">
              <w:rPr>
                <w:rFonts w:ascii="Arial" w:hAnsi="Arial" w:cs="Arial"/>
                <w:b/>
                <w:sz w:val="20"/>
                <w:szCs w:val="20"/>
              </w:rPr>
              <w:t xml:space="preserve"> intensive care</w:t>
            </w:r>
          </w:p>
        </w:tc>
        <w:tc>
          <w:tcPr>
            <w:tcW w:w="2314" w:type="dxa"/>
          </w:tcPr>
          <w:p w14:paraId="5702F349"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5 (4.6%)</w:t>
            </w:r>
          </w:p>
        </w:tc>
        <w:tc>
          <w:tcPr>
            <w:tcW w:w="2148" w:type="dxa"/>
          </w:tcPr>
          <w:p w14:paraId="273C1568"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4 (4.9%)</w:t>
            </w:r>
          </w:p>
        </w:tc>
        <w:tc>
          <w:tcPr>
            <w:tcW w:w="2598" w:type="dxa"/>
          </w:tcPr>
          <w:p w14:paraId="470E011C" w14:textId="77777777" w:rsidR="00B061E5" w:rsidRPr="00B061E5" w:rsidRDefault="00B061E5" w:rsidP="00EB5817">
            <w:pPr>
              <w:jc w:val="center"/>
              <w:rPr>
                <w:rFonts w:ascii="Arial" w:hAnsi="Arial" w:cs="Arial"/>
                <w:b/>
                <w:bCs/>
                <w:sz w:val="20"/>
                <w:szCs w:val="20"/>
              </w:rPr>
            </w:pPr>
            <w:r w:rsidRPr="00B061E5">
              <w:rPr>
                <w:rFonts w:ascii="Arial" w:hAnsi="Arial" w:cs="Arial"/>
                <w:b/>
                <w:bCs/>
                <w:sz w:val="20"/>
                <w:szCs w:val="20"/>
              </w:rPr>
              <w:t>4 (7.4%)</w:t>
            </w:r>
          </w:p>
        </w:tc>
      </w:tr>
      <w:tr w:rsidR="00B061E5" w:rsidRPr="00B061E5" w14:paraId="61201834" w14:textId="77777777" w:rsidTr="00EB5817">
        <w:trPr>
          <w:trHeight w:val="382"/>
        </w:trPr>
        <w:tc>
          <w:tcPr>
            <w:tcW w:w="2194" w:type="dxa"/>
          </w:tcPr>
          <w:p w14:paraId="58D65D58" w14:textId="77777777" w:rsidR="00B061E5" w:rsidRPr="00B061E5" w:rsidRDefault="00B061E5" w:rsidP="00EB5817">
            <w:pPr>
              <w:jc w:val="center"/>
              <w:rPr>
                <w:rFonts w:ascii="Arial" w:hAnsi="Arial" w:cs="Arial"/>
                <w:b/>
                <w:sz w:val="20"/>
                <w:szCs w:val="20"/>
              </w:rPr>
            </w:pPr>
            <w:proofErr w:type="spellStart"/>
            <w:r w:rsidRPr="00B061E5">
              <w:rPr>
                <w:rFonts w:ascii="Arial" w:hAnsi="Arial" w:cs="Arial"/>
                <w:b/>
                <w:sz w:val="20"/>
                <w:szCs w:val="20"/>
              </w:rPr>
              <w:t>Pediatric</w:t>
            </w:r>
            <w:proofErr w:type="spellEnd"/>
            <w:r w:rsidRPr="00B061E5">
              <w:rPr>
                <w:rFonts w:ascii="Arial" w:hAnsi="Arial" w:cs="Arial"/>
                <w:b/>
                <w:sz w:val="20"/>
                <w:szCs w:val="20"/>
              </w:rPr>
              <w:t xml:space="preserve"> </w:t>
            </w:r>
            <w:proofErr w:type="spellStart"/>
            <w:r w:rsidRPr="00B061E5">
              <w:rPr>
                <w:rFonts w:ascii="Arial" w:hAnsi="Arial" w:cs="Arial"/>
                <w:b/>
                <w:sz w:val="20"/>
                <w:szCs w:val="20"/>
              </w:rPr>
              <w:t>surgery</w:t>
            </w:r>
            <w:proofErr w:type="spellEnd"/>
          </w:p>
        </w:tc>
        <w:tc>
          <w:tcPr>
            <w:tcW w:w="2314" w:type="dxa"/>
          </w:tcPr>
          <w:p w14:paraId="32C7ECE2"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12 (11.1%)</w:t>
            </w:r>
          </w:p>
        </w:tc>
        <w:tc>
          <w:tcPr>
            <w:tcW w:w="2148" w:type="dxa"/>
          </w:tcPr>
          <w:p w14:paraId="3AD773DE"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6 (7.3%)</w:t>
            </w:r>
          </w:p>
        </w:tc>
        <w:tc>
          <w:tcPr>
            <w:tcW w:w="2598" w:type="dxa"/>
          </w:tcPr>
          <w:p w14:paraId="7684D659" w14:textId="77777777" w:rsidR="00B061E5" w:rsidRPr="00B061E5" w:rsidRDefault="00B061E5" w:rsidP="00EB5817">
            <w:pPr>
              <w:jc w:val="center"/>
              <w:rPr>
                <w:rFonts w:ascii="Arial" w:hAnsi="Arial" w:cs="Arial"/>
                <w:b/>
                <w:bCs/>
                <w:sz w:val="20"/>
                <w:szCs w:val="20"/>
              </w:rPr>
            </w:pPr>
            <w:r w:rsidRPr="00B061E5">
              <w:rPr>
                <w:rFonts w:ascii="Arial" w:hAnsi="Arial" w:cs="Arial"/>
                <w:b/>
                <w:bCs/>
                <w:sz w:val="20"/>
                <w:szCs w:val="20"/>
              </w:rPr>
              <w:t>1 (1.9%)</w:t>
            </w:r>
          </w:p>
        </w:tc>
      </w:tr>
      <w:tr w:rsidR="00B061E5" w:rsidRPr="00B061E5" w14:paraId="70D46240" w14:textId="77777777" w:rsidTr="00EB5817">
        <w:trPr>
          <w:trHeight w:val="654"/>
        </w:trPr>
        <w:tc>
          <w:tcPr>
            <w:tcW w:w="2194" w:type="dxa"/>
          </w:tcPr>
          <w:p w14:paraId="274D771B" w14:textId="77777777" w:rsidR="00B061E5" w:rsidRPr="00B061E5" w:rsidRDefault="00B061E5" w:rsidP="00EB5817">
            <w:pPr>
              <w:jc w:val="center"/>
              <w:rPr>
                <w:rFonts w:ascii="Arial" w:hAnsi="Arial" w:cs="Arial"/>
                <w:b/>
                <w:sz w:val="20"/>
                <w:szCs w:val="20"/>
              </w:rPr>
            </w:pPr>
            <w:proofErr w:type="spellStart"/>
            <w:r w:rsidRPr="00B061E5">
              <w:rPr>
                <w:rFonts w:ascii="Arial" w:hAnsi="Arial" w:cs="Arial"/>
                <w:b/>
                <w:sz w:val="20"/>
                <w:szCs w:val="20"/>
              </w:rPr>
              <w:t>Pneumology</w:t>
            </w:r>
            <w:proofErr w:type="spellEnd"/>
            <w:r w:rsidRPr="00B061E5">
              <w:rPr>
                <w:rFonts w:ascii="Arial" w:hAnsi="Arial" w:cs="Arial"/>
                <w:b/>
                <w:sz w:val="20"/>
                <w:szCs w:val="20"/>
              </w:rPr>
              <w:t xml:space="preserve"> and </w:t>
            </w:r>
            <w:proofErr w:type="spellStart"/>
            <w:r w:rsidRPr="00B061E5">
              <w:rPr>
                <w:rFonts w:ascii="Arial" w:hAnsi="Arial" w:cs="Arial"/>
                <w:b/>
                <w:sz w:val="20"/>
                <w:szCs w:val="20"/>
              </w:rPr>
              <w:t>continuing</w:t>
            </w:r>
            <w:proofErr w:type="spellEnd"/>
            <w:r w:rsidRPr="00B061E5">
              <w:rPr>
                <w:rFonts w:ascii="Arial" w:hAnsi="Arial" w:cs="Arial"/>
                <w:b/>
                <w:sz w:val="20"/>
                <w:szCs w:val="20"/>
              </w:rPr>
              <w:t xml:space="preserve"> care</w:t>
            </w:r>
          </w:p>
        </w:tc>
        <w:tc>
          <w:tcPr>
            <w:tcW w:w="2314" w:type="dxa"/>
          </w:tcPr>
          <w:p w14:paraId="61DF1615"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18 (16.7%)</w:t>
            </w:r>
          </w:p>
        </w:tc>
        <w:tc>
          <w:tcPr>
            <w:tcW w:w="2148" w:type="dxa"/>
          </w:tcPr>
          <w:p w14:paraId="465F0436"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17 (20.7%)</w:t>
            </w:r>
          </w:p>
        </w:tc>
        <w:tc>
          <w:tcPr>
            <w:tcW w:w="2598" w:type="dxa"/>
          </w:tcPr>
          <w:p w14:paraId="46316AA0" w14:textId="77777777" w:rsidR="00B061E5" w:rsidRPr="00B061E5" w:rsidRDefault="00B061E5" w:rsidP="00EB5817">
            <w:pPr>
              <w:jc w:val="center"/>
              <w:rPr>
                <w:rFonts w:ascii="Arial" w:hAnsi="Arial" w:cs="Arial"/>
                <w:b/>
                <w:bCs/>
                <w:sz w:val="20"/>
                <w:szCs w:val="20"/>
              </w:rPr>
            </w:pPr>
            <w:r w:rsidRPr="00B061E5">
              <w:rPr>
                <w:rFonts w:ascii="Arial" w:hAnsi="Arial" w:cs="Arial"/>
                <w:b/>
                <w:bCs/>
                <w:sz w:val="20"/>
                <w:szCs w:val="20"/>
              </w:rPr>
              <w:t>15 (27.8%)</w:t>
            </w:r>
          </w:p>
        </w:tc>
      </w:tr>
      <w:tr w:rsidR="00B061E5" w:rsidRPr="00B061E5" w14:paraId="4E0E6BCF" w14:textId="77777777" w:rsidTr="00EB5817">
        <w:trPr>
          <w:trHeight w:val="382"/>
        </w:trPr>
        <w:tc>
          <w:tcPr>
            <w:tcW w:w="2194" w:type="dxa"/>
          </w:tcPr>
          <w:p w14:paraId="1ECA2132" w14:textId="77777777" w:rsidR="00B061E5" w:rsidRPr="00B061E5" w:rsidRDefault="00B061E5" w:rsidP="00EB5817">
            <w:pPr>
              <w:jc w:val="center"/>
              <w:rPr>
                <w:rFonts w:ascii="Arial" w:hAnsi="Arial" w:cs="Arial"/>
                <w:b/>
                <w:sz w:val="20"/>
                <w:szCs w:val="20"/>
              </w:rPr>
            </w:pPr>
            <w:proofErr w:type="spellStart"/>
            <w:r w:rsidRPr="00B061E5">
              <w:rPr>
                <w:rFonts w:ascii="Arial" w:hAnsi="Arial" w:cs="Arial"/>
                <w:b/>
                <w:sz w:val="20"/>
                <w:szCs w:val="20"/>
              </w:rPr>
              <w:t>Neonatology</w:t>
            </w:r>
            <w:proofErr w:type="spellEnd"/>
          </w:p>
        </w:tc>
        <w:tc>
          <w:tcPr>
            <w:tcW w:w="2314" w:type="dxa"/>
          </w:tcPr>
          <w:p w14:paraId="4B683D07"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33 (30.6%)</w:t>
            </w:r>
          </w:p>
        </w:tc>
        <w:tc>
          <w:tcPr>
            <w:tcW w:w="2148" w:type="dxa"/>
          </w:tcPr>
          <w:p w14:paraId="78FA026B"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31 (37.8%)</w:t>
            </w:r>
          </w:p>
        </w:tc>
        <w:tc>
          <w:tcPr>
            <w:tcW w:w="2598" w:type="dxa"/>
          </w:tcPr>
          <w:p w14:paraId="2A3BAAA6" w14:textId="77777777" w:rsidR="00B061E5" w:rsidRPr="00B061E5" w:rsidRDefault="00B061E5" w:rsidP="00EB5817">
            <w:pPr>
              <w:jc w:val="center"/>
              <w:rPr>
                <w:rFonts w:ascii="Arial" w:hAnsi="Arial" w:cs="Arial"/>
                <w:b/>
                <w:bCs/>
                <w:sz w:val="20"/>
                <w:szCs w:val="20"/>
              </w:rPr>
            </w:pPr>
            <w:r w:rsidRPr="00B061E5">
              <w:rPr>
                <w:rFonts w:ascii="Arial" w:hAnsi="Arial" w:cs="Arial"/>
                <w:b/>
                <w:bCs/>
                <w:sz w:val="20"/>
                <w:szCs w:val="20"/>
              </w:rPr>
              <w:t>16 (29.6%)</w:t>
            </w:r>
          </w:p>
        </w:tc>
      </w:tr>
      <w:tr w:rsidR="00B061E5" w:rsidRPr="00B061E5" w14:paraId="630115BA" w14:textId="77777777" w:rsidTr="00EB5817">
        <w:trPr>
          <w:trHeight w:val="366"/>
        </w:trPr>
        <w:tc>
          <w:tcPr>
            <w:tcW w:w="2194" w:type="dxa"/>
          </w:tcPr>
          <w:p w14:paraId="1A4AC54F" w14:textId="77777777" w:rsidR="00B061E5" w:rsidRPr="00B061E5" w:rsidRDefault="00B061E5" w:rsidP="00EB5817">
            <w:pPr>
              <w:jc w:val="center"/>
              <w:rPr>
                <w:rFonts w:ascii="Arial" w:hAnsi="Arial" w:cs="Arial"/>
                <w:b/>
                <w:sz w:val="20"/>
                <w:szCs w:val="20"/>
              </w:rPr>
            </w:pPr>
            <w:proofErr w:type="spellStart"/>
            <w:r w:rsidRPr="00B061E5">
              <w:rPr>
                <w:rFonts w:ascii="Arial" w:hAnsi="Arial" w:cs="Arial"/>
                <w:b/>
                <w:sz w:val="20"/>
                <w:szCs w:val="20"/>
              </w:rPr>
              <w:t>Cardiology</w:t>
            </w:r>
            <w:proofErr w:type="spellEnd"/>
          </w:p>
        </w:tc>
        <w:tc>
          <w:tcPr>
            <w:tcW w:w="2314" w:type="dxa"/>
          </w:tcPr>
          <w:p w14:paraId="41802AC3"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12 (11.1%)</w:t>
            </w:r>
          </w:p>
        </w:tc>
        <w:tc>
          <w:tcPr>
            <w:tcW w:w="2148" w:type="dxa"/>
          </w:tcPr>
          <w:p w14:paraId="6CF5441E"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6 (7.3%)</w:t>
            </w:r>
          </w:p>
        </w:tc>
        <w:tc>
          <w:tcPr>
            <w:tcW w:w="2598" w:type="dxa"/>
          </w:tcPr>
          <w:p w14:paraId="18432577" w14:textId="77777777" w:rsidR="00B061E5" w:rsidRPr="00B061E5" w:rsidRDefault="00B061E5" w:rsidP="00EB5817">
            <w:pPr>
              <w:jc w:val="center"/>
              <w:rPr>
                <w:rFonts w:ascii="Arial" w:hAnsi="Arial" w:cs="Arial"/>
                <w:b/>
                <w:bCs/>
                <w:sz w:val="20"/>
                <w:szCs w:val="20"/>
              </w:rPr>
            </w:pPr>
            <w:r w:rsidRPr="00B061E5">
              <w:rPr>
                <w:rFonts w:ascii="Arial" w:hAnsi="Arial" w:cs="Arial"/>
                <w:b/>
                <w:bCs/>
                <w:sz w:val="20"/>
                <w:szCs w:val="20"/>
              </w:rPr>
              <w:t>6 (11.1%)</w:t>
            </w:r>
          </w:p>
        </w:tc>
      </w:tr>
      <w:tr w:rsidR="00B061E5" w:rsidRPr="00B061E5" w14:paraId="300FCC95" w14:textId="77777777" w:rsidTr="00EB5817">
        <w:trPr>
          <w:trHeight w:val="366"/>
        </w:trPr>
        <w:tc>
          <w:tcPr>
            <w:tcW w:w="2194" w:type="dxa"/>
          </w:tcPr>
          <w:p w14:paraId="3BAB760F" w14:textId="77777777" w:rsidR="00B061E5" w:rsidRPr="00B061E5" w:rsidRDefault="00B061E5" w:rsidP="00EB5817">
            <w:pPr>
              <w:jc w:val="center"/>
              <w:rPr>
                <w:rFonts w:ascii="Arial" w:hAnsi="Arial" w:cs="Arial"/>
                <w:b/>
                <w:sz w:val="20"/>
                <w:szCs w:val="20"/>
              </w:rPr>
            </w:pPr>
            <w:r w:rsidRPr="00B061E5">
              <w:rPr>
                <w:rFonts w:ascii="Arial" w:hAnsi="Arial" w:cs="Arial"/>
                <w:b/>
                <w:sz w:val="20"/>
                <w:szCs w:val="20"/>
              </w:rPr>
              <w:t>TOTAL</w:t>
            </w:r>
          </w:p>
        </w:tc>
        <w:tc>
          <w:tcPr>
            <w:tcW w:w="2314" w:type="dxa"/>
          </w:tcPr>
          <w:p w14:paraId="3BDCF019"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108 (100%)</w:t>
            </w:r>
          </w:p>
        </w:tc>
        <w:tc>
          <w:tcPr>
            <w:tcW w:w="2148" w:type="dxa"/>
          </w:tcPr>
          <w:p w14:paraId="25F3AFF9" w14:textId="77777777" w:rsidR="00B061E5" w:rsidRPr="00B061E5" w:rsidRDefault="00B061E5" w:rsidP="00EB5817">
            <w:pPr>
              <w:jc w:val="center"/>
              <w:rPr>
                <w:rFonts w:ascii="Arial" w:hAnsi="Arial" w:cs="Arial"/>
                <w:b/>
                <w:color w:val="000000"/>
                <w:sz w:val="20"/>
                <w:szCs w:val="20"/>
              </w:rPr>
            </w:pPr>
            <w:r w:rsidRPr="00B061E5">
              <w:rPr>
                <w:rFonts w:ascii="Arial" w:hAnsi="Arial" w:cs="Arial"/>
                <w:b/>
                <w:color w:val="000000"/>
                <w:sz w:val="20"/>
                <w:szCs w:val="20"/>
              </w:rPr>
              <w:t>82 (100%)</w:t>
            </w:r>
          </w:p>
        </w:tc>
        <w:tc>
          <w:tcPr>
            <w:tcW w:w="2598" w:type="dxa"/>
          </w:tcPr>
          <w:p w14:paraId="10B2A27A" w14:textId="77777777" w:rsidR="00B061E5" w:rsidRPr="00B061E5" w:rsidRDefault="00B061E5" w:rsidP="00EB5817">
            <w:pPr>
              <w:jc w:val="center"/>
              <w:rPr>
                <w:rFonts w:ascii="Arial" w:hAnsi="Arial" w:cs="Arial"/>
                <w:b/>
                <w:bCs/>
                <w:sz w:val="20"/>
                <w:szCs w:val="20"/>
              </w:rPr>
            </w:pPr>
            <w:r w:rsidRPr="00B061E5">
              <w:rPr>
                <w:rFonts w:ascii="Arial" w:hAnsi="Arial" w:cs="Arial"/>
                <w:b/>
                <w:bCs/>
                <w:sz w:val="20"/>
                <w:szCs w:val="20"/>
              </w:rPr>
              <w:t>54 (100%)</w:t>
            </w:r>
          </w:p>
        </w:tc>
      </w:tr>
    </w:tbl>
    <w:p w14:paraId="692834B0" w14:textId="77777777" w:rsidR="00B061E5" w:rsidRDefault="00B061E5" w:rsidP="00441B6F">
      <w:pPr>
        <w:pStyle w:val="Body"/>
        <w:spacing w:after="0"/>
        <w:rPr>
          <w:rFonts w:ascii="Arial" w:hAnsi="Arial" w:cs="Arial"/>
        </w:rPr>
      </w:pPr>
    </w:p>
    <w:p w14:paraId="467A257E" w14:textId="77777777" w:rsidR="00B061E5" w:rsidRPr="00B84875" w:rsidRDefault="00B061E5" w:rsidP="00B061E5">
      <w:pPr>
        <w:pStyle w:val="NormalWeb"/>
        <w:jc w:val="both"/>
        <w:rPr>
          <w:rFonts w:ascii="Arial" w:hAnsi="Arial" w:cs="Arial"/>
          <w:sz w:val="20"/>
          <w:szCs w:val="20"/>
          <w:lang w:val="en-US"/>
        </w:rPr>
      </w:pPr>
      <w:r w:rsidRPr="00B84875">
        <w:rPr>
          <w:rFonts w:ascii="Arial" w:hAnsi="Arial" w:cs="Arial"/>
          <w:sz w:val="20"/>
          <w:szCs w:val="20"/>
          <w:lang w:val="en-US"/>
        </w:rPr>
        <w:t xml:space="preserve">The mean age of patients was 62.1 months (approximately 5 years), with the most represented age group being 3-60 months (31.4%) </w:t>
      </w:r>
      <w:r w:rsidRPr="00B84875">
        <w:rPr>
          <w:rFonts w:ascii="Arial" w:hAnsi="Arial" w:cs="Arial"/>
          <w:b/>
          <w:sz w:val="20"/>
          <w:szCs w:val="20"/>
          <w:lang w:val="en-US"/>
        </w:rPr>
        <w:t>(Figure 1)</w:t>
      </w:r>
      <w:r w:rsidRPr="00B84875">
        <w:rPr>
          <w:rFonts w:ascii="Arial" w:hAnsi="Arial" w:cs="Arial"/>
          <w:sz w:val="20"/>
          <w:szCs w:val="20"/>
          <w:lang w:val="en-US"/>
        </w:rPr>
        <w:t>. The majority of patients (62.2%) were female, corresponding to a male-to-female ratio of 0.6. Medical wards accounted for the majority of antimicrobial prescriptions (81.4%).</w:t>
      </w:r>
    </w:p>
    <w:p w14:paraId="56FD3FA5" w14:textId="77777777" w:rsidR="00E7795A" w:rsidRDefault="00E7795A" w:rsidP="00441B6F">
      <w:pPr>
        <w:pStyle w:val="Body"/>
        <w:spacing w:after="0"/>
        <w:rPr>
          <w:rFonts w:ascii="Arial" w:hAnsi="Arial" w:cs="Arial"/>
        </w:rPr>
      </w:pPr>
    </w:p>
    <w:p w14:paraId="4C7F73DC" w14:textId="77777777" w:rsidR="00B061E5" w:rsidRDefault="00B061E5" w:rsidP="00441B6F">
      <w:pPr>
        <w:pStyle w:val="Body"/>
        <w:spacing w:after="0"/>
        <w:rPr>
          <w:rFonts w:ascii="Arial" w:hAnsi="Arial" w:cs="Arial"/>
        </w:rPr>
      </w:pPr>
      <w:r>
        <w:rPr>
          <w:noProof/>
          <w:lang w:val="en-US" w:eastAsia="en-US"/>
        </w:rPr>
        <w:lastRenderedPageBreak/>
        <w:drawing>
          <wp:inline distT="0" distB="0" distL="0" distR="0" wp14:anchorId="71192ACD" wp14:editId="6D8BFF18">
            <wp:extent cx="5212080" cy="3307998"/>
            <wp:effectExtent l="0" t="0" r="0" b="0"/>
            <wp:docPr id="4" name="Graphique 4">
              <a:extLst xmlns:a="http://schemas.openxmlformats.org/drawingml/2006/main">
                <a:ext uri="{FF2B5EF4-FFF2-40B4-BE49-F238E27FC236}">
                  <a16:creationId xmlns:a16="http://schemas.microsoft.com/office/drawing/2014/main" id="{00000000-0008-0000-0B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8C8D5F" w14:textId="77777777" w:rsidR="00E7795A" w:rsidRDefault="00E7795A" w:rsidP="00441B6F">
      <w:pPr>
        <w:pStyle w:val="Body"/>
        <w:spacing w:after="0"/>
        <w:rPr>
          <w:rFonts w:ascii="Arial" w:hAnsi="Arial" w:cs="Arial"/>
        </w:rPr>
      </w:pPr>
    </w:p>
    <w:p w14:paraId="3B18562B" w14:textId="77777777" w:rsidR="00863BD3" w:rsidRDefault="00863BD3" w:rsidP="00B061E5">
      <w:pPr>
        <w:tabs>
          <w:tab w:val="left" w:pos="1080"/>
        </w:tabs>
        <w:jc w:val="both"/>
        <w:rPr>
          <w:rFonts w:ascii="Arial" w:hAnsi="Arial"/>
          <w:b/>
          <w:sz w:val="20"/>
          <w:szCs w:val="20"/>
        </w:rPr>
      </w:pPr>
    </w:p>
    <w:p w14:paraId="2FAE959A" w14:textId="77777777" w:rsidR="009F7D31" w:rsidRPr="0020597B" w:rsidRDefault="009F7D31" w:rsidP="009F7D31">
      <w:pPr>
        <w:pStyle w:val="BodyText"/>
        <w:spacing w:before="15" w:line="312" w:lineRule="auto"/>
        <w:ind w:right="2"/>
        <w:jc w:val="both"/>
        <w:rPr>
          <w:rFonts w:ascii="Arial" w:hAnsi="Arial" w:cs="Arial"/>
          <w:b/>
          <w:color w:val="231F20"/>
          <w:spacing w:val="-2"/>
          <w:sz w:val="20"/>
          <w:szCs w:val="20"/>
          <w:lang w:val="en-US"/>
        </w:rPr>
      </w:pPr>
      <w:r w:rsidRPr="0020597B">
        <w:rPr>
          <w:rFonts w:ascii="Arial" w:hAnsi="Arial" w:cs="Arial"/>
          <w:b/>
          <w:color w:val="231F20"/>
          <w:spacing w:val="-2"/>
          <w:sz w:val="20"/>
          <w:szCs w:val="20"/>
          <w:lang w:val="en-US"/>
        </w:rPr>
        <w:t>Figure 1: Distribution of patients by age group</w:t>
      </w:r>
    </w:p>
    <w:p w14:paraId="57ADF096" w14:textId="77777777" w:rsidR="009F7D31" w:rsidRDefault="009F7D31" w:rsidP="009F7D31">
      <w:pPr>
        <w:pStyle w:val="Heading3"/>
        <w:jc w:val="both"/>
        <w:rPr>
          <w:rFonts w:ascii="Times New Roman" w:eastAsia="Times New Roman" w:hAnsi="Times New Roman" w:cs="Times New Roman"/>
          <w:color w:val="auto"/>
          <w:lang w:val="en-US"/>
        </w:rPr>
      </w:pPr>
    </w:p>
    <w:p w14:paraId="46F39ACF" w14:textId="77777777" w:rsidR="009F7D31" w:rsidRPr="00B84875" w:rsidRDefault="009F7D31" w:rsidP="009F7D31">
      <w:pPr>
        <w:pStyle w:val="Heading3"/>
        <w:jc w:val="both"/>
        <w:rPr>
          <w:rFonts w:ascii="Arial" w:hAnsi="Arial" w:cs="Arial"/>
          <w:b/>
          <w:color w:val="000000" w:themeColor="text1"/>
          <w:sz w:val="20"/>
          <w:szCs w:val="20"/>
          <w:lang w:val="en-US"/>
        </w:rPr>
      </w:pPr>
      <w:r w:rsidRPr="00B84875">
        <w:rPr>
          <w:rFonts w:ascii="Arial" w:hAnsi="Arial" w:cs="Arial"/>
          <w:b/>
          <w:color w:val="000000" w:themeColor="text1"/>
          <w:sz w:val="20"/>
          <w:szCs w:val="20"/>
          <w:lang w:val="en-US"/>
        </w:rPr>
        <w:t>Clinical indications</w:t>
      </w:r>
    </w:p>
    <w:p w14:paraId="0A86DBC2" w14:textId="77777777" w:rsidR="009F7D31" w:rsidRPr="00B84875" w:rsidRDefault="009F7D31" w:rsidP="009F7D31">
      <w:pPr>
        <w:pStyle w:val="NormalWeb"/>
        <w:jc w:val="both"/>
        <w:rPr>
          <w:rFonts w:ascii="Arial" w:hAnsi="Arial" w:cs="Arial"/>
          <w:sz w:val="20"/>
          <w:szCs w:val="20"/>
          <w:lang w:val="en-US"/>
        </w:rPr>
      </w:pPr>
      <w:r w:rsidRPr="00B84875">
        <w:rPr>
          <w:rFonts w:ascii="Arial" w:hAnsi="Arial" w:cs="Arial"/>
          <w:sz w:val="20"/>
          <w:szCs w:val="20"/>
          <w:lang w:val="en-US"/>
        </w:rPr>
        <w:t>The main indications for antimicrobial use were respiratory infections (25.9%), sepsis (18.5%), central nervous system infections (13.0%), and severe malaria (7.4%). Other reported conditions included gastrointestinal infections and surgical prophylaxis.</w:t>
      </w:r>
    </w:p>
    <w:p w14:paraId="72A94BCF" w14:textId="77777777" w:rsidR="009F7D31" w:rsidRPr="00B84875" w:rsidRDefault="009F7D31" w:rsidP="009F7D31">
      <w:pPr>
        <w:pStyle w:val="NormalWeb"/>
        <w:jc w:val="both"/>
        <w:rPr>
          <w:rFonts w:ascii="Arial" w:hAnsi="Arial" w:cs="Arial"/>
          <w:sz w:val="20"/>
          <w:szCs w:val="20"/>
          <w:lang w:val="en-US"/>
        </w:rPr>
      </w:pPr>
      <w:r w:rsidRPr="00B84875">
        <w:rPr>
          <w:rFonts w:ascii="Arial" w:hAnsi="Arial" w:cs="Arial"/>
          <w:sz w:val="20"/>
          <w:szCs w:val="20"/>
          <w:lang w:val="en-US"/>
        </w:rPr>
        <w:t>Due to ongoing renovation of the pediatric surgery department, the number of available beds had been reduced from 219 to 108, resulting in a redistribution of patients across other departments.</w:t>
      </w:r>
    </w:p>
    <w:p w14:paraId="63CE3617" w14:textId="77777777" w:rsidR="009F7D31" w:rsidRPr="00B84875" w:rsidRDefault="009F7D31" w:rsidP="009F7D31">
      <w:pPr>
        <w:pStyle w:val="Heading3"/>
        <w:jc w:val="both"/>
        <w:rPr>
          <w:rFonts w:ascii="Arial" w:hAnsi="Arial" w:cs="Arial"/>
          <w:b/>
          <w:color w:val="000000" w:themeColor="text1"/>
          <w:sz w:val="20"/>
          <w:szCs w:val="20"/>
          <w:lang w:val="en-US"/>
        </w:rPr>
      </w:pPr>
      <w:r w:rsidRPr="00B84875">
        <w:rPr>
          <w:rFonts w:ascii="Arial" w:hAnsi="Arial" w:cs="Arial"/>
          <w:b/>
          <w:color w:val="000000" w:themeColor="text1"/>
          <w:sz w:val="20"/>
          <w:szCs w:val="20"/>
          <w:lang w:val="en-US"/>
        </w:rPr>
        <w:t>Microbiological testing</w:t>
      </w:r>
    </w:p>
    <w:p w14:paraId="78FDEDCA" w14:textId="77777777" w:rsidR="009F7D31" w:rsidRPr="00B84875" w:rsidRDefault="009F7D31" w:rsidP="009F7D31">
      <w:pPr>
        <w:pStyle w:val="NormalWeb"/>
        <w:jc w:val="both"/>
        <w:rPr>
          <w:rFonts w:ascii="Arial" w:hAnsi="Arial" w:cs="Arial"/>
          <w:sz w:val="20"/>
          <w:szCs w:val="20"/>
          <w:lang w:val="en-US"/>
        </w:rPr>
      </w:pPr>
      <w:r w:rsidRPr="00B84875">
        <w:rPr>
          <w:rFonts w:ascii="Arial" w:hAnsi="Arial" w:cs="Arial"/>
          <w:sz w:val="20"/>
          <w:szCs w:val="20"/>
          <w:lang w:val="en-US"/>
        </w:rPr>
        <w:t>Samples for bacteriological analysis were collected from 40.7% (22/54) of patients receiving antimicrobials, and 9 (40.9%) of these samples were culture-positive. Specimens included cerebrospinal fluid (n = 8), blood (n = 8), urine (n = 5), sputum (n = 4), and pleural fluid (n = 1).</w:t>
      </w:r>
    </w:p>
    <w:p w14:paraId="40984BA1" w14:textId="77777777" w:rsidR="009F7D31" w:rsidRPr="00B84875" w:rsidRDefault="009F7D31" w:rsidP="009F7D31">
      <w:pPr>
        <w:pStyle w:val="NormalWeb"/>
        <w:jc w:val="both"/>
        <w:rPr>
          <w:rFonts w:ascii="Arial" w:hAnsi="Arial" w:cs="Arial"/>
          <w:sz w:val="20"/>
          <w:szCs w:val="20"/>
          <w:lang w:val="en-US"/>
        </w:rPr>
      </w:pPr>
      <w:r w:rsidRPr="00B84875">
        <w:rPr>
          <w:rFonts w:ascii="Arial" w:hAnsi="Arial" w:cs="Arial"/>
          <w:sz w:val="20"/>
          <w:szCs w:val="20"/>
          <w:lang w:val="en-US"/>
        </w:rPr>
        <w:t xml:space="preserve">Isolated bacterial species were </w:t>
      </w:r>
      <w:r w:rsidRPr="00B84875">
        <w:rPr>
          <w:rStyle w:val="Emphasis"/>
          <w:rFonts w:ascii="Arial" w:hAnsi="Arial" w:cs="Arial"/>
          <w:sz w:val="20"/>
          <w:szCs w:val="20"/>
          <w:lang w:val="en-US"/>
        </w:rPr>
        <w:t>Pseudomonas aeruginosa</w:t>
      </w:r>
      <w:r w:rsidRPr="00B84875">
        <w:rPr>
          <w:rFonts w:ascii="Arial" w:hAnsi="Arial" w:cs="Arial"/>
          <w:sz w:val="20"/>
          <w:szCs w:val="20"/>
          <w:lang w:val="en-US"/>
        </w:rPr>
        <w:t xml:space="preserve">, </w:t>
      </w:r>
      <w:r w:rsidRPr="00B84875">
        <w:rPr>
          <w:rStyle w:val="Emphasis"/>
          <w:rFonts w:ascii="Arial" w:hAnsi="Arial" w:cs="Arial"/>
          <w:sz w:val="20"/>
          <w:szCs w:val="20"/>
          <w:lang w:val="en-US"/>
        </w:rPr>
        <w:t>Staphylococcus aureus</w:t>
      </w:r>
      <w:r w:rsidRPr="00B84875">
        <w:rPr>
          <w:rFonts w:ascii="Arial" w:hAnsi="Arial" w:cs="Arial"/>
          <w:sz w:val="20"/>
          <w:szCs w:val="20"/>
          <w:lang w:val="en-US"/>
        </w:rPr>
        <w:t xml:space="preserve">, </w:t>
      </w:r>
      <w:r w:rsidRPr="00B84875">
        <w:rPr>
          <w:rStyle w:val="Emphasis"/>
          <w:rFonts w:ascii="Arial" w:hAnsi="Arial" w:cs="Arial"/>
          <w:sz w:val="20"/>
          <w:szCs w:val="20"/>
          <w:lang w:val="en-US"/>
        </w:rPr>
        <w:t>Enterobacter spp.</w:t>
      </w:r>
      <w:r w:rsidRPr="00B84875">
        <w:rPr>
          <w:rFonts w:ascii="Arial" w:hAnsi="Arial" w:cs="Arial"/>
          <w:sz w:val="20"/>
          <w:szCs w:val="20"/>
          <w:lang w:val="en-US"/>
        </w:rPr>
        <w:t xml:space="preserve">, </w:t>
      </w:r>
      <w:r w:rsidRPr="00B84875">
        <w:rPr>
          <w:rFonts w:ascii="Arial" w:hAnsi="Arial" w:cs="Arial"/>
          <w:i/>
          <w:sz w:val="20"/>
          <w:szCs w:val="20"/>
          <w:lang w:val="en-US"/>
        </w:rPr>
        <w:t>ESBL</w:t>
      </w:r>
      <w:r w:rsidRPr="00B84875">
        <w:rPr>
          <w:rFonts w:ascii="Arial" w:hAnsi="Arial" w:cs="Arial"/>
          <w:sz w:val="20"/>
          <w:szCs w:val="20"/>
          <w:lang w:val="en-US"/>
        </w:rPr>
        <w:t xml:space="preserve">-secreting </w:t>
      </w:r>
      <w:r w:rsidRPr="00B84875">
        <w:rPr>
          <w:rStyle w:val="Emphasis"/>
          <w:rFonts w:ascii="Arial" w:hAnsi="Arial" w:cs="Arial"/>
          <w:sz w:val="20"/>
          <w:szCs w:val="20"/>
          <w:lang w:val="en-US"/>
        </w:rPr>
        <w:t>Klebsiella pneumoniae</w:t>
      </w:r>
      <w:r w:rsidRPr="00B84875">
        <w:rPr>
          <w:rFonts w:ascii="Arial" w:hAnsi="Arial" w:cs="Arial"/>
          <w:sz w:val="20"/>
          <w:szCs w:val="20"/>
          <w:lang w:val="en-US"/>
        </w:rPr>
        <w:t xml:space="preserve">, and </w:t>
      </w:r>
      <w:r w:rsidRPr="00B84875">
        <w:rPr>
          <w:rStyle w:val="Emphasis"/>
          <w:rFonts w:ascii="Arial" w:hAnsi="Arial" w:cs="Arial"/>
          <w:sz w:val="20"/>
          <w:szCs w:val="20"/>
          <w:lang w:val="en-US"/>
        </w:rPr>
        <w:t>Mycobacterium tuberculosis</w:t>
      </w:r>
      <w:r w:rsidRPr="00B84875">
        <w:rPr>
          <w:rFonts w:ascii="Arial" w:hAnsi="Arial" w:cs="Arial"/>
          <w:sz w:val="20"/>
          <w:szCs w:val="20"/>
          <w:lang w:val="en-US"/>
        </w:rPr>
        <w:t xml:space="preserve">. </w:t>
      </w:r>
      <w:r w:rsidRPr="00B84875">
        <w:rPr>
          <w:rStyle w:val="Emphasis"/>
          <w:rFonts w:ascii="Arial" w:hAnsi="Arial" w:cs="Arial"/>
          <w:sz w:val="20"/>
          <w:szCs w:val="20"/>
          <w:lang w:val="en-US"/>
        </w:rPr>
        <w:t>Plasmodium falciparum</w:t>
      </w:r>
      <w:r w:rsidRPr="00B84875">
        <w:rPr>
          <w:rFonts w:ascii="Arial" w:hAnsi="Arial" w:cs="Arial"/>
          <w:sz w:val="20"/>
          <w:szCs w:val="20"/>
          <w:lang w:val="en-US"/>
        </w:rPr>
        <w:t xml:space="preserve"> was the only parasite identified, in four patients.</w:t>
      </w:r>
    </w:p>
    <w:p w14:paraId="2D9A3309" w14:textId="77777777" w:rsidR="009F7D31" w:rsidRPr="00B84875" w:rsidRDefault="009F7D31" w:rsidP="009F7D31">
      <w:pPr>
        <w:pStyle w:val="Heading3"/>
        <w:jc w:val="both"/>
        <w:rPr>
          <w:rFonts w:ascii="Arial" w:hAnsi="Arial" w:cs="Arial"/>
          <w:b/>
          <w:color w:val="000000" w:themeColor="text1"/>
          <w:sz w:val="20"/>
          <w:szCs w:val="20"/>
          <w:lang w:val="en-US"/>
        </w:rPr>
      </w:pPr>
      <w:r w:rsidRPr="00B84875">
        <w:rPr>
          <w:rFonts w:ascii="Arial" w:hAnsi="Arial" w:cs="Arial"/>
          <w:b/>
          <w:color w:val="000000" w:themeColor="text1"/>
          <w:sz w:val="20"/>
          <w:szCs w:val="20"/>
          <w:lang w:val="en-US"/>
        </w:rPr>
        <w:t>Antimicrobial prescribing patterns</w:t>
      </w:r>
    </w:p>
    <w:p w14:paraId="0FA4A80E" w14:textId="77777777" w:rsidR="009F7D31" w:rsidRPr="00B84875" w:rsidRDefault="009F7D31" w:rsidP="009F7D31">
      <w:pPr>
        <w:pStyle w:val="NormalWeb"/>
        <w:jc w:val="both"/>
        <w:rPr>
          <w:rFonts w:ascii="Arial" w:hAnsi="Arial" w:cs="Arial"/>
          <w:sz w:val="20"/>
          <w:szCs w:val="20"/>
          <w:lang w:val="en-US"/>
        </w:rPr>
      </w:pPr>
      <w:r w:rsidRPr="00B84875">
        <w:rPr>
          <w:rFonts w:ascii="Arial" w:hAnsi="Arial" w:cs="Arial"/>
          <w:sz w:val="20"/>
          <w:szCs w:val="20"/>
          <w:lang w:val="en-US"/>
        </w:rPr>
        <w:t>Antibiotics were the most frequently prescribed antimicrobial class (90.6%), followed by antiparasitic drugs (7.4%) and antituberculosis drugs (3.7%). Dual therapy was predominant (46.3%), followed by monotherapy (40.7%).</w:t>
      </w:r>
    </w:p>
    <w:p w14:paraId="3ACFD503" w14:textId="77777777" w:rsidR="009F7D31" w:rsidRPr="00B84875" w:rsidRDefault="009F7D31" w:rsidP="009F7D31">
      <w:pPr>
        <w:pStyle w:val="NormalWeb"/>
        <w:jc w:val="both"/>
        <w:rPr>
          <w:rFonts w:ascii="Arial" w:hAnsi="Arial" w:cs="Arial"/>
          <w:sz w:val="20"/>
          <w:szCs w:val="20"/>
          <w:lang w:val="en-US"/>
        </w:rPr>
      </w:pPr>
      <w:r w:rsidRPr="00B84875">
        <w:rPr>
          <w:rFonts w:ascii="Arial" w:hAnsi="Arial" w:cs="Arial"/>
          <w:sz w:val="20"/>
          <w:szCs w:val="20"/>
          <w:lang w:val="en-US"/>
        </w:rPr>
        <w:t xml:space="preserve">Third-generation cephalosporins were the most prescribed antibiotic class (87.0%), with cefotaxime (46.3%) and ceftriaxone (40.7%) being the most commonly used agents. Other frequently used antibiotics included </w:t>
      </w:r>
      <w:proofErr w:type="spellStart"/>
      <w:r w:rsidRPr="00B84875">
        <w:rPr>
          <w:rFonts w:ascii="Arial" w:hAnsi="Arial" w:cs="Arial"/>
          <w:sz w:val="20"/>
          <w:szCs w:val="20"/>
          <w:lang w:val="en-US"/>
        </w:rPr>
        <w:t>penicillins</w:t>
      </w:r>
      <w:proofErr w:type="spellEnd"/>
      <w:r w:rsidRPr="00B84875">
        <w:rPr>
          <w:rFonts w:ascii="Arial" w:hAnsi="Arial" w:cs="Arial"/>
          <w:sz w:val="20"/>
          <w:szCs w:val="20"/>
          <w:lang w:val="en-US"/>
        </w:rPr>
        <w:t xml:space="preserve"> (13%), quinolones (9.2%), aminoglycosides (48.1%), imipenem (18.5%), and vancomycin (29.6%).</w:t>
      </w:r>
    </w:p>
    <w:p w14:paraId="522BA935" w14:textId="77777777" w:rsidR="009F7D31" w:rsidRPr="00B84875" w:rsidRDefault="009F7D31" w:rsidP="009F7D31">
      <w:pPr>
        <w:pStyle w:val="NormalWeb"/>
        <w:jc w:val="both"/>
        <w:rPr>
          <w:rFonts w:ascii="Arial" w:hAnsi="Arial" w:cs="Arial"/>
          <w:sz w:val="20"/>
          <w:szCs w:val="20"/>
          <w:lang w:val="en-US"/>
        </w:rPr>
      </w:pPr>
      <w:r w:rsidRPr="00B84875">
        <w:rPr>
          <w:rFonts w:ascii="Arial" w:hAnsi="Arial" w:cs="Arial"/>
          <w:sz w:val="20"/>
          <w:szCs w:val="20"/>
          <w:lang w:val="en-US"/>
        </w:rPr>
        <w:t>Most antimicrobial prescriptions were empirical, reflecting limited access to bacteriological testing and delays in obtaining laboratory results.</w:t>
      </w:r>
    </w:p>
    <w:p w14:paraId="70073D47" w14:textId="77777777" w:rsidR="00B84875" w:rsidRPr="00B84875" w:rsidRDefault="00B84875" w:rsidP="00B84875">
      <w:pPr>
        <w:pStyle w:val="Heading2"/>
        <w:rPr>
          <w:rFonts w:ascii="Arial" w:hAnsi="Arial" w:cs="Arial"/>
          <w:color w:val="000000" w:themeColor="text1"/>
          <w:sz w:val="22"/>
          <w:szCs w:val="22"/>
          <w:lang w:val="en-US"/>
        </w:rPr>
      </w:pPr>
      <w:r w:rsidRPr="00B84875">
        <w:rPr>
          <w:rStyle w:val="Strong"/>
          <w:rFonts w:ascii="Arial" w:hAnsi="Arial" w:cs="Arial"/>
          <w:color w:val="000000" w:themeColor="text1"/>
          <w:sz w:val="22"/>
          <w:szCs w:val="22"/>
          <w:lang w:val="en-US"/>
        </w:rPr>
        <w:lastRenderedPageBreak/>
        <w:t>DISCUSSION</w:t>
      </w:r>
    </w:p>
    <w:p w14:paraId="60C6C3A1" w14:textId="1ABBEC1D" w:rsidR="00B84875" w:rsidRDefault="00B84875" w:rsidP="00B84875">
      <w:pPr>
        <w:pStyle w:val="NormalWeb"/>
        <w:jc w:val="both"/>
        <w:rPr>
          <w:rFonts w:ascii="Arial" w:hAnsi="Arial" w:cs="Arial"/>
          <w:sz w:val="20"/>
          <w:szCs w:val="20"/>
          <w:lang w:val="en-US"/>
        </w:rPr>
      </w:pPr>
      <w:r w:rsidRPr="00B84875">
        <w:rPr>
          <w:rFonts w:ascii="Arial" w:hAnsi="Arial" w:cs="Arial"/>
          <w:sz w:val="20"/>
          <w:szCs w:val="20"/>
          <w:lang w:val="en-US"/>
        </w:rPr>
        <w:t xml:space="preserve">This point prevalence survey represents one of the few pediatric hospital-based assessments of antimicrobial use and resistance in Senegal. Using the standardized Global-PPS methodology, we documented a high rate of antibiotic exposure (65.9%) among hospitalized children, </w:t>
      </w:r>
      <w:r w:rsidRPr="001C44BF">
        <w:rPr>
          <w:rFonts w:ascii="Arial" w:hAnsi="Arial" w:cs="Arial"/>
          <w:sz w:val="20"/>
          <w:szCs w:val="20"/>
          <w:highlight w:val="yellow"/>
          <w:lang w:val="en-US"/>
        </w:rPr>
        <w:t>co</w:t>
      </w:r>
      <w:r w:rsidR="001C44BF" w:rsidRPr="001C44BF">
        <w:rPr>
          <w:rFonts w:ascii="Arial" w:hAnsi="Arial" w:cs="Arial"/>
          <w:sz w:val="20"/>
          <w:szCs w:val="20"/>
          <w:highlight w:val="yellow"/>
          <w:lang w:val="en-US"/>
        </w:rPr>
        <w:t xml:space="preserve">mparable to </w:t>
      </w:r>
      <w:r w:rsidRPr="001C44BF">
        <w:rPr>
          <w:rFonts w:ascii="Arial" w:hAnsi="Arial" w:cs="Arial"/>
          <w:sz w:val="20"/>
          <w:szCs w:val="20"/>
          <w:highlight w:val="yellow"/>
          <w:lang w:val="en-US"/>
        </w:rPr>
        <w:t xml:space="preserve">findings from other sub-Saharan African countries </w:t>
      </w:r>
      <w:r w:rsidRPr="001C44BF">
        <w:rPr>
          <w:rFonts w:ascii="Arial" w:hAnsi="Arial" w:cs="Arial"/>
          <w:b/>
          <w:sz w:val="20"/>
          <w:szCs w:val="20"/>
          <w:highlight w:val="yellow"/>
          <w:lang w:val="en-US"/>
        </w:rPr>
        <w:t>[1</w:t>
      </w:r>
      <w:r w:rsidR="001C44BF">
        <w:rPr>
          <w:rFonts w:ascii="Arial" w:hAnsi="Arial" w:cs="Arial"/>
          <w:b/>
          <w:sz w:val="20"/>
          <w:szCs w:val="20"/>
          <w:highlight w:val="yellow"/>
          <w:lang w:val="en-US"/>
        </w:rPr>
        <w:t>2</w:t>
      </w:r>
      <w:r w:rsidRPr="001C44BF">
        <w:rPr>
          <w:rFonts w:ascii="Arial" w:hAnsi="Arial" w:cs="Arial"/>
          <w:b/>
          <w:sz w:val="20"/>
          <w:szCs w:val="20"/>
          <w:highlight w:val="yellow"/>
          <w:lang w:val="en-US"/>
        </w:rPr>
        <w:t>,1</w:t>
      </w:r>
      <w:r w:rsidR="001C44BF">
        <w:rPr>
          <w:rFonts w:ascii="Arial" w:hAnsi="Arial" w:cs="Arial"/>
          <w:b/>
          <w:sz w:val="20"/>
          <w:szCs w:val="20"/>
          <w:highlight w:val="yellow"/>
          <w:lang w:val="en-US"/>
        </w:rPr>
        <w:t>3</w:t>
      </w:r>
      <w:r w:rsidRPr="001C44BF">
        <w:rPr>
          <w:rFonts w:ascii="Arial" w:hAnsi="Arial" w:cs="Arial"/>
          <w:b/>
          <w:sz w:val="20"/>
          <w:szCs w:val="20"/>
          <w:highlight w:val="yellow"/>
          <w:lang w:val="en-US"/>
        </w:rPr>
        <w:t>]</w:t>
      </w:r>
      <w:r w:rsidRPr="001C44BF">
        <w:rPr>
          <w:rFonts w:ascii="Arial" w:hAnsi="Arial" w:cs="Arial"/>
          <w:sz w:val="20"/>
          <w:szCs w:val="20"/>
          <w:highlight w:val="yellow"/>
          <w:lang w:val="en-US"/>
        </w:rPr>
        <w:t>.</w:t>
      </w:r>
    </w:p>
    <w:p w14:paraId="444BD4A0" w14:textId="0F1CB899" w:rsidR="00B84875" w:rsidRPr="00B84875" w:rsidRDefault="00B84875" w:rsidP="00B84875">
      <w:pPr>
        <w:pStyle w:val="Heading3"/>
        <w:rPr>
          <w:rFonts w:ascii="Arial" w:hAnsi="Arial" w:cs="Arial"/>
          <w:b/>
          <w:color w:val="000000" w:themeColor="text1"/>
          <w:sz w:val="20"/>
          <w:szCs w:val="20"/>
          <w:lang w:val="en-US"/>
        </w:rPr>
      </w:pPr>
      <w:r w:rsidRPr="00B84875">
        <w:rPr>
          <w:rFonts w:ascii="Arial" w:hAnsi="Arial" w:cs="Arial"/>
          <w:b/>
          <w:color w:val="000000" w:themeColor="text1"/>
          <w:sz w:val="20"/>
          <w:szCs w:val="20"/>
          <w:lang w:val="en-US"/>
        </w:rPr>
        <w:t>Antimicrobial use and prescribing patterns</w:t>
      </w:r>
    </w:p>
    <w:p w14:paraId="2C28CF80" w14:textId="76959453" w:rsidR="00B84875" w:rsidRPr="00530ECB" w:rsidRDefault="00530ECB" w:rsidP="00B84875">
      <w:pPr>
        <w:pStyle w:val="NormalWeb"/>
        <w:jc w:val="both"/>
        <w:rPr>
          <w:rFonts w:ascii="Arial" w:hAnsi="Arial" w:cs="Arial"/>
          <w:sz w:val="20"/>
          <w:szCs w:val="20"/>
          <w:lang w:val="en-US"/>
        </w:rPr>
      </w:pPr>
      <w:r w:rsidRPr="00530ECB">
        <w:rPr>
          <w:rFonts w:ascii="Arial" w:hAnsi="Arial" w:cs="Arial"/>
          <w:sz w:val="20"/>
          <w:szCs w:val="20"/>
          <w:highlight w:val="yellow"/>
          <w:lang w:val="en-US"/>
        </w:rPr>
        <w:t xml:space="preserve">Antibiotics accounted for 90.6% of all antimicrobial prescriptions, with third-generation cephalosporins (mainly cefotaxime and ceftriaxone) being the most frequently used. This reliance on broad-spectrum agents reflects a pattern consistently observed in pediatric hospitals across West Africa, including Ghana, Nigeria, and Côte d’Ivoire, where third-generation cephalosporins represent over 70% of inpatient antibiotic use </w:t>
      </w:r>
      <w:r w:rsidRPr="00530ECB">
        <w:rPr>
          <w:rFonts w:ascii="Arial" w:hAnsi="Arial" w:cs="Arial"/>
          <w:b/>
          <w:sz w:val="20"/>
          <w:szCs w:val="20"/>
          <w:highlight w:val="yellow"/>
          <w:lang w:val="en-US"/>
        </w:rPr>
        <w:t>[5,6,8,14]</w:t>
      </w:r>
      <w:r w:rsidRPr="00530ECB">
        <w:rPr>
          <w:rFonts w:ascii="Arial" w:hAnsi="Arial" w:cs="Arial"/>
          <w:sz w:val="20"/>
          <w:szCs w:val="20"/>
          <w:highlight w:val="yellow"/>
          <w:lang w:val="en-US"/>
        </w:rPr>
        <w:t xml:space="preserve">. </w:t>
      </w:r>
      <w:r w:rsidR="00B84875" w:rsidRPr="00530ECB">
        <w:rPr>
          <w:rFonts w:ascii="Arial" w:hAnsi="Arial" w:cs="Arial"/>
          <w:sz w:val="20"/>
          <w:szCs w:val="20"/>
          <w:lang w:val="en-US"/>
        </w:rPr>
        <w:t>This frequent use may be related to the empirical management of severe infections, limited diagnostic support, and perceived efficacy of cephalosporins in pediatric settings.</w:t>
      </w:r>
    </w:p>
    <w:p w14:paraId="771F336A" w14:textId="3C548BF3" w:rsidR="006568EC" w:rsidRPr="00530ECB" w:rsidRDefault="00B84875" w:rsidP="00530ECB">
      <w:pPr>
        <w:pStyle w:val="NormalWeb"/>
        <w:jc w:val="both"/>
        <w:rPr>
          <w:rFonts w:ascii="Arial" w:hAnsi="Arial" w:cs="Arial"/>
          <w:sz w:val="20"/>
          <w:szCs w:val="20"/>
          <w:lang w:val="en-US"/>
        </w:rPr>
      </w:pPr>
      <w:r w:rsidRPr="00B84875">
        <w:rPr>
          <w:rFonts w:ascii="Arial" w:hAnsi="Arial" w:cs="Arial"/>
          <w:sz w:val="20"/>
          <w:szCs w:val="20"/>
          <w:lang w:val="en-US"/>
        </w:rPr>
        <w:t xml:space="preserve">Combination therapy was common (46.3%), often involving cephalosporins with aminoglycosides or vancomycin. While combination regimens can broaden antimicrobial coverage, their empirical use increases selective pressure and risk of resistance emergence </w:t>
      </w:r>
      <w:r w:rsidRPr="00B84875">
        <w:rPr>
          <w:rFonts w:ascii="Arial" w:hAnsi="Arial" w:cs="Arial"/>
          <w:b/>
          <w:sz w:val="20"/>
          <w:szCs w:val="20"/>
          <w:lang w:val="en-US"/>
        </w:rPr>
        <w:t>[</w:t>
      </w:r>
      <w:r w:rsidR="00530ECB">
        <w:rPr>
          <w:rFonts w:ascii="Arial" w:hAnsi="Arial" w:cs="Arial"/>
          <w:b/>
          <w:sz w:val="20"/>
          <w:szCs w:val="20"/>
          <w:lang w:val="en-US"/>
        </w:rPr>
        <w:t>7</w:t>
      </w:r>
      <w:r w:rsidRPr="00B84875">
        <w:rPr>
          <w:rFonts w:ascii="Arial" w:hAnsi="Arial" w:cs="Arial"/>
          <w:b/>
          <w:sz w:val="20"/>
          <w:szCs w:val="20"/>
          <w:lang w:val="en-US"/>
        </w:rPr>
        <w:t>]</w:t>
      </w:r>
      <w:r w:rsidRPr="00B84875">
        <w:rPr>
          <w:rFonts w:ascii="Arial" w:hAnsi="Arial" w:cs="Arial"/>
          <w:sz w:val="20"/>
          <w:szCs w:val="20"/>
          <w:lang w:val="en-US"/>
        </w:rPr>
        <w:t>.</w:t>
      </w:r>
      <w:r w:rsidR="00530ECB">
        <w:rPr>
          <w:rFonts w:ascii="Arial" w:hAnsi="Arial" w:cs="Arial"/>
          <w:sz w:val="20"/>
          <w:szCs w:val="20"/>
          <w:lang w:val="en-US"/>
        </w:rPr>
        <w:t xml:space="preserve"> </w:t>
      </w:r>
      <w:r w:rsidR="006568EC" w:rsidRPr="006568EC">
        <w:rPr>
          <w:highlight w:val="yellow"/>
          <w:lang w:val="en-US"/>
        </w:rPr>
        <w:t>The frequent prescription of carbapenems (18.5%) and vancomycin (29.6%)</w:t>
      </w:r>
      <w:r w:rsidR="00530ECB">
        <w:rPr>
          <w:highlight w:val="yellow"/>
          <w:lang w:val="en-US"/>
        </w:rPr>
        <w:t xml:space="preserve"> </w:t>
      </w:r>
      <w:r w:rsidR="006568EC" w:rsidRPr="006568EC">
        <w:rPr>
          <w:highlight w:val="yellow"/>
          <w:lang w:val="en-US"/>
        </w:rPr>
        <w:t>agents usually reserved for multidrug-resistant infections</w:t>
      </w:r>
      <w:r w:rsidR="00530ECB">
        <w:rPr>
          <w:highlight w:val="yellow"/>
          <w:lang w:val="en-US"/>
        </w:rPr>
        <w:t xml:space="preserve"> </w:t>
      </w:r>
      <w:r w:rsidR="006568EC" w:rsidRPr="006568EC">
        <w:rPr>
          <w:highlight w:val="yellow"/>
          <w:lang w:val="en-US"/>
        </w:rPr>
        <w:t xml:space="preserve">suggests potential overuse of last-resort drugs, a pattern similarly reported in Global-PPS data from Mali, Ghana, and Tanzania </w:t>
      </w:r>
      <w:r w:rsidR="006568EC" w:rsidRPr="00E00EF7">
        <w:rPr>
          <w:b/>
          <w:highlight w:val="yellow"/>
          <w:lang w:val="en-US"/>
        </w:rPr>
        <w:t>[1</w:t>
      </w:r>
      <w:r w:rsidR="00530ECB" w:rsidRPr="00E00EF7">
        <w:rPr>
          <w:b/>
          <w:highlight w:val="yellow"/>
          <w:lang w:val="en-US"/>
        </w:rPr>
        <w:t>5</w:t>
      </w:r>
      <w:r w:rsidR="00E00EF7">
        <w:rPr>
          <w:b/>
          <w:highlight w:val="yellow"/>
          <w:lang w:val="en-US"/>
        </w:rPr>
        <w:t>-</w:t>
      </w:r>
      <w:r w:rsidR="006568EC" w:rsidRPr="00E00EF7">
        <w:rPr>
          <w:b/>
          <w:highlight w:val="yellow"/>
          <w:lang w:val="en-US"/>
        </w:rPr>
        <w:t>17]</w:t>
      </w:r>
      <w:r w:rsidR="006568EC" w:rsidRPr="006568EC">
        <w:rPr>
          <w:highlight w:val="yellow"/>
          <w:lang w:val="en-US"/>
        </w:rPr>
        <w:t>.</w:t>
      </w:r>
    </w:p>
    <w:p w14:paraId="708BBB29" w14:textId="77777777" w:rsidR="00B84875" w:rsidRPr="00B84875" w:rsidRDefault="00B84875" w:rsidP="00B84875">
      <w:pPr>
        <w:pStyle w:val="Heading3"/>
        <w:rPr>
          <w:rFonts w:ascii="Arial" w:hAnsi="Arial" w:cs="Arial"/>
          <w:b/>
          <w:color w:val="000000" w:themeColor="text1"/>
          <w:sz w:val="20"/>
          <w:szCs w:val="20"/>
          <w:lang w:val="en-US"/>
        </w:rPr>
      </w:pPr>
      <w:r w:rsidRPr="00B84875">
        <w:rPr>
          <w:rFonts w:ascii="Arial" w:hAnsi="Arial" w:cs="Arial"/>
          <w:b/>
          <w:color w:val="000000" w:themeColor="text1"/>
          <w:sz w:val="20"/>
          <w:szCs w:val="20"/>
          <w:lang w:val="en-US"/>
        </w:rPr>
        <w:t>Microbiological testing and diagnostic stewardship</w:t>
      </w:r>
    </w:p>
    <w:p w14:paraId="23BE2EBF" w14:textId="27542F62" w:rsidR="009D26A5" w:rsidRPr="00EB3260" w:rsidRDefault="006568EC" w:rsidP="009D26A5">
      <w:pPr>
        <w:pStyle w:val="NormalWeb"/>
        <w:jc w:val="both"/>
        <w:rPr>
          <w:rFonts w:ascii="Arial" w:hAnsi="Arial" w:cs="Arial"/>
          <w:sz w:val="20"/>
          <w:szCs w:val="20"/>
          <w:lang w:val="en-US"/>
        </w:rPr>
      </w:pPr>
      <w:r w:rsidRPr="00EB3260">
        <w:rPr>
          <w:rFonts w:ascii="Arial" w:hAnsi="Arial" w:cs="Arial"/>
          <w:sz w:val="20"/>
          <w:szCs w:val="20"/>
          <w:highlight w:val="yellow"/>
          <w:lang w:val="en-US"/>
        </w:rPr>
        <w:t>Only 40.7% of patients receiving antimicrobials had microbiological samples collected, and fewer than half yielded positive cultures. This limited diagnostic confirmation highlights persistent gaps in diagnostic stewardship, leading to predominantly empirical prescribing. Comparable findings have been described in Global-PPS studies from Nigeria and Mali, where fewer than 30</w:t>
      </w:r>
      <w:r w:rsidR="000F0B1D" w:rsidRPr="00EB3260">
        <w:rPr>
          <w:rFonts w:ascii="Arial" w:hAnsi="Arial" w:cs="Arial"/>
          <w:sz w:val="20"/>
          <w:szCs w:val="20"/>
          <w:highlight w:val="yellow"/>
          <w:lang w:val="en-US"/>
        </w:rPr>
        <w:t>-</w:t>
      </w:r>
      <w:r w:rsidRPr="00EB3260">
        <w:rPr>
          <w:rFonts w:ascii="Arial" w:hAnsi="Arial" w:cs="Arial"/>
          <w:sz w:val="20"/>
          <w:szCs w:val="20"/>
          <w:highlight w:val="yellow"/>
          <w:lang w:val="en-US"/>
        </w:rPr>
        <w:t xml:space="preserve">40% of treated patients had laboratory documentation of infection </w:t>
      </w:r>
      <w:r w:rsidRPr="00EB3260">
        <w:rPr>
          <w:rFonts w:ascii="Arial" w:hAnsi="Arial" w:cs="Arial"/>
          <w:b/>
          <w:sz w:val="20"/>
          <w:szCs w:val="20"/>
          <w:highlight w:val="yellow"/>
          <w:lang w:val="en-US"/>
        </w:rPr>
        <w:t>[18]</w:t>
      </w:r>
      <w:r w:rsidRPr="00EB3260">
        <w:rPr>
          <w:rFonts w:ascii="Arial" w:hAnsi="Arial" w:cs="Arial"/>
          <w:sz w:val="20"/>
          <w:szCs w:val="20"/>
          <w:highlight w:val="yellow"/>
          <w:lang w:val="en-US"/>
        </w:rPr>
        <w:t>. The lack of rapid diagnostics, long turnaround times, and cost constraints remain major barriers to evidence-based prescribing in resource-limited settings</w:t>
      </w:r>
      <w:r w:rsidR="008A2878" w:rsidRPr="00EB3260">
        <w:rPr>
          <w:rFonts w:ascii="Arial" w:hAnsi="Arial" w:cs="Arial"/>
          <w:sz w:val="20"/>
          <w:szCs w:val="20"/>
          <w:highlight w:val="yellow"/>
          <w:lang w:val="en-US"/>
        </w:rPr>
        <w:t xml:space="preserve"> </w:t>
      </w:r>
      <w:r w:rsidR="008A2878" w:rsidRPr="00EB3260">
        <w:rPr>
          <w:rFonts w:ascii="Arial" w:hAnsi="Arial" w:cs="Arial"/>
          <w:b/>
          <w:sz w:val="20"/>
          <w:szCs w:val="20"/>
          <w:highlight w:val="yellow"/>
          <w:lang w:val="en-US"/>
        </w:rPr>
        <w:t>[11]</w:t>
      </w:r>
      <w:r w:rsidRPr="00EB3260">
        <w:rPr>
          <w:rFonts w:ascii="Arial" w:hAnsi="Arial" w:cs="Arial"/>
          <w:sz w:val="20"/>
          <w:szCs w:val="20"/>
          <w:highlight w:val="yellow"/>
          <w:lang w:val="en-US"/>
        </w:rPr>
        <w:t>.</w:t>
      </w:r>
      <w:r w:rsidR="00DB098A">
        <w:rPr>
          <w:rFonts w:ascii="Arial" w:hAnsi="Arial" w:cs="Arial"/>
          <w:sz w:val="20"/>
          <w:szCs w:val="20"/>
          <w:highlight w:val="yellow"/>
          <w:lang w:val="en-US"/>
        </w:rPr>
        <w:t xml:space="preserve"> </w:t>
      </w:r>
      <w:r w:rsidR="009D26A5" w:rsidRPr="00EB3260">
        <w:rPr>
          <w:rFonts w:ascii="Arial" w:hAnsi="Arial" w:cs="Arial"/>
          <w:sz w:val="20"/>
          <w:szCs w:val="20"/>
          <w:lang w:val="en-US"/>
        </w:rPr>
        <w:t>Strengthening laboratory capacity and ensuring systematic linkage between clinical and microbiological data are essential to improve antibiotic targeting and stewardship interventions.</w:t>
      </w:r>
    </w:p>
    <w:p w14:paraId="51F1EFBA" w14:textId="77777777" w:rsidR="00B84875" w:rsidRPr="00B84875" w:rsidRDefault="00B84875" w:rsidP="00B84875">
      <w:pPr>
        <w:pStyle w:val="Heading3"/>
        <w:rPr>
          <w:rFonts w:ascii="Arial" w:hAnsi="Arial" w:cs="Arial"/>
          <w:b/>
          <w:color w:val="000000" w:themeColor="text1"/>
          <w:sz w:val="20"/>
          <w:szCs w:val="20"/>
          <w:lang w:val="en-US"/>
        </w:rPr>
      </w:pPr>
      <w:r w:rsidRPr="00B84875">
        <w:rPr>
          <w:rFonts w:ascii="Arial" w:hAnsi="Arial" w:cs="Arial"/>
          <w:b/>
          <w:color w:val="000000" w:themeColor="text1"/>
          <w:sz w:val="20"/>
          <w:szCs w:val="20"/>
          <w:lang w:val="en-US"/>
        </w:rPr>
        <w:t>Resistance and isolated pathogens</w:t>
      </w:r>
    </w:p>
    <w:p w14:paraId="4986A01D" w14:textId="23296DC2" w:rsidR="00B84875" w:rsidRDefault="00B84875" w:rsidP="00B84875">
      <w:pPr>
        <w:pStyle w:val="NormalWeb"/>
        <w:jc w:val="both"/>
        <w:rPr>
          <w:rFonts w:ascii="Arial" w:hAnsi="Arial" w:cs="Arial"/>
          <w:sz w:val="20"/>
          <w:szCs w:val="20"/>
          <w:lang w:val="en-US"/>
        </w:rPr>
      </w:pPr>
      <w:r w:rsidRPr="00B84875">
        <w:rPr>
          <w:rFonts w:ascii="Arial" w:hAnsi="Arial" w:cs="Arial"/>
          <w:sz w:val="20"/>
          <w:szCs w:val="20"/>
          <w:lang w:val="en-US"/>
        </w:rPr>
        <w:t>The bacterial species identified (</w:t>
      </w:r>
      <w:r w:rsidRPr="00B84875">
        <w:rPr>
          <w:rStyle w:val="Emphasis"/>
          <w:rFonts w:ascii="Arial" w:hAnsi="Arial" w:cs="Arial"/>
          <w:sz w:val="20"/>
          <w:szCs w:val="20"/>
          <w:lang w:val="en-US"/>
        </w:rPr>
        <w:t>Pseudomonas aeruginosa</w:t>
      </w:r>
      <w:r w:rsidRPr="00B84875">
        <w:rPr>
          <w:rFonts w:ascii="Arial" w:hAnsi="Arial" w:cs="Arial"/>
          <w:sz w:val="20"/>
          <w:szCs w:val="20"/>
          <w:lang w:val="en-US"/>
        </w:rPr>
        <w:t xml:space="preserve">, </w:t>
      </w:r>
      <w:r w:rsidRPr="00B84875">
        <w:rPr>
          <w:rStyle w:val="Emphasis"/>
          <w:rFonts w:ascii="Arial" w:hAnsi="Arial" w:cs="Arial"/>
          <w:sz w:val="20"/>
          <w:szCs w:val="20"/>
          <w:lang w:val="en-US"/>
        </w:rPr>
        <w:t>Staphylococcus aureus</w:t>
      </w:r>
      <w:r w:rsidRPr="00B84875">
        <w:rPr>
          <w:rFonts w:ascii="Arial" w:hAnsi="Arial" w:cs="Arial"/>
          <w:sz w:val="20"/>
          <w:szCs w:val="20"/>
          <w:lang w:val="en-US"/>
        </w:rPr>
        <w:t xml:space="preserve">, </w:t>
      </w:r>
      <w:r w:rsidRPr="00B84875">
        <w:rPr>
          <w:rStyle w:val="Emphasis"/>
          <w:rFonts w:ascii="Arial" w:hAnsi="Arial" w:cs="Arial"/>
          <w:sz w:val="20"/>
          <w:szCs w:val="20"/>
          <w:lang w:val="en-US"/>
        </w:rPr>
        <w:t>Enterobacter spp.</w:t>
      </w:r>
      <w:r w:rsidRPr="00B84875">
        <w:rPr>
          <w:rFonts w:ascii="Arial" w:hAnsi="Arial" w:cs="Arial"/>
          <w:sz w:val="20"/>
          <w:szCs w:val="20"/>
          <w:lang w:val="en-US"/>
        </w:rPr>
        <w:t xml:space="preserve">, </w:t>
      </w:r>
      <w:r w:rsidRPr="00B84875">
        <w:rPr>
          <w:rStyle w:val="Emphasis"/>
          <w:rFonts w:ascii="Arial" w:hAnsi="Arial" w:cs="Arial"/>
          <w:sz w:val="20"/>
          <w:szCs w:val="20"/>
          <w:lang w:val="en-US"/>
        </w:rPr>
        <w:t>Klebsiella pneumoniae</w:t>
      </w:r>
      <w:r w:rsidRPr="00B84875">
        <w:rPr>
          <w:rFonts w:ascii="Arial" w:hAnsi="Arial" w:cs="Arial"/>
          <w:sz w:val="20"/>
          <w:szCs w:val="20"/>
          <w:lang w:val="en-US"/>
        </w:rPr>
        <w:t xml:space="preserve">) are well-known hospital-associated pathogens frequently involved in multidrug-resistant infections </w:t>
      </w:r>
      <w:r w:rsidRPr="00B84875">
        <w:rPr>
          <w:rFonts w:ascii="Arial" w:hAnsi="Arial" w:cs="Arial"/>
          <w:b/>
          <w:sz w:val="20"/>
          <w:szCs w:val="20"/>
          <w:lang w:val="en-US"/>
        </w:rPr>
        <w:t>[1</w:t>
      </w:r>
      <w:r w:rsidR="00DB098A">
        <w:rPr>
          <w:rFonts w:ascii="Arial" w:hAnsi="Arial" w:cs="Arial"/>
          <w:b/>
          <w:sz w:val="20"/>
          <w:szCs w:val="20"/>
          <w:lang w:val="en-US"/>
        </w:rPr>
        <w:t>1</w:t>
      </w:r>
      <w:r w:rsidRPr="00B84875">
        <w:rPr>
          <w:rFonts w:ascii="Arial" w:hAnsi="Arial" w:cs="Arial"/>
          <w:b/>
          <w:sz w:val="20"/>
          <w:szCs w:val="20"/>
          <w:lang w:val="en-US"/>
        </w:rPr>
        <w:t>]</w:t>
      </w:r>
      <w:r w:rsidRPr="00B84875">
        <w:rPr>
          <w:rFonts w:ascii="Arial" w:hAnsi="Arial" w:cs="Arial"/>
          <w:sz w:val="20"/>
          <w:szCs w:val="20"/>
          <w:lang w:val="en-US"/>
        </w:rPr>
        <w:t xml:space="preserve">. The identification of these organisms, including ESBL-producing </w:t>
      </w:r>
      <w:r w:rsidRPr="00B84875">
        <w:rPr>
          <w:rStyle w:val="Emphasis"/>
          <w:rFonts w:ascii="Arial" w:hAnsi="Arial" w:cs="Arial"/>
          <w:sz w:val="20"/>
          <w:szCs w:val="20"/>
          <w:lang w:val="en-US"/>
        </w:rPr>
        <w:t>Enterobacteriaceae</w:t>
      </w:r>
      <w:r w:rsidRPr="00B84875">
        <w:rPr>
          <w:rFonts w:ascii="Arial" w:hAnsi="Arial" w:cs="Arial"/>
          <w:sz w:val="20"/>
          <w:szCs w:val="20"/>
          <w:lang w:val="en-US"/>
        </w:rPr>
        <w:t>, underscores the need for continuous surveillance of resistance patterns and strict infection prevention measures.</w:t>
      </w:r>
    </w:p>
    <w:p w14:paraId="5791AD5C" w14:textId="08593CA4" w:rsidR="006568EC" w:rsidRPr="00413894" w:rsidRDefault="006568EC" w:rsidP="00413894">
      <w:pPr>
        <w:jc w:val="both"/>
        <w:rPr>
          <w:rFonts w:ascii="Arial" w:hAnsi="Arial" w:cs="Arial"/>
          <w:sz w:val="20"/>
          <w:szCs w:val="20"/>
          <w:lang w:val="en-US"/>
        </w:rPr>
      </w:pPr>
      <w:r w:rsidRPr="00413894">
        <w:rPr>
          <w:rFonts w:ascii="Arial" w:hAnsi="Arial" w:cs="Arial"/>
          <w:sz w:val="20"/>
          <w:szCs w:val="20"/>
          <w:lang w:val="en-US"/>
        </w:rPr>
        <w:t>The bacterial species identified</w:t>
      </w:r>
      <w:r w:rsidR="00DB098A" w:rsidRPr="00413894">
        <w:rPr>
          <w:rFonts w:ascii="Arial" w:hAnsi="Arial" w:cs="Arial"/>
          <w:sz w:val="20"/>
          <w:szCs w:val="20"/>
          <w:lang w:val="en-US"/>
        </w:rPr>
        <w:t xml:space="preserve"> (</w:t>
      </w:r>
      <w:r w:rsidRPr="00413894">
        <w:rPr>
          <w:rStyle w:val="Emphasis"/>
          <w:rFonts w:ascii="Arial" w:hAnsi="Arial" w:cs="Arial"/>
          <w:sz w:val="20"/>
          <w:szCs w:val="20"/>
          <w:lang w:val="en-US"/>
        </w:rPr>
        <w:t>Pseudomonas aeruginosa, Staphylococcus aureus, Enterobacter spp.</w:t>
      </w:r>
      <w:r w:rsidRPr="00413894">
        <w:rPr>
          <w:rFonts w:ascii="Arial" w:hAnsi="Arial" w:cs="Arial"/>
          <w:sz w:val="20"/>
          <w:szCs w:val="20"/>
          <w:lang w:val="en-US"/>
        </w:rPr>
        <w:t xml:space="preserve">, and </w:t>
      </w:r>
      <w:r w:rsidRPr="00413894">
        <w:rPr>
          <w:rStyle w:val="Emphasis"/>
          <w:rFonts w:ascii="Arial" w:hAnsi="Arial" w:cs="Arial"/>
          <w:sz w:val="20"/>
          <w:szCs w:val="20"/>
          <w:lang w:val="en-US"/>
        </w:rPr>
        <w:t>Klebsiella pneumonia</w:t>
      </w:r>
      <w:r w:rsidR="00DB098A" w:rsidRPr="00413894">
        <w:rPr>
          <w:rStyle w:val="Emphasis"/>
          <w:rFonts w:ascii="Arial" w:hAnsi="Arial" w:cs="Arial"/>
          <w:sz w:val="20"/>
          <w:szCs w:val="20"/>
          <w:lang w:val="en-US"/>
        </w:rPr>
        <w:t xml:space="preserve">e) </w:t>
      </w:r>
      <w:r w:rsidRPr="00413894">
        <w:rPr>
          <w:rFonts w:ascii="Arial" w:hAnsi="Arial" w:cs="Arial"/>
          <w:sz w:val="20"/>
          <w:szCs w:val="20"/>
          <w:lang w:val="en-US"/>
        </w:rPr>
        <w:t>are well-recognized nosocomial pathogens frequently associated with multidrug resistance</w:t>
      </w:r>
      <w:r w:rsidR="00DB098A" w:rsidRPr="00413894">
        <w:rPr>
          <w:rFonts w:ascii="Arial" w:hAnsi="Arial" w:cs="Arial"/>
          <w:sz w:val="20"/>
          <w:szCs w:val="20"/>
          <w:lang w:val="en-US"/>
        </w:rPr>
        <w:t xml:space="preserve"> </w:t>
      </w:r>
      <w:r w:rsidR="00DB098A" w:rsidRPr="00413894">
        <w:rPr>
          <w:rFonts w:ascii="Arial" w:hAnsi="Arial" w:cs="Arial"/>
          <w:b/>
          <w:sz w:val="20"/>
          <w:szCs w:val="20"/>
          <w:lang w:val="en-US"/>
        </w:rPr>
        <w:t>[11]</w:t>
      </w:r>
      <w:r w:rsidRPr="00413894">
        <w:rPr>
          <w:rFonts w:ascii="Arial" w:hAnsi="Arial" w:cs="Arial"/>
          <w:sz w:val="20"/>
          <w:szCs w:val="20"/>
          <w:lang w:val="en-US"/>
        </w:rPr>
        <w:t xml:space="preserve">. </w:t>
      </w:r>
      <w:r w:rsidRPr="00413894">
        <w:rPr>
          <w:rFonts w:ascii="Arial" w:hAnsi="Arial" w:cs="Arial"/>
          <w:sz w:val="20"/>
          <w:szCs w:val="20"/>
          <w:highlight w:val="yellow"/>
          <w:lang w:val="en-US"/>
        </w:rPr>
        <w:t xml:space="preserve">The detection of extended-spectrum </w:t>
      </w:r>
      <w:r w:rsidRPr="00413894">
        <w:rPr>
          <w:rFonts w:ascii="Arial" w:hAnsi="Arial" w:cs="Arial"/>
          <w:sz w:val="20"/>
          <w:szCs w:val="20"/>
          <w:highlight w:val="yellow"/>
        </w:rPr>
        <w:t>β</w:t>
      </w:r>
      <w:r w:rsidRPr="00413894">
        <w:rPr>
          <w:rFonts w:ascii="Arial" w:hAnsi="Arial" w:cs="Arial"/>
          <w:sz w:val="20"/>
          <w:szCs w:val="20"/>
          <w:highlight w:val="yellow"/>
          <w:lang w:val="en-US"/>
        </w:rPr>
        <w:t xml:space="preserve">-lactamase (ESBL)-producing Enterobacteriaceae is particularly concerning and consistent with data from regional AMR surveillance networks in West Africa, including reports from Dakar, Accra, and Abidjan </w:t>
      </w:r>
      <w:r w:rsidRPr="00413894">
        <w:rPr>
          <w:rFonts w:ascii="Arial" w:hAnsi="Arial" w:cs="Arial"/>
          <w:b/>
          <w:sz w:val="20"/>
          <w:szCs w:val="20"/>
          <w:highlight w:val="yellow"/>
          <w:lang w:val="en-US"/>
        </w:rPr>
        <w:t>[</w:t>
      </w:r>
      <w:r w:rsidR="00044EAB" w:rsidRPr="00413894">
        <w:rPr>
          <w:rFonts w:ascii="Arial" w:hAnsi="Arial" w:cs="Arial"/>
          <w:b/>
          <w:sz w:val="20"/>
          <w:szCs w:val="20"/>
          <w:highlight w:val="yellow"/>
          <w:lang w:val="en-US"/>
        </w:rPr>
        <w:t>19,</w:t>
      </w:r>
      <w:r w:rsidRPr="00413894">
        <w:rPr>
          <w:rFonts w:ascii="Arial" w:hAnsi="Arial" w:cs="Arial"/>
          <w:b/>
          <w:sz w:val="20"/>
          <w:szCs w:val="20"/>
          <w:highlight w:val="yellow"/>
          <w:lang w:val="en-US"/>
        </w:rPr>
        <w:t>2</w:t>
      </w:r>
      <w:r w:rsidR="00044EAB" w:rsidRPr="00413894">
        <w:rPr>
          <w:rFonts w:ascii="Arial" w:hAnsi="Arial" w:cs="Arial"/>
          <w:b/>
          <w:sz w:val="20"/>
          <w:szCs w:val="20"/>
          <w:highlight w:val="yellow"/>
          <w:lang w:val="en-US"/>
        </w:rPr>
        <w:t>0</w:t>
      </w:r>
      <w:r w:rsidRPr="00413894">
        <w:rPr>
          <w:rFonts w:ascii="Arial" w:hAnsi="Arial" w:cs="Arial"/>
          <w:b/>
          <w:sz w:val="20"/>
          <w:szCs w:val="20"/>
          <w:highlight w:val="yellow"/>
          <w:lang w:val="en-US"/>
        </w:rPr>
        <w:t>]</w:t>
      </w:r>
      <w:r w:rsidRPr="00413894">
        <w:rPr>
          <w:rFonts w:ascii="Arial" w:hAnsi="Arial" w:cs="Arial"/>
          <w:sz w:val="20"/>
          <w:szCs w:val="20"/>
          <w:highlight w:val="yellow"/>
          <w:lang w:val="en-US"/>
        </w:rPr>
        <w:t xml:space="preserve">. </w:t>
      </w:r>
      <w:r w:rsidRPr="00413894">
        <w:rPr>
          <w:rFonts w:ascii="Arial" w:hAnsi="Arial" w:cs="Arial"/>
          <w:sz w:val="20"/>
          <w:szCs w:val="20"/>
          <w:highlight w:val="green"/>
          <w:lang w:val="en-US"/>
        </w:rPr>
        <w:t>These findings underscore the urgent need for continuous monitoring of resistance patterns, reinforcement of infection prevention measures, and strict antibiotic stewardship policies.</w:t>
      </w:r>
    </w:p>
    <w:p w14:paraId="4A3ADA90" w14:textId="77777777" w:rsidR="006568EC" w:rsidRDefault="006568EC" w:rsidP="00B84875">
      <w:pPr>
        <w:pStyle w:val="Heading3"/>
        <w:rPr>
          <w:rFonts w:ascii="Arial" w:eastAsia="Times New Roman" w:hAnsi="Arial" w:cs="Arial"/>
          <w:color w:val="auto"/>
          <w:sz w:val="20"/>
          <w:szCs w:val="20"/>
          <w:lang w:val="en-US"/>
        </w:rPr>
      </w:pPr>
    </w:p>
    <w:p w14:paraId="4CB967CE" w14:textId="62E82B3D" w:rsidR="00B84875" w:rsidRDefault="00B84875" w:rsidP="00B84875">
      <w:pPr>
        <w:pStyle w:val="Heading3"/>
        <w:rPr>
          <w:rFonts w:ascii="Arial" w:hAnsi="Arial" w:cs="Arial"/>
          <w:b/>
          <w:color w:val="000000" w:themeColor="text1"/>
          <w:sz w:val="20"/>
          <w:szCs w:val="20"/>
          <w:lang w:val="en-US"/>
        </w:rPr>
      </w:pPr>
      <w:r w:rsidRPr="00B84875">
        <w:rPr>
          <w:rFonts w:ascii="Arial" w:hAnsi="Arial" w:cs="Arial"/>
          <w:b/>
          <w:color w:val="000000" w:themeColor="text1"/>
          <w:sz w:val="20"/>
          <w:szCs w:val="20"/>
          <w:lang w:val="en-US"/>
        </w:rPr>
        <w:t>Comparison with regional and global findings</w:t>
      </w:r>
    </w:p>
    <w:p w14:paraId="7FCFAC48" w14:textId="77777777" w:rsidR="00E05E51" w:rsidRPr="00E05E51" w:rsidRDefault="00E05E51" w:rsidP="00E05E51">
      <w:pPr>
        <w:rPr>
          <w:lang w:val="en-US"/>
        </w:rPr>
      </w:pPr>
    </w:p>
    <w:p w14:paraId="76B35B2F" w14:textId="462EB907" w:rsidR="006568EC" w:rsidRPr="006568EC" w:rsidRDefault="006568EC" w:rsidP="00E05E51">
      <w:pPr>
        <w:jc w:val="both"/>
        <w:rPr>
          <w:lang w:val="en-US"/>
        </w:rPr>
      </w:pPr>
      <w:r w:rsidRPr="00E05E51">
        <w:rPr>
          <w:rFonts w:ascii="Arial" w:hAnsi="Arial" w:cs="Arial"/>
          <w:sz w:val="20"/>
          <w:szCs w:val="20"/>
          <w:highlight w:val="yellow"/>
          <w:lang w:val="en-US"/>
        </w:rPr>
        <w:t xml:space="preserve">Our results align with other Global-PPS analyses in West Africa, which consistently document high use of broad-spectrum antibiotics and limited microbiological confirmation </w:t>
      </w:r>
      <w:r w:rsidRPr="00EA1AE0">
        <w:rPr>
          <w:rFonts w:ascii="Arial" w:hAnsi="Arial" w:cs="Arial"/>
          <w:b/>
          <w:sz w:val="20"/>
          <w:szCs w:val="20"/>
          <w:highlight w:val="yellow"/>
          <w:lang w:val="en-US"/>
        </w:rPr>
        <w:t>[</w:t>
      </w:r>
      <w:r w:rsidR="00E05E51" w:rsidRPr="00EA1AE0">
        <w:rPr>
          <w:rFonts w:ascii="Arial" w:hAnsi="Arial" w:cs="Arial"/>
          <w:b/>
          <w:sz w:val="20"/>
          <w:szCs w:val="20"/>
          <w:highlight w:val="yellow"/>
          <w:lang w:val="en-US"/>
        </w:rPr>
        <w:t>5</w:t>
      </w:r>
      <w:r w:rsidRPr="00EA1AE0">
        <w:rPr>
          <w:rFonts w:ascii="Arial" w:hAnsi="Arial" w:cs="Arial"/>
          <w:b/>
          <w:sz w:val="20"/>
          <w:szCs w:val="20"/>
          <w:highlight w:val="yellow"/>
          <w:lang w:val="en-US"/>
        </w:rPr>
        <w:t>,</w:t>
      </w:r>
      <w:r w:rsidR="00E05E51" w:rsidRPr="00EA1AE0">
        <w:rPr>
          <w:rFonts w:ascii="Arial" w:hAnsi="Arial" w:cs="Arial"/>
          <w:b/>
          <w:sz w:val="20"/>
          <w:szCs w:val="20"/>
          <w:highlight w:val="yellow"/>
          <w:lang w:val="en-US"/>
        </w:rPr>
        <w:t>6</w:t>
      </w:r>
      <w:r w:rsidRPr="00EA1AE0">
        <w:rPr>
          <w:rFonts w:ascii="Arial" w:hAnsi="Arial" w:cs="Arial"/>
          <w:b/>
          <w:sz w:val="20"/>
          <w:szCs w:val="20"/>
          <w:highlight w:val="yellow"/>
          <w:lang w:val="en-US"/>
        </w:rPr>
        <w:t>,17</w:t>
      </w:r>
      <w:proofErr w:type="gramStart"/>
      <w:r w:rsidRPr="00EA1AE0">
        <w:rPr>
          <w:rFonts w:ascii="Arial" w:hAnsi="Arial" w:cs="Arial"/>
          <w:b/>
          <w:sz w:val="20"/>
          <w:szCs w:val="20"/>
          <w:highlight w:val="yellow"/>
          <w:lang w:val="en-US"/>
        </w:rPr>
        <w:t>]</w:t>
      </w:r>
      <w:r w:rsidR="00EA1AE0">
        <w:rPr>
          <w:rFonts w:ascii="Arial" w:hAnsi="Arial" w:cs="Arial"/>
          <w:sz w:val="20"/>
          <w:szCs w:val="20"/>
          <w:highlight w:val="yellow"/>
          <w:lang w:val="en-US"/>
        </w:rPr>
        <w:t xml:space="preserve"> </w:t>
      </w:r>
      <w:r w:rsidRPr="00E05E51">
        <w:rPr>
          <w:rFonts w:ascii="Arial" w:hAnsi="Arial" w:cs="Arial"/>
          <w:sz w:val="20"/>
          <w:szCs w:val="20"/>
          <w:highlight w:val="yellow"/>
          <w:lang w:val="en-US"/>
        </w:rPr>
        <w:t>.</w:t>
      </w:r>
      <w:proofErr w:type="gramEnd"/>
      <w:r w:rsidRPr="00E05E51">
        <w:rPr>
          <w:rFonts w:ascii="Arial" w:hAnsi="Arial" w:cs="Arial"/>
          <w:sz w:val="20"/>
          <w:szCs w:val="20"/>
          <w:highlight w:val="yellow"/>
          <w:lang w:val="en-US"/>
        </w:rPr>
        <w:t xml:space="preserve"> The antimicrobial use rate at Albert Royer Hospital (65.9%) was slightly lower than the 70</w:t>
      </w:r>
      <w:r w:rsidR="00504AB1" w:rsidRPr="00E05E51">
        <w:rPr>
          <w:rFonts w:ascii="Arial" w:hAnsi="Arial" w:cs="Arial"/>
          <w:sz w:val="20"/>
          <w:szCs w:val="20"/>
          <w:highlight w:val="yellow"/>
          <w:lang w:val="en-US"/>
        </w:rPr>
        <w:t>-</w:t>
      </w:r>
      <w:r w:rsidRPr="00E05E51">
        <w:rPr>
          <w:rFonts w:ascii="Arial" w:hAnsi="Arial" w:cs="Arial"/>
          <w:sz w:val="20"/>
          <w:szCs w:val="20"/>
          <w:highlight w:val="yellow"/>
          <w:lang w:val="en-US"/>
        </w:rPr>
        <w:t xml:space="preserve">80% range reported in multi-country Global-PPS studies </w:t>
      </w:r>
      <w:r w:rsidRPr="00EA1AE0">
        <w:rPr>
          <w:rFonts w:ascii="Arial" w:hAnsi="Arial" w:cs="Arial"/>
          <w:b/>
          <w:sz w:val="20"/>
          <w:szCs w:val="20"/>
          <w:highlight w:val="yellow"/>
          <w:lang w:val="en-US"/>
        </w:rPr>
        <w:t>[1</w:t>
      </w:r>
      <w:r w:rsidR="00E05E51" w:rsidRPr="00EA1AE0">
        <w:rPr>
          <w:rFonts w:ascii="Arial" w:hAnsi="Arial" w:cs="Arial"/>
          <w:b/>
          <w:sz w:val="20"/>
          <w:szCs w:val="20"/>
          <w:highlight w:val="yellow"/>
          <w:lang w:val="en-US"/>
        </w:rPr>
        <w:t>1</w:t>
      </w:r>
      <w:r w:rsidRPr="00EA1AE0">
        <w:rPr>
          <w:rFonts w:ascii="Arial" w:hAnsi="Arial" w:cs="Arial"/>
          <w:b/>
          <w:sz w:val="20"/>
          <w:szCs w:val="20"/>
          <w:highlight w:val="yellow"/>
          <w:lang w:val="en-US"/>
        </w:rPr>
        <w:t>,</w:t>
      </w:r>
      <w:r w:rsidR="00E05E51" w:rsidRPr="00EA1AE0">
        <w:rPr>
          <w:rFonts w:ascii="Arial" w:hAnsi="Arial" w:cs="Arial"/>
          <w:b/>
          <w:sz w:val="20"/>
          <w:szCs w:val="20"/>
          <w:highlight w:val="yellow"/>
          <w:lang w:val="en-US"/>
        </w:rPr>
        <w:t>21,22</w:t>
      </w:r>
      <w:r w:rsidRPr="00EA1AE0">
        <w:rPr>
          <w:rFonts w:ascii="Arial" w:hAnsi="Arial" w:cs="Arial"/>
          <w:b/>
          <w:sz w:val="20"/>
          <w:szCs w:val="20"/>
          <w:highlight w:val="yellow"/>
          <w:lang w:val="en-US"/>
        </w:rPr>
        <w:t>]</w:t>
      </w:r>
      <w:r w:rsidRPr="00E05E51">
        <w:rPr>
          <w:rFonts w:ascii="Arial" w:hAnsi="Arial" w:cs="Arial"/>
          <w:sz w:val="20"/>
          <w:szCs w:val="20"/>
          <w:highlight w:val="yellow"/>
          <w:lang w:val="en-US"/>
        </w:rPr>
        <w:t>, possibly reflecting growing awareness of stewardship principles at the institutional level</w:t>
      </w:r>
      <w:r w:rsidRPr="006568EC">
        <w:rPr>
          <w:highlight w:val="yellow"/>
          <w:lang w:val="en-US"/>
        </w:rPr>
        <w:t>.</w:t>
      </w:r>
    </w:p>
    <w:p w14:paraId="79DC33B7" w14:textId="77777777" w:rsidR="00E05E51" w:rsidRDefault="00E05E51" w:rsidP="00B84875">
      <w:pPr>
        <w:pStyle w:val="Heading3"/>
        <w:rPr>
          <w:rFonts w:ascii="Arial" w:eastAsia="Times New Roman" w:hAnsi="Arial" w:cs="Arial"/>
          <w:color w:val="auto"/>
          <w:sz w:val="20"/>
          <w:szCs w:val="20"/>
          <w:lang w:val="en-US"/>
        </w:rPr>
      </w:pPr>
    </w:p>
    <w:p w14:paraId="6D7166FA" w14:textId="5D11404A" w:rsidR="00B84875" w:rsidRPr="00B84875" w:rsidRDefault="00B84875" w:rsidP="00B84875">
      <w:pPr>
        <w:pStyle w:val="Heading3"/>
        <w:rPr>
          <w:rFonts w:ascii="Arial" w:hAnsi="Arial" w:cs="Arial"/>
          <w:b/>
          <w:color w:val="000000" w:themeColor="text1"/>
          <w:sz w:val="20"/>
          <w:szCs w:val="20"/>
          <w:lang w:val="en-US"/>
        </w:rPr>
      </w:pPr>
      <w:r w:rsidRPr="00B84875">
        <w:rPr>
          <w:rFonts w:ascii="Arial" w:hAnsi="Arial" w:cs="Arial"/>
          <w:b/>
          <w:color w:val="000000" w:themeColor="text1"/>
          <w:sz w:val="20"/>
          <w:szCs w:val="20"/>
          <w:lang w:val="en-US"/>
        </w:rPr>
        <w:t>Implications for antimicrobial stewardship</w:t>
      </w:r>
    </w:p>
    <w:p w14:paraId="43D78431" w14:textId="77777777" w:rsidR="006568EC" w:rsidRPr="00E05E51" w:rsidRDefault="006568EC" w:rsidP="00E05E51">
      <w:pPr>
        <w:pStyle w:val="NormalWeb"/>
        <w:rPr>
          <w:rFonts w:ascii="Arial" w:hAnsi="Arial" w:cs="Arial"/>
          <w:sz w:val="20"/>
          <w:szCs w:val="20"/>
          <w:highlight w:val="yellow"/>
          <w:lang w:val="en-US"/>
        </w:rPr>
      </w:pPr>
      <w:r w:rsidRPr="00E05E51">
        <w:rPr>
          <w:rFonts w:ascii="Arial" w:hAnsi="Arial" w:cs="Arial"/>
          <w:sz w:val="20"/>
          <w:szCs w:val="20"/>
          <w:highlight w:val="yellow"/>
          <w:lang w:val="en-US"/>
        </w:rPr>
        <w:t>This study identifies key priorities for strengthening antimicrobial stewardship in pediatric care:</w:t>
      </w:r>
    </w:p>
    <w:p w14:paraId="3DF71980" w14:textId="77777777" w:rsidR="006568EC" w:rsidRPr="00E05E51" w:rsidRDefault="006568EC" w:rsidP="00E05E51">
      <w:pPr>
        <w:pStyle w:val="NormalWeb"/>
        <w:numPr>
          <w:ilvl w:val="0"/>
          <w:numId w:val="46"/>
        </w:numPr>
        <w:rPr>
          <w:rFonts w:ascii="Arial" w:hAnsi="Arial" w:cs="Arial"/>
          <w:sz w:val="20"/>
          <w:szCs w:val="20"/>
          <w:highlight w:val="yellow"/>
          <w:lang w:val="en-US"/>
        </w:rPr>
      </w:pPr>
      <w:r w:rsidRPr="00E05E51">
        <w:rPr>
          <w:rStyle w:val="Strong"/>
          <w:rFonts w:ascii="Arial" w:hAnsi="Arial" w:cs="Arial"/>
          <w:b w:val="0"/>
          <w:sz w:val="20"/>
          <w:szCs w:val="20"/>
          <w:highlight w:val="yellow"/>
          <w:lang w:val="en-US"/>
        </w:rPr>
        <w:lastRenderedPageBreak/>
        <w:t>Promoting adherence</w:t>
      </w:r>
      <w:r w:rsidRPr="00E05E51">
        <w:rPr>
          <w:rFonts w:ascii="Arial" w:hAnsi="Arial" w:cs="Arial"/>
          <w:sz w:val="20"/>
          <w:szCs w:val="20"/>
          <w:highlight w:val="yellow"/>
          <w:lang w:val="en-US"/>
        </w:rPr>
        <w:t xml:space="preserve"> to national and hospital antibiotic guidelines;</w:t>
      </w:r>
    </w:p>
    <w:p w14:paraId="4B9A2B33" w14:textId="77777777" w:rsidR="006568EC" w:rsidRPr="00E05E51" w:rsidRDefault="006568EC" w:rsidP="00E05E51">
      <w:pPr>
        <w:pStyle w:val="NormalWeb"/>
        <w:numPr>
          <w:ilvl w:val="0"/>
          <w:numId w:val="46"/>
        </w:numPr>
        <w:rPr>
          <w:rFonts w:ascii="Arial" w:hAnsi="Arial" w:cs="Arial"/>
          <w:sz w:val="20"/>
          <w:szCs w:val="20"/>
          <w:highlight w:val="yellow"/>
          <w:lang w:val="en-US"/>
        </w:rPr>
      </w:pPr>
      <w:r w:rsidRPr="00E05E51">
        <w:rPr>
          <w:rStyle w:val="Strong"/>
          <w:rFonts w:ascii="Arial" w:hAnsi="Arial" w:cs="Arial"/>
          <w:b w:val="0"/>
          <w:sz w:val="20"/>
          <w:szCs w:val="20"/>
          <w:highlight w:val="yellow"/>
          <w:lang w:val="en-US"/>
        </w:rPr>
        <w:t>Reinforcing microbiological testing capacity</w:t>
      </w:r>
      <w:r w:rsidRPr="00E05E51">
        <w:rPr>
          <w:rFonts w:ascii="Arial" w:hAnsi="Arial" w:cs="Arial"/>
          <w:sz w:val="20"/>
          <w:szCs w:val="20"/>
          <w:highlight w:val="yellow"/>
          <w:lang w:val="en-US"/>
        </w:rPr>
        <w:t xml:space="preserve"> and timely reporting of results;</w:t>
      </w:r>
    </w:p>
    <w:p w14:paraId="74782C59" w14:textId="77777777" w:rsidR="006568EC" w:rsidRPr="00E05E51" w:rsidRDefault="006568EC" w:rsidP="00E05E51">
      <w:pPr>
        <w:pStyle w:val="NormalWeb"/>
        <w:numPr>
          <w:ilvl w:val="0"/>
          <w:numId w:val="46"/>
        </w:numPr>
        <w:rPr>
          <w:rFonts w:ascii="Arial" w:hAnsi="Arial" w:cs="Arial"/>
          <w:sz w:val="20"/>
          <w:szCs w:val="20"/>
          <w:highlight w:val="yellow"/>
          <w:lang w:val="en-US"/>
        </w:rPr>
      </w:pPr>
      <w:r w:rsidRPr="00E05E51">
        <w:rPr>
          <w:rStyle w:val="Strong"/>
          <w:rFonts w:ascii="Arial" w:hAnsi="Arial" w:cs="Arial"/>
          <w:b w:val="0"/>
          <w:sz w:val="20"/>
          <w:szCs w:val="20"/>
          <w:highlight w:val="yellow"/>
          <w:lang w:val="en-US"/>
        </w:rPr>
        <w:t>Providing regular feedback</w:t>
      </w:r>
      <w:r w:rsidRPr="00E05E51">
        <w:rPr>
          <w:rFonts w:ascii="Arial" w:hAnsi="Arial" w:cs="Arial"/>
          <w:sz w:val="20"/>
          <w:szCs w:val="20"/>
          <w:highlight w:val="yellow"/>
          <w:lang w:val="en-US"/>
        </w:rPr>
        <w:t xml:space="preserve"> to prescribers on antibiotic use and resistance trends;</w:t>
      </w:r>
    </w:p>
    <w:p w14:paraId="414A56F5" w14:textId="77777777" w:rsidR="006568EC" w:rsidRPr="00E05E51" w:rsidRDefault="006568EC" w:rsidP="00E05E51">
      <w:pPr>
        <w:pStyle w:val="NormalWeb"/>
        <w:numPr>
          <w:ilvl w:val="0"/>
          <w:numId w:val="46"/>
        </w:numPr>
        <w:rPr>
          <w:rFonts w:ascii="Arial" w:hAnsi="Arial" w:cs="Arial"/>
          <w:sz w:val="20"/>
          <w:szCs w:val="20"/>
          <w:highlight w:val="yellow"/>
          <w:lang w:val="en-US"/>
        </w:rPr>
      </w:pPr>
      <w:r w:rsidRPr="00E05E51">
        <w:rPr>
          <w:rStyle w:val="Strong"/>
          <w:rFonts w:ascii="Arial" w:hAnsi="Arial" w:cs="Arial"/>
          <w:b w:val="0"/>
          <w:sz w:val="20"/>
          <w:szCs w:val="20"/>
          <w:highlight w:val="yellow"/>
          <w:lang w:val="en-US"/>
        </w:rPr>
        <w:t>Integrating Global-PPS surveillance</w:t>
      </w:r>
      <w:r w:rsidRPr="00E05E51">
        <w:rPr>
          <w:rFonts w:ascii="Arial" w:hAnsi="Arial" w:cs="Arial"/>
          <w:sz w:val="20"/>
          <w:szCs w:val="20"/>
          <w:highlight w:val="yellow"/>
          <w:lang w:val="en-US"/>
        </w:rPr>
        <w:t xml:space="preserve"> into routine hospital quality and safety systems.</w:t>
      </w:r>
    </w:p>
    <w:p w14:paraId="5BF6BBF6" w14:textId="6A7826C7" w:rsidR="006568EC" w:rsidRPr="00E05E51" w:rsidRDefault="006568EC" w:rsidP="00E05E51">
      <w:pPr>
        <w:pStyle w:val="NormalWeb"/>
        <w:jc w:val="both"/>
        <w:rPr>
          <w:rFonts w:ascii="Arial" w:hAnsi="Arial" w:cs="Arial"/>
          <w:sz w:val="20"/>
          <w:szCs w:val="20"/>
          <w:lang w:val="en-US"/>
        </w:rPr>
      </w:pPr>
      <w:r w:rsidRPr="00E05E51">
        <w:rPr>
          <w:rFonts w:ascii="Arial" w:hAnsi="Arial" w:cs="Arial"/>
          <w:sz w:val="20"/>
          <w:szCs w:val="20"/>
          <w:highlight w:val="yellow"/>
          <w:lang w:val="en-US"/>
        </w:rPr>
        <w:t xml:space="preserve">These interventions align with Senegal’s </w:t>
      </w:r>
      <w:r w:rsidRPr="00E05E51">
        <w:rPr>
          <w:rStyle w:val="Strong"/>
          <w:rFonts w:ascii="Arial" w:hAnsi="Arial" w:cs="Arial"/>
          <w:b w:val="0"/>
          <w:sz w:val="20"/>
          <w:szCs w:val="20"/>
          <w:highlight w:val="yellow"/>
          <w:lang w:val="en-US"/>
        </w:rPr>
        <w:t>National Action Plan on Antimicrobial Resistance (2017</w:t>
      </w:r>
      <w:r w:rsidR="00E05E51" w:rsidRPr="00E05E51">
        <w:rPr>
          <w:rStyle w:val="Strong"/>
          <w:rFonts w:ascii="Arial" w:hAnsi="Arial" w:cs="Arial"/>
          <w:b w:val="0"/>
          <w:sz w:val="20"/>
          <w:szCs w:val="20"/>
          <w:highlight w:val="yellow"/>
          <w:lang w:val="en-US"/>
        </w:rPr>
        <w:t>-</w:t>
      </w:r>
      <w:r w:rsidRPr="00E05E51">
        <w:rPr>
          <w:rStyle w:val="Strong"/>
          <w:rFonts w:ascii="Arial" w:hAnsi="Arial" w:cs="Arial"/>
          <w:b w:val="0"/>
          <w:sz w:val="20"/>
          <w:szCs w:val="20"/>
          <w:highlight w:val="yellow"/>
          <w:lang w:val="en-US"/>
        </w:rPr>
        <w:t>2025)</w:t>
      </w:r>
      <w:r w:rsidRPr="00E05E51">
        <w:rPr>
          <w:rFonts w:ascii="Arial" w:hAnsi="Arial" w:cs="Arial"/>
          <w:sz w:val="20"/>
          <w:szCs w:val="20"/>
          <w:highlight w:val="yellow"/>
          <w:lang w:val="en-US"/>
        </w:rPr>
        <w:t xml:space="preserve"> and WHO-AFRO regional strategies promoting rational antibiotic use and sustained AMR surveillance </w:t>
      </w:r>
      <w:r w:rsidRPr="00EA1AE0">
        <w:rPr>
          <w:rFonts w:ascii="Arial" w:hAnsi="Arial" w:cs="Arial"/>
          <w:b/>
          <w:sz w:val="20"/>
          <w:szCs w:val="20"/>
          <w:highlight w:val="yellow"/>
          <w:lang w:val="en-US"/>
        </w:rPr>
        <w:t>[23]</w:t>
      </w:r>
      <w:r w:rsidRPr="00E05E51">
        <w:rPr>
          <w:rFonts w:ascii="Arial" w:hAnsi="Arial" w:cs="Arial"/>
          <w:sz w:val="20"/>
          <w:szCs w:val="20"/>
          <w:highlight w:val="yellow"/>
          <w:lang w:val="en-US"/>
        </w:rPr>
        <w:t>. Strengthening hospital stewardship programs, supported by regular point prevalence surveys and laboratory-based resistance monitoring, will be critical to reducing inappropriate antimicrobial use and limiting the spread of multidrug-resistant organisms in Senegal and the broader West African region.</w:t>
      </w:r>
    </w:p>
    <w:p w14:paraId="34B9750B" w14:textId="77777777" w:rsidR="006568EC" w:rsidRPr="00A04636" w:rsidRDefault="006568EC" w:rsidP="00441B6F">
      <w:pPr>
        <w:pStyle w:val="Body"/>
        <w:spacing w:after="0"/>
        <w:rPr>
          <w:rFonts w:ascii="Arial" w:hAnsi="Arial" w:cs="Arial"/>
          <w:lang w:val="en-US"/>
        </w:rPr>
      </w:pPr>
    </w:p>
    <w:p w14:paraId="5859110B" w14:textId="4476EE3F" w:rsidR="00B01FCD" w:rsidRDefault="00000F8F" w:rsidP="00441B6F">
      <w:pPr>
        <w:pStyle w:val="ConcHead"/>
        <w:spacing w:after="0"/>
        <w:jc w:val="both"/>
        <w:rPr>
          <w:rFonts w:ascii="Arial" w:hAnsi="Arial" w:cs="Arial"/>
          <w:lang w:val="en-US"/>
        </w:rPr>
      </w:pPr>
      <w:r w:rsidRPr="00A04636">
        <w:rPr>
          <w:rFonts w:ascii="Arial" w:hAnsi="Arial" w:cs="Arial"/>
          <w:lang w:val="en-US"/>
        </w:rPr>
        <w:t xml:space="preserve">4. </w:t>
      </w:r>
      <w:r w:rsidR="00B01FCD" w:rsidRPr="00A04636">
        <w:rPr>
          <w:rFonts w:ascii="Arial" w:hAnsi="Arial" w:cs="Arial"/>
          <w:lang w:val="en-US"/>
        </w:rPr>
        <w:t>Conclusion</w:t>
      </w:r>
    </w:p>
    <w:p w14:paraId="219EB9D6" w14:textId="77777777" w:rsidR="00E05E51" w:rsidRPr="00A04636" w:rsidRDefault="00E05E51" w:rsidP="00441B6F">
      <w:pPr>
        <w:pStyle w:val="ConcHead"/>
        <w:spacing w:after="0"/>
        <w:jc w:val="both"/>
        <w:rPr>
          <w:rFonts w:ascii="Arial" w:hAnsi="Arial" w:cs="Arial"/>
          <w:lang w:val="en-US"/>
        </w:rPr>
      </w:pPr>
    </w:p>
    <w:p w14:paraId="5A49064B" w14:textId="77777777" w:rsidR="00FA4038" w:rsidRPr="00E05E51" w:rsidRDefault="00FA4038" w:rsidP="00E05E51">
      <w:pPr>
        <w:jc w:val="both"/>
        <w:rPr>
          <w:rFonts w:ascii="Arial" w:hAnsi="Arial" w:cs="Arial"/>
          <w:sz w:val="20"/>
          <w:szCs w:val="20"/>
          <w:lang w:val="en-US"/>
        </w:rPr>
      </w:pPr>
      <w:r w:rsidRPr="00E05E51">
        <w:rPr>
          <w:rFonts w:ascii="Arial" w:hAnsi="Arial" w:cs="Arial"/>
          <w:sz w:val="20"/>
          <w:szCs w:val="20"/>
          <w:highlight w:val="yellow"/>
          <w:lang w:val="en-US"/>
        </w:rPr>
        <w:t>This study highlights the high prevalence of antibiotic use among hospitalized children in Dakar, characterized by extensive reliance on third-generation cephalosporins and limited microbiological confirmation of infections. Strengthening diagnostic capacity and implementing robust antimicrobial stewardship programs are urgently needed to optimize antibiotic use and mitigate resistance. Sustained participation in Global-PPS surveys will enable continuous monitoring, benchmarking of prescribing practices, and data-driven stewardship actions. These efforts will support national and West African regional initiatives aimed at curbing antimicrobial resistance and preserving the effectiveness of essential antibiotics.</w:t>
      </w:r>
    </w:p>
    <w:p w14:paraId="2518C6F1" w14:textId="4294CD57" w:rsidR="00FA4038" w:rsidRDefault="00FA4038" w:rsidP="006C3DA2">
      <w:pPr>
        <w:pStyle w:val="NormalWeb"/>
        <w:jc w:val="both"/>
        <w:rPr>
          <w:rFonts w:ascii="Arial" w:hAnsi="Arial" w:cs="Arial"/>
          <w:sz w:val="20"/>
          <w:szCs w:val="20"/>
          <w:lang w:val="en-US"/>
        </w:rPr>
      </w:pPr>
    </w:p>
    <w:p w14:paraId="3879F595" w14:textId="10D471FD" w:rsidR="00B80D49" w:rsidRPr="000057AE" w:rsidRDefault="00B80D49" w:rsidP="00F27524">
      <w:pPr>
        <w:pStyle w:val="Heading2"/>
        <w:jc w:val="both"/>
        <w:rPr>
          <w:rFonts w:ascii="Arial" w:hAnsi="Arial" w:cs="Arial"/>
          <w:color w:val="000000" w:themeColor="text1"/>
          <w:sz w:val="22"/>
          <w:szCs w:val="22"/>
          <w:highlight w:val="green"/>
          <w:lang w:val="en-US"/>
        </w:rPr>
      </w:pPr>
      <w:r w:rsidRPr="000057AE">
        <w:rPr>
          <w:rStyle w:val="Strong"/>
          <w:rFonts w:ascii="Arial" w:hAnsi="Arial" w:cs="Arial"/>
          <w:bCs w:val="0"/>
          <w:color w:val="000000" w:themeColor="text1"/>
          <w:sz w:val="22"/>
          <w:szCs w:val="22"/>
          <w:highlight w:val="green"/>
          <w:lang w:val="en-US"/>
        </w:rPr>
        <w:t>Limitations</w:t>
      </w:r>
    </w:p>
    <w:p w14:paraId="39CF241B" w14:textId="40FDD90E" w:rsidR="00B80D49" w:rsidRPr="00F27524" w:rsidRDefault="00B80D49" w:rsidP="00F27524">
      <w:pPr>
        <w:pStyle w:val="NormalWeb"/>
        <w:jc w:val="both"/>
        <w:rPr>
          <w:rFonts w:ascii="Arial" w:hAnsi="Arial" w:cs="Arial"/>
          <w:color w:val="000000" w:themeColor="text1"/>
          <w:sz w:val="20"/>
          <w:szCs w:val="20"/>
          <w:lang w:val="en-US"/>
        </w:rPr>
      </w:pPr>
      <w:r w:rsidRPr="00F27524">
        <w:rPr>
          <w:rFonts w:ascii="Arial" w:hAnsi="Arial" w:cs="Arial"/>
          <w:color w:val="000000" w:themeColor="text1"/>
          <w:sz w:val="20"/>
          <w:szCs w:val="20"/>
          <w:highlight w:val="green"/>
          <w:lang w:val="en-US"/>
        </w:rPr>
        <w:t>This study has several limitations.</w:t>
      </w:r>
      <w:r w:rsidR="00F27524" w:rsidRPr="00F27524">
        <w:rPr>
          <w:rFonts w:ascii="Arial" w:hAnsi="Arial" w:cs="Arial"/>
          <w:color w:val="000000" w:themeColor="text1"/>
          <w:sz w:val="20"/>
          <w:szCs w:val="20"/>
          <w:highlight w:val="green"/>
          <w:lang w:val="en-US"/>
        </w:rPr>
        <w:t xml:space="preserve"> </w:t>
      </w:r>
      <w:r w:rsidRPr="00F27524">
        <w:rPr>
          <w:rFonts w:ascii="Arial" w:hAnsi="Arial" w:cs="Arial"/>
          <w:color w:val="000000" w:themeColor="text1"/>
          <w:sz w:val="20"/>
          <w:szCs w:val="20"/>
          <w:highlight w:val="green"/>
          <w:lang w:val="en-US"/>
        </w:rPr>
        <w:t>As a single-center, cross-sectional survey, it reflects prescribing patterns and resistance data from one pediatric hospital and may not be generalizable to other healthcare settings in Senegal. The reliance on point prevalence data limits assessment of temporal trends, and prior antibiotic exposure could not be fully accounted for. Moreover, the relatively low rate of microbiological testing restricted the ability to link prescriptions with confirmed pathogens or resistance phenotypes. Despite these limitations, the use of the standardized Global-PPS methodology provides a robust framework for benchmarking antimicrobial use and identifying priority areas for stewardship interventions.</w:t>
      </w:r>
    </w:p>
    <w:p w14:paraId="61964883" w14:textId="70C962F6" w:rsidR="00FA4038" w:rsidRPr="00A94914" w:rsidRDefault="00A94914" w:rsidP="006C3DA2">
      <w:pPr>
        <w:pStyle w:val="NormalWeb"/>
        <w:jc w:val="both"/>
        <w:rPr>
          <w:rFonts w:ascii="Arial" w:hAnsi="Arial" w:cs="Arial"/>
          <w:b/>
          <w:sz w:val="20"/>
          <w:szCs w:val="20"/>
          <w:lang w:val="en-US"/>
        </w:rPr>
      </w:pPr>
      <w:r w:rsidRPr="00A94914">
        <w:rPr>
          <w:rFonts w:ascii="Arial" w:hAnsi="Arial" w:cs="Arial"/>
          <w:b/>
          <w:sz w:val="20"/>
          <w:szCs w:val="20"/>
          <w:lang w:val="en-US"/>
        </w:rPr>
        <w:t xml:space="preserve">Ethical Approval: </w:t>
      </w:r>
    </w:p>
    <w:p w14:paraId="78E679BD" w14:textId="3ACF2DB7" w:rsidR="00A94914" w:rsidRDefault="00A94914" w:rsidP="006C3DA2">
      <w:pPr>
        <w:pStyle w:val="NormalWeb"/>
        <w:jc w:val="both"/>
        <w:rPr>
          <w:rFonts w:ascii="Arial" w:hAnsi="Arial" w:cs="Arial"/>
          <w:sz w:val="20"/>
          <w:szCs w:val="20"/>
          <w:lang w:val="en-US"/>
        </w:rPr>
      </w:pPr>
      <w:r w:rsidRPr="00A94914">
        <w:rPr>
          <w:rFonts w:ascii="Arial" w:hAnsi="Arial" w:cs="Arial"/>
          <w:sz w:val="20"/>
          <w:szCs w:val="20"/>
          <w:lang w:val="en-US"/>
        </w:rPr>
        <w:t>Ethical approval was obtained as part of the hospital’s participation in the Global-PPS program, with data anonymized before analysis.</w:t>
      </w:r>
    </w:p>
    <w:p w14:paraId="07E65C22" w14:textId="77777777" w:rsidR="00D42132" w:rsidRPr="00A94914" w:rsidRDefault="00D42132" w:rsidP="00D42132">
      <w:pPr>
        <w:rPr>
          <w:b/>
          <w:highlight w:val="yellow"/>
          <w:lang w:val="en-US"/>
        </w:rPr>
      </w:pPr>
      <w:r w:rsidRPr="00A94914">
        <w:rPr>
          <w:b/>
          <w:highlight w:val="yellow"/>
          <w:lang w:val="en-US"/>
        </w:rPr>
        <w:t>Disclaimer (Artificial intelligence)</w:t>
      </w:r>
    </w:p>
    <w:p w14:paraId="2B694B63" w14:textId="77777777" w:rsidR="00D42132" w:rsidRPr="00A04636" w:rsidRDefault="00D42132" w:rsidP="00D42132">
      <w:pPr>
        <w:rPr>
          <w:highlight w:val="yellow"/>
          <w:lang w:val="en-US"/>
        </w:rPr>
      </w:pPr>
    </w:p>
    <w:p w14:paraId="017DCFF0" w14:textId="77777777" w:rsidR="00D42132" w:rsidRPr="00A04636" w:rsidRDefault="00D42132" w:rsidP="00D42132">
      <w:pPr>
        <w:rPr>
          <w:highlight w:val="yellow"/>
          <w:lang w:val="en-US"/>
        </w:rPr>
      </w:pPr>
      <w:r w:rsidRPr="00A04636">
        <w:rPr>
          <w:highlight w:val="yellow"/>
          <w:lang w:val="en-US"/>
        </w:rPr>
        <w:t xml:space="preserve">Option 1: </w:t>
      </w:r>
    </w:p>
    <w:p w14:paraId="529EDBCA" w14:textId="77777777" w:rsidR="00D42132" w:rsidRPr="00A04636" w:rsidRDefault="00D42132" w:rsidP="00D42132">
      <w:pPr>
        <w:rPr>
          <w:highlight w:val="yellow"/>
          <w:lang w:val="en-US"/>
        </w:rPr>
      </w:pPr>
    </w:p>
    <w:p w14:paraId="3362B7AA" w14:textId="77777777" w:rsidR="00D42132" w:rsidRPr="00A04636" w:rsidRDefault="00D42132" w:rsidP="00D42132">
      <w:pPr>
        <w:rPr>
          <w:highlight w:val="yellow"/>
          <w:lang w:val="en-US"/>
        </w:rPr>
      </w:pPr>
      <w:r w:rsidRPr="00A04636">
        <w:rPr>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930674A" w14:textId="32EE974D" w:rsidR="002B685A" w:rsidRDefault="002B685A" w:rsidP="00441B6F">
      <w:pPr>
        <w:pStyle w:val="ReferHead"/>
        <w:spacing w:after="0"/>
        <w:jc w:val="both"/>
        <w:rPr>
          <w:b w:val="0"/>
          <w:caps w:val="0"/>
          <w:sz w:val="24"/>
          <w:highlight w:val="yellow"/>
          <w:lang w:val="en-US"/>
        </w:rPr>
      </w:pPr>
    </w:p>
    <w:p w14:paraId="062F28DD" w14:textId="77777777" w:rsidR="00E05E51" w:rsidRPr="000057AE" w:rsidRDefault="00E05E51" w:rsidP="00441B6F">
      <w:pPr>
        <w:pStyle w:val="ReferHead"/>
        <w:spacing w:after="0"/>
        <w:jc w:val="both"/>
        <w:rPr>
          <w:rFonts w:ascii="Arial" w:hAnsi="Arial" w:cs="Arial"/>
          <w:b w:val="0"/>
          <w:caps w:val="0"/>
          <w:sz w:val="20"/>
          <w:lang w:val="en-US"/>
        </w:rPr>
      </w:pPr>
    </w:p>
    <w:p w14:paraId="70F7415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92C767" w14:textId="77777777" w:rsidR="00790ADA" w:rsidRPr="00FB3A86" w:rsidRDefault="00790ADA" w:rsidP="00441B6F">
      <w:pPr>
        <w:pStyle w:val="ReferHead"/>
        <w:spacing w:after="0"/>
        <w:jc w:val="both"/>
        <w:rPr>
          <w:rFonts w:ascii="Arial" w:hAnsi="Arial" w:cs="Arial"/>
        </w:rPr>
      </w:pPr>
    </w:p>
    <w:p w14:paraId="11F88CC4" w14:textId="77777777" w:rsidR="00FF3423" w:rsidRPr="00C720CE" w:rsidRDefault="00FF3423" w:rsidP="00FF3423">
      <w:pPr>
        <w:pStyle w:val="NormalWeb"/>
        <w:numPr>
          <w:ilvl w:val="0"/>
          <w:numId w:val="32"/>
        </w:numPr>
        <w:jc w:val="both"/>
        <w:rPr>
          <w:rFonts w:ascii="Arial" w:hAnsi="Arial" w:cs="Arial"/>
          <w:color w:val="000000" w:themeColor="text1"/>
          <w:sz w:val="20"/>
          <w:szCs w:val="20"/>
          <w:lang w:val="en-US"/>
        </w:rPr>
      </w:pPr>
      <w:r w:rsidRPr="00C720CE">
        <w:rPr>
          <w:rStyle w:val="Strong"/>
          <w:rFonts w:ascii="Arial" w:hAnsi="Arial" w:cs="Arial"/>
          <w:color w:val="000000" w:themeColor="text1"/>
          <w:sz w:val="20"/>
          <w:szCs w:val="20"/>
          <w:lang w:val="en-US"/>
        </w:rPr>
        <w:t>WHO (2023).</w:t>
      </w:r>
      <w:r w:rsidRPr="00C720CE">
        <w:rPr>
          <w:rFonts w:ascii="Arial" w:hAnsi="Arial" w:cs="Arial"/>
          <w:color w:val="000000" w:themeColor="text1"/>
          <w:sz w:val="20"/>
          <w:szCs w:val="20"/>
          <w:lang w:val="en-US"/>
        </w:rPr>
        <w:t xml:space="preserve"> </w:t>
      </w:r>
      <w:r w:rsidRPr="00C720CE">
        <w:rPr>
          <w:rStyle w:val="Emphasis"/>
          <w:rFonts w:ascii="Arial" w:hAnsi="Arial" w:cs="Arial"/>
          <w:color w:val="000000" w:themeColor="text1"/>
          <w:sz w:val="20"/>
          <w:szCs w:val="20"/>
          <w:lang w:val="en-US"/>
        </w:rPr>
        <w:t>Global Antimicrobial Resistance and Use Surveillance System (GLASS) Report 2023.</w:t>
      </w:r>
      <w:r w:rsidRPr="00C720CE">
        <w:rPr>
          <w:rFonts w:ascii="Arial" w:hAnsi="Arial" w:cs="Arial"/>
          <w:color w:val="000000" w:themeColor="text1"/>
          <w:sz w:val="20"/>
          <w:szCs w:val="20"/>
          <w:lang w:val="en-US"/>
        </w:rPr>
        <w:t xml:space="preserve"> Geneva: World Health Organization.</w:t>
      </w:r>
    </w:p>
    <w:p w14:paraId="073D0696" w14:textId="77777777" w:rsidR="00FF3423" w:rsidRPr="00C720CE" w:rsidRDefault="00FF3423" w:rsidP="00FF3423">
      <w:pPr>
        <w:pStyle w:val="NormalWeb"/>
        <w:numPr>
          <w:ilvl w:val="0"/>
          <w:numId w:val="32"/>
        </w:numPr>
        <w:jc w:val="both"/>
        <w:rPr>
          <w:rFonts w:ascii="Arial" w:hAnsi="Arial" w:cs="Arial"/>
          <w:color w:val="000000" w:themeColor="text1"/>
          <w:sz w:val="20"/>
          <w:szCs w:val="20"/>
          <w:lang w:val="en-US"/>
        </w:rPr>
      </w:pPr>
      <w:r w:rsidRPr="00C720CE">
        <w:rPr>
          <w:rStyle w:val="Strong"/>
          <w:rFonts w:ascii="Arial" w:hAnsi="Arial" w:cs="Arial"/>
          <w:color w:val="000000" w:themeColor="text1"/>
          <w:sz w:val="20"/>
          <w:szCs w:val="20"/>
          <w:lang w:val="en-US"/>
        </w:rPr>
        <w:t>WHO (2014).</w:t>
      </w:r>
      <w:r w:rsidRPr="00C720CE">
        <w:rPr>
          <w:rFonts w:ascii="Arial" w:hAnsi="Arial" w:cs="Arial"/>
          <w:color w:val="000000" w:themeColor="text1"/>
          <w:sz w:val="20"/>
          <w:szCs w:val="20"/>
          <w:lang w:val="en-US"/>
        </w:rPr>
        <w:t xml:space="preserve"> </w:t>
      </w:r>
      <w:r w:rsidRPr="0042102E">
        <w:rPr>
          <w:rStyle w:val="Emphasis"/>
          <w:rFonts w:ascii="Arial" w:hAnsi="Arial" w:cs="Arial"/>
          <w:i w:val="0"/>
          <w:color w:val="000000" w:themeColor="text1"/>
          <w:sz w:val="20"/>
          <w:szCs w:val="20"/>
          <w:lang w:val="en-US"/>
        </w:rPr>
        <w:t>Antimicrobial Resistance</w:t>
      </w:r>
      <w:r w:rsidRPr="00C720CE">
        <w:rPr>
          <w:rStyle w:val="Emphasis"/>
          <w:rFonts w:ascii="Arial" w:hAnsi="Arial" w:cs="Arial"/>
          <w:color w:val="000000" w:themeColor="text1"/>
          <w:sz w:val="20"/>
          <w:szCs w:val="20"/>
          <w:lang w:val="en-US"/>
        </w:rPr>
        <w:t>: Global Report on Surveillance.</w:t>
      </w:r>
      <w:r w:rsidRPr="00C720CE">
        <w:rPr>
          <w:rFonts w:ascii="Arial" w:hAnsi="Arial" w:cs="Arial"/>
          <w:color w:val="000000" w:themeColor="text1"/>
          <w:sz w:val="20"/>
          <w:szCs w:val="20"/>
          <w:lang w:val="en-US"/>
        </w:rPr>
        <w:t xml:space="preserve"> Geneva: World Health Organization.</w:t>
      </w:r>
    </w:p>
    <w:p w14:paraId="4B3251A1" w14:textId="48EEEDBB" w:rsidR="00791A4A" w:rsidRPr="00E4747A" w:rsidRDefault="00791A4A" w:rsidP="00791A4A">
      <w:pPr>
        <w:pStyle w:val="NormalWeb"/>
        <w:numPr>
          <w:ilvl w:val="0"/>
          <w:numId w:val="32"/>
        </w:numPr>
        <w:jc w:val="both"/>
        <w:rPr>
          <w:rFonts w:ascii="Arial" w:hAnsi="Arial" w:cs="Arial"/>
          <w:color w:val="000000" w:themeColor="text1"/>
          <w:sz w:val="20"/>
          <w:szCs w:val="20"/>
          <w:lang w:val="en-US"/>
        </w:rPr>
      </w:pPr>
      <w:proofErr w:type="spellStart"/>
      <w:r w:rsidRPr="00C720CE">
        <w:rPr>
          <w:rFonts w:ascii="Arial" w:hAnsi="Arial" w:cs="Arial"/>
          <w:b/>
          <w:bCs/>
          <w:sz w:val="20"/>
          <w:szCs w:val="20"/>
          <w:lang w:val="en-US"/>
        </w:rPr>
        <w:t>Mudenda</w:t>
      </w:r>
      <w:proofErr w:type="spellEnd"/>
      <w:r w:rsidRPr="00C720CE">
        <w:rPr>
          <w:rFonts w:ascii="Arial" w:hAnsi="Arial" w:cs="Arial"/>
          <w:b/>
          <w:bCs/>
          <w:sz w:val="20"/>
          <w:szCs w:val="20"/>
          <w:lang w:val="en-US"/>
        </w:rPr>
        <w:t xml:space="preserve"> S, </w:t>
      </w:r>
      <w:proofErr w:type="spellStart"/>
      <w:r w:rsidRPr="00C720CE">
        <w:rPr>
          <w:rFonts w:ascii="Arial" w:hAnsi="Arial" w:cs="Arial"/>
          <w:b/>
          <w:bCs/>
          <w:sz w:val="20"/>
          <w:szCs w:val="20"/>
          <w:lang w:val="en-US"/>
        </w:rPr>
        <w:t>Chabalenge</w:t>
      </w:r>
      <w:proofErr w:type="spellEnd"/>
      <w:r w:rsidRPr="00C720CE">
        <w:rPr>
          <w:rFonts w:ascii="Arial" w:hAnsi="Arial" w:cs="Arial"/>
          <w:b/>
          <w:bCs/>
          <w:sz w:val="20"/>
          <w:szCs w:val="20"/>
          <w:lang w:val="en-US"/>
        </w:rPr>
        <w:t xml:space="preserve"> B, </w:t>
      </w:r>
      <w:proofErr w:type="spellStart"/>
      <w:r w:rsidRPr="00C720CE">
        <w:rPr>
          <w:rFonts w:ascii="Arial" w:hAnsi="Arial" w:cs="Arial"/>
          <w:b/>
          <w:bCs/>
          <w:sz w:val="20"/>
          <w:szCs w:val="20"/>
          <w:lang w:val="en-US"/>
        </w:rPr>
        <w:t>Daka</w:t>
      </w:r>
      <w:proofErr w:type="spellEnd"/>
      <w:r w:rsidRPr="00C720CE">
        <w:rPr>
          <w:rFonts w:ascii="Arial" w:hAnsi="Arial" w:cs="Arial"/>
          <w:b/>
          <w:bCs/>
          <w:sz w:val="20"/>
          <w:szCs w:val="20"/>
          <w:lang w:val="en-US"/>
        </w:rPr>
        <w:t xml:space="preserve"> V, </w:t>
      </w:r>
      <w:proofErr w:type="spellStart"/>
      <w:r w:rsidRPr="00C720CE">
        <w:rPr>
          <w:rFonts w:ascii="Arial" w:hAnsi="Arial" w:cs="Arial"/>
          <w:b/>
          <w:bCs/>
          <w:sz w:val="20"/>
          <w:szCs w:val="20"/>
          <w:lang w:val="en-US"/>
        </w:rPr>
        <w:t>Mfune</w:t>
      </w:r>
      <w:proofErr w:type="spellEnd"/>
      <w:r w:rsidRPr="00C720CE">
        <w:rPr>
          <w:rFonts w:ascii="Arial" w:hAnsi="Arial" w:cs="Arial"/>
          <w:b/>
          <w:bCs/>
          <w:sz w:val="20"/>
          <w:szCs w:val="20"/>
          <w:lang w:val="en-US"/>
        </w:rPr>
        <w:t xml:space="preserve"> RL, </w:t>
      </w:r>
      <w:proofErr w:type="spellStart"/>
      <w:r w:rsidRPr="00C720CE">
        <w:rPr>
          <w:rFonts w:ascii="Arial" w:hAnsi="Arial" w:cs="Arial"/>
          <w:b/>
          <w:bCs/>
          <w:sz w:val="20"/>
          <w:szCs w:val="20"/>
          <w:lang w:val="en-US"/>
        </w:rPr>
        <w:t>Salachi</w:t>
      </w:r>
      <w:proofErr w:type="spellEnd"/>
      <w:r w:rsidRPr="00C720CE">
        <w:rPr>
          <w:rFonts w:ascii="Arial" w:hAnsi="Arial" w:cs="Arial"/>
          <w:b/>
          <w:bCs/>
          <w:sz w:val="20"/>
          <w:szCs w:val="20"/>
          <w:lang w:val="en-US"/>
        </w:rPr>
        <w:t xml:space="preserve"> </w:t>
      </w:r>
      <w:proofErr w:type="gramStart"/>
      <w:r w:rsidRPr="00C720CE">
        <w:rPr>
          <w:rFonts w:ascii="Arial" w:hAnsi="Arial" w:cs="Arial"/>
          <w:b/>
          <w:bCs/>
          <w:sz w:val="20"/>
          <w:szCs w:val="20"/>
          <w:lang w:val="en-US"/>
        </w:rPr>
        <w:t>KI</w:t>
      </w:r>
      <w:r w:rsidRPr="00C720CE">
        <w:rPr>
          <w:rFonts w:ascii="Arial" w:hAnsi="Arial" w:cs="Arial"/>
          <w:b/>
          <w:bCs/>
          <w:position w:val="6"/>
          <w:sz w:val="20"/>
          <w:szCs w:val="20"/>
          <w:lang w:val="en-US"/>
        </w:rPr>
        <w:t xml:space="preserve"> </w:t>
      </w:r>
      <w:r w:rsidRPr="00C720CE">
        <w:rPr>
          <w:rFonts w:ascii="Arial" w:hAnsi="Arial" w:cs="Arial"/>
          <w:b/>
          <w:bCs/>
          <w:sz w:val="20"/>
          <w:szCs w:val="20"/>
          <w:lang w:val="en-US"/>
        </w:rPr>
        <w:t>,</w:t>
      </w:r>
      <w:proofErr w:type="gramEnd"/>
      <w:r w:rsidRPr="00C720CE">
        <w:rPr>
          <w:rFonts w:ascii="Arial" w:hAnsi="Arial" w:cs="Arial"/>
          <w:b/>
          <w:bCs/>
          <w:sz w:val="20"/>
          <w:szCs w:val="20"/>
          <w:lang w:val="en-US"/>
        </w:rPr>
        <w:t xml:space="preserve"> Mohamed S et al. (2023). </w:t>
      </w:r>
      <w:r w:rsidRPr="00C720CE">
        <w:rPr>
          <w:rFonts w:ascii="Arial" w:hAnsi="Arial" w:cs="Arial"/>
          <w:bCs/>
          <w:sz w:val="20"/>
          <w:szCs w:val="20"/>
          <w:lang w:val="en-US"/>
        </w:rPr>
        <w:t xml:space="preserve">Global Strategies to Combat Antimicrobial Resistance: A One Health Perspective. </w:t>
      </w:r>
      <w:r w:rsidR="00192401">
        <w:rPr>
          <w:rFonts w:ascii="Arial" w:hAnsi="Arial" w:cs="Arial"/>
          <w:bCs/>
          <w:sz w:val="20"/>
          <w:szCs w:val="20"/>
          <w:lang w:val="en-US"/>
        </w:rPr>
        <w:t xml:space="preserve">Journal of </w:t>
      </w:r>
      <w:proofErr w:type="spellStart"/>
      <w:r w:rsidRPr="00C720CE">
        <w:rPr>
          <w:rFonts w:ascii="Arial" w:hAnsi="Arial" w:cs="Arial"/>
          <w:bCs/>
          <w:sz w:val="20"/>
          <w:szCs w:val="20"/>
        </w:rPr>
        <w:t>Pharmacology</w:t>
      </w:r>
      <w:proofErr w:type="spellEnd"/>
      <w:r w:rsidR="00192401">
        <w:rPr>
          <w:rFonts w:ascii="Arial" w:hAnsi="Arial" w:cs="Arial"/>
          <w:bCs/>
          <w:sz w:val="20"/>
          <w:szCs w:val="20"/>
        </w:rPr>
        <w:t xml:space="preserve"> and</w:t>
      </w:r>
      <w:r w:rsidRPr="00C720CE">
        <w:rPr>
          <w:rFonts w:ascii="Arial" w:hAnsi="Arial" w:cs="Arial"/>
          <w:bCs/>
          <w:sz w:val="20"/>
          <w:szCs w:val="20"/>
        </w:rPr>
        <w:t xml:space="preserve"> </w:t>
      </w:r>
      <w:proofErr w:type="spellStart"/>
      <w:r w:rsidRPr="00C720CE">
        <w:rPr>
          <w:rFonts w:ascii="Arial" w:hAnsi="Arial" w:cs="Arial"/>
          <w:bCs/>
          <w:sz w:val="20"/>
          <w:szCs w:val="20"/>
        </w:rPr>
        <w:t>Pharmacy</w:t>
      </w:r>
      <w:proofErr w:type="spellEnd"/>
      <w:r w:rsidRPr="00C720CE">
        <w:rPr>
          <w:rFonts w:ascii="Arial" w:hAnsi="Arial" w:cs="Arial"/>
          <w:bCs/>
          <w:sz w:val="20"/>
          <w:szCs w:val="20"/>
        </w:rPr>
        <w:t xml:space="preserve">, 14, 271-328.  </w:t>
      </w:r>
      <w:proofErr w:type="gramStart"/>
      <w:r w:rsidRPr="00C720CE">
        <w:rPr>
          <w:rFonts w:ascii="Arial" w:hAnsi="Arial" w:cs="Arial"/>
          <w:bCs/>
          <w:color w:val="232323"/>
          <w:sz w:val="20"/>
          <w:szCs w:val="20"/>
        </w:rPr>
        <w:t>DOI:</w:t>
      </w:r>
      <w:proofErr w:type="gramEnd"/>
      <w:r w:rsidRPr="00C720CE">
        <w:rPr>
          <w:rFonts w:ascii="Arial" w:hAnsi="Arial" w:cs="Arial"/>
          <w:bCs/>
          <w:color w:val="232323"/>
          <w:sz w:val="20"/>
          <w:szCs w:val="20"/>
        </w:rPr>
        <w:t> </w:t>
      </w:r>
      <w:hyperlink r:id="rId15" w:tgtFrame="_blank" w:history="1">
        <w:r w:rsidRPr="00C720CE">
          <w:rPr>
            <w:rFonts w:ascii="Arial" w:hAnsi="Arial" w:cs="Arial"/>
            <w:color w:val="0B4FA7"/>
            <w:sz w:val="20"/>
            <w:szCs w:val="20"/>
            <w:u w:val="single"/>
          </w:rPr>
          <w:t>10.4236/pp.2023.148020</w:t>
        </w:r>
      </w:hyperlink>
    </w:p>
    <w:p w14:paraId="07454EDE" w14:textId="7FFDEF30" w:rsidR="00E4747A" w:rsidRPr="00735759" w:rsidRDefault="00E4747A" w:rsidP="00E4747A">
      <w:pPr>
        <w:pStyle w:val="ListParagraph"/>
        <w:numPr>
          <w:ilvl w:val="0"/>
          <w:numId w:val="32"/>
        </w:numPr>
        <w:rPr>
          <w:rFonts w:ascii="Arial" w:hAnsi="Arial" w:cs="Arial"/>
          <w:color w:val="000000" w:themeColor="text1"/>
          <w:sz w:val="20"/>
          <w:szCs w:val="20"/>
          <w:highlight w:val="green"/>
          <w:lang w:val="en-US"/>
        </w:rPr>
      </w:pPr>
      <w:r w:rsidRPr="00735759">
        <w:rPr>
          <w:rStyle w:val="Strong"/>
          <w:highlight w:val="green"/>
          <w:lang w:val="en-US"/>
        </w:rPr>
        <w:lastRenderedPageBreak/>
        <w:t>Munita JM, Arias CA</w:t>
      </w:r>
      <w:r w:rsidR="00D05CC8" w:rsidRPr="00735759">
        <w:rPr>
          <w:rStyle w:val="Strong"/>
          <w:highlight w:val="green"/>
          <w:lang w:val="en-US"/>
        </w:rPr>
        <w:t xml:space="preserve"> (2016)</w:t>
      </w:r>
      <w:r w:rsidRPr="00735759">
        <w:rPr>
          <w:rStyle w:val="Strong"/>
          <w:highlight w:val="green"/>
          <w:lang w:val="en-US"/>
        </w:rPr>
        <w:t>.</w:t>
      </w:r>
      <w:r w:rsidRPr="00735759">
        <w:rPr>
          <w:highlight w:val="green"/>
          <w:lang w:val="en-US"/>
        </w:rPr>
        <w:t xml:space="preserve"> Mechanisms of Antibiotic Resistance. </w:t>
      </w:r>
      <w:proofErr w:type="spellStart"/>
      <w:r w:rsidRPr="00735759">
        <w:rPr>
          <w:rStyle w:val="Emphasis"/>
          <w:i w:val="0"/>
          <w:highlight w:val="green"/>
        </w:rPr>
        <w:t>Microbiol</w:t>
      </w:r>
      <w:r w:rsidR="00264915" w:rsidRPr="00735759">
        <w:rPr>
          <w:rStyle w:val="Emphasis"/>
          <w:i w:val="0"/>
          <w:highlight w:val="green"/>
        </w:rPr>
        <w:t>ogy</w:t>
      </w:r>
      <w:proofErr w:type="spellEnd"/>
      <w:r w:rsidRPr="00735759">
        <w:rPr>
          <w:rStyle w:val="Emphasis"/>
          <w:i w:val="0"/>
          <w:highlight w:val="green"/>
        </w:rPr>
        <w:t xml:space="preserve"> Spectr</w:t>
      </w:r>
      <w:r w:rsidR="00264915" w:rsidRPr="00735759">
        <w:rPr>
          <w:rStyle w:val="Emphasis"/>
          <w:i w:val="0"/>
          <w:highlight w:val="green"/>
        </w:rPr>
        <w:t>um</w:t>
      </w:r>
      <w:r w:rsidR="00D05CC8" w:rsidRPr="00735759">
        <w:rPr>
          <w:highlight w:val="green"/>
        </w:rPr>
        <w:t xml:space="preserve">, </w:t>
      </w:r>
      <w:r w:rsidRPr="00735759">
        <w:rPr>
          <w:highlight w:val="green"/>
        </w:rPr>
        <w:t>4(2)</w:t>
      </w:r>
      <w:r w:rsidR="00D05CC8" w:rsidRPr="00735759">
        <w:rPr>
          <w:highlight w:val="green"/>
        </w:rPr>
        <w:t>, 101128.</w:t>
      </w:r>
      <w:r w:rsidR="00891A9C" w:rsidRPr="00735759">
        <w:rPr>
          <w:highlight w:val="green"/>
        </w:rPr>
        <w:t xml:space="preserve"> </w:t>
      </w:r>
      <w:r w:rsidR="00D05CC8" w:rsidRPr="00735759">
        <w:rPr>
          <w:rStyle w:val="id-label"/>
          <w:rFonts w:ascii="Segoe UI" w:hAnsi="Segoe UI" w:cs="Segoe UI"/>
          <w:color w:val="212121"/>
          <w:highlight w:val="green"/>
        </w:rPr>
        <w:t>PMID:</w:t>
      </w:r>
      <w:r w:rsidR="00D05CC8" w:rsidRPr="00735759">
        <w:rPr>
          <w:rStyle w:val="apple-converted-space"/>
          <w:rFonts w:ascii="Segoe UI" w:hAnsi="Segoe UI" w:cs="Segoe UI"/>
          <w:color w:val="212121"/>
          <w:highlight w:val="green"/>
        </w:rPr>
        <w:t> </w:t>
      </w:r>
      <w:r w:rsidR="00D05CC8" w:rsidRPr="00735759">
        <w:rPr>
          <w:rStyle w:val="Strong"/>
          <w:rFonts w:ascii="Segoe UI" w:hAnsi="Segoe UI" w:cs="Segoe UI"/>
          <w:b w:val="0"/>
          <w:bCs w:val="0"/>
          <w:color w:val="212121"/>
          <w:highlight w:val="green"/>
        </w:rPr>
        <w:t>27227291</w:t>
      </w:r>
      <w:r w:rsidR="00891A9C" w:rsidRPr="00735759">
        <w:rPr>
          <w:rStyle w:val="Strong"/>
          <w:rFonts w:ascii="Segoe UI" w:hAnsi="Segoe UI" w:cs="Segoe UI"/>
          <w:b w:val="0"/>
          <w:bCs w:val="0"/>
          <w:color w:val="212121"/>
          <w:highlight w:val="green"/>
        </w:rPr>
        <w:t xml:space="preserve">, </w:t>
      </w:r>
      <w:r w:rsidR="00D05CC8" w:rsidRPr="00735759">
        <w:rPr>
          <w:rStyle w:val="id-label"/>
          <w:rFonts w:ascii="Segoe UI" w:hAnsi="Segoe UI" w:cs="Segoe UI"/>
          <w:color w:val="212121"/>
          <w:highlight w:val="green"/>
        </w:rPr>
        <w:t>PMCID:</w:t>
      </w:r>
      <w:r w:rsidR="00D05CC8" w:rsidRPr="00735759">
        <w:rPr>
          <w:rStyle w:val="apple-converted-space"/>
          <w:rFonts w:ascii="Segoe UI" w:hAnsi="Segoe UI" w:cs="Segoe UI"/>
          <w:color w:val="212121"/>
          <w:highlight w:val="green"/>
        </w:rPr>
        <w:t> </w:t>
      </w:r>
      <w:hyperlink r:id="rId16" w:tgtFrame="_blank" w:history="1">
        <w:r w:rsidR="00D05CC8" w:rsidRPr="00735759">
          <w:rPr>
            <w:rStyle w:val="Hyperlink"/>
            <w:rFonts w:ascii="Segoe UI" w:hAnsi="Segoe UI" w:cs="Segoe UI"/>
            <w:color w:val="0071BC"/>
            <w:highlight w:val="green"/>
          </w:rPr>
          <w:t>PMC4888801</w:t>
        </w:r>
      </w:hyperlink>
      <w:r w:rsidR="00891A9C" w:rsidRPr="00735759">
        <w:rPr>
          <w:rStyle w:val="identifier"/>
          <w:rFonts w:ascii="Segoe UI" w:hAnsi="Segoe UI" w:cs="Segoe UI"/>
          <w:color w:val="212121"/>
          <w:highlight w:val="green"/>
        </w:rPr>
        <w:t xml:space="preserve">, </w:t>
      </w:r>
      <w:r w:rsidR="00D05CC8" w:rsidRPr="00735759">
        <w:rPr>
          <w:rStyle w:val="id-label"/>
          <w:rFonts w:ascii="Segoe UI" w:hAnsi="Segoe UI" w:cs="Segoe UI"/>
          <w:color w:val="212121"/>
          <w:highlight w:val="green"/>
        </w:rPr>
        <w:t>DOI:</w:t>
      </w:r>
      <w:r w:rsidR="00D05CC8" w:rsidRPr="00735759">
        <w:rPr>
          <w:rStyle w:val="apple-converted-space"/>
          <w:rFonts w:ascii="Segoe UI" w:hAnsi="Segoe UI" w:cs="Segoe UI"/>
          <w:color w:val="212121"/>
          <w:highlight w:val="green"/>
        </w:rPr>
        <w:t> </w:t>
      </w:r>
      <w:hyperlink r:id="rId17" w:tgtFrame="_blank" w:history="1">
        <w:r w:rsidR="00D05CC8" w:rsidRPr="00735759">
          <w:rPr>
            <w:rStyle w:val="Hyperlink"/>
            <w:rFonts w:ascii="Segoe UI" w:hAnsi="Segoe UI" w:cs="Segoe UI"/>
            <w:color w:val="0071BC"/>
            <w:highlight w:val="green"/>
          </w:rPr>
          <w:t>10.1128/microbiolspec.VMBF-0016-2015</w:t>
        </w:r>
      </w:hyperlink>
    </w:p>
    <w:p w14:paraId="64725C9C" w14:textId="77777777" w:rsidR="003E62FC" w:rsidRPr="00C720CE" w:rsidRDefault="00FF3423" w:rsidP="002A4C63">
      <w:pPr>
        <w:pStyle w:val="NormalWeb"/>
        <w:numPr>
          <w:ilvl w:val="0"/>
          <w:numId w:val="32"/>
        </w:numPr>
        <w:jc w:val="both"/>
        <w:rPr>
          <w:rFonts w:ascii="Arial" w:hAnsi="Arial" w:cs="Arial"/>
          <w:color w:val="212121"/>
          <w:sz w:val="20"/>
          <w:szCs w:val="20"/>
        </w:rPr>
      </w:pPr>
      <w:r w:rsidRPr="008328A0">
        <w:rPr>
          <w:rStyle w:val="Strong"/>
          <w:rFonts w:ascii="Arial" w:hAnsi="Arial" w:cs="Arial"/>
          <w:color w:val="000000" w:themeColor="text1"/>
          <w:sz w:val="20"/>
          <w:szCs w:val="20"/>
          <w:lang w:val="nl-BE"/>
        </w:rPr>
        <w:t>Versporten A, Sharland M, Bielicki J, Drapier N, Vankerckhoven V, Goossens H</w:t>
      </w:r>
      <w:r w:rsidR="00230CE7" w:rsidRPr="008328A0">
        <w:rPr>
          <w:rStyle w:val="Strong"/>
          <w:rFonts w:ascii="Arial" w:hAnsi="Arial" w:cs="Arial"/>
          <w:color w:val="000000" w:themeColor="text1"/>
          <w:sz w:val="20"/>
          <w:szCs w:val="20"/>
          <w:lang w:val="nl-BE"/>
        </w:rPr>
        <w:t xml:space="preserve"> et </w:t>
      </w:r>
      <w:r w:rsidRPr="008328A0">
        <w:rPr>
          <w:rStyle w:val="Strong"/>
          <w:rFonts w:ascii="Arial" w:hAnsi="Arial" w:cs="Arial"/>
          <w:color w:val="000000" w:themeColor="text1"/>
          <w:sz w:val="20"/>
          <w:szCs w:val="20"/>
          <w:lang w:val="nl-BE"/>
        </w:rPr>
        <w:t xml:space="preserve"> al.</w:t>
      </w:r>
      <w:r w:rsidRPr="008328A0">
        <w:rPr>
          <w:rFonts w:ascii="Arial" w:hAnsi="Arial" w:cs="Arial"/>
          <w:color w:val="000000" w:themeColor="text1"/>
          <w:sz w:val="20"/>
          <w:szCs w:val="20"/>
          <w:lang w:val="nl-BE"/>
        </w:rPr>
        <w:t xml:space="preserve"> </w:t>
      </w:r>
      <w:r w:rsidR="00230CE7" w:rsidRPr="00C720CE">
        <w:rPr>
          <w:rFonts w:ascii="Arial" w:hAnsi="Arial" w:cs="Arial"/>
          <w:b/>
          <w:color w:val="000000" w:themeColor="text1"/>
          <w:sz w:val="20"/>
          <w:szCs w:val="20"/>
          <w:lang w:val="en-US"/>
        </w:rPr>
        <w:t>(2013).</w:t>
      </w:r>
      <w:r w:rsidR="00230CE7" w:rsidRPr="00C720CE">
        <w:rPr>
          <w:rFonts w:ascii="Arial" w:hAnsi="Arial" w:cs="Arial"/>
          <w:color w:val="000000" w:themeColor="text1"/>
          <w:sz w:val="20"/>
          <w:szCs w:val="20"/>
          <w:lang w:val="en-US"/>
        </w:rPr>
        <w:t xml:space="preserve"> </w:t>
      </w:r>
      <w:r w:rsidRPr="00C720CE">
        <w:rPr>
          <w:rFonts w:ascii="Arial" w:hAnsi="Arial" w:cs="Arial"/>
          <w:bCs/>
          <w:color w:val="000000" w:themeColor="text1"/>
          <w:kern w:val="36"/>
          <w:sz w:val="20"/>
          <w:szCs w:val="20"/>
          <w:lang w:val="en-US"/>
        </w:rPr>
        <w:t>The antibiotic resistance and prescribing in European Children project: a neonatal and pediatric antimicrobial web-based point prevalence survey in 73 hospitals worldwide. Pedi</w:t>
      </w:r>
      <w:r w:rsidRPr="00C720CE">
        <w:rPr>
          <w:rFonts w:ascii="Arial" w:hAnsi="Arial" w:cs="Arial"/>
          <w:color w:val="000000" w:themeColor="text1"/>
          <w:sz w:val="20"/>
          <w:szCs w:val="20"/>
          <w:lang w:val="en-US"/>
        </w:rPr>
        <w:t>atr</w:t>
      </w:r>
      <w:r w:rsidR="003E62FC" w:rsidRPr="00C720CE">
        <w:rPr>
          <w:rFonts w:ascii="Arial" w:hAnsi="Arial" w:cs="Arial"/>
          <w:color w:val="000000" w:themeColor="text1"/>
          <w:sz w:val="20"/>
          <w:szCs w:val="20"/>
          <w:lang w:val="en-US"/>
        </w:rPr>
        <w:t>ic</w:t>
      </w:r>
      <w:r w:rsidRPr="00C720CE">
        <w:rPr>
          <w:rFonts w:ascii="Arial" w:hAnsi="Arial" w:cs="Arial"/>
          <w:color w:val="000000" w:themeColor="text1"/>
          <w:sz w:val="20"/>
          <w:szCs w:val="20"/>
          <w:lang w:val="en-US"/>
        </w:rPr>
        <w:t xml:space="preserve"> Infect</w:t>
      </w:r>
      <w:r w:rsidR="003E62FC" w:rsidRPr="00C720CE">
        <w:rPr>
          <w:rFonts w:ascii="Arial" w:hAnsi="Arial" w:cs="Arial"/>
          <w:color w:val="000000" w:themeColor="text1"/>
          <w:sz w:val="20"/>
          <w:szCs w:val="20"/>
          <w:lang w:val="en-US"/>
        </w:rPr>
        <w:t>ious</w:t>
      </w:r>
      <w:r w:rsidRPr="00C720CE">
        <w:rPr>
          <w:rFonts w:ascii="Arial" w:hAnsi="Arial" w:cs="Arial"/>
          <w:color w:val="000000" w:themeColor="text1"/>
          <w:sz w:val="20"/>
          <w:szCs w:val="20"/>
          <w:lang w:val="en-US"/>
        </w:rPr>
        <w:t xml:space="preserve"> Dis</w:t>
      </w:r>
      <w:r w:rsidR="003E62FC" w:rsidRPr="00C720CE">
        <w:rPr>
          <w:rFonts w:ascii="Arial" w:hAnsi="Arial" w:cs="Arial"/>
          <w:color w:val="000000" w:themeColor="text1"/>
          <w:sz w:val="20"/>
          <w:szCs w:val="20"/>
          <w:lang w:val="en-US"/>
        </w:rPr>
        <w:t>ease</w:t>
      </w:r>
      <w:r w:rsidR="003E62FC" w:rsidRPr="00C720CE">
        <w:rPr>
          <w:rStyle w:val="cit"/>
          <w:rFonts w:ascii="Arial" w:hAnsi="Arial" w:cs="Arial"/>
          <w:color w:val="000000" w:themeColor="text1"/>
          <w:sz w:val="20"/>
          <w:szCs w:val="20"/>
          <w:lang w:val="en-US"/>
        </w:rPr>
        <w:t xml:space="preserve">, </w:t>
      </w:r>
      <w:r w:rsidRPr="00C720CE">
        <w:rPr>
          <w:rStyle w:val="cit"/>
          <w:rFonts w:ascii="Arial" w:hAnsi="Arial" w:cs="Arial"/>
          <w:color w:val="000000" w:themeColor="text1"/>
          <w:sz w:val="20"/>
          <w:szCs w:val="20"/>
          <w:lang w:val="en-US"/>
        </w:rPr>
        <w:t>32(6)</w:t>
      </w:r>
      <w:r w:rsidR="003E62FC" w:rsidRPr="00C720CE">
        <w:rPr>
          <w:rStyle w:val="cit"/>
          <w:rFonts w:ascii="Arial" w:hAnsi="Arial" w:cs="Arial"/>
          <w:color w:val="000000" w:themeColor="text1"/>
          <w:sz w:val="20"/>
          <w:szCs w:val="20"/>
          <w:lang w:val="en-US"/>
        </w:rPr>
        <w:t xml:space="preserve">, </w:t>
      </w:r>
      <w:r w:rsidRPr="00C720CE">
        <w:rPr>
          <w:rStyle w:val="cit"/>
          <w:rFonts w:ascii="Arial" w:hAnsi="Arial" w:cs="Arial"/>
          <w:color w:val="000000" w:themeColor="text1"/>
          <w:sz w:val="20"/>
          <w:szCs w:val="20"/>
          <w:lang w:val="en-US"/>
        </w:rPr>
        <w:t>e242-53.</w:t>
      </w:r>
      <w:r w:rsidR="003E62FC" w:rsidRPr="00C720CE">
        <w:rPr>
          <w:rStyle w:val="id-label"/>
          <w:rFonts w:ascii="Arial" w:hAnsi="Arial" w:cs="Arial"/>
          <w:color w:val="212121"/>
          <w:sz w:val="20"/>
          <w:szCs w:val="20"/>
        </w:rPr>
        <w:t xml:space="preserve"> </w:t>
      </w:r>
      <w:proofErr w:type="gramStart"/>
      <w:r w:rsidR="003E62FC" w:rsidRPr="00C720CE">
        <w:rPr>
          <w:rStyle w:val="id-label"/>
          <w:rFonts w:ascii="Arial" w:hAnsi="Arial" w:cs="Arial"/>
          <w:color w:val="212121"/>
          <w:sz w:val="20"/>
          <w:szCs w:val="20"/>
        </w:rPr>
        <w:t>PMID:</w:t>
      </w:r>
      <w:proofErr w:type="gramEnd"/>
      <w:r w:rsidR="003E62FC" w:rsidRPr="00C720CE">
        <w:rPr>
          <w:rStyle w:val="apple-converted-space"/>
          <w:rFonts w:ascii="Arial" w:hAnsi="Arial" w:cs="Arial"/>
          <w:color w:val="212121"/>
          <w:sz w:val="20"/>
          <w:szCs w:val="20"/>
        </w:rPr>
        <w:t> </w:t>
      </w:r>
      <w:r w:rsidR="003E62FC" w:rsidRPr="00C720CE">
        <w:rPr>
          <w:rStyle w:val="Strong"/>
          <w:rFonts w:ascii="Arial" w:hAnsi="Arial" w:cs="Arial"/>
          <w:b w:val="0"/>
          <w:bCs w:val="0"/>
          <w:color w:val="212121"/>
          <w:sz w:val="20"/>
          <w:szCs w:val="20"/>
        </w:rPr>
        <w:t>23838740</w:t>
      </w:r>
      <w:r w:rsidR="003E62FC" w:rsidRPr="00C720CE">
        <w:rPr>
          <w:rFonts w:ascii="Arial" w:hAnsi="Arial" w:cs="Arial"/>
          <w:color w:val="212121"/>
          <w:sz w:val="20"/>
          <w:szCs w:val="20"/>
        </w:rPr>
        <w:t xml:space="preserve">, </w:t>
      </w:r>
      <w:r w:rsidR="003E62FC" w:rsidRPr="00C720CE">
        <w:rPr>
          <w:rStyle w:val="id-label"/>
          <w:rFonts w:ascii="Arial" w:hAnsi="Arial" w:cs="Arial"/>
          <w:color w:val="212121"/>
          <w:sz w:val="20"/>
          <w:szCs w:val="20"/>
        </w:rPr>
        <w:t>DOI:</w:t>
      </w:r>
      <w:r w:rsidR="003E62FC" w:rsidRPr="00C720CE">
        <w:rPr>
          <w:rStyle w:val="apple-converted-space"/>
          <w:rFonts w:ascii="Arial" w:hAnsi="Arial" w:cs="Arial"/>
          <w:color w:val="212121"/>
          <w:sz w:val="20"/>
          <w:szCs w:val="20"/>
        </w:rPr>
        <w:t> </w:t>
      </w:r>
      <w:hyperlink r:id="rId18" w:tgtFrame="_blank" w:history="1">
        <w:r w:rsidR="003E62FC" w:rsidRPr="00C720CE">
          <w:rPr>
            <w:rStyle w:val="Hyperlink"/>
            <w:rFonts w:ascii="Arial" w:hAnsi="Arial" w:cs="Arial"/>
            <w:color w:val="0071BC"/>
            <w:sz w:val="20"/>
            <w:szCs w:val="20"/>
          </w:rPr>
          <w:t>10.1097/INF.0b013e318286c612</w:t>
        </w:r>
      </w:hyperlink>
    </w:p>
    <w:p w14:paraId="1257C5AF" w14:textId="77777777" w:rsidR="002A4C63" w:rsidRPr="00C720CE" w:rsidRDefault="00FF3423" w:rsidP="002A4C63">
      <w:pPr>
        <w:pStyle w:val="NormalWeb"/>
        <w:numPr>
          <w:ilvl w:val="0"/>
          <w:numId w:val="32"/>
        </w:numPr>
        <w:jc w:val="both"/>
        <w:rPr>
          <w:rFonts w:ascii="Arial" w:hAnsi="Arial" w:cs="Arial"/>
          <w:color w:val="000000" w:themeColor="text1"/>
          <w:sz w:val="20"/>
          <w:szCs w:val="20"/>
          <w:lang w:val="en-US"/>
        </w:rPr>
      </w:pPr>
      <w:proofErr w:type="spellStart"/>
      <w:r w:rsidRPr="00C720CE">
        <w:rPr>
          <w:rStyle w:val="Strong"/>
          <w:rFonts w:ascii="Arial" w:hAnsi="Arial" w:cs="Arial"/>
          <w:color w:val="000000" w:themeColor="text1"/>
          <w:sz w:val="20"/>
          <w:szCs w:val="20"/>
        </w:rPr>
        <w:t>Versporten</w:t>
      </w:r>
      <w:proofErr w:type="spellEnd"/>
      <w:r w:rsidRPr="00C720CE">
        <w:rPr>
          <w:rStyle w:val="Strong"/>
          <w:rFonts w:ascii="Arial" w:hAnsi="Arial" w:cs="Arial"/>
          <w:color w:val="000000" w:themeColor="text1"/>
          <w:sz w:val="20"/>
          <w:szCs w:val="20"/>
        </w:rPr>
        <w:t xml:space="preserve"> A, Zarb P, </w:t>
      </w:r>
      <w:proofErr w:type="spellStart"/>
      <w:r w:rsidRPr="00C720CE">
        <w:rPr>
          <w:rStyle w:val="Strong"/>
          <w:rFonts w:ascii="Arial" w:hAnsi="Arial" w:cs="Arial"/>
          <w:color w:val="000000" w:themeColor="text1"/>
          <w:sz w:val="20"/>
          <w:szCs w:val="20"/>
        </w:rPr>
        <w:t>Caniaux</w:t>
      </w:r>
      <w:proofErr w:type="spellEnd"/>
      <w:r w:rsidRPr="00C720CE">
        <w:rPr>
          <w:rStyle w:val="Strong"/>
          <w:rFonts w:ascii="Arial" w:hAnsi="Arial" w:cs="Arial"/>
          <w:color w:val="000000" w:themeColor="text1"/>
          <w:sz w:val="20"/>
          <w:szCs w:val="20"/>
        </w:rPr>
        <w:t xml:space="preserve"> I, Gros MF, Drapier N, Miller M</w:t>
      </w:r>
      <w:r w:rsidR="00694C62" w:rsidRPr="00C720CE">
        <w:rPr>
          <w:rStyle w:val="Strong"/>
          <w:rFonts w:ascii="Arial" w:hAnsi="Arial" w:cs="Arial"/>
          <w:color w:val="000000" w:themeColor="text1"/>
          <w:sz w:val="20"/>
          <w:szCs w:val="20"/>
        </w:rPr>
        <w:t xml:space="preserve"> et</w:t>
      </w:r>
      <w:r w:rsidRPr="00C720CE">
        <w:rPr>
          <w:rStyle w:val="Strong"/>
          <w:rFonts w:ascii="Arial" w:hAnsi="Arial" w:cs="Arial"/>
          <w:color w:val="000000" w:themeColor="text1"/>
          <w:sz w:val="20"/>
          <w:szCs w:val="20"/>
        </w:rPr>
        <w:t xml:space="preserve"> al.</w:t>
      </w:r>
      <w:r w:rsidR="00694C62" w:rsidRPr="00C720CE">
        <w:rPr>
          <w:rStyle w:val="Strong"/>
          <w:rFonts w:ascii="Arial" w:hAnsi="Arial" w:cs="Arial"/>
          <w:i/>
          <w:color w:val="000000" w:themeColor="text1"/>
          <w:sz w:val="20"/>
          <w:szCs w:val="20"/>
        </w:rPr>
        <w:t xml:space="preserve"> </w:t>
      </w:r>
      <w:r w:rsidR="00694C62" w:rsidRPr="00C720CE">
        <w:rPr>
          <w:rStyle w:val="Strong"/>
          <w:rFonts w:ascii="Arial" w:hAnsi="Arial" w:cs="Arial"/>
          <w:color w:val="000000" w:themeColor="text1"/>
          <w:sz w:val="20"/>
          <w:szCs w:val="20"/>
          <w:lang w:val="en-US"/>
        </w:rPr>
        <w:t>(2018</w:t>
      </w:r>
      <w:r w:rsidR="00694C62" w:rsidRPr="00C720CE">
        <w:rPr>
          <w:rStyle w:val="Strong"/>
          <w:rFonts w:ascii="Arial" w:hAnsi="Arial" w:cs="Arial"/>
          <w:i/>
          <w:color w:val="000000" w:themeColor="text1"/>
          <w:sz w:val="20"/>
          <w:szCs w:val="20"/>
          <w:lang w:val="en-US"/>
        </w:rPr>
        <w:t>).</w:t>
      </w:r>
      <w:r w:rsidRPr="00C720CE">
        <w:rPr>
          <w:rFonts w:ascii="Arial" w:hAnsi="Arial" w:cs="Arial"/>
          <w:color w:val="000000" w:themeColor="text1"/>
          <w:sz w:val="20"/>
          <w:szCs w:val="20"/>
          <w:lang w:val="en-US"/>
        </w:rPr>
        <w:t xml:space="preserve"> </w:t>
      </w:r>
      <w:r w:rsidRPr="00C720CE">
        <w:rPr>
          <w:rFonts w:ascii="Arial" w:hAnsi="Arial" w:cs="Arial"/>
          <w:bCs/>
          <w:color w:val="000000" w:themeColor="text1"/>
          <w:sz w:val="20"/>
          <w:szCs w:val="20"/>
          <w:lang w:val="en-US"/>
        </w:rPr>
        <w:t>Antimicrobial consumption and resistance in adult hospital inpatients in 53 countries: results of an internet-based global point prevalence survey</w:t>
      </w:r>
      <w:r w:rsidRPr="00C720CE">
        <w:rPr>
          <w:rFonts w:ascii="Arial" w:hAnsi="Arial" w:cs="Arial"/>
          <w:b/>
          <w:bCs/>
          <w:color w:val="000000" w:themeColor="text1"/>
          <w:sz w:val="20"/>
          <w:szCs w:val="20"/>
          <w:lang w:val="en-US"/>
        </w:rPr>
        <w:t xml:space="preserve">. </w:t>
      </w:r>
      <w:r w:rsidRPr="00C720CE">
        <w:rPr>
          <w:rFonts w:ascii="Arial" w:hAnsi="Arial" w:cs="Arial"/>
          <w:bCs/>
          <w:iCs/>
          <w:color w:val="000000" w:themeColor="text1"/>
          <w:sz w:val="20"/>
          <w:szCs w:val="20"/>
          <w:lang w:val="en-US"/>
        </w:rPr>
        <w:t>Lancet Glob</w:t>
      </w:r>
      <w:r w:rsidR="002A4C63" w:rsidRPr="00C720CE">
        <w:rPr>
          <w:rFonts w:ascii="Arial" w:hAnsi="Arial" w:cs="Arial"/>
          <w:bCs/>
          <w:iCs/>
          <w:color w:val="000000" w:themeColor="text1"/>
          <w:sz w:val="20"/>
          <w:szCs w:val="20"/>
          <w:lang w:val="en-US"/>
        </w:rPr>
        <w:t>al</w:t>
      </w:r>
      <w:r w:rsidRPr="00C720CE">
        <w:rPr>
          <w:rFonts w:ascii="Arial" w:hAnsi="Arial" w:cs="Arial"/>
          <w:bCs/>
          <w:iCs/>
          <w:color w:val="000000" w:themeColor="text1"/>
          <w:sz w:val="20"/>
          <w:szCs w:val="20"/>
          <w:lang w:val="en-US"/>
        </w:rPr>
        <w:t xml:space="preserve"> Health</w:t>
      </w:r>
      <w:r w:rsidR="002A4C63" w:rsidRPr="00C720CE">
        <w:rPr>
          <w:rFonts w:ascii="Arial" w:hAnsi="Arial" w:cs="Arial"/>
          <w:bCs/>
          <w:iCs/>
          <w:color w:val="000000" w:themeColor="text1"/>
          <w:sz w:val="20"/>
          <w:szCs w:val="20"/>
          <w:lang w:val="en-US"/>
        </w:rPr>
        <w:t xml:space="preserve">, </w:t>
      </w:r>
      <w:r w:rsidRPr="00C720CE">
        <w:rPr>
          <w:rFonts w:ascii="Arial" w:hAnsi="Arial" w:cs="Arial"/>
          <w:bCs/>
          <w:color w:val="000000" w:themeColor="text1"/>
          <w:sz w:val="20"/>
          <w:szCs w:val="20"/>
          <w:lang w:val="en-US"/>
        </w:rPr>
        <w:t>6</w:t>
      </w:r>
      <w:r w:rsidR="002A4C63" w:rsidRPr="00C720CE">
        <w:rPr>
          <w:rFonts w:ascii="Arial" w:hAnsi="Arial" w:cs="Arial"/>
          <w:bCs/>
          <w:color w:val="000000" w:themeColor="text1"/>
          <w:sz w:val="20"/>
          <w:szCs w:val="20"/>
          <w:lang w:val="en-US"/>
        </w:rPr>
        <w:t xml:space="preserve">, </w:t>
      </w:r>
      <w:r w:rsidRPr="00C720CE">
        <w:rPr>
          <w:rFonts w:ascii="Arial" w:hAnsi="Arial" w:cs="Arial"/>
          <w:bCs/>
          <w:color w:val="000000" w:themeColor="text1"/>
          <w:sz w:val="20"/>
          <w:szCs w:val="20"/>
          <w:lang w:val="en-US"/>
        </w:rPr>
        <w:t xml:space="preserve">e619-29.  </w:t>
      </w:r>
      <w:proofErr w:type="gramStart"/>
      <w:r w:rsidR="002A4C63" w:rsidRPr="00C720CE">
        <w:rPr>
          <w:rStyle w:val="id-label"/>
          <w:rFonts w:ascii="Arial" w:hAnsi="Arial" w:cs="Arial"/>
          <w:color w:val="212121"/>
          <w:sz w:val="20"/>
          <w:szCs w:val="20"/>
        </w:rPr>
        <w:t>PMID:</w:t>
      </w:r>
      <w:proofErr w:type="gramEnd"/>
      <w:r w:rsidR="002A4C63" w:rsidRPr="00C720CE">
        <w:rPr>
          <w:rStyle w:val="apple-converted-space"/>
          <w:rFonts w:ascii="Arial" w:hAnsi="Arial" w:cs="Arial"/>
          <w:color w:val="212121"/>
          <w:sz w:val="20"/>
          <w:szCs w:val="20"/>
        </w:rPr>
        <w:t> </w:t>
      </w:r>
      <w:r w:rsidR="002A4C63" w:rsidRPr="00C720CE">
        <w:rPr>
          <w:rStyle w:val="Strong"/>
          <w:rFonts w:ascii="Arial" w:hAnsi="Arial" w:cs="Arial"/>
          <w:b w:val="0"/>
          <w:bCs w:val="0"/>
          <w:color w:val="212121"/>
          <w:sz w:val="20"/>
          <w:szCs w:val="20"/>
        </w:rPr>
        <w:t xml:space="preserve">29681513, </w:t>
      </w:r>
      <w:r w:rsidR="002A4C63" w:rsidRPr="00C720CE">
        <w:rPr>
          <w:rStyle w:val="id-label"/>
          <w:rFonts w:ascii="Arial" w:hAnsi="Arial" w:cs="Arial"/>
          <w:color w:val="212121"/>
          <w:sz w:val="20"/>
          <w:szCs w:val="20"/>
        </w:rPr>
        <w:t>DOI:</w:t>
      </w:r>
      <w:r w:rsidR="002A4C63" w:rsidRPr="00C720CE">
        <w:rPr>
          <w:rStyle w:val="apple-converted-space"/>
          <w:rFonts w:ascii="Arial" w:hAnsi="Arial" w:cs="Arial"/>
          <w:color w:val="212121"/>
          <w:sz w:val="20"/>
          <w:szCs w:val="20"/>
        </w:rPr>
        <w:t> </w:t>
      </w:r>
      <w:hyperlink r:id="rId19" w:tgtFrame="_blank" w:history="1">
        <w:r w:rsidR="002A4C63" w:rsidRPr="00C720CE">
          <w:rPr>
            <w:rStyle w:val="Hyperlink"/>
            <w:rFonts w:ascii="Arial" w:hAnsi="Arial" w:cs="Arial"/>
            <w:color w:val="0071BC"/>
            <w:sz w:val="20"/>
            <w:szCs w:val="20"/>
          </w:rPr>
          <w:t>10.1016/S2214-109X(18)30186-4</w:t>
        </w:r>
      </w:hyperlink>
    </w:p>
    <w:p w14:paraId="4C478B76" w14:textId="0E561EB5" w:rsidR="002A4C63" w:rsidRPr="00C720CE" w:rsidRDefault="00FF3423" w:rsidP="004601EA">
      <w:pPr>
        <w:pStyle w:val="NormalWeb"/>
        <w:numPr>
          <w:ilvl w:val="0"/>
          <w:numId w:val="32"/>
        </w:numPr>
        <w:jc w:val="both"/>
        <w:rPr>
          <w:rFonts w:ascii="Arial" w:hAnsi="Arial" w:cs="Arial"/>
          <w:color w:val="000000" w:themeColor="text1"/>
          <w:sz w:val="20"/>
          <w:szCs w:val="20"/>
          <w:lang w:val="en-US"/>
        </w:rPr>
      </w:pPr>
      <w:proofErr w:type="spellStart"/>
      <w:r w:rsidRPr="00C720CE">
        <w:rPr>
          <w:rFonts w:ascii="Arial" w:hAnsi="Arial" w:cs="Arial"/>
          <w:b/>
          <w:color w:val="000000" w:themeColor="text1"/>
          <w:sz w:val="20"/>
          <w:szCs w:val="20"/>
          <w:lang w:val="en-US"/>
        </w:rPr>
        <w:t>Prusakov</w:t>
      </w:r>
      <w:proofErr w:type="spellEnd"/>
      <w:r w:rsidRPr="00C720CE">
        <w:rPr>
          <w:rFonts w:ascii="Arial" w:hAnsi="Arial" w:cs="Arial"/>
          <w:b/>
          <w:color w:val="000000" w:themeColor="text1"/>
          <w:sz w:val="20"/>
          <w:szCs w:val="20"/>
          <w:lang w:val="en-US"/>
        </w:rPr>
        <w:t xml:space="preserve"> P, Goff DA, Wozniak PS, </w:t>
      </w:r>
      <w:proofErr w:type="spellStart"/>
      <w:r w:rsidRPr="00C720CE">
        <w:rPr>
          <w:rFonts w:ascii="Arial" w:hAnsi="Arial" w:cs="Arial"/>
          <w:b/>
          <w:color w:val="000000" w:themeColor="text1"/>
          <w:sz w:val="20"/>
          <w:szCs w:val="20"/>
          <w:lang w:val="en-US"/>
        </w:rPr>
        <w:t>Cassim</w:t>
      </w:r>
      <w:proofErr w:type="spellEnd"/>
      <w:r w:rsidRPr="00C720CE">
        <w:rPr>
          <w:rFonts w:ascii="Arial" w:hAnsi="Arial" w:cs="Arial"/>
          <w:b/>
          <w:color w:val="000000" w:themeColor="text1"/>
          <w:sz w:val="20"/>
          <w:szCs w:val="20"/>
          <w:lang w:val="en-US"/>
        </w:rPr>
        <w:t xml:space="preserve"> A, </w:t>
      </w:r>
      <w:proofErr w:type="spellStart"/>
      <w:r w:rsidRPr="00C720CE">
        <w:rPr>
          <w:rFonts w:ascii="Arial" w:hAnsi="Arial" w:cs="Arial"/>
          <w:b/>
          <w:color w:val="000000" w:themeColor="text1"/>
          <w:sz w:val="20"/>
          <w:szCs w:val="20"/>
          <w:lang w:val="en-US"/>
        </w:rPr>
        <w:t>Scipion</w:t>
      </w:r>
      <w:proofErr w:type="spellEnd"/>
      <w:r w:rsidRPr="00C720CE">
        <w:rPr>
          <w:rFonts w:ascii="Arial" w:hAnsi="Arial" w:cs="Arial"/>
          <w:b/>
          <w:color w:val="000000" w:themeColor="text1"/>
          <w:sz w:val="20"/>
          <w:szCs w:val="20"/>
          <w:lang w:val="en-US"/>
        </w:rPr>
        <w:t xml:space="preserve"> CEA, </w:t>
      </w:r>
      <w:proofErr w:type="spellStart"/>
      <w:r w:rsidRPr="00C720CE">
        <w:rPr>
          <w:rFonts w:ascii="Arial" w:hAnsi="Arial" w:cs="Arial"/>
          <w:b/>
          <w:color w:val="000000" w:themeColor="text1"/>
          <w:sz w:val="20"/>
          <w:szCs w:val="20"/>
          <w:lang w:val="en-US"/>
        </w:rPr>
        <w:t>Urzu</w:t>
      </w:r>
      <w:proofErr w:type="spellEnd"/>
      <w:r w:rsidRPr="00C720CE">
        <w:rPr>
          <w:rFonts w:ascii="Arial" w:hAnsi="Arial" w:cs="Arial"/>
          <w:b/>
          <w:color w:val="000000" w:themeColor="text1"/>
          <w:position w:val="2"/>
          <w:sz w:val="20"/>
          <w:szCs w:val="20"/>
          <w:lang w:val="en-US"/>
        </w:rPr>
        <w:t xml:space="preserve"> S </w:t>
      </w:r>
      <w:r w:rsidR="002A4C63" w:rsidRPr="00C720CE">
        <w:rPr>
          <w:rFonts w:ascii="Arial" w:hAnsi="Arial" w:cs="Arial"/>
          <w:b/>
          <w:color w:val="000000" w:themeColor="text1"/>
          <w:position w:val="2"/>
          <w:sz w:val="20"/>
          <w:szCs w:val="20"/>
          <w:lang w:val="en-US"/>
        </w:rPr>
        <w:t>et</w:t>
      </w:r>
      <w:r w:rsidRPr="00C720CE">
        <w:rPr>
          <w:rFonts w:ascii="Arial" w:hAnsi="Arial" w:cs="Arial"/>
          <w:b/>
          <w:color w:val="000000" w:themeColor="text1"/>
          <w:position w:val="2"/>
          <w:sz w:val="20"/>
          <w:szCs w:val="20"/>
          <w:lang w:val="en-US"/>
        </w:rPr>
        <w:t xml:space="preserve"> al</w:t>
      </w:r>
      <w:r w:rsidRPr="00C720CE">
        <w:rPr>
          <w:rStyle w:val="Strong"/>
          <w:rFonts w:ascii="Arial" w:hAnsi="Arial" w:cs="Arial"/>
          <w:color w:val="000000" w:themeColor="text1"/>
          <w:sz w:val="20"/>
          <w:szCs w:val="20"/>
          <w:lang w:val="en-US"/>
        </w:rPr>
        <w:t>.</w:t>
      </w:r>
      <w:r w:rsidRPr="00C720CE">
        <w:rPr>
          <w:rFonts w:ascii="Arial" w:hAnsi="Arial" w:cs="Arial"/>
          <w:color w:val="000000" w:themeColor="text1"/>
          <w:sz w:val="20"/>
          <w:szCs w:val="20"/>
          <w:lang w:val="en-US"/>
        </w:rPr>
        <w:t xml:space="preserve"> </w:t>
      </w:r>
      <w:r w:rsidR="002A4C63" w:rsidRPr="00C720CE">
        <w:rPr>
          <w:rFonts w:ascii="Arial" w:hAnsi="Arial" w:cs="Arial"/>
          <w:b/>
          <w:color w:val="000000" w:themeColor="text1"/>
          <w:sz w:val="20"/>
          <w:szCs w:val="20"/>
          <w:lang w:val="en-US"/>
        </w:rPr>
        <w:t>(2021).</w:t>
      </w:r>
      <w:r w:rsidR="002A4C63" w:rsidRPr="00C720CE">
        <w:rPr>
          <w:rFonts w:ascii="Arial" w:hAnsi="Arial" w:cs="Arial"/>
          <w:color w:val="000000" w:themeColor="text1"/>
          <w:sz w:val="20"/>
          <w:szCs w:val="20"/>
          <w:lang w:val="en-US"/>
        </w:rPr>
        <w:t xml:space="preserve"> </w:t>
      </w:r>
      <w:r w:rsidRPr="00C720CE">
        <w:rPr>
          <w:rFonts w:ascii="Arial" w:hAnsi="Arial" w:cs="Arial"/>
          <w:color w:val="000000" w:themeColor="text1"/>
          <w:sz w:val="20"/>
          <w:szCs w:val="20"/>
          <w:lang w:val="en-US"/>
        </w:rPr>
        <w:t xml:space="preserve">A global point prevalence survey of antimicrobial use in neonatal intensive care units: The no-more-antibiotics and resistance (NO-MAS-R) study. </w:t>
      </w:r>
      <w:proofErr w:type="spellStart"/>
      <w:r w:rsidR="00AF6A09">
        <w:rPr>
          <w:rFonts w:ascii="Arial" w:hAnsi="Arial" w:cs="Arial"/>
          <w:color w:val="000000" w:themeColor="text1"/>
          <w:sz w:val="20"/>
          <w:szCs w:val="20"/>
          <w:lang w:val="en-US"/>
        </w:rPr>
        <w:t>e</w:t>
      </w:r>
      <w:r w:rsidRPr="00C720CE">
        <w:rPr>
          <w:rFonts w:ascii="Arial" w:hAnsi="Arial" w:cs="Arial"/>
          <w:color w:val="000000" w:themeColor="text1"/>
          <w:sz w:val="20"/>
          <w:szCs w:val="20"/>
          <w:lang w:val="en-US"/>
        </w:rPr>
        <w:t>ClinicalMedicine</w:t>
      </w:r>
      <w:proofErr w:type="spellEnd"/>
      <w:r w:rsidR="002A4C63" w:rsidRPr="00C720CE">
        <w:rPr>
          <w:rFonts w:ascii="Arial" w:hAnsi="Arial" w:cs="Arial"/>
          <w:color w:val="000000" w:themeColor="text1"/>
          <w:sz w:val="20"/>
          <w:szCs w:val="20"/>
          <w:lang w:val="en-US"/>
        </w:rPr>
        <w:t xml:space="preserve">, </w:t>
      </w:r>
      <w:r w:rsidRPr="00C720CE">
        <w:rPr>
          <w:rFonts w:ascii="Arial" w:hAnsi="Arial" w:cs="Arial"/>
          <w:color w:val="000000" w:themeColor="text1"/>
          <w:sz w:val="20"/>
          <w:szCs w:val="20"/>
          <w:lang w:val="en-US"/>
        </w:rPr>
        <w:t>32</w:t>
      </w:r>
      <w:r w:rsidR="004601EA" w:rsidRPr="00C720CE">
        <w:rPr>
          <w:rFonts w:ascii="Arial" w:hAnsi="Arial" w:cs="Arial"/>
          <w:color w:val="000000" w:themeColor="text1"/>
          <w:sz w:val="20"/>
          <w:szCs w:val="20"/>
          <w:lang w:val="en-US"/>
        </w:rPr>
        <w:t xml:space="preserve">, </w:t>
      </w:r>
      <w:r w:rsidRPr="00C720CE">
        <w:rPr>
          <w:rFonts w:ascii="Arial" w:hAnsi="Arial" w:cs="Arial"/>
          <w:color w:val="000000" w:themeColor="text1"/>
          <w:sz w:val="20"/>
          <w:szCs w:val="20"/>
          <w:lang w:val="en-US"/>
        </w:rPr>
        <w:t>100727</w:t>
      </w:r>
      <w:r w:rsidR="004601EA" w:rsidRPr="00C720CE">
        <w:rPr>
          <w:rFonts w:ascii="Arial" w:hAnsi="Arial" w:cs="Arial"/>
          <w:color w:val="000000" w:themeColor="text1"/>
          <w:sz w:val="20"/>
          <w:szCs w:val="20"/>
          <w:lang w:val="en-US"/>
        </w:rPr>
        <w:t xml:space="preserve">. </w:t>
      </w:r>
      <w:r w:rsidR="002A4C63" w:rsidRPr="00E5798C">
        <w:rPr>
          <w:rStyle w:val="id-label"/>
          <w:rFonts w:ascii="Arial" w:hAnsi="Arial" w:cs="Arial"/>
          <w:color w:val="212121"/>
          <w:sz w:val="20"/>
          <w:szCs w:val="20"/>
          <w:lang w:val="en-US"/>
        </w:rPr>
        <w:t>PMID:</w:t>
      </w:r>
      <w:r w:rsidR="002A4C63" w:rsidRPr="00E5798C">
        <w:rPr>
          <w:rStyle w:val="apple-converted-space"/>
          <w:rFonts w:ascii="Arial" w:hAnsi="Arial" w:cs="Arial"/>
          <w:color w:val="212121"/>
          <w:sz w:val="20"/>
          <w:szCs w:val="20"/>
          <w:lang w:val="en-US"/>
        </w:rPr>
        <w:t> </w:t>
      </w:r>
      <w:r w:rsidR="002A4C63" w:rsidRPr="00E5798C">
        <w:rPr>
          <w:rStyle w:val="Strong"/>
          <w:rFonts w:ascii="Arial" w:hAnsi="Arial" w:cs="Arial"/>
          <w:b w:val="0"/>
          <w:bCs w:val="0"/>
          <w:color w:val="212121"/>
          <w:sz w:val="20"/>
          <w:szCs w:val="20"/>
          <w:lang w:val="en-US"/>
        </w:rPr>
        <w:t>33554094</w:t>
      </w:r>
      <w:r w:rsidR="004601EA" w:rsidRPr="00E5798C">
        <w:rPr>
          <w:rStyle w:val="Strong"/>
          <w:rFonts w:ascii="Arial" w:hAnsi="Arial" w:cs="Arial"/>
          <w:b w:val="0"/>
          <w:bCs w:val="0"/>
          <w:color w:val="212121"/>
          <w:sz w:val="20"/>
          <w:szCs w:val="20"/>
          <w:lang w:val="en-US"/>
        </w:rPr>
        <w:t xml:space="preserve">, </w:t>
      </w:r>
      <w:r w:rsidR="002A4C63" w:rsidRPr="00E5798C">
        <w:rPr>
          <w:rStyle w:val="id-label"/>
          <w:rFonts w:ascii="Arial" w:hAnsi="Arial" w:cs="Arial"/>
          <w:color w:val="212121"/>
          <w:sz w:val="20"/>
          <w:szCs w:val="20"/>
          <w:lang w:val="en-US"/>
        </w:rPr>
        <w:t>PMCID:</w:t>
      </w:r>
      <w:r w:rsidR="002A4C63" w:rsidRPr="00E5798C">
        <w:rPr>
          <w:rStyle w:val="apple-converted-space"/>
          <w:rFonts w:ascii="Arial" w:hAnsi="Arial" w:cs="Arial"/>
          <w:color w:val="212121"/>
          <w:sz w:val="20"/>
          <w:szCs w:val="20"/>
          <w:lang w:val="en-US"/>
        </w:rPr>
        <w:t> </w:t>
      </w:r>
      <w:hyperlink r:id="rId20" w:tgtFrame="_blank" w:history="1">
        <w:r w:rsidR="002A4C63" w:rsidRPr="00E5798C">
          <w:rPr>
            <w:rStyle w:val="Hyperlink"/>
            <w:rFonts w:ascii="Arial" w:hAnsi="Arial" w:cs="Arial"/>
            <w:color w:val="0071BC"/>
            <w:sz w:val="20"/>
            <w:szCs w:val="20"/>
            <w:lang w:val="en-US"/>
          </w:rPr>
          <w:t>PMC7848759</w:t>
        </w:r>
      </w:hyperlink>
      <w:r w:rsidR="004601EA" w:rsidRPr="00E5798C">
        <w:rPr>
          <w:rStyle w:val="identifier"/>
          <w:rFonts w:ascii="Arial" w:hAnsi="Arial" w:cs="Arial"/>
          <w:color w:val="212121"/>
          <w:sz w:val="20"/>
          <w:szCs w:val="20"/>
          <w:lang w:val="en-US"/>
        </w:rPr>
        <w:t xml:space="preserve">, </w:t>
      </w:r>
      <w:r w:rsidR="002A4C63" w:rsidRPr="00E5798C">
        <w:rPr>
          <w:rStyle w:val="id-label"/>
          <w:rFonts w:ascii="Arial" w:hAnsi="Arial" w:cs="Arial"/>
          <w:color w:val="212121"/>
          <w:sz w:val="20"/>
          <w:szCs w:val="20"/>
          <w:lang w:val="en-US"/>
        </w:rPr>
        <w:t>DOI:</w:t>
      </w:r>
      <w:r w:rsidR="002A4C63" w:rsidRPr="00E5798C">
        <w:rPr>
          <w:rStyle w:val="apple-converted-space"/>
          <w:rFonts w:ascii="Arial" w:hAnsi="Arial" w:cs="Arial"/>
          <w:color w:val="212121"/>
          <w:sz w:val="20"/>
          <w:szCs w:val="20"/>
          <w:lang w:val="en-US"/>
        </w:rPr>
        <w:t> </w:t>
      </w:r>
      <w:hyperlink r:id="rId21" w:tgtFrame="_blank" w:history="1">
        <w:r w:rsidR="002A4C63" w:rsidRPr="00E5798C">
          <w:rPr>
            <w:rStyle w:val="Hyperlink"/>
            <w:rFonts w:ascii="Arial" w:hAnsi="Arial" w:cs="Arial"/>
            <w:color w:val="0071BC"/>
            <w:sz w:val="20"/>
            <w:szCs w:val="20"/>
            <w:lang w:val="en-US"/>
          </w:rPr>
          <w:t>10.1016/j.eclinm.2021.100727</w:t>
        </w:r>
      </w:hyperlink>
    </w:p>
    <w:p w14:paraId="6FBE133E" w14:textId="77777777" w:rsidR="004601EA" w:rsidRPr="00C720CE" w:rsidRDefault="00FF3423" w:rsidP="004601EA">
      <w:pPr>
        <w:pStyle w:val="NormalWeb"/>
        <w:numPr>
          <w:ilvl w:val="0"/>
          <w:numId w:val="32"/>
        </w:numPr>
        <w:jc w:val="both"/>
        <w:rPr>
          <w:rStyle w:val="secondary-date"/>
          <w:rFonts w:ascii="Arial" w:hAnsi="Arial" w:cs="Arial"/>
          <w:color w:val="000000" w:themeColor="text1"/>
          <w:sz w:val="20"/>
          <w:szCs w:val="20"/>
        </w:rPr>
      </w:pPr>
      <w:r w:rsidRPr="00C720CE">
        <w:rPr>
          <w:rStyle w:val="Strong"/>
          <w:rFonts w:ascii="Arial" w:hAnsi="Arial" w:cs="Arial"/>
          <w:color w:val="000000" w:themeColor="text1"/>
          <w:sz w:val="20"/>
          <w:szCs w:val="20"/>
          <w:lang w:val="en-US"/>
        </w:rPr>
        <w:t xml:space="preserve">Labi AK, Obeng-Nkruma N, Dayle NTK, </w:t>
      </w:r>
      <w:proofErr w:type="spellStart"/>
      <w:r w:rsidRPr="00C720CE">
        <w:rPr>
          <w:rStyle w:val="Strong"/>
          <w:rFonts w:ascii="Arial" w:hAnsi="Arial" w:cs="Arial"/>
          <w:color w:val="000000" w:themeColor="text1"/>
          <w:sz w:val="20"/>
          <w:szCs w:val="20"/>
          <w:lang w:val="en-US"/>
        </w:rPr>
        <w:t>Egyir</w:t>
      </w:r>
      <w:proofErr w:type="spellEnd"/>
      <w:r w:rsidRPr="00C720CE">
        <w:rPr>
          <w:rStyle w:val="Strong"/>
          <w:rFonts w:ascii="Arial" w:hAnsi="Arial" w:cs="Arial"/>
          <w:color w:val="000000" w:themeColor="text1"/>
          <w:sz w:val="20"/>
          <w:szCs w:val="20"/>
          <w:lang w:val="en-US"/>
        </w:rPr>
        <w:t xml:space="preserve"> B, </w:t>
      </w:r>
      <w:proofErr w:type="spellStart"/>
      <w:r w:rsidRPr="00C720CE">
        <w:rPr>
          <w:rStyle w:val="Strong"/>
          <w:rFonts w:ascii="Arial" w:hAnsi="Arial" w:cs="Arial"/>
          <w:color w:val="000000" w:themeColor="text1"/>
          <w:sz w:val="20"/>
          <w:szCs w:val="20"/>
          <w:lang w:val="en-US"/>
        </w:rPr>
        <w:t>Sampane</w:t>
      </w:r>
      <w:proofErr w:type="spellEnd"/>
      <w:r w:rsidRPr="00C720CE">
        <w:rPr>
          <w:rStyle w:val="Strong"/>
          <w:rFonts w:ascii="Arial" w:hAnsi="Arial" w:cs="Arial"/>
          <w:color w:val="000000" w:themeColor="text1"/>
          <w:sz w:val="20"/>
          <w:szCs w:val="20"/>
          <w:lang w:val="en-US"/>
        </w:rPr>
        <w:t xml:space="preserve">-Donkor E, Newman MJ and </w:t>
      </w:r>
      <w:proofErr w:type="spellStart"/>
      <w:r w:rsidRPr="00C720CE">
        <w:rPr>
          <w:rStyle w:val="Strong"/>
          <w:rFonts w:ascii="Arial" w:hAnsi="Arial" w:cs="Arial"/>
          <w:color w:val="000000" w:themeColor="text1"/>
          <w:sz w:val="20"/>
          <w:szCs w:val="20"/>
          <w:lang w:val="en-US"/>
        </w:rPr>
        <w:t>Opintah</w:t>
      </w:r>
      <w:proofErr w:type="spellEnd"/>
      <w:r w:rsidRPr="00C720CE">
        <w:rPr>
          <w:rStyle w:val="Strong"/>
          <w:rFonts w:ascii="Arial" w:hAnsi="Arial" w:cs="Arial"/>
          <w:color w:val="000000" w:themeColor="text1"/>
          <w:sz w:val="20"/>
          <w:szCs w:val="20"/>
          <w:lang w:val="en-US"/>
        </w:rPr>
        <w:t xml:space="preserve"> JA</w:t>
      </w:r>
      <w:r w:rsidR="004601EA" w:rsidRPr="00C720CE">
        <w:rPr>
          <w:rStyle w:val="Strong"/>
          <w:rFonts w:ascii="Arial" w:hAnsi="Arial" w:cs="Arial"/>
          <w:color w:val="000000" w:themeColor="text1"/>
          <w:sz w:val="20"/>
          <w:szCs w:val="20"/>
          <w:lang w:val="en-US"/>
        </w:rPr>
        <w:t xml:space="preserve"> (2021)</w:t>
      </w:r>
      <w:r w:rsidRPr="00C720CE">
        <w:rPr>
          <w:rStyle w:val="Strong"/>
          <w:rFonts w:ascii="Arial" w:hAnsi="Arial" w:cs="Arial"/>
          <w:color w:val="000000" w:themeColor="text1"/>
          <w:sz w:val="20"/>
          <w:szCs w:val="20"/>
          <w:lang w:val="en-US"/>
        </w:rPr>
        <w:t>.</w:t>
      </w:r>
      <w:r w:rsidRPr="00C720CE">
        <w:rPr>
          <w:rFonts w:ascii="Arial" w:hAnsi="Arial" w:cs="Arial"/>
          <w:color w:val="000000" w:themeColor="text1"/>
          <w:sz w:val="20"/>
          <w:szCs w:val="20"/>
          <w:lang w:val="en-US"/>
        </w:rPr>
        <w:t xml:space="preserve"> Antimicrobial use in hospitalized patients: a </w:t>
      </w:r>
      <w:proofErr w:type="spellStart"/>
      <w:r w:rsidRPr="00C720CE">
        <w:rPr>
          <w:rFonts w:ascii="Arial" w:hAnsi="Arial" w:cs="Arial"/>
          <w:color w:val="000000" w:themeColor="text1"/>
          <w:sz w:val="20"/>
          <w:szCs w:val="20"/>
          <w:lang w:val="en-US"/>
        </w:rPr>
        <w:t>multicentre</w:t>
      </w:r>
      <w:proofErr w:type="spellEnd"/>
      <w:r w:rsidRPr="00C720CE">
        <w:rPr>
          <w:rFonts w:ascii="Arial" w:hAnsi="Arial" w:cs="Arial"/>
          <w:color w:val="000000" w:themeColor="text1"/>
          <w:sz w:val="20"/>
          <w:szCs w:val="20"/>
          <w:lang w:val="en-US"/>
        </w:rPr>
        <w:t xml:space="preserve"> point prevalence survey in Ghana. JAC </w:t>
      </w:r>
      <w:proofErr w:type="spellStart"/>
      <w:r w:rsidRPr="00C720CE">
        <w:rPr>
          <w:rFonts w:ascii="Arial" w:hAnsi="Arial" w:cs="Arial"/>
          <w:color w:val="000000" w:themeColor="text1"/>
          <w:sz w:val="20"/>
          <w:szCs w:val="20"/>
        </w:rPr>
        <w:t>Antimicrob</w:t>
      </w:r>
      <w:r w:rsidR="004601EA" w:rsidRPr="00C720CE">
        <w:rPr>
          <w:rFonts w:ascii="Arial" w:hAnsi="Arial" w:cs="Arial"/>
          <w:color w:val="000000" w:themeColor="text1"/>
          <w:sz w:val="20"/>
          <w:szCs w:val="20"/>
        </w:rPr>
        <w:t>ial</w:t>
      </w:r>
      <w:proofErr w:type="spellEnd"/>
      <w:r w:rsidR="004601EA" w:rsidRPr="00C720CE">
        <w:rPr>
          <w:rFonts w:ascii="Arial" w:hAnsi="Arial" w:cs="Arial"/>
          <w:color w:val="000000" w:themeColor="text1"/>
          <w:sz w:val="20"/>
          <w:szCs w:val="20"/>
        </w:rPr>
        <w:t xml:space="preserve"> </w:t>
      </w:r>
      <w:r w:rsidRPr="00C720CE">
        <w:rPr>
          <w:rFonts w:ascii="Arial" w:hAnsi="Arial" w:cs="Arial"/>
          <w:color w:val="000000" w:themeColor="text1"/>
          <w:sz w:val="20"/>
          <w:szCs w:val="20"/>
        </w:rPr>
        <w:t>Resist</w:t>
      </w:r>
      <w:r w:rsidR="004601EA" w:rsidRPr="00C720CE">
        <w:rPr>
          <w:rStyle w:val="period"/>
          <w:rFonts w:ascii="Arial" w:hAnsi="Arial" w:cs="Arial"/>
          <w:color w:val="000000" w:themeColor="text1"/>
          <w:sz w:val="20"/>
          <w:szCs w:val="20"/>
        </w:rPr>
        <w:t>ance</w:t>
      </w:r>
      <w:r w:rsidR="002241BF" w:rsidRPr="00C720CE">
        <w:rPr>
          <w:rStyle w:val="period"/>
          <w:rFonts w:ascii="Arial" w:hAnsi="Arial" w:cs="Arial"/>
          <w:color w:val="000000" w:themeColor="text1"/>
          <w:sz w:val="20"/>
          <w:szCs w:val="20"/>
        </w:rPr>
        <w:t xml:space="preserve"> </w:t>
      </w:r>
      <w:r w:rsidR="002241BF" w:rsidRPr="00C720CE">
        <w:rPr>
          <w:rStyle w:val="cit"/>
          <w:rFonts w:ascii="Arial" w:hAnsi="Arial" w:cs="Arial"/>
          <w:color w:val="000000" w:themeColor="text1"/>
          <w:sz w:val="20"/>
          <w:szCs w:val="20"/>
        </w:rPr>
        <w:t>,</w:t>
      </w:r>
      <w:r w:rsidRPr="00C720CE">
        <w:rPr>
          <w:rStyle w:val="cit"/>
          <w:rFonts w:ascii="Arial" w:hAnsi="Arial" w:cs="Arial"/>
          <w:color w:val="000000" w:themeColor="text1"/>
          <w:sz w:val="20"/>
          <w:szCs w:val="20"/>
        </w:rPr>
        <w:t>3(3)</w:t>
      </w:r>
      <w:r w:rsidR="004601EA" w:rsidRPr="00C720CE">
        <w:rPr>
          <w:rStyle w:val="cit"/>
          <w:rFonts w:ascii="Arial" w:hAnsi="Arial" w:cs="Arial"/>
          <w:color w:val="000000" w:themeColor="text1"/>
          <w:sz w:val="20"/>
          <w:szCs w:val="20"/>
        </w:rPr>
        <w:t xml:space="preserve">, </w:t>
      </w:r>
      <w:r w:rsidRPr="00C720CE">
        <w:rPr>
          <w:rStyle w:val="cit"/>
          <w:rFonts w:ascii="Arial" w:hAnsi="Arial" w:cs="Arial"/>
          <w:color w:val="000000" w:themeColor="text1"/>
          <w:sz w:val="20"/>
          <w:szCs w:val="20"/>
        </w:rPr>
        <w:t>dlab087.</w:t>
      </w:r>
      <w:r w:rsidR="004601EA" w:rsidRPr="00C720CE">
        <w:rPr>
          <w:rStyle w:val="cit"/>
          <w:rFonts w:ascii="Arial" w:hAnsi="Arial" w:cs="Arial"/>
          <w:color w:val="000000" w:themeColor="text1"/>
          <w:sz w:val="20"/>
          <w:szCs w:val="20"/>
        </w:rPr>
        <w:t xml:space="preserve"> </w:t>
      </w:r>
      <w:r w:rsidR="004601EA" w:rsidRPr="00C720CE">
        <w:rPr>
          <w:rStyle w:val="id-label"/>
          <w:rFonts w:ascii="Arial" w:hAnsi="Arial" w:cs="Arial"/>
          <w:color w:val="212121"/>
          <w:sz w:val="20"/>
          <w:szCs w:val="20"/>
        </w:rPr>
        <w:t>PMID:</w:t>
      </w:r>
      <w:r w:rsidR="004601EA" w:rsidRPr="00C720CE">
        <w:rPr>
          <w:rStyle w:val="apple-converted-space"/>
          <w:rFonts w:ascii="Arial" w:hAnsi="Arial" w:cs="Arial"/>
          <w:color w:val="212121"/>
          <w:sz w:val="20"/>
          <w:szCs w:val="20"/>
        </w:rPr>
        <w:t> </w:t>
      </w:r>
      <w:r w:rsidR="004601EA" w:rsidRPr="00C720CE">
        <w:rPr>
          <w:rStyle w:val="Strong"/>
          <w:rFonts w:ascii="Arial" w:hAnsi="Arial" w:cs="Arial"/>
          <w:b w:val="0"/>
          <w:bCs w:val="0"/>
          <w:color w:val="212121"/>
          <w:sz w:val="20"/>
          <w:szCs w:val="20"/>
        </w:rPr>
        <w:t xml:space="preserve">34263166, </w:t>
      </w:r>
      <w:r w:rsidR="004601EA" w:rsidRPr="00C720CE">
        <w:rPr>
          <w:rStyle w:val="id-label"/>
          <w:rFonts w:ascii="Arial" w:hAnsi="Arial" w:cs="Arial"/>
          <w:color w:val="212121"/>
          <w:sz w:val="20"/>
          <w:szCs w:val="20"/>
        </w:rPr>
        <w:t>PMCID:</w:t>
      </w:r>
      <w:r w:rsidR="004601EA" w:rsidRPr="00C720CE">
        <w:rPr>
          <w:rStyle w:val="apple-converted-space"/>
          <w:rFonts w:ascii="Arial" w:hAnsi="Arial" w:cs="Arial"/>
          <w:color w:val="212121"/>
          <w:sz w:val="20"/>
          <w:szCs w:val="20"/>
        </w:rPr>
        <w:t> </w:t>
      </w:r>
      <w:hyperlink r:id="rId22" w:tgtFrame="_blank" w:history="1">
        <w:r w:rsidR="004601EA" w:rsidRPr="00C720CE">
          <w:rPr>
            <w:rStyle w:val="Hyperlink"/>
            <w:rFonts w:ascii="Arial" w:hAnsi="Arial" w:cs="Arial"/>
            <w:color w:val="0071BC"/>
            <w:sz w:val="20"/>
            <w:szCs w:val="20"/>
          </w:rPr>
          <w:t>PMC8275021</w:t>
        </w:r>
      </w:hyperlink>
      <w:r w:rsidR="004601EA" w:rsidRPr="00C720CE">
        <w:rPr>
          <w:rStyle w:val="identifier"/>
          <w:rFonts w:ascii="Arial" w:hAnsi="Arial" w:cs="Arial"/>
          <w:color w:val="212121"/>
          <w:sz w:val="20"/>
          <w:szCs w:val="20"/>
        </w:rPr>
        <w:t xml:space="preserve">, </w:t>
      </w:r>
      <w:r w:rsidR="004601EA" w:rsidRPr="00C720CE">
        <w:rPr>
          <w:rStyle w:val="id-label"/>
          <w:rFonts w:ascii="Arial" w:hAnsi="Arial" w:cs="Arial"/>
          <w:color w:val="212121"/>
          <w:sz w:val="20"/>
          <w:szCs w:val="20"/>
        </w:rPr>
        <w:t>DOI:</w:t>
      </w:r>
      <w:r w:rsidR="004601EA" w:rsidRPr="00C720CE">
        <w:rPr>
          <w:rStyle w:val="apple-converted-space"/>
          <w:rFonts w:ascii="Arial" w:hAnsi="Arial" w:cs="Arial"/>
          <w:color w:val="212121"/>
          <w:sz w:val="20"/>
          <w:szCs w:val="20"/>
        </w:rPr>
        <w:t> </w:t>
      </w:r>
      <w:hyperlink r:id="rId23" w:tgtFrame="_blank" w:history="1">
        <w:r w:rsidR="004601EA" w:rsidRPr="00C720CE">
          <w:rPr>
            <w:rStyle w:val="Hyperlink"/>
            <w:rFonts w:ascii="Arial" w:hAnsi="Arial" w:cs="Arial"/>
            <w:color w:val="0071BC"/>
            <w:sz w:val="20"/>
            <w:szCs w:val="20"/>
          </w:rPr>
          <w:t>10.1093/</w:t>
        </w:r>
        <w:proofErr w:type="spellStart"/>
        <w:r w:rsidR="004601EA" w:rsidRPr="00C720CE">
          <w:rPr>
            <w:rStyle w:val="Hyperlink"/>
            <w:rFonts w:ascii="Arial" w:hAnsi="Arial" w:cs="Arial"/>
            <w:color w:val="0071BC"/>
            <w:sz w:val="20"/>
            <w:szCs w:val="20"/>
          </w:rPr>
          <w:t>jacamr</w:t>
        </w:r>
        <w:proofErr w:type="spellEnd"/>
        <w:r w:rsidR="004601EA" w:rsidRPr="00C720CE">
          <w:rPr>
            <w:rStyle w:val="Hyperlink"/>
            <w:rFonts w:ascii="Arial" w:hAnsi="Arial" w:cs="Arial"/>
            <w:color w:val="0071BC"/>
            <w:sz w:val="20"/>
            <w:szCs w:val="20"/>
          </w:rPr>
          <w:t>/dlab087</w:t>
        </w:r>
      </w:hyperlink>
    </w:p>
    <w:p w14:paraId="69F52882" w14:textId="77777777" w:rsidR="00A96CD4" w:rsidRPr="00C720CE" w:rsidRDefault="00FF3423" w:rsidP="00A96CD4">
      <w:pPr>
        <w:pStyle w:val="NormalWeb"/>
        <w:numPr>
          <w:ilvl w:val="0"/>
          <w:numId w:val="32"/>
        </w:numPr>
        <w:jc w:val="both"/>
        <w:rPr>
          <w:rFonts w:ascii="Arial" w:hAnsi="Arial" w:cs="Arial"/>
          <w:color w:val="000000" w:themeColor="text1"/>
          <w:sz w:val="20"/>
          <w:szCs w:val="20"/>
          <w:lang w:val="en-US"/>
        </w:rPr>
      </w:pPr>
      <w:r w:rsidRPr="008328A0">
        <w:rPr>
          <w:rStyle w:val="Strong"/>
          <w:rFonts w:ascii="Arial" w:hAnsi="Arial" w:cs="Arial"/>
          <w:color w:val="000000" w:themeColor="text1"/>
          <w:sz w:val="20"/>
          <w:szCs w:val="20"/>
        </w:rPr>
        <w:t xml:space="preserve">Labi AK, </w:t>
      </w:r>
      <w:proofErr w:type="spellStart"/>
      <w:r w:rsidRPr="008328A0">
        <w:rPr>
          <w:rStyle w:val="Strong"/>
          <w:rFonts w:ascii="Arial" w:hAnsi="Arial" w:cs="Arial"/>
          <w:color w:val="000000" w:themeColor="text1"/>
          <w:sz w:val="20"/>
          <w:szCs w:val="20"/>
        </w:rPr>
        <w:t>Obeng</w:t>
      </w:r>
      <w:proofErr w:type="spellEnd"/>
      <w:r w:rsidRPr="008328A0">
        <w:rPr>
          <w:rStyle w:val="Strong"/>
          <w:rFonts w:ascii="Arial" w:hAnsi="Arial" w:cs="Arial"/>
          <w:color w:val="000000" w:themeColor="text1"/>
          <w:sz w:val="20"/>
          <w:szCs w:val="20"/>
        </w:rPr>
        <w:t xml:space="preserve">-Nkrumah N, Owusu E, </w:t>
      </w:r>
      <w:proofErr w:type="spellStart"/>
      <w:r w:rsidRPr="008328A0">
        <w:rPr>
          <w:rStyle w:val="Strong"/>
          <w:rFonts w:ascii="Arial" w:hAnsi="Arial" w:cs="Arial"/>
          <w:color w:val="000000" w:themeColor="text1"/>
          <w:sz w:val="20"/>
          <w:szCs w:val="20"/>
        </w:rPr>
        <w:t>Bjerrum</w:t>
      </w:r>
      <w:proofErr w:type="spellEnd"/>
      <w:r w:rsidRPr="008328A0">
        <w:rPr>
          <w:rStyle w:val="Strong"/>
          <w:rFonts w:ascii="Arial" w:hAnsi="Arial" w:cs="Arial"/>
          <w:color w:val="000000" w:themeColor="text1"/>
          <w:sz w:val="20"/>
          <w:szCs w:val="20"/>
        </w:rPr>
        <w:t xml:space="preserve"> S, </w:t>
      </w:r>
      <w:proofErr w:type="spellStart"/>
      <w:r w:rsidRPr="008328A0">
        <w:rPr>
          <w:rStyle w:val="Strong"/>
          <w:rFonts w:ascii="Arial" w:hAnsi="Arial" w:cs="Arial"/>
          <w:color w:val="000000" w:themeColor="text1"/>
          <w:sz w:val="20"/>
          <w:szCs w:val="20"/>
        </w:rPr>
        <w:t>Aryee</w:t>
      </w:r>
      <w:proofErr w:type="spellEnd"/>
      <w:r w:rsidRPr="008328A0">
        <w:rPr>
          <w:rStyle w:val="Strong"/>
          <w:rFonts w:ascii="Arial" w:hAnsi="Arial" w:cs="Arial"/>
          <w:color w:val="000000" w:themeColor="text1"/>
          <w:sz w:val="20"/>
          <w:szCs w:val="20"/>
        </w:rPr>
        <w:t xml:space="preserve"> NAA, </w:t>
      </w:r>
      <w:proofErr w:type="spellStart"/>
      <w:r w:rsidRPr="008328A0">
        <w:rPr>
          <w:rStyle w:val="Strong"/>
          <w:rFonts w:ascii="Arial" w:hAnsi="Arial" w:cs="Arial"/>
          <w:color w:val="000000" w:themeColor="text1"/>
          <w:sz w:val="20"/>
          <w:szCs w:val="20"/>
        </w:rPr>
        <w:t>Ofori-Adjei</w:t>
      </w:r>
      <w:proofErr w:type="spellEnd"/>
      <w:r w:rsidRPr="008328A0">
        <w:rPr>
          <w:rStyle w:val="Strong"/>
          <w:rFonts w:ascii="Arial" w:hAnsi="Arial" w:cs="Arial"/>
          <w:color w:val="000000" w:themeColor="text1"/>
          <w:sz w:val="20"/>
          <w:szCs w:val="20"/>
        </w:rPr>
        <w:t xml:space="preserve"> YA and al.</w:t>
      </w:r>
      <w:r w:rsidRPr="008328A0">
        <w:rPr>
          <w:rFonts w:ascii="Arial" w:hAnsi="Arial" w:cs="Arial"/>
          <w:color w:val="000000" w:themeColor="text1"/>
          <w:sz w:val="20"/>
          <w:szCs w:val="20"/>
        </w:rPr>
        <w:t xml:space="preserve"> </w:t>
      </w:r>
      <w:r w:rsidR="002241BF" w:rsidRPr="00C720CE">
        <w:rPr>
          <w:rFonts w:ascii="Arial" w:hAnsi="Arial" w:cs="Arial"/>
          <w:b/>
          <w:color w:val="000000" w:themeColor="text1"/>
          <w:sz w:val="20"/>
          <w:szCs w:val="20"/>
          <w:lang w:val="en-US"/>
        </w:rPr>
        <w:t>(2018).</w:t>
      </w:r>
      <w:r w:rsidR="002241BF" w:rsidRPr="00C720CE">
        <w:rPr>
          <w:rFonts w:ascii="Arial" w:hAnsi="Arial" w:cs="Arial"/>
          <w:color w:val="000000" w:themeColor="text1"/>
          <w:sz w:val="20"/>
          <w:szCs w:val="20"/>
          <w:lang w:val="en-US"/>
        </w:rPr>
        <w:t xml:space="preserve"> </w:t>
      </w:r>
      <w:r w:rsidRPr="00C720CE">
        <w:rPr>
          <w:rFonts w:ascii="Arial" w:hAnsi="Arial" w:cs="Arial"/>
          <w:color w:val="000000" w:themeColor="text1"/>
          <w:sz w:val="20"/>
          <w:szCs w:val="20"/>
          <w:lang w:val="en-US"/>
        </w:rPr>
        <w:t>Antibiotic use in a tertiary hospital in Ghana: a point prevalence survey. Antimicrob</w:t>
      </w:r>
      <w:r w:rsidR="002241BF" w:rsidRPr="00C720CE">
        <w:rPr>
          <w:rFonts w:ascii="Arial" w:hAnsi="Arial" w:cs="Arial"/>
          <w:color w:val="000000" w:themeColor="text1"/>
          <w:sz w:val="20"/>
          <w:szCs w:val="20"/>
          <w:lang w:val="en-US"/>
        </w:rPr>
        <w:t>ial</w:t>
      </w:r>
      <w:r w:rsidRPr="00C720CE">
        <w:rPr>
          <w:rFonts w:ascii="Arial" w:hAnsi="Arial" w:cs="Arial"/>
          <w:color w:val="000000" w:themeColor="text1"/>
          <w:sz w:val="20"/>
          <w:szCs w:val="20"/>
          <w:lang w:val="en-US"/>
        </w:rPr>
        <w:t xml:space="preserve"> Resist</w:t>
      </w:r>
      <w:r w:rsidR="002241BF" w:rsidRPr="00C720CE">
        <w:rPr>
          <w:rFonts w:ascii="Arial" w:hAnsi="Arial" w:cs="Arial"/>
          <w:color w:val="000000" w:themeColor="text1"/>
          <w:sz w:val="20"/>
          <w:szCs w:val="20"/>
          <w:lang w:val="en-US"/>
        </w:rPr>
        <w:t>ance and</w:t>
      </w:r>
      <w:r w:rsidRPr="00C720CE">
        <w:rPr>
          <w:rFonts w:ascii="Arial" w:hAnsi="Arial" w:cs="Arial"/>
          <w:color w:val="000000" w:themeColor="text1"/>
          <w:sz w:val="20"/>
          <w:szCs w:val="20"/>
          <w:lang w:val="en-US"/>
        </w:rPr>
        <w:t xml:space="preserve"> Infect</w:t>
      </w:r>
      <w:r w:rsidR="002241BF" w:rsidRPr="00C720CE">
        <w:rPr>
          <w:rFonts w:ascii="Arial" w:hAnsi="Arial" w:cs="Arial"/>
          <w:color w:val="000000" w:themeColor="text1"/>
          <w:sz w:val="20"/>
          <w:szCs w:val="20"/>
          <w:lang w:val="en-US"/>
        </w:rPr>
        <w:t>ion</w:t>
      </w:r>
      <w:r w:rsidRPr="00C720CE">
        <w:rPr>
          <w:rFonts w:ascii="Arial" w:hAnsi="Arial" w:cs="Arial"/>
          <w:color w:val="000000" w:themeColor="text1"/>
          <w:sz w:val="20"/>
          <w:szCs w:val="20"/>
          <w:lang w:val="en-US"/>
        </w:rPr>
        <w:t xml:space="preserve"> Control</w:t>
      </w:r>
      <w:r w:rsidR="002241BF" w:rsidRPr="00C720CE">
        <w:rPr>
          <w:rFonts w:ascii="Arial" w:hAnsi="Arial" w:cs="Arial"/>
          <w:color w:val="000000" w:themeColor="text1"/>
          <w:sz w:val="20"/>
          <w:szCs w:val="20"/>
          <w:shd w:val="clear" w:color="auto" w:fill="FFFFFF"/>
          <w:lang w:val="en-US"/>
        </w:rPr>
        <w:t xml:space="preserve">, </w:t>
      </w:r>
      <w:r w:rsidRPr="00C720CE">
        <w:rPr>
          <w:rFonts w:ascii="Arial" w:hAnsi="Arial" w:cs="Arial"/>
          <w:color w:val="000000" w:themeColor="text1"/>
          <w:sz w:val="20"/>
          <w:szCs w:val="20"/>
          <w:shd w:val="clear" w:color="auto" w:fill="FFFFFF"/>
          <w:lang w:val="en-US"/>
        </w:rPr>
        <w:t>7</w:t>
      </w:r>
      <w:r w:rsidR="002241BF" w:rsidRPr="00C720CE">
        <w:rPr>
          <w:rFonts w:ascii="Arial" w:hAnsi="Arial" w:cs="Arial"/>
          <w:color w:val="000000" w:themeColor="text1"/>
          <w:sz w:val="20"/>
          <w:szCs w:val="20"/>
          <w:shd w:val="clear" w:color="auto" w:fill="FFFFFF"/>
          <w:lang w:val="en-US"/>
        </w:rPr>
        <w:t xml:space="preserve">, </w:t>
      </w:r>
      <w:r w:rsidRPr="00C720CE">
        <w:rPr>
          <w:rFonts w:ascii="Arial" w:hAnsi="Arial" w:cs="Arial"/>
          <w:color w:val="000000" w:themeColor="text1"/>
          <w:sz w:val="20"/>
          <w:szCs w:val="20"/>
          <w:shd w:val="clear" w:color="auto" w:fill="FFFFFF"/>
          <w:lang w:val="en-US"/>
        </w:rPr>
        <w:t xml:space="preserve">15. </w:t>
      </w:r>
      <w:r w:rsidR="002241BF" w:rsidRPr="00C720CE">
        <w:rPr>
          <w:rStyle w:val="id-label"/>
          <w:rFonts w:ascii="Arial" w:hAnsi="Arial" w:cs="Arial"/>
          <w:color w:val="212121"/>
          <w:sz w:val="20"/>
          <w:szCs w:val="20"/>
          <w:lang w:val="en-US"/>
        </w:rPr>
        <w:t>PMID:</w:t>
      </w:r>
      <w:r w:rsidR="002241BF" w:rsidRPr="00C720CE">
        <w:rPr>
          <w:rStyle w:val="apple-converted-space"/>
          <w:rFonts w:ascii="Arial" w:hAnsi="Arial" w:cs="Arial"/>
          <w:color w:val="212121"/>
          <w:sz w:val="20"/>
          <w:szCs w:val="20"/>
          <w:lang w:val="en-US"/>
        </w:rPr>
        <w:t> </w:t>
      </w:r>
      <w:r w:rsidR="002241BF" w:rsidRPr="00C720CE">
        <w:rPr>
          <w:rStyle w:val="Strong"/>
          <w:rFonts w:ascii="Arial" w:hAnsi="Arial" w:cs="Arial"/>
          <w:b w:val="0"/>
          <w:bCs w:val="0"/>
          <w:color w:val="212121"/>
          <w:sz w:val="20"/>
          <w:szCs w:val="20"/>
          <w:lang w:val="en-US"/>
        </w:rPr>
        <w:t xml:space="preserve">29423190, </w:t>
      </w:r>
      <w:r w:rsidR="002241BF" w:rsidRPr="00C720CE">
        <w:rPr>
          <w:rStyle w:val="id-label"/>
          <w:rFonts w:ascii="Arial" w:hAnsi="Arial" w:cs="Arial"/>
          <w:color w:val="212121"/>
          <w:sz w:val="20"/>
          <w:szCs w:val="20"/>
          <w:lang w:val="en-US"/>
        </w:rPr>
        <w:t>PMCID:</w:t>
      </w:r>
      <w:r w:rsidR="002241BF" w:rsidRPr="00C720CE">
        <w:rPr>
          <w:rStyle w:val="apple-converted-space"/>
          <w:rFonts w:ascii="Arial" w:hAnsi="Arial" w:cs="Arial"/>
          <w:color w:val="212121"/>
          <w:sz w:val="20"/>
          <w:szCs w:val="20"/>
          <w:lang w:val="en-US"/>
        </w:rPr>
        <w:t> </w:t>
      </w:r>
      <w:hyperlink r:id="rId24" w:tgtFrame="_blank" w:history="1">
        <w:r w:rsidR="002241BF" w:rsidRPr="00C720CE">
          <w:rPr>
            <w:rStyle w:val="Hyperlink"/>
            <w:rFonts w:ascii="Arial" w:hAnsi="Arial" w:cs="Arial"/>
            <w:color w:val="0071BC"/>
            <w:sz w:val="20"/>
            <w:szCs w:val="20"/>
            <w:lang w:val="en-US"/>
          </w:rPr>
          <w:t>PMC5787245</w:t>
        </w:r>
      </w:hyperlink>
      <w:r w:rsidR="002241BF" w:rsidRPr="00C720CE">
        <w:rPr>
          <w:rStyle w:val="identifier"/>
          <w:rFonts w:ascii="Arial" w:hAnsi="Arial" w:cs="Arial"/>
          <w:color w:val="212121"/>
          <w:sz w:val="20"/>
          <w:szCs w:val="20"/>
          <w:lang w:val="en-US"/>
        </w:rPr>
        <w:t xml:space="preserve">, </w:t>
      </w:r>
      <w:r w:rsidR="002241BF" w:rsidRPr="00C720CE">
        <w:rPr>
          <w:rStyle w:val="id-label"/>
          <w:rFonts w:ascii="Arial" w:hAnsi="Arial" w:cs="Arial"/>
          <w:color w:val="212121"/>
          <w:sz w:val="20"/>
          <w:szCs w:val="20"/>
          <w:lang w:val="en-US"/>
        </w:rPr>
        <w:t>DOI:</w:t>
      </w:r>
      <w:r w:rsidR="002241BF" w:rsidRPr="00C720CE">
        <w:rPr>
          <w:rStyle w:val="apple-converted-space"/>
          <w:rFonts w:ascii="Arial" w:hAnsi="Arial" w:cs="Arial"/>
          <w:color w:val="212121"/>
          <w:sz w:val="20"/>
          <w:szCs w:val="20"/>
          <w:lang w:val="en-US"/>
        </w:rPr>
        <w:t> </w:t>
      </w:r>
      <w:hyperlink r:id="rId25" w:tgtFrame="_blank" w:history="1">
        <w:r w:rsidR="002241BF" w:rsidRPr="00C720CE">
          <w:rPr>
            <w:rStyle w:val="Hyperlink"/>
            <w:rFonts w:ascii="Arial" w:hAnsi="Arial" w:cs="Arial"/>
            <w:color w:val="0071BC"/>
            <w:sz w:val="20"/>
            <w:szCs w:val="20"/>
            <w:lang w:val="en-US"/>
          </w:rPr>
          <w:t>10.1186/s13756-018-0299-z</w:t>
        </w:r>
      </w:hyperlink>
    </w:p>
    <w:p w14:paraId="7D1FEE25" w14:textId="77777777" w:rsidR="002241BF" w:rsidRPr="00C720CE" w:rsidRDefault="00FF3423" w:rsidP="002241BF">
      <w:pPr>
        <w:pStyle w:val="NormalWeb"/>
        <w:numPr>
          <w:ilvl w:val="0"/>
          <w:numId w:val="32"/>
        </w:numPr>
        <w:jc w:val="both"/>
        <w:rPr>
          <w:rStyle w:val="identifier"/>
          <w:rFonts w:ascii="Arial" w:hAnsi="Arial" w:cs="Arial"/>
          <w:color w:val="000000" w:themeColor="text1"/>
          <w:sz w:val="20"/>
          <w:szCs w:val="20"/>
          <w:lang w:val="en-US"/>
        </w:rPr>
      </w:pPr>
      <w:r w:rsidRPr="00C720CE">
        <w:rPr>
          <w:rFonts w:ascii="Arial" w:hAnsi="Arial" w:cs="Arial"/>
          <w:b/>
          <w:color w:val="000000" w:themeColor="text1"/>
          <w:sz w:val="20"/>
          <w:szCs w:val="20"/>
          <w:lang w:val="en-US"/>
        </w:rPr>
        <w:t xml:space="preserve">Ayenew </w:t>
      </w:r>
      <w:proofErr w:type="gramStart"/>
      <w:r w:rsidRPr="00C720CE">
        <w:rPr>
          <w:rFonts w:ascii="Arial" w:hAnsi="Arial" w:cs="Arial"/>
          <w:b/>
          <w:color w:val="000000" w:themeColor="text1"/>
          <w:sz w:val="20"/>
          <w:szCs w:val="20"/>
          <w:lang w:val="en-US"/>
        </w:rPr>
        <w:t>W</w:t>
      </w:r>
      <w:r w:rsidRPr="00C720CE">
        <w:rPr>
          <w:rFonts w:ascii="Arial" w:hAnsi="Arial" w:cs="Arial"/>
          <w:b/>
          <w:color w:val="000000" w:themeColor="text1"/>
          <w:position w:val="8"/>
          <w:sz w:val="20"/>
          <w:szCs w:val="20"/>
          <w:lang w:val="en-US"/>
        </w:rPr>
        <w:t xml:space="preserve">  </w:t>
      </w:r>
      <w:r w:rsidRPr="00C720CE">
        <w:rPr>
          <w:rFonts w:ascii="Arial" w:hAnsi="Arial" w:cs="Arial"/>
          <w:b/>
          <w:color w:val="000000" w:themeColor="text1"/>
          <w:sz w:val="20"/>
          <w:szCs w:val="20"/>
          <w:lang w:val="en-US"/>
        </w:rPr>
        <w:t>,</w:t>
      </w:r>
      <w:proofErr w:type="gramEnd"/>
      <w:r w:rsidRPr="00C720CE">
        <w:rPr>
          <w:rFonts w:ascii="Arial" w:hAnsi="Arial" w:cs="Arial"/>
          <w:b/>
          <w:color w:val="000000" w:themeColor="text1"/>
          <w:sz w:val="20"/>
          <w:szCs w:val="20"/>
          <w:lang w:val="en-US"/>
        </w:rPr>
        <w:t xml:space="preserve"> </w:t>
      </w:r>
      <w:proofErr w:type="spellStart"/>
      <w:r w:rsidRPr="00C720CE">
        <w:rPr>
          <w:rFonts w:ascii="Arial" w:hAnsi="Arial" w:cs="Arial"/>
          <w:b/>
          <w:color w:val="000000" w:themeColor="text1"/>
          <w:sz w:val="20"/>
          <w:szCs w:val="20"/>
          <w:lang w:val="en-US"/>
        </w:rPr>
        <w:t>Tessema</w:t>
      </w:r>
      <w:proofErr w:type="spellEnd"/>
      <w:r w:rsidRPr="00C720CE">
        <w:rPr>
          <w:rFonts w:ascii="Arial" w:hAnsi="Arial" w:cs="Arial"/>
          <w:b/>
          <w:color w:val="000000" w:themeColor="text1"/>
          <w:sz w:val="20"/>
          <w:szCs w:val="20"/>
          <w:lang w:val="en-US"/>
        </w:rPr>
        <w:t xml:space="preserve"> TA, </w:t>
      </w:r>
      <w:proofErr w:type="spellStart"/>
      <w:r w:rsidRPr="00C720CE">
        <w:rPr>
          <w:rFonts w:ascii="Arial" w:hAnsi="Arial" w:cs="Arial"/>
          <w:b/>
          <w:color w:val="000000" w:themeColor="text1"/>
          <w:sz w:val="20"/>
          <w:szCs w:val="20"/>
          <w:lang w:val="en-US"/>
        </w:rPr>
        <w:t>Anagaw</w:t>
      </w:r>
      <w:proofErr w:type="spellEnd"/>
      <w:r w:rsidRPr="00C720CE">
        <w:rPr>
          <w:rFonts w:ascii="Arial" w:hAnsi="Arial" w:cs="Arial"/>
          <w:b/>
          <w:color w:val="000000" w:themeColor="text1"/>
          <w:sz w:val="20"/>
          <w:szCs w:val="20"/>
          <w:lang w:val="en-US"/>
        </w:rPr>
        <w:t xml:space="preserve"> YK, Siraj EA, Zewdie S, </w:t>
      </w:r>
      <w:proofErr w:type="spellStart"/>
      <w:r w:rsidRPr="00C720CE">
        <w:rPr>
          <w:rFonts w:ascii="Arial" w:hAnsi="Arial" w:cs="Arial"/>
          <w:b/>
          <w:color w:val="000000" w:themeColor="text1"/>
          <w:sz w:val="20"/>
          <w:szCs w:val="20"/>
          <w:lang w:val="en-US"/>
        </w:rPr>
        <w:t>Simegn</w:t>
      </w:r>
      <w:proofErr w:type="spellEnd"/>
      <w:r w:rsidRPr="00C720CE">
        <w:rPr>
          <w:rFonts w:ascii="Arial" w:hAnsi="Arial" w:cs="Arial"/>
          <w:b/>
          <w:color w:val="000000" w:themeColor="text1"/>
          <w:sz w:val="20"/>
          <w:szCs w:val="20"/>
          <w:lang w:val="en-US"/>
        </w:rPr>
        <w:t xml:space="preserve"> W, </w:t>
      </w:r>
      <w:proofErr w:type="spellStart"/>
      <w:r w:rsidRPr="00C720CE">
        <w:rPr>
          <w:rFonts w:ascii="Arial" w:hAnsi="Arial" w:cs="Arial"/>
          <w:b/>
          <w:color w:val="000000" w:themeColor="text1"/>
          <w:sz w:val="20"/>
          <w:szCs w:val="20"/>
          <w:lang w:val="en-US"/>
        </w:rPr>
        <w:t>Limenh</w:t>
      </w:r>
      <w:proofErr w:type="spellEnd"/>
      <w:r w:rsidRPr="00C720CE">
        <w:rPr>
          <w:rFonts w:ascii="Arial" w:hAnsi="Arial" w:cs="Arial"/>
          <w:b/>
          <w:color w:val="000000" w:themeColor="text1"/>
          <w:sz w:val="20"/>
          <w:szCs w:val="20"/>
          <w:lang w:val="en-US"/>
        </w:rPr>
        <w:t xml:space="preserve"> LW and al. </w:t>
      </w:r>
      <w:r w:rsidR="002241BF" w:rsidRPr="00C720CE">
        <w:rPr>
          <w:rFonts w:ascii="Arial" w:hAnsi="Arial" w:cs="Arial"/>
          <w:b/>
          <w:color w:val="000000" w:themeColor="text1"/>
          <w:sz w:val="20"/>
          <w:szCs w:val="20"/>
          <w:lang w:val="en-US"/>
        </w:rPr>
        <w:t>(2024)</w:t>
      </w:r>
      <w:r w:rsidR="002241BF" w:rsidRPr="00C720CE">
        <w:rPr>
          <w:rFonts w:ascii="Arial" w:hAnsi="Arial" w:cs="Arial"/>
          <w:color w:val="000000" w:themeColor="text1"/>
          <w:sz w:val="20"/>
          <w:szCs w:val="20"/>
          <w:lang w:val="en-US"/>
        </w:rPr>
        <w:t xml:space="preserve">. </w:t>
      </w:r>
      <w:r w:rsidRPr="00C720CE">
        <w:rPr>
          <w:rFonts w:ascii="Arial" w:hAnsi="Arial" w:cs="Arial"/>
          <w:color w:val="000000" w:themeColor="text1"/>
          <w:sz w:val="20"/>
          <w:szCs w:val="20"/>
          <w:lang w:val="en-US"/>
        </w:rPr>
        <w:t>Prevalence and predictors of self-medication with antibiotics in Ethiopia: a systematic review and meta-analysis.</w:t>
      </w:r>
      <w:r w:rsidRPr="00C720CE">
        <w:rPr>
          <w:rFonts w:ascii="Arial" w:hAnsi="Arial" w:cs="Arial"/>
          <w:i/>
          <w:iCs/>
          <w:color w:val="000000" w:themeColor="text1"/>
          <w:sz w:val="20"/>
          <w:szCs w:val="20"/>
          <w:lang w:val="en-US"/>
        </w:rPr>
        <w:t xml:space="preserve"> </w:t>
      </w:r>
      <w:r w:rsidRPr="00C720CE">
        <w:rPr>
          <w:rFonts w:ascii="Arial" w:hAnsi="Arial" w:cs="Arial"/>
          <w:iCs/>
          <w:color w:val="000000" w:themeColor="text1"/>
          <w:sz w:val="20"/>
          <w:szCs w:val="20"/>
          <w:lang w:val="en-US"/>
        </w:rPr>
        <w:t>Antimicrobial Resistance &amp; Infection Control</w:t>
      </w:r>
      <w:r w:rsidR="002241BF" w:rsidRPr="00C720CE">
        <w:rPr>
          <w:rFonts w:ascii="Arial" w:hAnsi="Arial" w:cs="Arial"/>
          <w:iCs/>
          <w:color w:val="000000" w:themeColor="text1"/>
          <w:sz w:val="20"/>
          <w:szCs w:val="20"/>
          <w:lang w:val="en-US"/>
        </w:rPr>
        <w:t xml:space="preserve">, </w:t>
      </w:r>
      <w:r w:rsidRPr="00C720CE">
        <w:rPr>
          <w:rFonts w:ascii="Arial" w:hAnsi="Arial" w:cs="Arial"/>
          <w:color w:val="000000" w:themeColor="text1"/>
          <w:sz w:val="20"/>
          <w:szCs w:val="20"/>
          <w:lang w:val="en-US"/>
        </w:rPr>
        <w:t>13</w:t>
      </w:r>
      <w:r w:rsidR="002241BF" w:rsidRPr="00C720CE">
        <w:rPr>
          <w:rFonts w:ascii="Arial" w:hAnsi="Arial" w:cs="Arial"/>
          <w:color w:val="000000" w:themeColor="text1"/>
          <w:sz w:val="20"/>
          <w:szCs w:val="20"/>
          <w:lang w:val="en-US"/>
        </w:rPr>
        <w:t xml:space="preserve">(1), </w:t>
      </w:r>
      <w:r w:rsidRPr="00C720CE">
        <w:rPr>
          <w:rFonts w:ascii="Arial" w:hAnsi="Arial" w:cs="Arial"/>
          <w:color w:val="000000" w:themeColor="text1"/>
          <w:sz w:val="20"/>
          <w:szCs w:val="20"/>
          <w:lang w:val="en-US"/>
        </w:rPr>
        <w:t>61</w:t>
      </w:r>
      <w:r w:rsidR="002241BF" w:rsidRPr="00C720CE">
        <w:rPr>
          <w:rFonts w:ascii="Arial" w:hAnsi="Arial" w:cs="Arial"/>
          <w:color w:val="000000" w:themeColor="text1"/>
          <w:sz w:val="20"/>
          <w:szCs w:val="20"/>
          <w:lang w:val="en-US"/>
        </w:rPr>
        <w:t>.</w:t>
      </w:r>
      <w:r w:rsidRPr="00C720CE">
        <w:rPr>
          <w:rFonts w:ascii="Arial" w:hAnsi="Arial" w:cs="Arial"/>
          <w:color w:val="000000" w:themeColor="text1"/>
          <w:sz w:val="20"/>
          <w:szCs w:val="20"/>
          <w:lang w:val="en-US"/>
        </w:rPr>
        <w:t xml:space="preserve"> </w:t>
      </w:r>
      <w:r w:rsidR="002241BF" w:rsidRPr="00C720CE">
        <w:rPr>
          <w:rStyle w:val="id-label"/>
          <w:rFonts w:ascii="Arial" w:hAnsi="Arial" w:cs="Arial"/>
          <w:color w:val="212121"/>
          <w:sz w:val="20"/>
          <w:szCs w:val="20"/>
        </w:rPr>
        <w:t>PMID:</w:t>
      </w:r>
      <w:r w:rsidR="002241BF" w:rsidRPr="00C720CE">
        <w:rPr>
          <w:rStyle w:val="apple-converted-space"/>
          <w:rFonts w:ascii="Arial" w:hAnsi="Arial" w:cs="Arial"/>
          <w:color w:val="212121"/>
          <w:sz w:val="20"/>
          <w:szCs w:val="20"/>
        </w:rPr>
        <w:t> </w:t>
      </w:r>
      <w:r w:rsidR="002241BF" w:rsidRPr="00C720CE">
        <w:rPr>
          <w:rStyle w:val="Strong"/>
          <w:rFonts w:ascii="Arial" w:hAnsi="Arial" w:cs="Arial"/>
          <w:b w:val="0"/>
          <w:bCs w:val="0"/>
          <w:color w:val="212121"/>
          <w:sz w:val="20"/>
          <w:szCs w:val="20"/>
        </w:rPr>
        <w:t xml:space="preserve">38853267, </w:t>
      </w:r>
      <w:r w:rsidR="002241BF" w:rsidRPr="00C720CE">
        <w:rPr>
          <w:rStyle w:val="id-label"/>
          <w:rFonts w:ascii="Arial" w:hAnsi="Arial" w:cs="Arial"/>
          <w:color w:val="212121"/>
          <w:sz w:val="20"/>
          <w:szCs w:val="20"/>
        </w:rPr>
        <w:t>PMCID:</w:t>
      </w:r>
      <w:r w:rsidR="002241BF" w:rsidRPr="00C720CE">
        <w:rPr>
          <w:rStyle w:val="apple-converted-space"/>
          <w:rFonts w:ascii="Arial" w:hAnsi="Arial" w:cs="Arial"/>
          <w:color w:val="212121"/>
          <w:sz w:val="20"/>
          <w:szCs w:val="20"/>
        </w:rPr>
        <w:t> </w:t>
      </w:r>
      <w:hyperlink r:id="rId26" w:tgtFrame="_blank" w:history="1">
        <w:r w:rsidR="002241BF" w:rsidRPr="00C720CE">
          <w:rPr>
            <w:rStyle w:val="Hyperlink"/>
            <w:rFonts w:ascii="Arial" w:hAnsi="Arial" w:cs="Arial"/>
            <w:color w:val="0071BC"/>
            <w:sz w:val="20"/>
            <w:szCs w:val="20"/>
          </w:rPr>
          <w:t>PMC11163721</w:t>
        </w:r>
      </w:hyperlink>
      <w:r w:rsidR="002241BF" w:rsidRPr="00C720CE">
        <w:rPr>
          <w:rStyle w:val="identifier"/>
          <w:rFonts w:ascii="Arial" w:hAnsi="Arial" w:cs="Arial"/>
          <w:color w:val="212121"/>
          <w:sz w:val="20"/>
          <w:szCs w:val="20"/>
        </w:rPr>
        <w:t xml:space="preserve">, </w:t>
      </w:r>
      <w:r w:rsidR="002241BF" w:rsidRPr="00C720CE">
        <w:rPr>
          <w:rStyle w:val="id-label"/>
          <w:rFonts w:ascii="Arial" w:hAnsi="Arial" w:cs="Arial"/>
          <w:color w:val="212121"/>
          <w:sz w:val="20"/>
          <w:szCs w:val="20"/>
        </w:rPr>
        <w:t>DOI:</w:t>
      </w:r>
      <w:r w:rsidR="002241BF" w:rsidRPr="00C720CE">
        <w:rPr>
          <w:rStyle w:val="apple-converted-space"/>
          <w:rFonts w:ascii="Arial" w:hAnsi="Arial" w:cs="Arial"/>
          <w:color w:val="212121"/>
          <w:sz w:val="20"/>
          <w:szCs w:val="20"/>
        </w:rPr>
        <w:t> </w:t>
      </w:r>
      <w:hyperlink r:id="rId27" w:tgtFrame="_blank" w:history="1">
        <w:r w:rsidR="002241BF" w:rsidRPr="00C720CE">
          <w:rPr>
            <w:rStyle w:val="Hyperlink"/>
            <w:rFonts w:ascii="Arial" w:hAnsi="Arial" w:cs="Arial"/>
            <w:color w:val="0071BC"/>
            <w:sz w:val="20"/>
            <w:szCs w:val="20"/>
          </w:rPr>
          <w:t>10.1186/s13756-024-01417-1</w:t>
        </w:r>
      </w:hyperlink>
    </w:p>
    <w:p w14:paraId="3CABA078" w14:textId="231A49F9" w:rsidR="001C44BF" w:rsidRPr="00530ECB" w:rsidRDefault="00BB4C88" w:rsidP="001C44BF">
      <w:pPr>
        <w:pStyle w:val="NormalWeb"/>
        <w:numPr>
          <w:ilvl w:val="0"/>
          <w:numId w:val="32"/>
        </w:numPr>
        <w:jc w:val="both"/>
        <w:rPr>
          <w:rStyle w:val="identifier"/>
          <w:rFonts w:ascii="Arial" w:hAnsi="Arial" w:cs="Arial"/>
          <w:color w:val="000000" w:themeColor="text1"/>
          <w:sz w:val="20"/>
          <w:szCs w:val="20"/>
          <w:lang w:val="en-US"/>
        </w:rPr>
      </w:pPr>
      <w:hyperlink r:id="rId28" w:history="1">
        <w:r w:rsidR="0011528D" w:rsidRPr="00C720CE">
          <w:rPr>
            <w:rFonts w:ascii="Arial" w:hAnsi="Arial" w:cs="Arial"/>
            <w:b/>
            <w:color w:val="000000" w:themeColor="text1"/>
            <w:sz w:val="20"/>
            <w:szCs w:val="20"/>
            <w:lang w:val="en-US"/>
          </w:rPr>
          <w:t>Bernabé</w:t>
        </w:r>
      </w:hyperlink>
      <w:r w:rsidR="0011528D" w:rsidRPr="00C720CE">
        <w:rPr>
          <w:rFonts w:ascii="Arial" w:hAnsi="Arial" w:cs="Arial"/>
          <w:b/>
          <w:color w:val="000000" w:themeColor="text1"/>
          <w:sz w:val="20"/>
          <w:szCs w:val="20"/>
          <w:lang w:val="en-US"/>
        </w:rPr>
        <w:t xml:space="preserve"> KJ, </w:t>
      </w:r>
      <w:hyperlink r:id="rId29" w:history="1">
        <w:r w:rsidR="0011528D" w:rsidRPr="00C720CE">
          <w:rPr>
            <w:rFonts w:ascii="Arial" w:hAnsi="Arial" w:cs="Arial"/>
            <w:b/>
            <w:color w:val="000000" w:themeColor="text1"/>
            <w:sz w:val="20"/>
            <w:szCs w:val="20"/>
            <w:lang w:val="en-US"/>
          </w:rPr>
          <w:t>Langendorf</w:t>
        </w:r>
      </w:hyperlink>
      <w:r w:rsidR="0011528D" w:rsidRPr="00C720CE">
        <w:rPr>
          <w:rFonts w:ascii="Arial" w:hAnsi="Arial" w:cs="Arial"/>
          <w:b/>
          <w:color w:val="000000" w:themeColor="text1"/>
          <w:sz w:val="20"/>
          <w:szCs w:val="20"/>
          <w:vertAlign w:val="superscript"/>
          <w:lang w:val="en-US"/>
        </w:rPr>
        <w:t xml:space="preserve"> </w:t>
      </w:r>
      <w:r w:rsidR="0011528D" w:rsidRPr="00C720CE">
        <w:rPr>
          <w:rFonts w:ascii="Arial" w:hAnsi="Arial" w:cs="Arial"/>
          <w:b/>
          <w:color w:val="000000" w:themeColor="text1"/>
          <w:sz w:val="20"/>
          <w:szCs w:val="20"/>
          <w:lang w:val="en-US"/>
        </w:rPr>
        <w:t xml:space="preserve"> C, </w:t>
      </w:r>
      <w:hyperlink r:id="rId30" w:history="1">
        <w:r w:rsidR="0011528D" w:rsidRPr="00C720CE">
          <w:rPr>
            <w:rFonts w:ascii="Arial" w:hAnsi="Arial" w:cs="Arial"/>
            <w:b/>
            <w:color w:val="000000" w:themeColor="text1"/>
            <w:sz w:val="20"/>
            <w:szCs w:val="20"/>
            <w:lang w:val="en-US"/>
          </w:rPr>
          <w:t>Ford</w:t>
        </w:r>
      </w:hyperlink>
      <w:r w:rsidR="0011528D" w:rsidRPr="00C720CE">
        <w:rPr>
          <w:rFonts w:ascii="Arial" w:hAnsi="Arial" w:cs="Arial"/>
          <w:b/>
          <w:color w:val="000000" w:themeColor="text1"/>
          <w:sz w:val="20"/>
          <w:szCs w:val="20"/>
          <w:vertAlign w:val="superscript"/>
          <w:lang w:val="en-US"/>
        </w:rPr>
        <w:t xml:space="preserve"> </w:t>
      </w:r>
      <w:r w:rsidR="0011528D" w:rsidRPr="00C720CE">
        <w:rPr>
          <w:rFonts w:ascii="Arial" w:hAnsi="Arial" w:cs="Arial"/>
          <w:b/>
          <w:color w:val="000000" w:themeColor="text1"/>
          <w:sz w:val="20"/>
          <w:szCs w:val="20"/>
          <w:lang w:val="en-US"/>
        </w:rPr>
        <w:t>N, </w:t>
      </w:r>
      <w:hyperlink r:id="rId31" w:history="1">
        <w:r w:rsidR="0011528D" w:rsidRPr="00C720CE">
          <w:rPr>
            <w:rFonts w:ascii="Arial" w:hAnsi="Arial" w:cs="Arial"/>
            <w:b/>
            <w:color w:val="000000" w:themeColor="text1"/>
            <w:sz w:val="20"/>
            <w:szCs w:val="20"/>
            <w:lang w:val="en-US"/>
          </w:rPr>
          <w:t>Ronat</w:t>
        </w:r>
      </w:hyperlink>
      <w:r w:rsidR="0011528D" w:rsidRPr="00C720CE">
        <w:rPr>
          <w:rFonts w:ascii="Arial" w:hAnsi="Arial" w:cs="Arial"/>
          <w:b/>
          <w:color w:val="000000" w:themeColor="text1"/>
          <w:sz w:val="20"/>
          <w:szCs w:val="20"/>
          <w:lang w:val="en-US"/>
        </w:rPr>
        <w:t xml:space="preserve"> JB, </w:t>
      </w:r>
      <w:hyperlink r:id="rId32" w:history="1">
        <w:r w:rsidR="0011528D" w:rsidRPr="00C720CE">
          <w:rPr>
            <w:rFonts w:ascii="Arial" w:hAnsi="Arial" w:cs="Arial"/>
            <w:b/>
            <w:color w:val="000000" w:themeColor="text1"/>
            <w:sz w:val="20"/>
            <w:szCs w:val="20"/>
            <w:lang w:val="en-US"/>
          </w:rPr>
          <w:t>Murphy</w:t>
        </w:r>
      </w:hyperlink>
      <w:r w:rsidR="0011528D" w:rsidRPr="00C720CE">
        <w:rPr>
          <w:rFonts w:ascii="Arial" w:hAnsi="Arial" w:cs="Arial"/>
          <w:b/>
          <w:color w:val="000000" w:themeColor="text1"/>
          <w:sz w:val="20"/>
          <w:szCs w:val="20"/>
          <w:vertAlign w:val="superscript"/>
          <w:lang w:val="en-US"/>
        </w:rPr>
        <w:t xml:space="preserve"> </w:t>
      </w:r>
      <w:r w:rsidR="0011528D" w:rsidRPr="00C720CE">
        <w:rPr>
          <w:rFonts w:ascii="Arial" w:hAnsi="Arial" w:cs="Arial"/>
          <w:b/>
          <w:color w:val="000000" w:themeColor="text1"/>
          <w:sz w:val="20"/>
          <w:szCs w:val="20"/>
          <w:lang w:val="en-US"/>
        </w:rPr>
        <w:t xml:space="preserve">RA (2017). </w:t>
      </w:r>
      <w:r w:rsidR="0011528D" w:rsidRPr="00C720CE">
        <w:rPr>
          <w:rFonts w:ascii="Arial" w:hAnsi="Arial" w:cs="Arial"/>
          <w:color w:val="000000" w:themeColor="text1"/>
          <w:sz w:val="20"/>
          <w:szCs w:val="20"/>
          <w:lang w:val="en-US"/>
        </w:rPr>
        <w:t>Antimicrobial resistance in West Africa: a systematic review and meta-analysis. Internation</w:t>
      </w:r>
      <w:r w:rsidR="00E5798C">
        <w:rPr>
          <w:rFonts w:ascii="Arial" w:hAnsi="Arial" w:cs="Arial"/>
          <w:color w:val="000000" w:themeColor="text1"/>
          <w:sz w:val="20"/>
          <w:szCs w:val="20"/>
          <w:lang w:val="en-US"/>
        </w:rPr>
        <w:t>al</w:t>
      </w:r>
      <w:r w:rsidR="0011528D" w:rsidRPr="00C720CE">
        <w:rPr>
          <w:rFonts w:ascii="Arial" w:hAnsi="Arial" w:cs="Arial"/>
          <w:color w:val="000000" w:themeColor="text1"/>
          <w:sz w:val="20"/>
          <w:szCs w:val="20"/>
          <w:lang w:val="en-US"/>
        </w:rPr>
        <w:t xml:space="preserve"> Journal of Antimicrobial Agents</w:t>
      </w:r>
      <w:r w:rsidR="0011528D" w:rsidRPr="00C720CE">
        <w:rPr>
          <w:rStyle w:val="period"/>
          <w:rFonts w:ascii="Arial" w:hAnsi="Arial" w:cs="Arial"/>
          <w:color w:val="000000" w:themeColor="text1"/>
          <w:sz w:val="20"/>
          <w:szCs w:val="20"/>
          <w:lang w:val="en-US"/>
        </w:rPr>
        <w:t xml:space="preserve">, </w:t>
      </w:r>
      <w:r w:rsidR="0011528D" w:rsidRPr="00C720CE">
        <w:rPr>
          <w:rStyle w:val="cit"/>
          <w:rFonts w:ascii="Arial" w:hAnsi="Arial" w:cs="Arial"/>
          <w:color w:val="000000" w:themeColor="text1"/>
          <w:sz w:val="20"/>
          <w:szCs w:val="20"/>
        </w:rPr>
        <w:t xml:space="preserve">50(5), 629-639. </w:t>
      </w:r>
      <w:proofErr w:type="gramStart"/>
      <w:r w:rsidR="0011528D" w:rsidRPr="00C720CE">
        <w:rPr>
          <w:rStyle w:val="id-label"/>
          <w:rFonts w:ascii="Arial" w:hAnsi="Arial" w:cs="Arial"/>
          <w:color w:val="000000" w:themeColor="text1"/>
          <w:sz w:val="20"/>
          <w:szCs w:val="20"/>
        </w:rPr>
        <w:t>PMID:</w:t>
      </w:r>
      <w:proofErr w:type="gramEnd"/>
      <w:r w:rsidR="0011528D" w:rsidRPr="00C720CE">
        <w:rPr>
          <w:rStyle w:val="apple-converted-space"/>
          <w:rFonts w:ascii="Arial" w:hAnsi="Arial" w:cs="Arial"/>
          <w:color w:val="000000" w:themeColor="text1"/>
          <w:sz w:val="20"/>
          <w:szCs w:val="20"/>
        </w:rPr>
        <w:t> </w:t>
      </w:r>
      <w:r w:rsidR="0011528D" w:rsidRPr="00C720CE">
        <w:rPr>
          <w:rStyle w:val="Strong"/>
          <w:rFonts w:ascii="Arial" w:hAnsi="Arial" w:cs="Arial"/>
          <w:b w:val="0"/>
          <w:bCs w:val="0"/>
          <w:color w:val="000000" w:themeColor="text1"/>
          <w:sz w:val="20"/>
          <w:szCs w:val="20"/>
        </w:rPr>
        <w:t>28705671</w:t>
      </w:r>
      <w:r w:rsidR="0011528D" w:rsidRPr="00C720CE">
        <w:rPr>
          <w:rFonts w:ascii="Arial" w:hAnsi="Arial" w:cs="Arial"/>
          <w:color w:val="000000" w:themeColor="text1"/>
          <w:sz w:val="20"/>
          <w:szCs w:val="20"/>
        </w:rPr>
        <w:t xml:space="preserve">, </w:t>
      </w:r>
      <w:r w:rsidR="0011528D" w:rsidRPr="00C720CE">
        <w:rPr>
          <w:rStyle w:val="id-label"/>
          <w:rFonts w:ascii="Arial" w:hAnsi="Arial" w:cs="Arial"/>
          <w:color w:val="000000" w:themeColor="text1"/>
          <w:sz w:val="20"/>
          <w:szCs w:val="20"/>
        </w:rPr>
        <w:t>DOI:</w:t>
      </w:r>
      <w:r w:rsidR="0011528D" w:rsidRPr="00C720CE">
        <w:rPr>
          <w:rStyle w:val="apple-converted-space"/>
          <w:rFonts w:ascii="Arial" w:hAnsi="Arial" w:cs="Arial"/>
          <w:color w:val="000000" w:themeColor="text1"/>
          <w:sz w:val="20"/>
          <w:szCs w:val="20"/>
        </w:rPr>
        <w:t> </w:t>
      </w:r>
      <w:hyperlink r:id="rId33" w:tgtFrame="_blank" w:history="1">
        <w:r w:rsidR="0011528D" w:rsidRPr="00C720CE">
          <w:rPr>
            <w:rStyle w:val="Hyperlink"/>
            <w:rFonts w:ascii="Arial" w:hAnsi="Arial" w:cs="Arial"/>
            <w:color w:val="000000" w:themeColor="text1"/>
            <w:sz w:val="20"/>
            <w:szCs w:val="20"/>
          </w:rPr>
          <w:t>10.1016/j.ijantimicag.2017.07.002</w:t>
        </w:r>
      </w:hyperlink>
    </w:p>
    <w:p w14:paraId="1573FB72" w14:textId="77777777" w:rsidR="001955C1" w:rsidRPr="00C720CE" w:rsidRDefault="001955C1" w:rsidP="00722502">
      <w:pPr>
        <w:pStyle w:val="NormalWeb"/>
        <w:numPr>
          <w:ilvl w:val="0"/>
          <w:numId w:val="32"/>
        </w:numPr>
        <w:jc w:val="both"/>
        <w:rPr>
          <w:rStyle w:val="Strong"/>
          <w:rFonts w:ascii="Arial" w:hAnsi="Arial" w:cs="Arial"/>
          <w:b w:val="0"/>
          <w:bCs w:val="0"/>
          <w:color w:val="000000" w:themeColor="text1"/>
          <w:sz w:val="20"/>
          <w:szCs w:val="20"/>
          <w:lang w:val="en-US"/>
        </w:rPr>
      </w:pPr>
      <w:r w:rsidRPr="00C720CE">
        <w:rPr>
          <w:rFonts w:ascii="Arial" w:hAnsi="Arial" w:cs="Arial"/>
          <w:b/>
          <w:sz w:val="20"/>
          <w:szCs w:val="20"/>
          <w:lang w:val="en-US"/>
        </w:rPr>
        <w:t>Donkor ES, Osman</w:t>
      </w:r>
      <w:r w:rsidR="000B2145" w:rsidRPr="00C720CE">
        <w:rPr>
          <w:rFonts w:ascii="Arial" w:hAnsi="Arial" w:cs="Arial"/>
          <w:b/>
          <w:sz w:val="20"/>
          <w:szCs w:val="20"/>
          <w:lang w:val="en-US"/>
        </w:rPr>
        <w:t xml:space="preserve"> AH</w:t>
      </w:r>
      <w:r w:rsidRPr="00C720CE">
        <w:rPr>
          <w:rFonts w:ascii="Arial" w:hAnsi="Arial" w:cs="Arial"/>
          <w:b/>
          <w:sz w:val="20"/>
          <w:szCs w:val="20"/>
          <w:lang w:val="en-US"/>
        </w:rPr>
        <w:t>,</w:t>
      </w:r>
      <w:r w:rsidR="000B2145" w:rsidRPr="00C720CE">
        <w:rPr>
          <w:rFonts w:ascii="Arial" w:hAnsi="Arial" w:cs="Arial"/>
          <w:b/>
          <w:sz w:val="20"/>
          <w:szCs w:val="20"/>
          <w:lang w:val="en-US"/>
        </w:rPr>
        <w:t xml:space="preserve"> </w:t>
      </w:r>
      <w:proofErr w:type="spellStart"/>
      <w:r w:rsidRPr="00C720CE">
        <w:rPr>
          <w:rFonts w:ascii="Arial" w:hAnsi="Arial" w:cs="Arial"/>
          <w:b/>
          <w:sz w:val="20"/>
          <w:szCs w:val="20"/>
          <w:lang w:val="en-US"/>
        </w:rPr>
        <w:t>Aglomasa</w:t>
      </w:r>
      <w:proofErr w:type="spellEnd"/>
      <w:r w:rsidR="000B2145" w:rsidRPr="00C720CE">
        <w:rPr>
          <w:rFonts w:ascii="Arial" w:hAnsi="Arial" w:cs="Arial"/>
          <w:b/>
          <w:sz w:val="20"/>
          <w:szCs w:val="20"/>
          <w:lang w:val="en-US"/>
        </w:rPr>
        <w:t xml:space="preserve"> BC</w:t>
      </w:r>
      <w:r w:rsidRPr="00C720CE">
        <w:rPr>
          <w:rFonts w:ascii="Arial" w:hAnsi="Arial" w:cs="Arial"/>
          <w:b/>
          <w:sz w:val="20"/>
          <w:szCs w:val="20"/>
          <w:lang w:val="en-US"/>
        </w:rPr>
        <w:t xml:space="preserve">, </w:t>
      </w:r>
      <w:proofErr w:type="spellStart"/>
      <w:r w:rsidRPr="00C720CE">
        <w:rPr>
          <w:rFonts w:ascii="Arial" w:hAnsi="Arial" w:cs="Arial"/>
          <w:b/>
          <w:sz w:val="20"/>
          <w:szCs w:val="20"/>
          <w:lang w:val="en-US"/>
        </w:rPr>
        <w:t>Awere-Duodu</w:t>
      </w:r>
      <w:proofErr w:type="spellEnd"/>
      <w:r w:rsidR="000B2145" w:rsidRPr="00C720CE">
        <w:rPr>
          <w:rFonts w:ascii="Arial" w:hAnsi="Arial" w:cs="Arial"/>
          <w:b/>
          <w:sz w:val="20"/>
          <w:szCs w:val="20"/>
          <w:lang w:val="en-US"/>
        </w:rPr>
        <w:t xml:space="preserve"> A</w:t>
      </w:r>
      <w:r w:rsidRPr="00C720CE">
        <w:rPr>
          <w:rFonts w:ascii="Arial" w:hAnsi="Arial" w:cs="Arial"/>
          <w:b/>
          <w:sz w:val="20"/>
          <w:szCs w:val="20"/>
          <w:lang w:val="en-US"/>
        </w:rPr>
        <w:t>, Odoom</w:t>
      </w:r>
      <w:r w:rsidR="000B2145" w:rsidRPr="00C720CE">
        <w:rPr>
          <w:rFonts w:ascii="Arial" w:hAnsi="Arial" w:cs="Arial"/>
          <w:b/>
          <w:sz w:val="20"/>
          <w:szCs w:val="20"/>
          <w:lang w:val="en-US"/>
        </w:rPr>
        <w:t xml:space="preserve"> A</w:t>
      </w:r>
      <w:r w:rsidRPr="00C720CE">
        <w:rPr>
          <w:rFonts w:ascii="Arial" w:hAnsi="Arial" w:cs="Arial"/>
          <w:b/>
          <w:sz w:val="20"/>
          <w:szCs w:val="20"/>
          <w:lang w:val="en-US"/>
        </w:rPr>
        <w:t>, Opoku-Asare</w:t>
      </w:r>
      <w:r w:rsidR="000B2145" w:rsidRPr="00C720CE">
        <w:rPr>
          <w:rFonts w:ascii="Arial" w:hAnsi="Arial" w:cs="Arial"/>
          <w:b/>
          <w:sz w:val="20"/>
          <w:szCs w:val="20"/>
          <w:lang w:val="en-US"/>
        </w:rPr>
        <w:t xml:space="preserve"> B</w:t>
      </w:r>
      <w:r w:rsidRPr="00C720CE">
        <w:rPr>
          <w:rFonts w:ascii="Arial" w:hAnsi="Arial" w:cs="Arial"/>
          <w:b/>
          <w:position w:val="8"/>
          <w:sz w:val="20"/>
          <w:szCs w:val="20"/>
          <w:lang w:val="en-US"/>
        </w:rPr>
        <w:t xml:space="preserve"> </w:t>
      </w:r>
      <w:r w:rsidRPr="00C720CE">
        <w:rPr>
          <w:rFonts w:ascii="Arial" w:hAnsi="Arial" w:cs="Arial"/>
          <w:b/>
          <w:sz w:val="20"/>
          <w:szCs w:val="20"/>
          <w:lang w:val="en-US"/>
        </w:rPr>
        <w:t xml:space="preserve">and Lazarus </w:t>
      </w:r>
      <w:r w:rsidR="000B2145" w:rsidRPr="00C720CE">
        <w:rPr>
          <w:rFonts w:ascii="Arial" w:hAnsi="Arial" w:cs="Arial"/>
          <w:b/>
          <w:sz w:val="20"/>
          <w:szCs w:val="20"/>
          <w:lang w:val="en-US"/>
        </w:rPr>
        <w:t>G (2025).</w:t>
      </w:r>
      <w:r w:rsidR="000B2145" w:rsidRPr="00C720CE">
        <w:rPr>
          <w:rFonts w:ascii="Arial" w:hAnsi="Arial" w:cs="Arial"/>
          <w:sz w:val="20"/>
          <w:szCs w:val="20"/>
          <w:lang w:val="en-US"/>
        </w:rPr>
        <w:t xml:space="preserve"> Improving antibiotic utilization in West Africa: enhancing interventions through systematic review and evidence synthesis.  </w:t>
      </w:r>
      <w:proofErr w:type="spellStart"/>
      <w:r w:rsidR="000B2145" w:rsidRPr="00C720CE">
        <w:rPr>
          <w:rFonts w:ascii="Arial" w:hAnsi="Arial" w:cs="Arial"/>
          <w:sz w:val="20"/>
          <w:szCs w:val="20"/>
        </w:rPr>
        <w:t>Antimicrobial</w:t>
      </w:r>
      <w:proofErr w:type="spellEnd"/>
      <w:r w:rsidR="000B2145" w:rsidRPr="00C720CE">
        <w:rPr>
          <w:rFonts w:ascii="Arial" w:hAnsi="Arial" w:cs="Arial"/>
          <w:sz w:val="20"/>
          <w:szCs w:val="20"/>
        </w:rPr>
        <w:t xml:space="preserve"> Resistance and Infection Control, 14, 5. doi.org/10.1186/s13756-024-01504-3 </w:t>
      </w:r>
    </w:p>
    <w:p w14:paraId="1D8202E8" w14:textId="67D2B9FC" w:rsidR="00722502" w:rsidRPr="00735759" w:rsidRDefault="00FF3423" w:rsidP="00722502">
      <w:pPr>
        <w:pStyle w:val="ListParagraph"/>
        <w:numPr>
          <w:ilvl w:val="0"/>
          <w:numId w:val="32"/>
        </w:numPr>
        <w:spacing w:before="100" w:beforeAutospacing="1" w:after="100" w:afterAutospacing="1"/>
        <w:rPr>
          <w:rStyle w:val="Hyperlink"/>
          <w:rFonts w:ascii="Arial" w:hAnsi="Arial" w:cs="Arial"/>
          <w:b/>
          <w:color w:val="000000" w:themeColor="text1"/>
          <w:sz w:val="20"/>
          <w:szCs w:val="20"/>
          <w:u w:val="none"/>
          <w:lang w:val="en-US"/>
        </w:rPr>
      </w:pPr>
      <w:r w:rsidRPr="00C720CE">
        <w:rPr>
          <w:rFonts w:ascii="Arial" w:hAnsi="Arial" w:cs="Arial"/>
          <w:b/>
          <w:color w:val="000000" w:themeColor="text1"/>
          <w:sz w:val="20"/>
          <w:szCs w:val="20"/>
        </w:rPr>
        <w:t>Totaro V,</w:t>
      </w:r>
      <w:r w:rsidRPr="00C720CE">
        <w:rPr>
          <w:rFonts w:ascii="Arial" w:hAnsi="Arial" w:cs="Arial"/>
          <w:b/>
          <w:color w:val="000000" w:themeColor="text1"/>
          <w:position w:val="8"/>
          <w:sz w:val="20"/>
          <w:szCs w:val="20"/>
        </w:rPr>
        <w:t xml:space="preserve"> </w:t>
      </w:r>
      <w:r w:rsidRPr="00C720CE">
        <w:rPr>
          <w:rFonts w:ascii="Arial" w:hAnsi="Arial" w:cs="Arial"/>
          <w:b/>
          <w:color w:val="000000" w:themeColor="text1"/>
          <w:sz w:val="20"/>
          <w:szCs w:val="20"/>
        </w:rPr>
        <w:t>Guido G,</w:t>
      </w:r>
      <w:r w:rsidRPr="00C720CE">
        <w:rPr>
          <w:rFonts w:ascii="Arial" w:hAnsi="Arial" w:cs="Arial"/>
          <w:b/>
          <w:color w:val="000000" w:themeColor="text1"/>
          <w:position w:val="8"/>
          <w:sz w:val="20"/>
          <w:szCs w:val="20"/>
        </w:rPr>
        <w:t xml:space="preserve"> </w:t>
      </w:r>
      <w:r w:rsidRPr="00C720CE">
        <w:rPr>
          <w:rFonts w:ascii="Arial" w:hAnsi="Arial" w:cs="Arial"/>
          <w:b/>
          <w:color w:val="000000" w:themeColor="text1"/>
          <w:sz w:val="20"/>
          <w:szCs w:val="20"/>
        </w:rPr>
        <w:t>Cotugno S,</w:t>
      </w:r>
      <w:r w:rsidRPr="00C720CE">
        <w:rPr>
          <w:rFonts w:ascii="Arial" w:hAnsi="Arial" w:cs="Arial"/>
          <w:b/>
          <w:color w:val="000000" w:themeColor="text1"/>
          <w:position w:val="8"/>
          <w:sz w:val="20"/>
          <w:szCs w:val="20"/>
        </w:rPr>
        <w:t xml:space="preserve"> </w:t>
      </w:r>
      <w:r w:rsidRPr="00C720CE">
        <w:rPr>
          <w:rFonts w:ascii="Arial" w:hAnsi="Arial" w:cs="Arial"/>
          <w:b/>
          <w:color w:val="000000" w:themeColor="text1"/>
          <w:sz w:val="20"/>
          <w:szCs w:val="20"/>
        </w:rPr>
        <w:t>De Vita E,</w:t>
      </w:r>
      <w:r w:rsidRPr="00C720CE">
        <w:rPr>
          <w:rFonts w:ascii="Arial" w:hAnsi="Arial" w:cs="Arial"/>
          <w:b/>
          <w:color w:val="000000" w:themeColor="text1"/>
          <w:position w:val="8"/>
          <w:sz w:val="20"/>
          <w:szCs w:val="20"/>
        </w:rPr>
        <w:t xml:space="preserve"> </w:t>
      </w:r>
      <w:proofErr w:type="spellStart"/>
      <w:r w:rsidRPr="00C720CE">
        <w:rPr>
          <w:rFonts w:ascii="Arial" w:hAnsi="Arial" w:cs="Arial"/>
          <w:b/>
          <w:color w:val="000000" w:themeColor="text1"/>
          <w:sz w:val="20"/>
          <w:szCs w:val="20"/>
        </w:rPr>
        <w:t>Asaduzzaman</w:t>
      </w:r>
      <w:proofErr w:type="spellEnd"/>
      <w:r w:rsidRPr="00C720CE">
        <w:rPr>
          <w:rFonts w:ascii="Arial" w:hAnsi="Arial" w:cs="Arial"/>
          <w:b/>
          <w:color w:val="000000" w:themeColor="text1"/>
          <w:sz w:val="20"/>
          <w:szCs w:val="20"/>
        </w:rPr>
        <w:t xml:space="preserve"> M, Patti G </w:t>
      </w:r>
      <w:proofErr w:type="gramStart"/>
      <w:r w:rsidR="00722502" w:rsidRPr="00C720CE">
        <w:rPr>
          <w:rFonts w:ascii="Arial" w:hAnsi="Arial" w:cs="Arial"/>
          <w:b/>
          <w:color w:val="000000" w:themeColor="text1"/>
          <w:sz w:val="20"/>
          <w:szCs w:val="20"/>
        </w:rPr>
        <w:t xml:space="preserve">et </w:t>
      </w:r>
      <w:r w:rsidRPr="00C720CE">
        <w:rPr>
          <w:rFonts w:ascii="Arial" w:hAnsi="Arial" w:cs="Arial"/>
          <w:b/>
          <w:color w:val="000000" w:themeColor="text1"/>
          <w:sz w:val="20"/>
          <w:szCs w:val="20"/>
        </w:rPr>
        <w:t xml:space="preserve"> al</w:t>
      </w:r>
      <w:proofErr w:type="gramEnd"/>
      <w:r w:rsidRPr="00C720CE">
        <w:rPr>
          <w:rFonts w:ascii="Arial" w:hAnsi="Arial" w:cs="Arial"/>
          <w:color w:val="000000" w:themeColor="text1"/>
          <w:sz w:val="20"/>
          <w:szCs w:val="20"/>
        </w:rPr>
        <w:t xml:space="preserve">. </w:t>
      </w:r>
      <w:r w:rsidR="00722502" w:rsidRPr="00C720CE">
        <w:rPr>
          <w:rFonts w:ascii="Arial" w:hAnsi="Arial" w:cs="Arial"/>
          <w:b/>
          <w:color w:val="000000" w:themeColor="text1"/>
          <w:sz w:val="20"/>
          <w:szCs w:val="20"/>
          <w:lang w:val="en-US"/>
        </w:rPr>
        <w:t>(2025).</w:t>
      </w:r>
      <w:r w:rsidR="00722502" w:rsidRPr="00C720CE">
        <w:rPr>
          <w:rFonts w:ascii="Arial" w:hAnsi="Arial" w:cs="Arial"/>
          <w:color w:val="000000" w:themeColor="text1"/>
          <w:sz w:val="20"/>
          <w:szCs w:val="20"/>
          <w:lang w:val="en-US"/>
        </w:rPr>
        <w:t xml:space="preserve"> </w:t>
      </w:r>
      <w:r w:rsidRPr="00C720CE">
        <w:rPr>
          <w:rFonts w:ascii="Arial" w:hAnsi="Arial" w:cs="Arial"/>
          <w:color w:val="000000" w:themeColor="text1"/>
          <w:sz w:val="20"/>
          <w:szCs w:val="20"/>
          <w:lang w:val="en-US"/>
        </w:rPr>
        <w:t xml:space="preserve">Antimicrobial Resistance in Sub-Saharan Africa: A Comprehensive Landscape Review. </w:t>
      </w:r>
      <w:r w:rsidRPr="00C720CE">
        <w:rPr>
          <w:rFonts w:ascii="Arial" w:hAnsi="Arial" w:cs="Arial"/>
          <w:iCs/>
          <w:color w:val="000000" w:themeColor="text1"/>
          <w:sz w:val="20"/>
          <w:szCs w:val="20"/>
          <w:lang w:val="en-US"/>
        </w:rPr>
        <w:t>Am</w:t>
      </w:r>
      <w:r w:rsidR="00722502" w:rsidRPr="00C720CE">
        <w:rPr>
          <w:rFonts w:ascii="Arial" w:hAnsi="Arial" w:cs="Arial"/>
          <w:iCs/>
          <w:color w:val="000000" w:themeColor="text1"/>
          <w:sz w:val="20"/>
          <w:szCs w:val="20"/>
          <w:lang w:val="en-US"/>
        </w:rPr>
        <w:t>erican</w:t>
      </w:r>
      <w:r w:rsidRPr="00C720CE">
        <w:rPr>
          <w:rFonts w:ascii="Arial" w:hAnsi="Arial" w:cs="Arial"/>
          <w:iCs/>
          <w:color w:val="000000" w:themeColor="text1"/>
          <w:sz w:val="20"/>
          <w:szCs w:val="20"/>
          <w:lang w:val="en-US"/>
        </w:rPr>
        <w:t xml:space="preserve"> J</w:t>
      </w:r>
      <w:r w:rsidR="00722502" w:rsidRPr="00C720CE">
        <w:rPr>
          <w:rFonts w:ascii="Arial" w:hAnsi="Arial" w:cs="Arial"/>
          <w:iCs/>
          <w:color w:val="000000" w:themeColor="text1"/>
          <w:sz w:val="20"/>
          <w:szCs w:val="20"/>
          <w:lang w:val="en-US"/>
        </w:rPr>
        <w:t>ournal</w:t>
      </w:r>
      <w:r w:rsidRPr="00C720CE">
        <w:rPr>
          <w:rFonts w:ascii="Arial" w:hAnsi="Arial" w:cs="Arial"/>
          <w:iCs/>
          <w:color w:val="000000" w:themeColor="text1"/>
          <w:sz w:val="20"/>
          <w:szCs w:val="20"/>
          <w:lang w:val="en-US"/>
        </w:rPr>
        <w:t xml:space="preserve"> </w:t>
      </w:r>
      <w:r w:rsidR="00722502" w:rsidRPr="00C720CE">
        <w:rPr>
          <w:rFonts w:ascii="Arial" w:hAnsi="Arial" w:cs="Arial"/>
          <w:iCs/>
          <w:color w:val="000000" w:themeColor="text1"/>
          <w:sz w:val="20"/>
          <w:szCs w:val="20"/>
          <w:lang w:val="en-US"/>
        </w:rPr>
        <w:t xml:space="preserve">of </w:t>
      </w:r>
      <w:proofErr w:type="spellStart"/>
      <w:r w:rsidRPr="00C720CE">
        <w:rPr>
          <w:rFonts w:ascii="Arial" w:hAnsi="Arial" w:cs="Arial"/>
          <w:iCs/>
          <w:color w:val="000000" w:themeColor="text1"/>
          <w:sz w:val="20"/>
          <w:szCs w:val="20"/>
          <w:lang w:val="en-US"/>
        </w:rPr>
        <w:t>Trop</w:t>
      </w:r>
      <w:r w:rsidR="00722502" w:rsidRPr="00C720CE">
        <w:rPr>
          <w:rFonts w:ascii="Arial" w:hAnsi="Arial" w:cs="Arial"/>
          <w:iCs/>
          <w:color w:val="000000" w:themeColor="text1"/>
          <w:sz w:val="20"/>
          <w:szCs w:val="20"/>
          <w:lang w:val="en-US"/>
        </w:rPr>
        <w:t>icale</w:t>
      </w:r>
      <w:proofErr w:type="spellEnd"/>
      <w:r w:rsidRPr="00C720CE">
        <w:rPr>
          <w:rFonts w:ascii="Arial" w:hAnsi="Arial" w:cs="Arial"/>
          <w:iCs/>
          <w:color w:val="000000" w:themeColor="text1"/>
          <w:sz w:val="20"/>
          <w:szCs w:val="20"/>
          <w:lang w:val="en-US"/>
        </w:rPr>
        <w:t xml:space="preserve"> </w:t>
      </w:r>
      <w:proofErr w:type="spellStart"/>
      <w:r w:rsidRPr="00C720CE">
        <w:rPr>
          <w:rFonts w:ascii="Arial" w:hAnsi="Arial" w:cs="Arial"/>
          <w:iCs/>
          <w:color w:val="000000" w:themeColor="text1"/>
          <w:sz w:val="20"/>
          <w:szCs w:val="20"/>
          <w:lang w:val="en-US"/>
        </w:rPr>
        <w:t>Med</w:t>
      </w:r>
      <w:r w:rsidR="00722502" w:rsidRPr="00C720CE">
        <w:rPr>
          <w:rFonts w:ascii="Arial" w:hAnsi="Arial" w:cs="Arial"/>
          <w:iCs/>
          <w:color w:val="000000" w:themeColor="text1"/>
          <w:sz w:val="20"/>
          <w:szCs w:val="20"/>
          <w:lang w:val="en-US"/>
        </w:rPr>
        <w:t>ecine</w:t>
      </w:r>
      <w:proofErr w:type="spellEnd"/>
      <w:r w:rsidRPr="00C720CE">
        <w:rPr>
          <w:rFonts w:ascii="Arial" w:hAnsi="Arial" w:cs="Arial"/>
          <w:iCs/>
          <w:color w:val="000000" w:themeColor="text1"/>
          <w:sz w:val="20"/>
          <w:szCs w:val="20"/>
          <w:lang w:val="en-US"/>
        </w:rPr>
        <w:t xml:space="preserve"> </w:t>
      </w:r>
      <w:r w:rsidR="00722502" w:rsidRPr="00C720CE">
        <w:rPr>
          <w:rFonts w:ascii="Arial" w:hAnsi="Arial" w:cs="Arial"/>
          <w:iCs/>
          <w:color w:val="000000" w:themeColor="text1"/>
          <w:sz w:val="20"/>
          <w:szCs w:val="20"/>
          <w:lang w:val="en-US"/>
        </w:rPr>
        <w:t xml:space="preserve">and </w:t>
      </w:r>
      <w:r w:rsidRPr="00C720CE">
        <w:rPr>
          <w:rFonts w:ascii="Arial" w:hAnsi="Arial" w:cs="Arial"/>
          <w:iCs/>
          <w:color w:val="000000" w:themeColor="text1"/>
          <w:sz w:val="20"/>
          <w:szCs w:val="20"/>
          <w:lang w:val="en-US"/>
        </w:rPr>
        <w:t>Hyg</w:t>
      </w:r>
      <w:r w:rsidR="00722502" w:rsidRPr="00C720CE">
        <w:rPr>
          <w:rFonts w:ascii="Arial" w:hAnsi="Arial" w:cs="Arial"/>
          <w:iCs/>
          <w:color w:val="000000" w:themeColor="text1"/>
          <w:sz w:val="20"/>
          <w:szCs w:val="20"/>
          <w:lang w:val="en-US"/>
        </w:rPr>
        <w:t>iene</w:t>
      </w:r>
      <w:r w:rsidRPr="00C720CE">
        <w:rPr>
          <w:rFonts w:ascii="Arial" w:hAnsi="Arial" w:cs="Arial"/>
          <w:iCs/>
          <w:color w:val="000000" w:themeColor="text1"/>
          <w:sz w:val="20"/>
          <w:szCs w:val="20"/>
          <w:lang w:val="en-US"/>
        </w:rPr>
        <w:t>.</w:t>
      </w:r>
      <w:r w:rsidRPr="00C720CE">
        <w:rPr>
          <w:rFonts w:ascii="Arial" w:hAnsi="Arial" w:cs="Arial"/>
          <w:color w:val="000000" w:themeColor="text1"/>
          <w:sz w:val="20"/>
          <w:szCs w:val="20"/>
          <w:lang w:val="en-US"/>
        </w:rPr>
        <w:t>, 113(2), 253-263</w:t>
      </w:r>
      <w:r w:rsidR="00722502" w:rsidRPr="00C720CE">
        <w:rPr>
          <w:rFonts w:ascii="Arial" w:hAnsi="Arial" w:cs="Arial"/>
          <w:color w:val="000000" w:themeColor="text1"/>
          <w:sz w:val="20"/>
          <w:szCs w:val="20"/>
          <w:lang w:val="en-US"/>
        </w:rPr>
        <w:t xml:space="preserve">. </w:t>
      </w:r>
      <w:r w:rsidR="00722502" w:rsidRPr="00C720CE">
        <w:rPr>
          <w:rStyle w:val="id-label"/>
          <w:rFonts w:ascii="Arial" w:hAnsi="Arial" w:cs="Arial"/>
          <w:color w:val="212121"/>
          <w:sz w:val="20"/>
          <w:szCs w:val="20"/>
          <w:lang w:val="en-US"/>
        </w:rPr>
        <w:t>PMID:</w:t>
      </w:r>
      <w:r w:rsidR="00722502" w:rsidRPr="00C720CE">
        <w:rPr>
          <w:rStyle w:val="apple-converted-space"/>
          <w:rFonts w:ascii="Arial" w:hAnsi="Arial" w:cs="Arial"/>
          <w:color w:val="212121"/>
          <w:sz w:val="20"/>
          <w:szCs w:val="20"/>
          <w:lang w:val="en-US"/>
        </w:rPr>
        <w:t> </w:t>
      </w:r>
      <w:r w:rsidR="00722502" w:rsidRPr="00C720CE">
        <w:rPr>
          <w:rStyle w:val="Strong"/>
          <w:rFonts w:ascii="Arial" w:hAnsi="Arial" w:cs="Arial"/>
          <w:b w:val="0"/>
          <w:bCs w:val="0"/>
          <w:color w:val="212121"/>
          <w:sz w:val="20"/>
          <w:szCs w:val="20"/>
          <w:lang w:val="en-US"/>
        </w:rPr>
        <w:t xml:space="preserve">40393439, </w:t>
      </w:r>
      <w:r w:rsidR="00722502" w:rsidRPr="00C720CE">
        <w:rPr>
          <w:rStyle w:val="id-label"/>
          <w:rFonts w:ascii="Arial" w:hAnsi="Arial" w:cs="Arial"/>
          <w:color w:val="212121"/>
          <w:sz w:val="20"/>
          <w:szCs w:val="20"/>
          <w:lang w:val="en-US"/>
        </w:rPr>
        <w:t>PMCID:</w:t>
      </w:r>
      <w:r w:rsidR="00722502" w:rsidRPr="00C720CE">
        <w:rPr>
          <w:rStyle w:val="apple-converted-space"/>
          <w:rFonts w:ascii="Arial" w:hAnsi="Arial" w:cs="Arial"/>
          <w:color w:val="212121"/>
          <w:sz w:val="20"/>
          <w:szCs w:val="20"/>
          <w:lang w:val="en-US"/>
        </w:rPr>
        <w:t> </w:t>
      </w:r>
      <w:hyperlink r:id="rId34" w:tgtFrame="_blank" w:history="1">
        <w:r w:rsidR="00722502" w:rsidRPr="00C720CE">
          <w:rPr>
            <w:rStyle w:val="Hyperlink"/>
            <w:rFonts w:ascii="Arial" w:hAnsi="Arial" w:cs="Arial"/>
            <w:color w:val="0071BC"/>
            <w:sz w:val="20"/>
            <w:szCs w:val="20"/>
            <w:lang w:val="en-US"/>
          </w:rPr>
          <w:t>PMC12360106</w:t>
        </w:r>
      </w:hyperlink>
      <w:r w:rsidR="00722502" w:rsidRPr="00C720CE">
        <w:rPr>
          <w:rStyle w:val="identifier"/>
          <w:rFonts w:ascii="Arial" w:hAnsi="Arial" w:cs="Arial"/>
          <w:color w:val="212121"/>
          <w:sz w:val="20"/>
          <w:szCs w:val="20"/>
          <w:lang w:val="en-US"/>
        </w:rPr>
        <w:t xml:space="preserve">, </w:t>
      </w:r>
      <w:r w:rsidR="00722502" w:rsidRPr="00C720CE">
        <w:rPr>
          <w:rStyle w:val="id-label"/>
          <w:rFonts w:ascii="Arial" w:hAnsi="Arial" w:cs="Arial"/>
          <w:color w:val="212121"/>
          <w:sz w:val="20"/>
          <w:szCs w:val="20"/>
          <w:lang w:val="en-US"/>
        </w:rPr>
        <w:t>DOI:</w:t>
      </w:r>
      <w:r w:rsidR="00722502" w:rsidRPr="00C720CE">
        <w:rPr>
          <w:rStyle w:val="apple-converted-space"/>
          <w:rFonts w:ascii="Arial" w:hAnsi="Arial" w:cs="Arial"/>
          <w:color w:val="212121"/>
          <w:sz w:val="20"/>
          <w:szCs w:val="20"/>
          <w:lang w:val="en-US"/>
        </w:rPr>
        <w:t> </w:t>
      </w:r>
      <w:hyperlink r:id="rId35" w:tgtFrame="_blank" w:history="1">
        <w:r w:rsidR="00722502" w:rsidRPr="00C720CE">
          <w:rPr>
            <w:rStyle w:val="Hyperlink"/>
            <w:rFonts w:ascii="Arial" w:hAnsi="Arial" w:cs="Arial"/>
            <w:color w:val="0071BC"/>
            <w:sz w:val="20"/>
            <w:szCs w:val="20"/>
            <w:lang w:val="en-US"/>
          </w:rPr>
          <w:t>10.4269/ajtmh.25-0035</w:t>
        </w:r>
      </w:hyperlink>
    </w:p>
    <w:p w14:paraId="082401B3" w14:textId="0434B84E" w:rsidR="00530ECB" w:rsidRPr="00821FB1" w:rsidRDefault="00735759" w:rsidP="00530ECB">
      <w:pPr>
        <w:pStyle w:val="ListParagraph"/>
        <w:numPr>
          <w:ilvl w:val="0"/>
          <w:numId w:val="32"/>
        </w:numPr>
        <w:spacing w:before="100" w:beforeAutospacing="1" w:after="100" w:afterAutospacing="1"/>
        <w:rPr>
          <w:rFonts w:ascii="Arial" w:hAnsi="Arial" w:cs="Arial"/>
          <w:b/>
          <w:color w:val="000000" w:themeColor="text1"/>
          <w:sz w:val="20"/>
          <w:szCs w:val="20"/>
          <w:highlight w:val="green"/>
          <w:lang w:val="en-US"/>
        </w:rPr>
      </w:pPr>
      <w:proofErr w:type="spellStart"/>
      <w:r w:rsidRPr="00EA1AE0">
        <w:rPr>
          <w:rFonts w:ascii="Arial" w:hAnsi="Arial" w:cs="Arial"/>
          <w:b/>
          <w:sz w:val="20"/>
          <w:szCs w:val="20"/>
          <w:highlight w:val="green"/>
        </w:rPr>
        <w:t>Afriyie</w:t>
      </w:r>
      <w:proofErr w:type="spellEnd"/>
      <w:r w:rsidRPr="00EA1AE0">
        <w:rPr>
          <w:rFonts w:ascii="Arial" w:hAnsi="Arial" w:cs="Arial"/>
          <w:b/>
          <w:sz w:val="20"/>
          <w:szCs w:val="20"/>
          <w:highlight w:val="green"/>
        </w:rPr>
        <w:t xml:space="preserve"> DK, </w:t>
      </w:r>
      <w:proofErr w:type="spellStart"/>
      <w:r w:rsidRPr="00EA1AE0">
        <w:rPr>
          <w:rFonts w:ascii="Arial" w:hAnsi="Arial" w:cs="Arial"/>
          <w:b/>
          <w:sz w:val="20"/>
          <w:szCs w:val="20"/>
          <w:highlight w:val="green"/>
        </w:rPr>
        <w:t>Amponsah</w:t>
      </w:r>
      <w:proofErr w:type="spellEnd"/>
      <w:r w:rsidRPr="00EA1AE0">
        <w:rPr>
          <w:rFonts w:ascii="Arial" w:hAnsi="Arial" w:cs="Arial"/>
          <w:b/>
          <w:sz w:val="20"/>
          <w:szCs w:val="20"/>
          <w:highlight w:val="green"/>
        </w:rPr>
        <w:t xml:space="preserve"> SK, </w:t>
      </w:r>
      <w:proofErr w:type="spellStart"/>
      <w:r w:rsidRPr="00EA1AE0">
        <w:rPr>
          <w:rFonts w:ascii="Arial" w:hAnsi="Arial" w:cs="Arial"/>
          <w:b/>
          <w:sz w:val="20"/>
          <w:szCs w:val="20"/>
          <w:highlight w:val="green"/>
        </w:rPr>
        <w:t>Dogbey</w:t>
      </w:r>
      <w:proofErr w:type="spellEnd"/>
      <w:r w:rsidRPr="00EA1AE0">
        <w:rPr>
          <w:rFonts w:ascii="Arial" w:hAnsi="Arial" w:cs="Arial"/>
          <w:b/>
          <w:sz w:val="20"/>
          <w:szCs w:val="20"/>
          <w:highlight w:val="green"/>
        </w:rPr>
        <w:t xml:space="preserve"> J, et al (2020).</w:t>
      </w:r>
      <w:r w:rsidRPr="00735759">
        <w:rPr>
          <w:rFonts w:ascii="Arial" w:hAnsi="Arial" w:cs="Arial"/>
          <w:sz w:val="20"/>
          <w:szCs w:val="20"/>
          <w:highlight w:val="green"/>
        </w:rPr>
        <w:t xml:space="preserve"> </w:t>
      </w:r>
      <w:r w:rsidRPr="00735759">
        <w:rPr>
          <w:rFonts w:ascii="Arial" w:hAnsi="Arial" w:cs="Arial"/>
          <w:sz w:val="20"/>
          <w:szCs w:val="20"/>
          <w:highlight w:val="green"/>
          <w:lang w:val="en-US"/>
        </w:rPr>
        <w:t xml:space="preserve">Antimicrobial point prevalence surveys in two Ghanaian hospitals: </w:t>
      </w:r>
      <w:r w:rsidRPr="00735759">
        <w:rPr>
          <w:rFonts w:ascii="Arial" w:hAnsi="Arial" w:cs="Arial"/>
          <w:color w:val="212121"/>
          <w:sz w:val="20"/>
          <w:szCs w:val="20"/>
          <w:highlight w:val="green"/>
          <w:lang w:val="en-US"/>
        </w:rPr>
        <w:t xml:space="preserve">opportunities for antimicrobial stewardship. </w:t>
      </w:r>
      <w:r w:rsidRPr="005E644B">
        <w:rPr>
          <w:rStyle w:val="Emphasis"/>
          <w:rFonts w:ascii="Arial" w:hAnsi="Arial" w:cs="Arial"/>
          <w:i w:val="0"/>
          <w:sz w:val="20"/>
          <w:szCs w:val="20"/>
          <w:highlight w:val="green"/>
        </w:rPr>
        <w:t>JAC-</w:t>
      </w:r>
      <w:proofErr w:type="spellStart"/>
      <w:r w:rsidRPr="005E644B">
        <w:rPr>
          <w:rStyle w:val="Emphasis"/>
          <w:rFonts w:ascii="Arial" w:hAnsi="Arial" w:cs="Arial"/>
          <w:i w:val="0"/>
          <w:sz w:val="20"/>
          <w:szCs w:val="20"/>
          <w:highlight w:val="green"/>
        </w:rPr>
        <w:t>Antimicrob</w:t>
      </w:r>
      <w:r w:rsidRPr="005E644B">
        <w:rPr>
          <w:rStyle w:val="Emphasis"/>
          <w:rFonts w:ascii="Arial" w:hAnsi="Arial" w:cs="Arial"/>
          <w:b/>
          <w:i w:val="0"/>
          <w:sz w:val="20"/>
          <w:szCs w:val="20"/>
          <w:highlight w:val="green"/>
        </w:rPr>
        <w:t>i</w:t>
      </w:r>
      <w:r w:rsidRPr="005E644B">
        <w:rPr>
          <w:rStyle w:val="Emphasis"/>
          <w:rFonts w:ascii="Arial" w:hAnsi="Arial" w:cs="Arial"/>
          <w:i w:val="0"/>
          <w:sz w:val="20"/>
          <w:szCs w:val="20"/>
          <w:highlight w:val="green"/>
        </w:rPr>
        <w:t>al</w:t>
      </w:r>
      <w:proofErr w:type="spellEnd"/>
      <w:r w:rsidRPr="005E644B">
        <w:rPr>
          <w:rStyle w:val="Emphasis"/>
          <w:rFonts w:ascii="Arial" w:hAnsi="Arial" w:cs="Arial"/>
          <w:i w:val="0"/>
          <w:sz w:val="20"/>
          <w:szCs w:val="20"/>
          <w:highlight w:val="green"/>
        </w:rPr>
        <w:t xml:space="preserve"> Resistance</w:t>
      </w:r>
      <w:r w:rsidRPr="00735759">
        <w:rPr>
          <w:rFonts w:cs="Arial"/>
          <w:b/>
          <w:sz w:val="20"/>
          <w:szCs w:val="20"/>
          <w:highlight w:val="green"/>
        </w:rPr>
        <w:t xml:space="preserve">, </w:t>
      </w:r>
      <w:r w:rsidRPr="00735759">
        <w:rPr>
          <w:rFonts w:ascii="Arial" w:hAnsi="Arial" w:cs="Arial"/>
          <w:sz w:val="20"/>
          <w:szCs w:val="20"/>
          <w:highlight w:val="green"/>
        </w:rPr>
        <w:t>2(1)</w:t>
      </w:r>
      <w:r w:rsidRPr="00735759">
        <w:rPr>
          <w:rFonts w:cs="Arial"/>
          <w:b/>
          <w:sz w:val="20"/>
          <w:szCs w:val="20"/>
          <w:highlight w:val="green"/>
        </w:rPr>
        <w:t xml:space="preserve">, </w:t>
      </w:r>
      <w:r w:rsidRPr="00735759">
        <w:rPr>
          <w:rFonts w:ascii="Arial" w:hAnsi="Arial" w:cs="Arial"/>
          <w:sz w:val="20"/>
          <w:szCs w:val="20"/>
          <w:highlight w:val="green"/>
        </w:rPr>
        <w:t xml:space="preserve">dlaa020. </w:t>
      </w:r>
      <w:r w:rsidRPr="00735759">
        <w:rPr>
          <w:rStyle w:val="id-label"/>
          <w:rFonts w:ascii="Arial" w:hAnsi="Arial" w:cs="Arial"/>
          <w:color w:val="212121"/>
          <w:sz w:val="20"/>
          <w:szCs w:val="20"/>
          <w:highlight w:val="green"/>
        </w:rPr>
        <w:t>PMID:</w:t>
      </w:r>
      <w:r w:rsidRPr="00735759">
        <w:rPr>
          <w:rStyle w:val="apple-converted-space"/>
          <w:rFonts w:ascii="Arial" w:hAnsi="Arial" w:cs="Arial"/>
          <w:color w:val="212121"/>
          <w:sz w:val="20"/>
          <w:szCs w:val="20"/>
          <w:highlight w:val="green"/>
        </w:rPr>
        <w:t> </w:t>
      </w:r>
      <w:r w:rsidRPr="00735759">
        <w:rPr>
          <w:rStyle w:val="Strong"/>
          <w:rFonts w:ascii="Arial" w:hAnsi="Arial" w:cs="Arial"/>
          <w:b w:val="0"/>
          <w:bCs w:val="0"/>
          <w:color w:val="212121"/>
          <w:sz w:val="20"/>
          <w:szCs w:val="20"/>
          <w:highlight w:val="green"/>
        </w:rPr>
        <w:t xml:space="preserve">34222959, </w:t>
      </w:r>
      <w:r w:rsidRPr="00735759">
        <w:rPr>
          <w:rStyle w:val="id-label"/>
          <w:rFonts w:ascii="Arial" w:hAnsi="Arial" w:cs="Arial"/>
          <w:color w:val="212121"/>
          <w:sz w:val="20"/>
          <w:szCs w:val="20"/>
          <w:highlight w:val="green"/>
        </w:rPr>
        <w:t>PMCID:</w:t>
      </w:r>
      <w:r w:rsidRPr="00735759">
        <w:rPr>
          <w:rStyle w:val="apple-converted-space"/>
          <w:rFonts w:ascii="Arial" w:hAnsi="Arial" w:cs="Arial"/>
          <w:color w:val="212121"/>
          <w:sz w:val="20"/>
          <w:szCs w:val="20"/>
          <w:highlight w:val="green"/>
        </w:rPr>
        <w:t> </w:t>
      </w:r>
      <w:hyperlink r:id="rId36" w:tgtFrame="_blank" w:history="1">
        <w:r w:rsidRPr="00735759">
          <w:rPr>
            <w:rStyle w:val="Hyperlink"/>
            <w:rFonts w:ascii="Arial" w:hAnsi="Arial" w:cs="Arial"/>
            <w:color w:val="0071BC"/>
            <w:sz w:val="20"/>
            <w:szCs w:val="20"/>
            <w:highlight w:val="green"/>
          </w:rPr>
          <w:t>PMC8210261</w:t>
        </w:r>
      </w:hyperlink>
      <w:r w:rsidRPr="00735759">
        <w:rPr>
          <w:rStyle w:val="identifier"/>
          <w:rFonts w:ascii="Arial" w:hAnsi="Arial" w:cs="Arial"/>
          <w:color w:val="212121"/>
          <w:sz w:val="20"/>
          <w:szCs w:val="20"/>
          <w:highlight w:val="green"/>
        </w:rPr>
        <w:t xml:space="preserve">, </w:t>
      </w:r>
      <w:r w:rsidRPr="00735759">
        <w:rPr>
          <w:rStyle w:val="id-label"/>
          <w:rFonts w:ascii="Arial" w:hAnsi="Arial" w:cs="Arial"/>
          <w:color w:val="212121"/>
          <w:sz w:val="20"/>
          <w:szCs w:val="20"/>
          <w:highlight w:val="green"/>
        </w:rPr>
        <w:t>DOI:</w:t>
      </w:r>
      <w:r w:rsidRPr="00735759">
        <w:rPr>
          <w:rStyle w:val="apple-converted-space"/>
          <w:rFonts w:ascii="Arial" w:hAnsi="Arial" w:cs="Arial"/>
          <w:color w:val="212121"/>
          <w:sz w:val="20"/>
          <w:szCs w:val="20"/>
          <w:highlight w:val="green"/>
        </w:rPr>
        <w:t> </w:t>
      </w:r>
      <w:hyperlink r:id="rId37" w:tgtFrame="_blank" w:history="1">
        <w:r w:rsidRPr="00735759">
          <w:rPr>
            <w:rStyle w:val="Hyperlink"/>
            <w:rFonts w:ascii="Arial" w:hAnsi="Arial" w:cs="Arial"/>
            <w:color w:val="0071BC"/>
            <w:sz w:val="20"/>
            <w:szCs w:val="20"/>
            <w:highlight w:val="green"/>
          </w:rPr>
          <w:t>10.1093/</w:t>
        </w:r>
        <w:proofErr w:type="spellStart"/>
        <w:r w:rsidRPr="00735759">
          <w:rPr>
            <w:rStyle w:val="Hyperlink"/>
            <w:rFonts w:ascii="Arial" w:hAnsi="Arial" w:cs="Arial"/>
            <w:color w:val="0071BC"/>
            <w:sz w:val="20"/>
            <w:szCs w:val="20"/>
            <w:highlight w:val="green"/>
          </w:rPr>
          <w:t>jacamr</w:t>
        </w:r>
        <w:proofErr w:type="spellEnd"/>
        <w:r w:rsidRPr="00735759">
          <w:rPr>
            <w:rStyle w:val="Hyperlink"/>
            <w:rFonts w:ascii="Arial" w:hAnsi="Arial" w:cs="Arial"/>
            <w:color w:val="0071BC"/>
            <w:sz w:val="20"/>
            <w:szCs w:val="20"/>
            <w:highlight w:val="green"/>
          </w:rPr>
          <w:t>/dlaa001</w:t>
        </w:r>
      </w:hyperlink>
    </w:p>
    <w:p w14:paraId="1FB6447E" w14:textId="77777777" w:rsidR="00E93A05" w:rsidRPr="00C720CE" w:rsidRDefault="00FF3423" w:rsidP="00E93A05">
      <w:pPr>
        <w:pStyle w:val="ListParagraph"/>
        <w:numPr>
          <w:ilvl w:val="0"/>
          <w:numId w:val="32"/>
        </w:numPr>
        <w:spacing w:before="100" w:beforeAutospacing="1" w:after="100" w:afterAutospacing="1"/>
        <w:rPr>
          <w:rFonts w:ascii="Arial" w:hAnsi="Arial" w:cs="Arial"/>
          <w:b/>
          <w:color w:val="000000" w:themeColor="text1"/>
          <w:sz w:val="20"/>
          <w:szCs w:val="20"/>
        </w:rPr>
      </w:pPr>
      <w:r w:rsidRPr="00C720CE">
        <w:rPr>
          <w:rStyle w:val="text"/>
          <w:rFonts w:ascii="Arial" w:hAnsi="Arial" w:cs="Arial"/>
          <w:b/>
          <w:color w:val="000000" w:themeColor="text1"/>
          <w:sz w:val="20"/>
          <w:szCs w:val="20"/>
          <w:lang w:val="en-US"/>
        </w:rPr>
        <w:t>Sylla A</w:t>
      </w:r>
      <w:r w:rsidRPr="00C720CE">
        <w:rPr>
          <w:rFonts w:ascii="Arial" w:hAnsi="Arial" w:cs="Arial"/>
          <w:b/>
          <w:color w:val="000000" w:themeColor="text1"/>
          <w:sz w:val="20"/>
          <w:szCs w:val="20"/>
          <w:lang w:val="en-US"/>
        </w:rPr>
        <w:t>,</w:t>
      </w:r>
      <w:r w:rsidRPr="00C720CE">
        <w:rPr>
          <w:rStyle w:val="apple-converted-space"/>
          <w:rFonts w:ascii="Arial" w:hAnsi="Arial" w:cs="Arial"/>
          <w:b/>
          <w:color w:val="000000" w:themeColor="text1"/>
          <w:sz w:val="20"/>
          <w:szCs w:val="20"/>
          <w:lang w:val="en-US"/>
        </w:rPr>
        <w:t> </w:t>
      </w:r>
      <w:r w:rsidRPr="00C720CE">
        <w:rPr>
          <w:rStyle w:val="text"/>
          <w:rFonts w:ascii="Arial" w:hAnsi="Arial" w:cs="Arial"/>
          <w:b/>
          <w:color w:val="000000" w:themeColor="text1"/>
          <w:sz w:val="20"/>
          <w:szCs w:val="20"/>
          <w:lang w:val="en-US"/>
        </w:rPr>
        <w:t>Keita Y</w:t>
      </w:r>
      <w:r w:rsidRPr="00C720CE">
        <w:rPr>
          <w:rFonts w:ascii="Arial" w:hAnsi="Arial" w:cs="Arial"/>
          <w:b/>
          <w:color w:val="000000" w:themeColor="text1"/>
          <w:sz w:val="20"/>
          <w:szCs w:val="20"/>
          <w:lang w:val="en-US"/>
        </w:rPr>
        <w:t>,</w:t>
      </w:r>
      <w:r w:rsidRPr="00C720CE">
        <w:rPr>
          <w:rStyle w:val="apple-converted-space"/>
          <w:rFonts w:ascii="Arial" w:hAnsi="Arial" w:cs="Arial"/>
          <w:b/>
          <w:color w:val="000000" w:themeColor="text1"/>
          <w:sz w:val="20"/>
          <w:szCs w:val="20"/>
          <w:lang w:val="en-US"/>
        </w:rPr>
        <w:t> </w:t>
      </w:r>
      <w:r w:rsidRPr="00C720CE">
        <w:rPr>
          <w:rStyle w:val="text"/>
          <w:rFonts w:ascii="Arial" w:hAnsi="Arial" w:cs="Arial"/>
          <w:b/>
          <w:color w:val="000000" w:themeColor="text1"/>
          <w:sz w:val="20"/>
          <w:szCs w:val="20"/>
          <w:lang w:val="en-US"/>
        </w:rPr>
        <w:t>Diouf CS</w:t>
      </w:r>
      <w:r w:rsidRPr="00C720CE">
        <w:rPr>
          <w:rFonts w:ascii="Arial" w:hAnsi="Arial" w:cs="Arial"/>
          <w:b/>
          <w:color w:val="000000" w:themeColor="text1"/>
          <w:sz w:val="20"/>
          <w:szCs w:val="20"/>
          <w:lang w:val="en-US"/>
        </w:rPr>
        <w:t>,</w:t>
      </w:r>
      <w:r w:rsidRPr="00C720CE">
        <w:rPr>
          <w:rStyle w:val="apple-converted-space"/>
          <w:rFonts w:ascii="Arial" w:hAnsi="Arial" w:cs="Arial"/>
          <w:b/>
          <w:color w:val="000000" w:themeColor="text1"/>
          <w:sz w:val="20"/>
          <w:szCs w:val="20"/>
          <w:lang w:val="en-US"/>
        </w:rPr>
        <w:t> </w:t>
      </w:r>
      <w:proofErr w:type="spellStart"/>
      <w:r w:rsidRPr="00C720CE">
        <w:rPr>
          <w:rStyle w:val="text"/>
          <w:rFonts w:ascii="Arial" w:hAnsi="Arial" w:cs="Arial"/>
          <w:b/>
          <w:color w:val="000000" w:themeColor="text1"/>
          <w:sz w:val="20"/>
          <w:szCs w:val="20"/>
          <w:lang w:val="en-US"/>
        </w:rPr>
        <w:t>Guéye</w:t>
      </w:r>
      <w:proofErr w:type="spellEnd"/>
      <w:r w:rsidRPr="00C720CE">
        <w:rPr>
          <w:rStyle w:val="text"/>
          <w:rFonts w:ascii="Arial" w:hAnsi="Arial" w:cs="Arial"/>
          <w:b/>
          <w:color w:val="000000" w:themeColor="text1"/>
          <w:sz w:val="20"/>
          <w:szCs w:val="20"/>
          <w:lang w:val="en-US"/>
        </w:rPr>
        <w:t xml:space="preserve"> M</w:t>
      </w:r>
      <w:r w:rsidRPr="00C720CE">
        <w:rPr>
          <w:rFonts w:ascii="Arial" w:hAnsi="Arial" w:cs="Arial"/>
          <w:b/>
          <w:color w:val="000000" w:themeColor="text1"/>
          <w:sz w:val="20"/>
          <w:szCs w:val="20"/>
          <w:lang w:val="en-US"/>
        </w:rPr>
        <w:t>,</w:t>
      </w:r>
      <w:r w:rsidRPr="00C720CE">
        <w:rPr>
          <w:rStyle w:val="apple-converted-space"/>
          <w:rFonts w:ascii="Arial" w:hAnsi="Arial" w:cs="Arial"/>
          <w:b/>
          <w:color w:val="000000" w:themeColor="text1"/>
          <w:sz w:val="20"/>
          <w:szCs w:val="20"/>
          <w:lang w:val="en-US"/>
        </w:rPr>
        <w:t> </w:t>
      </w:r>
      <w:proofErr w:type="spellStart"/>
      <w:r w:rsidRPr="00C720CE">
        <w:rPr>
          <w:rStyle w:val="text"/>
          <w:rFonts w:ascii="Arial" w:hAnsi="Arial" w:cs="Arial"/>
          <w:b/>
          <w:color w:val="000000" w:themeColor="text1"/>
          <w:sz w:val="20"/>
          <w:szCs w:val="20"/>
          <w:lang w:val="en-US"/>
        </w:rPr>
        <w:t>Seck</w:t>
      </w:r>
      <w:proofErr w:type="spellEnd"/>
      <w:r w:rsidRPr="00C720CE">
        <w:rPr>
          <w:rStyle w:val="text"/>
          <w:rFonts w:ascii="Arial" w:hAnsi="Arial" w:cs="Arial"/>
          <w:b/>
          <w:color w:val="000000" w:themeColor="text1"/>
          <w:sz w:val="20"/>
          <w:szCs w:val="20"/>
          <w:lang w:val="en-US"/>
        </w:rPr>
        <w:t xml:space="preserve"> N</w:t>
      </w:r>
      <w:r w:rsidRPr="00C720CE">
        <w:rPr>
          <w:rFonts w:ascii="Arial" w:hAnsi="Arial" w:cs="Arial"/>
          <w:b/>
          <w:color w:val="000000" w:themeColor="text1"/>
          <w:sz w:val="20"/>
          <w:szCs w:val="20"/>
          <w:lang w:val="en-US"/>
        </w:rPr>
        <w:t>,</w:t>
      </w:r>
      <w:r w:rsidRPr="00C720CE">
        <w:rPr>
          <w:rStyle w:val="apple-converted-space"/>
          <w:rFonts w:ascii="Arial" w:hAnsi="Arial" w:cs="Arial"/>
          <w:b/>
          <w:color w:val="000000" w:themeColor="text1"/>
          <w:sz w:val="20"/>
          <w:szCs w:val="20"/>
          <w:lang w:val="en-US"/>
        </w:rPr>
        <w:t> </w:t>
      </w:r>
      <w:proofErr w:type="spellStart"/>
      <w:r w:rsidRPr="00C720CE">
        <w:rPr>
          <w:rStyle w:val="text"/>
          <w:rFonts w:ascii="Arial" w:hAnsi="Arial" w:cs="Arial"/>
          <w:b/>
          <w:color w:val="000000" w:themeColor="text1"/>
          <w:sz w:val="20"/>
          <w:szCs w:val="20"/>
          <w:lang w:val="en-US"/>
        </w:rPr>
        <w:t>Ndongo</w:t>
      </w:r>
      <w:proofErr w:type="spellEnd"/>
      <w:r w:rsidRPr="00C720CE">
        <w:rPr>
          <w:rStyle w:val="text"/>
          <w:rFonts w:ascii="Arial" w:hAnsi="Arial" w:cs="Arial"/>
          <w:b/>
          <w:color w:val="000000" w:themeColor="text1"/>
          <w:sz w:val="20"/>
          <w:szCs w:val="20"/>
          <w:lang w:val="en-US"/>
        </w:rPr>
        <w:t xml:space="preserve"> AA</w:t>
      </w:r>
      <w:r w:rsidRPr="00C720CE">
        <w:rPr>
          <w:rFonts w:ascii="Arial" w:hAnsi="Arial" w:cs="Arial"/>
          <w:b/>
          <w:color w:val="000000" w:themeColor="text1"/>
          <w:sz w:val="20"/>
          <w:szCs w:val="20"/>
          <w:lang w:val="en-US"/>
        </w:rPr>
        <w:t>,</w:t>
      </w:r>
      <w:r w:rsidRPr="00C720CE">
        <w:rPr>
          <w:rStyle w:val="apple-converted-space"/>
          <w:rFonts w:ascii="Arial" w:hAnsi="Arial" w:cs="Arial"/>
          <w:b/>
          <w:color w:val="000000" w:themeColor="text1"/>
          <w:sz w:val="20"/>
          <w:szCs w:val="20"/>
          <w:lang w:val="en-US"/>
        </w:rPr>
        <w:t> </w:t>
      </w:r>
      <w:proofErr w:type="spellStart"/>
      <w:r w:rsidRPr="00C720CE">
        <w:rPr>
          <w:rStyle w:val="text"/>
          <w:rFonts w:ascii="Arial" w:hAnsi="Arial" w:cs="Arial"/>
          <w:b/>
          <w:color w:val="000000" w:themeColor="text1"/>
          <w:sz w:val="20"/>
          <w:szCs w:val="20"/>
          <w:lang w:val="en-US"/>
        </w:rPr>
        <w:t>Ndoye-Cissé</w:t>
      </w:r>
      <w:proofErr w:type="spellEnd"/>
      <w:r w:rsidRPr="00C720CE">
        <w:rPr>
          <w:rStyle w:val="text"/>
          <w:rFonts w:ascii="Arial" w:hAnsi="Arial" w:cs="Arial"/>
          <w:b/>
          <w:color w:val="000000" w:themeColor="text1"/>
          <w:sz w:val="20"/>
          <w:szCs w:val="20"/>
          <w:lang w:val="en-US"/>
        </w:rPr>
        <w:t xml:space="preserve"> M</w:t>
      </w:r>
      <w:r w:rsidRPr="00C720CE">
        <w:rPr>
          <w:rFonts w:ascii="Arial" w:hAnsi="Arial" w:cs="Arial"/>
          <w:b/>
          <w:color w:val="000000" w:themeColor="text1"/>
          <w:sz w:val="20"/>
          <w:szCs w:val="20"/>
          <w:lang w:val="en-US"/>
        </w:rPr>
        <w:t>,</w:t>
      </w:r>
      <w:r w:rsidRPr="00C720CE">
        <w:rPr>
          <w:rStyle w:val="apple-converted-space"/>
          <w:rFonts w:ascii="Arial" w:hAnsi="Arial" w:cs="Arial"/>
          <w:b/>
          <w:color w:val="000000" w:themeColor="text1"/>
          <w:sz w:val="20"/>
          <w:szCs w:val="20"/>
          <w:lang w:val="en-US"/>
        </w:rPr>
        <w:t> </w:t>
      </w:r>
      <w:r w:rsidRPr="00C720CE">
        <w:rPr>
          <w:rStyle w:val="text"/>
          <w:rFonts w:ascii="Arial" w:hAnsi="Arial" w:cs="Arial"/>
          <w:b/>
          <w:color w:val="000000" w:themeColor="text1"/>
          <w:sz w:val="20"/>
          <w:szCs w:val="20"/>
          <w:lang w:val="en-US"/>
        </w:rPr>
        <w:t>Sall MG</w:t>
      </w:r>
      <w:r w:rsidR="00E93A05" w:rsidRPr="00C720CE">
        <w:rPr>
          <w:rStyle w:val="text"/>
          <w:rFonts w:ascii="Arial" w:hAnsi="Arial" w:cs="Arial"/>
          <w:b/>
          <w:color w:val="000000" w:themeColor="text1"/>
          <w:sz w:val="20"/>
          <w:szCs w:val="20"/>
          <w:lang w:val="en-US"/>
        </w:rPr>
        <w:t xml:space="preserve"> (2014)</w:t>
      </w:r>
      <w:r w:rsidRPr="00C720CE">
        <w:rPr>
          <w:rStyle w:val="text"/>
          <w:rFonts w:ascii="Arial" w:hAnsi="Arial" w:cs="Arial"/>
          <w:color w:val="000000" w:themeColor="text1"/>
          <w:sz w:val="20"/>
          <w:szCs w:val="20"/>
          <w:lang w:val="en-US"/>
        </w:rPr>
        <w:t xml:space="preserve">. </w:t>
      </w:r>
      <w:r w:rsidRPr="00C720CE">
        <w:rPr>
          <w:rStyle w:val="article-alt-title"/>
          <w:rFonts w:ascii="Arial" w:hAnsi="Arial" w:cs="Arial"/>
          <w:color w:val="000000" w:themeColor="text1"/>
          <w:sz w:val="20"/>
          <w:szCs w:val="20"/>
          <w:lang w:val="en"/>
        </w:rPr>
        <w:t xml:space="preserve">Survey of antibiotic prescription in a Senegalese pediatric hospital. </w:t>
      </w:r>
      <w:hyperlink r:id="rId38" w:tooltip="Go to Archives de Pédiatrie on ScienceDirect" w:history="1">
        <w:r w:rsidRPr="00A04636">
          <w:rPr>
            <w:rStyle w:val="anchor-text"/>
            <w:rFonts w:ascii="Arial" w:hAnsi="Arial" w:cs="Arial"/>
            <w:bCs/>
            <w:color w:val="000000" w:themeColor="text1"/>
            <w:sz w:val="20"/>
            <w:szCs w:val="20"/>
            <w:lang w:val="en-US"/>
          </w:rPr>
          <w:t xml:space="preserve">Archives de </w:t>
        </w:r>
        <w:proofErr w:type="spellStart"/>
        <w:r w:rsidRPr="00A04636">
          <w:rPr>
            <w:rStyle w:val="anchor-text"/>
            <w:rFonts w:ascii="Arial" w:hAnsi="Arial" w:cs="Arial"/>
            <w:bCs/>
            <w:color w:val="000000" w:themeColor="text1"/>
            <w:sz w:val="20"/>
            <w:szCs w:val="20"/>
            <w:lang w:val="en-US"/>
          </w:rPr>
          <w:t>Pédiatrie</w:t>
        </w:r>
        <w:proofErr w:type="spellEnd"/>
      </w:hyperlink>
      <w:hyperlink r:id="rId39" w:tooltip="Go to table of contents for this volume/issue" w:history="1">
        <w:r w:rsidR="00EB5817" w:rsidRPr="00A04636">
          <w:rPr>
            <w:rStyle w:val="anchor-text"/>
            <w:rFonts w:ascii="Arial" w:hAnsi="Arial" w:cs="Arial"/>
            <w:color w:val="000000" w:themeColor="text1"/>
            <w:sz w:val="20"/>
            <w:szCs w:val="20"/>
            <w:lang w:val="en-US"/>
          </w:rPr>
          <w:t xml:space="preserve">, </w:t>
        </w:r>
        <w:r w:rsidRPr="00A04636">
          <w:rPr>
            <w:rStyle w:val="anchor-text"/>
            <w:rFonts w:ascii="Arial" w:hAnsi="Arial" w:cs="Arial"/>
            <w:color w:val="000000" w:themeColor="text1"/>
            <w:sz w:val="20"/>
            <w:szCs w:val="20"/>
            <w:lang w:val="en-US"/>
          </w:rPr>
          <w:t>2</w:t>
        </w:r>
        <w:r w:rsidR="00EB5817" w:rsidRPr="00A04636">
          <w:rPr>
            <w:rStyle w:val="anchor-text"/>
            <w:rFonts w:ascii="Arial" w:hAnsi="Arial" w:cs="Arial"/>
            <w:color w:val="000000" w:themeColor="text1"/>
            <w:sz w:val="20"/>
            <w:szCs w:val="20"/>
            <w:lang w:val="en-US"/>
          </w:rPr>
          <w:t>1(</w:t>
        </w:r>
        <w:r w:rsidRPr="00A04636">
          <w:rPr>
            <w:rStyle w:val="anchor-text"/>
            <w:rFonts w:ascii="Arial" w:hAnsi="Arial" w:cs="Arial"/>
            <w:color w:val="000000" w:themeColor="text1"/>
            <w:sz w:val="20"/>
            <w:szCs w:val="20"/>
            <w:lang w:val="en-US"/>
          </w:rPr>
          <w:t>7</w:t>
        </w:r>
      </w:hyperlink>
      <w:r w:rsidR="00EB5817" w:rsidRPr="00A04636">
        <w:rPr>
          <w:rStyle w:val="anchor-text"/>
          <w:rFonts w:ascii="Arial" w:hAnsi="Arial" w:cs="Arial"/>
          <w:color w:val="000000" w:themeColor="text1"/>
          <w:sz w:val="20"/>
          <w:szCs w:val="20"/>
          <w:lang w:val="en-US"/>
        </w:rPr>
        <w:t>)</w:t>
      </w:r>
      <w:r w:rsidRPr="00A04636">
        <w:rPr>
          <w:rFonts w:ascii="Arial" w:hAnsi="Arial" w:cs="Arial"/>
          <w:color w:val="000000" w:themeColor="text1"/>
          <w:sz w:val="20"/>
          <w:szCs w:val="20"/>
          <w:lang w:val="en-US"/>
        </w:rPr>
        <w:t>,</w:t>
      </w:r>
      <w:r w:rsidRPr="00A04636">
        <w:rPr>
          <w:rStyle w:val="apple-converted-space"/>
          <w:rFonts w:ascii="Arial" w:hAnsi="Arial" w:cs="Arial"/>
          <w:color w:val="000000" w:themeColor="text1"/>
          <w:sz w:val="20"/>
          <w:szCs w:val="20"/>
          <w:lang w:val="en-US"/>
        </w:rPr>
        <w:t> </w:t>
      </w:r>
      <w:r w:rsidRPr="00A04636">
        <w:rPr>
          <w:rFonts w:ascii="Arial" w:hAnsi="Arial" w:cs="Arial"/>
          <w:color w:val="000000" w:themeColor="text1"/>
          <w:sz w:val="20"/>
          <w:szCs w:val="20"/>
          <w:lang w:val="en-US"/>
        </w:rPr>
        <w:t>797-798.</w:t>
      </w:r>
      <w:r w:rsidR="00EB5817" w:rsidRPr="00A04636">
        <w:rPr>
          <w:rFonts w:ascii="Arial" w:hAnsi="Arial" w:cs="Arial"/>
          <w:color w:val="000000" w:themeColor="text1"/>
          <w:sz w:val="20"/>
          <w:szCs w:val="20"/>
          <w:lang w:val="en-US"/>
        </w:rPr>
        <w:t xml:space="preserve"> </w:t>
      </w:r>
      <w:proofErr w:type="gramStart"/>
      <w:r w:rsidR="00E93A05" w:rsidRPr="00C720CE">
        <w:rPr>
          <w:rStyle w:val="id-label"/>
          <w:rFonts w:ascii="Arial" w:hAnsi="Arial" w:cs="Arial"/>
          <w:color w:val="212121"/>
          <w:sz w:val="20"/>
          <w:szCs w:val="20"/>
        </w:rPr>
        <w:t>PMID:</w:t>
      </w:r>
      <w:proofErr w:type="gramEnd"/>
      <w:r w:rsidR="00E93A05" w:rsidRPr="00C720CE">
        <w:rPr>
          <w:rStyle w:val="apple-converted-space"/>
          <w:rFonts w:ascii="Arial" w:hAnsi="Arial" w:cs="Arial"/>
          <w:color w:val="212121"/>
          <w:sz w:val="20"/>
          <w:szCs w:val="20"/>
        </w:rPr>
        <w:t> </w:t>
      </w:r>
      <w:r w:rsidR="00E93A05" w:rsidRPr="00C720CE">
        <w:rPr>
          <w:rStyle w:val="Strong"/>
          <w:rFonts w:ascii="Arial" w:hAnsi="Arial" w:cs="Arial"/>
          <w:b w:val="0"/>
          <w:bCs w:val="0"/>
          <w:color w:val="212121"/>
          <w:sz w:val="20"/>
          <w:szCs w:val="20"/>
        </w:rPr>
        <w:t>24856518</w:t>
      </w:r>
      <w:r w:rsidR="00EB5817" w:rsidRPr="00C720CE">
        <w:rPr>
          <w:rStyle w:val="Strong"/>
          <w:rFonts w:ascii="Arial" w:hAnsi="Arial" w:cs="Arial"/>
          <w:b w:val="0"/>
          <w:bCs w:val="0"/>
          <w:color w:val="212121"/>
          <w:sz w:val="20"/>
          <w:szCs w:val="20"/>
        </w:rPr>
        <w:t xml:space="preserve">, </w:t>
      </w:r>
      <w:r w:rsidR="00E93A05" w:rsidRPr="00C720CE">
        <w:rPr>
          <w:rStyle w:val="id-label"/>
          <w:rFonts w:ascii="Arial" w:hAnsi="Arial" w:cs="Arial"/>
          <w:color w:val="212121"/>
          <w:sz w:val="20"/>
          <w:szCs w:val="20"/>
        </w:rPr>
        <w:t>DOI:</w:t>
      </w:r>
      <w:r w:rsidR="00E93A05" w:rsidRPr="00C720CE">
        <w:rPr>
          <w:rStyle w:val="apple-converted-space"/>
          <w:rFonts w:ascii="Arial" w:hAnsi="Arial" w:cs="Arial"/>
          <w:color w:val="212121"/>
          <w:sz w:val="20"/>
          <w:szCs w:val="20"/>
        </w:rPr>
        <w:t> </w:t>
      </w:r>
      <w:hyperlink r:id="rId40" w:tgtFrame="_blank" w:history="1">
        <w:r w:rsidR="00E93A05" w:rsidRPr="00C720CE">
          <w:rPr>
            <w:rStyle w:val="Hyperlink"/>
            <w:rFonts w:ascii="Arial" w:hAnsi="Arial" w:cs="Arial"/>
            <w:color w:val="0071BC"/>
            <w:sz w:val="20"/>
            <w:szCs w:val="20"/>
          </w:rPr>
          <w:t>10.1016/j.arcped.2014.04.011</w:t>
        </w:r>
      </w:hyperlink>
    </w:p>
    <w:p w14:paraId="2E6E50D1" w14:textId="49DD6B3C" w:rsidR="00FF3423" w:rsidRPr="00821FB1" w:rsidRDefault="00FF3423" w:rsidP="00FF3423">
      <w:pPr>
        <w:pStyle w:val="ListParagraph"/>
        <w:numPr>
          <w:ilvl w:val="0"/>
          <w:numId w:val="32"/>
        </w:numPr>
        <w:spacing w:before="100" w:beforeAutospacing="1" w:after="100" w:afterAutospacing="1"/>
        <w:rPr>
          <w:rFonts w:ascii="Arial" w:hAnsi="Arial" w:cs="Arial"/>
          <w:b/>
          <w:color w:val="000000" w:themeColor="text1"/>
          <w:sz w:val="20"/>
          <w:szCs w:val="20"/>
        </w:rPr>
      </w:pPr>
      <w:proofErr w:type="spellStart"/>
      <w:r w:rsidRPr="00C720CE">
        <w:rPr>
          <w:rFonts w:ascii="Arial" w:hAnsi="Arial" w:cs="Arial"/>
          <w:b/>
          <w:bCs/>
          <w:color w:val="000000" w:themeColor="text1"/>
          <w:sz w:val="20"/>
          <w:szCs w:val="20"/>
          <w:lang w:val="en-US"/>
        </w:rPr>
        <w:t>Sefah</w:t>
      </w:r>
      <w:proofErr w:type="spellEnd"/>
      <w:r w:rsidRPr="00C720CE">
        <w:rPr>
          <w:rFonts w:ascii="Arial" w:hAnsi="Arial" w:cs="Arial"/>
          <w:b/>
          <w:bCs/>
          <w:color w:val="000000" w:themeColor="text1"/>
          <w:sz w:val="20"/>
          <w:szCs w:val="20"/>
          <w:lang w:val="en-US"/>
        </w:rPr>
        <w:t xml:space="preserve"> IA, </w:t>
      </w:r>
      <w:proofErr w:type="spellStart"/>
      <w:proofErr w:type="gramStart"/>
      <w:r w:rsidRPr="00C720CE">
        <w:rPr>
          <w:rFonts w:ascii="Arial" w:hAnsi="Arial" w:cs="Arial"/>
          <w:b/>
          <w:bCs/>
          <w:color w:val="000000" w:themeColor="text1"/>
          <w:sz w:val="20"/>
          <w:szCs w:val="20"/>
          <w:lang w:val="en-US"/>
        </w:rPr>
        <w:t>Bosrotsi</w:t>
      </w:r>
      <w:proofErr w:type="spellEnd"/>
      <w:r w:rsidRPr="00C720CE">
        <w:rPr>
          <w:rFonts w:ascii="Arial" w:hAnsi="Arial" w:cs="Arial"/>
          <w:b/>
          <w:bCs/>
          <w:color w:val="000000" w:themeColor="text1"/>
          <w:sz w:val="20"/>
          <w:szCs w:val="20"/>
          <w:lang w:val="en-US"/>
        </w:rPr>
        <w:t xml:space="preserve">  DK</w:t>
      </w:r>
      <w:proofErr w:type="gramEnd"/>
      <w:r w:rsidRPr="00C720CE">
        <w:rPr>
          <w:rFonts w:ascii="Arial" w:hAnsi="Arial" w:cs="Arial"/>
          <w:b/>
          <w:bCs/>
          <w:color w:val="000000" w:themeColor="text1"/>
          <w:sz w:val="20"/>
          <w:szCs w:val="20"/>
          <w:lang w:val="en-US"/>
        </w:rPr>
        <w:t xml:space="preserve">, </w:t>
      </w:r>
      <w:proofErr w:type="spellStart"/>
      <w:r w:rsidRPr="00C720CE">
        <w:rPr>
          <w:rFonts w:ascii="Arial" w:hAnsi="Arial" w:cs="Arial"/>
          <w:b/>
          <w:bCs/>
          <w:color w:val="000000" w:themeColor="text1"/>
          <w:sz w:val="20"/>
          <w:szCs w:val="20"/>
          <w:lang w:val="en-US"/>
        </w:rPr>
        <w:t>Buabeng</w:t>
      </w:r>
      <w:proofErr w:type="spellEnd"/>
      <w:r w:rsidRPr="00C720CE">
        <w:rPr>
          <w:rFonts w:ascii="Arial" w:hAnsi="Arial" w:cs="Arial"/>
          <w:b/>
          <w:bCs/>
          <w:color w:val="000000" w:themeColor="text1"/>
          <w:sz w:val="20"/>
          <w:szCs w:val="20"/>
          <w:lang w:val="en-US"/>
        </w:rPr>
        <w:t xml:space="preserve"> KO , Godman B</w:t>
      </w:r>
      <w:r w:rsidRPr="00C720CE">
        <w:rPr>
          <w:rFonts w:ascii="Arial" w:hAnsi="Arial" w:cs="Arial"/>
          <w:b/>
          <w:bCs/>
          <w:color w:val="000000" w:themeColor="text1"/>
          <w:position w:val="8"/>
          <w:sz w:val="20"/>
          <w:szCs w:val="20"/>
          <w:lang w:val="en-US"/>
        </w:rPr>
        <w:t xml:space="preserve"> </w:t>
      </w:r>
      <w:r w:rsidRPr="00C720CE">
        <w:rPr>
          <w:rFonts w:ascii="Arial" w:hAnsi="Arial" w:cs="Arial"/>
          <w:b/>
          <w:bCs/>
          <w:color w:val="000000" w:themeColor="text1"/>
          <w:sz w:val="20"/>
          <w:szCs w:val="20"/>
          <w:lang w:val="en-US"/>
        </w:rPr>
        <w:t xml:space="preserve">and </w:t>
      </w:r>
      <w:proofErr w:type="spellStart"/>
      <w:r w:rsidRPr="00C720CE">
        <w:rPr>
          <w:rFonts w:ascii="Arial" w:hAnsi="Arial" w:cs="Arial"/>
          <w:b/>
          <w:bCs/>
          <w:color w:val="000000" w:themeColor="text1"/>
          <w:sz w:val="20"/>
          <w:szCs w:val="20"/>
          <w:lang w:val="en-US"/>
        </w:rPr>
        <w:t>Bangalee</w:t>
      </w:r>
      <w:proofErr w:type="spellEnd"/>
      <w:r w:rsidRPr="00C720CE">
        <w:rPr>
          <w:rFonts w:ascii="Arial" w:hAnsi="Arial" w:cs="Arial"/>
          <w:b/>
          <w:bCs/>
          <w:color w:val="000000" w:themeColor="text1"/>
          <w:sz w:val="20"/>
          <w:szCs w:val="20"/>
          <w:lang w:val="en-US"/>
        </w:rPr>
        <w:t xml:space="preserve"> V</w:t>
      </w:r>
      <w:r w:rsidR="00EB5817" w:rsidRPr="00C720CE">
        <w:rPr>
          <w:rFonts w:ascii="Arial" w:hAnsi="Arial" w:cs="Arial"/>
          <w:b/>
          <w:bCs/>
          <w:color w:val="000000" w:themeColor="text1"/>
          <w:sz w:val="20"/>
          <w:szCs w:val="20"/>
          <w:lang w:val="en-US"/>
        </w:rPr>
        <w:t xml:space="preserve"> (2025)</w:t>
      </w:r>
      <w:r w:rsidRPr="00C720CE">
        <w:rPr>
          <w:rFonts w:ascii="Arial" w:hAnsi="Arial" w:cs="Arial"/>
          <w:bCs/>
          <w:color w:val="000000" w:themeColor="text1"/>
          <w:sz w:val="20"/>
          <w:szCs w:val="20"/>
          <w:lang w:val="en-US"/>
        </w:rPr>
        <w:t xml:space="preserve">. </w:t>
      </w:r>
      <w:r w:rsidRPr="00A04636">
        <w:rPr>
          <w:rFonts w:ascii="Arial" w:hAnsi="Arial" w:cs="Arial"/>
          <w:bCs/>
          <w:color w:val="000000" w:themeColor="text1"/>
          <w:sz w:val="20"/>
          <w:szCs w:val="20"/>
          <w:lang w:val="en-US"/>
        </w:rPr>
        <w:t xml:space="preserve">Antibiotic Use in Pediatric Care in Ghana: A Call to Action for Stewardship in This Population. </w:t>
      </w:r>
      <w:proofErr w:type="spellStart"/>
      <w:r w:rsidRPr="005E644B">
        <w:rPr>
          <w:rFonts w:ascii="Arial" w:hAnsi="Arial" w:cs="Arial"/>
          <w:bCs/>
          <w:color w:val="000000" w:themeColor="text1"/>
          <w:sz w:val="20"/>
          <w:szCs w:val="20"/>
        </w:rPr>
        <w:t>An</w:t>
      </w:r>
      <w:r w:rsidRPr="005E644B">
        <w:rPr>
          <w:rStyle w:val="Emphasis"/>
          <w:rFonts w:ascii="Arial" w:hAnsi="Arial" w:cs="Arial"/>
          <w:i w:val="0"/>
          <w:color w:val="000000" w:themeColor="text1"/>
          <w:sz w:val="20"/>
          <w:szCs w:val="20"/>
        </w:rPr>
        <w:t>tibiotics</w:t>
      </w:r>
      <w:proofErr w:type="spellEnd"/>
      <w:r w:rsidRPr="00C720CE">
        <w:rPr>
          <w:rFonts w:ascii="Arial" w:hAnsi="Arial" w:cs="Arial"/>
          <w:color w:val="000000" w:themeColor="text1"/>
          <w:sz w:val="20"/>
          <w:szCs w:val="20"/>
          <w:shd w:val="clear" w:color="auto" w:fill="FFFFFF"/>
        </w:rPr>
        <w:t>,</w:t>
      </w:r>
      <w:r w:rsidRPr="00C720CE">
        <w:rPr>
          <w:rStyle w:val="apple-converted-space"/>
          <w:rFonts w:ascii="Arial" w:hAnsi="Arial" w:cs="Arial"/>
          <w:color w:val="000000" w:themeColor="text1"/>
          <w:sz w:val="20"/>
          <w:szCs w:val="20"/>
          <w:shd w:val="clear" w:color="auto" w:fill="FFFFFF"/>
        </w:rPr>
        <w:t> </w:t>
      </w:r>
      <w:r w:rsidRPr="00C720CE">
        <w:rPr>
          <w:rStyle w:val="Emphasis"/>
          <w:rFonts w:ascii="Arial" w:hAnsi="Arial" w:cs="Arial"/>
          <w:i w:val="0"/>
          <w:color w:val="000000" w:themeColor="text1"/>
          <w:sz w:val="20"/>
          <w:szCs w:val="20"/>
        </w:rPr>
        <w:t>14</w:t>
      </w:r>
      <w:r w:rsidRPr="00C720CE">
        <w:rPr>
          <w:rFonts w:ascii="Arial" w:hAnsi="Arial" w:cs="Arial"/>
          <w:color w:val="000000" w:themeColor="text1"/>
          <w:sz w:val="20"/>
          <w:szCs w:val="20"/>
          <w:shd w:val="clear" w:color="auto" w:fill="FFFFFF"/>
        </w:rPr>
        <w:t xml:space="preserve">(8), </w:t>
      </w:r>
      <w:proofErr w:type="gramStart"/>
      <w:r w:rsidRPr="00C720CE">
        <w:rPr>
          <w:rFonts w:ascii="Arial" w:hAnsi="Arial" w:cs="Arial"/>
          <w:color w:val="000000" w:themeColor="text1"/>
          <w:sz w:val="20"/>
          <w:szCs w:val="20"/>
          <w:shd w:val="clear" w:color="auto" w:fill="FFFFFF"/>
        </w:rPr>
        <w:t>779;</w:t>
      </w:r>
      <w:proofErr w:type="gramEnd"/>
      <w:r w:rsidRPr="00C720CE">
        <w:rPr>
          <w:rStyle w:val="apple-converted-space"/>
          <w:rFonts w:ascii="Arial" w:hAnsi="Arial" w:cs="Arial"/>
          <w:color w:val="000000" w:themeColor="text1"/>
          <w:sz w:val="20"/>
          <w:szCs w:val="20"/>
          <w:shd w:val="clear" w:color="auto" w:fill="FFFFFF"/>
        </w:rPr>
        <w:t> </w:t>
      </w:r>
      <w:hyperlink r:id="rId41" w:history="1">
        <w:r w:rsidRPr="00C720CE">
          <w:rPr>
            <w:rStyle w:val="Hyperlink"/>
            <w:rFonts w:ascii="Arial" w:hAnsi="Arial" w:cs="Arial"/>
            <w:bCs/>
            <w:color w:val="000000" w:themeColor="text1"/>
            <w:sz w:val="20"/>
            <w:szCs w:val="20"/>
          </w:rPr>
          <w:t>https://doi.org/10.3390/antibiotics14080779</w:t>
        </w:r>
      </w:hyperlink>
      <w:r w:rsidRPr="00C720CE">
        <w:rPr>
          <w:rFonts w:ascii="Arial" w:hAnsi="Arial" w:cs="Arial"/>
          <w:color w:val="000000" w:themeColor="text1"/>
          <w:sz w:val="20"/>
          <w:szCs w:val="20"/>
        </w:rPr>
        <w:t>.</w:t>
      </w:r>
    </w:p>
    <w:p w14:paraId="13303DD3" w14:textId="5A9FC02A" w:rsidR="00821FB1" w:rsidRPr="00DB098A" w:rsidRDefault="00821FB1" w:rsidP="00821FB1">
      <w:pPr>
        <w:pStyle w:val="ListParagraph"/>
        <w:numPr>
          <w:ilvl w:val="0"/>
          <w:numId w:val="32"/>
        </w:numPr>
        <w:rPr>
          <w:rStyle w:val="identifier"/>
          <w:rFonts w:ascii="Segoe UI" w:hAnsi="Segoe UI" w:cs="Segoe UI"/>
          <w:color w:val="5B616B"/>
          <w:highlight w:val="green"/>
        </w:rPr>
      </w:pPr>
      <w:r w:rsidRPr="008328A0">
        <w:rPr>
          <w:rFonts w:ascii="Arial" w:hAnsi="Arial" w:cs="Arial"/>
          <w:b/>
          <w:sz w:val="20"/>
          <w:szCs w:val="20"/>
          <w:highlight w:val="green"/>
          <w:lang w:val="nl-BE"/>
        </w:rPr>
        <w:t>Sekyere JO, Govinden U, Bester LA, Essack SY (2016</w:t>
      </w:r>
      <w:r w:rsidRPr="008328A0">
        <w:rPr>
          <w:rFonts w:ascii="Arial" w:hAnsi="Arial" w:cs="Arial"/>
          <w:sz w:val="20"/>
          <w:szCs w:val="20"/>
          <w:highlight w:val="green"/>
          <w:lang w:val="nl-BE"/>
        </w:rPr>
        <w:t xml:space="preserve">). </w:t>
      </w:r>
      <w:r w:rsidRPr="00821FB1">
        <w:rPr>
          <w:rFonts w:ascii="Arial" w:hAnsi="Arial" w:cs="Arial"/>
          <w:color w:val="212121"/>
          <w:sz w:val="20"/>
          <w:szCs w:val="20"/>
          <w:highlight w:val="green"/>
          <w:lang w:val="en-US"/>
        </w:rPr>
        <w:t xml:space="preserve">Colistin and tigecycline resistance in </w:t>
      </w:r>
      <w:proofErr w:type="spellStart"/>
      <w:r w:rsidRPr="00821FB1">
        <w:rPr>
          <w:rFonts w:ascii="Arial" w:hAnsi="Arial" w:cs="Arial"/>
          <w:color w:val="212121"/>
          <w:sz w:val="20"/>
          <w:szCs w:val="20"/>
          <w:highlight w:val="green"/>
          <w:lang w:val="en-US"/>
        </w:rPr>
        <w:t>carbapenemase</w:t>
      </w:r>
      <w:proofErr w:type="spellEnd"/>
      <w:r w:rsidRPr="00821FB1">
        <w:rPr>
          <w:rFonts w:ascii="Arial" w:hAnsi="Arial" w:cs="Arial"/>
          <w:color w:val="212121"/>
          <w:sz w:val="20"/>
          <w:szCs w:val="20"/>
          <w:highlight w:val="green"/>
          <w:lang w:val="en-US"/>
        </w:rPr>
        <w:t xml:space="preserve">-producing Gram-negative bacteria: emerging resistance mechanisms and detection methods. </w:t>
      </w:r>
      <w:r w:rsidRPr="00821FB1">
        <w:rPr>
          <w:rFonts w:ascii="Arial" w:hAnsi="Arial" w:cs="Arial"/>
          <w:sz w:val="20"/>
          <w:szCs w:val="20"/>
          <w:highlight w:val="green"/>
        </w:rPr>
        <w:t xml:space="preserve">Journal of </w:t>
      </w:r>
      <w:proofErr w:type="spellStart"/>
      <w:r w:rsidRPr="00821FB1">
        <w:rPr>
          <w:rFonts w:ascii="Arial" w:hAnsi="Arial" w:cs="Arial"/>
          <w:sz w:val="20"/>
          <w:szCs w:val="20"/>
          <w:highlight w:val="green"/>
        </w:rPr>
        <w:t>Applied</w:t>
      </w:r>
      <w:proofErr w:type="spellEnd"/>
      <w:r w:rsidRPr="00821FB1">
        <w:rPr>
          <w:rFonts w:ascii="Arial" w:hAnsi="Arial" w:cs="Arial"/>
          <w:sz w:val="20"/>
          <w:szCs w:val="20"/>
          <w:highlight w:val="green"/>
        </w:rPr>
        <w:t xml:space="preserve"> </w:t>
      </w:r>
      <w:proofErr w:type="spellStart"/>
      <w:proofErr w:type="gramStart"/>
      <w:r w:rsidRPr="00821FB1">
        <w:rPr>
          <w:rFonts w:ascii="Arial" w:hAnsi="Arial" w:cs="Arial"/>
          <w:sz w:val="20"/>
          <w:szCs w:val="20"/>
          <w:highlight w:val="green"/>
        </w:rPr>
        <w:t>Microbiology</w:t>
      </w:r>
      <w:proofErr w:type="spellEnd"/>
      <w:r w:rsidRPr="00821FB1">
        <w:rPr>
          <w:rStyle w:val="period"/>
          <w:rFonts w:ascii="Arial" w:hAnsi="Arial" w:cs="Arial"/>
          <w:color w:val="0071BC"/>
          <w:sz w:val="20"/>
          <w:szCs w:val="20"/>
          <w:highlight w:val="green"/>
        </w:rPr>
        <w:t xml:space="preserve"> ,</w:t>
      </w:r>
      <w:proofErr w:type="gramEnd"/>
      <w:r w:rsidRPr="00821FB1">
        <w:rPr>
          <w:rStyle w:val="period"/>
          <w:rFonts w:ascii="Arial" w:hAnsi="Arial" w:cs="Arial"/>
          <w:color w:val="0071BC"/>
          <w:sz w:val="20"/>
          <w:szCs w:val="20"/>
          <w:highlight w:val="green"/>
        </w:rPr>
        <w:t xml:space="preserve"> </w:t>
      </w:r>
      <w:r w:rsidRPr="00821FB1">
        <w:rPr>
          <w:rStyle w:val="cit"/>
          <w:rFonts w:ascii="Arial" w:hAnsi="Arial" w:cs="Arial"/>
          <w:color w:val="5B616B"/>
          <w:sz w:val="20"/>
          <w:szCs w:val="20"/>
          <w:highlight w:val="green"/>
        </w:rPr>
        <w:t xml:space="preserve">121(3), 601-17. </w:t>
      </w:r>
      <w:proofErr w:type="gramStart"/>
      <w:r w:rsidRPr="00821FB1">
        <w:rPr>
          <w:rStyle w:val="id-label"/>
          <w:rFonts w:ascii="Arial" w:hAnsi="Arial" w:cs="Arial"/>
          <w:color w:val="212121"/>
          <w:sz w:val="20"/>
          <w:szCs w:val="20"/>
          <w:highlight w:val="green"/>
        </w:rPr>
        <w:t>PMID:</w:t>
      </w:r>
      <w:proofErr w:type="gramEnd"/>
      <w:r w:rsidRPr="00821FB1">
        <w:rPr>
          <w:rStyle w:val="apple-converted-space"/>
          <w:rFonts w:ascii="Arial" w:hAnsi="Arial" w:cs="Arial"/>
          <w:color w:val="212121"/>
          <w:sz w:val="20"/>
          <w:szCs w:val="20"/>
          <w:highlight w:val="green"/>
        </w:rPr>
        <w:t> </w:t>
      </w:r>
      <w:r w:rsidRPr="00821FB1">
        <w:rPr>
          <w:rStyle w:val="Strong"/>
          <w:rFonts w:ascii="Arial" w:hAnsi="Arial" w:cs="Arial"/>
          <w:b w:val="0"/>
          <w:bCs w:val="0"/>
          <w:color w:val="212121"/>
          <w:sz w:val="20"/>
          <w:szCs w:val="20"/>
          <w:highlight w:val="green"/>
        </w:rPr>
        <w:t>27153928</w:t>
      </w:r>
      <w:r w:rsidRPr="00821FB1">
        <w:rPr>
          <w:rFonts w:ascii="Arial" w:hAnsi="Arial" w:cs="Arial"/>
          <w:color w:val="5B616B"/>
          <w:sz w:val="20"/>
          <w:szCs w:val="20"/>
          <w:highlight w:val="green"/>
        </w:rPr>
        <w:t xml:space="preserve">, </w:t>
      </w:r>
      <w:r w:rsidRPr="00821FB1">
        <w:rPr>
          <w:rStyle w:val="id-label"/>
          <w:rFonts w:ascii="Arial" w:hAnsi="Arial" w:cs="Arial"/>
          <w:color w:val="212121"/>
          <w:sz w:val="20"/>
          <w:szCs w:val="20"/>
          <w:highlight w:val="green"/>
        </w:rPr>
        <w:t>DOI:</w:t>
      </w:r>
      <w:r w:rsidRPr="00821FB1">
        <w:rPr>
          <w:rStyle w:val="apple-converted-space"/>
          <w:rFonts w:ascii="Arial" w:hAnsi="Arial" w:cs="Arial"/>
          <w:color w:val="212121"/>
          <w:sz w:val="20"/>
          <w:szCs w:val="20"/>
          <w:highlight w:val="green"/>
        </w:rPr>
        <w:t> </w:t>
      </w:r>
      <w:hyperlink r:id="rId42" w:tgtFrame="_blank" w:history="1">
        <w:r w:rsidRPr="00821FB1">
          <w:rPr>
            <w:rStyle w:val="Hyperlink"/>
            <w:rFonts w:ascii="Arial" w:hAnsi="Arial" w:cs="Arial"/>
            <w:color w:val="0071BC"/>
            <w:sz w:val="20"/>
            <w:szCs w:val="20"/>
            <w:highlight w:val="green"/>
          </w:rPr>
          <w:t>10.1111/jam.13169</w:t>
        </w:r>
      </w:hyperlink>
    </w:p>
    <w:p w14:paraId="4E905C42" w14:textId="16B5A434" w:rsidR="00821FB1" w:rsidRPr="000F6F01" w:rsidRDefault="00DB098A" w:rsidP="00DB098A">
      <w:pPr>
        <w:pStyle w:val="ListParagraph"/>
        <w:numPr>
          <w:ilvl w:val="0"/>
          <w:numId w:val="32"/>
        </w:numPr>
        <w:rPr>
          <w:rStyle w:val="identifier"/>
          <w:rFonts w:ascii="Segoe UI" w:hAnsi="Segoe UI" w:cs="Segoe UI"/>
          <w:color w:val="5B616B"/>
          <w:highlight w:val="green"/>
        </w:rPr>
      </w:pPr>
      <w:proofErr w:type="spellStart"/>
      <w:r w:rsidRPr="00DB098A">
        <w:rPr>
          <w:b/>
          <w:highlight w:val="green"/>
          <w:lang w:val="en-US"/>
        </w:rPr>
        <w:t>Essack</w:t>
      </w:r>
      <w:proofErr w:type="spellEnd"/>
      <w:r w:rsidRPr="00DB098A">
        <w:rPr>
          <w:b/>
          <w:highlight w:val="green"/>
          <w:lang w:val="en-US"/>
        </w:rPr>
        <w:t xml:space="preserve"> SY, Desta AT, </w:t>
      </w:r>
      <w:proofErr w:type="spellStart"/>
      <w:r w:rsidRPr="00DB098A">
        <w:rPr>
          <w:b/>
          <w:highlight w:val="green"/>
          <w:lang w:val="en-US"/>
        </w:rPr>
        <w:t>Abotsi</w:t>
      </w:r>
      <w:proofErr w:type="spellEnd"/>
      <w:r w:rsidRPr="00DB098A">
        <w:rPr>
          <w:b/>
          <w:highlight w:val="green"/>
          <w:lang w:val="en-US"/>
        </w:rPr>
        <w:t xml:space="preserve"> RE, </w:t>
      </w:r>
      <w:proofErr w:type="spellStart"/>
      <w:r w:rsidRPr="00DB098A">
        <w:rPr>
          <w:b/>
          <w:highlight w:val="green"/>
          <w:lang w:val="en-US"/>
        </w:rPr>
        <w:t>Agoba</w:t>
      </w:r>
      <w:proofErr w:type="spellEnd"/>
      <w:r w:rsidRPr="00DB098A">
        <w:rPr>
          <w:b/>
          <w:highlight w:val="green"/>
          <w:lang w:val="en-US"/>
        </w:rPr>
        <w:t xml:space="preserve"> EE (2017).</w:t>
      </w:r>
      <w:r w:rsidRPr="00DB098A">
        <w:rPr>
          <w:highlight w:val="green"/>
          <w:lang w:val="en-US"/>
        </w:rPr>
        <w:t xml:space="preserve"> Antimicrobial resistance in the WHO African region: current status and roadmap for action. </w:t>
      </w:r>
      <w:r w:rsidRPr="00DB098A">
        <w:rPr>
          <w:rStyle w:val="Emphasis"/>
          <w:i w:val="0"/>
          <w:highlight w:val="green"/>
          <w:lang w:val="en-US"/>
        </w:rPr>
        <w:t>Journal of Public Health</w:t>
      </w:r>
      <w:r w:rsidRPr="00DB098A">
        <w:rPr>
          <w:rStyle w:val="Emphasis"/>
          <w:highlight w:val="green"/>
          <w:lang w:val="en-US"/>
        </w:rPr>
        <w:t xml:space="preserve">, </w:t>
      </w:r>
      <w:r w:rsidRPr="00DB098A">
        <w:rPr>
          <w:highlight w:val="green"/>
          <w:lang w:val="en-US"/>
        </w:rPr>
        <w:t xml:space="preserve">39(1), 8-13. </w:t>
      </w:r>
      <w:r w:rsidRPr="00DB098A">
        <w:rPr>
          <w:rStyle w:val="id-label"/>
          <w:rFonts w:ascii="Segoe UI" w:hAnsi="Segoe UI" w:cs="Segoe UI"/>
          <w:color w:val="212121"/>
          <w:highlight w:val="green"/>
          <w:lang w:val="en-US"/>
        </w:rPr>
        <w:t>PMID:</w:t>
      </w:r>
      <w:r w:rsidRPr="00DB098A">
        <w:rPr>
          <w:rStyle w:val="apple-converted-space"/>
          <w:rFonts w:ascii="Segoe UI" w:hAnsi="Segoe UI" w:cs="Segoe UI"/>
          <w:color w:val="212121"/>
          <w:highlight w:val="green"/>
          <w:lang w:val="en-US"/>
        </w:rPr>
        <w:t> </w:t>
      </w:r>
      <w:r w:rsidRPr="00DB098A">
        <w:rPr>
          <w:rStyle w:val="Strong"/>
          <w:rFonts w:ascii="Segoe UI" w:hAnsi="Segoe UI" w:cs="Segoe UI"/>
          <w:b w:val="0"/>
          <w:bCs w:val="0"/>
          <w:color w:val="212121"/>
          <w:highlight w:val="green"/>
          <w:lang w:val="en-US"/>
        </w:rPr>
        <w:t xml:space="preserve">26944074, </w:t>
      </w:r>
      <w:r w:rsidRPr="00DB098A">
        <w:rPr>
          <w:rStyle w:val="id-label"/>
          <w:rFonts w:ascii="Segoe UI" w:hAnsi="Segoe UI" w:cs="Segoe UI"/>
          <w:color w:val="212121"/>
          <w:highlight w:val="green"/>
          <w:lang w:val="en-US"/>
        </w:rPr>
        <w:t>PMCID:</w:t>
      </w:r>
      <w:r w:rsidRPr="00DB098A">
        <w:rPr>
          <w:rStyle w:val="apple-converted-space"/>
          <w:rFonts w:ascii="Segoe UI" w:hAnsi="Segoe UI" w:cs="Segoe UI"/>
          <w:color w:val="212121"/>
          <w:highlight w:val="green"/>
          <w:lang w:val="en-US"/>
        </w:rPr>
        <w:t> </w:t>
      </w:r>
      <w:hyperlink r:id="rId43" w:tgtFrame="_blank" w:history="1">
        <w:r w:rsidRPr="00DB098A">
          <w:rPr>
            <w:rStyle w:val="Hyperlink"/>
            <w:rFonts w:ascii="Segoe UI" w:hAnsi="Segoe UI" w:cs="Segoe UI"/>
            <w:color w:val="0071BC"/>
            <w:highlight w:val="green"/>
            <w:lang w:val="en-US"/>
          </w:rPr>
          <w:t>PMC5939661</w:t>
        </w:r>
      </w:hyperlink>
      <w:r w:rsidRPr="00DB098A">
        <w:rPr>
          <w:rStyle w:val="identifier"/>
          <w:rFonts w:ascii="Segoe UI" w:hAnsi="Segoe UI" w:cs="Segoe UI"/>
          <w:color w:val="212121"/>
          <w:highlight w:val="green"/>
          <w:lang w:val="en-US"/>
        </w:rPr>
        <w:t xml:space="preserve">, </w:t>
      </w:r>
      <w:r w:rsidRPr="00DB098A">
        <w:rPr>
          <w:rStyle w:val="id-label"/>
          <w:rFonts w:ascii="Segoe UI" w:hAnsi="Segoe UI" w:cs="Segoe UI"/>
          <w:color w:val="212121"/>
          <w:highlight w:val="green"/>
          <w:lang w:val="en-US"/>
        </w:rPr>
        <w:t>DOI:</w:t>
      </w:r>
      <w:r w:rsidRPr="00DB098A">
        <w:rPr>
          <w:rStyle w:val="apple-converted-space"/>
          <w:rFonts w:ascii="Segoe UI" w:hAnsi="Segoe UI" w:cs="Segoe UI"/>
          <w:color w:val="212121"/>
          <w:highlight w:val="green"/>
          <w:lang w:val="en-US"/>
        </w:rPr>
        <w:t> </w:t>
      </w:r>
      <w:hyperlink r:id="rId44" w:tgtFrame="_blank" w:history="1">
        <w:r w:rsidRPr="00DB098A">
          <w:rPr>
            <w:rStyle w:val="Hyperlink"/>
            <w:rFonts w:ascii="Segoe UI" w:hAnsi="Segoe UI" w:cs="Segoe UI"/>
            <w:color w:val="0071BC"/>
            <w:highlight w:val="green"/>
            <w:lang w:val="en-US"/>
          </w:rPr>
          <w:t>10.1093/</w:t>
        </w:r>
        <w:proofErr w:type="spellStart"/>
        <w:r w:rsidRPr="00DB098A">
          <w:rPr>
            <w:rStyle w:val="Hyperlink"/>
            <w:rFonts w:ascii="Segoe UI" w:hAnsi="Segoe UI" w:cs="Segoe UI"/>
            <w:color w:val="0071BC"/>
            <w:highlight w:val="green"/>
            <w:lang w:val="en-US"/>
          </w:rPr>
          <w:t>pubmed</w:t>
        </w:r>
        <w:proofErr w:type="spellEnd"/>
        <w:r w:rsidRPr="00DB098A">
          <w:rPr>
            <w:rStyle w:val="Hyperlink"/>
            <w:rFonts w:ascii="Segoe UI" w:hAnsi="Segoe UI" w:cs="Segoe UI"/>
            <w:color w:val="0071BC"/>
            <w:highlight w:val="green"/>
            <w:lang w:val="en-US"/>
          </w:rPr>
          <w:t>/fdw015</w:t>
        </w:r>
      </w:hyperlink>
    </w:p>
    <w:p w14:paraId="51692A91" w14:textId="0F124E8E" w:rsidR="000F6F01" w:rsidRPr="000F6F01" w:rsidRDefault="00BB4C88" w:rsidP="000F6F01">
      <w:pPr>
        <w:pStyle w:val="ListParagraph"/>
        <w:numPr>
          <w:ilvl w:val="0"/>
          <w:numId w:val="32"/>
        </w:numPr>
        <w:rPr>
          <w:rStyle w:val="identifier"/>
          <w:rFonts w:ascii="Arial" w:hAnsi="Arial" w:cs="Arial"/>
          <w:sz w:val="20"/>
          <w:szCs w:val="20"/>
          <w:highlight w:val="green"/>
          <w:lang w:val="en-US"/>
        </w:rPr>
      </w:pPr>
      <w:hyperlink r:id="rId45" w:history="1">
        <w:r w:rsidR="000F6F01" w:rsidRPr="005E644B">
          <w:rPr>
            <w:rStyle w:val="name"/>
            <w:rFonts w:ascii="Arial" w:hAnsi="Arial" w:cs="Arial"/>
            <w:b/>
            <w:color w:val="000000" w:themeColor="text1"/>
            <w:sz w:val="20"/>
            <w:szCs w:val="20"/>
            <w:highlight w:val="green"/>
            <w:lang w:val="en-US"/>
          </w:rPr>
          <w:t>Ouedraogo</w:t>
        </w:r>
      </w:hyperlink>
      <w:r w:rsidR="000F6F01" w:rsidRPr="005E644B">
        <w:rPr>
          <w:rFonts w:ascii="Arial" w:hAnsi="Arial" w:cs="Arial"/>
          <w:b/>
          <w:color w:val="000000" w:themeColor="text1"/>
          <w:sz w:val="20"/>
          <w:szCs w:val="20"/>
          <w:highlight w:val="green"/>
          <w:lang w:val="en-US"/>
        </w:rPr>
        <w:t xml:space="preserve"> AS</w:t>
      </w:r>
      <w:r w:rsidR="000F6F01" w:rsidRPr="005E644B">
        <w:rPr>
          <w:rStyle w:val="apple-converted-space"/>
          <w:rFonts w:ascii="Arial" w:hAnsi="Arial" w:cs="Arial"/>
          <w:b/>
          <w:color w:val="000000" w:themeColor="text1"/>
          <w:sz w:val="20"/>
          <w:szCs w:val="20"/>
          <w:highlight w:val="green"/>
          <w:shd w:val="clear" w:color="auto" w:fill="FFFFFF"/>
          <w:lang w:val="en-US"/>
        </w:rPr>
        <w:t> </w:t>
      </w:r>
      <w:r w:rsidR="000F6F01" w:rsidRPr="005E644B">
        <w:rPr>
          <w:rFonts w:ascii="Arial" w:hAnsi="Arial" w:cs="Arial"/>
          <w:b/>
          <w:color w:val="000000" w:themeColor="text1"/>
          <w:sz w:val="20"/>
          <w:szCs w:val="20"/>
          <w:highlight w:val="green"/>
          <w:shd w:val="clear" w:color="auto" w:fill="FFFFFF"/>
          <w:lang w:val="en-US"/>
        </w:rPr>
        <w:t>,</w:t>
      </w:r>
      <w:r w:rsidR="000F6F01" w:rsidRPr="005E644B">
        <w:rPr>
          <w:rStyle w:val="apple-converted-space"/>
          <w:rFonts w:ascii="Arial" w:hAnsi="Arial" w:cs="Arial"/>
          <w:b/>
          <w:color w:val="000000" w:themeColor="text1"/>
          <w:sz w:val="20"/>
          <w:szCs w:val="20"/>
          <w:highlight w:val="green"/>
          <w:shd w:val="clear" w:color="auto" w:fill="FFFFFF"/>
          <w:lang w:val="en-US"/>
        </w:rPr>
        <w:t> </w:t>
      </w:r>
      <w:hyperlink r:id="rId46" w:history="1">
        <w:r w:rsidR="000F6F01" w:rsidRPr="005E644B">
          <w:rPr>
            <w:rStyle w:val="name"/>
            <w:rFonts w:ascii="Arial" w:hAnsi="Arial" w:cs="Arial"/>
            <w:b/>
            <w:color w:val="000000" w:themeColor="text1"/>
            <w:sz w:val="20"/>
            <w:szCs w:val="20"/>
            <w:highlight w:val="green"/>
            <w:lang w:val="en-US"/>
          </w:rPr>
          <w:t>Sanou</w:t>
        </w:r>
      </w:hyperlink>
      <w:r w:rsidR="000F6F01" w:rsidRPr="005E644B">
        <w:rPr>
          <w:rFonts w:ascii="Arial" w:hAnsi="Arial" w:cs="Arial"/>
          <w:b/>
          <w:color w:val="000000" w:themeColor="text1"/>
          <w:sz w:val="20"/>
          <w:szCs w:val="20"/>
          <w:highlight w:val="green"/>
          <w:lang w:val="en-US"/>
        </w:rPr>
        <w:t xml:space="preserve"> M</w:t>
      </w:r>
      <w:r w:rsidR="000F6F01" w:rsidRPr="005E644B">
        <w:rPr>
          <w:rFonts w:ascii="Arial" w:hAnsi="Arial" w:cs="Arial"/>
          <w:b/>
          <w:color w:val="000000" w:themeColor="text1"/>
          <w:sz w:val="20"/>
          <w:szCs w:val="20"/>
          <w:highlight w:val="green"/>
          <w:shd w:val="clear" w:color="auto" w:fill="FFFFFF"/>
          <w:lang w:val="en-US"/>
        </w:rPr>
        <w:t>,</w:t>
      </w:r>
      <w:r w:rsidR="000F6F01" w:rsidRPr="005E644B">
        <w:rPr>
          <w:rStyle w:val="apple-converted-space"/>
          <w:rFonts w:ascii="Arial" w:hAnsi="Arial" w:cs="Arial"/>
          <w:b/>
          <w:color w:val="000000" w:themeColor="text1"/>
          <w:sz w:val="20"/>
          <w:szCs w:val="20"/>
          <w:highlight w:val="green"/>
          <w:shd w:val="clear" w:color="auto" w:fill="FFFFFF"/>
          <w:lang w:val="en-US"/>
        </w:rPr>
        <w:t> </w:t>
      </w:r>
      <w:proofErr w:type="spellStart"/>
      <w:r w:rsidR="000F6F01">
        <w:fldChar w:fldCharType="begin"/>
      </w:r>
      <w:r w:rsidR="000F6F01">
        <w:instrText>HYPERLINK "https://pubmed.ncbi.nlm.nih.gov/?term=%22Kissou%20A%22%5BAuthor%5D"</w:instrText>
      </w:r>
      <w:r w:rsidR="000F6F01">
        <w:fldChar w:fldCharType="separate"/>
      </w:r>
      <w:r w:rsidR="000F6F01" w:rsidRPr="005E644B">
        <w:rPr>
          <w:rStyle w:val="name"/>
          <w:rFonts w:ascii="Arial" w:hAnsi="Arial" w:cs="Arial"/>
          <w:b/>
          <w:color w:val="000000" w:themeColor="text1"/>
          <w:sz w:val="20"/>
          <w:szCs w:val="20"/>
          <w:highlight w:val="green"/>
          <w:lang w:val="en-US"/>
        </w:rPr>
        <w:t>Kissou</w:t>
      </w:r>
      <w:proofErr w:type="spellEnd"/>
      <w:r w:rsidR="000F6F01">
        <w:fldChar w:fldCharType="end"/>
      </w:r>
      <w:r w:rsidR="000F6F01" w:rsidRPr="005E644B">
        <w:rPr>
          <w:rStyle w:val="apple-converted-space"/>
          <w:rFonts w:ascii="Arial" w:hAnsi="Arial" w:cs="Arial"/>
          <w:b/>
          <w:color w:val="000000" w:themeColor="text1"/>
          <w:sz w:val="20"/>
          <w:szCs w:val="20"/>
          <w:highlight w:val="green"/>
          <w:shd w:val="clear" w:color="auto" w:fill="FFFFFF"/>
          <w:lang w:val="en-US"/>
        </w:rPr>
        <w:t xml:space="preserve"> A</w:t>
      </w:r>
      <w:r w:rsidR="000F6F01" w:rsidRPr="005E644B">
        <w:rPr>
          <w:rFonts w:ascii="Arial" w:hAnsi="Arial" w:cs="Arial"/>
          <w:b/>
          <w:color w:val="000000" w:themeColor="text1"/>
          <w:sz w:val="20"/>
          <w:szCs w:val="20"/>
          <w:highlight w:val="green"/>
          <w:shd w:val="clear" w:color="auto" w:fill="FFFFFF"/>
          <w:lang w:val="en-US"/>
        </w:rPr>
        <w:t>,</w:t>
      </w:r>
      <w:r w:rsidR="000F6F01" w:rsidRPr="005E644B">
        <w:rPr>
          <w:rStyle w:val="apple-converted-space"/>
          <w:rFonts w:ascii="Arial" w:hAnsi="Arial" w:cs="Arial"/>
          <w:b/>
          <w:color w:val="000000" w:themeColor="text1"/>
          <w:sz w:val="20"/>
          <w:szCs w:val="20"/>
          <w:highlight w:val="green"/>
          <w:shd w:val="clear" w:color="auto" w:fill="FFFFFF"/>
          <w:lang w:val="en-US"/>
        </w:rPr>
        <w:t> </w:t>
      </w:r>
      <w:proofErr w:type="spellStart"/>
      <w:r>
        <w:fldChar w:fldCharType="begin"/>
      </w:r>
      <w:r>
        <w:instrText xml:space="preserve"> HYPERLINK "https://pubmed.ncbi.nlm.nih.gov/?term=%22Sanou%20S%22%5BAuthor%5D" </w:instrText>
      </w:r>
      <w:r>
        <w:fldChar w:fldCharType="separate"/>
      </w:r>
      <w:r w:rsidR="000F6F01" w:rsidRPr="005E644B">
        <w:rPr>
          <w:rStyle w:val="name"/>
          <w:rFonts w:ascii="Arial" w:hAnsi="Arial" w:cs="Arial"/>
          <w:b/>
          <w:color w:val="000000" w:themeColor="text1"/>
          <w:sz w:val="20"/>
          <w:szCs w:val="20"/>
          <w:highlight w:val="green"/>
          <w:lang w:val="en-US"/>
        </w:rPr>
        <w:t>Sanou</w:t>
      </w:r>
      <w:proofErr w:type="spellEnd"/>
      <w:r>
        <w:rPr>
          <w:rStyle w:val="name"/>
          <w:rFonts w:ascii="Arial" w:hAnsi="Arial" w:cs="Arial"/>
          <w:b/>
          <w:color w:val="000000" w:themeColor="text1"/>
          <w:sz w:val="20"/>
          <w:szCs w:val="20"/>
          <w:highlight w:val="green"/>
          <w:lang w:val="en-US"/>
        </w:rPr>
        <w:fldChar w:fldCharType="end"/>
      </w:r>
      <w:r w:rsidR="000F6F01" w:rsidRPr="005E644B">
        <w:rPr>
          <w:rStyle w:val="apple-converted-space"/>
          <w:rFonts w:ascii="Arial" w:hAnsi="Arial" w:cs="Arial"/>
          <w:b/>
          <w:color w:val="000000" w:themeColor="text1"/>
          <w:sz w:val="20"/>
          <w:szCs w:val="20"/>
          <w:highlight w:val="green"/>
          <w:shd w:val="clear" w:color="auto" w:fill="FFFFFF"/>
          <w:lang w:val="en-US"/>
        </w:rPr>
        <w:t> S</w:t>
      </w:r>
      <w:r w:rsidR="000F6F01" w:rsidRPr="005E644B">
        <w:rPr>
          <w:rFonts w:ascii="Arial" w:hAnsi="Arial" w:cs="Arial"/>
          <w:b/>
          <w:color w:val="000000" w:themeColor="text1"/>
          <w:sz w:val="20"/>
          <w:szCs w:val="20"/>
          <w:highlight w:val="green"/>
          <w:shd w:val="clear" w:color="auto" w:fill="FFFFFF"/>
          <w:lang w:val="en-US"/>
        </w:rPr>
        <w:t>,</w:t>
      </w:r>
      <w:r w:rsidR="000F6F01" w:rsidRPr="005E644B">
        <w:rPr>
          <w:rStyle w:val="apple-converted-space"/>
          <w:rFonts w:ascii="Arial" w:hAnsi="Arial" w:cs="Arial"/>
          <w:b/>
          <w:color w:val="000000" w:themeColor="text1"/>
          <w:sz w:val="20"/>
          <w:szCs w:val="20"/>
          <w:highlight w:val="green"/>
          <w:shd w:val="clear" w:color="auto" w:fill="FFFFFF"/>
          <w:lang w:val="en-US"/>
        </w:rPr>
        <w:t> </w:t>
      </w:r>
      <w:proofErr w:type="spellStart"/>
      <w:r w:rsidR="000F6F01">
        <w:fldChar w:fldCharType="begin"/>
      </w:r>
      <w:r w:rsidR="000F6F01">
        <w:instrText>HYPERLINK "https://pubmed.ncbi.nlm.nih.gov/?term=%22Solar%C3%A9%20H%22%5BAuthor%5D"</w:instrText>
      </w:r>
      <w:r w:rsidR="000F6F01">
        <w:fldChar w:fldCharType="separate"/>
      </w:r>
      <w:r w:rsidR="000F6F01" w:rsidRPr="005E644B">
        <w:rPr>
          <w:rStyle w:val="name"/>
          <w:rFonts w:ascii="Arial" w:hAnsi="Arial" w:cs="Arial"/>
          <w:b/>
          <w:color w:val="000000" w:themeColor="text1"/>
          <w:sz w:val="20"/>
          <w:szCs w:val="20"/>
          <w:highlight w:val="green"/>
          <w:lang w:val="en-US"/>
        </w:rPr>
        <w:t>Solaré</w:t>
      </w:r>
      <w:proofErr w:type="spellEnd"/>
      <w:r w:rsidR="000F6F01">
        <w:fldChar w:fldCharType="end"/>
      </w:r>
      <w:r w:rsidR="000F6F01" w:rsidRPr="005E644B">
        <w:rPr>
          <w:rFonts w:ascii="Arial" w:hAnsi="Arial" w:cs="Arial"/>
          <w:b/>
          <w:color w:val="000000" w:themeColor="text1"/>
          <w:sz w:val="20"/>
          <w:szCs w:val="20"/>
          <w:highlight w:val="green"/>
          <w:lang w:val="en-US"/>
        </w:rPr>
        <w:t xml:space="preserve"> H</w:t>
      </w:r>
      <w:r w:rsidR="000F6F01" w:rsidRPr="005E644B">
        <w:rPr>
          <w:rFonts w:ascii="Arial" w:hAnsi="Arial" w:cs="Arial"/>
          <w:b/>
          <w:color w:val="000000" w:themeColor="text1"/>
          <w:sz w:val="20"/>
          <w:szCs w:val="20"/>
          <w:highlight w:val="green"/>
          <w:shd w:val="clear" w:color="auto" w:fill="FFFFFF"/>
          <w:lang w:val="en-US"/>
        </w:rPr>
        <w:t>,</w:t>
      </w:r>
      <w:r w:rsidR="000F6F01" w:rsidRPr="005E644B">
        <w:rPr>
          <w:rStyle w:val="apple-converted-space"/>
          <w:rFonts w:ascii="Arial" w:hAnsi="Arial" w:cs="Arial"/>
          <w:b/>
          <w:color w:val="000000" w:themeColor="text1"/>
          <w:sz w:val="20"/>
          <w:szCs w:val="20"/>
          <w:highlight w:val="green"/>
          <w:shd w:val="clear" w:color="auto" w:fill="FFFFFF"/>
          <w:lang w:val="en-US"/>
        </w:rPr>
        <w:t> </w:t>
      </w:r>
      <w:hyperlink r:id="rId47" w:history="1">
        <w:r w:rsidR="000F6F01" w:rsidRPr="005E644B">
          <w:rPr>
            <w:rStyle w:val="name"/>
            <w:rFonts w:ascii="Arial" w:hAnsi="Arial" w:cs="Arial"/>
            <w:b/>
            <w:color w:val="000000" w:themeColor="text1"/>
            <w:sz w:val="20"/>
            <w:szCs w:val="20"/>
            <w:highlight w:val="green"/>
            <w:lang w:val="en-US"/>
          </w:rPr>
          <w:t>Kaboré</w:t>
        </w:r>
      </w:hyperlink>
      <w:r w:rsidR="000F6F01" w:rsidRPr="005E644B">
        <w:rPr>
          <w:rFonts w:ascii="Arial" w:hAnsi="Arial" w:cs="Arial"/>
          <w:b/>
          <w:color w:val="000000" w:themeColor="text1"/>
          <w:sz w:val="20"/>
          <w:szCs w:val="20"/>
          <w:highlight w:val="green"/>
          <w:lang w:val="en-US"/>
        </w:rPr>
        <w:t xml:space="preserve"> F</w:t>
      </w:r>
      <w:r w:rsidR="000F6F01" w:rsidRPr="005E644B">
        <w:rPr>
          <w:rStyle w:val="apple-converted-space"/>
          <w:rFonts w:ascii="Arial" w:hAnsi="Arial" w:cs="Arial"/>
          <w:b/>
          <w:color w:val="000000" w:themeColor="text1"/>
          <w:sz w:val="20"/>
          <w:szCs w:val="20"/>
          <w:highlight w:val="green"/>
          <w:shd w:val="clear" w:color="auto" w:fill="FFFFFF"/>
          <w:lang w:val="en-US"/>
        </w:rPr>
        <w:t xml:space="preserve"> (2016).</w:t>
      </w:r>
      <w:r w:rsidR="000F6F01" w:rsidRPr="000F6F01">
        <w:rPr>
          <w:rStyle w:val="apple-converted-space"/>
          <w:rFonts w:ascii="Arial" w:hAnsi="Arial" w:cs="Arial"/>
          <w:color w:val="1B1B1B"/>
          <w:sz w:val="20"/>
          <w:szCs w:val="20"/>
          <w:highlight w:val="green"/>
          <w:shd w:val="clear" w:color="auto" w:fill="FFFFFF"/>
          <w:lang w:val="en-US"/>
        </w:rPr>
        <w:t xml:space="preserve"> </w:t>
      </w:r>
      <w:r w:rsidR="000F6F01" w:rsidRPr="000F6F01">
        <w:rPr>
          <w:rFonts w:ascii="Arial" w:hAnsi="Arial" w:cs="Arial"/>
          <w:color w:val="1B1B1B"/>
          <w:sz w:val="20"/>
          <w:szCs w:val="20"/>
          <w:highlight w:val="green"/>
          <w:lang w:val="en-US"/>
        </w:rPr>
        <w:t>High prevalence of extended-spectrum ß-lactamase producing</w:t>
      </w:r>
      <w:r w:rsidR="000F6F01" w:rsidRPr="000F6F01">
        <w:rPr>
          <w:rStyle w:val="apple-converted-space"/>
          <w:rFonts w:ascii="Arial" w:hAnsi="Arial" w:cs="Arial"/>
          <w:color w:val="1B1B1B"/>
          <w:sz w:val="20"/>
          <w:szCs w:val="20"/>
          <w:highlight w:val="green"/>
          <w:lang w:val="en-US"/>
        </w:rPr>
        <w:t> </w:t>
      </w:r>
      <w:proofErr w:type="spellStart"/>
      <w:r w:rsidR="000F6F01" w:rsidRPr="000F6F01">
        <w:rPr>
          <w:rStyle w:val="Emphasis"/>
          <w:rFonts w:ascii="Arial" w:hAnsi="Arial" w:cs="Arial"/>
          <w:color w:val="1B1B1B"/>
          <w:sz w:val="20"/>
          <w:szCs w:val="20"/>
          <w:highlight w:val="green"/>
          <w:lang w:val="en-US"/>
        </w:rPr>
        <w:t>enterobacteriaceae</w:t>
      </w:r>
      <w:proofErr w:type="spellEnd"/>
      <w:r w:rsidR="000F6F01" w:rsidRPr="000F6F01">
        <w:rPr>
          <w:rStyle w:val="apple-converted-space"/>
          <w:rFonts w:ascii="Arial" w:hAnsi="Arial" w:cs="Arial"/>
          <w:color w:val="1B1B1B"/>
          <w:sz w:val="20"/>
          <w:szCs w:val="20"/>
          <w:highlight w:val="green"/>
          <w:lang w:val="en-US"/>
        </w:rPr>
        <w:t> </w:t>
      </w:r>
      <w:r w:rsidR="000F6F01" w:rsidRPr="000F6F01">
        <w:rPr>
          <w:rFonts w:ascii="Arial" w:hAnsi="Arial" w:cs="Arial"/>
          <w:color w:val="1B1B1B"/>
          <w:sz w:val="20"/>
          <w:szCs w:val="20"/>
          <w:highlight w:val="green"/>
          <w:lang w:val="en-US"/>
        </w:rPr>
        <w:t>among clinical isolates in Burkina Faso. BMC Infectious Diseases ,</w:t>
      </w:r>
      <w:r w:rsidR="000F6F01" w:rsidRPr="000F6F01">
        <w:rPr>
          <w:rFonts w:ascii="Arial" w:hAnsi="Arial" w:cs="Arial"/>
          <w:color w:val="1B1B1B"/>
          <w:sz w:val="20"/>
          <w:szCs w:val="20"/>
          <w:highlight w:val="green"/>
          <w:shd w:val="clear" w:color="auto" w:fill="FFFFFF"/>
          <w:lang w:val="en-US"/>
        </w:rPr>
        <w:t>16, 326. PMCID: PMC4939587, PMID:</w:t>
      </w:r>
      <w:r w:rsidR="000F6F01" w:rsidRPr="000F6F01">
        <w:rPr>
          <w:rStyle w:val="apple-converted-space"/>
          <w:rFonts w:ascii="Arial" w:hAnsi="Arial" w:cs="Arial"/>
          <w:color w:val="1B1B1B"/>
          <w:sz w:val="20"/>
          <w:szCs w:val="20"/>
          <w:highlight w:val="green"/>
          <w:shd w:val="clear" w:color="auto" w:fill="FFFFFF"/>
          <w:lang w:val="en-US"/>
        </w:rPr>
        <w:t> </w:t>
      </w:r>
      <w:hyperlink r:id="rId48" w:history="1">
        <w:r w:rsidR="000F6F01" w:rsidRPr="000F6F01">
          <w:rPr>
            <w:rStyle w:val="Hyperlink"/>
            <w:rFonts w:ascii="Arial" w:hAnsi="Arial" w:cs="Arial"/>
            <w:color w:val="54278F"/>
            <w:sz w:val="20"/>
            <w:szCs w:val="20"/>
            <w:highlight w:val="green"/>
            <w:lang w:val="en-US"/>
          </w:rPr>
          <w:t>27400864</w:t>
        </w:r>
      </w:hyperlink>
    </w:p>
    <w:p w14:paraId="6A166C2E" w14:textId="4F00AC10" w:rsidR="00992D3B" w:rsidRPr="00992D3B" w:rsidRDefault="00992D3B" w:rsidP="005E644B">
      <w:pPr>
        <w:pStyle w:val="NormalWeb"/>
        <w:numPr>
          <w:ilvl w:val="0"/>
          <w:numId w:val="32"/>
        </w:numPr>
        <w:jc w:val="both"/>
        <w:rPr>
          <w:rFonts w:ascii="Arial" w:hAnsi="Arial" w:cs="Arial"/>
          <w:color w:val="000000" w:themeColor="text1"/>
          <w:sz w:val="20"/>
          <w:szCs w:val="20"/>
          <w:highlight w:val="green"/>
        </w:rPr>
      </w:pPr>
      <w:r w:rsidRPr="00992D3B">
        <w:rPr>
          <w:rFonts w:ascii="Arial" w:hAnsi="Arial" w:cs="Arial"/>
          <w:b/>
          <w:color w:val="000000" w:themeColor="text1"/>
          <w:sz w:val="20"/>
          <w:szCs w:val="20"/>
          <w:highlight w:val="green"/>
          <w:lang w:val="en-US"/>
        </w:rPr>
        <w:t>World Health Organization Regional Office for Africa (2023).</w:t>
      </w:r>
      <w:r w:rsidRPr="00992D3B">
        <w:rPr>
          <w:rFonts w:ascii="Arial" w:hAnsi="Arial" w:cs="Arial"/>
          <w:color w:val="000000" w:themeColor="text1"/>
          <w:sz w:val="20"/>
          <w:szCs w:val="20"/>
          <w:highlight w:val="green"/>
          <w:lang w:val="en-US"/>
        </w:rPr>
        <w:t xml:space="preserve"> </w:t>
      </w:r>
      <w:r w:rsidRPr="005E644B">
        <w:rPr>
          <w:rStyle w:val="Emphasis"/>
          <w:rFonts w:ascii="Arial" w:hAnsi="Arial" w:cs="Arial"/>
          <w:i w:val="0"/>
          <w:color w:val="000000" w:themeColor="text1"/>
          <w:sz w:val="20"/>
          <w:szCs w:val="20"/>
          <w:highlight w:val="green"/>
          <w:lang w:val="en-US"/>
        </w:rPr>
        <w:t>Antimicrobial Resistance Surveillance in the African Region: 2022 Annual Report</w:t>
      </w:r>
      <w:r w:rsidRPr="00992D3B">
        <w:rPr>
          <w:rStyle w:val="Emphasis"/>
          <w:rFonts w:ascii="Arial" w:hAnsi="Arial" w:cs="Arial"/>
          <w:color w:val="000000" w:themeColor="text1"/>
          <w:sz w:val="20"/>
          <w:szCs w:val="20"/>
          <w:highlight w:val="green"/>
          <w:lang w:val="en-US"/>
        </w:rPr>
        <w:t>.</w:t>
      </w:r>
      <w:r w:rsidRPr="00992D3B">
        <w:rPr>
          <w:rFonts w:ascii="Arial" w:hAnsi="Arial" w:cs="Arial"/>
          <w:color w:val="000000" w:themeColor="text1"/>
          <w:sz w:val="20"/>
          <w:szCs w:val="20"/>
          <w:highlight w:val="green"/>
          <w:lang w:val="en-US"/>
        </w:rPr>
        <w:t xml:space="preserve"> Brazzaville.</w:t>
      </w:r>
    </w:p>
    <w:p w14:paraId="5B0A77A1" w14:textId="7DF5A471" w:rsidR="00821FB1" w:rsidRPr="00E05E51" w:rsidRDefault="00992D3B" w:rsidP="005E644B">
      <w:pPr>
        <w:pStyle w:val="NormalWeb"/>
        <w:numPr>
          <w:ilvl w:val="0"/>
          <w:numId w:val="32"/>
        </w:numPr>
        <w:jc w:val="both"/>
        <w:rPr>
          <w:rFonts w:ascii="Arial" w:hAnsi="Arial" w:cs="Arial"/>
          <w:color w:val="000000" w:themeColor="text1"/>
          <w:sz w:val="20"/>
          <w:szCs w:val="20"/>
          <w:highlight w:val="green"/>
          <w:lang w:val="en-US"/>
        </w:rPr>
      </w:pPr>
      <w:r w:rsidRPr="00992D3B">
        <w:rPr>
          <w:rFonts w:ascii="Arial" w:hAnsi="Arial" w:cs="Arial"/>
          <w:b/>
          <w:color w:val="000000" w:themeColor="text1"/>
          <w:sz w:val="20"/>
          <w:szCs w:val="20"/>
          <w:highlight w:val="green"/>
          <w:lang w:val="en-US"/>
        </w:rPr>
        <w:t>Global Point Prevalence Survey (2023</w:t>
      </w:r>
      <w:r w:rsidRPr="00992D3B">
        <w:rPr>
          <w:rFonts w:ascii="Arial" w:hAnsi="Arial" w:cs="Arial"/>
          <w:color w:val="000000" w:themeColor="text1"/>
          <w:sz w:val="20"/>
          <w:szCs w:val="20"/>
          <w:highlight w:val="green"/>
          <w:lang w:val="en-US"/>
        </w:rPr>
        <w:t xml:space="preserve">). </w:t>
      </w:r>
      <w:r w:rsidRPr="005E644B">
        <w:rPr>
          <w:rStyle w:val="Emphasis"/>
          <w:rFonts w:ascii="Arial" w:hAnsi="Arial" w:cs="Arial"/>
          <w:i w:val="0"/>
          <w:color w:val="000000" w:themeColor="text1"/>
          <w:sz w:val="20"/>
          <w:szCs w:val="20"/>
          <w:highlight w:val="green"/>
          <w:lang w:val="en-US"/>
        </w:rPr>
        <w:t>Results of Antimicrobial Consumption and Resistance Surveillance in African Hospitals, 2015</w:t>
      </w:r>
      <w:r w:rsidR="005E644B">
        <w:rPr>
          <w:rStyle w:val="Emphasis"/>
          <w:rFonts w:ascii="Arial" w:hAnsi="Arial" w:cs="Arial"/>
          <w:i w:val="0"/>
          <w:color w:val="000000" w:themeColor="text1"/>
          <w:sz w:val="20"/>
          <w:szCs w:val="20"/>
          <w:highlight w:val="green"/>
          <w:lang w:val="en-US"/>
        </w:rPr>
        <w:t>-</w:t>
      </w:r>
      <w:r w:rsidRPr="005E644B">
        <w:rPr>
          <w:rStyle w:val="Emphasis"/>
          <w:rFonts w:ascii="Arial" w:hAnsi="Arial" w:cs="Arial"/>
          <w:i w:val="0"/>
          <w:color w:val="000000" w:themeColor="text1"/>
          <w:sz w:val="20"/>
          <w:szCs w:val="20"/>
          <w:highlight w:val="green"/>
          <w:lang w:val="en-US"/>
        </w:rPr>
        <w:t>2022</w:t>
      </w:r>
      <w:r w:rsidRPr="00992D3B">
        <w:rPr>
          <w:rStyle w:val="Emphasis"/>
          <w:rFonts w:ascii="Arial" w:hAnsi="Arial" w:cs="Arial"/>
          <w:color w:val="000000" w:themeColor="text1"/>
          <w:sz w:val="20"/>
          <w:szCs w:val="20"/>
          <w:highlight w:val="green"/>
          <w:lang w:val="en-US"/>
        </w:rPr>
        <w:t>.</w:t>
      </w:r>
      <w:r w:rsidRPr="00992D3B">
        <w:rPr>
          <w:rFonts w:ascii="Arial" w:hAnsi="Arial" w:cs="Arial"/>
          <w:color w:val="000000" w:themeColor="text1"/>
          <w:sz w:val="20"/>
          <w:szCs w:val="20"/>
          <w:highlight w:val="green"/>
          <w:lang w:val="en-US"/>
        </w:rPr>
        <w:t xml:space="preserve"> University of Antwerp &amp; WHO, 2023. </w:t>
      </w:r>
    </w:p>
    <w:p w14:paraId="591F40DC" w14:textId="77777777" w:rsidR="00EB5817" w:rsidRPr="00C720CE" w:rsidRDefault="00FF3423" w:rsidP="00EB5817">
      <w:pPr>
        <w:pStyle w:val="ListParagraph"/>
        <w:numPr>
          <w:ilvl w:val="0"/>
          <w:numId w:val="32"/>
        </w:numPr>
        <w:spacing w:before="100" w:beforeAutospacing="1" w:after="100" w:afterAutospacing="1"/>
        <w:rPr>
          <w:rFonts w:ascii="Arial" w:hAnsi="Arial" w:cs="Arial"/>
          <w:b/>
          <w:color w:val="000000" w:themeColor="text1"/>
          <w:sz w:val="20"/>
          <w:szCs w:val="20"/>
        </w:rPr>
      </w:pPr>
      <w:proofErr w:type="spellStart"/>
      <w:r w:rsidRPr="00C720CE">
        <w:rPr>
          <w:rFonts w:ascii="Arial" w:hAnsi="Arial" w:cs="Arial"/>
          <w:b/>
          <w:color w:val="000000" w:themeColor="text1"/>
          <w:sz w:val="20"/>
          <w:szCs w:val="20"/>
          <w:lang w:val="en-US"/>
        </w:rPr>
        <w:t>Omulo</w:t>
      </w:r>
      <w:proofErr w:type="spellEnd"/>
      <w:r w:rsidRPr="00C720CE">
        <w:rPr>
          <w:rFonts w:ascii="Arial" w:hAnsi="Arial" w:cs="Arial"/>
          <w:b/>
          <w:color w:val="000000" w:themeColor="text1"/>
          <w:sz w:val="20"/>
          <w:szCs w:val="20"/>
          <w:lang w:val="en-US"/>
        </w:rPr>
        <w:t xml:space="preserve"> S, </w:t>
      </w:r>
      <w:proofErr w:type="spellStart"/>
      <w:r w:rsidRPr="00C720CE">
        <w:rPr>
          <w:rFonts w:ascii="Arial" w:hAnsi="Arial" w:cs="Arial"/>
          <w:b/>
          <w:color w:val="000000" w:themeColor="text1"/>
          <w:sz w:val="20"/>
          <w:szCs w:val="20"/>
          <w:lang w:val="en-US"/>
        </w:rPr>
        <w:t>Oluka</w:t>
      </w:r>
      <w:proofErr w:type="spellEnd"/>
      <w:r w:rsidRPr="00C720CE">
        <w:rPr>
          <w:rFonts w:ascii="Arial" w:hAnsi="Arial" w:cs="Arial"/>
          <w:b/>
          <w:color w:val="000000" w:themeColor="text1"/>
          <w:sz w:val="20"/>
          <w:szCs w:val="20"/>
          <w:lang w:val="en-US"/>
        </w:rPr>
        <w:t xml:space="preserve"> M, Achieng L, Osoro E, </w:t>
      </w:r>
      <w:proofErr w:type="spellStart"/>
      <w:r w:rsidRPr="00C720CE">
        <w:rPr>
          <w:rFonts w:ascii="Arial" w:hAnsi="Arial" w:cs="Arial"/>
          <w:b/>
          <w:color w:val="000000" w:themeColor="text1"/>
          <w:sz w:val="20"/>
          <w:szCs w:val="20"/>
          <w:lang w:val="en-US"/>
        </w:rPr>
        <w:t>Kinuthia</w:t>
      </w:r>
      <w:proofErr w:type="spellEnd"/>
      <w:r w:rsidRPr="00C720CE">
        <w:rPr>
          <w:rFonts w:ascii="Arial" w:hAnsi="Arial" w:cs="Arial"/>
          <w:b/>
          <w:color w:val="000000" w:themeColor="text1"/>
          <w:sz w:val="20"/>
          <w:szCs w:val="20"/>
          <w:lang w:val="en-US"/>
        </w:rPr>
        <w:t xml:space="preserve"> R, Anastasia </w:t>
      </w:r>
      <w:proofErr w:type="spellStart"/>
      <w:r w:rsidRPr="00C720CE">
        <w:rPr>
          <w:rFonts w:ascii="Arial" w:hAnsi="Arial" w:cs="Arial"/>
          <w:b/>
          <w:color w:val="000000" w:themeColor="text1"/>
          <w:sz w:val="20"/>
          <w:szCs w:val="20"/>
          <w:lang w:val="en-US"/>
        </w:rPr>
        <w:t>Guantai</w:t>
      </w:r>
      <w:proofErr w:type="spellEnd"/>
      <w:r w:rsidRPr="00C720CE">
        <w:rPr>
          <w:rFonts w:ascii="Arial" w:hAnsi="Arial" w:cs="Arial"/>
          <w:b/>
          <w:color w:val="000000" w:themeColor="text1"/>
          <w:sz w:val="20"/>
          <w:szCs w:val="20"/>
          <w:lang w:val="en-US"/>
        </w:rPr>
        <w:t xml:space="preserve"> A </w:t>
      </w:r>
      <w:r w:rsidR="00EB5817" w:rsidRPr="00C720CE">
        <w:rPr>
          <w:rFonts w:ascii="Arial" w:hAnsi="Arial" w:cs="Arial"/>
          <w:b/>
          <w:color w:val="000000" w:themeColor="text1"/>
          <w:sz w:val="20"/>
          <w:szCs w:val="20"/>
          <w:lang w:val="en-US"/>
        </w:rPr>
        <w:t>et</w:t>
      </w:r>
      <w:r w:rsidRPr="00C720CE">
        <w:rPr>
          <w:rFonts w:ascii="Arial" w:hAnsi="Arial" w:cs="Arial"/>
          <w:b/>
          <w:color w:val="000000" w:themeColor="text1"/>
          <w:sz w:val="20"/>
          <w:szCs w:val="20"/>
          <w:lang w:val="en-US"/>
        </w:rPr>
        <w:t xml:space="preserve"> al. </w:t>
      </w:r>
      <w:r w:rsidR="00EB5817" w:rsidRPr="00C720CE">
        <w:rPr>
          <w:rFonts w:ascii="Arial" w:hAnsi="Arial" w:cs="Arial"/>
          <w:b/>
          <w:color w:val="000000" w:themeColor="text1"/>
          <w:sz w:val="20"/>
          <w:szCs w:val="20"/>
          <w:lang w:val="en-US"/>
        </w:rPr>
        <w:t xml:space="preserve">(2022). </w:t>
      </w:r>
      <w:r w:rsidRPr="00C720CE">
        <w:rPr>
          <w:rFonts w:ascii="Arial" w:hAnsi="Arial" w:cs="Arial"/>
          <w:bCs/>
          <w:color w:val="000000" w:themeColor="text1"/>
          <w:kern w:val="36"/>
          <w:sz w:val="20"/>
          <w:szCs w:val="20"/>
          <w:lang w:val="en-US"/>
        </w:rPr>
        <w:t xml:space="preserve">Point-prevalence survey of antibiotic use at three public referral hospitals in Kenya. </w:t>
      </w:r>
      <w:proofErr w:type="spellStart"/>
      <w:r w:rsidRPr="00C720CE">
        <w:rPr>
          <w:rFonts w:ascii="Arial" w:hAnsi="Arial" w:cs="Arial"/>
          <w:bCs/>
          <w:color w:val="000000" w:themeColor="text1"/>
          <w:kern w:val="36"/>
          <w:sz w:val="20"/>
          <w:szCs w:val="20"/>
          <w:lang w:val="en-US"/>
        </w:rPr>
        <w:t>Plos</w:t>
      </w:r>
      <w:proofErr w:type="spellEnd"/>
      <w:r w:rsidRPr="00C720CE">
        <w:rPr>
          <w:rFonts w:ascii="Arial" w:hAnsi="Arial" w:cs="Arial"/>
          <w:bCs/>
          <w:color w:val="000000" w:themeColor="text1"/>
          <w:kern w:val="36"/>
          <w:sz w:val="20"/>
          <w:szCs w:val="20"/>
          <w:lang w:val="en-US"/>
        </w:rPr>
        <w:t xml:space="preserve"> o</w:t>
      </w:r>
      <w:r w:rsidRPr="00C720CE">
        <w:rPr>
          <w:rFonts w:ascii="Arial" w:hAnsi="Arial" w:cs="Arial"/>
          <w:color w:val="000000" w:themeColor="text1"/>
          <w:sz w:val="20"/>
          <w:szCs w:val="20"/>
          <w:lang w:val="en-US"/>
        </w:rPr>
        <w:t>ne</w:t>
      </w:r>
      <w:r w:rsidR="00EB5817" w:rsidRPr="00C720CE">
        <w:rPr>
          <w:rFonts w:ascii="Arial" w:hAnsi="Arial" w:cs="Arial"/>
          <w:color w:val="000000" w:themeColor="text1"/>
          <w:sz w:val="20"/>
          <w:szCs w:val="20"/>
          <w:lang w:val="en-US"/>
        </w:rPr>
        <w:t xml:space="preserve">, </w:t>
      </w:r>
      <w:r w:rsidRPr="00C720CE">
        <w:rPr>
          <w:rFonts w:ascii="Arial" w:hAnsi="Arial" w:cs="Arial"/>
          <w:color w:val="000000" w:themeColor="text1"/>
          <w:sz w:val="20"/>
          <w:szCs w:val="20"/>
          <w:lang w:val="en-US"/>
        </w:rPr>
        <w:t>17(6</w:t>
      </w:r>
      <w:proofErr w:type="gramStart"/>
      <w:r w:rsidRPr="00C720CE">
        <w:rPr>
          <w:rFonts w:ascii="Arial" w:hAnsi="Arial" w:cs="Arial"/>
          <w:color w:val="000000" w:themeColor="text1"/>
          <w:sz w:val="20"/>
          <w:szCs w:val="20"/>
          <w:lang w:val="en-US"/>
        </w:rPr>
        <w:t>):e</w:t>
      </w:r>
      <w:proofErr w:type="gramEnd"/>
      <w:r w:rsidRPr="00C720CE">
        <w:rPr>
          <w:rFonts w:ascii="Arial" w:hAnsi="Arial" w:cs="Arial"/>
          <w:color w:val="000000" w:themeColor="text1"/>
          <w:sz w:val="20"/>
          <w:szCs w:val="20"/>
          <w:lang w:val="en-US"/>
        </w:rPr>
        <w:t>0270048.</w:t>
      </w:r>
      <w:r w:rsidR="00EB5817" w:rsidRPr="00C720CE">
        <w:rPr>
          <w:rStyle w:val="apple-converted-space"/>
          <w:rFonts w:ascii="Arial" w:hAnsi="Arial" w:cs="Arial"/>
          <w:color w:val="212121"/>
          <w:sz w:val="20"/>
          <w:szCs w:val="20"/>
          <w:lang w:val="en-US"/>
        </w:rPr>
        <w:t> </w:t>
      </w:r>
      <w:r w:rsidR="00EB5817" w:rsidRPr="00C720CE">
        <w:rPr>
          <w:rFonts w:ascii="Arial" w:hAnsi="Arial" w:cs="Arial"/>
          <w:color w:val="000000" w:themeColor="text1"/>
          <w:sz w:val="20"/>
          <w:szCs w:val="20"/>
        </w:rPr>
        <w:t xml:space="preserve"> </w:t>
      </w:r>
      <w:r w:rsidR="00EB5817" w:rsidRPr="00C720CE">
        <w:rPr>
          <w:rStyle w:val="id-label"/>
          <w:rFonts w:ascii="Arial" w:hAnsi="Arial" w:cs="Arial"/>
          <w:color w:val="212121"/>
          <w:sz w:val="20"/>
          <w:szCs w:val="20"/>
        </w:rPr>
        <w:t>PMID:</w:t>
      </w:r>
      <w:r w:rsidR="00EB5817" w:rsidRPr="00C720CE">
        <w:rPr>
          <w:rStyle w:val="apple-converted-space"/>
          <w:rFonts w:ascii="Arial" w:hAnsi="Arial" w:cs="Arial"/>
          <w:color w:val="212121"/>
          <w:sz w:val="20"/>
          <w:szCs w:val="20"/>
        </w:rPr>
        <w:t> </w:t>
      </w:r>
      <w:r w:rsidR="00EB5817" w:rsidRPr="00C720CE">
        <w:rPr>
          <w:rStyle w:val="Strong"/>
          <w:rFonts w:ascii="Arial" w:hAnsi="Arial" w:cs="Arial"/>
          <w:b w:val="0"/>
          <w:bCs w:val="0"/>
          <w:color w:val="212121"/>
          <w:sz w:val="20"/>
          <w:szCs w:val="20"/>
        </w:rPr>
        <w:t>35709220</w:t>
      </w:r>
      <w:r w:rsidR="00EB5817" w:rsidRPr="00C720CE">
        <w:rPr>
          <w:rFonts w:ascii="Arial" w:hAnsi="Arial" w:cs="Arial"/>
          <w:b/>
          <w:color w:val="000000" w:themeColor="text1"/>
          <w:sz w:val="20"/>
          <w:szCs w:val="20"/>
        </w:rPr>
        <w:t xml:space="preserve">, </w:t>
      </w:r>
      <w:r w:rsidR="00EB5817" w:rsidRPr="00C720CE">
        <w:rPr>
          <w:rStyle w:val="id-label"/>
          <w:rFonts w:ascii="Arial" w:hAnsi="Arial" w:cs="Arial"/>
          <w:color w:val="212121"/>
          <w:sz w:val="20"/>
          <w:szCs w:val="20"/>
        </w:rPr>
        <w:t>PMCID:</w:t>
      </w:r>
      <w:r w:rsidR="00EB5817" w:rsidRPr="00C720CE">
        <w:rPr>
          <w:rStyle w:val="apple-converted-space"/>
          <w:rFonts w:ascii="Arial" w:hAnsi="Arial" w:cs="Arial"/>
          <w:color w:val="212121"/>
          <w:sz w:val="20"/>
          <w:szCs w:val="20"/>
        </w:rPr>
        <w:t> </w:t>
      </w:r>
      <w:hyperlink r:id="rId49" w:tgtFrame="_blank" w:history="1">
        <w:r w:rsidR="00EB5817" w:rsidRPr="00C720CE">
          <w:rPr>
            <w:rStyle w:val="Hyperlink"/>
            <w:rFonts w:ascii="Arial" w:hAnsi="Arial" w:cs="Arial"/>
            <w:color w:val="0071BC"/>
            <w:sz w:val="20"/>
            <w:szCs w:val="20"/>
          </w:rPr>
          <w:t>PMC9202938</w:t>
        </w:r>
      </w:hyperlink>
      <w:r w:rsidR="00EB5817" w:rsidRPr="00C720CE">
        <w:rPr>
          <w:rFonts w:ascii="Arial" w:hAnsi="Arial" w:cs="Arial"/>
          <w:b/>
          <w:color w:val="000000" w:themeColor="text1"/>
          <w:sz w:val="20"/>
          <w:szCs w:val="20"/>
        </w:rPr>
        <w:t xml:space="preserve">, </w:t>
      </w:r>
      <w:r w:rsidR="00EB5817" w:rsidRPr="00C720CE">
        <w:rPr>
          <w:rStyle w:val="id-label"/>
          <w:rFonts w:ascii="Arial" w:hAnsi="Arial" w:cs="Arial"/>
          <w:color w:val="212121"/>
          <w:sz w:val="20"/>
          <w:szCs w:val="20"/>
        </w:rPr>
        <w:t>DOI:</w:t>
      </w:r>
      <w:r w:rsidR="00EB5817" w:rsidRPr="00C720CE">
        <w:rPr>
          <w:rStyle w:val="apple-converted-space"/>
          <w:rFonts w:ascii="Arial" w:hAnsi="Arial" w:cs="Arial"/>
          <w:color w:val="212121"/>
          <w:sz w:val="20"/>
          <w:szCs w:val="20"/>
        </w:rPr>
        <w:t> </w:t>
      </w:r>
      <w:hyperlink r:id="rId50" w:tgtFrame="_blank" w:history="1">
        <w:r w:rsidR="00EB5817" w:rsidRPr="00C720CE">
          <w:rPr>
            <w:rStyle w:val="Hyperlink"/>
            <w:rFonts w:ascii="Arial" w:hAnsi="Arial" w:cs="Arial"/>
            <w:color w:val="0071BC"/>
            <w:sz w:val="20"/>
            <w:szCs w:val="20"/>
          </w:rPr>
          <w:t>10.1371/journal.pone.0270048</w:t>
        </w:r>
      </w:hyperlink>
    </w:p>
    <w:p w14:paraId="1F081715" w14:textId="7355F701" w:rsidR="00B01FCD" w:rsidRPr="00C431A5" w:rsidRDefault="00FF3423" w:rsidP="00C720CE">
      <w:pPr>
        <w:pStyle w:val="ListParagraph"/>
        <w:numPr>
          <w:ilvl w:val="0"/>
          <w:numId w:val="32"/>
        </w:numPr>
        <w:spacing w:before="100" w:beforeAutospacing="1" w:after="100" w:afterAutospacing="1"/>
        <w:rPr>
          <w:rStyle w:val="Hyperlink"/>
          <w:rFonts w:ascii="Arial" w:hAnsi="Arial" w:cs="Arial"/>
          <w:b/>
          <w:color w:val="000000" w:themeColor="text1"/>
          <w:sz w:val="20"/>
          <w:szCs w:val="20"/>
          <w:u w:val="none"/>
        </w:rPr>
      </w:pPr>
      <w:r w:rsidRPr="008328A0">
        <w:rPr>
          <w:rStyle w:val="text"/>
          <w:rFonts w:ascii="Arial" w:hAnsi="Arial" w:cs="Arial"/>
          <w:b/>
          <w:color w:val="000000" w:themeColor="text1"/>
          <w:sz w:val="20"/>
          <w:szCs w:val="20"/>
          <w:lang w:val="nl-BE"/>
        </w:rPr>
        <w:t>Soltani</w:t>
      </w:r>
      <w:r w:rsidRPr="008328A0">
        <w:rPr>
          <w:rStyle w:val="apple-converted-space"/>
          <w:rFonts w:ascii="Arial" w:hAnsi="Arial" w:cs="Arial"/>
          <w:b/>
          <w:color w:val="000000" w:themeColor="text1"/>
          <w:sz w:val="20"/>
          <w:szCs w:val="20"/>
          <w:lang w:val="nl-BE"/>
        </w:rPr>
        <w:t xml:space="preserve"> J</w:t>
      </w:r>
      <w:r w:rsidRPr="008328A0">
        <w:rPr>
          <w:rFonts w:ascii="Arial" w:hAnsi="Arial" w:cs="Arial"/>
          <w:b/>
          <w:color w:val="000000" w:themeColor="text1"/>
          <w:sz w:val="20"/>
          <w:szCs w:val="20"/>
          <w:lang w:val="nl-BE"/>
        </w:rPr>
        <w:t>,</w:t>
      </w:r>
      <w:r w:rsidRPr="008328A0">
        <w:rPr>
          <w:rStyle w:val="apple-converted-space"/>
          <w:rFonts w:ascii="Arial" w:hAnsi="Arial" w:cs="Arial"/>
          <w:b/>
          <w:color w:val="000000" w:themeColor="text1"/>
          <w:sz w:val="20"/>
          <w:szCs w:val="20"/>
          <w:lang w:val="nl-BE"/>
        </w:rPr>
        <w:t> </w:t>
      </w:r>
      <w:r w:rsidRPr="008328A0">
        <w:rPr>
          <w:rStyle w:val="text"/>
          <w:rFonts w:ascii="Arial" w:hAnsi="Arial" w:cs="Arial"/>
          <w:b/>
          <w:color w:val="000000" w:themeColor="text1"/>
          <w:sz w:val="20"/>
          <w:szCs w:val="20"/>
          <w:lang w:val="nl-BE"/>
        </w:rPr>
        <w:t>Behzadi</w:t>
      </w:r>
      <w:r w:rsidRPr="008328A0">
        <w:rPr>
          <w:rStyle w:val="apple-converted-space"/>
          <w:rFonts w:ascii="Arial" w:hAnsi="Arial" w:cs="Arial"/>
          <w:b/>
          <w:color w:val="000000" w:themeColor="text1"/>
          <w:sz w:val="20"/>
          <w:szCs w:val="20"/>
          <w:lang w:val="nl-BE"/>
        </w:rPr>
        <w:t xml:space="preserve"> S</w:t>
      </w:r>
      <w:r w:rsidRPr="008328A0">
        <w:rPr>
          <w:rFonts w:ascii="Arial" w:hAnsi="Arial" w:cs="Arial"/>
          <w:b/>
          <w:color w:val="000000" w:themeColor="text1"/>
          <w:sz w:val="20"/>
          <w:szCs w:val="20"/>
          <w:lang w:val="nl-BE"/>
        </w:rPr>
        <w:t>,</w:t>
      </w:r>
      <w:r w:rsidRPr="008328A0">
        <w:rPr>
          <w:rStyle w:val="apple-converted-space"/>
          <w:rFonts w:ascii="Arial" w:hAnsi="Arial" w:cs="Arial"/>
          <w:b/>
          <w:color w:val="000000" w:themeColor="text1"/>
          <w:sz w:val="20"/>
          <w:szCs w:val="20"/>
          <w:lang w:val="nl-BE"/>
        </w:rPr>
        <w:t> </w:t>
      </w:r>
      <w:r w:rsidRPr="008328A0">
        <w:rPr>
          <w:rStyle w:val="text"/>
          <w:rFonts w:ascii="Arial" w:hAnsi="Arial" w:cs="Arial"/>
          <w:b/>
          <w:color w:val="000000" w:themeColor="text1"/>
          <w:sz w:val="20"/>
          <w:szCs w:val="20"/>
          <w:lang w:val="nl-BE"/>
        </w:rPr>
        <w:t>Pauwels</w:t>
      </w:r>
      <w:r w:rsidRPr="008328A0">
        <w:rPr>
          <w:rStyle w:val="apple-converted-space"/>
          <w:rFonts w:ascii="Arial" w:hAnsi="Arial" w:cs="Arial"/>
          <w:b/>
          <w:color w:val="000000" w:themeColor="text1"/>
          <w:sz w:val="20"/>
          <w:szCs w:val="20"/>
          <w:lang w:val="nl-BE"/>
        </w:rPr>
        <w:t xml:space="preserve"> I</w:t>
      </w:r>
      <w:r w:rsidRPr="008328A0">
        <w:rPr>
          <w:rFonts w:ascii="Arial" w:hAnsi="Arial" w:cs="Arial"/>
          <w:b/>
          <w:color w:val="000000" w:themeColor="text1"/>
          <w:sz w:val="20"/>
          <w:szCs w:val="20"/>
          <w:lang w:val="nl-BE"/>
        </w:rPr>
        <w:t>,</w:t>
      </w:r>
      <w:r w:rsidRPr="008328A0">
        <w:rPr>
          <w:rStyle w:val="apple-converted-space"/>
          <w:rFonts w:ascii="Arial" w:hAnsi="Arial" w:cs="Arial"/>
          <w:b/>
          <w:color w:val="000000" w:themeColor="text1"/>
          <w:sz w:val="20"/>
          <w:szCs w:val="20"/>
          <w:lang w:val="nl-BE"/>
        </w:rPr>
        <w:t> </w:t>
      </w:r>
      <w:r w:rsidRPr="008328A0">
        <w:rPr>
          <w:rStyle w:val="text"/>
          <w:rFonts w:ascii="Arial" w:hAnsi="Arial" w:cs="Arial"/>
          <w:b/>
          <w:color w:val="000000" w:themeColor="text1"/>
          <w:sz w:val="20"/>
          <w:szCs w:val="20"/>
          <w:lang w:val="nl-BE"/>
        </w:rPr>
        <w:t>Goossens</w:t>
      </w:r>
      <w:r w:rsidRPr="008328A0">
        <w:rPr>
          <w:rStyle w:val="apple-converted-space"/>
          <w:rFonts w:ascii="Arial" w:hAnsi="Arial" w:cs="Arial"/>
          <w:b/>
          <w:color w:val="000000" w:themeColor="text1"/>
          <w:sz w:val="20"/>
          <w:szCs w:val="20"/>
          <w:lang w:val="nl-BE"/>
        </w:rPr>
        <w:t xml:space="preserve"> H</w:t>
      </w:r>
      <w:r w:rsidRPr="008328A0">
        <w:rPr>
          <w:rFonts w:ascii="Arial" w:hAnsi="Arial" w:cs="Arial"/>
          <w:b/>
          <w:color w:val="000000" w:themeColor="text1"/>
          <w:sz w:val="20"/>
          <w:szCs w:val="20"/>
          <w:lang w:val="nl-BE"/>
        </w:rPr>
        <w:t>,</w:t>
      </w:r>
      <w:r w:rsidRPr="008328A0">
        <w:rPr>
          <w:rStyle w:val="apple-converted-space"/>
          <w:rFonts w:ascii="Arial" w:hAnsi="Arial" w:cs="Arial"/>
          <w:b/>
          <w:color w:val="000000" w:themeColor="text1"/>
          <w:sz w:val="20"/>
          <w:szCs w:val="20"/>
          <w:lang w:val="nl-BE"/>
        </w:rPr>
        <w:t xml:space="preserve"> </w:t>
      </w:r>
      <w:r w:rsidRPr="008328A0">
        <w:rPr>
          <w:rStyle w:val="text"/>
          <w:rFonts w:ascii="Arial" w:hAnsi="Arial" w:cs="Arial"/>
          <w:b/>
          <w:color w:val="000000" w:themeColor="text1"/>
          <w:sz w:val="20"/>
          <w:szCs w:val="20"/>
          <w:lang w:val="nl-BE"/>
        </w:rPr>
        <w:t>Versporten A</w:t>
      </w:r>
      <w:r w:rsidR="00C720CE" w:rsidRPr="008328A0">
        <w:rPr>
          <w:rStyle w:val="text"/>
          <w:rFonts w:ascii="Arial" w:hAnsi="Arial" w:cs="Arial"/>
          <w:b/>
          <w:color w:val="000000" w:themeColor="text1"/>
          <w:sz w:val="20"/>
          <w:szCs w:val="20"/>
          <w:lang w:val="nl-BE"/>
        </w:rPr>
        <w:t xml:space="preserve"> (2024)</w:t>
      </w:r>
      <w:r w:rsidRPr="008328A0">
        <w:rPr>
          <w:rStyle w:val="apple-converted-space"/>
          <w:rFonts w:ascii="Arial" w:hAnsi="Arial" w:cs="Arial"/>
          <w:b/>
          <w:color w:val="000000" w:themeColor="text1"/>
          <w:sz w:val="20"/>
          <w:szCs w:val="20"/>
          <w:lang w:val="nl-BE"/>
        </w:rPr>
        <w:t>.</w:t>
      </w:r>
      <w:r w:rsidRPr="008328A0">
        <w:rPr>
          <w:rStyle w:val="apple-converted-space"/>
          <w:rFonts w:ascii="Arial" w:hAnsi="Arial" w:cs="Arial"/>
          <w:color w:val="000000" w:themeColor="text1"/>
          <w:sz w:val="20"/>
          <w:szCs w:val="20"/>
          <w:lang w:val="nl-BE"/>
        </w:rPr>
        <w:t xml:space="preserve"> </w:t>
      </w:r>
      <w:r w:rsidRPr="00A04636">
        <w:rPr>
          <w:rStyle w:val="title-text"/>
          <w:rFonts w:ascii="Arial" w:hAnsi="Arial" w:cs="Arial"/>
          <w:color w:val="000000" w:themeColor="text1"/>
          <w:sz w:val="20"/>
          <w:szCs w:val="20"/>
          <w:lang w:val="en-US"/>
        </w:rPr>
        <w:t xml:space="preserve">Global-PPS targets for antimicrobial </w:t>
      </w:r>
      <w:r w:rsidRPr="00A04636">
        <w:rPr>
          <w:rStyle w:val="title-text"/>
          <w:rFonts w:ascii="Arial" w:hAnsi="Arial" w:cs="Arial"/>
          <w:color w:val="000000" w:themeColor="text1"/>
          <w:sz w:val="20"/>
          <w:szCs w:val="20"/>
          <w:lang w:val="en-US"/>
        </w:rPr>
        <w:lastRenderedPageBreak/>
        <w:t xml:space="preserve">stewardship in </w:t>
      </w:r>
      <w:proofErr w:type="spellStart"/>
      <w:r w:rsidRPr="00A04636">
        <w:rPr>
          <w:rStyle w:val="title-text"/>
          <w:rFonts w:ascii="Arial" w:hAnsi="Arial" w:cs="Arial"/>
          <w:color w:val="000000" w:themeColor="text1"/>
          <w:sz w:val="20"/>
          <w:szCs w:val="20"/>
          <w:lang w:val="en-US"/>
        </w:rPr>
        <w:t>paediatric</w:t>
      </w:r>
      <w:proofErr w:type="spellEnd"/>
      <w:r w:rsidRPr="00A04636">
        <w:rPr>
          <w:rStyle w:val="title-text"/>
          <w:rFonts w:ascii="Arial" w:hAnsi="Arial" w:cs="Arial"/>
          <w:color w:val="000000" w:themeColor="text1"/>
          <w:sz w:val="20"/>
          <w:szCs w:val="20"/>
          <w:lang w:val="en-US"/>
        </w:rPr>
        <w:t xml:space="preserve"> patients at hospitals in </w:t>
      </w:r>
      <w:proofErr w:type="spellStart"/>
      <w:r w:rsidRPr="00A04636">
        <w:rPr>
          <w:rStyle w:val="title-text"/>
          <w:rFonts w:ascii="Arial" w:hAnsi="Arial" w:cs="Arial"/>
          <w:color w:val="000000" w:themeColor="text1"/>
          <w:sz w:val="20"/>
          <w:szCs w:val="20"/>
          <w:lang w:val="en-US"/>
        </w:rPr>
        <w:t>Sanandaj</w:t>
      </w:r>
      <w:proofErr w:type="spellEnd"/>
      <w:r w:rsidRPr="00A04636">
        <w:rPr>
          <w:rStyle w:val="title-text"/>
          <w:rFonts w:ascii="Arial" w:hAnsi="Arial" w:cs="Arial"/>
          <w:color w:val="000000" w:themeColor="text1"/>
          <w:sz w:val="20"/>
          <w:szCs w:val="20"/>
          <w:lang w:val="en-US"/>
        </w:rPr>
        <w:t xml:space="preserve">, Western Iran, compared with Southeast Asian and European hospitals. </w:t>
      </w:r>
      <w:r w:rsidRPr="00C720CE">
        <w:rPr>
          <w:rStyle w:val="title-text"/>
          <w:rFonts w:ascii="Arial" w:hAnsi="Arial" w:cs="Arial"/>
          <w:color w:val="000000" w:themeColor="text1"/>
          <w:sz w:val="20"/>
          <w:szCs w:val="20"/>
        </w:rPr>
        <w:t>J</w:t>
      </w:r>
      <w:r w:rsidR="00C720CE" w:rsidRPr="00C720CE">
        <w:rPr>
          <w:rStyle w:val="title-text"/>
          <w:rFonts w:ascii="Arial" w:hAnsi="Arial" w:cs="Arial"/>
          <w:color w:val="000000" w:themeColor="text1"/>
          <w:sz w:val="20"/>
          <w:szCs w:val="20"/>
        </w:rPr>
        <w:t>ournal of</w:t>
      </w:r>
      <w:r w:rsidRPr="00C720CE">
        <w:rPr>
          <w:rStyle w:val="title-text"/>
          <w:rFonts w:ascii="Arial" w:hAnsi="Arial" w:cs="Arial"/>
          <w:color w:val="000000" w:themeColor="text1"/>
          <w:sz w:val="20"/>
          <w:szCs w:val="20"/>
        </w:rPr>
        <w:t xml:space="preserve"> Global </w:t>
      </w:r>
      <w:proofErr w:type="spellStart"/>
      <w:r w:rsidRPr="00C720CE">
        <w:rPr>
          <w:rStyle w:val="title-text"/>
          <w:rFonts w:ascii="Arial" w:hAnsi="Arial" w:cs="Arial"/>
          <w:color w:val="000000" w:themeColor="text1"/>
          <w:sz w:val="20"/>
          <w:szCs w:val="20"/>
        </w:rPr>
        <w:t>Antimicrob</w:t>
      </w:r>
      <w:r w:rsidR="00C720CE" w:rsidRPr="00C720CE">
        <w:rPr>
          <w:rStyle w:val="title-text"/>
          <w:rFonts w:ascii="Arial" w:hAnsi="Arial" w:cs="Arial"/>
          <w:color w:val="000000" w:themeColor="text1"/>
          <w:sz w:val="20"/>
          <w:szCs w:val="20"/>
        </w:rPr>
        <w:t>ial</w:t>
      </w:r>
      <w:proofErr w:type="spellEnd"/>
      <w:r w:rsidRPr="00C720CE">
        <w:rPr>
          <w:rStyle w:val="title-text"/>
          <w:rFonts w:ascii="Arial" w:hAnsi="Arial" w:cs="Arial"/>
          <w:color w:val="000000" w:themeColor="text1"/>
          <w:sz w:val="20"/>
          <w:szCs w:val="20"/>
        </w:rPr>
        <w:t xml:space="preserve"> Resist</w:t>
      </w:r>
      <w:r w:rsidR="00C720CE" w:rsidRPr="00C720CE">
        <w:rPr>
          <w:rStyle w:val="title-text"/>
          <w:rFonts w:ascii="Arial" w:hAnsi="Arial" w:cs="Arial"/>
          <w:color w:val="000000" w:themeColor="text1"/>
          <w:sz w:val="20"/>
          <w:szCs w:val="20"/>
        </w:rPr>
        <w:t>ance</w:t>
      </w:r>
      <w:r w:rsidR="005E644B">
        <w:rPr>
          <w:rStyle w:val="title-text"/>
          <w:rFonts w:ascii="Arial" w:hAnsi="Arial" w:cs="Arial"/>
          <w:color w:val="000000" w:themeColor="text1"/>
          <w:sz w:val="20"/>
          <w:szCs w:val="20"/>
        </w:rPr>
        <w:t xml:space="preserve">, </w:t>
      </w:r>
      <w:r w:rsidRPr="00C720CE">
        <w:rPr>
          <w:rStyle w:val="title-text"/>
          <w:rFonts w:ascii="Arial" w:hAnsi="Arial" w:cs="Arial"/>
          <w:color w:val="000000" w:themeColor="text1"/>
          <w:sz w:val="20"/>
          <w:szCs w:val="20"/>
        </w:rPr>
        <w:t>36</w:t>
      </w:r>
      <w:r w:rsidR="00C720CE" w:rsidRPr="00C720CE">
        <w:rPr>
          <w:rStyle w:val="title-text"/>
          <w:rFonts w:ascii="Arial" w:hAnsi="Arial" w:cs="Arial"/>
          <w:color w:val="000000" w:themeColor="text1"/>
          <w:sz w:val="20"/>
          <w:szCs w:val="20"/>
        </w:rPr>
        <w:t xml:space="preserve">, </w:t>
      </w:r>
      <w:r w:rsidRPr="00C720CE">
        <w:rPr>
          <w:rStyle w:val="title-text"/>
          <w:rFonts w:ascii="Arial" w:hAnsi="Arial" w:cs="Arial"/>
          <w:color w:val="000000" w:themeColor="text1"/>
          <w:sz w:val="20"/>
          <w:szCs w:val="20"/>
        </w:rPr>
        <w:t>473-481.</w:t>
      </w:r>
      <w:r w:rsidR="00C720CE" w:rsidRPr="00C720CE">
        <w:rPr>
          <w:rStyle w:val="title-text"/>
          <w:rFonts w:ascii="Arial" w:hAnsi="Arial" w:cs="Arial"/>
          <w:color w:val="000000" w:themeColor="text1"/>
          <w:sz w:val="20"/>
          <w:szCs w:val="20"/>
        </w:rPr>
        <w:t xml:space="preserve"> </w:t>
      </w:r>
      <w:proofErr w:type="gramStart"/>
      <w:r w:rsidR="00EB5817" w:rsidRPr="00C720CE">
        <w:rPr>
          <w:rStyle w:val="id-label"/>
          <w:rFonts w:ascii="Arial" w:hAnsi="Arial" w:cs="Arial"/>
          <w:color w:val="212121"/>
          <w:sz w:val="20"/>
          <w:szCs w:val="20"/>
        </w:rPr>
        <w:t>PMID:</w:t>
      </w:r>
      <w:proofErr w:type="gramEnd"/>
      <w:r w:rsidR="00EB5817" w:rsidRPr="00C720CE">
        <w:rPr>
          <w:rStyle w:val="apple-converted-space"/>
          <w:rFonts w:ascii="Arial" w:hAnsi="Arial" w:cs="Arial"/>
          <w:color w:val="212121"/>
          <w:sz w:val="20"/>
          <w:szCs w:val="20"/>
        </w:rPr>
        <w:t> </w:t>
      </w:r>
      <w:r w:rsidR="00EB5817" w:rsidRPr="00C720CE">
        <w:rPr>
          <w:rStyle w:val="Strong"/>
          <w:rFonts w:ascii="Arial" w:hAnsi="Arial" w:cs="Arial"/>
          <w:b w:val="0"/>
          <w:bCs w:val="0"/>
          <w:color w:val="212121"/>
          <w:sz w:val="20"/>
          <w:szCs w:val="20"/>
        </w:rPr>
        <w:t>38280720</w:t>
      </w:r>
      <w:r w:rsidR="00C720CE" w:rsidRPr="00C720CE">
        <w:rPr>
          <w:rStyle w:val="Strong"/>
          <w:rFonts w:ascii="Arial" w:hAnsi="Arial" w:cs="Arial"/>
          <w:b w:val="0"/>
          <w:bCs w:val="0"/>
          <w:color w:val="212121"/>
          <w:sz w:val="20"/>
          <w:szCs w:val="20"/>
        </w:rPr>
        <w:t xml:space="preserve">, </w:t>
      </w:r>
      <w:r w:rsidR="00EB5817" w:rsidRPr="00C720CE">
        <w:rPr>
          <w:rStyle w:val="id-label"/>
          <w:rFonts w:ascii="Arial" w:hAnsi="Arial" w:cs="Arial"/>
          <w:color w:val="212121"/>
          <w:sz w:val="20"/>
          <w:szCs w:val="20"/>
        </w:rPr>
        <w:t>DOI:</w:t>
      </w:r>
      <w:r w:rsidR="00EB5817" w:rsidRPr="00C720CE">
        <w:rPr>
          <w:rStyle w:val="apple-converted-space"/>
          <w:rFonts w:ascii="Arial" w:hAnsi="Arial" w:cs="Arial"/>
          <w:color w:val="212121"/>
          <w:sz w:val="20"/>
          <w:szCs w:val="20"/>
        </w:rPr>
        <w:t> </w:t>
      </w:r>
      <w:hyperlink r:id="rId51" w:tgtFrame="_blank" w:history="1">
        <w:r w:rsidR="00EB5817" w:rsidRPr="00C720CE">
          <w:rPr>
            <w:rStyle w:val="Hyperlink"/>
            <w:rFonts w:ascii="Arial" w:hAnsi="Arial" w:cs="Arial"/>
            <w:color w:val="0071BC"/>
            <w:sz w:val="20"/>
            <w:szCs w:val="20"/>
          </w:rPr>
          <w:t>10.1016/j.jgar.2024.01.011</w:t>
        </w:r>
      </w:hyperlink>
    </w:p>
    <w:p w14:paraId="71404103" w14:textId="439AF645" w:rsidR="00EA1AE0" w:rsidRPr="005E644B" w:rsidRDefault="00EA1AE0" w:rsidP="00C431A5">
      <w:pPr>
        <w:pStyle w:val="ListParagraph"/>
        <w:numPr>
          <w:ilvl w:val="0"/>
          <w:numId w:val="32"/>
        </w:numPr>
        <w:spacing w:before="100" w:beforeAutospacing="1" w:after="100" w:afterAutospacing="1"/>
        <w:rPr>
          <w:rFonts w:ascii="Arial" w:hAnsi="Arial" w:cs="Arial"/>
          <w:b/>
          <w:i/>
          <w:color w:val="000000" w:themeColor="text1"/>
          <w:sz w:val="20"/>
          <w:szCs w:val="20"/>
        </w:rPr>
      </w:pPr>
      <w:r w:rsidRPr="00C431A5">
        <w:rPr>
          <w:b/>
          <w:lang w:val="en-US"/>
        </w:rPr>
        <w:t>Ministry of Health and Social Action, Senegal 2017</w:t>
      </w:r>
      <w:r w:rsidRPr="00C431A5">
        <w:rPr>
          <w:lang w:val="en-US"/>
        </w:rPr>
        <w:t xml:space="preserve">. </w:t>
      </w:r>
      <w:r w:rsidRPr="005E644B">
        <w:rPr>
          <w:rStyle w:val="Emphasis"/>
          <w:i w:val="0"/>
          <w:lang w:val="en-US"/>
        </w:rPr>
        <w:t>National Action Plan on Antimicrobial Resistance 2017-2025.</w:t>
      </w:r>
      <w:r w:rsidRPr="005E644B">
        <w:rPr>
          <w:i/>
          <w:lang w:val="en-US"/>
        </w:rPr>
        <w:t xml:space="preserve"> </w:t>
      </w:r>
    </w:p>
    <w:p w14:paraId="1DE4038C" w14:textId="77777777" w:rsidR="00EA1AE0" w:rsidRPr="00EA1AE0" w:rsidRDefault="00EA1AE0" w:rsidP="00EA1AE0">
      <w:pPr>
        <w:pStyle w:val="ListParagraph"/>
        <w:spacing w:before="100" w:beforeAutospacing="1" w:after="100" w:afterAutospacing="1"/>
        <w:ind w:left="720" w:firstLine="0"/>
        <w:rPr>
          <w:rStyle w:val="Hyperlink"/>
          <w:rFonts w:ascii="Arial" w:hAnsi="Arial" w:cs="Arial"/>
          <w:b/>
          <w:color w:val="000000" w:themeColor="text1"/>
          <w:sz w:val="20"/>
          <w:szCs w:val="20"/>
          <w:u w:val="none"/>
          <w:lang w:val="en-US"/>
        </w:rPr>
      </w:pPr>
    </w:p>
    <w:p w14:paraId="71E56AC1" w14:textId="62477A66" w:rsidR="004D69B1" w:rsidRPr="00EA1AE0" w:rsidRDefault="004D69B1" w:rsidP="004D69B1">
      <w:pPr>
        <w:spacing w:before="100" w:beforeAutospacing="1" w:after="100" w:afterAutospacing="1"/>
        <w:rPr>
          <w:rFonts w:ascii="Arial" w:hAnsi="Arial" w:cs="Arial"/>
          <w:sz w:val="20"/>
          <w:szCs w:val="20"/>
          <w:lang w:val="en-US"/>
        </w:rPr>
      </w:pPr>
    </w:p>
    <w:p w14:paraId="6B2F7AF6" w14:textId="178D1C64" w:rsidR="004D69B1" w:rsidRPr="00EA1AE0" w:rsidRDefault="004D69B1" w:rsidP="004D69B1">
      <w:pPr>
        <w:spacing w:before="100" w:beforeAutospacing="1" w:after="100" w:afterAutospacing="1"/>
        <w:rPr>
          <w:rFonts w:ascii="Arial" w:hAnsi="Arial" w:cs="Arial"/>
          <w:b/>
          <w:color w:val="000000" w:themeColor="text1"/>
          <w:sz w:val="20"/>
          <w:szCs w:val="20"/>
          <w:lang w:val="en-US"/>
        </w:rPr>
      </w:pPr>
    </w:p>
    <w:p w14:paraId="7D928DE7" w14:textId="5782DC73" w:rsidR="00795829" w:rsidRPr="000F6F01" w:rsidRDefault="00795829" w:rsidP="00795829">
      <w:pPr>
        <w:rPr>
          <w:rFonts w:ascii="Helvetica Neue" w:hAnsi="Helvetica Neue"/>
          <w:color w:val="1B1B1B"/>
          <w:sz w:val="25"/>
          <w:szCs w:val="25"/>
          <w:lang w:val="en-US"/>
        </w:rPr>
      </w:pPr>
    </w:p>
    <w:p w14:paraId="6B0BF863" w14:textId="7E1054C8" w:rsidR="00795829" w:rsidRPr="00795829" w:rsidRDefault="00795829" w:rsidP="00795829">
      <w:pPr>
        <w:pStyle w:val="Heading1"/>
        <w:spacing w:before="161" w:after="161" w:line="450" w:lineRule="atLeast"/>
        <w:rPr>
          <w:rFonts w:ascii="Helvetica Neue" w:hAnsi="Helvetica Neue"/>
          <w:color w:val="1B1B1B"/>
          <w:sz w:val="36"/>
          <w:szCs w:val="36"/>
          <w:lang w:val="en-US"/>
        </w:rPr>
      </w:pPr>
    </w:p>
    <w:p w14:paraId="59BCE4A3" w14:textId="48021CC7" w:rsidR="00A10E93" w:rsidRPr="00795829" w:rsidRDefault="00A10E93" w:rsidP="00A10E93">
      <w:pPr>
        <w:rPr>
          <w:lang w:val="en-US"/>
        </w:rPr>
      </w:pPr>
    </w:p>
    <w:p w14:paraId="1B86E6E5" w14:textId="2154AC5F" w:rsidR="004D69B1" w:rsidRPr="00795829" w:rsidRDefault="004D69B1" w:rsidP="004D69B1">
      <w:pPr>
        <w:spacing w:before="100" w:beforeAutospacing="1" w:after="100" w:afterAutospacing="1"/>
        <w:rPr>
          <w:rFonts w:ascii="Arial" w:hAnsi="Arial" w:cs="Arial"/>
          <w:b/>
          <w:color w:val="000000" w:themeColor="text1"/>
          <w:sz w:val="20"/>
          <w:szCs w:val="20"/>
          <w:lang w:val="en-US"/>
        </w:rPr>
      </w:pPr>
    </w:p>
    <w:p w14:paraId="48656F6F" w14:textId="77777777" w:rsidR="004D69B1" w:rsidRPr="00795829" w:rsidRDefault="004D69B1" w:rsidP="004D69B1">
      <w:pPr>
        <w:spacing w:before="100" w:beforeAutospacing="1" w:after="100" w:afterAutospacing="1"/>
        <w:rPr>
          <w:rFonts w:ascii="Arial" w:hAnsi="Arial" w:cs="Arial"/>
          <w:b/>
          <w:color w:val="000000" w:themeColor="text1"/>
          <w:sz w:val="20"/>
          <w:szCs w:val="20"/>
          <w:lang w:val="en-US"/>
        </w:rPr>
      </w:pPr>
    </w:p>
    <w:sectPr w:rsidR="004D69B1" w:rsidRPr="00795829" w:rsidSect="00A56639">
      <w:headerReference w:type="even" r:id="rId52"/>
      <w:headerReference w:type="default" r:id="rId53"/>
      <w:footerReference w:type="default" r:id="rId54"/>
      <w:headerReference w:type="first" r:id="rId5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3F5CA" w14:textId="77777777" w:rsidR="00BB4C88" w:rsidRDefault="00BB4C88" w:rsidP="00C37E61">
      <w:r>
        <w:separator/>
      </w:r>
    </w:p>
  </w:endnote>
  <w:endnote w:type="continuationSeparator" w:id="0">
    <w:p w14:paraId="2043822F" w14:textId="77777777" w:rsidR="00BB4C88" w:rsidRDefault="00BB4C8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1758" w14:textId="77777777" w:rsidR="00EB5817" w:rsidRDefault="00EB5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CC532" w14:textId="10C2EEBB" w:rsidR="00EB5817" w:rsidRPr="00F11F0F" w:rsidRDefault="00EB5817" w:rsidP="00F11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91A7C" w14:textId="148FE12E" w:rsidR="00EB5817" w:rsidRPr="00A56639" w:rsidRDefault="00EB5817" w:rsidP="00A56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88E7" w14:textId="77777777" w:rsidR="00EB5817" w:rsidRPr="00C37E61" w:rsidRDefault="00EB581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3DF99" w14:textId="77777777" w:rsidR="00BB4C88" w:rsidRDefault="00BB4C88" w:rsidP="00C37E61">
      <w:r>
        <w:separator/>
      </w:r>
    </w:p>
  </w:footnote>
  <w:footnote w:type="continuationSeparator" w:id="0">
    <w:p w14:paraId="61099F06" w14:textId="77777777" w:rsidR="00BB4C88" w:rsidRDefault="00BB4C8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912E" w14:textId="5F764AEF" w:rsidR="00EB5817" w:rsidRDefault="00BB4C88">
    <w:pPr>
      <w:pStyle w:val="Header"/>
    </w:pPr>
    <w:r>
      <w:rPr>
        <w:noProof/>
      </w:rPr>
      <w:pict w14:anchorId="00873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87219" o:spid="_x0000_s2054" type="#_x0000_t136" alt="" style="position:absolute;margin-left:0;margin-top:0;width:684.1pt;height:77.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1ECE9" w14:textId="4517E9E8" w:rsidR="00EB5817" w:rsidRDefault="00BB4C88">
    <w:pPr>
      <w:pStyle w:val="Header"/>
    </w:pPr>
    <w:r>
      <w:rPr>
        <w:noProof/>
      </w:rPr>
      <w:pict w14:anchorId="563ED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87220" o:spid="_x0000_s2053" type="#_x0000_t136" alt="" style="position:absolute;margin-left:0;margin-top:0;width:684.1pt;height:77.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FA27" w14:textId="4CB87C84" w:rsidR="00EB5817" w:rsidRPr="00296529" w:rsidRDefault="00BB4C88" w:rsidP="00296529">
    <w:pPr>
      <w:ind w:left="2160"/>
      <w:jc w:val="center"/>
      <w:rPr>
        <w:rFonts w:eastAsia="Calibri"/>
        <w:i/>
        <w:sz w:val="18"/>
        <w:szCs w:val="22"/>
      </w:rPr>
    </w:pPr>
    <w:r>
      <w:rPr>
        <w:noProof/>
      </w:rPr>
      <w:pict w14:anchorId="227DB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87218" o:spid="_x0000_s2052" type="#_x0000_t136" alt="" style="position:absolute;left:0;text-align:left;margin-left:0;margin-top:0;width:684.1pt;height:77.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p w14:paraId="31E36A62" w14:textId="77777777" w:rsidR="00EB5817" w:rsidRPr="00296529" w:rsidRDefault="00EB5817" w:rsidP="00296529">
    <w:pPr>
      <w:ind w:left="4320"/>
      <w:rPr>
        <w:rFonts w:eastAsia="Calibri"/>
        <w:i/>
        <w:sz w:val="18"/>
        <w:szCs w:val="22"/>
      </w:rPr>
    </w:pPr>
    <w:r>
      <w:rPr>
        <w:rFonts w:eastAsia="Calibri"/>
        <w:i/>
        <w:sz w:val="18"/>
        <w:szCs w:val="22"/>
      </w:rPr>
      <w:t>.</w:t>
    </w:r>
    <w:r w:rsidRPr="00296529">
      <w:rPr>
        <w:rFonts w:eastAsia="Calibri"/>
        <w:i/>
        <w:sz w:val="18"/>
        <w:szCs w:val="22"/>
      </w:rPr>
      <w:t xml:space="preserve">     </w:t>
    </w:r>
  </w:p>
  <w:p w14:paraId="7C74FEA0" w14:textId="77777777" w:rsidR="00EB5817" w:rsidRPr="00296529" w:rsidRDefault="00EB5817" w:rsidP="00296529">
    <w:pPr>
      <w:jc w:val="center"/>
      <w:rPr>
        <w:rFonts w:eastAsia="Calibri"/>
        <w:i/>
        <w:sz w:val="18"/>
        <w:szCs w:val="22"/>
      </w:rPr>
    </w:pPr>
    <w:r>
      <w:rPr>
        <w:rFonts w:eastAsia="Calibri"/>
        <w:i/>
        <w:sz w:val="18"/>
        <w:szCs w:val="22"/>
      </w:rPr>
      <w:t>.</w:t>
    </w:r>
  </w:p>
  <w:p w14:paraId="2F5935D7" w14:textId="77777777" w:rsidR="00EB5817" w:rsidRPr="00296529" w:rsidRDefault="00EB5817" w:rsidP="00296529">
    <w:pPr>
      <w:spacing w:after="200"/>
      <w:jc w:val="center"/>
      <w:rPr>
        <w:rFonts w:eastAsia="Calibri"/>
        <w:b/>
        <w:i/>
        <w:sz w:val="32"/>
        <w:szCs w:val="22"/>
      </w:rPr>
    </w:pPr>
    <w:r w:rsidRPr="00296529">
      <w:rPr>
        <w:rFonts w:eastAsia="Calibri"/>
        <w:b/>
        <w:i/>
        <w:sz w:val="32"/>
        <w:szCs w:val="22"/>
      </w:rPr>
      <w:t xml:space="preserve">              </w:t>
    </w:r>
    <w:r>
      <w:rPr>
        <w:rFonts w:eastAsia="Calibri"/>
        <w:b/>
        <w:i/>
        <w:sz w:val="32"/>
        <w:szCs w:val="22"/>
      </w:rPr>
      <w:t>.</w:t>
    </w:r>
    <w:r w:rsidRPr="00296529">
      <w:rPr>
        <w:rFonts w:eastAsia="Calibri"/>
        <w:b/>
        <w:i/>
        <w:sz w:val="32"/>
        <w:szCs w:val="22"/>
      </w:rPr>
      <w:t xml:space="preserve"> </w:t>
    </w:r>
  </w:p>
  <w:p w14:paraId="0C733A5F" w14:textId="77777777" w:rsidR="00EB5817" w:rsidRDefault="00EB5817" w:rsidP="00296529">
    <w:pPr>
      <w:jc w:val="center"/>
      <w:rPr>
        <w:rFonts w:eastAsia="Calibri"/>
        <w:i/>
        <w:sz w:val="18"/>
        <w:szCs w:val="22"/>
      </w:rPr>
    </w:pPr>
    <w:r w:rsidRPr="00296529">
      <w:rPr>
        <w:rFonts w:eastAsia="Calibri"/>
        <w:i/>
        <w:sz w:val="18"/>
        <w:szCs w:val="22"/>
      </w:rPr>
      <w:t xml:space="preserve">                     </w:t>
    </w:r>
  </w:p>
  <w:p w14:paraId="3B930A01" w14:textId="77777777" w:rsidR="00EB5817" w:rsidRDefault="00EB5817" w:rsidP="00296529">
    <w:pPr>
      <w:tabs>
        <w:tab w:val="left" w:pos="2145"/>
      </w:tabs>
      <w:rPr>
        <w:rFonts w:eastAsia="Calibri"/>
        <w:i/>
        <w:sz w:val="18"/>
        <w:szCs w:val="22"/>
      </w:rPr>
    </w:pPr>
    <w:r>
      <w:rPr>
        <w:rFonts w:eastAsia="Calibri"/>
        <w:i/>
        <w:sz w:val="18"/>
        <w:szCs w:val="22"/>
      </w:rPr>
      <w:tab/>
      <w:t>.</w:t>
    </w:r>
  </w:p>
  <w:p w14:paraId="12F3AABF" w14:textId="77777777" w:rsidR="00EB5817" w:rsidRDefault="00EB581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6FB95" w14:textId="483CBEC7" w:rsidR="00A56639" w:rsidRDefault="00BB4C88">
    <w:pPr>
      <w:pStyle w:val="Header"/>
    </w:pPr>
    <w:r>
      <w:rPr>
        <w:noProof/>
      </w:rPr>
      <w:pict w14:anchorId="61C11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87222" o:spid="_x0000_s2051" type="#_x0000_t136" alt="" style="position:absolute;margin-left:0;margin-top:0;width:684.1pt;height:77.1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8BC0" w14:textId="69559DB4" w:rsidR="00A56639" w:rsidRDefault="00BB4C88">
    <w:pPr>
      <w:pStyle w:val="Header"/>
    </w:pPr>
    <w:r>
      <w:rPr>
        <w:noProof/>
      </w:rPr>
      <w:pict w14:anchorId="12A1E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87223" o:spid="_x0000_s2050" type="#_x0000_t136" alt="" style="position:absolute;margin-left:0;margin-top:0;width:684.1pt;height:77.1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EB50C" w14:textId="30997489" w:rsidR="00A56639" w:rsidRDefault="00BB4C88">
    <w:pPr>
      <w:pStyle w:val="Header"/>
    </w:pPr>
    <w:r>
      <w:rPr>
        <w:noProof/>
      </w:rPr>
      <w:pict w14:anchorId="643DC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87221" o:spid="_x0000_s2049" type="#_x0000_t136" alt="" style="position:absolute;margin-left:0;margin-top:0;width:684.1pt;height:77.1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74C7E"/>
    <w:multiLevelType w:val="multilevel"/>
    <w:tmpl w:val="80C4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DC1791"/>
    <w:multiLevelType w:val="multilevel"/>
    <w:tmpl w:val="99BC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58300A"/>
    <w:multiLevelType w:val="multilevel"/>
    <w:tmpl w:val="4402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4773E6"/>
    <w:multiLevelType w:val="multilevel"/>
    <w:tmpl w:val="235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53551"/>
    <w:multiLevelType w:val="multilevel"/>
    <w:tmpl w:val="67967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DCE1170"/>
    <w:multiLevelType w:val="multilevel"/>
    <w:tmpl w:val="65E2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D5E15"/>
    <w:multiLevelType w:val="multilevel"/>
    <w:tmpl w:val="26981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2C51BC"/>
    <w:multiLevelType w:val="multilevel"/>
    <w:tmpl w:val="AC22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E4008A"/>
    <w:multiLevelType w:val="multilevel"/>
    <w:tmpl w:val="B626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9205DC1"/>
    <w:multiLevelType w:val="multilevel"/>
    <w:tmpl w:val="17B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36E53E27"/>
    <w:multiLevelType w:val="multilevel"/>
    <w:tmpl w:val="4CB4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30665"/>
    <w:multiLevelType w:val="multilevel"/>
    <w:tmpl w:val="F2F8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4D6E37CC"/>
    <w:multiLevelType w:val="multilevel"/>
    <w:tmpl w:val="91B0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F720A7"/>
    <w:multiLevelType w:val="multilevel"/>
    <w:tmpl w:val="D914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761BA"/>
    <w:multiLevelType w:val="multilevel"/>
    <w:tmpl w:val="CAB8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39047B3"/>
    <w:multiLevelType w:val="hybridMultilevel"/>
    <w:tmpl w:val="087CE482"/>
    <w:lvl w:ilvl="0" w:tplc="CC0220A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281BF2"/>
    <w:multiLevelType w:val="multilevel"/>
    <w:tmpl w:val="7484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8341D9"/>
    <w:multiLevelType w:val="multilevel"/>
    <w:tmpl w:val="A8E4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5C4E44"/>
    <w:multiLevelType w:val="multilevel"/>
    <w:tmpl w:val="7C06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823B63"/>
    <w:multiLevelType w:val="multilevel"/>
    <w:tmpl w:val="F0B2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4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7"/>
  </w:num>
  <w:num w:numId="7">
    <w:abstractNumId w:val="2"/>
  </w:num>
  <w:num w:numId="8">
    <w:abstractNumId w:val="22"/>
  </w:num>
  <w:num w:numId="9">
    <w:abstractNumId w:val="43"/>
  </w:num>
  <w:num w:numId="10">
    <w:abstractNumId w:val="3"/>
  </w:num>
  <w:num w:numId="11">
    <w:abstractNumId w:val="36"/>
  </w:num>
  <w:num w:numId="12">
    <w:abstractNumId w:val="4"/>
  </w:num>
  <w:num w:numId="13">
    <w:abstractNumId w:val="32"/>
  </w:num>
  <w:num w:numId="14">
    <w:abstractNumId w:val="13"/>
  </w:num>
  <w:num w:numId="15">
    <w:abstractNumId w:val="39"/>
  </w:num>
  <w:num w:numId="16">
    <w:abstractNumId w:val="6"/>
  </w:num>
  <w:num w:numId="17">
    <w:abstractNumId w:val="40"/>
  </w:num>
  <w:num w:numId="18">
    <w:abstractNumId w:val="24"/>
  </w:num>
  <w:num w:numId="19">
    <w:abstractNumId w:val="48"/>
  </w:num>
  <w:num w:numId="20">
    <w:abstractNumId w:val="20"/>
  </w:num>
  <w:num w:numId="21">
    <w:abstractNumId w:val="17"/>
  </w:num>
  <w:num w:numId="22">
    <w:abstractNumId w:val="23"/>
  </w:num>
  <w:num w:numId="23">
    <w:abstractNumId w:val="37"/>
  </w:num>
  <w:num w:numId="24">
    <w:abstractNumId w:val="44"/>
  </w:num>
  <w:num w:numId="25">
    <w:abstractNumId w:val="5"/>
  </w:num>
  <w:num w:numId="26">
    <w:abstractNumId w:val="31"/>
  </w:num>
  <w:num w:numId="27">
    <w:abstractNumId w:val="38"/>
  </w:num>
  <w:num w:numId="28">
    <w:abstractNumId w:val="46"/>
  </w:num>
  <w:num w:numId="29">
    <w:abstractNumId w:val="42"/>
  </w:num>
  <w:num w:numId="30">
    <w:abstractNumId w:val="18"/>
  </w:num>
  <w:num w:numId="31">
    <w:abstractNumId w:val="15"/>
  </w:num>
  <w:num w:numId="32">
    <w:abstractNumId w:val="1"/>
  </w:num>
  <w:num w:numId="33">
    <w:abstractNumId w:val="19"/>
  </w:num>
  <w:num w:numId="34">
    <w:abstractNumId w:val="34"/>
  </w:num>
  <w:num w:numId="35">
    <w:abstractNumId w:val="30"/>
  </w:num>
  <w:num w:numId="36">
    <w:abstractNumId w:val="10"/>
  </w:num>
  <w:num w:numId="37">
    <w:abstractNumId w:val="9"/>
  </w:num>
  <w:num w:numId="38">
    <w:abstractNumId w:val="45"/>
  </w:num>
  <w:num w:numId="39">
    <w:abstractNumId w:val="28"/>
  </w:num>
  <w:num w:numId="40">
    <w:abstractNumId w:val="25"/>
  </w:num>
  <w:num w:numId="41">
    <w:abstractNumId w:val="47"/>
  </w:num>
  <w:num w:numId="42">
    <w:abstractNumId w:val="35"/>
  </w:num>
  <w:num w:numId="43">
    <w:abstractNumId w:val="29"/>
  </w:num>
  <w:num w:numId="44">
    <w:abstractNumId w:val="26"/>
  </w:num>
  <w:num w:numId="45">
    <w:abstractNumId w:val="33"/>
  </w:num>
  <w:num w:numId="46">
    <w:abstractNumId w:val="11"/>
  </w:num>
  <w:num w:numId="47">
    <w:abstractNumId w:val="16"/>
  </w:num>
  <w:num w:numId="48">
    <w:abstractNumId w:val="21"/>
  </w:num>
  <w:num w:numId="49">
    <w:abstractNumId w:val="14"/>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SN"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S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7AE"/>
    <w:rsid w:val="00030174"/>
    <w:rsid w:val="00033E1B"/>
    <w:rsid w:val="00044EAB"/>
    <w:rsid w:val="0004579C"/>
    <w:rsid w:val="000A47FA"/>
    <w:rsid w:val="000A65D3"/>
    <w:rsid w:val="000B1E33"/>
    <w:rsid w:val="000B2145"/>
    <w:rsid w:val="000D689F"/>
    <w:rsid w:val="000E7B7B"/>
    <w:rsid w:val="000E7D62"/>
    <w:rsid w:val="000F0B1D"/>
    <w:rsid w:val="000F6F01"/>
    <w:rsid w:val="00103357"/>
    <w:rsid w:val="0011528D"/>
    <w:rsid w:val="00123C9F"/>
    <w:rsid w:val="00126190"/>
    <w:rsid w:val="00130F17"/>
    <w:rsid w:val="001320BF"/>
    <w:rsid w:val="00163BC4"/>
    <w:rsid w:val="00191062"/>
    <w:rsid w:val="00192401"/>
    <w:rsid w:val="00192B72"/>
    <w:rsid w:val="0019382F"/>
    <w:rsid w:val="001955C1"/>
    <w:rsid w:val="001A29D8"/>
    <w:rsid w:val="001A5CAA"/>
    <w:rsid w:val="001B0427"/>
    <w:rsid w:val="001C44BF"/>
    <w:rsid w:val="001D3A51"/>
    <w:rsid w:val="001E10D2"/>
    <w:rsid w:val="001E25B4"/>
    <w:rsid w:val="001E44FE"/>
    <w:rsid w:val="00200595"/>
    <w:rsid w:val="00204835"/>
    <w:rsid w:val="0020597B"/>
    <w:rsid w:val="002241BF"/>
    <w:rsid w:val="00230435"/>
    <w:rsid w:val="00230CE7"/>
    <w:rsid w:val="00231920"/>
    <w:rsid w:val="0023195C"/>
    <w:rsid w:val="0024282C"/>
    <w:rsid w:val="002460DC"/>
    <w:rsid w:val="00250985"/>
    <w:rsid w:val="002556F6"/>
    <w:rsid w:val="00264915"/>
    <w:rsid w:val="00283105"/>
    <w:rsid w:val="00284C4C"/>
    <w:rsid w:val="00287E68"/>
    <w:rsid w:val="00296529"/>
    <w:rsid w:val="002A4C63"/>
    <w:rsid w:val="002B27FB"/>
    <w:rsid w:val="002B685A"/>
    <w:rsid w:val="002C57D2"/>
    <w:rsid w:val="002E0D56"/>
    <w:rsid w:val="00315186"/>
    <w:rsid w:val="0033343E"/>
    <w:rsid w:val="0033771C"/>
    <w:rsid w:val="003512C2"/>
    <w:rsid w:val="00371142"/>
    <w:rsid w:val="00371FB6"/>
    <w:rsid w:val="003763C1"/>
    <w:rsid w:val="003763F3"/>
    <w:rsid w:val="00376BBE"/>
    <w:rsid w:val="0039224F"/>
    <w:rsid w:val="003A43A4"/>
    <w:rsid w:val="003A7E18"/>
    <w:rsid w:val="003B61FB"/>
    <w:rsid w:val="003C4C86"/>
    <w:rsid w:val="003C6258"/>
    <w:rsid w:val="003E2904"/>
    <w:rsid w:val="003E62FC"/>
    <w:rsid w:val="00401927"/>
    <w:rsid w:val="0041027F"/>
    <w:rsid w:val="00412475"/>
    <w:rsid w:val="00413894"/>
    <w:rsid w:val="0042102E"/>
    <w:rsid w:val="00423789"/>
    <w:rsid w:val="00440F43"/>
    <w:rsid w:val="00441B6F"/>
    <w:rsid w:val="00446221"/>
    <w:rsid w:val="00450E62"/>
    <w:rsid w:val="00453913"/>
    <w:rsid w:val="004539DB"/>
    <w:rsid w:val="004601EA"/>
    <w:rsid w:val="00471A80"/>
    <w:rsid w:val="004A40F4"/>
    <w:rsid w:val="004D305E"/>
    <w:rsid w:val="004D4277"/>
    <w:rsid w:val="004D69B1"/>
    <w:rsid w:val="00502516"/>
    <w:rsid w:val="00504AB1"/>
    <w:rsid w:val="00505F06"/>
    <w:rsid w:val="00506828"/>
    <w:rsid w:val="005143E3"/>
    <w:rsid w:val="0053056E"/>
    <w:rsid w:val="00530ECB"/>
    <w:rsid w:val="00554FDA"/>
    <w:rsid w:val="00583A99"/>
    <w:rsid w:val="005C46EB"/>
    <w:rsid w:val="005C784C"/>
    <w:rsid w:val="005D17F6"/>
    <w:rsid w:val="005E5539"/>
    <w:rsid w:val="005E644B"/>
    <w:rsid w:val="00602BF5"/>
    <w:rsid w:val="00617FDD"/>
    <w:rsid w:val="00633614"/>
    <w:rsid w:val="00633F68"/>
    <w:rsid w:val="00636EB2"/>
    <w:rsid w:val="006375B8"/>
    <w:rsid w:val="006568EC"/>
    <w:rsid w:val="0066510A"/>
    <w:rsid w:val="00673F9F"/>
    <w:rsid w:val="00686953"/>
    <w:rsid w:val="00687DEA"/>
    <w:rsid w:val="00687E67"/>
    <w:rsid w:val="00694C62"/>
    <w:rsid w:val="006967F7"/>
    <w:rsid w:val="006A250C"/>
    <w:rsid w:val="006B21D3"/>
    <w:rsid w:val="006B5222"/>
    <w:rsid w:val="006B57D0"/>
    <w:rsid w:val="006C3DA2"/>
    <w:rsid w:val="006D30FF"/>
    <w:rsid w:val="006D6940"/>
    <w:rsid w:val="006F11EC"/>
    <w:rsid w:val="0070082C"/>
    <w:rsid w:val="007027E1"/>
    <w:rsid w:val="00722502"/>
    <w:rsid w:val="00732A01"/>
    <w:rsid w:val="00735759"/>
    <w:rsid w:val="007369E6"/>
    <w:rsid w:val="00746E59"/>
    <w:rsid w:val="00754C9A"/>
    <w:rsid w:val="0075599A"/>
    <w:rsid w:val="00761D52"/>
    <w:rsid w:val="0077749E"/>
    <w:rsid w:val="00790ADA"/>
    <w:rsid w:val="00791A4A"/>
    <w:rsid w:val="00795829"/>
    <w:rsid w:val="007B6FFB"/>
    <w:rsid w:val="007D2288"/>
    <w:rsid w:val="007E088F"/>
    <w:rsid w:val="007F7B32"/>
    <w:rsid w:val="00804BC2"/>
    <w:rsid w:val="0081431A"/>
    <w:rsid w:val="00821FB1"/>
    <w:rsid w:val="0082788F"/>
    <w:rsid w:val="0083216F"/>
    <w:rsid w:val="008328A0"/>
    <w:rsid w:val="00860000"/>
    <w:rsid w:val="00863BD3"/>
    <w:rsid w:val="008641ED"/>
    <w:rsid w:val="00866D66"/>
    <w:rsid w:val="008671C6"/>
    <w:rsid w:val="00875803"/>
    <w:rsid w:val="00891A9C"/>
    <w:rsid w:val="008955A9"/>
    <w:rsid w:val="00895627"/>
    <w:rsid w:val="0089621C"/>
    <w:rsid w:val="008A2878"/>
    <w:rsid w:val="008B459E"/>
    <w:rsid w:val="008B683C"/>
    <w:rsid w:val="008E13AE"/>
    <w:rsid w:val="008E1506"/>
    <w:rsid w:val="008E710C"/>
    <w:rsid w:val="008F69D6"/>
    <w:rsid w:val="00902823"/>
    <w:rsid w:val="00915CA6"/>
    <w:rsid w:val="00927834"/>
    <w:rsid w:val="009500A6"/>
    <w:rsid w:val="00956AF5"/>
    <w:rsid w:val="00957C18"/>
    <w:rsid w:val="009659BA"/>
    <w:rsid w:val="00983040"/>
    <w:rsid w:val="00992D3B"/>
    <w:rsid w:val="009968BF"/>
    <w:rsid w:val="009A1BDA"/>
    <w:rsid w:val="009B3FB9"/>
    <w:rsid w:val="009C2465"/>
    <w:rsid w:val="009D26A5"/>
    <w:rsid w:val="009D35A0"/>
    <w:rsid w:val="009D7EB7"/>
    <w:rsid w:val="009E048A"/>
    <w:rsid w:val="009E08E9"/>
    <w:rsid w:val="009E255A"/>
    <w:rsid w:val="009E3DB9"/>
    <w:rsid w:val="009E6E35"/>
    <w:rsid w:val="009F0EDA"/>
    <w:rsid w:val="009F7D31"/>
    <w:rsid w:val="00A03B96"/>
    <w:rsid w:val="00A04636"/>
    <w:rsid w:val="00A05B19"/>
    <w:rsid w:val="00A10E93"/>
    <w:rsid w:val="00A1134E"/>
    <w:rsid w:val="00A24E7E"/>
    <w:rsid w:val="00A258C3"/>
    <w:rsid w:val="00A347C0"/>
    <w:rsid w:val="00A3533D"/>
    <w:rsid w:val="00A51431"/>
    <w:rsid w:val="00A539AD"/>
    <w:rsid w:val="00A55683"/>
    <w:rsid w:val="00A56639"/>
    <w:rsid w:val="00A75ED3"/>
    <w:rsid w:val="00A925B8"/>
    <w:rsid w:val="00A94063"/>
    <w:rsid w:val="00A94914"/>
    <w:rsid w:val="00A96CD4"/>
    <w:rsid w:val="00AA6219"/>
    <w:rsid w:val="00AA74E0"/>
    <w:rsid w:val="00AB703F"/>
    <w:rsid w:val="00AC6BB8"/>
    <w:rsid w:val="00AE008F"/>
    <w:rsid w:val="00AF6A09"/>
    <w:rsid w:val="00B01FCD"/>
    <w:rsid w:val="00B061E5"/>
    <w:rsid w:val="00B1776C"/>
    <w:rsid w:val="00B446E9"/>
    <w:rsid w:val="00B52583"/>
    <w:rsid w:val="00B52896"/>
    <w:rsid w:val="00B5530D"/>
    <w:rsid w:val="00B80D49"/>
    <w:rsid w:val="00B84875"/>
    <w:rsid w:val="00B86D9C"/>
    <w:rsid w:val="00B95236"/>
    <w:rsid w:val="00B96BD9"/>
    <w:rsid w:val="00BA1B01"/>
    <w:rsid w:val="00BA2641"/>
    <w:rsid w:val="00BB37AA"/>
    <w:rsid w:val="00BB4C88"/>
    <w:rsid w:val="00BC53A0"/>
    <w:rsid w:val="00BE62AD"/>
    <w:rsid w:val="00BF121F"/>
    <w:rsid w:val="00BF1F80"/>
    <w:rsid w:val="00BF7EFE"/>
    <w:rsid w:val="00C01ACE"/>
    <w:rsid w:val="00C166EF"/>
    <w:rsid w:val="00C17EB0"/>
    <w:rsid w:val="00C27F5F"/>
    <w:rsid w:val="00C30A0F"/>
    <w:rsid w:val="00C3738C"/>
    <w:rsid w:val="00C37E61"/>
    <w:rsid w:val="00C42D5D"/>
    <w:rsid w:val="00C431A5"/>
    <w:rsid w:val="00C70F1B"/>
    <w:rsid w:val="00C71A47"/>
    <w:rsid w:val="00C720CE"/>
    <w:rsid w:val="00C7464C"/>
    <w:rsid w:val="00C80F1D"/>
    <w:rsid w:val="00C85588"/>
    <w:rsid w:val="00C95F78"/>
    <w:rsid w:val="00CD6755"/>
    <w:rsid w:val="00CD6856"/>
    <w:rsid w:val="00CE0089"/>
    <w:rsid w:val="00CE793C"/>
    <w:rsid w:val="00CF193C"/>
    <w:rsid w:val="00D05CC8"/>
    <w:rsid w:val="00D173F1"/>
    <w:rsid w:val="00D42132"/>
    <w:rsid w:val="00D56196"/>
    <w:rsid w:val="00D74CB0"/>
    <w:rsid w:val="00D8295D"/>
    <w:rsid w:val="00DB098A"/>
    <w:rsid w:val="00DC2A65"/>
    <w:rsid w:val="00DE15F0"/>
    <w:rsid w:val="00DE5663"/>
    <w:rsid w:val="00DE78AA"/>
    <w:rsid w:val="00E00EF7"/>
    <w:rsid w:val="00E03C99"/>
    <w:rsid w:val="00E053D0"/>
    <w:rsid w:val="00E05E51"/>
    <w:rsid w:val="00E15994"/>
    <w:rsid w:val="00E3114E"/>
    <w:rsid w:val="00E31A70"/>
    <w:rsid w:val="00E35B02"/>
    <w:rsid w:val="00E45021"/>
    <w:rsid w:val="00E4747A"/>
    <w:rsid w:val="00E55FF5"/>
    <w:rsid w:val="00E5798C"/>
    <w:rsid w:val="00E630DE"/>
    <w:rsid w:val="00E66496"/>
    <w:rsid w:val="00E66B35"/>
    <w:rsid w:val="00E66E10"/>
    <w:rsid w:val="00E769F6"/>
    <w:rsid w:val="00E7795A"/>
    <w:rsid w:val="00E8407C"/>
    <w:rsid w:val="00E84F3C"/>
    <w:rsid w:val="00E93A05"/>
    <w:rsid w:val="00E94763"/>
    <w:rsid w:val="00EA012C"/>
    <w:rsid w:val="00EA1AE0"/>
    <w:rsid w:val="00EB3260"/>
    <w:rsid w:val="00EB5817"/>
    <w:rsid w:val="00EC6A55"/>
    <w:rsid w:val="00ED0288"/>
    <w:rsid w:val="00EE52CB"/>
    <w:rsid w:val="00EF581D"/>
    <w:rsid w:val="00EF7FD8"/>
    <w:rsid w:val="00F06F59"/>
    <w:rsid w:val="00F11F0F"/>
    <w:rsid w:val="00F17988"/>
    <w:rsid w:val="00F27524"/>
    <w:rsid w:val="00F469F0"/>
    <w:rsid w:val="00F53273"/>
    <w:rsid w:val="00F6577C"/>
    <w:rsid w:val="00F755E4"/>
    <w:rsid w:val="00F77D02"/>
    <w:rsid w:val="00FA4038"/>
    <w:rsid w:val="00FA64E3"/>
    <w:rsid w:val="00FB3A86"/>
    <w:rsid w:val="00FD36C8"/>
    <w:rsid w:val="00FF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74C813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528D"/>
    <w:rPr>
      <w:sz w:val="24"/>
      <w:szCs w:val="24"/>
      <w:lang w:val="fr-SN" w:eastAsia="fr-FR"/>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848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25B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763F3"/>
    <w:pPr>
      <w:spacing w:before="100" w:beforeAutospacing="1" w:after="100" w:afterAutospacing="1"/>
    </w:pPr>
  </w:style>
  <w:style w:type="character" w:customStyle="1" w:styleId="Heading3Char">
    <w:name w:val="Heading 3 Char"/>
    <w:basedOn w:val="DefaultParagraphFont"/>
    <w:link w:val="Heading3"/>
    <w:uiPriority w:val="9"/>
    <w:semiHidden/>
    <w:rsid w:val="00A925B8"/>
    <w:rPr>
      <w:rFonts w:asciiTheme="majorHAnsi" w:eastAsiaTheme="majorEastAsia" w:hAnsiTheme="majorHAnsi" w:cstheme="majorBidi"/>
      <w:color w:val="243F60" w:themeColor="accent1" w:themeShade="7F"/>
      <w:sz w:val="24"/>
      <w:szCs w:val="24"/>
      <w:lang w:val="fr-SN" w:eastAsia="fr-FR"/>
    </w:rPr>
  </w:style>
  <w:style w:type="paragraph" w:styleId="BodyText">
    <w:name w:val="Body Text"/>
    <w:basedOn w:val="Normal"/>
    <w:link w:val="BodyTextChar"/>
    <w:semiHidden/>
    <w:unhideWhenUsed/>
    <w:rsid w:val="00B061E5"/>
    <w:pPr>
      <w:spacing w:after="120"/>
    </w:pPr>
  </w:style>
  <w:style w:type="character" w:customStyle="1" w:styleId="BodyTextChar">
    <w:name w:val="Body Text Char"/>
    <w:basedOn w:val="DefaultParagraphFont"/>
    <w:link w:val="BodyText"/>
    <w:uiPriority w:val="1"/>
    <w:rsid w:val="00B061E5"/>
    <w:rPr>
      <w:rFonts w:ascii="Helvetica" w:hAnsi="Helvetica"/>
    </w:rPr>
  </w:style>
  <w:style w:type="character" w:customStyle="1" w:styleId="Heading2Char">
    <w:name w:val="Heading 2 Char"/>
    <w:basedOn w:val="DefaultParagraphFont"/>
    <w:link w:val="Heading2"/>
    <w:uiPriority w:val="9"/>
    <w:rsid w:val="00B84875"/>
    <w:rPr>
      <w:rFonts w:asciiTheme="majorHAnsi" w:eastAsiaTheme="majorEastAsia" w:hAnsiTheme="majorHAnsi" w:cstheme="majorBidi"/>
      <w:color w:val="365F91" w:themeColor="accent1" w:themeShade="BF"/>
      <w:sz w:val="26"/>
      <w:szCs w:val="26"/>
      <w:lang w:val="fr-SN" w:eastAsia="fr-FR"/>
    </w:rPr>
  </w:style>
  <w:style w:type="character" w:styleId="Strong">
    <w:name w:val="Strong"/>
    <w:basedOn w:val="DefaultParagraphFont"/>
    <w:uiPriority w:val="22"/>
    <w:qFormat/>
    <w:rsid w:val="00B84875"/>
    <w:rPr>
      <w:b/>
      <w:bCs/>
    </w:rPr>
  </w:style>
  <w:style w:type="paragraph" w:styleId="ListParagraph">
    <w:name w:val="List Paragraph"/>
    <w:basedOn w:val="Normal"/>
    <w:uiPriority w:val="34"/>
    <w:qFormat/>
    <w:rsid w:val="00FF3423"/>
    <w:pPr>
      <w:widowControl w:val="0"/>
      <w:autoSpaceDE w:val="0"/>
      <w:autoSpaceDN w:val="0"/>
      <w:spacing w:before="35"/>
      <w:ind w:left="371" w:hanging="360"/>
      <w:jc w:val="both"/>
    </w:pPr>
    <w:rPr>
      <w:sz w:val="22"/>
      <w:szCs w:val="22"/>
    </w:rPr>
  </w:style>
  <w:style w:type="character" w:customStyle="1" w:styleId="period">
    <w:name w:val="period"/>
    <w:basedOn w:val="DefaultParagraphFont"/>
    <w:rsid w:val="00FF3423"/>
  </w:style>
  <w:style w:type="character" w:customStyle="1" w:styleId="apple-converted-space">
    <w:name w:val="apple-converted-space"/>
    <w:basedOn w:val="DefaultParagraphFont"/>
    <w:rsid w:val="00FF3423"/>
  </w:style>
  <w:style w:type="character" w:customStyle="1" w:styleId="cit">
    <w:name w:val="cit"/>
    <w:basedOn w:val="DefaultParagraphFont"/>
    <w:rsid w:val="00FF3423"/>
  </w:style>
  <w:style w:type="character" w:customStyle="1" w:styleId="citation-doi">
    <w:name w:val="citation-doi"/>
    <w:basedOn w:val="DefaultParagraphFont"/>
    <w:rsid w:val="00FF3423"/>
  </w:style>
  <w:style w:type="character" w:customStyle="1" w:styleId="secondary-date">
    <w:name w:val="secondary-date"/>
    <w:basedOn w:val="DefaultParagraphFont"/>
    <w:rsid w:val="00FF3423"/>
  </w:style>
  <w:style w:type="character" w:customStyle="1" w:styleId="text">
    <w:name w:val="text"/>
    <w:basedOn w:val="DefaultParagraphFont"/>
    <w:rsid w:val="00FF3423"/>
  </w:style>
  <w:style w:type="character" w:customStyle="1" w:styleId="article-alt-title">
    <w:name w:val="article-alt-title"/>
    <w:basedOn w:val="DefaultParagraphFont"/>
    <w:rsid w:val="00FF3423"/>
  </w:style>
  <w:style w:type="character" w:customStyle="1" w:styleId="anchor-text">
    <w:name w:val="anchor-text"/>
    <w:basedOn w:val="DefaultParagraphFont"/>
    <w:rsid w:val="00FF3423"/>
  </w:style>
  <w:style w:type="character" w:customStyle="1" w:styleId="title-text">
    <w:name w:val="title-text"/>
    <w:basedOn w:val="DefaultParagraphFont"/>
    <w:rsid w:val="00FF3423"/>
  </w:style>
  <w:style w:type="character" w:customStyle="1" w:styleId="identifier">
    <w:name w:val="identifier"/>
    <w:basedOn w:val="DefaultParagraphFont"/>
    <w:rsid w:val="003E62FC"/>
  </w:style>
  <w:style w:type="character" w:customStyle="1" w:styleId="id-label">
    <w:name w:val="id-label"/>
    <w:basedOn w:val="DefaultParagraphFont"/>
    <w:rsid w:val="003E62FC"/>
  </w:style>
  <w:style w:type="character" w:customStyle="1" w:styleId="authors-list-item">
    <w:name w:val="authors-list-item"/>
    <w:basedOn w:val="DefaultParagraphFont"/>
    <w:rsid w:val="0011528D"/>
  </w:style>
  <w:style w:type="character" w:customStyle="1" w:styleId="author-sup-separator">
    <w:name w:val="author-sup-separator"/>
    <w:basedOn w:val="DefaultParagraphFont"/>
    <w:rsid w:val="0011528D"/>
  </w:style>
  <w:style w:type="character" w:customStyle="1" w:styleId="comma">
    <w:name w:val="comma"/>
    <w:basedOn w:val="DefaultParagraphFont"/>
    <w:rsid w:val="0011528D"/>
  </w:style>
  <w:style w:type="character" w:customStyle="1" w:styleId="name">
    <w:name w:val="name"/>
    <w:basedOn w:val="DefaultParagraphFont"/>
    <w:rsid w:val="00A10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820682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9418967">
      <w:bodyDiv w:val="1"/>
      <w:marLeft w:val="0"/>
      <w:marRight w:val="0"/>
      <w:marTop w:val="0"/>
      <w:marBottom w:val="0"/>
      <w:divBdr>
        <w:top w:val="none" w:sz="0" w:space="0" w:color="auto"/>
        <w:left w:val="none" w:sz="0" w:space="0" w:color="auto"/>
        <w:bottom w:val="none" w:sz="0" w:space="0" w:color="auto"/>
        <w:right w:val="none" w:sz="0" w:space="0" w:color="auto"/>
      </w:divBdr>
    </w:div>
    <w:div w:id="22939099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717942">
      <w:bodyDiv w:val="1"/>
      <w:marLeft w:val="0"/>
      <w:marRight w:val="0"/>
      <w:marTop w:val="0"/>
      <w:marBottom w:val="0"/>
      <w:divBdr>
        <w:top w:val="none" w:sz="0" w:space="0" w:color="auto"/>
        <w:left w:val="none" w:sz="0" w:space="0" w:color="auto"/>
        <w:bottom w:val="none" w:sz="0" w:space="0" w:color="auto"/>
        <w:right w:val="none" w:sz="0" w:space="0" w:color="auto"/>
      </w:divBdr>
    </w:div>
    <w:div w:id="258563370">
      <w:bodyDiv w:val="1"/>
      <w:marLeft w:val="0"/>
      <w:marRight w:val="0"/>
      <w:marTop w:val="0"/>
      <w:marBottom w:val="0"/>
      <w:divBdr>
        <w:top w:val="none" w:sz="0" w:space="0" w:color="auto"/>
        <w:left w:val="none" w:sz="0" w:space="0" w:color="auto"/>
        <w:bottom w:val="none" w:sz="0" w:space="0" w:color="auto"/>
        <w:right w:val="none" w:sz="0" w:space="0" w:color="auto"/>
      </w:divBdr>
    </w:div>
    <w:div w:id="292292139">
      <w:bodyDiv w:val="1"/>
      <w:marLeft w:val="0"/>
      <w:marRight w:val="0"/>
      <w:marTop w:val="0"/>
      <w:marBottom w:val="0"/>
      <w:divBdr>
        <w:top w:val="none" w:sz="0" w:space="0" w:color="auto"/>
        <w:left w:val="none" w:sz="0" w:space="0" w:color="auto"/>
        <w:bottom w:val="none" w:sz="0" w:space="0" w:color="auto"/>
        <w:right w:val="none" w:sz="0" w:space="0" w:color="auto"/>
      </w:divBdr>
    </w:div>
    <w:div w:id="341468437">
      <w:bodyDiv w:val="1"/>
      <w:marLeft w:val="0"/>
      <w:marRight w:val="0"/>
      <w:marTop w:val="0"/>
      <w:marBottom w:val="0"/>
      <w:divBdr>
        <w:top w:val="none" w:sz="0" w:space="0" w:color="auto"/>
        <w:left w:val="none" w:sz="0" w:space="0" w:color="auto"/>
        <w:bottom w:val="none" w:sz="0" w:space="0" w:color="auto"/>
        <w:right w:val="none" w:sz="0" w:space="0" w:color="auto"/>
      </w:divBdr>
    </w:div>
    <w:div w:id="372468276">
      <w:bodyDiv w:val="1"/>
      <w:marLeft w:val="0"/>
      <w:marRight w:val="0"/>
      <w:marTop w:val="0"/>
      <w:marBottom w:val="0"/>
      <w:divBdr>
        <w:top w:val="none" w:sz="0" w:space="0" w:color="auto"/>
        <w:left w:val="none" w:sz="0" w:space="0" w:color="auto"/>
        <w:bottom w:val="none" w:sz="0" w:space="0" w:color="auto"/>
        <w:right w:val="none" w:sz="0" w:space="0" w:color="auto"/>
      </w:divBdr>
    </w:div>
    <w:div w:id="404644345">
      <w:bodyDiv w:val="1"/>
      <w:marLeft w:val="0"/>
      <w:marRight w:val="0"/>
      <w:marTop w:val="0"/>
      <w:marBottom w:val="0"/>
      <w:divBdr>
        <w:top w:val="none" w:sz="0" w:space="0" w:color="auto"/>
        <w:left w:val="none" w:sz="0" w:space="0" w:color="auto"/>
        <w:bottom w:val="none" w:sz="0" w:space="0" w:color="auto"/>
        <w:right w:val="none" w:sz="0" w:space="0" w:color="auto"/>
      </w:divBdr>
      <w:divsChild>
        <w:div w:id="293876366">
          <w:marLeft w:val="0"/>
          <w:marRight w:val="0"/>
          <w:marTop w:val="0"/>
          <w:marBottom w:val="0"/>
          <w:divBdr>
            <w:top w:val="none" w:sz="0" w:space="0" w:color="auto"/>
            <w:left w:val="none" w:sz="0" w:space="0" w:color="auto"/>
            <w:bottom w:val="none" w:sz="0" w:space="0" w:color="auto"/>
            <w:right w:val="none" w:sz="0" w:space="0" w:color="auto"/>
          </w:divBdr>
          <w:divsChild>
            <w:div w:id="2903252">
              <w:marLeft w:val="0"/>
              <w:marRight w:val="0"/>
              <w:marTop w:val="0"/>
              <w:marBottom w:val="0"/>
              <w:divBdr>
                <w:top w:val="none" w:sz="0" w:space="0" w:color="auto"/>
                <w:left w:val="none" w:sz="0" w:space="0" w:color="auto"/>
                <w:bottom w:val="none" w:sz="0" w:space="0" w:color="auto"/>
                <w:right w:val="none" w:sz="0" w:space="0" w:color="auto"/>
              </w:divBdr>
              <w:divsChild>
                <w:div w:id="178757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46862">
      <w:bodyDiv w:val="1"/>
      <w:marLeft w:val="0"/>
      <w:marRight w:val="0"/>
      <w:marTop w:val="0"/>
      <w:marBottom w:val="0"/>
      <w:divBdr>
        <w:top w:val="none" w:sz="0" w:space="0" w:color="auto"/>
        <w:left w:val="none" w:sz="0" w:space="0" w:color="auto"/>
        <w:bottom w:val="none" w:sz="0" w:space="0" w:color="auto"/>
        <w:right w:val="none" w:sz="0" w:space="0" w:color="auto"/>
      </w:divBdr>
    </w:div>
    <w:div w:id="567309235">
      <w:bodyDiv w:val="1"/>
      <w:marLeft w:val="0"/>
      <w:marRight w:val="0"/>
      <w:marTop w:val="0"/>
      <w:marBottom w:val="0"/>
      <w:divBdr>
        <w:top w:val="none" w:sz="0" w:space="0" w:color="auto"/>
        <w:left w:val="none" w:sz="0" w:space="0" w:color="auto"/>
        <w:bottom w:val="none" w:sz="0" w:space="0" w:color="auto"/>
        <w:right w:val="none" w:sz="0" w:space="0" w:color="auto"/>
      </w:divBdr>
    </w:div>
    <w:div w:id="596908436">
      <w:bodyDiv w:val="1"/>
      <w:marLeft w:val="0"/>
      <w:marRight w:val="0"/>
      <w:marTop w:val="0"/>
      <w:marBottom w:val="0"/>
      <w:divBdr>
        <w:top w:val="none" w:sz="0" w:space="0" w:color="auto"/>
        <w:left w:val="none" w:sz="0" w:space="0" w:color="auto"/>
        <w:bottom w:val="none" w:sz="0" w:space="0" w:color="auto"/>
        <w:right w:val="none" w:sz="0" w:space="0" w:color="auto"/>
      </w:divBdr>
    </w:div>
    <w:div w:id="6038505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6302433">
      <w:bodyDiv w:val="1"/>
      <w:marLeft w:val="0"/>
      <w:marRight w:val="0"/>
      <w:marTop w:val="0"/>
      <w:marBottom w:val="0"/>
      <w:divBdr>
        <w:top w:val="none" w:sz="0" w:space="0" w:color="auto"/>
        <w:left w:val="none" w:sz="0" w:space="0" w:color="auto"/>
        <w:bottom w:val="none" w:sz="0" w:space="0" w:color="auto"/>
        <w:right w:val="none" w:sz="0" w:space="0" w:color="auto"/>
      </w:divBdr>
    </w:div>
    <w:div w:id="733552148">
      <w:bodyDiv w:val="1"/>
      <w:marLeft w:val="0"/>
      <w:marRight w:val="0"/>
      <w:marTop w:val="0"/>
      <w:marBottom w:val="0"/>
      <w:divBdr>
        <w:top w:val="none" w:sz="0" w:space="0" w:color="auto"/>
        <w:left w:val="none" w:sz="0" w:space="0" w:color="auto"/>
        <w:bottom w:val="none" w:sz="0" w:space="0" w:color="auto"/>
        <w:right w:val="none" w:sz="0" w:space="0" w:color="auto"/>
      </w:divBdr>
    </w:div>
    <w:div w:id="771314784">
      <w:bodyDiv w:val="1"/>
      <w:marLeft w:val="0"/>
      <w:marRight w:val="0"/>
      <w:marTop w:val="0"/>
      <w:marBottom w:val="0"/>
      <w:divBdr>
        <w:top w:val="none" w:sz="0" w:space="0" w:color="auto"/>
        <w:left w:val="none" w:sz="0" w:space="0" w:color="auto"/>
        <w:bottom w:val="none" w:sz="0" w:space="0" w:color="auto"/>
        <w:right w:val="none" w:sz="0" w:space="0" w:color="auto"/>
      </w:divBdr>
      <w:divsChild>
        <w:div w:id="547647800">
          <w:marLeft w:val="0"/>
          <w:marRight w:val="0"/>
          <w:marTop w:val="0"/>
          <w:marBottom w:val="0"/>
          <w:divBdr>
            <w:top w:val="none" w:sz="0" w:space="0" w:color="auto"/>
            <w:left w:val="none" w:sz="0" w:space="0" w:color="auto"/>
            <w:bottom w:val="none" w:sz="0" w:space="0" w:color="auto"/>
            <w:right w:val="none" w:sz="0" w:space="0" w:color="auto"/>
          </w:divBdr>
          <w:divsChild>
            <w:div w:id="1279489196">
              <w:marLeft w:val="0"/>
              <w:marRight w:val="0"/>
              <w:marTop w:val="0"/>
              <w:marBottom w:val="0"/>
              <w:divBdr>
                <w:top w:val="none" w:sz="0" w:space="0" w:color="auto"/>
                <w:left w:val="none" w:sz="0" w:space="0" w:color="auto"/>
                <w:bottom w:val="none" w:sz="0" w:space="0" w:color="auto"/>
                <w:right w:val="none" w:sz="0" w:space="0" w:color="auto"/>
              </w:divBdr>
              <w:divsChild>
                <w:div w:id="11750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994461">
      <w:bodyDiv w:val="1"/>
      <w:marLeft w:val="0"/>
      <w:marRight w:val="0"/>
      <w:marTop w:val="0"/>
      <w:marBottom w:val="0"/>
      <w:divBdr>
        <w:top w:val="none" w:sz="0" w:space="0" w:color="auto"/>
        <w:left w:val="none" w:sz="0" w:space="0" w:color="auto"/>
        <w:bottom w:val="none" w:sz="0" w:space="0" w:color="auto"/>
        <w:right w:val="none" w:sz="0" w:space="0" w:color="auto"/>
      </w:divBdr>
    </w:div>
    <w:div w:id="799300300">
      <w:bodyDiv w:val="1"/>
      <w:marLeft w:val="0"/>
      <w:marRight w:val="0"/>
      <w:marTop w:val="0"/>
      <w:marBottom w:val="0"/>
      <w:divBdr>
        <w:top w:val="none" w:sz="0" w:space="0" w:color="auto"/>
        <w:left w:val="none" w:sz="0" w:space="0" w:color="auto"/>
        <w:bottom w:val="none" w:sz="0" w:space="0" w:color="auto"/>
        <w:right w:val="none" w:sz="0" w:space="0" w:color="auto"/>
      </w:divBdr>
    </w:div>
    <w:div w:id="9445344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037747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510381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33830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3983399">
      <w:bodyDiv w:val="1"/>
      <w:marLeft w:val="0"/>
      <w:marRight w:val="0"/>
      <w:marTop w:val="0"/>
      <w:marBottom w:val="0"/>
      <w:divBdr>
        <w:top w:val="none" w:sz="0" w:space="0" w:color="auto"/>
        <w:left w:val="none" w:sz="0" w:space="0" w:color="auto"/>
        <w:bottom w:val="none" w:sz="0" w:space="0" w:color="auto"/>
        <w:right w:val="none" w:sz="0" w:space="0" w:color="auto"/>
      </w:divBdr>
    </w:div>
    <w:div w:id="1143697271">
      <w:bodyDiv w:val="1"/>
      <w:marLeft w:val="0"/>
      <w:marRight w:val="0"/>
      <w:marTop w:val="0"/>
      <w:marBottom w:val="0"/>
      <w:divBdr>
        <w:top w:val="none" w:sz="0" w:space="0" w:color="auto"/>
        <w:left w:val="none" w:sz="0" w:space="0" w:color="auto"/>
        <w:bottom w:val="none" w:sz="0" w:space="0" w:color="auto"/>
        <w:right w:val="none" w:sz="0" w:space="0" w:color="auto"/>
      </w:divBdr>
    </w:div>
    <w:div w:id="1254391241">
      <w:bodyDiv w:val="1"/>
      <w:marLeft w:val="0"/>
      <w:marRight w:val="0"/>
      <w:marTop w:val="0"/>
      <w:marBottom w:val="0"/>
      <w:divBdr>
        <w:top w:val="none" w:sz="0" w:space="0" w:color="auto"/>
        <w:left w:val="none" w:sz="0" w:space="0" w:color="auto"/>
        <w:bottom w:val="none" w:sz="0" w:space="0" w:color="auto"/>
        <w:right w:val="none" w:sz="0" w:space="0" w:color="auto"/>
      </w:divBdr>
    </w:div>
    <w:div w:id="1370958433">
      <w:bodyDiv w:val="1"/>
      <w:marLeft w:val="0"/>
      <w:marRight w:val="0"/>
      <w:marTop w:val="0"/>
      <w:marBottom w:val="0"/>
      <w:divBdr>
        <w:top w:val="none" w:sz="0" w:space="0" w:color="auto"/>
        <w:left w:val="none" w:sz="0" w:space="0" w:color="auto"/>
        <w:bottom w:val="none" w:sz="0" w:space="0" w:color="auto"/>
        <w:right w:val="none" w:sz="0" w:space="0" w:color="auto"/>
      </w:divBdr>
    </w:div>
    <w:div w:id="1390806030">
      <w:bodyDiv w:val="1"/>
      <w:marLeft w:val="0"/>
      <w:marRight w:val="0"/>
      <w:marTop w:val="0"/>
      <w:marBottom w:val="0"/>
      <w:divBdr>
        <w:top w:val="none" w:sz="0" w:space="0" w:color="auto"/>
        <w:left w:val="none" w:sz="0" w:space="0" w:color="auto"/>
        <w:bottom w:val="none" w:sz="0" w:space="0" w:color="auto"/>
        <w:right w:val="none" w:sz="0" w:space="0" w:color="auto"/>
      </w:divBdr>
    </w:div>
    <w:div w:id="1392533352">
      <w:bodyDiv w:val="1"/>
      <w:marLeft w:val="0"/>
      <w:marRight w:val="0"/>
      <w:marTop w:val="0"/>
      <w:marBottom w:val="0"/>
      <w:divBdr>
        <w:top w:val="none" w:sz="0" w:space="0" w:color="auto"/>
        <w:left w:val="none" w:sz="0" w:space="0" w:color="auto"/>
        <w:bottom w:val="none" w:sz="0" w:space="0" w:color="auto"/>
        <w:right w:val="none" w:sz="0" w:space="0" w:color="auto"/>
      </w:divBdr>
    </w:div>
    <w:div w:id="1396123122">
      <w:bodyDiv w:val="1"/>
      <w:marLeft w:val="0"/>
      <w:marRight w:val="0"/>
      <w:marTop w:val="0"/>
      <w:marBottom w:val="0"/>
      <w:divBdr>
        <w:top w:val="none" w:sz="0" w:space="0" w:color="auto"/>
        <w:left w:val="none" w:sz="0" w:space="0" w:color="auto"/>
        <w:bottom w:val="none" w:sz="0" w:space="0" w:color="auto"/>
        <w:right w:val="none" w:sz="0" w:space="0" w:color="auto"/>
      </w:divBdr>
      <w:divsChild>
        <w:div w:id="1382897612">
          <w:marLeft w:val="0"/>
          <w:marRight w:val="0"/>
          <w:marTop w:val="0"/>
          <w:marBottom w:val="0"/>
          <w:divBdr>
            <w:top w:val="none" w:sz="0" w:space="0" w:color="auto"/>
            <w:left w:val="none" w:sz="0" w:space="0" w:color="auto"/>
            <w:bottom w:val="none" w:sz="0" w:space="0" w:color="auto"/>
            <w:right w:val="none" w:sz="0" w:space="0" w:color="auto"/>
          </w:divBdr>
        </w:div>
      </w:divsChild>
    </w:div>
    <w:div w:id="1398439305">
      <w:bodyDiv w:val="1"/>
      <w:marLeft w:val="0"/>
      <w:marRight w:val="0"/>
      <w:marTop w:val="0"/>
      <w:marBottom w:val="0"/>
      <w:divBdr>
        <w:top w:val="none" w:sz="0" w:space="0" w:color="auto"/>
        <w:left w:val="none" w:sz="0" w:space="0" w:color="auto"/>
        <w:bottom w:val="none" w:sz="0" w:space="0" w:color="auto"/>
        <w:right w:val="none" w:sz="0" w:space="0" w:color="auto"/>
      </w:divBdr>
    </w:div>
    <w:div w:id="1404832144">
      <w:bodyDiv w:val="1"/>
      <w:marLeft w:val="0"/>
      <w:marRight w:val="0"/>
      <w:marTop w:val="0"/>
      <w:marBottom w:val="0"/>
      <w:divBdr>
        <w:top w:val="none" w:sz="0" w:space="0" w:color="auto"/>
        <w:left w:val="none" w:sz="0" w:space="0" w:color="auto"/>
        <w:bottom w:val="none" w:sz="0" w:space="0" w:color="auto"/>
        <w:right w:val="none" w:sz="0" w:space="0" w:color="auto"/>
      </w:divBdr>
    </w:div>
    <w:div w:id="1436290974">
      <w:bodyDiv w:val="1"/>
      <w:marLeft w:val="0"/>
      <w:marRight w:val="0"/>
      <w:marTop w:val="0"/>
      <w:marBottom w:val="0"/>
      <w:divBdr>
        <w:top w:val="none" w:sz="0" w:space="0" w:color="auto"/>
        <w:left w:val="none" w:sz="0" w:space="0" w:color="auto"/>
        <w:bottom w:val="none" w:sz="0" w:space="0" w:color="auto"/>
        <w:right w:val="none" w:sz="0" w:space="0" w:color="auto"/>
      </w:divBdr>
      <w:divsChild>
        <w:div w:id="663972417">
          <w:marLeft w:val="0"/>
          <w:marRight w:val="0"/>
          <w:marTop w:val="0"/>
          <w:marBottom w:val="0"/>
          <w:divBdr>
            <w:top w:val="none" w:sz="0" w:space="0" w:color="auto"/>
            <w:left w:val="none" w:sz="0" w:space="0" w:color="auto"/>
            <w:bottom w:val="none" w:sz="0" w:space="0" w:color="auto"/>
            <w:right w:val="none" w:sz="0" w:space="0" w:color="auto"/>
          </w:divBdr>
          <w:divsChild>
            <w:div w:id="729184893">
              <w:marLeft w:val="0"/>
              <w:marRight w:val="0"/>
              <w:marTop w:val="0"/>
              <w:marBottom w:val="0"/>
              <w:divBdr>
                <w:top w:val="none" w:sz="0" w:space="0" w:color="auto"/>
                <w:left w:val="none" w:sz="0" w:space="0" w:color="auto"/>
                <w:bottom w:val="none" w:sz="0" w:space="0" w:color="auto"/>
                <w:right w:val="none" w:sz="0" w:space="0" w:color="auto"/>
              </w:divBdr>
              <w:divsChild>
                <w:div w:id="855000148">
                  <w:marLeft w:val="0"/>
                  <w:marRight w:val="0"/>
                  <w:marTop w:val="0"/>
                  <w:marBottom w:val="0"/>
                  <w:divBdr>
                    <w:top w:val="none" w:sz="0" w:space="0" w:color="auto"/>
                    <w:left w:val="none" w:sz="0" w:space="0" w:color="auto"/>
                    <w:bottom w:val="none" w:sz="0" w:space="0" w:color="auto"/>
                    <w:right w:val="none" w:sz="0" w:space="0" w:color="auto"/>
                  </w:divBdr>
                </w:div>
                <w:div w:id="18015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27537">
      <w:bodyDiv w:val="1"/>
      <w:marLeft w:val="0"/>
      <w:marRight w:val="0"/>
      <w:marTop w:val="0"/>
      <w:marBottom w:val="0"/>
      <w:divBdr>
        <w:top w:val="none" w:sz="0" w:space="0" w:color="auto"/>
        <w:left w:val="none" w:sz="0" w:space="0" w:color="auto"/>
        <w:bottom w:val="none" w:sz="0" w:space="0" w:color="auto"/>
        <w:right w:val="none" w:sz="0" w:space="0" w:color="auto"/>
      </w:divBdr>
    </w:div>
    <w:div w:id="1485585699">
      <w:bodyDiv w:val="1"/>
      <w:marLeft w:val="0"/>
      <w:marRight w:val="0"/>
      <w:marTop w:val="0"/>
      <w:marBottom w:val="0"/>
      <w:divBdr>
        <w:top w:val="none" w:sz="0" w:space="0" w:color="auto"/>
        <w:left w:val="none" w:sz="0" w:space="0" w:color="auto"/>
        <w:bottom w:val="none" w:sz="0" w:space="0" w:color="auto"/>
        <w:right w:val="none" w:sz="0" w:space="0" w:color="auto"/>
      </w:divBdr>
    </w:div>
    <w:div w:id="1539707194">
      <w:bodyDiv w:val="1"/>
      <w:marLeft w:val="0"/>
      <w:marRight w:val="0"/>
      <w:marTop w:val="0"/>
      <w:marBottom w:val="0"/>
      <w:divBdr>
        <w:top w:val="none" w:sz="0" w:space="0" w:color="auto"/>
        <w:left w:val="none" w:sz="0" w:space="0" w:color="auto"/>
        <w:bottom w:val="none" w:sz="0" w:space="0" w:color="auto"/>
        <w:right w:val="none" w:sz="0" w:space="0" w:color="auto"/>
      </w:divBdr>
    </w:div>
    <w:div w:id="1555459758">
      <w:bodyDiv w:val="1"/>
      <w:marLeft w:val="0"/>
      <w:marRight w:val="0"/>
      <w:marTop w:val="0"/>
      <w:marBottom w:val="0"/>
      <w:divBdr>
        <w:top w:val="none" w:sz="0" w:space="0" w:color="auto"/>
        <w:left w:val="none" w:sz="0" w:space="0" w:color="auto"/>
        <w:bottom w:val="none" w:sz="0" w:space="0" w:color="auto"/>
        <w:right w:val="none" w:sz="0" w:space="0" w:color="auto"/>
      </w:divBdr>
    </w:div>
    <w:div w:id="1559706147">
      <w:bodyDiv w:val="1"/>
      <w:marLeft w:val="0"/>
      <w:marRight w:val="0"/>
      <w:marTop w:val="0"/>
      <w:marBottom w:val="0"/>
      <w:divBdr>
        <w:top w:val="none" w:sz="0" w:space="0" w:color="auto"/>
        <w:left w:val="none" w:sz="0" w:space="0" w:color="auto"/>
        <w:bottom w:val="none" w:sz="0" w:space="0" w:color="auto"/>
        <w:right w:val="none" w:sz="0" w:space="0" w:color="auto"/>
      </w:divBdr>
    </w:div>
    <w:div w:id="1570265200">
      <w:bodyDiv w:val="1"/>
      <w:marLeft w:val="0"/>
      <w:marRight w:val="0"/>
      <w:marTop w:val="0"/>
      <w:marBottom w:val="0"/>
      <w:divBdr>
        <w:top w:val="none" w:sz="0" w:space="0" w:color="auto"/>
        <w:left w:val="none" w:sz="0" w:space="0" w:color="auto"/>
        <w:bottom w:val="none" w:sz="0" w:space="0" w:color="auto"/>
        <w:right w:val="none" w:sz="0" w:space="0" w:color="auto"/>
      </w:divBdr>
    </w:div>
    <w:div w:id="1654522965">
      <w:bodyDiv w:val="1"/>
      <w:marLeft w:val="0"/>
      <w:marRight w:val="0"/>
      <w:marTop w:val="0"/>
      <w:marBottom w:val="0"/>
      <w:divBdr>
        <w:top w:val="none" w:sz="0" w:space="0" w:color="auto"/>
        <w:left w:val="none" w:sz="0" w:space="0" w:color="auto"/>
        <w:bottom w:val="none" w:sz="0" w:space="0" w:color="auto"/>
        <w:right w:val="none" w:sz="0" w:space="0" w:color="auto"/>
      </w:divBdr>
      <w:divsChild>
        <w:div w:id="698896832">
          <w:marLeft w:val="0"/>
          <w:marRight w:val="0"/>
          <w:marTop w:val="0"/>
          <w:marBottom w:val="0"/>
          <w:divBdr>
            <w:top w:val="none" w:sz="0" w:space="0" w:color="auto"/>
            <w:left w:val="none" w:sz="0" w:space="0" w:color="auto"/>
            <w:bottom w:val="none" w:sz="0" w:space="0" w:color="auto"/>
            <w:right w:val="none" w:sz="0" w:space="0" w:color="auto"/>
          </w:divBdr>
          <w:divsChild>
            <w:div w:id="1980111558">
              <w:marLeft w:val="0"/>
              <w:marRight w:val="0"/>
              <w:marTop w:val="0"/>
              <w:marBottom w:val="0"/>
              <w:divBdr>
                <w:top w:val="none" w:sz="0" w:space="0" w:color="auto"/>
                <w:left w:val="none" w:sz="0" w:space="0" w:color="auto"/>
                <w:bottom w:val="none" w:sz="0" w:space="0" w:color="auto"/>
                <w:right w:val="none" w:sz="0" w:space="0" w:color="auto"/>
              </w:divBdr>
              <w:divsChild>
                <w:div w:id="17396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09001">
      <w:bodyDiv w:val="1"/>
      <w:marLeft w:val="0"/>
      <w:marRight w:val="0"/>
      <w:marTop w:val="0"/>
      <w:marBottom w:val="0"/>
      <w:divBdr>
        <w:top w:val="none" w:sz="0" w:space="0" w:color="auto"/>
        <w:left w:val="none" w:sz="0" w:space="0" w:color="auto"/>
        <w:bottom w:val="none" w:sz="0" w:space="0" w:color="auto"/>
        <w:right w:val="none" w:sz="0" w:space="0" w:color="auto"/>
      </w:divBdr>
    </w:div>
    <w:div w:id="1716157363">
      <w:bodyDiv w:val="1"/>
      <w:marLeft w:val="0"/>
      <w:marRight w:val="0"/>
      <w:marTop w:val="0"/>
      <w:marBottom w:val="0"/>
      <w:divBdr>
        <w:top w:val="none" w:sz="0" w:space="0" w:color="auto"/>
        <w:left w:val="none" w:sz="0" w:space="0" w:color="auto"/>
        <w:bottom w:val="none" w:sz="0" w:space="0" w:color="auto"/>
        <w:right w:val="none" w:sz="0" w:space="0" w:color="auto"/>
      </w:divBdr>
      <w:divsChild>
        <w:div w:id="937325575">
          <w:marLeft w:val="0"/>
          <w:marRight w:val="0"/>
          <w:marTop w:val="0"/>
          <w:marBottom w:val="0"/>
          <w:divBdr>
            <w:top w:val="none" w:sz="0" w:space="0" w:color="auto"/>
            <w:left w:val="none" w:sz="0" w:space="0" w:color="auto"/>
            <w:bottom w:val="none" w:sz="0" w:space="0" w:color="auto"/>
            <w:right w:val="none" w:sz="0" w:space="0" w:color="auto"/>
          </w:divBdr>
          <w:divsChild>
            <w:div w:id="1333873530">
              <w:marLeft w:val="0"/>
              <w:marRight w:val="0"/>
              <w:marTop w:val="0"/>
              <w:marBottom w:val="0"/>
              <w:divBdr>
                <w:top w:val="none" w:sz="0" w:space="0" w:color="auto"/>
                <w:left w:val="none" w:sz="0" w:space="0" w:color="auto"/>
                <w:bottom w:val="none" w:sz="0" w:space="0" w:color="auto"/>
                <w:right w:val="none" w:sz="0" w:space="0" w:color="auto"/>
              </w:divBdr>
              <w:divsChild>
                <w:div w:id="3460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658320">
      <w:bodyDiv w:val="1"/>
      <w:marLeft w:val="0"/>
      <w:marRight w:val="0"/>
      <w:marTop w:val="0"/>
      <w:marBottom w:val="0"/>
      <w:divBdr>
        <w:top w:val="none" w:sz="0" w:space="0" w:color="auto"/>
        <w:left w:val="none" w:sz="0" w:space="0" w:color="auto"/>
        <w:bottom w:val="none" w:sz="0" w:space="0" w:color="auto"/>
        <w:right w:val="none" w:sz="0" w:space="0" w:color="auto"/>
      </w:divBdr>
    </w:div>
    <w:div w:id="1778870144">
      <w:bodyDiv w:val="1"/>
      <w:marLeft w:val="0"/>
      <w:marRight w:val="0"/>
      <w:marTop w:val="0"/>
      <w:marBottom w:val="0"/>
      <w:divBdr>
        <w:top w:val="none" w:sz="0" w:space="0" w:color="auto"/>
        <w:left w:val="none" w:sz="0" w:space="0" w:color="auto"/>
        <w:bottom w:val="none" w:sz="0" w:space="0" w:color="auto"/>
        <w:right w:val="none" w:sz="0" w:space="0" w:color="auto"/>
      </w:divBdr>
    </w:div>
    <w:div w:id="1815904220">
      <w:bodyDiv w:val="1"/>
      <w:marLeft w:val="0"/>
      <w:marRight w:val="0"/>
      <w:marTop w:val="0"/>
      <w:marBottom w:val="0"/>
      <w:divBdr>
        <w:top w:val="none" w:sz="0" w:space="0" w:color="auto"/>
        <w:left w:val="none" w:sz="0" w:space="0" w:color="auto"/>
        <w:bottom w:val="none" w:sz="0" w:space="0" w:color="auto"/>
        <w:right w:val="none" w:sz="0" w:space="0" w:color="auto"/>
      </w:divBdr>
      <w:divsChild>
        <w:div w:id="1827015920">
          <w:marLeft w:val="0"/>
          <w:marRight w:val="0"/>
          <w:marTop w:val="0"/>
          <w:marBottom w:val="0"/>
          <w:divBdr>
            <w:top w:val="none" w:sz="0" w:space="0" w:color="auto"/>
            <w:left w:val="none" w:sz="0" w:space="0" w:color="auto"/>
            <w:bottom w:val="none" w:sz="0" w:space="0" w:color="auto"/>
            <w:right w:val="none" w:sz="0" w:space="0" w:color="auto"/>
          </w:divBdr>
          <w:divsChild>
            <w:div w:id="1956863779">
              <w:marLeft w:val="0"/>
              <w:marRight w:val="0"/>
              <w:marTop w:val="0"/>
              <w:marBottom w:val="0"/>
              <w:divBdr>
                <w:top w:val="none" w:sz="0" w:space="0" w:color="auto"/>
                <w:left w:val="none" w:sz="0" w:space="0" w:color="auto"/>
                <w:bottom w:val="none" w:sz="0" w:space="0" w:color="auto"/>
                <w:right w:val="none" w:sz="0" w:space="0" w:color="auto"/>
              </w:divBdr>
              <w:divsChild>
                <w:div w:id="7461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6895">
      <w:bodyDiv w:val="1"/>
      <w:marLeft w:val="0"/>
      <w:marRight w:val="0"/>
      <w:marTop w:val="0"/>
      <w:marBottom w:val="0"/>
      <w:divBdr>
        <w:top w:val="none" w:sz="0" w:space="0" w:color="auto"/>
        <w:left w:val="none" w:sz="0" w:space="0" w:color="auto"/>
        <w:bottom w:val="none" w:sz="0" w:space="0" w:color="auto"/>
        <w:right w:val="none" w:sz="0" w:space="0" w:color="auto"/>
      </w:divBdr>
    </w:div>
    <w:div w:id="1859852628">
      <w:bodyDiv w:val="1"/>
      <w:marLeft w:val="0"/>
      <w:marRight w:val="0"/>
      <w:marTop w:val="0"/>
      <w:marBottom w:val="0"/>
      <w:divBdr>
        <w:top w:val="none" w:sz="0" w:space="0" w:color="auto"/>
        <w:left w:val="none" w:sz="0" w:space="0" w:color="auto"/>
        <w:bottom w:val="none" w:sz="0" w:space="0" w:color="auto"/>
        <w:right w:val="none" w:sz="0" w:space="0" w:color="auto"/>
      </w:divBdr>
    </w:div>
    <w:div w:id="1893493481">
      <w:bodyDiv w:val="1"/>
      <w:marLeft w:val="0"/>
      <w:marRight w:val="0"/>
      <w:marTop w:val="0"/>
      <w:marBottom w:val="0"/>
      <w:divBdr>
        <w:top w:val="none" w:sz="0" w:space="0" w:color="auto"/>
        <w:left w:val="none" w:sz="0" w:space="0" w:color="auto"/>
        <w:bottom w:val="none" w:sz="0" w:space="0" w:color="auto"/>
        <w:right w:val="none" w:sz="0" w:space="0" w:color="auto"/>
      </w:divBdr>
    </w:div>
    <w:div w:id="1902518503">
      <w:bodyDiv w:val="1"/>
      <w:marLeft w:val="0"/>
      <w:marRight w:val="0"/>
      <w:marTop w:val="0"/>
      <w:marBottom w:val="0"/>
      <w:divBdr>
        <w:top w:val="none" w:sz="0" w:space="0" w:color="auto"/>
        <w:left w:val="none" w:sz="0" w:space="0" w:color="auto"/>
        <w:bottom w:val="none" w:sz="0" w:space="0" w:color="auto"/>
        <w:right w:val="none" w:sz="0" w:space="0" w:color="auto"/>
      </w:divBdr>
      <w:divsChild>
        <w:div w:id="738141123">
          <w:marLeft w:val="0"/>
          <w:marRight w:val="0"/>
          <w:marTop w:val="0"/>
          <w:marBottom w:val="0"/>
          <w:divBdr>
            <w:top w:val="none" w:sz="0" w:space="0" w:color="auto"/>
            <w:left w:val="none" w:sz="0" w:space="0" w:color="auto"/>
            <w:bottom w:val="none" w:sz="0" w:space="0" w:color="auto"/>
            <w:right w:val="none" w:sz="0" w:space="0" w:color="auto"/>
          </w:divBdr>
          <w:divsChild>
            <w:div w:id="1578131165">
              <w:marLeft w:val="0"/>
              <w:marRight w:val="0"/>
              <w:marTop w:val="0"/>
              <w:marBottom w:val="0"/>
              <w:divBdr>
                <w:top w:val="none" w:sz="0" w:space="0" w:color="auto"/>
                <w:left w:val="none" w:sz="0" w:space="0" w:color="auto"/>
                <w:bottom w:val="none" w:sz="0" w:space="0" w:color="auto"/>
                <w:right w:val="none" w:sz="0" w:space="0" w:color="auto"/>
              </w:divBdr>
              <w:divsChild>
                <w:div w:id="1677733340">
                  <w:marLeft w:val="0"/>
                  <w:marRight w:val="0"/>
                  <w:marTop w:val="0"/>
                  <w:marBottom w:val="0"/>
                  <w:divBdr>
                    <w:top w:val="none" w:sz="0" w:space="0" w:color="auto"/>
                    <w:left w:val="none" w:sz="0" w:space="0" w:color="auto"/>
                    <w:bottom w:val="none" w:sz="0" w:space="0" w:color="auto"/>
                    <w:right w:val="none" w:sz="0" w:space="0" w:color="auto"/>
                  </w:divBdr>
                </w:div>
              </w:divsChild>
            </w:div>
            <w:div w:id="1182815572">
              <w:marLeft w:val="0"/>
              <w:marRight w:val="0"/>
              <w:marTop w:val="0"/>
              <w:marBottom w:val="0"/>
              <w:divBdr>
                <w:top w:val="none" w:sz="0" w:space="0" w:color="auto"/>
                <w:left w:val="none" w:sz="0" w:space="0" w:color="auto"/>
                <w:bottom w:val="none" w:sz="0" w:space="0" w:color="auto"/>
                <w:right w:val="none" w:sz="0" w:space="0" w:color="auto"/>
              </w:divBdr>
              <w:divsChild>
                <w:div w:id="19132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6822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6180569">
      <w:bodyDiv w:val="1"/>
      <w:marLeft w:val="0"/>
      <w:marRight w:val="0"/>
      <w:marTop w:val="0"/>
      <w:marBottom w:val="0"/>
      <w:divBdr>
        <w:top w:val="none" w:sz="0" w:space="0" w:color="auto"/>
        <w:left w:val="none" w:sz="0" w:space="0" w:color="auto"/>
        <w:bottom w:val="none" w:sz="0" w:space="0" w:color="auto"/>
        <w:right w:val="none" w:sz="0" w:space="0" w:color="auto"/>
      </w:divBdr>
      <w:divsChild>
        <w:div w:id="340398354">
          <w:marLeft w:val="0"/>
          <w:marRight w:val="0"/>
          <w:marTop w:val="0"/>
          <w:marBottom w:val="0"/>
          <w:divBdr>
            <w:top w:val="none" w:sz="0" w:space="0" w:color="auto"/>
            <w:left w:val="none" w:sz="0" w:space="0" w:color="auto"/>
            <w:bottom w:val="none" w:sz="0" w:space="0" w:color="auto"/>
            <w:right w:val="none" w:sz="0" w:space="0" w:color="auto"/>
          </w:divBdr>
          <w:divsChild>
            <w:div w:id="1848448552">
              <w:marLeft w:val="0"/>
              <w:marRight w:val="0"/>
              <w:marTop w:val="0"/>
              <w:marBottom w:val="0"/>
              <w:divBdr>
                <w:top w:val="none" w:sz="0" w:space="0" w:color="auto"/>
                <w:left w:val="none" w:sz="0" w:space="0" w:color="auto"/>
                <w:bottom w:val="none" w:sz="0" w:space="0" w:color="auto"/>
                <w:right w:val="none" w:sz="0" w:space="0" w:color="auto"/>
              </w:divBdr>
              <w:divsChild>
                <w:div w:id="1216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86326">
      <w:bodyDiv w:val="1"/>
      <w:marLeft w:val="0"/>
      <w:marRight w:val="0"/>
      <w:marTop w:val="0"/>
      <w:marBottom w:val="0"/>
      <w:divBdr>
        <w:top w:val="none" w:sz="0" w:space="0" w:color="auto"/>
        <w:left w:val="none" w:sz="0" w:space="0" w:color="auto"/>
        <w:bottom w:val="none" w:sz="0" w:space="0" w:color="auto"/>
        <w:right w:val="none" w:sz="0" w:space="0" w:color="auto"/>
      </w:divBdr>
    </w:div>
    <w:div w:id="2054842588">
      <w:bodyDiv w:val="1"/>
      <w:marLeft w:val="0"/>
      <w:marRight w:val="0"/>
      <w:marTop w:val="0"/>
      <w:marBottom w:val="0"/>
      <w:divBdr>
        <w:top w:val="none" w:sz="0" w:space="0" w:color="auto"/>
        <w:left w:val="none" w:sz="0" w:space="0" w:color="auto"/>
        <w:bottom w:val="none" w:sz="0" w:space="0" w:color="auto"/>
        <w:right w:val="none" w:sz="0" w:space="0" w:color="auto"/>
      </w:divBdr>
    </w:div>
    <w:div w:id="2069065372">
      <w:bodyDiv w:val="1"/>
      <w:marLeft w:val="0"/>
      <w:marRight w:val="0"/>
      <w:marTop w:val="0"/>
      <w:marBottom w:val="0"/>
      <w:divBdr>
        <w:top w:val="none" w:sz="0" w:space="0" w:color="auto"/>
        <w:left w:val="none" w:sz="0" w:space="0" w:color="auto"/>
        <w:bottom w:val="none" w:sz="0" w:space="0" w:color="auto"/>
        <w:right w:val="none" w:sz="0" w:space="0" w:color="auto"/>
      </w:divBdr>
    </w:div>
    <w:div w:id="2080442054">
      <w:bodyDiv w:val="1"/>
      <w:marLeft w:val="0"/>
      <w:marRight w:val="0"/>
      <w:marTop w:val="0"/>
      <w:marBottom w:val="0"/>
      <w:divBdr>
        <w:top w:val="none" w:sz="0" w:space="0" w:color="auto"/>
        <w:left w:val="none" w:sz="0" w:space="0" w:color="auto"/>
        <w:bottom w:val="none" w:sz="0" w:space="0" w:color="auto"/>
        <w:right w:val="none" w:sz="0" w:space="0" w:color="auto"/>
      </w:divBdr>
    </w:div>
    <w:div w:id="2086147844">
      <w:bodyDiv w:val="1"/>
      <w:marLeft w:val="0"/>
      <w:marRight w:val="0"/>
      <w:marTop w:val="0"/>
      <w:marBottom w:val="0"/>
      <w:divBdr>
        <w:top w:val="none" w:sz="0" w:space="0" w:color="auto"/>
        <w:left w:val="none" w:sz="0" w:space="0" w:color="auto"/>
        <w:bottom w:val="none" w:sz="0" w:space="0" w:color="auto"/>
        <w:right w:val="none" w:sz="0" w:space="0" w:color="auto"/>
      </w:divBdr>
    </w:div>
    <w:div w:id="2101876088">
      <w:bodyDiv w:val="1"/>
      <w:marLeft w:val="0"/>
      <w:marRight w:val="0"/>
      <w:marTop w:val="0"/>
      <w:marBottom w:val="0"/>
      <w:divBdr>
        <w:top w:val="none" w:sz="0" w:space="0" w:color="auto"/>
        <w:left w:val="none" w:sz="0" w:space="0" w:color="auto"/>
        <w:bottom w:val="none" w:sz="0" w:space="0" w:color="auto"/>
        <w:right w:val="none" w:sz="0" w:space="0" w:color="auto"/>
      </w:divBdr>
    </w:div>
    <w:div w:id="2118942482">
      <w:bodyDiv w:val="1"/>
      <w:marLeft w:val="0"/>
      <w:marRight w:val="0"/>
      <w:marTop w:val="0"/>
      <w:marBottom w:val="0"/>
      <w:divBdr>
        <w:top w:val="none" w:sz="0" w:space="0" w:color="auto"/>
        <w:left w:val="none" w:sz="0" w:space="0" w:color="auto"/>
        <w:bottom w:val="none" w:sz="0" w:space="0" w:color="auto"/>
        <w:right w:val="none" w:sz="0" w:space="0" w:color="auto"/>
      </w:divBdr>
    </w:div>
    <w:div w:id="2141218472">
      <w:bodyDiv w:val="1"/>
      <w:marLeft w:val="0"/>
      <w:marRight w:val="0"/>
      <w:marTop w:val="0"/>
      <w:marBottom w:val="0"/>
      <w:divBdr>
        <w:top w:val="none" w:sz="0" w:space="0" w:color="auto"/>
        <w:left w:val="none" w:sz="0" w:space="0" w:color="auto"/>
        <w:bottom w:val="none" w:sz="0" w:space="0" w:color="auto"/>
        <w:right w:val="none" w:sz="0" w:space="0" w:color="auto"/>
      </w:divBdr>
      <w:divsChild>
        <w:div w:id="1774858427">
          <w:marLeft w:val="0"/>
          <w:marRight w:val="0"/>
          <w:marTop w:val="0"/>
          <w:marBottom w:val="0"/>
          <w:divBdr>
            <w:top w:val="none" w:sz="0" w:space="0" w:color="auto"/>
            <w:left w:val="none" w:sz="0" w:space="0" w:color="auto"/>
            <w:bottom w:val="none" w:sz="0" w:space="0" w:color="auto"/>
            <w:right w:val="none" w:sz="0" w:space="0" w:color="auto"/>
          </w:divBdr>
          <w:divsChild>
            <w:div w:id="172962295">
              <w:marLeft w:val="0"/>
              <w:marRight w:val="0"/>
              <w:marTop w:val="0"/>
              <w:marBottom w:val="0"/>
              <w:divBdr>
                <w:top w:val="none" w:sz="0" w:space="0" w:color="auto"/>
                <w:left w:val="none" w:sz="0" w:space="0" w:color="auto"/>
                <w:bottom w:val="none" w:sz="0" w:space="0" w:color="auto"/>
                <w:right w:val="none" w:sz="0" w:space="0" w:color="auto"/>
              </w:divBdr>
              <w:divsChild>
                <w:div w:id="16072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97/inf.0b013e318286c612" TargetMode="External"/><Relationship Id="rId26" Type="http://schemas.openxmlformats.org/officeDocument/2006/relationships/hyperlink" Target="https://pmc.ncbi.nlm.nih.gov/articles/PMC11163721/" TargetMode="External"/><Relationship Id="rId39" Type="http://schemas.openxmlformats.org/officeDocument/2006/relationships/hyperlink" Target="https://www.sciencedirect.com/journal/archives-de-pediatrie/vol/21/issue/7" TargetMode="External"/><Relationship Id="rId21" Type="http://schemas.openxmlformats.org/officeDocument/2006/relationships/hyperlink" Target="https://doi.org/10.1016/j.eclinm.2021.100727" TargetMode="External"/><Relationship Id="rId34" Type="http://schemas.openxmlformats.org/officeDocument/2006/relationships/hyperlink" Target="https://pmc.ncbi.nlm.nih.gov/articles/PMC12360106/" TargetMode="External"/><Relationship Id="rId42" Type="http://schemas.openxmlformats.org/officeDocument/2006/relationships/hyperlink" Target="https://doi.org/10.1111/jam.13169" TargetMode="External"/><Relationship Id="rId47" Type="http://schemas.openxmlformats.org/officeDocument/2006/relationships/hyperlink" Target="https://pubmed.ncbi.nlm.nih.gov/?term=%22Kabor%C3%A9%20F%22%5BAuthor%5D" TargetMode="External"/><Relationship Id="rId50" Type="http://schemas.openxmlformats.org/officeDocument/2006/relationships/hyperlink" Target="https://doi.org/10.1371/journal.pone.0270048" TargetMode="External"/><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mc.ncbi.nlm.nih.gov/articles/PMC4888801/" TargetMode="External"/><Relationship Id="rId29" Type="http://schemas.openxmlformats.org/officeDocument/2006/relationships/hyperlink" Target="https://pubmed.ncbi.nlm.nih.gov/?term=Langendorf+C&amp;cauthor_id=28705671" TargetMode="External"/><Relationship Id="rId11" Type="http://schemas.openxmlformats.org/officeDocument/2006/relationships/footer" Target="footer2.xml"/><Relationship Id="rId24" Type="http://schemas.openxmlformats.org/officeDocument/2006/relationships/hyperlink" Target="https://pmc.ncbi.nlm.nih.gov/articles/PMC5787245/" TargetMode="External"/><Relationship Id="rId32" Type="http://schemas.openxmlformats.org/officeDocument/2006/relationships/hyperlink" Target="https://pubmed.ncbi.nlm.nih.gov/?term=Murphy+RA&amp;cauthor_id=28705671" TargetMode="External"/><Relationship Id="rId37" Type="http://schemas.openxmlformats.org/officeDocument/2006/relationships/hyperlink" Target="https://doi.org/10.1093/jacamr/dlaa001" TargetMode="External"/><Relationship Id="rId40" Type="http://schemas.openxmlformats.org/officeDocument/2006/relationships/hyperlink" Target="https://doi.org/10.1016/j.arcped.2014.04.011" TargetMode="External"/><Relationship Id="rId45" Type="http://schemas.openxmlformats.org/officeDocument/2006/relationships/hyperlink" Target="https://pubmed.ncbi.nlm.nih.gov/?term=%22Ouedraogo%20AS%22%5BAuthor%5D" TargetMode="External"/><Relationship Id="rId53" Type="http://schemas.openxmlformats.org/officeDocument/2006/relationships/header" Target="header5.xml"/><Relationship Id="rId5" Type="http://schemas.openxmlformats.org/officeDocument/2006/relationships/webSettings" Target="webSettings.xml"/><Relationship Id="rId19" Type="http://schemas.openxmlformats.org/officeDocument/2006/relationships/hyperlink" Target="https://doi.org/10.1016/s2214-109x(18)30186-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pmc.ncbi.nlm.nih.gov/articles/PMC8275021/" TargetMode="External"/><Relationship Id="rId27" Type="http://schemas.openxmlformats.org/officeDocument/2006/relationships/hyperlink" Target="https://doi.org/10.1186/s13756-024-01417-1" TargetMode="External"/><Relationship Id="rId30" Type="http://schemas.openxmlformats.org/officeDocument/2006/relationships/hyperlink" Target="https://pubmed.ncbi.nlm.nih.gov/?term=Ford+N&amp;cauthor_id=28705671" TargetMode="External"/><Relationship Id="rId35" Type="http://schemas.openxmlformats.org/officeDocument/2006/relationships/hyperlink" Target="https://doi.org/10.4269/ajtmh.25-0035" TargetMode="External"/><Relationship Id="rId43" Type="http://schemas.openxmlformats.org/officeDocument/2006/relationships/hyperlink" Target="https://pmc.ncbi.nlm.nih.gov/articles/PMC5939661/" TargetMode="External"/><Relationship Id="rId48" Type="http://schemas.openxmlformats.org/officeDocument/2006/relationships/hyperlink" Target="https://pubmed.ncbi.nlm.nih.gov/27400864/"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016/j.jgar.2024.01.01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28/microbiolspec.vmbf-0016-2015" TargetMode="External"/><Relationship Id="rId25" Type="http://schemas.openxmlformats.org/officeDocument/2006/relationships/hyperlink" Target="https://doi.org/10.1186/s13756-018-0299-z" TargetMode="External"/><Relationship Id="rId33" Type="http://schemas.openxmlformats.org/officeDocument/2006/relationships/hyperlink" Target="https://doi.org/10.1016/j.ijantimicag.2017.07.002" TargetMode="External"/><Relationship Id="rId38" Type="http://schemas.openxmlformats.org/officeDocument/2006/relationships/hyperlink" Target="https://www.sciencedirect.com/journal/archives-de-pediatrie" TargetMode="External"/><Relationship Id="rId46" Type="http://schemas.openxmlformats.org/officeDocument/2006/relationships/hyperlink" Target="https://pubmed.ncbi.nlm.nih.gov/?term=%22Sanou%20M%22%5BAuthor%5D" TargetMode="External"/><Relationship Id="rId20" Type="http://schemas.openxmlformats.org/officeDocument/2006/relationships/hyperlink" Target="https://pmc.ncbi.nlm.nih.gov/articles/PMC7848759/" TargetMode="External"/><Relationship Id="rId41" Type="http://schemas.openxmlformats.org/officeDocument/2006/relationships/hyperlink" Target="https://doi.org/10.3390/antibiotics14080779"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4236/pp.2023.148020" TargetMode="External"/><Relationship Id="rId23" Type="http://schemas.openxmlformats.org/officeDocument/2006/relationships/hyperlink" Target="https://doi.org/10.1093/jacamr/dlab087" TargetMode="External"/><Relationship Id="rId28" Type="http://schemas.openxmlformats.org/officeDocument/2006/relationships/hyperlink" Target="https://pubmed.ncbi.nlm.nih.gov/?term=Bernab%C3%A9+KJ&amp;cauthor_id=28705671" TargetMode="External"/><Relationship Id="rId36" Type="http://schemas.openxmlformats.org/officeDocument/2006/relationships/hyperlink" Target="https://pmc.ncbi.nlm.nih.gov/articles/PMC8210261/" TargetMode="External"/><Relationship Id="rId49" Type="http://schemas.openxmlformats.org/officeDocument/2006/relationships/hyperlink" Target="https://pmc.ncbi.nlm.nih.gov/articles/PMC9202938/"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pubmed.ncbi.nlm.nih.gov/?term=Ronat+JB&amp;cauthor_id=28705671" TargetMode="External"/><Relationship Id="rId44" Type="http://schemas.openxmlformats.org/officeDocument/2006/relationships/hyperlink" Target="https://doi.org/10.1093/pubmed/fdw015" TargetMode="External"/><Relationship Id="rId5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amadoudioplabagmail.com\Desktop\Productions%20scientifiques\Articles\Article%20PPS%20CHNEAR\Bases%20Excel%20GLOBALPP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9F92-D840-A4E5-FC6B852783EF}"/>
              </c:ext>
            </c:extLst>
          </c:dPt>
          <c:dPt>
            <c:idx val="1"/>
            <c:invertIfNegative val="0"/>
            <c:bubble3D val="0"/>
            <c:spPr>
              <a:solidFill>
                <a:srgbClr val="FFFF00"/>
              </a:solidFill>
              <a:ln>
                <a:noFill/>
              </a:ln>
              <a:effectLst/>
            </c:spPr>
            <c:extLst>
              <c:ext xmlns:c16="http://schemas.microsoft.com/office/drawing/2014/chart" uri="{C3380CC4-5D6E-409C-BE32-E72D297353CC}">
                <c16:uniqueId val="{00000003-9F92-D840-A4E5-FC6B852783EF}"/>
              </c:ext>
            </c:extLst>
          </c:dPt>
          <c:dPt>
            <c:idx val="2"/>
            <c:invertIfNegative val="0"/>
            <c:bubble3D val="0"/>
            <c:spPr>
              <a:solidFill>
                <a:srgbClr val="92D050"/>
              </a:solidFill>
              <a:ln>
                <a:noFill/>
              </a:ln>
              <a:effectLst/>
            </c:spPr>
            <c:extLst>
              <c:ext xmlns:c16="http://schemas.microsoft.com/office/drawing/2014/chart" uri="{C3380CC4-5D6E-409C-BE32-E72D297353CC}">
                <c16:uniqueId val="{00000005-9F92-D840-A4E5-FC6B852783E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'tranche age'!$A$3:$B$6</c:f>
              <c:multiLvlStrCache>
                <c:ptCount val="4"/>
                <c:lvl>
                  <c:pt idx="0">
                    <c:v>EARLY CHILDHOOD</c:v>
                  </c:pt>
                  <c:pt idx="1">
                    <c:v>NEONATOLOGY</c:v>
                  </c:pt>
                  <c:pt idx="2">
                    <c:v>ADOLESCENCE</c:v>
                  </c:pt>
                  <c:pt idx="3">
                    <c:v>GREAT CHILDHOOD</c:v>
                  </c:pt>
                </c:lvl>
                <c:lvl>
                  <c:pt idx="0">
                    <c:v>3-60MOIS</c:v>
                  </c:pt>
                  <c:pt idx="1">
                    <c:v>0-2MOIS</c:v>
                  </c:pt>
                  <c:pt idx="2">
                    <c:v>121-180MOIS</c:v>
                  </c:pt>
                  <c:pt idx="3">
                    <c:v>61-120MOIS </c:v>
                  </c:pt>
                </c:lvl>
              </c:multiLvlStrCache>
            </c:multiLvlStrRef>
          </c:cat>
          <c:val>
            <c:numRef>
              <c:f>'tranche age'!$C$3:$C$6</c:f>
              <c:numCache>
                <c:formatCode>General</c:formatCode>
                <c:ptCount val="4"/>
                <c:pt idx="0">
                  <c:v>17</c:v>
                </c:pt>
                <c:pt idx="1">
                  <c:v>15</c:v>
                </c:pt>
                <c:pt idx="2">
                  <c:v>13</c:v>
                </c:pt>
                <c:pt idx="3">
                  <c:v>9</c:v>
                </c:pt>
              </c:numCache>
            </c:numRef>
          </c:val>
          <c:extLst>
            <c:ext xmlns:c16="http://schemas.microsoft.com/office/drawing/2014/chart" uri="{C3380CC4-5D6E-409C-BE32-E72D297353CC}">
              <c16:uniqueId val="{00000006-9F92-D840-A4E5-FC6B852783EF}"/>
            </c:ext>
          </c:extLst>
        </c:ser>
        <c:dLbls>
          <c:showLegendKey val="0"/>
          <c:showVal val="0"/>
          <c:showCatName val="0"/>
          <c:showSerName val="0"/>
          <c:showPercent val="0"/>
          <c:showBubbleSize val="0"/>
        </c:dLbls>
        <c:gapWidth val="219"/>
        <c:overlap val="-27"/>
        <c:axId val="-577302656"/>
        <c:axId val="-577302112"/>
      </c:barChart>
      <c:catAx>
        <c:axId val="-57730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577302112"/>
        <c:crosses val="autoZero"/>
        <c:auto val="1"/>
        <c:lblAlgn val="ctr"/>
        <c:lblOffset val="100"/>
        <c:noMultiLvlLbl val="0"/>
      </c:catAx>
      <c:valAx>
        <c:axId val="-5773021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577302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94B60-E5CD-41B4-89FF-76B71CEB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386</TotalTime>
  <Pages>8</Pages>
  <Words>3970</Words>
  <Characters>22633</Characters>
  <Application>Microsoft Office Word</Application>
  <DocSecurity>0</DocSecurity>
  <Lines>188</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26550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70</cp:revision>
  <cp:lastPrinted>1999-07-06T11:00:00Z</cp:lastPrinted>
  <dcterms:created xsi:type="dcterms:W3CDTF">2014-10-25T14:34:00Z</dcterms:created>
  <dcterms:modified xsi:type="dcterms:W3CDTF">2025-11-19T10:15:00Z</dcterms:modified>
</cp:coreProperties>
</file>