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631D" w14:textId="68FD2F5B" w:rsidR="0013405D" w:rsidRPr="007B7747" w:rsidRDefault="0013405D" w:rsidP="0013405D">
      <w:pPr>
        <w:spacing w:line="480" w:lineRule="auto"/>
        <w:jc w:val="center"/>
        <w:rPr>
          <w:rFonts w:ascii="Arial" w:hAnsi="Arial" w:cs="Arial"/>
          <w:b/>
          <w:bCs/>
          <w:sz w:val="28"/>
          <w:szCs w:val="28"/>
          <w:lang w:bidi="ar-IQ"/>
        </w:rPr>
      </w:pPr>
      <w:r w:rsidRPr="007B7747">
        <w:rPr>
          <w:rFonts w:ascii="Arial" w:hAnsi="Arial" w:cs="Arial"/>
          <w:b/>
          <w:bCs/>
          <w:sz w:val="28"/>
          <w:szCs w:val="28"/>
          <w:lang w:bidi="ar-IQ"/>
        </w:rPr>
        <w:t xml:space="preserve">Detection of Active Allergens Triggering Hypersensitivity </w:t>
      </w:r>
      <w:r w:rsidR="002E1A09" w:rsidRPr="007B7747">
        <w:rPr>
          <w:rFonts w:ascii="Arial" w:hAnsi="Arial" w:cs="Arial"/>
          <w:b/>
          <w:bCs/>
          <w:sz w:val="28"/>
          <w:szCs w:val="28"/>
          <w:lang w:bidi="ar-IQ"/>
        </w:rPr>
        <w:t>Among Residen</w:t>
      </w:r>
      <w:r w:rsidR="00337691" w:rsidRPr="007B7747">
        <w:rPr>
          <w:rFonts w:ascii="Arial" w:hAnsi="Arial" w:cs="Arial"/>
          <w:b/>
          <w:bCs/>
          <w:sz w:val="28"/>
          <w:szCs w:val="28"/>
          <w:lang w:bidi="ar-IQ"/>
        </w:rPr>
        <w:t>ts</w:t>
      </w:r>
      <w:r w:rsidR="002E1A09" w:rsidRPr="007B7747">
        <w:rPr>
          <w:rFonts w:ascii="Arial" w:hAnsi="Arial" w:cs="Arial"/>
          <w:b/>
          <w:bCs/>
          <w:sz w:val="28"/>
          <w:szCs w:val="28"/>
          <w:lang w:bidi="ar-IQ"/>
        </w:rPr>
        <w:t xml:space="preserve"> of </w:t>
      </w:r>
      <w:proofErr w:type="spellStart"/>
      <w:r w:rsidR="002E1A09" w:rsidRPr="007B7747">
        <w:rPr>
          <w:rFonts w:ascii="Arial" w:hAnsi="Arial" w:cs="Arial"/>
          <w:b/>
          <w:bCs/>
          <w:sz w:val="28"/>
          <w:szCs w:val="28"/>
          <w:lang w:bidi="ar-IQ"/>
        </w:rPr>
        <w:t>Basrah</w:t>
      </w:r>
      <w:proofErr w:type="spellEnd"/>
      <w:r w:rsidR="000875F1" w:rsidRPr="007B7747">
        <w:rPr>
          <w:rFonts w:ascii="Arial" w:hAnsi="Arial" w:cs="Arial"/>
          <w:b/>
          <w:bCs/>
          <w:sz w:val="28"/>
          <w:szCs w:val="28"/>
          <w:lang w:bidi="ar-IQ"/>
        </w:rPr>
        <w:t>, Iraq</w:t>
      </w:r>
    </w:p>
    <w:p w14:paraId="2A822EFF" w14:textId="77777777" w:rsidR="0013405D" w:rsidRPr="007B7747" w:rsidRDefault="0013405D" w:rsidP="0013405D">
      <w:pPr>
        <w:spacing w:line="480" w:lineRule="auto"/>
        <w:jc w:val="center"/>
        <w:rPr>
          <w:rFonts w:ascii="Arial" w:hAnsi="Arial" w:cs="Arial"/>
          <w:b/>
          <w:bCs/>
          <w:sz w:val="28"/>
          <w:szCs w:val="28"/>
          <w:lang w:bidi="ar-IQ"/>
        </w:rPr>
      </w:pPr>
    </w:p>
    <w:p w14:paraId="5F51AFD9" w14:textId="0E67DA4A" w:rsidR="0013405D" w:rsidRPr="007B7747" w:rsidRDefault="009C2548" w:rsidP="0013405D">
      <w:pPr>
        <w:spacing w:line="480" w:lineRule="auto"/>
        <w:jc w:val="center"/>
        <w:rPr>
          <w:rFonts w:ascii="Arial" w:hAnsi="Arial" w:cs="Arial"/>
          <w:b/>
          <w:bCs/>
          <w:lang w:bidi="ar-IQ"/>
        </w:rPr>
      </w:pPr>
      <w:r w:rsidRPr="007B7747">
        <w:rPr>
          <w:rFonts w:ascii="Arial" w:hAnsi="Arial" w:cs="Arial"/>
          <w:b/>
          <w:bCs/>
          <w:lang w:bidi="ar-IQ"/>
        </w:rPr>
        <w:t>ABSTRACT</w:t>
      </w:r>
    </w:p>
    <w:p w14:paraId="58427A05" w14:textId="7F0B7116" w:rsidR="002B572B" w:rsidRPr="007B7747" w:rsidRDefault="0013405D" w:rsidP="002B572B">
      <w:pPr>
        <w:spacing w:line="480" w:lineRule="auto"/>
        <w:jc w:val="both"/>
        <w:rPr>
          <w:rFonts w:ascii="Arial" w:hAnsi="Arial" w:cs="Arial"/>
        </w:rPr>
      </w:pPr>
      <w:r w:rsidRPr="007B7747">
        <w:rPr>
          <w:rFonts w:ascii="Arial" w:hAnsi="Arial" w:cs="Arial"/>
          <w:b/>
          <w:bCs/>
          <w:szCs w:val="22"/>
          <w:lang w:bidi="ar-IQ"/>
        </w:rPr>
        <w:t>Background:</w:t>
      </w:r>
      <w:r w:rsidRPr="007B7747">
        <w:rPr>
          <w:rFonts w:ascii="Arial" w:hAnsi="Arial" w:cs="Arial"/>
          <w:szCs w:val="22"/>
          <w:lang w:bidi="ar-IQ"/>
        </w:rPr>
        <w:t xml:space="preserve"> </w:t>
      </w:r>
      <w:r w:rsidRPr="007B7747">
        <w:rPr>
          <w:rFonts w:ascii="Arial" w:hAnsi="Arial" w:cs="Arial"/>
          <w:lang w:bidi="ar-IQ"/>
        </w:rPr>
        <w:t>Environmental aeroallergens and dietary allergens significantly contribute to hypersensitivity reactions</w:t>
      </w:r>
      <w:r w:rsidR="009B12FF" w:rsidRPr="007B7747">
        <w:rPr>
          <w:rFonts w:ascii="Arial" w:hAnsi="Arial" w:cs="Arial"/>
          <w:lang w:bidi="ar-IQ"/>
        </w:rPr>
        <w:t>.</w:t>
      </w:r>
      <w:r w:rsidRPr="007B7747">
        <w:rPr>
          <w:rFonts w:ascii="Arial" w:hAnsi="Arial" w:cs="Arial"/>
          <w:lang w:bidi="ar-IQ"/>
        </w:rPr>
        <w:t xml:space="preserve"> </w:t>
      </w:r>
      <w:r w:rsidR="009B12FF" w:rsidRPr="007B7747">
        <w:rPr>
          <w:rFonts w:ascii="Arial" w:hAnsi="Arial" w:cs="Arial"/>
          <w:lang w:bidi="ar-IQ"/>
        </w:rPr>
        <w:t>T</w:t>
      </w:r>
      <w:r w:rsidRPr="007B7747">
        <w:rPr>
          <w:rFonts w:ascii="Arial" w:hAnsi="Arial" w:cs="Arial"/>
          <w:lang w:bidi="ar-IQ"/>
        </w:rPr>
        <w:t xml:space="preserve">heir impact in Basrah province </w:t>
      </w:r>
      <w:r w:rsidR="009B12FF" w:rsidRPr="007B7747">
        <w:rPr>
          <w:rFonts w:ascii="Arial" w:hAnsi="Arial" w:cs="Arial"/>
          <w:lang w:bidi="ar-IQ"/>
        </w:rPr>
        <w:t xml:space="preserve">residence </w:t>
      </w:r>
      <w:r w:rsidRPr="007B7747">
        <w:rPr>
          <w:rFonts w:ascii="Arial" w:hAnsi="Arial" w:cs="Arial"/>
          <w:lang w:bidi="ar-IQ"/>
        </w:rPr>
        <w:t xml:space="preserve">remains unclear. </w:t>
      </w:r>
      <w:r w:rsidRPr="007B7747">
        <w:rPr>
          <w:rFonts w:ascii="Arial" w:hAnsi="Arial" w:cs="Arial"/>
          <w:b/>
          <w:bCs/>
          <w:lang w:bidi="ar-IQ"/>
        </w:rPr>
        <w:t>Objective:</w:t>
      </w:r>
      <w:r w:rsidRPr="007B7747">
        <w:rPr>
          <w:rFonts w:ascii="Arial" w:hAnsi="Arial" w:cs="Arial"/>
          <w:lang w:bidi="ar-IQ"/>
        </w:rPr>
        <w:t xml:space="preserve"> Understanding local allergen patterns is crucial for effective management and treatment of allergic reactions. </w:t>
      </w:r>
      <w:r w:rsidRPr="007B7747">
        <w:rPr>
          <w:rFonts w:ascii="Arial" w:eastAsia="Arial" w:hAnsi="Arial" w:cs="Arial"/>
          <w:b/>
          <w:bCs/>
        </w:rPr>
        <w:t>Materials and Methods:</w:t>
      </w:r>
      <w:r w:rsidRPr="007B7747">
        <w:rPr>
          <w:rFonts w:ascii="Arial" w:hAnsi="Arial" w:cs="Arial"/>
          <w:lang w:bidi="ar-IQ"/>
        </w:rPr>
        <w:t xml:space="preserve"> A total of 410 eligible participants who </w:t>
      </w:r>
      <w:r w:rsidR="00B5435B" w:rsidRPr="007B7747">
        <w:rPr>
          <w:rFonts w:ascii="Arial" w:hAnsi="Arial" w:cs="Arial"/>
          <w:lang w:bidi="ar-IQ"/>
        </w:rPr>
        <w:t xml:space="preserve">were </w:t>
      </w:r>
      <w:r w:rsidRPr="007B7747">
        <w:rPr>
          <w:rFonts w:ascii="Arial" w:hAnsi="Arial" w:cs="Arial"/>
          <w:lang w:bidi="ar-IQ"/>
        </w:rPr>
        <w:t xml:space="preserve">clinically diagnosed </w:t>
      </w:r>
      <w:r w:rsidR="000C4892" w:rsidRPr="007B7747">
        <w:rPr>
          <w:rFonts w:ascii="Arial" w:hAnsi="Arial" w:cs="Arial"/>
          <w:lang w:bidi="ar-IQ"/>
        </w:rPr>
        <w:t xml:space="preserve">with </w:t>
      </w:r>
      <w:r w:rsidRPr="007B7747">
        <w:rPr>
          <w:rFonts w:ascii="Arial" w:hAnsi="Arial" w:cs="Arial"/>
          <w:lang w:bidi="ar-IQ"/>
        </w:rPr>
        <w:t xml:space="preserve">allergic conditions by certified specialists in Basrah province </w:t>
      </w:r>
      <w:r w:rsidR="0021209A" w:rsidRPr="007B7747">
        <w:rPr>
          <w:rFonts w:ascii="Arial" w:hAnsi="Arial" w:cs="Arial"/>
          <w:lang w:bidi="ar-IQ"/>
        </w:rPr>
        <w:t xml:space="preserve">were recruited using </w:t>
      </w:r>
      <w:r w:rsidR="00B5435B" w:rsidRPr="007B7747">
        <w:rPr>
          <w:rFonts w:ascii="Arial" w:hAnsi="Arial" w:cs="Arial"/>
          <w:lang w:bidi="ar-IQ"/>
        </w:rPr>
        <w:t xml:space="preserve">an </w:t>
      </w:r>
      <w:r w:rsidR="0021209A" w:rsidRPr="007B7747">
        <w:rPr>
          <w:rFonts w:ascii="Arial" w:hAnsi="Arial" w:cs="Arial"/>
          <w:lang w:bidi="ar-IQ"/>
        </w:rPr>
        <w:t xml:space="preserve">online </w:t>
      </w:r>
      <w:r w:rsidR="00B5435B" w:rsidRPr="007B7747">
        <w:rPr>
          <w:rFonts w:ascii="Arial" w:hAnsi="Arial" w:cs="Arial"/>
          <w:lang w:bidi="ar-IQ"/>
        </w:rPr>
        <w:t>platform</w:t>
      </w:r>
      <w:r w:rsidR="0021209A" w:rsidRPr="007B7747">
        <w:rPr>
          <w:rFonts w:ascii="Arial" w:hAnsi="Arial" w:cs="Arial"/>
          <w:lang w:bidi="ar-IQ"/>
        </w:rPr>
        <w:t xml:space="preserve"> </w:t>
      </w:r>
      <w:r w:rsidR="00A9407D" w:rsidRPr="007B7747">
        <w:rPr>
          <w:rFonts w:ascii="Arial" w:hAnsi="Arial" w:cs="Arial"/>
          <w:lang w:bidi="ar-IQ"/>
        </w:rPr>
        <w:t>questionnaire.</w:t>
      </w:r>
      <w:r w:rsidR="00C2151E" w:rsidRPr="007B7747">
        <w:rPr>
          <w:rFonts w:ascii="Arial" w:hAnsi="Arial" w:cs="Arial"/>
          <w:lang w:bidi="ar-IQ"/>
        </w:rPr>
        <w:t xml:space="preserve"> </w:t>
      </w:r>
      <w:r w:rsidRPr="007B7747">
        <w:rPr>
          <w:rFonts w:ascii="Arial" w:hAnsi="Arial" w:cs="Arial"/>
          <w:lang w:bidi="ar-IQ"/>
        </w:rPr>
        <w:t xml:space="preserve">This </w:t>
      </w:r>
      <w:r w:rsidR="006B2101" w:rsidRPr="007B7747">
        <w:rPr>
          <w:rStyle w:val="Strong"/>
          <w:rFonts w:ascii="Arial" w:eastAsia="MS Mincho" w:hAnsi="Arial" w:cs="Arial"/>
          <w:b w:val="0"/>
          <w:bCs w:val="0"/>
        </w:rPr>
        <w:t>cross-sectional study</w:t>
      </w:r>
      <w:r w:rsidR="006B2101" w:rsidRPr="007B7747">
        <w:rPr>
          <w:rFonts w:ascii="Arial" w:hAnsi="Arial" w:cs="Arial"/>
          <w:lang w:bidi="ar-IQ"/>
        </w:rPr>
        <w:t xml:space="preserve"> </w:t>
      </w:r>
      <w:r w:rsidRPr="007B7747">
        <w:rPr>
          <w:rFonts w:ascii="Arial" w:hAnsi="Arial" w:cs="Arial"/>
          <w:lang w:bidi="ar-IQ"/>
        </w:rPr>
        <w:t xml:space="preserve">was designed to investigate the prevalence of eight allergens: dust (house dust mites or outdoor dust), spices (hot sauce), fruits (kiwi), gluten (wheat bread), perfume (cosmetic), pollen, cleaning products (domestic hygienic products), and drug (penicillin). </w:t>
      </w:r>
      <w:r w:rsidRPr="007B7747">
        <w:rPr>
          <w:rFonts w:ascii="Arial" w:hAnsi="Arial" w:cs="Arial"/>
          <w:b/>
          <w:bCs/>
        </w:rPr>
        <w:t>Results:</w:t>
      </w:r>
      <w:r w:rsidRPr="007B7747">
        <w:rPr>
          <w:rFonts w:ascii="Arial" w:hAnsi="Arial" w:cs="Arial"/>
          <w:lang w:bidi="ar-IQ"/>
        </w:rPr>
        <w:t xml:space="preserve"> The study included 293 females and 117 males (aged 18–35 years). Immediate hypersensitivity reactions (52.9%) were more common than delayed reactions. Dust was identified as the leading allergen (30.73%), followed by spice (15.37%) and perfume (13.66%). Age-related patterns showed penicillin allergies in the oldest group</w:t>
      </w:r>
      <w:r w:rsidR="00B5435B" w:rsidRPr="007B7747">
        <w:rPr>
          <w:rFonts w:ascii="Arial" w:hAnsi="Arial" w:cs="Arial"/>
          <w:lang w:bidi="ar-IQ"/>
        </w:rPr>
        <w:t>,</w:t>
      </w:r>
      <w:r w:rsidRPr="007B7747">
        <w:rPr>
          <w:rFonts w:ascii="Arial" w:hAnsi="Arial" w:cs="Arial"/>
          <w:lang w:bidi="ar-IQ"/>
        </w:rPr>
        <w:t xml:space="preserve"> </w:t>
      </w:r>
      <w:r w:rsidR="00B5435B" w:rsidRPr="007B7747">
        <w:rPr>
          <w:rFonts w:ascii="Arial" w:hAnsi="Arial" w:cs="Arial"/>
          <w:lang w:bidi="ar-IQ"/>
        </w:rPr>
        <w:t xml:space="preserve">those </w:t>
      </w:r>
      <w:r w:rsidR="009A7365" w:rsidRPr="007B7747">
        <w:rPr>
          <w:rFonts w:ascii="Arial" w:hAnsi="Arial" w:cs="Arial"/>
          <w:lang w:bidi="ar-IQ"/>
        </w:rPr>
        <w:t>over</w:t>
      </w:r>
      <w:r w:rsidRPr="007B7747">
        <w:rPr>
          <w:rFonts w:ascii="Arial" w:hAnsi="Arial" w:cs="Arial"/>
          <w:lang w:bidi="ar-IQ"/>
        </w:rPr>
        <w:t xml:space="preserve"> 31 years</w:t>
      </w:r>
      <w:r w:rsidR="00B5435B" w:rsidRPr="007B7747">
        <w:rPr>
          <w:rFonts w:ascii="Arial" w:hAnsi="Arial" w:cs="Arial"/>
          <w:lang w:bidi="ar-IQ"/>
        </w:rPr>
        <w:t xml:space="preserve"> old,</w:t>
      </w:r>
      <w:r w:rsidRPr="007B7747">
        <w:rPr>
          <w:rFonts w:ascii="Arial" w:hAnsi="Arial" w:cs="Arial"/>
          <w:lang w:bidi="ar-IQ"/>
        </w:rPr>
        <w:t xml:space="preserve"> and gluten allergies in the youngest (18.7–20.7 years). Gluten triggered significantly higher symptom severity than other allergens (</w:t>
      </w:r>
      <w:r w:rsidR="00B43CD2" w:rsidRPr="007B7747">
        <w:rPr>
          <w:rFonts w:ascii="Arial" w:hAnsi="Arial" w:cs="Arial"/>
          <w:i/>
          <w:iCs/>
          <w:lang w:bidi="ar-IQ"/>
        </w:rPr>
        <w:t>P</w:t>
      </w:r>
      <w:r w:rsidRPr="007B7747">
        <w:rPr>
          <w:rFonts w:ascii="Arial" w:hAnsi="Arial" w:cs="Arial"/>
          <w:lang w:bidi="ar-IQ"/>
        </w:rPr>
        <w:t xml:space="preserve"> </w:t>
      </w:r>
      <w:r w:rsidR="00B43CD2" w:rsidRPr="007B7747">
        <w:rPr>
          <w:rFonts w:ascii="Arial" w:hAnsi="Arial" w:cs="Arial"/>
          <w:lang w:bidi="ar-IQ"/>
        </w:rPr>
        <w:t>=</w:t>
      </w:r>
      <w:r w:rsidRPr="007B7747">
        <w:rPr>
          <w:rFonts w:ascii="Arial" w:hAnsi="Arial" w:cs="Arial"/>
          <w:lang w:bidi="ar-IQ"/>
        </w:rPr>
        <w:t xml:space="preserve"> 0.001). </w:t>
      </w:r>
      <w:r w:rsidRPr="007B7747">
        <w:rPr>
          <w:rFonts w:ascii="Arial" w:hAnsi="Arial" w:cs="Arial"/>
          <w:b/>
          <w:bCs/>
          <w:lang w:bidi="ar-IQ"/>
        </w:rPr>
        <w:t>Conclusion:</w:t>
      </w:r>
      <w:r w:rsidRPr="007B7747">
        <w:rPr>
          <w:rFonts w:ascii="Arial" w:hAnsi="Arial" w:cs="Arial"/>
          <w:lang w:bidi="ar-IQ"/>
        </w:rPr>
        <w:t xml:space="preserve"> This study highlights dust as the primary allergen in Basrah. Gluten showed the highest severity despite having a low frequency </w:t>
      </w:r>
      <w:r w:rsidRPr="007B7747">
        <w:rPr>
          <w:rFonts w:ascii="Arial" w:hAnsi="Arial" w:cs="Arial"/>
        </w:rPr>
        <w:t>in younger individuals and is associated with symptom severity.</w:t>
      </w:r>
      <w:r w:rsidR="002B572B" w:rsidRPr="007B7747">
        <w:rPr>
          <w:rFonts w:ascii="Arial" w:hAnsi="Arial" w:cs="Arial"/>
        </w:rPr>
        <w:t xml:space="preserve"> </w:t>
      </w:r>
      <w:r w:rsidR="002B572B" w:rsidRPr="007B7747">
        <w:rPr>
          <w:rFonts w:ascii="Arial" w:hAnsi="Arial" w:cs="Arial"/>
          <w:lang w:bidi="ar-IQ"/>
        </w:rPr>
        <w:t xml:space="preserve">This article may help the province people </w:t>
      </w:r>
      <w:r w:rsidR="00595E58" w:rsidRPr="007B7747">
        <w:rPr>
          <w:rFonts w:ascii="Arial" w:hAnsi="Arial" w:cs="Arial"/>
          <w:lang w:bidi="ar-IQ"/>
        </w:rPr>
        <w:t>with</w:t>
      </w:r>
      <w:r w:rsidR="002B572B" w:rsidRPr="007B7747">
        <w:rPr>
          <w:rFonts w:ascii="Arial" w:hAnsi="Arial" w:cs="Arial"/>
          <w:lang w:bidi="ar-IQ"/>
        </w:rPr>
        <w:t xml:space="preserve"> their preventive healthcare measures with the help of allergen screening.</w:t>
      </w:r>
    </w:p>
    <w:p w14:paraId="6C8689AE" w14:textId="77777777" w:rsidR="0013405D" w:rsidRPr="007B7747" w:rsidRDefault="0013405D" w:rsidP="0013405D">
      <w:pPr>
        <w:pStyle w:val="NormalWeb"/>
        <w:spacing w:before="0" w:beforeAutospacing="0" w:after="0" w:afterAutospacing="0" w:line="480" w:lineRule="auto"/>
        <w:jc w:val="both"/>
        <w:rPr>
          <w:rStyle w:val="Strong"/>
          <w:rFonts w:ascii="Arial" w:eastAsiaTheme="majorEastAsia" w:hAnsi="Arial" w:cs="Arial"/>
        </w:rPr>
      </w:pPr>
    </w:p>
    <w:p w14:paraId="005CCEC0" w14:textId="43489F38" w:rsidR="0013405D" w:rsidRDefault="0013405D" w:rsidP="0013405D">
      <w:pPr>
        <w:pStyle w:val="NormalWeb"/>
        <w:spacing w:before="0" w:beforeAutospacing="0" w:after="0" w:afterAutospacing="0" w:line="480" w:lineRule="auto"/>
        <w:jc w:val="both"/>
        <w:rPr>
          <w:rFonts w:ascii="Arial" w:hAnsi="Arial" w:cs="Arial"/>
          <w:lang w:bidi="ar-IQ"/>
        </w:rPr>
      </w:pPr>
      <w:r w:rsidRPr="007B7747">
        <w:rPr>
          <w:rStyle w:val="Strong"/>
          <w:rFonts w:ascii="Arial" w:eastAsiaTheme="majorEastAsia" w:hAnsi="Arial" w:cs="Arial"/>
        </w:rPr>
        <w:t xml:space="preserve">Keywords: </w:t>
      </w:r>
      <w:r w:rsidRPr="007B7747">
        <w:rPr>
          <w:rFonts w:ascii="Arial" w:hAnsi="Arial" w:cs="Arial"/>
          <w:lang w:bidi="ar-IQ"/>
        </w:rPr>
        <w:t>Allergen; Dust; Hypersensitivity; Gluten</w:t>
      </w:r>
      <w:r w:rsidR="00EF738C" w:rsidRPr="007B7747">
        <w:rPr>
          <w:rFonts w:ascii="Arial" w:hAnsi="Arial" w:cs="Arial"/>
          <w:lang w:bidi="ar-IQ"/>
        </w:rPr>
        <w:t xml:space="preserve">; </w:t>
      </w:r>
      <w:proofErr w:type="spellStart"/>
      <w:r w:rsidR="00EF738C" w:rsidRPr="007B7747">
        <w:rPr>
          <w:rFonts w:ascii="Arial" w:hAnsi="Arial" w:cs="Arial"/>
          <w:lang w:bidi="ar-IQ"/>
        </w:rPr>
        <w:t>IgE</w:t>
      </w:r>
      <w:proofErr w:type="spellEnd"/>
      <w:r w:rsidR="00EF738C" w:rsidRPr="007B7747">
        <w:rPr>
          <w:rFonts w:ascii="Arial" w:hAnsi="Arial" w:cs="Arial"/>
          <w:lang w:bidi="ar-IQ"/>
        </w:rPr>
        <w:t>.</w:t>
      </w:r>
    </w:p>
    <w:p w14:paraId="54110D18" w14:textId="77777777" w:rsidR="00364AB1" w:rsidRPr="007B7747" w:rsidRDefault="00364AB1" w:rsidP="0013405D">
      <w:pPr>
        <w:pStyle w:val="NormalWeb"/>
        <w:spacing w:before="0" w:beforeAutospacing="0" w:after="0" w:afterAutospacing="0" w:line="480" w:lineRule="auto"/>
        <w:jc w:val="both"/>
        <w:rPr>
          <w:rFonts w:ascii="Arial" w:hAnsi="Arial" w:cs="Arial"/>
          <w:rtl/>
        </w:rPr>
      </w:pPr>
    </w:p>
    <w:p w14:paraId="221B5E35" w14:textId="5F3641DB" w:rsidR="0013405D" w:rsidRPr="007B7747" w:rsidRDefault="009C2548" w:rsidP="00F07716">
      <w:pPr>
        <w:pStyle w:val="ListParagraph"/>
        <w:numPr>
          <w:ilvl w:val="0"/>
          <w:numId w:val="1"/>
        </w:numPr>
        <w:spacing w:line="480" w:lineRule="auto"/>
        <w:jc w:val="center"/>
        <w:rPr>
          <w:rFonts w:ascii="Arial" w:hAnsi="Arial" w:cs="Arial"/>
          <w:b/>
          <w:bCs/>
          <w:lang w:bidi="ar-IQ"/>
        </w:rPr>
      </w:pPr>
      <w:r w:rsidRPr="007B7747">
        <w:rPr>
          <w:rFonts w:ascii="Arial" w:hAnsi="Arial" w:cs="Arial"/>
          <w:b/>
          <w:bCs/>
          <w:lang w:bidi="ar-IQ"/>
        </w:rPr>
        <w:lastRenderedPageBreak/>
        <w:t>INTRODUCTION</w:t>
      </w:r>
    </w:p>
    <w:p w14:paraId="0EF9E9E4" w14:textId="41213C82" w:rsidR="0013405D" w:rsidRPr="007B7747" w:rsidRDefault="0013405D" w:rsidP="0013405D">
      <w:pPr>
        <w:pStyle w:val="my-0"/>
        <w:spacing w:before="0" w:beforeAutospacing="0" w:after="0" w:afterAutospacing="0" w:line="480" w:lineRule="auto"/>
        <w:jc w:val="both"/>
        <w:rPr>
          <w:rFonts w:ascii="Arial" w:hAnsi="Arial" w:cs="Arial"/>
          <w:lang w:val="en-US"/>
        </w:rPr>
      </w:pPr>
      <w:r w:rsidRPr="007B7747">
        <w:rPr>
          <w:rFonts w:ascii="Arial" w:hAnsi="Arial" w:cs="Arial"/>
          <w:lang w:val="en-US"/>
        </w:rPr>
        <w:t xml:space="preserve">The pathogenesis of allergic diseases is complex and influenced by a combination of genetic, epigenetic, environmental, and immunological factors </w:t>
      </w:r>
      <w:r w:rsidRPr="007B7747">
        <w:rPr>
          <w:rFonts w:ascii="Arial" w:hAnsi="Arial" w:cs="Arial"/>
          <w:lang w:val="en-US"/>
        </w:rPr>
        <w:fldChar w:fldCharType="begin"/>
      </w:r>
      <w:r w:rsidR="00AF6B38" w:rsidRPr="007B7747">
        <w:rPr>
          <w:rFonts w:ascii="Arial" w:hAnsi="Arial" w:cs="Arial"/>
          <w:lang w:val="en-US"/>
        </w:rPr>
        <w:instrText xml:space="preserve"> ADDIN ZOTERO_ITEM CSL_CITATION {"citationID":"a244vhdhrtl","properties":{"formattedCitation":"(J. Wang et al., 2023)","plainCitation":"(J. Wang et al., 2023)","dontUpdate":true,"noteIndex":0},"citationItems":[{"id":8029,"uris":["http://zotero.org/users/2543086/items/9TL7LW7A"],"itemData":{"id":8029,"type":"article-journal","abstract":"Allergic diseases such as allergic rhinitis (AR), allergic asthma (AAS), atopic dermatitis (AD), food allergy (FA), and eczema are systemic diseases caused by an impaired immune system. Accompanied by high recurrence rates, the steadily rising incidence rates of these diseases are attracting increasing attention. The pathogenesis of allergic diseases is complex and involves many factors, including maternal-fetal environment, living environment, genetics, epigenetics, and the body’s immune status. The pathogenesis of allergic diseases exhibits a marked heterogeneity, with phenotype and endotype defining visible features and associated molecular mechanisms, respectively. With the rapid development of immunology, molecular biology, and biotechnology, many new biological drugs have been designed for the treatment of allergic diseases, including anti-immunoglobulin E (IgE), anti-interleukin (IL)-5, and anti-thymic stromal lymphopoietin (TSLP)/IL-4, to control symptoms. For doctors and scientists, it is becoming more and more important to understand the influencing factors, pathogenesis, and treatment progress of allergic diseases. This review aimed to assess the epidemiology, pathogenesis, and therapeutic interventions of allergic diseases, including AR, AAS, AD, and FA. We hope to help doctors and scientists understand allergic diseases systematically.","container-title":"Signal Transduction and Targeted Therapy","DOI":"10.1038/s41392-023-01344-4","ISSN":"2059-3635","issue":"1","journalAbbreviation":"Sig Transduct Target Ther","language":"en","license":"2023 The Author(s)","note":"publisher: Nature Publishing Group","page":"1-30","source":"www.nature.com","title":"Pathogenesis of allergic diseases and implications for therapeutic interventions","volume":"8","author":[{"family":"Wang","given":"Ji"},{"family":"Zhou","given":"Yumei"},{"family":"Zhang","given":"Honglei"},{"family":"Hu","given":"Linhan"},{"family":"Liu","given":"Juntong"},{"family":"Wang","given":"Lei"},{"family":"Wang","given":"Tianyi"},{"family":"Zhang","given":"Haiyun"},{"family":"Cong","given":"Linpeng"},{"family":"Wang","given":"Qi"}],"issued":{"date-parts":[["2023",3,24]]}}}],"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(Wang et al., 2023)</w:t>
      </w:r>
      <w:r w:rsidRPr="007B7747">
        <w:rPr>
          <w:rFonts w:ascii="Arial" w:hAnsi="Arial" w:cs="Arial"/>
          <w:lang w:val="en-US"/>
        </w:rPr>
        <w:fldChar w:fldCharType="end"/>
      </w:r>
      <w:r w:rsidRPr="007B7747">
        <w:rPr>
          <w:rStyle w:val="whitespace-nowrap"/>
          <w:rFonts w:ascii="Arial" w:hAnsi="Arial" w:cs="Arial"/>
          <w:lang w:val="en-US"/>
        </w:rPr>
        <w:t>.</w:t>
      </w:r>
      <w:r w:rsidRPr="007B7747">
        <w:rPr>
          <w:rFonts w:ascii="Arial" w:hAnsi="Arial" w:cs="Arial"/>
          <w:lang w:val="en-US"/>
        </w:rPr>
        <w:t xml:space="preserve"> The primary role of the immune system is to protect the human body against harmful antigens, including pathogens, such as bacteria, viruses, fungi, and other foreign invaders. It contains innate immunity, which provides non-specific defense, and adaptive immunity, which develops typically targeted responses to specific pathogens over time, working together to identify and eliminate potential threats </w:t>
      </w:r>
      <w:r w:rsidRPr="007B7747">
        <w:rPr>
          <w:rFonts w:ascii="Arial" w:hAnsi="Arial" w:cs="Arial"/>
          <w:lang w:val="en-US"/>
        </w:rPr>
        <w:fldChar w:fldCharType="begin"/>
      </w:r>
      <w:r w:rsidR="00AF6B38" w:rsidRPr="007B7747">
        <w:rPr>
          <w:rFonts w:ascii="Arial" w:hAnsi="Arial" w:cs="Arial"/>
          <w:lang w:val="en-US"/>
        </w:rPr>
        <w:instrText xml:space="preserve"> ADDIN ZOTERO_ITEM CSL_CITATION {"citationID":"ac5h5ntale","properties":{"formattedCitation":"(R. Wang et al., 2024)","plainCitation":"(R. Wang et al., 2024)","dontUpdate":true,"noteIndex":0},"citationItems":[{"id":7269,"uris":["http://zotero.org/users/2543086/items/7QCWVLZW"],"itemData":{"id":7269,"type":"article-journal","abstract":"The innate immune system serves as the body's first line of defense, utilizing pattern recognition receptors like Toll-like receptors to detect pathogens and initiate rapid response mechanisms. Following this initial response, adaptive immunity provides highly specific and sustained killing of pathogens via B cells, T cells, and antibodies. Traditionally, it has been assumed that innate immunity activates adaptive immunity; however, recent studies have revealed more complex interactions. This review provides a detailed dissection of the composition and function of the innate and adaptive immune systems, emphasizing their synergistic roles in physiological and pathological contexts, providing new insights into the link between these two forms of immunity. Precise regulation of both immune systems at the same time is more beneficial in the fight against immune-related diseases, for example, the cGAS–STING pathway has been found to play an important role in infections and cancers. In addition, this paper summarizes the challenges and future directions in the field of immunity, including the latest single-cell sequencing technologies, CAR-T cell therapy, and immune checkpoint inhibitors. By summarizing these developments, this review aims to enhance our understanding of the complexity interactions between innate and adaptive immunity and provides new perspectives in understanding the immune system.","container-title":"MedComm","DOI":"10.1002/mco2.714","ISSN":"2688-2663","issue":"10","language":"en","license":"© 2024 The Author(s). MedComm published by Sichuan International Medical Exchange &amp; Promotion Association (SCIMEA) and John Wiley &amp; Sons Australia, Ltd.","note":"_eprint: https://onlinelibrary.wiley.com/doi/pdf/10.1002/mco2.714","page":"e714","source":"Wiley Online Library","title":"The interaction of innate immune and adaptive immune system","volume":"5","author":[{"family":"Wang","given":"Ruyuan"},{"family":"Lan","given":"Caini"},{"family":"Benlagha","given":"Kamel"},{"family":"Camara","given":"Niels Olsen Saraiva"},{"family":"Miller","given":"Heather"},{"family":"Kubo","given":"Masato"},{"family":"Heegaard","given":"Steffen"},{"family":"Lee","given":"Pamela"},{"family":"Yang","given":"Lu"},{"family":"Forsman","given":"Huamei"},{"family":"Li","given":"Xingrui"},{"family":"Zhai","given":"Zhimin"},{"family":"Liu","given":"Chaohong"}],"issued":{"date-parts":[["2024"]]}}}],"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(Wang et al., 2024)</w:t>
      </w:r>
      <w:r w:rsidRPr="007B7747">
        <w:rPr>
          <w:rFonts w:ascii="Arial" w:hAnsi="Arial" w:cs="Arial"/>
          <w:lang w:val="en-US"/>
        </w:rPr>
        <w:fldChar w:fldCharType="end"/>
      </w:r>
      <w:r w:rsidRPr="007B7747">
        <w:rPr>
          <w:rFonts w:ascii="Arial" w:hAnsi="Arial" w:cs="Arial"/>
          <w:lang w:val="en-US"/>
        </w:rPr>
        <w:t xml:space="preserve">. However, misdirected immune response towards allergens results in allergic disease reactions. Allergic diseases are considered a significant global health concern, affecting millions of individuals of all ages and massive substantial burdens on patients’ quality of life and healthcare systems </w:t>
      </w:r>
      <w:r w:rsidRPr="007B7747">
        <w:rPr>
          <w:rFonts w:ascii="Arial" w:hAnsi="Arial" w:cs="Arial"/>
          <w:lang w:val="en-US"/>
        </w:rPr>
        <w:fldChar w:fldCharType="begin"/>
      </w:r>
      <w:r w:rsidR="00416159" w:rsidRPr="007B7747">
        <w:rPr>
          <w:rFonts w:ascii="Arial" w:hAnsi="Arial" w:cs="Arial"/>
          <w:lang w:val="en-US"/>
        </w:rPr>
        <w:instrText xml:space="preserve"> ADDIN ZOTERO_ITEM CSL_CITATION {"citationID":"ac60f0beub","properties":{"formattedCitation":"(Shin et al., 2023)","plainCitation":"(Shin et al., 2023)","noteIndex":0},"citationItems":[{"id":8147,"uris":["http://zotero.org/users/2543086/items/DCKSVV8Y"],"itemData":{"id":8147,"type":"article-journal","abstract":", Using data from the GBD 2019 study, we assessed the total cases and age-standardized prevalence of both asthma and atopic dermatitis in 204 countries and territories from 1990 to 2019., In 2019, there were a total of 262 million [95% UI: 224–309 million] cases of asthma and 171 million [95% UI: 165–178 million] total cases of AD globally; age-standardized prevalence rates were 3,416 [95% UI: 2,899–4,066] and 2,277 [95% UI: 2,192–2,369] per 100,000 population for asthma and atopic dermatitis, respectively, a 24.1% [95% UI: −27.2 to −20.8] decrease for asthma and a 4.3% [95% UI: 3.8–4.8] decrease for atopic dermatitis compared to baseline in 1990., Asthma and atopic dermatitis continue to cause significant morbidity worldwide, having increased in total prevalence and incidence cases worldwide, but having decreased in age-standardized prevalence rates from 1990 to 2019.","container-title":"Allergy","DOI":"10.1111/all.15807","ISSN":"0105-4538","issue":"8","journalAbbreviation":"Allergy","note":"PMID: 37431853\nPMCID: PMC10529296","page":"2232-2254","source":"PubMed Central","title":"Global, regional, and national burden of allergic disorders and their risk factors in 204 countries and territories, from 1990 to 2019: a systematic analysis for the Global Burden of Disease Study 2019","title-short":"Global, regional, and national burden of allergic disorders and their risk factors in 204 countries and territories, from 1990 to 2019","volume":"78","author":[{"family":"Shin","given":"Youn Ho"},{"family":"Hwang","given":"Jimin"},{"family":"Kwon","given":"Rosie"},{"family":"Lee","given":"Seung Won"},{"family":"Kim","given":"Min Seo"},{"family":"Shin","given":"Jae Il"},{"family":"Yon","given":"Dong Keon"}],"issued":{"date-parts":[["2023"]]}}}],"schema":"https://github.com/citation-style-language/schema/raw/master/csl-citation.json"}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(Shin et al., 2023)</w:t>
      </w:r>
      <w:r w:rsidRPr="007B7747">
        <w:rPr>
          <w:rFonts w:ascii="Arial" w:hAnsi="Arial" w:cs="Arial"/>
          <w:lang w:val="en-US"/>
        </w:rPr>
        <w:fldChar w:fldCharType="end"/>
      </w:r>
      <w:r w:rsidRPr="007B7747">
        <w:rPr>
          <w:rFonts w:ascii="Arial" w:hAnsi="Arial" w:cs="Arial"/>
          <w:lang w:val="en-US"/>
        </w:rPr>
        <w:t xml:space="preserve">. Allergens are typically harmless substances that exist in the environment, food, or medications that do not evoke an immune response. However, susceptible individuals can trigger a cascading series of immunological events, resulting in hypersensitivity reactions </w:t>
      </w:r>
      <w:r w:rsidRPr="007B7747">
        <w:rPr>
          <w:rFonts w:ascii="Arial" w:hAnsi="Arial" w:cs="Arial"/>
          <w:lang w:val="en-US"/>
        </w:rPr>
        <w:fldChar w:fldCharType="begin"/>
      </w:r>
      <w:r w:rsidR="00416159" w:rsidRPr="007B7747">
        <w:rPr>
          <w:rFonts w:ascii="Arial" w:hAnsi="Arial" w:cs="Arial"/>
          <w:lang w:val="en-US"/>
        </w:rPr>
        <w:instrText xml:space="preserve"> ADDIN ZOTERO_ITEM CSL_CITATION {"citationID":"a75i0q6jr3","properties":{"formattedCitation":"(Ogulur et al., 2025)","plainCitation":"(Ogulur et al., 2025)","noteIndex":0},"citationItems":[{"id":8031,"uris":["http://zotero.org/users/2543086/items/7VTF4HPB"],"itemData":{"id":8031,"type":"article-journal","abstract":"Significant advancements have been made in understanding the cellular and molecular mechanisms of type 2 immunity in allergic diseases such as asthma, allergic rhinitis, chronic rhinosinusitis, eosinophilic esophagitis (EoE), food and drug allergies, and atopic dermatitis (AD). Type 2 immunity has evolved to protect against parasitic diseases and toxins, plays a role in the expulsion of parasites and larvae from inner tissues to the lumen and outside the body, maintains microbe-rich skin and mucosal epithelial barriers and counterbalances the type 1 immune response and its destructive effects. During the development of a type 2 immune response, an innate immune response initiates starting from epithelial cells and innate lymphoid cells (ILCs), including dendritic cells and macrophages, and translates to adaptive T and B-cell immunity, particularly IgE antibody production. Eosinophils, mast cells and basophils have effects on effector functions. Cytokines from ILC2s and CD4+ helper type 2 (Th2) cells, CD8 + T cells, and NK-T cells, along with myeloid cells, including IL-4, IL-5, IL-9, and IL-13, initiate and sustain allergic inflammation via T cell cells, eosinophils, and ILC2s; promote IgE class switching; and open the epithelial barrier. Epithelial cell activation, alarmin release and barrier dysfunction are key in the development of not only allergic diseases but also many other systemic diseases. Recent biologics targeting the pathways and effector functions of IL4/IL13, IL-5, and IgE have shown promising results for almost all ages, although some patients with severe allergic diseases do not respond to these therapies, highlighting the unmet need for a more detailed and personalized approach.","container-title":"Cellular &amp; Molecular Immunology","DOI":"10.1038/s41423-025-01261-2","ISSN":"2042-0226","issue":"3","journalAbbreviation":"Cell Mol Immunol","language":"en","license":"2025 The Author(s)","note":"publisher: Nature Publishing Group","page":"211-242","source":"www.nature.com","title":"Type 2 immunity in allergic diseases","volume":"22","author":[{"family":"Ogulur","given":"Ismail"},{"family":"Mitamura","given":"Yasutaka"},{"family":"Yazici","given":"Duygu"},{"family":"Pat","given":"Yagiz"},{"family":"Ardicli","given":"Sena"},{"family":"Li","given":"Manru"},{"family":"D’Avino","given":"Paolo"},{"family":"Beha","given":"Carina"},{"family":"Babayev","given":"Huseyn"},{"family":"Zhao","given":"Bingjie"},{"family":"Zeyneloglu","given":"Can"},{"family":"Giannelli Viscardi","given":"Oliva"},{"family":"Ardicli","given":"Ozge"},{"family":"Kiykim","given":"Ayca"},{"family":"Garcia-Sanchez","given":"Asuncion"},{"family":"Lopez","given":"Juan-Felipe"},{"family":"Shi","given":"Li-li"},{"family":"Yang","given":"Minglin"},{"family":"Schneider","given":"Stephan R."},{"family":"Skolnick","given":"Stephen"},{"family":"Dhir","given":"Raja"},{"family":"Radzikowska","given":"Urszula"},{"family":"Kulkarni","given":"Abhijeet J."},{"family":"Imam","given":"Manal Bel"},{"family":"Veen","given":"Willem","dropping-particle":"van de"},{"family":"Sokolowska","given":"Milena"},{"family":"Martin-Fontecha","given":"Mar"},{"family":"Palomares","given":"Oscar"},{"family":"Nadeau","given":"Kari C."},{"family":"Akdis","given":"Mubeccel"},{"family":"Akdis","given":"Cezmi A."}],"issued":{"date-parts":[["2025"]]}}}],"schema":"https://github.com/citation-style-language/schema/raw/master/csl-citation.json"}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(Ogulur et al., 2025)</w:t>
      </w:r>
      <w:r w:rsidRPr="007B7747">
        <w:rPr>
          <w:rFonts w:ascii="Arial" w:hAnsi="Arial" w:cs="Arial"/>
          <w:lang w:val="en-US"/>
        </w:rPr>
        <w:fldChar w:fldCharType="end"/>
      </w:r>
      <w:r w:rsidRPr="007B7747">
        <w:rPr>
          <w:rStyle w:val="whitespace-nowrap"/>
          <w:rFonts w:ascii="Arial" w:hAnsi="Arial" w:cs="Arial"/>
          <w:lang w:val="en-US"/>
        </w:rPr>
        <w:t>.</w:t>
      </w:r>
      <w:r w:rsidRPr="007B7747">
        <w:rPr>
          <w:rFonts w:ascii="Arial" w:hAnsi="Arial" w:cs="Arial"/>
          <w:lang w:val="en-US"/>
        </w:rPr>
        <w:t xml:space="preserve"> Pollens, dust mites, animal dander, insect venom, fungal spores, and certain foods, such as gluten, peanuts, shellfish, eggs, milk, and some medications, particularly penicillin, are typical examples of allergens </w:t>
      </w:r>
      <w:r w:rsidRPr="007B7747">
        <w:rPr>
          <w:rFonts w:ascii="Arial" w:hAnsi="Arial" w:cs="Arial"/>
          <w:lang w:val="en-US"/>
        </w:rPr>
        <w:fldChar w:fldCharType="begin"/>
      </w:r>
      <w:r w:rsidR="00AF6B38" w:rsidRPr="007B7747">
        <w:rPr>
          <w:rFonts w:ascii="Arial" w:hAnsi="Arial" w:cs="Arial"/>
          <w:lang w:val="en-US"/>
        </w:rPr>
        <w:instrText xml:space="preserve"> ADDIN ZOTERO_ITEM CSL_CITATION {"citationID":"a29h784v4b0","properties":{"formattedCitation":"(Shah &amp; Grammer, 2012)","plainCitation":"(Shah &amp; Grammer, 2012)","dontUpdate":true,"noteIndex":0},"citationItems":[{"id":8033,"uris":["http://zotero.org/users/2543086/items/QPCM8NSE"],"itemData":{"id":8033,"type":"article-journal","abstract":"Most allergens are proteins or glycoproteins that range in molecular weight from 5000 to 100,000 Da, although polysaccharides and low molecular weight substances also may be allergenic. Common allergens include pollens, fungal spores, house-dust mites, and animal epithelial materials but can also include drugs, biological products, and insect venoms. The allergic response is dependent on the route of exposure. If exposure is to an inhaled aeroallergen, the allergic response will be a respiratory reaction in nature. Ingested or injected exposure gives rise to gastrointestinal, cutaneous, or anaphylactic reactions. Size of pollen determines clinical manifestation of allergy. For example, particles between 20 and 60 μm in diameter can be carried in the wind and cause nasal and ocular symptoms (allergic rhinoconjunctivitis). Particles &lt;7 μm can deposit in the airways and cause symptoms of asthma. Animals produce allergens in forms unique to each species. Cat allergen, most importantly Fel d 1, is found mainly in cat saliva, sebaceous glands in the skin, and in urine of male cats. It is buoyant and \"sticky,\" which means it easily remains airborne and may last in a home for up to 6-9 months after the source is removed. Cat allergen adheres to clothes and can be found in public places such as schools. Dog allergen, particularly Can f 1, is present in dander, saliva, urine, and serum. There are allergens specific to dog breeds, but all breeds produce allergenic proteins (even poodles and \"hairless\" dogs).","container-title":"Allergy and Asthma Proceedings","DOI":"10.2500/aap.2012.33.3531","ISSN":"1539-6304","journalAbbreviation":"Allergy Asthma Proc","language":"eng","note":"PMID: 22794674","page":"2-5","source":"PubMed","title":"Chapter 1: an overview of allergens","title-short":"Chapter 1","volume":"33 Suppl 1","author":[{"family":"Shah","given":"Rachna"},{"family":"Grammer","given":"Leslie C."}],"issued":{"date-parts":[["2012"]]}}}],"schema":"https://github.com/citation-style-language/schema/raw/master/csl-citation.json"}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 xml:space="preserve">(Shah </w:t>
      </w:r>
      <w:r w:rsidR="00DD6C5F" w:rsidRPr="007B7747">
        <w:rPr>
          <w:rFonts w:ascii="Arial" w:hAnsi="Arial" w:cs="Arial"/>
        </w:rPr>
        <w:t>and</w:t>
      </w:r>
      <w:r w:rsidR="00416159" w:rsidRPr="007B7747">
        <w:rPr>
          <w:rFonts w:ascii="Arial" w:hAnsi="Arial" w:cs="Arial"/>
        </w:rPr>
        <w:t xml:space="preserve"> Grammer, 2012)</w:t>
      </w:r>
      <w:r w:rsidRPr="007B7747">
        <w:rPr>
          <w:rFonts w:ascii="Arial" w:hAnsi="Arial" w:cs="Arial"/>
          <w:lang w:val="en-US"/>
        </w:rPr>
        <w:fldChar w:fldCharType="end"/>
      </w:r>
      <w:r w:rsidRPr="007B7747">
        <w:rPr>
          <w:rFonts w:ascii="Arial" w:hAnsi="Arial" w:cs="Arial"/>
          <w:lang w:val="en-US"/>
        </w:rPr>
        <w:t xml:space="preserve">. In addition, chemical allergens with low molecular weights can stimulate the immune response, leading to chemical allergies, such as those caused by nano-plastics, pesticides, household cleaning materials, fragrances, and smoking </w:t>
      </w:r>
      <w:r w:rsidRPr="007B7747">
        <w:rPr>
          <w:rFonts w:ascii="Arial" w:hAnsi="Arial" w:cs="Arial"/>
          <w:lang w:val="en-US"/>
        </w:rPr>
        <w:fldChar w:fldCharType="begin"/>
      </w:r>
      <w:r w:rsidR="00416159" w:rsidRPr="007B7747">
        <w:rPr>
          <w:rFonts w:ascii="Arial" w:hAnsi="Arial" w:cs="Arial"/>
          <w:lang w:val="en-US"/>
        </w:rPr>
        <w:instrText xml:space="preserve"> ADDIN ZOTERO_ITEM CSL_CITATION {"citationID":"a1pff563m4k","properties":{"formattedCitation":"(Pallardy et al., 2023)","plainCitation":"(Pallardy et al., 2023)","noteIndex":0},"citationItems":[{"id":8035,"uris":["http://zotero.org/users/2543086/items/I9CXNPFN"],"itemData":{"id":8035,"type":"article-journal","abstract":"Allergic contact dermatitis is a widespread T cell-mediated inflammatory skin disease, but in vitro monitoring of chemical-specific T cells remains challenging. The work proposed by Curato et al., introduced short-term CD154/CD137 up regulation for the detection of human TNBS-specific CD4+ and CD8+ naive and memory T cells, combining a wellestablished technique for the generation of TNBS-induced T cell epitopes with recently developed AIM (activation-induced marker) assays for the detection of protein antigen and nickel-specific T cells. Peripheral blood mononuclear cells (PBMC) from healthy donor buffy coats were TNBS-modified and incubated with unmodified PBMC. Activated cells were sorted for re-stimulation and bulk T cell receptor (TCR) high-throughput sequencing (HTS). Among TNBS-specific CD4+ T cell clones and lines, 10/13 (77%) responded to TNBS re-stimulation with CD154 up regulation and the presence of different MHC II blocking antibody clones that prevented T cell activation, further confirm antigen-specificity and conventional MHC II restriction for TNBS-specific CD4+ T cells. Results were similar for TNBS-specific CD137+CD8+ memory T cell clones and lines. In summary, the detection of TNBS-specific T cells by CD154/CD137 up regulation is a fast, comprehensive and quantitative method. Combined with TCR HTS, the mechanisms of chemical allergen recognition that underlie unusually frequent T cell activation can be assessed.The immunological response in contact hypersensitivity (CHS) is incited by small electrophilic compounds, known as haptens, which react with endogenous proteins after skin absorption. However, the identity of hapten-modified proteins seen as immunogenic remains as yet largely unknown. Adduct measurements have mainly focused on the most abundant blood proteins, human serum albumin (Alb) and hemoglobin (Hb) and in the context of CHS, a large number of mainly in vitro studies have been conducted aiming at identifying the most reactive sites of relevant proteins. Despite the extensive mapping of the most reactive sites of relevant proteins, no protein-conjugates have been identified in vivo with the exception of the hapten-modified protein in the local lymph nodes of mice treated topically with the model hapten tetramethylrhodamine isothiocyanate (TRITC). The TRITC modification was located on the N-terminal proline of the protein macrophage migration inhibitory factor (MIF). Ndreu et al. focused their attention on the investigation about the presence of this hapten-protein conjugate in blood samples from mice treated topically with TRITC, on TRITC modifications of Alb and Hb, as well as TRITC modifications of MIF other than the N-terminal proline. A proteomic approach was applied to characterize conjugate formation of the aforementioned proteins, using high resolution mass spectrometry (HRMS). No Hb and Alb conjugates were detected. Quantification of both the TRITC-modified and unmodified N-terminal peptide of MIF in blood and lymph node samples gave interesting insights of MIF&amp;#39;s role in murine contact hypersensitivity. Incubation of MIF with four different haptens encompassing different reactivity mechanisms and potencies, showed adduct formation at different amino acid residues, suggesting that MIF can be the preferred target for a wide variety of haptens.The study provides essential progress toward understanding of hapten-protein conjugate formation in CHS and identifies hapten-modified MIF as a potential biomarker for this condition.Lipids are an important constituent of skin and resulted modified in many skin diseases including psoriasis and atopic dermatitis. The direct effects of common metallic contact allergens on the lipid composition of skin remain an aspect to be better investigated. Knox et al. described the skin lipid profiles in the stratum corneum and viable epidermis of ex vivo human skin from a female donor upon exposure to three metal allergens (nickel, cobalt and chromium). The time-of-flight secondary ion mass spectrometry (ToF-SIMS), which allows for simultaneous visualisation of both the allergen and skin components such as lipids, has been used. Multivariate analysis using partial least squares discriminant analysis (PLS-DA) indicated that the lipid profile of metal-treated skin was different to non-treated skin. Analysis of individual ions led to the discovery that cobalt and chromium induced increases in the content of diacylglycerols (DAG) in stratum corneum. Cobalt also induced increases in cholesterol in both the stratum corneum and viable epidermis, as well as monoacylglycerols (MAG) in the viable epidermis while chromium caused an increase in DAG in viable epidermis in addition to the stratum corneum. In contrast, nickel decreased MAG and DAG levels in viable epidermis. Results obtained in this study indicate that skin lipid content is likely to be altered upon topical exposure to metals, representing a potential implication for the molecular mechanisms by which contact allergens cause skin sensitization.Since their discovery nearly 40 years ago, B-1 cells have continued to challenge the boundaries between innate and adaptive immunity, as well as myeloid and lymphoid functions. In the Hieronimus and Huaux review, the multifaced role of the B-1 cells is described, highlighting their different roles in both homeostatic and pathological conditions, comprising contact-sensitivity-inducing chemicals. In addition to T cells, also B-1 cells are crucial in the development of contact sensitivity (CS) as supported by the evidence that the transfer of CS-B-1 cells is sufficient to induce CS in untreated mice. After skin sensitization, the hapten-self protein conjugates forming the neo antigens can be drained to the peritoneum, where they encounter and activate B-1 cells. Stimulated B-1 cells migrate to the spleen and lymph nodes via IL-4-related signaling and CXCL13 chemoattraction to produce IgM antibodies specific to the conjugates. This novel IgM circulates in the serum and leads to the recruitment of T cells in lymphoid organs within few hours. Finally, T cells are activated in the spleen by dendritic cells, which are derived from Langerhans cells that have processed neoantigens in the skin. These T cells become CS-effector T cells and return to circulation 4 days after CS initiation. During the second encounter with the chemical, the induced IgM targeting anti-hapten/self-protein conjugate is already circulating and is thus rapidly found in the skin. IgM produced by B-1 cells activates the classical complement pathway and promotes recruitment of T cells, including CS-effector T cells, to the skin for induction of inflammation. Taking into consideration this important evidence about the involvement of B-1 cells in CS, they should not be overlooked when developing new in vitro models for predicting the toxicity of chemical compounds.","container-title":"Frontiers in Toxicology","DOI":"10.3389/ftox.2023.1228175","ISSN":"2673-3080","journalAbbreviation":"Front. Toxicol.","language":"English","note":"publisher: Frontiers","page":"1228175","source":"Frontiers","title":"Editorial: Chemical allergy and the relevance of new models","title-short":"Editorial","volume":"5","author":[{"family":"Pallardy","given":"Marc"},{"family":"Galbiati","given":"Valentina"},{"family":"Martin","given":"Stefan F."}],"issued":{"date-parts":[["2023"]]}}}],"schema":"https://github.com/citation-style-language/schema/raw/master/csl-citation.json"}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(Pallardy et al., 2023)</w:t>
      </w:r>
      <w:r w:rsidRPr="007B7747">
        <w:rPr>
          <w:rFonts w:ascii="Arial" w:hAnsi="Arial" w:cs="Arial"/>
          <w:lang w:val="en-US"/>
        </w:rPr>
        <w:fldChar w:fldCharType="end"/>
      </w:r>
      <w:r w:rsidRPr="007B7747">
        <w:rPr>
          <w:rFonts w:ascii="Arial" w:hAnsi="Arial" w:cs="Arial"/>
          <w:lang w:val="en-US"/>
        </w:rPr>
        <w:t>. Inhalation, ingestion, and direct skin contact are the main routes of exposure to allergens, influencing the type and severity of the immune response</w:t>
      </w:r>
      <w:r w:rsidRPr="007B7747">
        <w:rPr>
          <w:rStyle w:val="whitespace-nowrap"/>
          <w:rFonts w:ascii="Arial" w:hAnsi="Arial" w:cs="Arial"/>
          <w:lang w:val="en-US"/>
        </w:rPr>
        <w:t xml:space="preserve"> and allergic reactions</w:t>
      </w:r>
      <w:r w:rsidRPr="007B7747">
        <w:rPr>
          <w:rFonts w:ascii="Arial" w:hAnsi="Arial" w:cs="Arial"/>
          <w:lang w:val="en-US"/>
        </w:rPr>
        <w:t xml:space="preserve"> </w:t>
      </w:r>
      <w:r w:rsidRPr="007B7747">
        <w:rPr>
          <w:rFonts w:ascii="Arial" w:hAnsi="Arial" w:cs="Arial"/>
          <w:lang w:val="en-US"/>
        </w:rPr>
        <w:fldChar w:fldCharType="begin"/>
      </w:r>
      <w:r w:rsidR="00416159" w:rsidRPr="007B7747">
        <w:rPr>
          <w:rFonts w:ascii="Arial" w:hAnsi="Arial" w:cs="Arial"/>
          <w:lang w:val="en-US"/>
        </w:rPr>
        <w:instrText xml:space="preserve"> ADDIN ZOTERO_ITEM CSL_CITATION {"citationID":"a14u96s3t22","properties":{"formattedCitation":"(Aldakheel, 2021)","plainCitation":"(Aldakheel, 2021)","noteIndex":0},"citationItems":[{"id":8037,"uris":["http://zotero.org/users/2543086/items/8JXNVGP3"],"itemData":{"id":8037,"type":"article-journal","abstract":"The prevalence of allergic diseases is regarded as one of the key challenges in health worldwide. Although the precise mechanisms underlying this rapid increase in prevalence are unknown, emerging evidence suggests that genetic and environmental factors play a significant role. The immune system, microbiota, viruses, and bacteria have all been linked to the onset of allergy disorders in recent years. Avoiding allergen exposure is the best treatment option; however, steroids, antihistamines, and other symptom-relieving drugs are also used. Allergen bioinformatics encompasses both computational tools/methods and allergen-related data resources for managing, archiving, and analyzing allergological data. This study highlights allergy-promoting mechanisms, algorithms, and concepts in allergen bioinformatics, as well as major areas for future research in the field of allergology.","container-title":"International Journal of Environmental Research and Public Health","DOI":"10.3390/ijerph182212105","ISSN":"1660-4601","issue":"22","language":"en","license":"http://creativecommons.org/licenses/by/3.0/","note":"number: 22\npublisher: Multidisciplinary Digital Publishing Institute","page":"12105","source":"www.mdpi.com","title":"Allergic Diseases: A Comprehensive Review on Risk Factors, Immunological Mechanisms, Link with COVID-19, Potential Treatments, and Role of Allergen Bioinformatics","title-short":"Allergic Diseases","volume":"18","author":[{"family":"Aldakheel","given":"Fahad M."}],"issued":{"date-parts":[["2021",1]]}}}],"schema":"https://github.com/citation-style-language/schema/raw/master/csl-citation.json"}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(Aldakheel, 2021)</w:t>
      </w:r>
      <w:r w:rsidRPr="007B7747">
        <w:rPr>
          <w:rFonts w:ascii="Arial" w:hAnsi="Arial" w:cs="Arial"/>
          <w:lang w:val="en-US"/>
        </w:rPr>
        <w:fldChar w:fldCharType="end"/>
      </w:r>
      <w:r w:rsidRPr="007B7747">
        <w:rPr>
          <w:rFonts w:ascii="Arial" w:hAnsi="Arial" w:cs="Arial"/>
          <w:lang w:val="en-US"/>
        </w:rPr>
        <w:t xml:space="preserve">. For instance, inhaled fungal spores, pollen, and house dust mite allergens primarily affect the respiratory tract, resulting in allergic rhinitis and asthma </w:t>
      </w:r>
      <w:r w:rsidRPr="007B7747">
        <w:rPr>
          <w:rFonts w:ascii="Arial" w:hAnsi="Arial" w:cs="Arial"/>
          <w:lang w:val="en-US"/>
        </w:rPr>
        <w:fldChar w:fldCharType="begin"/>
      </w:r>
      <w:r w:rsidR="00416159" w:rsidRPr="007B7747">
        <w:rPr>
          <w:rFonts w:ascii="Arial" w:hAnsi="Arial" w:cs="Arial"/>
          <w:lang w:val="en-US"/>
        </w:rPr>
        <w:instrText xml:space="preserve"> ADDIN ZOTERO_ITEM CSL_CITATION {"citationID":"akk2vdlhle","properties":{"formattedCitation":"(Sharpe et al., 2016)","plainCitation":"(Sharpe et al., 2016)","noteIndex":0},"citationItems":[{"id":2504,"uris":["http://zotero.org/users/2543086/items/BU6UM5K3"],"itemData":{"id":2504,"type":"article-journal","abstract":"The aim of this study was to determine the accuracy of monoclonal antibodies (mAbs) in identifying culturable allergenic fungi present in visible mould growth in energy efficient homes, and to identify risk factors for exposure to these known allergenic fungi. Swabs were taken from fungal contaminated surfaces and culturable yeasts and moulds isolated by using mycological culture. Soluble antigens from cultures were tested by ELISA using mAbs specific to the culturable allergenic fungi Aspergillus and Penicillium spp., Ulocladium, Alternaria, and Epicoccum spp., Cladosporium spp., Fusarium spp., and Trichoderma spp. Diagnostic accuracies of the ELISA tests were determined by sequencing of the internally transcribed spacer 1 (ITS1)-5.8S-ITS2-encoding regions of recovered fungi following ELISA. There was 100% concordance between the two methods, with ELISAs providing genus-level identity and ITS sequencing providing species-level identities (210 out of 210 tested). Species of Aspergillus/Penicillium, Cladosporium, Ulocladium/Alternaria/Epicoccum, Fusarium and Trichoderma were detected in 82% of the samples. The presence of condensation was associated with an increased risk of surfaces being contaminated by Aspergillus/Penicillium spp. and Cladosporium spp., whereas moisture within the building fabric (water ingress/rising damp) was only associated with increased risk of Aspergillus/Penicillium spp. Property type and energy efficiency levels were found to moderate the risk of indoor surfaces becoming contaminated with Aspergillus/Penicillium and Cladosporium which in turn was modified by the presence of condensation, water ingress and rising damp, consistent with previous literature.","container-title":"Environmental Research","DOI":"10.1016/j.envres.2015.10.029","ISSN":"1096-0953","issue":"Pt A","journalAbbreviation":"Environ. Res.","language":"eng","note":"PMID: 26546982","page":"32-42","source":"PubMed","title":"Identifying risk factors for exposure to culturable allergenic moulds in energy efficient homes by using highly specific monoclonal antibodies","volume":"144","author":[{"family":"Sharpe","given":"Richard A."},{"family":"Cocq","given":"Kate Le"},{"family":"Nikolaou","given":"Vasilis"},{"family":"Osborne","given":"Nicholas J."},{"family":"Thornton","given":"Christopher R."}],"issued":{"date-parts":[["2016",1]]}}}],"schema":"https://github.com/citation-style-language/schema/raw/master/csl-citation.json"}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(Sharpe et al., 2016)</w:t>
      </w:r>
      <w:r w:rsidRPr="007B7747">
        <w:rPr>
          <w:rFonts w:ascii="Arial" w:hAnsi="Arial" w:cs="Arial"/>
          <w:lang w:val="en-US"/>
        </w:rPr>
        <w:fldChar w:fldCharType="end"/>
      </w:r>
      <w:r w:rsidRPr="007B7747">
        <w:rPr>
          <w:rFonts w:ascii="Arial" w:hAnsi="Arial" w:cs="Arial"/>
          <w:lang w:val="en-US"/>
        </w:rPr>
        <w:t xml:space="preserve">. Ingested allergens, such as food proteins, can stimulate </w:t>
      </w:r>
      <w:r w:rsidR="00B76061" w:rsidRPr="007B7747">
        <w:rPr>
          <w:rFonts w:ascii="Arial" w:hAnsi="Arial" w:cs="Arial"/>
          <w:lang w:val="en-US"/>
        </w:rPr>
        <w:t xml:space="preserve">the </w:t>
      </w:r>
      <w:r w:rsidRPr="007B7747">
        <w:rPr>
          <w:rFonts w:ascii="Arial" w:hAnsi="Arial" w:cs="Arial"/>
          <w:lang w:val="en-US"/>
        </w:rPr>
        <w:t xml:space="preserve">gastrointestinal tract and systemic reactions, while skin contact with allergens like latex or certain metals may result in contact </w:t>
      </w:r>
      <w:r w:rsidRPr="007B7747">
        <w:rPr>
          <w:rFonts w:ascii="Arial" w:hAnsi="Arial" w:cs="Arial"/>
          <w:lang w:val="en-US"/>
        </w:rPr>
        <w:lastRenderedPageBreak/>
        <w:t xml:space="preserve">dermatitis </w:t>
      </w:r>
      <w:r w:rsidRPr="007B7747">
        <w:rPr>
          <w:rFonts w:ascii="Arial" w:hAnsi="Arial" w:cs="Arial"/>
          <w:lang w:val="en-US"/>
        </w:rPr>
        <w:fldChar w:fldCharType="begin"/>
      </w:r>
      <w:r w:rsidR="00416159" w:rsidRPr="007B7747">
        <w:rPr>
          <w:rFonts w:ascii="Arial" w:hAnsi="Arial" w:cs="Arial"/>
          <w:lang w:val="en-US"/>
        </w:rPr>
        <w:instrText xml:space="preserve"> ADDIN ZOTERO_ITEM CSL_CITATION {"citationID":"av8mon9ip","properties":{"formattedCitation":"(Klain et al., 2024)","plainCitation":"(Klain et al., 2024)","noteIndex":0},"citationItems":[{"id":8039,"uris":["http://zotero.org/users/2543086/items/Y4SZ6CVN"],"itemData":{"id":8039,"type":"article-journal","abstract":"This review provides a concise overview of preventive measures against dust mite allergies in pediatric populations, emphasizing the need for a comprehensive and evolving approach. Dust mites, ubiquitous microscopic arachnids, pose a significant threat to children’s health, triggering allergies and asthma. Traditional preventive strategies such as regular cleaning, mattress covers, and humidity control are essential but warrant refinement. Empowering children through personalized hygiene education and exploring innovative bedding solutions showcase a forward-thinking paradigm. Collaboration with healthcare professionals and embracing technology-driven solutions ensures a holistic and adaptable approach to safeguarding pediatric health against dust mite-related ailments. This abstract underscores the importance of continually reassessing and innovating preventive measures to create resilient and health-conscious living environments for children.","container-title":"Children","DOI":"10.3390/children11040469","ISSN":"2227-9067","issue":"4","language":"en","license":"http://creativecommons.org/licenses/by/3.0/","note":"number: 4\npublisher: Multidisciplinary Digital Publishing Institute","page":"469","source":"www.mdpi.com","title":"The Prevention of House Dust Mite Allergies in Pediatric Asthma","volume":"11","author":[{"family":"Klain","given":"Angela"},{"family":"Senatore","given":"Antonio Andrea"},{"family":"Licari","given":"Amelia"},{"family":"Galletta","given":"Francesca"},{"family":"Bettini","given":"Irene"},{"family":"Tomei","given":"Leonardo"},{"family":"Manti","given":"Sara"},{"family":"Mori","given":"Francesca"},{"family":"Miraglia del Giudice","given":"Michele"},{"family":"Indolfi","given":"Cristiana"}],"issued":{"date-parts":[["2024",4]]}}}],"schema":"https://github.com/citation-style-language/schema/raw/master/csl-citation.json"}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(Klain et al., 2024)</w:t>
      </w:r>
      <w:r w:rsidRPr="007B7747">
        <w:rPr>
          <w:rFonts w:ascii="Arial" w:hAnsi="Arial" w:cs="Arial"/>
          <w:lang w:val="en-US"/>
        </w:rPr>
        <w:fldChar w:fldCharType="end"/>
      </w:r>
      <w:r w:rsidRPr="007B7747">
        <w:rPr>
          <w:rFonts w:ascii="Arial" w:hAnsi="Arial" w:cs="Arial"/>
          <w:lang w:val="en-US"/>
        </w:rPr>
        <w:t>. Generally, there are four primary classifications of hypersensitivity reactions based on the immunological mechanisms and the speed of onset after exposure to the allergen</w:t>
      </w:r>
      <w:r w:rsidRPr="007B7747">
        <w:rPr>
          <w:rStyle w:val="whitespace-nowrap"/>
          <w:rFonts w:ascii="Arial" w:hAnsi="Arial" w:cs="Arial"/>
          <w:lang w:val="en-US"/>
        </w:rPr>
        <w:t>.</w:t>
      </w:r>
      <w:r w:rsidRPr="007B7747">
        <w:rPr>
          <w:rFonts w:ascii="Arial" w:hAnsi="Arial" w:cs="Arial"/>
          <w:lang w:val="en-US"/>
        </w:rPr>
        <w:t xml:space="preserve"> The most common type of hypersensitivity is type I, also known as immediate hypersensitivity, which is mediated by immunoglobulin E (IgE) through the activation of mast cells </w:t>
      </w:r>
      <w:r w:rsidRPr="007B7747">
        <w:rPr>
          <w:rFonts w:ascii="Arial" w:hAnsi="Arial" w:cs="Arial"/>
          <w:lang w:val="en-US"/>
        </w:rPr>
        <w:fldChar w:fldCharType="begin"/>
      </w:r>
      <w:r w:rsidR="00416159" w:rsidRPr="007B7747">
        <w:rPr>
          <w:rFonts w:ascii="Arial" w:hAnsi="Arial" w:cs="Arial"/>
          <w:lang w:val="en-US"/>
        </w:rPr>
        <w:instrText xml:space="preserve"> ADDIN ZOTERO_ITEM CSL_CITATION {"citationID":"ap4maj4iri","properties":{"formattedCitation":"(Feng et al., 2024)","plainCitation":"(Feng et al., 2024)","noteIndex":0},"citationItems":[{"id":7286,"uris":["http://zotero.org/users/2543086/items/W584DXAG"],"itemData":{"id":7286,"type":"article-journal","container-title":"Frontiers in Allergy","DOI":"10.3389/falgy.2024.1481011","ISSN":"2673-6101","journalAbbreviation":"Front. Allergy","language":"English","note":"publisher: Frontiers","source":"Frontiers","title":"Allergenic protein-induced type I hypersensitivity models: a review","volume":"5","author":[{"family":"Feng","given":"Yanhua"},{"family":"Xu","given":"Liangyu"},{"family":"Zhang","given":"Jinming"},{"family":"Bin","given":"Jinlian"},{"family":"Pang","given":"Xialing"},{"family":"He","given":"Sheng"},{"family":"Fang","given":"Lei"}],"issued":{"date-parts":[["2024"]]}}}],"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(Feng et al., 2024)</w:t>
      </w:r>
      <w:r w:rsidRPr="007B7747">
        <w:rPr>
          <w:rFonts w:ascii="Arial" w:hAnsi="Arial" w:cs="Arial"/>
          <w:lang w:val="en-US"/>
        </w:rPr>
        <w:fldChar w:fldCharType="end"/>
      </w:r>
      <w:r w:rsidRPr="007B7747">
        <w:rPr>
          <w:rFonts w:ascii="Arial" w:hAnsi="Arial" w:cs="Arial"/>
          <w:lang w:val="en-US"/>
        </w:rPr>
        <w:t xml:space="preserve">. Type I hypersensitivity includes two stages, which are sensitization, where the first exposure to an allergen leads to allergen-specific IgE production, and the effector stage, where subsequent exposure triggers IgE crosslinking on mast cells and basophils, resulting in the rapid release of inflammatory mediators, primarily histamine and prostaglandins </w:t>
      </w:r>
      <w:r w:rsidRPr="007B7747">
        <w:rPr>
          <w:rFonts w:ascii="Arial" w:hAnsi="Arial" w:cs="Arial"/>
          <w:lang w:val="en-US"/>
        </w:rPr>
        <w:fldChar w:fldCharType="begin"/>
      </w:r>
      <w:r w:rsidR="00416159" w:rsidRPr="007B7747">
        <w:rPr>
          <w:rFonts w:ascii="Arial" w:hAnsi="Arial" w:cs="Arial"/>
          <w:lang w:val="en-US"/>
        </w:rPr>
        <w:instrText xml:space="preserve"> ADDIN ZOTERO_ITEM CSL_CITATION {"citationID":"as67i9rdq1","properties":{"formattedCitation":"(Aitella et al., 2025)","plainCitation":"(Aitella et al., 2025)","noteIndex":0},"citationItems":[{"id":8043,"uris":["http://zotero.org/users/2543086/items/8F2A3MLA"],"itemData":{"id":8043,"type":"article-journal","abstract":"Although mast cells have long been known, they are not yet fully understood. They are traditionally recognized for their role in allergic reactions through the IgE/FcεRI axis, but different groups of surface receptors have since been characterized, which appear to be involved in the manifestation of peculiar clinical features. In particular, MRGPRX2 has emerged as a crucial receptor involved in degranulating human skin mast cells. Because of mast cells’ close proximity to peripheral nerve endings, it may play a key role in neuroimmune interactions. This paper provides an overview of mast cell contributions to hypersensitivity and so-called “pseudoallergic” reactions, as well as an update on neuroinflammatory implications in the main models of airway and skin allergic diseases. In particular, the main cellular characteristics and the most relevant surface receptors involved in MC pathophysiology have been reappraised in light of recent advancements in MC research. Molecular and clinical aspects related to MC degranulation induced by IgE or MRGPRX2 have been analyzed and compared, along with their possible repercussions and limitations on future therapeutic perspectives.","container-title":"International Journal of Molecular Sciences","DOI":"10.3390/ijms26030927","ISSN":"1422-0067","issue":"3","language":"en","license":"http://creativecommons.org/licenses/by/3.0/","note":"number: 3\npublisher: Multidisciplinary Digital Publishing Institute","page":"927","source":"www.mdpi.com","title":"Mast Cells at the Crossroads of Hypersensitivity Reactions and Neurogenic Inflammation","volume":"26","author":[{"family":"Aitella","given":"Ernesto"},{"family":"Romano","given":"Ciro"},{"family":"Ginaldi","given":"Lia"},{"family":"Cozzolino","given":"Domenico"}],"issued":{"date-parts":[["2025",1]]}}}],"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(Aitella et al., 2025)</w:t>
      </w:r>
      <w:r w:rsidRPr="007B7747">
        <w:rPr>
          <w:rFonts w:ascii="Arial" w:hAnsi="Arial" w:cs="Arial"/>
          <w:lang w:val="en-US"/>
        </w:rPr>
        <w:fldChar w:fldCharType="end"/>
      </w:r>
      <w:r w:rsidRPr="007B7747">
        <w:rPr>
          <w:rFonts w:ascii="Arial" w:hAnsi="Arial" w:cs="Arial"/>
          <w:lang w:val="en-US"/>
        </w:rPr>
        <w:t xml:space="preserve">. Clinically, this manifests as symptoms ranging from mild (such as sneezing, itching, and hives) to severe and life-threatening (including anaphylaxis) </w:t>
      </w:r>
      <w:r w:rsidRPr="007B7747">
        <w:rPr>
          <w:rFonts w:ascii="Arial" w:hAnsi="Arial" w:cs="Arial"/>
          <w:lang w:val="en-US"/>
        </w:rPr>
        <w:fldChar w:fldCharType="begin"/>
      </w:r>
      <w:r w:rsidR="00416159" w:rsidRPr="007B7747">
        <w:rPr>
          <w:rFonts w:ascii="Arial" w:hAnsi="Arial" w:cs="Arial"/>
          <w:lang w:val="en-US"/>
        </w:rPr>
        <w:instrText xml:space="preserve"> ADDIN ZOTERO_ITEM CSL_CITATION {"citationID":"a2mtue4rgol","properties":{"formattedCitation":"(Abrams et al., 2024)","plainCitation":"(Abrams et al., 2024)","noteIndex":0},"citationItems":[{"id":8045,"uris":["http://zotero.org/users/2543086/items/8W279EFI"],"itemData":{"id":8045,"type":"article-journal","abstract":"Anaphylaxis is an acute, potentially fatal systemic hypersensitivity reaction with varied mechanisms and clinical presentations. Although prompt recognition and treatment of anaphylaxis are imperative, both patients and healthcare professionals often fail to recognize and diagnose its early signs. Clinical manifestations vary widely, however, the most common signs are cutaneous symptoms, including urticaria and angioedema. Immediate intramuscular administration of epinephrine into the anterolateral thigh is first-line therapy, and is always safe even if the diagnosis is uncertain. The mainstays of long-term management include specialist assessment, allergen avoidance measures, and the provision of an epinephrine auto-injector with an individualized anaphylaxis emergency plan. This article provides an overview of the causes, clinical features, diagnosis, and acute as well as long-term management of anaphylaxis.","container-title":"Allergy, Asthma &amp; Clinical Immunology","DOI":"10.1186/s13223-024-00926-3","ISSN":"1710-1492","issue":"3","journalAbbreviation":"Allergy, Asthma &amp; Clinical Immunology","page":"62","source":"BioMed Central","title":"Anaphylaxis","volume":"20","author":[{"family":"Abrams","given":"Elissa M."},{"family":"Alqurashi","given":"Waleed"},{"family":"Fischer","given":"David A."},{"family":"Vander Leek","given":"Timothy K."},{"family":"Ellis","given":"Anne K."}],"issued":{"date-parts":[["2024",12,9]]}}}],"schema":"https://github.com/citation-style-language/schema/raw/master/csl-citation.json"}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(Abrams et al., 2024)</w:t>
      </w:r>
      <w:r w:rsidRPr="007B7747">
        <w:rPr>
          <w:rFonts w:ascii="Arial" w:hAnsi="Arial" w:cs="Arial"/>
          <w:lang w:val="en-US"/>
        </w:rPr>
        <w:fldChar w:fldCharType="end"/>
      </w:r>
      <w:r w:rsidRPr="007B7747">
        <w:rPr>
          <w:rStyle w:val="whitespace-nowrap"/>
          <w:rFonts w:ascii="Arial" w:hAnsi="Arial" w:cs="Arial"/>
          <w:lang w:val="en-US"/>
        </w:rPr>
        <w:t>.</w:t>
      </w:r>
      <w:r w:rsidRPr="007B7747">
        <w:rPr>
          <w:rFonts w:ascii="Arial" w:hAnsi="Arial" w:cs="Arial"/>
          <w:lang w:val="en-US"/>
        </w:rPr>
        <w:t xml:space="preserve"> Type II and III hypersensitivity reactions are mediated by the overproduction of immunoglobulin IgG or IgM, which activate the complement system, often leading to cell destruction and associated disorders such as autoimmune hemolytic anemia or immune thrombocytopenia </w:t>
      </w:r>
      <w:r w:rsidRPr="007B7747">
        <w:rPr>
          <w:rFonts w:ascii="Arial" w:hAnsi="Arial" w:cs="Arial"/>
          <w:lang w:val="en-US"/>
        </w:rPr>
        <w:fldChar w:fldCharType="begin"/>
      </w:r>
      <w:r w:rsidR="00416159" w:rsidRPr="007B7747">
        <w:rPr>
          <w:rFonts w:ascii="Arial" w:hAnsi="Arial" w:cs="Arial"/>
          <w:lang w:val="en-US"/>
        </w:rPr>
        <w:instrText xml:space="preserve"> ADDIN ZOTERO_ITEM CSL_CITATION {"citationID":"av89rhfk09","properties":{"formattedCitation":"(Chan Gomez et al., 2020)","plainCitation":"(Chan Gomez et al., 2020)","noteIndex":0},"citationItems":[{"id":7290,"uris":["http://zotero.org/users/2543086/items/BBIL9MF7"],"itemData":{"id":7290,"type":"article-journal","abstract":"Drug-induced immune hemolytic anemia (DIIHA) is a rare cause of anemia. It is often difficult to distinguish from other causes of hemolytic anemia, thereby delaying diagnosis and treatment. Antibiotics, including penicillins and cephalosporins, are the drugs most often implicated in the development of DIIHA. Discontinuation of the offending agent is often sufficient for treatment. Here, we review the case of a 25-year-old Caucasian female who presented with jaundice and generalized weakness in the setting of outpatient treatment with amoxicillin-clavulanate due to sinus infection. Laboratory testing revealed transaminitis and hemolytic anemia. Direct antiglobulin test (DAT) revealed negative IgG and positive anti-C3. Cold agglutinin titer and Donath-Landsteiner test were negative. The patient was diagnosed with DIIHA most likely due to amoxicillin. She improved with drug cessation and a short course of glucocorticoids. Mechanism of DIIHA, workup, and management are subsequently reviewed.","container-title":"Cureus","DOI":"10.7759/cureus.8666","ISSN":"2168-8184","issue":"6","journalAbbreviation":"Cureus","note":"PMID: 32699666\nPMCID: PMC7370667","page":"e8666","source":"PubMed Central","title":"Drug-Induced Immune Hemolytic Anemia due to Amoxicillin-Clavulanate: A Case Report and Review","title-short":"Drug-Induced Immune Hemolytic Anemia due to Amoxicillin-Clavulanate","volume":"12","author":[{"family":"Chan Gomez","given":"Janet"},{"family":"Saleem","given":"Tabinda"},{"family":"Snyder","given":"Samantha"},{"family":"Joseph","given":"Maria"},{"family":"Kanderi","given":"Tejaswi"}],"issued":{"date-parts":[["2020"]]}}}],"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(Chan Gomez et al., 2020)</w:t>
      </w:r>
      <w:r w:rsidRPr="007B7747">
        <w:rPr>
          <w:rFonts w:ascii="Arial" w:hAnsi="Arial" w:cs="Arial"/>
          <w:lang w:val="en-US"/>
        </w:rPr>
        <w:fldChar w:fldCharType="end"/>
      </w:r>
      <w:r w:rsidRPr="007B7747">
        <w:rPr>
          <w:rFonts w:ascii="Arial" w:hAnsi="Arial" w:cs="Arial"/>
          <w:lang w:val="en-US"/>
        </w:rPr>
        <w:t xml:space="preserve">. Type IV hypersensitivity (delayed hypersensitivity) is a T-cell-mediated immune response that typically initiates 48 to 72 hours after allergen exposure, triggered by the activation of CD4+ and CD8+ T cells </w:t>
      </w:r>
      <w:r w:rsidRPr="007B7747">
        <w:rPr>
          <w:rFonts w:ascii="Arial" w:hAnsi="Arial" w:cs="Arial"/>
          <w:lang w:val="en-US"/>
        </w:rPr>
        <w:fldChar w:fldCharType="begin"/>
      </w:r>
      <w:r w:rsidR="00AF6B38" w:rsidRPr="007B7747">
        <w:rPr>
          <w:rFonts w:ascii="Arial" w:hAnsi="Arial" w:cs="Arial"/>
          <w:lang w:val="en-US"/>
        </w:rPr>
        <w:instrText xml:space="preserve"> ADDIN ZOTERO_ITEM CSL_CITATION {"citationID":"ajhsdq8i5a","properties":{"formattedCitation":"(Knol &amp; Gilles, 2022)","plainCitation":"(Knol &amp; Gilles, 2022)","dontUpdate":true,"noteIndex":0},"citationItems":[{"id":8049,"uris":["http://zotero.org/users/2543086/items/EXGVFHPQ"],"itemData":{"id":8049,"type":"chapter","abstract":"Hypersensitivity reactions are overreactions of the immune system clinically seen as allergic and autoimmune diseases. Gell and Coombs originally described four different types of hypersensitivity reactions almost 60 years ago, and their description still applies in large parts. However, some modifications and extensions have been included in original definition. Especially in allergic diseases, it became clear that often, multiple types of hypersensitivity reaction can occur simultaneously. This improved insight is not only important for a better understanding of hypersensitivity disorders, but is especially of importance for improved diagnostics and directing therapeutic interventions.","container-title":"Allergic Diseases – From Basic Mechanisms to Comprehensive Management and Prevention","event-place":"Cham","ISBN":"978-3-030-84048-8","language":"en","note":"DOI: 10.1007/164_2021_510","page":"31-41","publisher":"Springer International Publishing","publisher-place":"Cham","source":"Springer Link","title":"Allergy: Type I, II, III, and IV","title-short":"Allergy","URL":"https://doi.org/10.1007/164_2021_510","author":[{"family":"Knol","given":"Edward F."},{"family":"Gilles","given":"Stefanie"}],"editor":[{"family":"Traidl-Hoffmann","given":"Claudia"},{"family":"Zuberbier","given":"Torsten"},{"family":"Werfel","given":"Thomas"}],"accessed":{"date-parts":[["2025",6,1]]},"issued":{"date-parts":[["2022"]]}}}],"schema":"https://github.com/citation-style-language/schema/raw/master/csl-citation.json"} </w:instrText>
      </w:r>
      <w:r w:rsidRPr="007B7747">
        <w:rPr>
          <w:rFonts w:ascii="Arial" w:hAnsi="Arial" w:cs="Arial"/>
          <w:lang w:val="en-US"/>
        </w:rPr>
        <w:fldChar w:fldCharType="separate"/>
      </w:r>
      <w:r w:rsidR="00416159" w:rsidRPr="007B7747">
        <w:rPr>
          <w:rFonts w:ascii="Arial" w:hAnsi="Arial" w:cs="Arial"/>
        </w:rPr>
        <w:t xml:space="preserve">(Knol </w:t>
      </w:r>
      <w:r w:rsidR="00DD6C5F" w:rsidRPr="007B7747">
        <w:rPr>
          <w:rFonts w:ascii="Arial" w:hAnsi="Arial" w:cs="Arial"/>
        </w:rPr>
        <w:t>and</w:t>
      </w:r>
      <w:r w:rsidR="00416159" w:rsidRPr="007B7747">
        <w:rPr>
          <w:rFonts w:ascii="Arial" w:hAnsi="Arial" w:cs="Arial"/>
        </w:rPr>
        <w:t xml:space="preserve"> Gilles, 2022)</w:t>
      </w:r>
      <w:r w:rsidRPr="007B7747">
        <w:rPr>
          <w:rFonts w:ascii="Arial" w:hAnsi="Arial" w:cs="Arial"/>
          <w:lang w:val="en-US"/>
        </w:rPr>
        <w:fldChar w:fldCharType="end"/>
      </w:r>
      <w:r w:rsidRPr="007B7747">
        <w:rPr>
          <w:rStyle w:val="whitespace-nowrap"/>
          <w:rFonts w:ascii="Arial" w:hAnsi="Arial" w:cs="Arial"/>
          <w:lang w:val="en-US"/>
        </w:rPr>
        <w:t>.</w:t>
      </w:r>
      <w:r w:rsidRPr="007B7747">
        <w:rPr>
          <w:rFonts w:ascii="Arial" w:hAnsi="Arial" w:cs="Arial"/>
          <w:lang w:val="en-US"/>
        </w:rPr>
        <w:t xml:space="preserve"> The increasing trends of allergic diseases highlighted the urgent need for ongoing research into understanding the nature of allergens, their sources, and their mechanisms; this is essential for accurate diagnosis, effective management, and the development of novel therapeutic strategies. For this reason, this study was designed to investigate the nature of allergens and their sources</w:t>
      </w:r>
      <w:r w:rsidR="00D327C0" w:rsidRPr="007B7747">
        <w:rPr>
          <w:rFonts w:ascii="Arial" w:hAnsi="Arial" w:cs="Arial"/>
          <w:lang w:val="en-US"/>
        </w:rPr>
        <w:t xml:space="preserve"> in Basrah province especially with the increasing trend of allergic diseases during the last ten years.</w:t>
      </w:r>
      <w:r w:rsidRPr="007B7747">
        <w:rPr>
          <w:rFonts w:ascii="Arial" w:hAnsi="Arial" w:cs="Arial"/>
          <w:lang w:val="en-US"/>
        </w:rPr>
        <w:t xml:space="preserve"> </w:t>
      </w:r>
    </w:p>
    <w:p w14:paraId="248E79D4" w14:textId="77777777" w:rsidR="0013405D" w:rsidRPr="007B7747" w:rsidRDefault="0013405D" w:rsidP="0013405D">
      <w:pPr>
        <w:spacing w:line="480" w:lineRule="auto"/>
        <w:jc w:val="both"/>
        <w:rPr>
          <w:rFonts w:ascii="Arial" w:hAnsi="Arial" w:cs="Arial"/>
        </w:rPr>
      </w:pPr>
    </w:p>
    <w:p w14:paraId="14C72510" w14:textId="77777777" w:rsidR="0062307B" w:rsidRPr="007B7747" w:rsidRDefault="0062307B" w:rsidP="0013405D">
      <w:pPr>
        <w:spacing w:line="480" w:lineRule="auto"/>
        <w:jc w:val="both"/>
        <w:rPr>
          <w:rFonts w:ascii="Arial" w:hAnsi="Arial" w:cs="Arial"/>
        </w:rPr>
      </w:pPr>
    </w:p>
    <w:p w14:paraId="4010E7F3" w14:textId="1865E679" w:rsidR="0013405D" w:rsidRPr="007B7747" w:rsidRDefault="00D04249" w:rsidP="00F07716">
      <w:pPr>
        <w:pStyle w:val="jbd-Pendahul10"/>
        <w:numPr>
          <w:ilvl w:val="0"/>
          <w:numId w:val="1"/>
        </w:numPr>
        <w:spacing w:before="0" w:after="0" w:line="480" w:lineRule="auto"/>
        <w:rPr>
          <w:rFonts w:ascii="Arial" w:hAnsi="Arial"/>
          <w:sz w:val="24"/>
          <w:szCs w:val="24"/>
          <w:lang w:val="en-US"/>
        </w:rPr>
      </w:pPr>
      <w:r w:rsidRPr="007B7747">
        <w:rPr>
          <w:rFonts w:ascii="Arial" w:hAnsi="Arial"/>
          <w:caps w:val="0"/>
          <w:sz w:val="24"/>
          <w:szCs w:val="24"/>
          <w:lang w:val="en-US"/>
        </w:rPr>
        <w:t>MATERIALS AND METHODS</w:t>
      </w:r>
    </w:p>
    <w:p w14:paraId="639F1A79" w14:textId="009146DA" w:rsidR="0013405D" w:rsidRPr="007B7747" w:rsidRDefault="0013405D" w:rsidP="00F07716">
      <w:pPr>
        <w:pStyle w:val="BodyText"/>
        <w:numPr>
          <w:ilvl w:val="1"/>
          <w:numId w:val="1"/>
        </w:numPr>
        <w:rPr>
          <w:color w:val="auto"/>
        </w:rPr>
      </w:pPr>
      <w:r w:rsidRPr="007B7747">
        <w:rPr>
          <w:b/>
          <w:bCs/>
          <w:color w:val="auto"/>
        </w:rPr>
        <w:t xml:space="preserve">Study </w:t>
      </w:r>
      <w:r w:rsidR="00804ED0" w:rsidRPr="007B7747">
        <w:rPr>
          <w:b/>
          <w:bCs/>
          <w:color w:val="auto"/>
        </w:rPr>
        <w:t>D</w:t>
      </w:r>
      <w:r w:rsidRPr="007B7747">
        <w:rPr>
          <w:b/>
          <w:bCs/>
          <w:color w:val="auto"/>
        </w:rPr>
        <w:t xml:space="preserve">esign and </w:t>
      </w:r>
      <w:r w:rsidR="00804ED0" w:rsidRPr="007B7747">
        <w:rPr>
          <w:b/>
          <w:bCs/>
          <w:color w:val="auto"/>
        </w:rPr>
        <w:t>S</w:t>
      </w:r>
      <w:r w:rsidRPr="007B7747">
        <w:rPr>
          <w:b/>
          <w:bCs/>
          <w:color w:val="auto"/>
        </w:rPr>
        <w:t>amples</w:t>
      </w:r>
    </w:p>
    <w:p w14:paraId="69C7773C" w14:textId="0B1B6FC1" w:rsidR="0013405D" w:rsidRPr="007B7747" w:rsidRDefault="0013405D" w:rsidP="00CE2B18">
      <w:pPr>
        <w:pStyle w:val="BodyText"/>
        <w:rPr>
          <w:color w:val="auto"/>
        </w:rPr>
      </w:pPr>
      <w:r w:rsidRPr="007B7747">
        <w:rPr>
          <w:color w:val="auto"/>
        </w:rPr>
        <w:lastRenderedPageBreak/>
        <w:t xml:space="preserve">A structured questionnaire including nine questions was developed for this study to collect data about demographic information, allergic reactions, </w:t>
      </w:r>
      <w:r w:rsidR="00B76061" w:rsidRPr="007B7747">
        <w:rPr>
          <w:color w:val="auto"/>
        </w:rPr>
        <w:t>symptom</w:t>
      </w:r>
      <w:r w:rsidRPr="007B7747">
        <w:rPr>
          <w:color w:val="auto"/>
        </w:rPr>
        <w:t xml:space="preserve"> severity, and sources of allergens. This study was conducted from June to September 2024 among the Iraqi population in Basrah province. A total of 410 patients </w:t>
      </w:r>
      <w:r w:rsidR="00D57627" w:rsidRPr="007B7747">
        <w:rPr>
          <w:color w:val="auto"/>
        </w:rPr>
        <w:t>participated in this study by accessing an online questionnaire</w:t>
      </w:r>
      <w:r w:rsidR="00CE2B18" w:rsidRPr="007B7747">
        <w:rPr>
          <w:color w:val="auto"/>
        </w:rPr>
        <w:t>.</w:t>
      </w:r>
      <w:r w:rsidRPr="007B7747">
        <w:rPr>
          <w:color w:val="auto"/>
        </w:rPr>
        <w:t xml:space="preserve"> Eligible participants were adults aged 18 to 35 years residing in Basrah province with a clinically confirmed allergic condition</w:t>
      </w:r>
      <w:r w:rsidR="00A61A19" w:rsidRPr="007B7747">
        <w:rPr>
          <w:color w:val="auto"/>
        </w:rPr>
        <w:t xml:space="preserve"> by conducting </w:t>
      </w:r>
      <w:r w:rsidR="00A61A19" w:rsidRPr="007B7747">
        <w:rPr>
          <w:bCs/>
          <w:color w:val="auto"/>
        </w:rPr>
        <w:t>skin prick tests and serum IgE</w:t>
      </w:r>
      <w:r w:rsidR="006D677E" w:rsidRPr="007B7747">
        <w:rPr>
          <w:color w:val="auto"/>
        </w:rPr>
        <w:t>.</w:t>
      </w:r>
      <w:r w:rsidRPr="007B7747">
        <w:rPr>
          <w:color w:val="auto"/>
        </w:rPr>
        <w:t xml:space="preserve"> Diagnosis was verified by a specialist and formally documented in the registry of the Allergic and Asthma Center in Basrah, Iraq. Approval for all stages of the study was obtained from our Institutional </w:t>
      </w:r>
      <w:r w:rsidR="008B76C7" w:rsidRPr="007B7747">
        <w:rPr>
          <w:color w:val="auto"/>
        </w:rPr>
        <w:t xml:space="preserve">Scientific and </w:t>
      </w:r>
      <w:r w:rsidRPr="007B7747">
        <w:rPr>
          <w:color w:val="auto"/>
        </w:rPr>
        <w:t>Ethics Committee</w:t>
      </w:r>
      <w:r w:rsidR="00265299" w:rsidRPr="007B7747">
        <w:rPr>
          <w:color w:val="auto"/>
        </w:rPr>
        <w:t xml:space="preserve"> (No. </w:t>
      </w:r>
      <w:r w:rsidR="00202C73" w:rsidRPr="007B7747">
        <w:rPr>
          <w:color w:val="auto"/>
        </w:rPr>
        <w:t>S/</w:t>
      </w:r>
      <w:r w:rsidR="00265299" w:rsidRPr="007B7747">
        <w:rPr>
          <w:color w:val="auto"/>
        </w:rPr>
        <w:t>2</w:t>
      </w:r>
      <w:r w:rsidR="00C93F88" w:rsidRPr="007B7747">
        <w:rPr>
          <w:color w:val="auto"/>
        </w:rPr>
        <w:t>4</w:t>
      </w:r>
      <w:r w:rsidR="00265299" w:rsidRPr="007B7747">
        <w:rPr>
          <w:color w:val="auto"/>
        </w:rPr>
        <w:t>/09)</w:t>
      </w:r>
      <w:r w:rsidR="00BB6358" w:rsidRPr="007B7747">
        <w:rPr>
          <w:color w:val="auto"/>
        </w:rPr>
        <w:t>.</w:t>
      </w:r>
    </w:p>
    <w:p w14:paraId="70DFCBB1" w14:textId="77777777" w:rsidR="006644F4" w:rsidRPr="007B7747" w:rsidRDefault="006644F4" w:rsidP="00CA044B">
      <w:pPr>
        <w:pStyle w:val="BodyText"/>
        <w:rPr>
          <w:b/>
          <w:bCs/>
          <w:color w:val="auto"/>
        </w:rPr>
      </w:pPr>
    </w:p>
    <w:p w14:paraId="3A694F9D" w14:textId="1CDDF329" w:rsidR="00CA044B" w:rsidRPr="007B7747" w:rsidRDefault="00CA044B" w:rsidP="00F07716">
      <w:pPr>
        <w:pStyle w:val="BodyText"/>
        <w:numPr>
          <w:ilvl w:val="1"/>
          <w:numId w:val="1"/>
        </w:numPr>
        <w:rPr>
          <w:b/>
          <w:bCs/>
          <w:color w:val="auto"/>
        </w:rPr>
      </w:pPr>
      <w:r w:rsidRPr="007B7747">
        <w:rPr>
          <w:b/>
          <w:bCs/>
          <w:color w:val="auto"/>
        </w:rPr>
        <w:t>The Study Process</w:t>
      </w:r>
    </w:p>
    <w:p w14:paraId="75200A21" w14:textId="77777777" w:rsidR="00CA044B" w:rsidRPr="007B7747" w:rsidRDefault="00CA044B" w:rsidP="00CA044B">
      <w:pPr>
        <w:pStyle w:val="BodyText"/>
        <w:rPr>
          <w:color w:val="auto"/>
        </w:rPr>
      </w:pPr>
      <w:r w:rsidRPr="007B7747">
        <w:rPr>
          <w:color w:val="auto"/>
        </w:rPr>
        <w:t xml:space="preserve">The questionnaire was distributed electronically to populations by student groups, who were also encouraged to disseminate the questionnaire form. The electronic form was used to facilitate ease of access and participation. In this study, participation was voluntary. All participants were notified about the research purpose and their right to withdraw or cancel participation at any time without any consequences. Regular reminders were sent during the study to encourage participation and increase the response rate. </w:t>
      </w:r>
    </w:p>
    <w:p w14:paraId="24362C7D" w14:textId="77777777" w:rsidR="0013405D" w:rsidRPr="007B7747" w:rsidRDefault="0013405D" w:rsidP="0013405D">
      <w:pPr>
        <w:pStyle w:val="BodyText"/>
        <w:rPr>
          <w:b/>
          <w:bCs/>
          <w:color w:val="auto"/>
        </w:rPr>
      </w:pPr>
    </w:p>
    <w:p w14:paraId="4D557C45" w14:textId="1C2B7EE3" w:rsidR="0013405D" w:rsidRPr="007B7747" w:rsidRDefault="0013405D" w:rsidP="00F07716">
      <w:pPr>
        <w:pStyle w:val="BodyText"/>
        <w:numPr>
          <w:ilvl w:val="1"/>
          <w:numId w:val="1"/>
        </w:numPr>
        <w:rPr>
          <w:b/>
          <w:bCs/>
          <w:color w:val="auto"/>
        </w:rPr>
      </w:pPr>
      <w:r w:rsidRPr="007B7747">
        <w:rPr>
          <w:b/>
          <w:bCs/>
          <w:color w:val="auto"/>
        </w:rPr>
        <w:t>Statistical analysis</w:t>
      </w:r>
    </w:p>
    <w:p w14:paraId="638D3A22" w14:textId="7147A3AC" w:rsidR="0013405D" w:rsidRPr="007B7747" w:rsidRDefault="0013405D" w:rsidP="00717C13">
      <w:pPr>
        <w:pStyle w:val="BodyText"/>
        <w:rPr>
          <w:color w:val="auto"/>
        </w:rPr>
      </w:pPr>
      <w:r w:rsidRPr="007B7747">
        <w:rPr>
          <w:color w:val="auto"/>
        </w:rPr>
        <w:t>Statistical analysis was conducted using IBM SPSS Statistics (Version 25.0). Descriptive statistics summarized all relevant responses. A Chi-square goodness-of-fit test was employed to determine if observed categorical frequencies differed from expected distributions. Paired-samples t-tests with a Bonferroni correction were used to evaluate pairwise comparisons of mean</w:t>
      </w:r>
      <w:r w:rsidR="00C6077F" w:rsidRPr="007B7747">
        <w:rPr>
          <w:color w:val="auto"/>
        </w:rPr>
        <w:t>s</w:t>
      </w:r>
      <w:r w:rsidRPr="007B7747">
        <w:rPr>
          <w:color w:val="auto"/>
        </w:rPr>
        <w:t xml:space="preserve">. </w:t>
      </w:r>
      <w:r w:rsidR="00293BAE" w:rsidRPr="007B7747">
        <w:rPr>
          <w:color w:val="auto"/>
        </w:rPr>
        <w:t xml:space="preserve">A one-way ANOVA was used to assess differences in mean age across eight allergen groups, with Games-Howell for post-hoc comparisons </w:t>
      </w:r>
      <w:r w:rsidR="00717C13" w:rsidRPr="007B7747">
        <w:rPr>
          <w:color w:val="auto"/>
        </w:rPr>
        <w:t xml:space="preserve">when </w:t>
      </w:r>
      <w:r w:rsidR="00293BAE" w:rsidRPr="007B7747">
        <w:rPr>
          <w:color w:val="auto"/>
        </w:rPr>
        <w:t>sample sizes and heterogeneous variances</w:t>
      </w:r>
      <w:r w:rsidR="00717C13" w:rsidRPr="007B7747">
        <w:rPr>
          <w:color w:val="auto"/>
        </w:rPr>
        <w:t xml:space="preserve"> </w:t>
      </w:r>
      <w:r w:rsidR="007E6456" w:rsidRPr="007B7747">
        <w:rPr>
          <w:color w:val="auto"/>
        </w:rPr>
        <w:t>were</w:t>
      </w:r>
      <w:r w:rsidR="00717C13" w:rsidRPr="007B7747">
        <w:rPr>
          <w:color w:val="auto"/>
        </w:rPr>
        <w:t xml:space="preserve"> unequal</w:t>
      </w:r>
      <w:r w:rsidR="00293BAE" w:rsidRPr="007B7747">
        <w:rPr>
          <w:color w:val="auto"/>
        </w:rPr>
        <w:t>.</w:t>
      </w:r>
      <w:r w:rsidR="00717C13" w:rsidRPr="007B7747">
        <w:rPr>
          <w:color w:val="auto"/>
        </w:rPr>
        <w:t xml:space="preserve"> </w:t>
      </w:r>
      <w:r w:rsidRPr="007B7747">
        <w:rPr>
          <w:color w:val="auto"/>
        </w:rPr>
        <w:t xml:space="preserve">All results are reported with 95% </w:t>
      </w:r>
      <w:r w:rsidRPr="007B7747">
        <w:rPr>
          <w:color w:val="auto"/>
        </w:rPr>
        <w:lastRenderedPageBreak/>
        <w:t>Confidence Intervals (95% CI), and the significance level for all tests was set at (</w:t>
      </w:r>
      <w:r w:rsidRPr="007B7747">
        <w:rPr>
          <w:i/>
          <w:iCs/>
          <w:color w:val="auto"/>
        </w:rPr>
        <w:t>p</w:t>
      </w:r>
      <w:r w:rsidRPr="007B7747">
        <w:rPr>
          <w:color w:val="auto"/>
        </w:rPr>
        <w:t>-value &lt; 0.05).</w:t>
      </w:r>
    </w:p>
    <w:p w14:paraId="38B514A1" w14:textId="77777777" w:rsidR="0013405D" w:rsidRPr="007B7747" w:rsidRDefault="0013405D" w:rsidP="0013405D">
      <w:pPr>
        <w:pStyle w:val="BodyText"/>
        <w:rPr>
          <w:color w:val="auto"/>
          <w:rtl/>
        </w:rPr>
      </w:pPr>
    </w:p>
    <w:p w14:paraId="15E53F74" w14:textId="3A7DE7B4" w:rsidR="0013405D" w:rsidRPr="007B7747" w:rsidRDefault="00D04249" w:rsidP="00F07716">
      <w:pPr>
        <w:pStyle w:val="ListParagraph"/>
        <w:numPr>
          <w:ilvl w:val="0"/>
          <w:numId w:val="1"/>
        </w:numPr>
        <w:spacing w:line="480" w:lineRule="auto"/>
        <w:jc w:val="center"/>
        <w:rPr>
          <w:rFonts w:ascii="Arial" w:hAnsi="Arial" w:cs="Arial"/>
          <w:b/>
          <w:bCs/>
          <w:rtl/>
        </w:rPr>
      </w:pPr>
      <w:r w:rsidRPr="007B7747">
        <w:rPr>
          <w:rFonts w:ascii="Arial" w:hAnsi="Arial" w:cs="Arial"/>
          <w:b/>
          <w:bCs/>
        </w:rPr>
        <w:t>RESULTS</w:t>
      </w:r>
    </w:p>
    <w:p w14:paraId="16C00C40" w14:textId="730B6609" w:rsidR="0013405D" w:rsidRPr="007B7747" w:rsidRDefault="0013405D" w:rsidP="00F07716">
      <w:pPr>
        <w:pStyle w:val="BodyText"/>
        <w:numPr>
          <w:ilvl w:val="1"/>
          <w:numId w:val="1"/>
        </w:numPr>
        <w:rPr>
          <w:b/>
          <w:bCs/>
          <w:color w:val="auto"/>
        </w:rPr>
      </w:pPr>
      <w:r w:rsidRPr="007B7747">
        <w:rPr>
          <w:b/>
          <w:bCs/>
          <w:color w:val="auto"/>
        </w:rPr>
        <w:t xml:space="preserve">Demographic </w:t>
      </w:r>
      <w:r w:rsidR="00F0073B" w:rsidRPr="007B7747">
        <w:rPr>
          <w:b/>
          <w:bCs/>
          <w:color w:val="auto"/>
        </w:rPr>
        <w:t>D</w:t>
      </w:r>
      <w:r w:rsidRPr="007B7747">
        <w:rPr>
          <w:b/>
          <w:bCs/>
          <w:color w:val="auto"/>
        </w:rPr>
        <w:t>istribution</w:t>
      </w:r>
    </w:p>
    <w:p w14:paraId="62CCBC4F" w14:textId="4620B625" w:rsidR="00A66CF7" w:rsidRPr="007B7747" w:rsidRDefault="0013405D" w:rsidP="0053103E">
      <w:pPr>
        <w:spacing w:line="480" w:lineRule="auto"/>
        <w:jc w:val="both"/>
        <w:rPr>
          <w:rFonts w:ascii="Arial" w:hAnsi="Arial" w:cs="Arial"/>
        </w:rPr>
      </w:pPr>
      <w:r w:rsidRPr="007B7747">
        <w:rPr>
          <w:rFonts w:ascii="Arial" w:hAnsi="Arial" w:cs="Arial"/>
        </w:rPr>
        <w:t xml:space="preserve">The age distribution of study participants revealed a predominantly young adult population, with ages ranging from 18 to 35 years (mean age = 24.53 years, median = 23 years). </w:t>
      </w:r>
      <w:r w:rsidR="00F60198" w:rsidRPr="007B7747">
        <w:rPr>
          <w:rFonts w:ascii="Arial" w:hAnsi="Arial" w:cs="Arial"/>
        </w:rPr>
        <w:br/>
      </w:r>
      <w:r w:rsidRPr="007B7747">
        <w:rPr>
          <w:rFonts w:ascii="Arial" w:hAnsi="Arial" w:cs="Arial"/>
        </w:rPr>
        <w:t>The study population was predominantly female (n=293, 71.5%) compared to male participants (n=117, 28.5%). The majority of patients resided in urban areas (n=234, 57.1%). Educational attainment showed that most participants held Bachelor's degrees (n=324, 79.02%), while a smaller proportion had completed high school education (n=86, 20.98%). Regarding hypersensitivity patterns, more than half of the study population exhibited immediate allergic reactions (n=217, 52.9%) compared to delayed-type hypersensitivity (n=193, 47.1%)</w:t>
      </w:r>
      <w:r w:rsidR="00615E5C" w:rsidRPr="007B7747">
        <w:rPr>
          <w:rFonts w:ascii="Arial" w:hAnsi="Arial" w:cs="Arial"/>
        </w:rPr>
        <w:t xml:space="preserve"> (</w:t>
      </w:r>
      <w:r w:rsidR="00615E5C" w:rsidRPr="007B7747">
        <w:rPr>
          <w:rFonts w:ascii="Arial" w:hAnsi="Arial" w:cs="Arial"/>
          <w:b/>
          <w:bCs/>
        </w:rPr>
        <w:t>Table 1</w:t>
      </w:r>
      <w:r w:rsidR="00615E5C" w:rsidRPr="007B7747">
        <w:rPr>
          <w:rFonts w:ascii="Arial" w:hAnsi="Arial" w:cs="Arial"/>
        </w:rPr>
        <w:t>)</w:t>
      </w:r>
      <w:r w:rsidR="008E4FAB" w:rsidRPr="007B7747">
        <w:rPr>
          <w:rFonts w:ascii="Arial" w:hAnsi="Arial" w:cs="Arial"/>
        </w:rPr>
        <w:t>.</w:t>
      </w:r>
    </w:p>
    <w:p w14:paraId="3993136F" w14:textId="77777777" w:rsidR="00CA7ECB" w:rsidRPr="007B7747" w:rsidRDefault="00CA7ECB" w:rsidP="0053103E">
      <w:pPr>
        <w:spacing w:line="480" w:lineRule="auto"/>
        <w:jc w:val="both"/>
        <w:rPr>
          <w:rFonts w:ascii="Arial" w:hAnsi="Arial" w:cs="Arial"/>
        </w:rPr>
      </w:pPr>
    </w:p>
    <w:p w14:paraId="29BEF7C8" w14:textId="434E932F" w:rsidR="00A66CF7" w:rsidRPr="007B7747" w:rsidRDefault="00A66CF7" w:rsidP="00A66CF7">
      <w:pPr>
        <w:spacing w:line="480" w:lineRule="auto"/>
        <w:rPr>
          <w:rFonts w:asciiTheme="minorBidi" w:hAnsiTheme="minorBidi" w:cstheme="minorBidi"/>
        </w:rPr>
      </w:pPr>
      <w:r w:rsidRPr="007B7747">
        <w:rPr>
          <w:rFonts w:asciiTheme="minorBidi" w:hAnsiTheme="minorBidi" w:cstheme="minorBidi"/>
          <w:b/>
          <w:bCs/>
        </w:rPr>
        <w:t xml:space="preserve">Table 1. </w:t>
      </w:r>
      <w:r w:rsidRPr="007B7747">
        <w:rPr>
          <w:rFonts w:asciiTheme="minorBidi" w:hAnsiTheme="minorBidi" w:cstheme="minorBidi"/>
        </w:rPr>
        <w:t xml:space="preserve">Demographic distribution of the sample population </w:t>
      </w:r>
      <w:r w:rsidR="00B76061" w:rsidRPr="007B7747">
        <w:rPr>
          <w:rFonts w:asciiTheme="minorBidi" w:hAnsiTheme="minorBidi" w:cstheme="minorBidi"/>
        </w:rPr>
        <w:t xml:space="preserve">that </w:t>
      </w:r>
      <w:r w:rsidRPr="007B7747">
        <w:rPr>
          <w:rFonts w:asciiTheme="minorBidi" w:hAnsiTheme="minorBidi" w:cstheme="minorBidi"/>
        </w:rPr>
        <w:t>participated in this study.</w:t>
      </w:r>
    </w:p>
    <w:tbl>
      <w:tblPr>
        <w:tblW w:w="4192" w:type="pct"/>
        <w:jc w:val="center"/>
        <w:tblLook w:val="04A0" w:firstRow="1" w:lastRow="0" w:firstColumn="1" w:lastColumn="0" w:noHBand="0" w:noVBand="1"/>
      </w:tblPr>
      <w:tblGrid>
        <w:gridCol w:w="2637"/>
        <w:gridCol w:w="1642"/>
        <w:gridCol w:w="1618"/>
        <w:gridCol w:w="2183"/>
      </w:tblGrid>
      <w:tr w:rsidR="007B7747" w:rsidRPr="007B7747" w14:paraId="7CA0AB52" w14:textId="77777777" w:rsidTr="00C809BF">
        <w:trPr>
          <w:trHeight w:val="20"/>
          <w:jc w:val="center"/>
        </w:trPr>
        <w:tc>
          <w:tcPr>
            <w:tcW w:w="1632" w:type="pct"/>
            <w:tcBorders>
              <w:top w:val="single" w:sz="4" w:space="0" w:color="auto"/>
              <w:bottom w:val="single" w:sz="4" w:space="0" w:color="auto"/>
            </w:tcBorders>
            <w:vAlign w:val="center"/>
            <w:hideMark/>
          </w:tcPr>
          <w:p w14:paraId="1E348CAC" w14:textId="77777777" w:rsidR="00A66CF7" w:rsidRPr="007B7747" w:rsidRDefault="00A66CF7" w:rsidP="0093587A">
            <w:pPr>
              <w:jc w:val="center"/>
              <w:rPr>
                <w:rFonts w:asciiTheme="minorBidi" w:hAnsiTheme="minorBidi" w:cstheme="minorBidi"/>
                <w:b/>
                <w:bCs/>
                <w:sz w:val="22"/>
                <w:szCs w:val="22"/>
              </w:rPr>
            </w:pPr>
            <w:r w:rsidRPr="007B7747">
              <w:rPr>
                <w:rFonts w:asciiTheme="minorBidi" w:hAnsiTheme="minorBidi" w:cstheme="minorBidi"/>
                <w:b/>
                <w:bCs/>
                <w:sz w:val="22"/>
                <w:szCs w:val="22"/>
              </w:rPr>
              <w:t>Variable</w:t>
            </w:r>
          </w:p>
        </w:tc>
        <w:tc>
          <w:tcPr>
            <w:tcW w:w="1016" w:type="pct"/>
            <w:tcBorders>
              <w:top w:val="single" w:sz="4" w:space="0" w:color="auto"/>
              <w:bottom w:val="single" w:sz="4" w:space="0" w:color="auto"/>
            </w:tcBorders>
            <w:vAlign w:val="center"/>
            <w:hideMark/>
          </w:tcPr>
          <w:p w14:paraId="6105743B" w14:textId="77777777" w:rsidR="00A66CF7" w:rsidRPr="007B7747" w:rsidRDefault="00A66CF7" w:rsidP="0093587A">
            <w:pPr>
              <w:jc w:val="center"/>
              <w:rPr>
                <w:rFonts w:asciiTheme="minorBidi" w:hAnsiTheme="minorBidi" w:cstheme="minorBidi"/>
                <w:b/>
                <w:bCs/>
                <w:sz w:val="22"/>
                <w:szCs w:val="22"/>
              </w:rPr>
            </w:pPr>
            <w:r w:rsidRPr="007B7747">
              <w:rPr>
                <w:rFonts w:asciiTheme="minorBidi" w:hAnsiTheme="minorBidi" w:cstheme="minorBidi"/>
                <w:b/>
                <w:bCs/>
                <w:sz w:val="22"/>
                <w:szCs w:val="22"/>
              </w:rPr>
              <w:t>Category</w:t>
            </w:r>
          </w:p>
        </w:tc>
        <w:tc>
          <w:tcPr>
            <w:tcW w:w="1001" w:type="pct"/>
            <w:tcBorders>
              <w:top w:val="single" w:sz="4" w:space="0" w:color="auto"/>
              <w:bottom w:val="single" w:sz="4" w:space="0" w:color="auto"/>
            </w:tcBorders>
            <w:vAlign w:val="center"/>
            <w:hideMark/>
          </w:tcPr>
          <w:p w14:paraId="2948DBCB" w14:textId="77777777" w:rsidR="00A66CF7" w:rsidRPr="007B7747" w:rsidRDefault="00A66CF7" w:rsidP="0093587A">
            <w:pPr>
              <w:jc w:val="center"/>
              <w:rPr>
                <w:rFonts w:asciiTheme="minorBidi" w:hAnsiTheme="minorBidi" w:cstheme="minorBidi"/>
                <w:b/>
                <w:bCs/>
                <w:sz w:val="22"/>
                <w:szCs w:val="22"/>
              </w:rPr>
            </w:pPr>
            <w:r w:rsidRPr="007B7747">
              <w:rPr>
                <w:rFonts w:asciiTheme="minorBidi" w:hAnsiTheme="minorBidi" w:cstheme="minorBidi"/>
                <w:b/>
                <w:bCs/>
                <w:sz w:val="22"/>
                <w:szCs w:val="22"/>
              </w:rPr>
              <w:t>Number (n)</w:t>
            </w:r>
          </w:p>
        </w:tc>
        <w:tc>
          <w:tcPr>
            <w:tcW w:w="1351" w:type="pct"/>
            <w:tcBorders>
              <w:top w:val="single" w:sz="4" w:space="0" w:color="auto"/>
              <w:bottom w:val="single" w:sz="4" w:space="0" w:color="auto"/>
            </w:tcBorders>
            <w:vAlign w:val="center"/>
            <w:hideMark/>
          </w:tcPr>
          <w:p w14:paraId="6B24C4D9" w14:textId="77777777" w:rsidR="00A66CF7" w:rsidRPr="007B7747" w:rsidRDefault="00A66CF7" w:rsidP="0093587A">
            <w:pPr>
              <w:jc w:val="center"/>
              <w:rPr>
                <w:rFonts w:asciiTheme="minorBidi" w:hAnsiTheme="minorBidi" w:cstheme="minorBidi"/>
                <w:b/>
                <w:bCs/>
                <w:sz w:val="22"/>
                <w:szCs w:val="22"/>
              </w:rPr>
            </w:pPr>
            <w:r w:rsidRPr="007B7747">
              <w:rPr>
                <w:rFonts w:asciiTheme="minorBidi" w:hAnsiTheme="minorBidi" w:cstheme="minorBidi"/>
                <w:b/>
                <w:bCs/>
                <w:sz w:val="22"/>
                <w:szCs w:val="22"/>
              </w:rPr>
              <w:t>Frequency (%)</w:t>
            </w:r>
          </w:p>
        </w:tc>
      </w:tr>
      <w:tr w:rsidR="007B7747" w:rsidRPr="007B7747" w14:paraId="155A5AAA" w14:textId="77777777" w:rsidTr="00C809BF">
        <w:trPr>
          <w:trHeight w:val="477"/>
          <w:jc w:val="center"/>
        </w:trPr>
        <w:tc>
          <w:tcPr>
            <w:tcW w:w="1632" w:type="pct"/>
            <w:vMerge w:val="restart"/>
            <w:tcBorders>
              <w:top w:val="single" w:sz="4" w:space="0" w:color="auto"/>
            </w:tcBorders>
            <w:vAlign w:val="center"/>
            <w:hideMark/>
          </w:tcPr>
          <w:p w14:paraId="3AD9579C" w14:textId="5DBDB70D" w:rsidR="00A66CF7" w:rsidRPr="007B7747" w:rsidRDefault="008C0A7D" w:rsidP="0093587A">
            <w:pPr>
              <w:jc w:val="center"/>
              <w:rPr>
                <w:rFonts w:asciiTheme="minorBidi" w:hAnsiTheme="minorBidi" w:cstheme="minorBidi"/>
                <w:b/>
                <w:bCs/>
                <w:sz w:val="22"/>
                <w:szCs w:val="22"/>
              </w:rPr>
            </w:pPr>
            <w:r w:rsidRPr="007B7747">
              <w:rPr>
                <w:rFonts w:asciiTheme="minorBidi" w:hAnsiTheme="minorBidi" w:cstheme="minorBidi"/>
                <w:b/>
                <w:bCs/>
                <w:sz w:val="22"/>
                <w:szCs w:val="22"/>
              </w:rPr>
              <w:t>Gender</w:t>
            </w:r>
          </w:p>
        </w:tc>
        <w:tc>
          <w:tcPr>
            <w:tcW w:w="1016" w:type="pct"/>
            <w:tcBorders>
              <w:top w:val="single" w:sz="4" w:space="0" w:color="auto"/>
            </w:tcBorders>
            <w:vAlign w:val="center"/>
            <w:hideMark/>
          </w:tcPr>
          <w:p w14:paraId="3F02C806"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Male</w:t>
            </w:r>
          </w:p>
        </w:tc>
        <w:tc>
          <w:tcPr>
            <w:tcW w:w="1001" w:type="pct"/>
            <w:tcBorders>
              <w:top w:val="single" w:sz="4" w:space="0" w:color="auto"/>
            </w:tcBorders>
            <w:vAlign w:val="center"/>
            <w:hideMark/>
          </w:tcPr>
          <w:p w14:paraId="68C06B8A"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117</w:t>
            </w:r>
          </w:p>
        </w:tc>
        <w:tc>
          <w:tcPr>
            <w:tcW w:w="1351" w:type="pct"/>
            <w:tcBorders>
              <w:top w:val="single" w:sz="4" w:space="0" w:color="auto"/>
            </w:tcBorders>
            <w:vAlign w:val="center"/>
            <w:hideMark/>
          </w:tcPr>
          <w:p w14:paraId="38EA7369"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28.5%</w:t>
            </w:r>
          </w:p>
        </w:tc>
      </w:tr>
      <w:tr w:rsidR="007B7747" w:rsidRPr="007B7747" w14:paraId="69330033" w14:textId="77777777" w:rsidTr="00C809BF">
        <w:trPr>
          <w:trHeight w:val="477"/>
          <w:jc w:val="center"/>
        </w:trPr>
        <w:tc>
          <w:tcPr>
            <w:tcW w:w="1632" w:type="pct"/>
            <w:vMerge/>
            <w:vAlign w:val="center"/>
            <w:hideMark/>
          </w:tcPr>
          <w:p w14:paraId="4654E53A" w14:textId="77777777" w:rsidR="00A66CF7" w:rsidRPr="007B7747" w:rsidRDefault="00A66CF7" w:rsidP="0093587A">
            <w:pPr>
              <w:rPr>
                <w:rFonts w:asciiTheme="minorBidi" w:hAnsiTheme="minorBidi" w:cstheme="minorBidi"/>
                <w:b/>
                <w:bCs/>
                <w:sz w:val="22"/>
                <w:szCs w:val="22"/>
              </w:rPr>
            </w:pPr>
          </w:p>
        </w:tc>
        <w:tc>
          <w:tcPr>
            <w:tcW w:w="1016" w:type="pct"/>
            <w:vAlign w:val="center"/>
            <w:hideMark/>
          </w:tcPr>
          <w:p w14:paraId="41EAC81F"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Female</w:t>
            </w:r>
          </w:p>
        </w:tc>
        <w:tc>
          <w:tcPr>
            <w:tcW w:w="1001" w:type="pct"/>
            <w:vAlign w:val="center"/>
            <w:hideMark/>
          </w:tcPr>
          <w:p w14:paraId="670C363C"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293</w:t>
            </w:r>
          </w:p>
        </w:tc>
        <w:tc>
          <w:tcPr>
            <w:tcW w:w="1351" w:type="pct"/>
            <w:vAlign w:val="center"/>
            <w:hideMark/>
          </w:tcPr>
          <w:p w14:paraId="5A8987FE"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71.5%</w:t>
            </w:r>
          </w:p>
        </w:tc>
      </w:tr>
      <w:tr w:rsidR="007B7747" w:rsidRPr="007B7747" w14:paraId="7F5EDB14" w14:textId="77777777" w:rsidTr="00C809BF">
        <w:trPr>
          <w:trHeight w:val="477"/>
          <w:jc w:val="center"/>
        </w:trPr>
        <w:tc>
          <w:tcPr>
            <w:tcW w:w="1632" w:type="pct"/>
            <w:vMerge w:val="restart"/>
            <w:vAlign w:val="center"/>
            <w:hideMark/>
          </w:tcPr>
          <w:p w14:paraId="649B9811" w14:textId="77777777" w:rsidR="00A66CF7" w:rsidRPr="007B7747" w:rsidRDefault="00A66CF7" w:rsidP="0093587A">
            <w:pPr>
              <w:jc w:val="center"/>
              <w:rPr>
                <w:rFonts w:asciiTheme="minorBidi" w:hAnsiTheme="minorBidi" w:cstheme="minorBidi"/>
                <w:b/>
                <w:bCs/>
                <w:sz w:val="22"/>
                <w:szCs w:val="22"/>
              </w:rPr>
            </w:pPr>
            <w:r w:rsidRPr="007B7747">
              <w:rPr>
                <w:rFonts w:asciiTheme="minorBidi" w:hAnsiTheme="minorBidi" w:cstheme="minorBidi"/>
                <w:b/>
                <w:bCs/>
                <w:sz w:val="22"/>
                <w:szCs w:val="22"/>
              </w:rPr>
              <w:t>Region</w:t>
            </w:r>
          </w:p>
        </w:tc>
        <w:tc>
          <w:tcPr>
            <w:tcW w:w="1016" w:type="pct"/>
            <w:noWrap/>
            <w:vAlign w:val="center"/>
            <w:hideMark/>
          </w:tcPr>
          <w:p w14:paraId="4025A176"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Rural</w:t>
            </w:r>
          </w:p>
        </w:tc>
        <w:tc>
          <w:tcPr>
            <w:tcW w:w="1001" w:type="pct"/>
            <w:noWrap/>
            <w:vAlign w:val="center"/>
            <w:hideMark/>
          </w:tcPr>
          <w:p w14:paraId="7EB00B2C"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176</w:t>
            </w:r>
          </w:p>
        </w:tc>
        <w:tc>
          <w:tcPr>
            <w:tcW w:w="1351" w:type="pct"/>
            <w:vAlign w:val="center"/>
            <w:hideMark/>
          </w:tcPr>
          <w:p w14:paraId="42A998FC"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42.9%</w:t>
            </w:r>
          </w:p>
        </w:tc>
      </w:tr>
      <w:tr w:rsidR="007B7747" w:rsidRPr="007B7747" w14:paraId="05C87C71" w14:textId="77777777" w:rsidTr="00C809BF">
        <w:trPr>
          <w:trHeight w:val="477"/>
          <w:jc w:val="center"/>
        </w:trPr>
        <w:tc>
          <w:tcPr>
            <w:tcW w:w="1632" w:type="pct"/>
            <w:vMerge/>
            <w:vAlign w:val="center"/>
            <w:hideMark/>
          </w:tcPr>
          <w:p w14:paraId="75077ECE" w14:textId="77777777" w:rsidR="00A66CF7" w:rsidRPr="007B7747" w:rsidRDefault="00A66CF7" w:rsidP="0093587A">
            <w:pPr>
              <w:rPr>
                <w:rFonts w:asciiTheme="minorBidi" w:hAnsiTheme="minorBidi" w:cstheme="minorBidi"/>
                <w:b/>
                <w:bCs/>
                <w:sz w:val="22"/>
                <w:szCs w:val="22"/>
              </w:rPr>
            </w:pPr>
          </w:p>
        </w:tc>
        <w:tc>
          <w:tcPr>
            <w:tcW w:w="1016" w:type="pct"/>
            <w:vAlign w:val="center"/>
            <w:hideMark/>
          </w:tcPr>
          <w:p w14:paraId="3B989E4C"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Urban</w:t>
            </w:r>
          </w:p>
        </w:tc>
        <w:tc>
          <w:tcPr>
            <w:tcW w:w="1001" w:type="pct"/>
            <w:noWrap/>
            <w:vAlign w:val="center"/>
            <w:hideMark/>
          </w:tcPr>
          <w:p w14:paraId="68FD8E04"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234</w:t>
            </w:r>
          </w:p>
        </w:tc>
        <w:tc>
          <w:tcPr>
            <w:tcW w:w="1351" w:type="pct"/>
            <w:noWrap/>
            <w:vAlign w:val="center"/>
            <w:hideMark/>
          </w:tcPr>
          <w:p w14:paraId="623E296F"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57.1%</w:t>
            </w:r>
          </w:p>
        </w:tc>
      </w:tr>
      <w:tr w:rsidR="007B7747" w:rsidRPr="007B7747" w14:paraId="73752C97" w14:textId="77777777" w:rsidTr="00C809BF">
        <w:trPr>
          <w:trHeight w:val="477"/>
          <w:jc w:val="center"/>
        </w:trPr>
        <w:tc>
          <w:tcPr>
            <w:tcW w:w="1632" w:type="pct"/>
            <w:vMerge w:val="restart"/>
            <w:vAlign w:val="center"/>
            <w:hideMark/>
          </w:tcPr>
          <w:p w14:paraId="775AAADA" w14:textId="77777777" w:rsidR="00A66CF7" w:rsidRPr="007B7747" w:rsidRDefault="00A66CF7" w:rsidP="0093587A">
            <w:pPr>
              <w:jc w:val="center"/>
              <w:rPr>
                <w:rFonts w:asciiTheme="minorBidi" w:hAnsiTheme="minorBidi" w:cstheme="minorBidi"/>
                <w:b/>
                <w:bCs/>
                <w:sz w:val="22"/>
                <w:szCs w:val="22"/>
              </w:rPr>
            </w:pPr>
            <w:r w:rsidRPr="007B7747">
              <w:rPr>
                <w:rFonts w:asciiTheme="minorBidi" w:hAnsiTheme="minorBidi" w:cstheme="minorBidi"/>
                <w:b/>
                <w:bCs/>
                <w:sz w:val="22"/>
                <w:szCs w:val="22"/>
              </w:rPr>
              <w:t>Education Level</w:t>
            </w:r>
          </w:p>
        </w:tc>
        <w:tc>
          <w:tcPr>
            <w:tcW w:w="1016" w:type="pct"/>
            <w:vAlign w:val="center"/>
            <w:hideMark/>
          </w:tcPr>
          <w:p w14:paraId="6C59690D"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High School</w:t>
            </w:r>
          </w:p>
        </w:tc>
        <w:tc>
          <w:tcPr>
            <w:tcW w:w="1001" w:type="pct"/>
            <w:vAlign w:val="center"/>
            <w:hideMark/>
          </w:tcPr>
          <w:p w14:paraId="3D1FFB4E"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shd w:val="clear" w:color="auto" w:fill="FFFFFF"/>
              </w:rPr>
              <w:t>86</w:t>
            </w:r>
          </w:p>
        </w:tc>
        <w:tc>
          <w:tcPr>
            <w:tcW w:w="1351" w:type="pct"/>
            <w:vAlign w:val="center"/>
            <w:hideMark/>
          </w:tcPr>
          <w:p w14:paraId="0EF8A240"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shd w:val="clear" w:color="auto" w:fill="FFFFFF"/>
              </w:rPr>
              <w:t>20.9%</w:t>
            </w:r>
          </w:p>
        </w:tc>
      </w:tr>
      <w:tr w:rsidR="007B7747" w:rsidRPr="007B7747" w14:paraId="1BB7B879" w14:textId="77777777" w:rsidTr="00C809BF">
        <w:trPr>
          <w:trHeight w:val="477"/>
          <w:jc w:val="center"/>
        </w:trPr>
        <w:tc>
          <w:tcPr>
            <w:tcW w:w="1632" w:type="pct"/>
            <w:vMerge/>
            <w:vAlign w:val="center"/>
            <w:hideMark/>
          </w:tcPr>
          <w:p w14:paraId="713C97A9" w14:textId="77777777" w:rsidR="00A66CF7" w:rsidRPr="007B7747" w:rsidRDefault="00A66CF7" w:rsidP="0093587A">
            <w:pPr>
              <w:rPr>
                <w:rFonts w:asciiTheme="minorBidi" w:hAnsiTheme="minorBidi" w:cstheme="minorBidi"/>
                <w:b/>
                <w:bCs/>
                <w:sz w:val="22"/>
                <w:szCs w:val="22"/>
              </w:rPr>
            </w:pPr>
          </w:p>
        </w:tc>
        <w:tc>
          <w:tcPr>
            <w:tcW w:w="1016" w:type="pct"/>
            <w:vAlign w:val="center"/>
            <w:hideMark/>
          </w:tcPr>
          <w:p w14:paraId="3C932382"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Bachelor's</w:t>
            </w:r>
          </w:p>
        </w:tc>
        <w:tc>
          <w:tcPr>
            <w:tcW w:w="1001" w:type="pct"/>
            <w:vAlign w:val="center"/>
            <w:hideMark/>
          </w:tcPr>
          <w:p w14:paraId="73C60877"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shd w:val="clear" w:color="auto" w:fill="FFFFFF"/>
              </w:rPr>
              <w:t>324</w:t>
            </w:r>
          </w:p>
        </w:tc>
        <w:tc>
          <w:tcPr>
            <w:tcW w:w="1351" w:type="pct"/>
            <w:vAlign w:val="center"/>
            <w:hideMark/>
          </w:tcPr>
          <w:p w14:paraId="0F3FC00F"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shd w:val="clear" w:color="auto" w:fill="FFFFFF"/>
              </w:rPr>
              <w:t>79.0%</w:t>
            </w:r>
          </w:p>
        </w:tc>
      </w:tr>
      <w:tr w:rsidR="007B7747" w:rsidRPr="007B7747" w14:paraId="13BE6763" w14:textId="77777777" w:rsidTr="00C809BF">
        <w:trPr>
          <w:trHeight w:val="477"/>
          <w:jc w:val="center"/>
        </w:trPr>
        <w:tc>
          <w:tcPr>
            <w:tcW w:w="1632" w:type="pct"/>
            <w:vMerge w:val="restart"/>
            <w:vAlign w:val="center"/>
            <w:hideMark/>
          </w:tcPr>
          <w:p w14:paraId="722CB632" w14:textId="77777777" w:rsidR="00A66CF7" w:rsidRPr="007B7747" w:rsidRDefault="00A66CF7" w:rsidP="0093587A">
            <w:pPr>
              <w:jc w:val="center"/>
              <w:rPr>
                <w:rFonts w:asciiTheme="minorBidi" w:hAnsiTheme="minorBidi" w:cstheme="minorBidi"/>
                <w:b/>
                <w:bCs/>
                <w:sz w:val="22"/>
                <w:szCs w:val="22"/>
              </w:rPr>
            </w:pPr>
            <w:r w:rsidRPr="007B7747">
              <w:rPr>
                <w:rFonts w:asciiTheme="minorBidi" w:hAnsiTheme="minorBidi" w:cstheme="minorBidi"/>
                <w:b/>
                <w:bCs/>
                <w:sz w:val="22"/>
                <w:szCs w:val="22"/>
              </w:rPr>
              <w:t>Hypersensitivity types</w:t>
            </w:r>
          </w:p>
        </w:tc>
        <w:tc>
          <w:tcPr>
            <w:tcW w:w="1016" w:type="pct"/>
            <w:vAlign w:val="center"/>
            <w:hideMark/>
          </w:tcPr>
          <w:p w14:paraId="38569DDE"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Immediate</w:t>
            </w:r>
          </w:p>
        </w:tc>
        <w:tc>
          <w:tcPr>
            <w:tcW w:w="1001" w:type="pct"/>
            <w:vAlign w:val="center"/>
            <w:hideMark/>
          </w:tcPr>
          <w:p w14:paraId="6DF3114E"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217</w:t>
            </w:r>
          </w:p>
        </w:tc>
        <w:tc>
          <w:tcPr>
            <w:tcW w:w="1351" w:type="pct"/>
            <w:vAlign w:val="center"/>
            <w:hideMark/>
          </w:tcPr>
          <w:p w14:paraId="20EBDE5D"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52.9%</w:t>
            </w:r>
          </w:p>
        </w:tc>
      </w:tr>
      <w:tr w:rsidR="007B7747" w:rsidRPr="007B7747" w14:paraId="61720C6B" w14:textId="77777777" w:rsidTr="00C809BF">
        <w:trPr>
          <w:trHeight w:val="477"/>
          <w:jc w:val="center"/>
        </w:trPr>
        <w:tc>
          <w:tcPr>
            <w:tcW w:w="1632" w:type="pct"/>
            <w:vMerge/>
            <w:tcBorders>
              <w:bottom w:val="single" w:sz="4" w:space="0" w:color="auto"/>
            </w:tcBorders>
            <w:vAlign w:val="center"/>
            <w:hideMark/>
          </w:tcPr>
          <w:p w14:paraId="0A90ED07" w14:textId="77777777" w:rsidR="00A66CF7" w:rsidRPr="007B7747" w:rsidRDefault="00A66CF7" w:rsidP="0093587A">
            <w:pPr>
              <w:rPr>
                <w:rFonts w:asciiTheme="minorBidi" w:hAnsiTheme="minorBidi" w:cstheme="minorBidi"/>
                <w:b/>
                <w:bCs/>
                <w:sz w:val="22"/>
                <w:szCs w:val="22"/>
              </w:rPr>
            </w:pPr>
          </w:p>
        </w:tc>
        <w:tc>
          <w:tcPr>
            <w:tcW w:w="1016" w:type="pct"/>
            <w:tcBorders>
              <w:bottom w:val="single" w:sz="4" w:space="0" w:color="auto"/>
            </w:tcBorders>
            <w:vAlign w:val="center"/>
            <w:hideMark/>
          </w:tcPr>
          <w:p w14:paraId="74E1D186"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Delayed</w:t>
            </w:r>
          </w:p>
        </w:tc>
        <w:tc>
          <w:tcPr>
            <w:tcW w:w="1001" w:type="pct"/>
            <w:tcBorders>
              <w:bottom w:val="single" w:sz="4" w:space="0" w:color="auto"/>
            </w:tcBorders>
            <w:vAlign w:val="center"/>
            <w:hideMark/>
          </w:tcPr>
          <w:p w14:paraId="162FF36C"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193</w:t>
            </w:r>
          </w:p>
        </w:tc>
        <w:tc>
          <w:tcPr>
            <w:tcW w:w="1351" w:type="pct"/>
            <w:tcBorders>
              <w:bottom w:val="single" w:sz="4" w:space="0" w:color="auto"/>
            </w:tcBorders>
            <w:vAlign w:val="center"/>
            <w:hideMark/>
          </w:tcPr>
          <w:p w14:paraId="489A45BC" w14:textId="77777777" w:rsidR="00A66CF7" w:rsidRPr="007B7747" w:rsidRDefault="00A66CF7" w:rsidP="0093587A">
            <w:pPr>
              <w:jc w:val="center"/>
              <w:rPr>
                <w:rFonts w:asciiTheme="minorBidi" w:hAnsiTheme="minorBidi" w:cstheme="minorBidi"/>
                <w:sz w:val="22"/>
                <w:szCs w:val="22"/>
              </w:rPr>
            </w:pPr>
            <w:r w:rsidRPr="007B7747">
              <w:rPr>
                <w:rFonts w:asciiTheme="minorBidi" w:hAnsiTheme="minorBidi" w:cstheme="minorBidi"/>
                <w:sz w:val="22"/>
                <w:szCs w:val="22"/>
              </w:rPr>
              <w:t>47.1%</w:t>
            </w:r>
          </w:p>
        </w:tc>
      </w:tr>
      <w:tr w:rsidR="00A66CF7" w:rsidRPr="007B7747" w14:paraId="3DB33A4A" w14:textId="77777777" w:rsidTr="00C809BF">
        <w:trPr>
          <w:trHeight w:val="477"/>
          <w:jc w:val="center"/>
        </w:trPr>
        <w:tc>
          <w:tcPr>
            <w:tcW w:w="1632" w:type="pct"/>
            <w:tcBorders>
              <w:top w:val="single" w:sz="4" w:space="0" w:color="auto"/>
              <w:bottom w:val="single" w:sz="4" w:space="0" w:color="auto"/>
            </w:tcBorders>
            <w:vAlign w:val="center"/>
            <w:hideMark/>
          </w:tcPr>
          <w:p w14:paraId="6F535DE1" w14:textId="77777777" w:rsidR="00A66CF7" w:rsidRPr="007B7747" w:rsidRDefault="00A66CF7" w:rsidP="0093587A">
            <w:pPr>
              <w:jc w:val="center"/>
              <w:rPr>
                <w:rFonts w:asciiTheme="minorBidi" w:hAnsiTheme="minorBidi" w:cstheme="minorBidi"/>
                <w:b/>
                <w:bCs/>
                <w:sz w:val="22"/>
                <w:szCs w:val="22"/>
              </w:rPr>
            </w:pPr>
            <w:r w:rsidRPr="007B7747">
              <w:rPr>
                <w:rFonts w:asciiTheme="minorBidi" w:hAnsiTheme="minorBidi" w:cstheme="minorBidi"/>
                <w:b/>
                <w:bCs/>
                <w:sz w:val="22"/>
                <w:szCs w:val="22"/>
              </w:rPr>
              <w:t>Total</w:t>
            </w:r>
          </w:p>
        </w:tc>
        <w:tc>
          <w:tcPr>
            <w:tcW w:w="3368" w:type="pct"/>
            <w:gridSpan w:val="3"/>
            <w:tcBorders>
              <w:top w:val="single" w:sz="4" w:space="0" w:color="auto"/>
              <w:bottom w:val="single" w:sz="4" w:space="0" w:color="auto"/>
            </w:tcBorders>
            <w:vAlign w:val="center"/>
            <w:hideMark/>
          </w:tcPr>
          <w:p w14:paraId="6C4567FD" w14:textId="77777777" w:rsidR="00A66CF7" w:rsidRPr="007B7747" w:rsidRDefault="00A66CF7" w:rsidP="0093587A">
            <w:pPr>
              <w:jc w:val="center"/>
              <w:rPr>
                <w:rFonts w:asciiTheme="minorBidi" w:hAnsiTheme="minorBidi" w:cstheme="minorBidi"/>
                <w:b/>
                <w:bCs/>
                <w:sz w:val="22"/>
                <w:szCs w:val="22"/>
              </w:rPr>
            </w:pPr>
            <w:r w:rsidRPr="007B7747">
              <w:rPr>
                <w:rFonts w:asciiTheme="minorBidi" w:hAnsiTheme="minorBidi" w:cstheme="minorBidi"/>
                <w:b/>
                <w:bCs/>
                <w:sz w:val="22"/>
                <w:szCs w:val="22"/>
              </w:rPr>
              <w:t>410</w:t>
            </w:r>
          </w:p>
        </w:tc>
      </w:tr>
    </w:tbl>
    <w:p w14:paraId="5ACFAF19" w14:textId="77777777" w:rsidR="00F07716" w:rsidRPr="007B7747" w:rsidRDefault="00F07716" w:rsidP="0013405D">
      <w:pPr>
        <w:spacing w:line="480" w:lineRule="auto"/>
        <w:jc w:val="both"/>
        <w:rPr>
          <w:rFonts w:ascii="Arial" w:hAnsi="Arial" w:cs="Arial"/>
          <w:b/>
          <w:bCs/>
        </w:rPr>
      </w:pPr>
    </w:p>
    <w:p w14:paraId="70F63CBE" w14:textId="5249F768" w:rsidR="0013405D" w:rsidRPr="007B7747" w:rsidRDefault="0013405D" w:rsidP="00F07716">
      <w:pPr>
        <w:pStyle w:val="ListParagraph"/>
        <w:numPr>
          <w:ilvl w:val="1"/>
          <w:numId w:val="1"/>
        </w:numPr>
        <w:spacing w:line="480" w:lineRule="auto"/>
        <w:jc w:val="both"/>
        <w:rPr>
          <w:rFonts w:ascii="Arial" w:hAnsi="Arial" w:cs="Arial"/>
          <w:b/>
          <w:bCs/>
        </w:rPr>
      </w:pPr>
      <w:r w:rsidRPr="007B7747">
        <w:rPr>
          <w:rFonts w:ascii="Arial" w:hAnsi="Arial" w:cs="Arial"/>
          <w:b/>
          <w:bCs/>
        </w:rPr>
        <w:t xml:space="preserve">Allergen </w:t>
      </w:r>
      <w:r w:rsidR="00510DB3" w:rsidRPr="007B7747">
        <w:rPr>
          <w:rFonts w:ascii="Arial" w:hAnsi="Arial" w:cs="Arial"/>
          <w:b/>
          <w:bCs/>
        </w:rPr>
        <w:t>T</w:t>
      </w:r>
      <w:r w:rsidRPr="007B7747">
        <w:rPr>
          <w:rFonts w:ascii="Arial" w:hAnsi="Arial" w:cs="Arial"/>
          <w:b/>
          <w:bCs/>
        </w:rPr>
        <w:t>ypes</w:t>
      </w:r>
    </w:p>
    <w:p w14:paraId="31854BE5" w14:textId="4921A16F" w:rsidR="0013405D" w:rsidRPr="007B7747" w:rsidRDefault="0001125D" w:rsidP="0051488E">
      <w:pPr>
        <w:spacing w:line="480" w:lineRule="auto"/>
        <w:jc w:val="both"/>
        <w:rPr>
          <w:rFonts w:ascii="Arial" w:hAnsi="Arial" w:cs="Arial"/>
        </w:rPr>
      </w:pPr>
      <w:r w:rsidRPr="007B7747">
        <w:rPr>
          <w:rFonts w:ascii="Arial" w:hAnsi="Arial" w:cs="Arial"/>
        </w:rPr>
        <w:lastRenderedPageBreak/>
        <w:t xml:space="preserve">A one-way ANOVA (n = 410) revealed a significant difference in mean age across eight allergen groups, </w:t>
      </w:r>
      <w:proofErr w:type="gramStart"/>
      <w:r w:rsidRPr="007B7747">
        <w:rPr>
          <w:rFonts w:ascii="Arial" w:hAnsi="Arial" w:cs="Arial"/>
        </w:rPr>
        <w:t>F(</w:t>
      </w:r>
      <w:proofErr w:type="gramEnd"/>
      <w:r w:rsidRPr="007B7747">
        <w:rPr>
          <w:rFonts w:ascii="Arial" w:hAnsi="Arial" w:cs="Arial"/>
        </w:rPr>
        <w:t xml:space="preserve">7, 402) = 20.38, </w:t>
      </w:r>
      <w:r w:rsidR="00D224A3" w:rsidRPr="007B7747">
        <w:rPr>
          <w:rFonts w:ascii="Arial" w:hAnsi="Arial" w:cs="Arial"/>
          <w:i/>
          <w:iCs/>
        </w:rPr>
        <w:t xml:space="preserve">P </w:t>
      </w:r>
      <w:r w:rsidR="00D224A3" w:rsidRPr="007B7747">
        <w:rPr>
          <w:rFonts w:ascii="Arial" w:hAnsi="Arial" w:cs="Arial"/>
        </w:rPr>
        <w:t>=</w:t>
      </w:r>
      <w:r w:rsidRPr="007B7747">
        <w:rPr>
          <w:rFonts w:ascii="Arial" w:hAnsi="Arial" w:cs="Arial"/>
        </w:rPr>
        <w:t xml:space="preserve"> 0.001, with a large effect size (η² ≈ 0.23).</w:t>
      </w:r>
      <w:r w:rsidR="00FC0C5A" w:rsidRPr="007B7747">
        <w:rPr>
          <w:rFonts w:ascii="Arial" w:hAnsi="Arial" w:cs="Arial"/>
        </w:rPr>
        <w:t xml:space="preserve"> </w:t>
      </w:r>
      <w:r w:rsidR="0013405D" w:rsidRPr="007B7747">
        <w:rPr>
          <w:rFonts w:ascii="Arial" w:hAnsi="Arial" w:cs="Arial"/>
        </w:rPr>
        <w:t xml:space="preserve">Dust was the most prevalent </w:t>
      </w:r>
      <w:r w:rsidR="00C84041" w:rsidRPr="007B7747">
        <w:rPr>
          <w:rFonts w:ascii="Arial" w:hAnsi="Arial" w:cs="Arial"/>
        </w:rPr>
        <w:t>allergen</w:t>
      </w:r>
      <w:r w:rsidR="0013405D" w:rsidRPr="007B7747">
        <w:rPr>
          <w:rFonts w:ascii="Arial" w:hAnsi="Arial" w:cs="Arial"/>
        </w:rPr>
        <w:t xml:space="preserve"> (n=126, valid %= 30.73%, mean age=</w:t>
      </w:r>
      <w:r w:rsidR="0013405D" w:rsidRPr="007B7747">
        <w:rPr>
          <w:rFonts w:ascii="Arial" w:hAnsi="Arial" w:cs="Arial"/>
          <w:shd w:val="clear" w:color="auto" w:fill="FFFFFF"/>
        </w:rPr>
        <w:t xml:space="preserve"> 23.48 years</w:t>
      </w:r>
      <w:r w:rsidR="00566946" w:rsidRPr="007B7747">
        <w:rPr>
          <w:rFonts w:ascii="Arial" w:hAnsi="Arial" w:cs="Arial"/>
          <w:shd w:val="clear" w:color="auto" w:fill="FFFFFF"/>
        </w:rPr>
        <w:t xml:space="preserve">, </w:t>
      </w:r>
      <w:r w:rsidR="00D11A79" w:rsidRPr="007B7747">
        <w:rPr>
          <w:rFonts w:ascii="Arial" w:hAnsi="Arial" w:cs="Arial"/>
          <w:shd w:val="clear" w:color="auto" w:fill="FFFFFF"/>
        </w:rPr>
        <w:t>SD = 3.91</w:t>
      </w:r>
      <w:r w:rsidR="0013405D" w:rsidRPr="007B7747">
        <w:rPr>
          <w:rFonts w:ascii="Arial" w:hAnsi="Arial" w:cs="Arial"/>
        </w:rPr>
        <w:t>), followed by spices allergy (n=63, 15.37%, mean age=</w:t>
      </w:r>
      <w:r w:rsidR="0013405D" w:rsidRPr="007B7747">
        <w:rPr>
          <w:rFonts w:ascii="Arial" w:hAnsi="Arial" w:cs="Arial"/>
          <w:shd w:val="clear" w:color="auto" w:fill="FFFFFF"/>
        </w:rPr>
        <w:t xml:space="preserve"> </w:t>
      </w:r>
      <w:r w:rsidR="0013405D" w:rsidRPr="007B7747">
        <w:rPr>
          <w:rFonts w:ascii="Arial" w:hAnsi="Arial" w:cs="Arial"/>
        </w:rPr>
        <w:t>24.97 years</w:t>
      </w:r>
      <w:r w:rsidR="00C7765C" w:rsidRPr="007B7747">
        <w:rPr>
          <w:rFonts w:ascii="Arial" w:hAnsi="Arial" w:cs="Arial"/>
        </w:rPr>
        <w:t>, SD = 4.4</w:t>
      </w:r>
      <w:r w:rsidR="0013405D" w:rsidRPr="007B7747">
        <w:rPr>
          <w:rFonts w:ascii="Arial" w:hAnsi="Arial" w:cs="Arial"/>
        </w:rPr>
        <w:t>) and perfume allergy (n=56, 13.66%, mean age= 25.8 years</w:t>
      </w:r>
      <w:r w:rsidR="00E65823" w:rsidRPr="007B7747">
        <w:rPr>
          <w:rFonts w:ascii="Arial" w:hAnsi="Arial" w:cs="Arial"/>
        </w:rPr>
        <w:t>, SD = 5.3</w:t>
      </w:r>
      <w:r w:rsidR="0013405D" w:rsidRPr="007B7747">
        <w:rPr>
          <w:rFonts w:ascii="Arial" w:hAnsi="Arial" w:cs="Arial"/>
        </w:rPr>
        <w:t xml:space="preserve">). Patients with gluten allergy demonstrated the youngest mean age (n=14, valid %= 3.41%, mean age=19.71 ± 1.73 years), while those with penicillin allergy were </w:t>
      </w:r>
      <w:r w:rsidR="00771F06" w:rsidRPr="007B7747">
        <w:rPr>
          <w:rFonts w:ascii="Arial" w:hAnsi="Arial" w:cs="Arial"/>
        </w:rPr>
        <w:t xml:space="preserve">common in </w:t>
      </w:r>
      <w:r w:rsidR="0013405D" w:rsidRPr="007B7747">
        <w:rPr>
          <w:rFonts w:ascii="Arial" w:hAnsi="Arial" w:cs="Arial"/>
        </w:rPr>
        <w:t>the oldest (32.47 ± 2.67 years)</w:t>
      </w:r>
      <w:r w:rsidR="00DA6E59" w:rsidRPr="007B7747">
        <w:rPr>
          <w:rFonts w:ascii="Arial" w:hAnsi="Arial" w:cs="Arial"/>
        </w:rPr>
        <w:t>. The non-overlapping 95% confidence intervals for penicillin (31.10–33.84) and gluten (18.72–20.71) highlight robust age separation</w:t>
      </w:r>
      <w:r w:rsidR="0013405D" w:rsidRPr="007B7747">
        <w:rPr>
          <w:rFonts w:ascii="Arial" w:hAnsi="Arial" w:cs="Arial"/>
        </w:rPr>
        <w:t xml:space="preserve"> (</w:t>
      </w:r>
      <w:r w:rsidR="00B76061" w:rsidRPr="007B7747">
        <w:rPr>
          <w:rFonts w:ascii="Arial" w:hAnsi="Arial" w:cs="Arial"/>
          <w:b/>
          <w:bCs/>
        </w:rPr>
        <w:t>Table 2</w:t>
      </w:r>
      <w:r w:rsidR="0013405D" w:rsidRPr="007B7747">
        <w:rPr>
          <w:rFonts w:ascii="Arial" w:hAnsi="Arial" w:cs="Arial"/>
        </w:rPr>
        <w:t xml:space="preserve">). </w:t>
      </w:r>
    </w:p>
    <w:p w14:paraId="7E48EEB4" w14:textId="77777777" w:rsidR="0023708B" w:rsidRPr="007B7747" w:rsidRDefault="0023708B" w:rsidP="0013405D">
      <w:pPr>
        <w:spacing w:line="480" w:lineRule="auto"/>
        <w:jc w:val="both"/>
        <w:rPr>
          <w:rFonts w:ascii="Arial" w:hAnsi="Arial" w:cs="Arial"/>
        </w:rPr>
      </w:pPr>
    </w:p>
    <w:p w14:paraId="436EB8A8" w14:textId="244396BB" w:rsidR="0013405D" w:rsidRPr="007B7747" w:rsidRDefault="0013405D" w:rsidP="0013405D">
      <w:pPr>
        <w:spacing w:line="480" w:lineRule="auto"/>
        <w:jc w:val="both"/>
        <w:rPr>
          <w:rFonts w:ascii="Arial" w:hAnsi="Arial" w:cs="Arial"/>
          <w:lang w:bidi="ar-IQ"/>
        </w:rPr>
      </w:pPr>
      <w:r w:rsidRPr="007B7747">
        <w:rPr>
          <w:rFonts w:ascii="Arial" w:hAnsi="Arial" w:cs="Arial"/>
          <w:b/>
          <w:bCs/>
          <w:lang w:bidi="ar-IQ"/>
        </w:rPr>
        <w:t xml:space="preserve">Table </w:t>
      </w:r>
      <w:r w:rsidR="00944730" w:rsidRPr="007B7747">
        <w:rPr>
          <w:rFonts w:ascii="Arial" w:hAnsi="Arial" w:cs="Arial"/>
          <w:b/>
          <w:bCs/>
          <w:lang w:bidi="ar-IQ"/>
        </w:rPr>
        <w:t>2</w:t>
      </w:r>
      <w:r w:rsidRPr="007B7747">
        <w:rPr>
          <w:rFonts w:ascii="Arial" w:hAnsi="Arial" w:cs="Arial"/>
          <w:b/>
          <w:bCs/>
          <w:lang w:bidi="ar-IQ"/>
        </w:rPr>
        <w:t>.</w:t>
      </w:r>
      <w:r w:rsidRPr="007B7747">
        <w:rPr>
          <w:rFonts w:ascii="Arial" w:hAnsi="Arial" w:cs="Arial"/>
          <w:lang w:bidi="ar-IQ"/>
        </w:rPr>
        <w:t xml:space="preserve"> Prevalence and associated patient age demographics across different allergen types.</w:t>
      </w:r>
    </w:p>
    <w:tbl>
      <w:tblPr>
        <w:tblStyle w:val="TableGrid"/>
        <w:tblW w:w="47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045"/>
        <w:gridCol w:w="865"/>
        <w:gridCol w:w="1207"/>
        <w:gridCol w:w="1187"/>
        <w:gridCol w:w="1342"/>
        <w:gridCol w:w="1796"/>
      </w:tblGrid>
      <w:tr w:rsidR="007B7747" w:rsidRPr="007B7747" w14:paraId="13537CF4" w14:textId="77777777" w:rsidTr="00805D31">
        <w:trPr>
          <w:trHeight w:val="432"/>
        </w:trPr>
        <w:tc>
          <w:tcPr>
            <w:tcW w:w="981" w:type="pct"/>
            <w:vMerge w:val="restart"/>
            <w:tcBorders>
              <w:top w:val="single" w:sz="4" w:space="0" w:color="auto"/>
            </w:tcBorders>
            <w:vAlign w:val="center"/>
          </w:tcPr>
          <w:p w14:paraId="09AEDF53" w14:textId="77777777" w:rsidR="0013405D" w:rsidRPr="007B7747" w:rsidRDefault="0013405D" w:rsidP="000E6AC2">
            <w:pPr>
              <w:jc w:val="center"/>
              <w:rPr>
                <w:rFonts w:ascii="Arial" w:hAnsi="Arial" w:cs="Arial"/>
                <w:b/>
                <w:bCs/>
              </w:rPr>
            </w:pPr>
            <w:r w:rsidRPr="007B7747">
              <w:rPr>
                <w:rFonts w:ascii="Arial" w:hAnsi="Arial" w:cs="Arial"/>
                <w:b/>
                <w:bCs/>
              </w:rPr>
              <w:t>Allergen Type</w:t>
            </w:r>
          </w:p>
        </w:tc>
        <w:tc>
          <w:tcPr>
            <w:tcW w:w="574" w:type="pct"/>
            <w:vMerge w:val="restart"/>
            <w:tcBorders>
              <w:top w:val="single" w:sz="4" w:space="0" w:color="auto"/>
            </w:tcBorders>
            <w:vAlign w:val="center"/>
          </w:tcPr>
          <w:p w14:paraId="14BA21E9" w14:textId="77777777" w:rsidR="0013405D" w:rsidRPr="007B7747" w:rsidRDefault="0013405D" w:rsidP="000E6AC2">
            <w:pPr>
              <w:jc w:val="center"/>
              <w:rPr>
                <w:rFonts w:ascii="Arial" w:hAnsi="Arial" w:cs="Arial"/>
                <w:b/>
                <w:bCs/>
              </w:rPr>
            </w:pPr>
            <w:r w:rsidRPr="007B7747">
              <w:rPr>
                <w:rFonts w:ascii="Arial" w:hAnsi="Arial" w:cs="Arial"/>
                <w:b/>
                <w:bCs/>
              </w:rPr>
              <w:t>Valid (%)</w:t>
            </w:r>
          </w:p>
        </w:tc>
        <w:tc>
          <w:tcPr>
            <w:tcW w:w="477" w:type="pct"/>
            <w:vMerge w:val="restart"/>
            <w:tcBorders>
              <w:top w:val="single" w:sz="4" w:space="0" w:color="auto"/>
            </w:tcBorders>
            <w:vAlign w:val="center"/>
          </w:tcPr>
          <w:p w14:paraId="59E6E65C" w14:textId="77777777" w:rsidR="0013405D" w:rsidRPr="007B7747" w:rsidRDefault="0013405D" w:rsidP="000E6AC2">
            <w:pPr>
              <w:jc w:val="center"/>
              <w:rPr>
                <w:rFonts w:ascii="Arial" w:hAnsi="Arial" w:cs="Arial"/>
                <w:b/>
                <w:bCs/>
              </w:rPr>
            </w:pPr>
            <w:r w:rsidRPr="007B7747">
              <w:rPr>
                <w:rFonts w:ascii="Arial" w:hAnsi="Arial" w:cs="Arial"/>
                <w:b/>
                <w:bCs/>
              </w:rPr>
              <w:t>Mean</w:t>
            </w:r>
          </w:p>
          <w:p w14:paraId="3DD65B6F" w14:textId="6CE024AC" w:rsidR="00DE4E0E" w:rsidRPr="007B7747" w:rsidRDefault="004334FD" w:rsidP="000E6AC2">
            <w:pPr>
              <w:jc w:val="center"/>
              <w:rPr>
                <w:rFonts w:ascii="Arial" w:hAnsi="Arial" w:cs="Arial"/>
                <w:b/>
                <w:bCs/>
              </w:rPr>
            </w:pPr>
            <w:r w:rsidRPr="007B7747">
              <w:rPr>
                <w:rFonts w:ascii="Arial" w:hAnsi="Arial" w:cs="Arial"/>
                <w:b/>
                <w:bCs/>
              </w:rPr>
              <w:t>A</w:t>
            </w:r>
            <w:r w:rsidR="00DE4E0E" w:rsidRPr="007B7747">
              <w:rPr>
                <w:rFonts w:ascii="Arial" w:hAnsi="Arial" w:cs="Arial"/>
                <w:b/>
                <w:bCs/>
              </w:rPr>
              <w:t>ge</w:t>
            </w:r>
          </w:p>
          <w:p w14:paraId="43B3A84F" w14:textId="1C935DBA" w:rsidR="004334FD" w:rsidRPr="007B7747" w:rsidRDefault="004334FD" w:rsidP="000E6AC2">
            <w:pPr>
              <w:jc w:val="center"/>
              <w:rPr>
                <w:rFonts w:ascii="Arial" w:hAnsi="Arial" w:cs="Arial"/>
                <w:b/>
                <w:bCs/>
              </w:rPr>
            </w:pPr>
            <w:r w:rsidRPr="007B7747">
              <w:rPr>
                <w:rFonts w:ascii="Arial" w:hAnsi="Arial" w:cs="Arial"/>
                <w:b/>
                <w:bCs/>
              </w:rPr>
              <w:t>(Year)</w:t>
            </w:r>
          </w:p>
        </w:tc>
        <w:tc>
          <w:tcPr>
            <w:tcW w:w="601" w:type="pct"/>
            <w:vMerge w:val="restart"/>
            <w:tcBorders>
              <w:top w:val="single" w:sz="4" w:space="0" w:color="auto"/>
            </w:tcBorders>
            <w:vAlign w:val="center"/>
          </w:tcPr>
          <w:p w14:paraId="251D2333" w14:textId="77777777" w:rsidR="0013405D" w:rsidRPr="007B7747" w:rsidRDefault="0013405D" w:rsidP="000E6AC2">
            <w:pPr>
              <w:jc w:val="center"/>
              <w:rPr>
                <w:rFonts w:ascii="Arial" w:hAnsi="Arial" w:cs="Arial"/>
                <w:b/>
                <w:bCs/>
              </w:rPr>
            </w:pPr>
            <w:r w:rsidRPr="007B7747">
              <w:rPr>
                <w:rFonts w:ascii="Arial" w:hAnsi="Arial" w:cs="Arial"/>
                <w:b/>
                <w:bCs/>
              </w:rPr>
              <w:t>Std. Deviation</w:t>
            </w:r>
          </w:p>
          <w:p w14:paraId="5E4CAF2C" w14:textId="2F814E98" w:rsidR="00566946" w:rsidRPr="007B7747" w:rsidRDefault="00566946" w:rsidP="000E6AC2">
            <w:pPr>
              <w:jc w:val="center"/>
              <w:rPr>
                <w:rFonts w:ascii="Arial" w:hAnsi="Arial" w:cs="Arial"/>
                <w:b/>
                <w:bCs/>
              </w:rPr>
            </w:pPr>
            <w:r w:rsidRPr="007B7747">
              <w:rPr>
                <w:rFonts w:ascii="Arial" w:hAnsi="Arial" w:cs="Arial"/>
                <w:b/>
                <w:bCs/>
              </w:rPr>
              <w:t>(SD)</w:t>
            </w:r>
          </w:p>
        </w:tc>
        <w:tc>
          <w:tcPr>
            <w:tcW w:w="1386" w:type="pct"/>
            <w:gridSpan w:val="2"/>
            <w:tcBorders>
              <w:top w:val="single" w:sz="4" w:space="0" w:color="auto"/>
              <w:bottom w:val="single" w:sz="4" w:space="0" w:color="auto"/>
            </w:tcBorders>
            <w:vAlign w:val="center"/>
          </w:tcPr>
          <w:p w14:paraId="3EE907F9" w14:textId="4CE85186" w:rsidR="0013405D" w:rsidRPr="007B7747" w:rsidRDefault="0013405D" w:rsidP="000E6AC2">
            <w:pPr>
              <w:jc w:val="center"/>
              <w:rPr>
                <w:rFonts w:ascii="Arial" w:hAnsi="Arial" w:cs="Arial"/>
                <w:b/>
                <w:bCs/>
              </w:rPr>
            </w:pPr>
            <w:r w:rsidRPr="007B7747">
              <w:rPr>
                <w:rFonts w:ascii="Arial" w:hAnsi="Arial" w:cs="Arial"/>
                <w:b/>
                <w:bCs/>
              </w:rPr>
              <w:t>Age (Year)</w:t>
            </w:r>
          </w:p>
        </w:tc>
        <w:tc>
          <w:tcPr>
            <w:tcW w:w="980" w:type="pct"/>
            <w:vMerge w:val="restart"/>
            <w:tcBorders>
              <w:top w:val="single" w:sz="4" w:space="0" w:color="auto"/>
              <w:bottom w:val="single" w:sz="4" w:space="0" w:color="auto"/>
            </w:tcBorders>
            <w:vAlign w:val="center"/>
          </w:tcPr>
          <w:p w14:paraId="0CE39EE5" w14:textId="4335441A" w:rsidR="0013405D" w:rsidRPr="007B7747" w:rsidRDefault="0013405D" w:rsidP="000E6AC2">
            <w:pPr>
              <w:jc w:val="center"/>
              <w:rPr>
                <w:rFonts w:ascii="Arial" w:hAnsi="Arial" w:cs="Arial"/>
                <w:b/>
                <w:bCs/>
              </w:rPr>
            </w:pPr>
            <w:r w:rsidRPr="007B7747">
              <w:rPr>
                <w:rFonts w:ascii="Arial" w:hAnsi="Arial" w:cs="Arial"/>
                <w:b/>
                <w:bCs/>
              </w:rPr>
              <w:t xml:space="preserve">95% Confidence </w:t>
            </w:r>
            <w:r w:rsidR="00B76061" w:rsidRPr="007B7747">
              <w:rPr>
                <w:rFonts w:ascii="Arial" w:hAnsi="Arial" w:cs="Arial"/>
                <w:b/>
                <w:bCs/>
              </w:rPr>
              <w:t>Interval</w:t>
            </w:r>
            <w:r w:rsidRPr="007B7747">
              <w:rPr>
                <w:rFonts w:ascii="Arial" w:hAnsi="Arial" w:cs="Arial"/>
                <w:b/>
                <w:bCs/>
              </w:rPr>
              <w:t xml:space="preserve"> of Mean</w:t>
            </w:r>
          </w:p>
        </w:tc>
      </w:tr>
      <w:tr w:rsidR="007B7747" w:rsidRPr="007B7747" w14:paraId="6C14C299" w14:textId="77777777" w:rsidTr="00805D31">
        <w:trPr>
          <w:trHeight w:val="432"/>
        </w:trPr>
        <w:tc>
          <w:tcPr>
            <w:tcW w:w="981" w:type="pct"/>
            <w:vMerge/>
            <w:tcBorders>
              <w:bottom w:val="single" w:sz="4" w:space="0" w:color="auto"/>
            </w:tcBorders>
            <w:vAlign w:val="center"/>
          </w:tcPr>
          <w:p w14:paraId="04ED543E" w14:textId="77777777" w:rsidR="0013405D" w:rsidRPr="007B7747" w:rsidRDefault="0013405D" w:rsidP="000E6AC2">
            <w:pPr>
              <w:jc w:val="center"/>
              <w:rPr>
                <w:rFonts w:ascii="Arial" w:hAnsi="Arial" w:cs="Arial"/>
                <w:b/>
                <w:bCs/>
              </w:rPr>
            </w:pPr>
          </w:p>
        </w:tc>
        <w:tc>
          <w:tcPr>
            <w:tcW w:w="574" w:type="pct"/>
            <w:vMerge/>
            <w:tcBorders>
              <w:bottom w:val="single" w:sz="4" w:space="0" w:color="auto"/>
            </w:tcBorders>
            <w:vAlign w:val="center"/>
          </w:tcPr>
          <w:p w14:paraId="1FC57976" w14:textId="77777777" w:rsidR="0013405D" w:rsidRPr="007B7747" w:rsidRDefault="0013405D" w:rsidP="000E6AC2">
            <w:pPr>
              <w:jc w:val="center"/>
              <w:rPr>
                <w:rFonts w:ascii="Arial" w:hAnsi="Arial" w:cs="Arial"/>
                <w:b/>
                <w:bCs/>
              </w:rPr>
            </w:pPr>
          </w:p>
        </w:tc>
        <w:tc>
          <w:tcPr>
            <w:tcW w:w="477" w:type="pct"/>
            <w:vMerge/>
            <w:tcBorders>
              <w:bottom w:val="single" w:sz="4" w:space="0" w:color="auto"/>
            </w:tcBorders>
            <w:vAlign w:val="center"/>
          </w:tcPr>
          <w:p w14:paraId="75D15A69" w14:textId="77777777" w:rsidR="0013405D" w:rsidRPr="007B7747" w:rsidRDefault="0013405D" w:rsidP="000E6AC2">
            <w:pPr>
              <w:jc w:val="center"/>
              <w:rPr>
                <w:rFonts w:ascii="Arial" w:hAnsi="Arial" w:cs="Arial"/>
                <w:b/>
                <w:bCs/>
              </w:rPr>
            </w:pPr>
          </w:p>
        </w:tc>
        <w:tc>
          <w:tcPr>
            <w:tcW w:w="601" w:type="pct"/>
            <w:vMerge/>
            <w:tcBorders>
              <w:bottom w:val="single" w:sz="4" w:space="0" w:color="auto"/>
            </w:tcBorders>
            <w:vAlign w:val="center"/>
          </w:tcPr>
          <w:p w14:paraId="7B867756" w14:textId="77777777" w:rsidR="0013405D" w:rsidRPr="007B7747" w:rsidRDefault="0013405D" w:rsidP="000E6AC2">
            <w:pPr>
              <w:jc w:val="center"/>
              <w:rPr>
                <w:rFonts w:ascii="Arial" w:hAnsi="Arial" w:cs="Arial"/>
                <w:b/>
                <w:bCs/>
              </w:rPr>
            </w:pPr>
          </w:p>
        </w:tc>
        <w:tc>
          <w:tcPr>
            <w:tcW w:w="651" w:type="pct"/>
            <w:tcBorders>
              <w:top w:val="single" w:sz="4" w:space="0" w:color="auto"/>
              <w:bottom w:val="single" w:sz="4" w:space="0" w:color="auto"/>
            </w:tcBorders>
            <w:vAlign w:val="center"/>
          </w:tcPr>
          <w:p w14:paraId="709D0E8F" w14:textId="77777777" w:rsidR="0013405D" w:rsidRPr="007B7747" w:rsidRDefault="0013405D" w:rsidP="000E6AC2">
            <w:pPr>
              <w:jc w:val="center"/>
              <w:rPr>
                <w:rFonts w:ascii="Arial" w:hAnsi="Arial" w:cs="Arial"/>
                <w:b/>
                <w:bCs/>
              </w:rPr>
            </w:pPr>
            <w:r w:rsidRPr="007B7747">
              <w:rPr>
                <w:rFonts w:ascii="Arial" w:hAnsi="Arial" w:cs="Arial"/>
                <w:b/>
                <w:bCs/>
              </w:rPr>
              <w:t>Minimum</w:t>
            </w:r>
          </w:p>
        </w:tc>
        <w:tc>
          <w:tcPr>
            <w:tcW w:w="735" w:type="pct"/>
            <w:tcBorders>
              <w:top w:val="single" w:sz="4" w:space="0" w:color="auto"/>
              <w:bottom w:val="single" w:sz="4" w:space="0" w:color="auto"/>
            </w:tcBorders>
            <w:vAlign w:val="center"/>
          </w:tcPr>
          <w:p w14:paraId="54446894" w14:textId="77777777" w:rsidR="0013405D" w:rsidRPr="007B7747" w:rsidRDefault="0013405D" w:rsidP="000E6AC2">
            <w:pPr>
              <w:jc w:val="center"/>
              <w:rPr>
                <w:rFonts w:ascii="Arial" w:hAnsi="Arial" w:cs="Arial"/>
                <w:b/>
                <w:bCs/>
              </w:rPr>
            </w:pPr>
            <w:r w:rsidRPr="007B7747">
              <w:rPr>
                <w:rFonts w:ascii="Arial" w:hAnsi="Arial" w:cs="Arial"/>
                <w:b/>
                <w:bCs/>
              </w:rPr>
              <w:t>Maximum</w:t>
            </w:r>
          </w:p>
        </w:tc>
        <w:tc>
          <w:tcPr>
            <w:tcW w:w="980" w:type="pct"/>
            <w:vMerge/>
            <w:tcBorders>
              <w:bottom w:val="single" w:sz="4" w:space="0" w:color="auto"/>
            </w:tcBorders>
            <w:vAlign w:val="center"/>
          </w:tcPr>
          <w:p w14:paraId="5F6CCD81" w14:textId="77777777" w:rsidR="0013405D" w:rsidRPr="007B7747" w:rsidRDefault="0013405D" w:rsidP="000E6AC2">
            <w:pPr>
              <w:jc w:val="center"/>
              <w:rPr>
                <w:rFonts w:ascii="Arial" w:hAnsi="Arial" w:cs="Arial"/>
              </w:rPr>
            </w:pPr>
          </w:p>
        </w:tc>
      </w:tr>
      <w:tr w:rsidR="007B7747" w:rsidRPr="007B7747" w14:paraId="5BDD611C" w14:textId="77777777" w:rsidTr="00805D31">
        <w:tc>
          <w:tcPr>
            <w:tcW w:w="981" w:type="pct"/>
            <w:tcBorders>
              <w:top w:val="single" w:sz="4" w:space="0" w:color="auto"/>
            </w:tcBorders>
            <w:vAlign w:val="center"/>
          </w:tcPr>
          <w:p w14:paraId="737A67A2" w14:textId="77777777" w:rsidR="0013405D" w:rsidRPr="007B7747" w:rsidRDefault="0013405D" w:rsidP="000E6AC2">
            <w:pPr>
              <w:jc w:val="center"/>
              <w:rPr>
                <w:rFonts w:ascii="Arial" w:hAnsi="Arial" w:cs="Arial"/>
              </w:rPr>
            </w:pPr>
            <w:r w:rsidRPr="007B7747">
              <w:rPr>
                <w:rFonts w:ascii="Arial" w:hAnsi="Arial" w:cs="Arial"/>
              </w:rPr>
              <w:t>Dust</w:t>
            </w:r>
          </w:p>
        </w:tc>
        <w:tc>
          <w:tcPr>
            <w:tcW w:w="574" w:type="pct"/>
            <w:tcBorders>
              <w:top w:val="single" w:sz="4" w:space="0" w:color="auto"/>
            </w:tcBorders>
            <w:vAlign w:val="center"/>
          </w:tcPr>
          <w:p w14:paraId="39E69C07" w14:textId="77777777" w:rsidR="0013405D" w:rsidRPr="007B7747" w:rsidRDefault="0013405D" w:rsidP="000E6AC2">
            <w:pPr>
              <w:jc w:val="center"/>
              <w:rPr>
                <w:rFonts w:ascii="Arial" w:hAnsi="Arial" w:cs="Arial"/>
              </w:rPr>
            </w:pPr>
            <w:r w:rsidRPr="007B7747">
              <w:rPr>
                <w:rFonts w:ascii="Arial" w:hAnsi="Arial" w:cs="Arial"/>
              </w:rPr>
              <w:t>30.73%</w:t>
            </w:r>
          </w:p>
        </w:tc>
        <w:tc>
          <w:tcPr>
            <w:tcW w:w="477" w:type="pct"/>
            <w:tcBorders>
              <w:top w:val="single" w:sz="4" w:space="0" w:color="auto"/>
            </w:tcBorders>
            <w:vAlign w:val="center"/>
          </w:tcPr>
          <w:p w14:paraId="5EFC7ADA" w14:textId="77777777" w:rsidR="0013405D" w:rsidRPr="007B7747" w:rsidRDefault="0013405D" w:rsidP="000E6AC2">
            <w:pPr>
              <w:jc w:val="center"/>
              <w:rPr>
                <w:rFonts w:ascii="Arial" w:hAnsi="Arial" w:cs="Arial"/>
              </w:rPr>
            </w:pPr>
            <w:r w:rsidRPr="007B7747">
              <w:rPr>
                <w:rFonts w:ascii="Arial" w:hAnsi="Arial" w:cs="Arial"/>
              </w:rPr>
              <w:t>23.48</w:t>
            </w:r>
          </w:p>
        </w:tc>
        <w:tc>
          <w:tcPr>
            <w:tcW w:w="601" w:type="pct"/>
            <w:tcBorders>
              <w:top w:val="single" w:sz="4" w:space="0" w:color="auto"/>
            </w:tcBorders>
            <w:vAlign w:val="center"/>
          </w:tcPr>
          <w:p w14:paraId="1701F3E2" w14:textId="77777777" w:rsidR="0013405D" w:rsidRPr="007B7747" w:rsidRDefault="0013405D" w:rsidP="000E6AC2">
            <w:pPr>
              <w:jc w:val="center"/>
              <w:rPr>
                <w:rFonts w:ascii="Arial" w:hAnsi="Arial" w:cs="Arial"/>
              </w:rPr>
            </w:pPr>
            <w:r w:rsidRPr="007B7747">
              <w:rPr>
                <w:rFonts w:ascii="Arial" w:hAnsi="Arial" w:cs="Arial"/>
              </w:rPr>
              <w:t>3.91</w:t>
            </w:r>
          </w:p>
        </w:tc>
        <w:tc>
          <w:tcPr>
            <w:tcW w:w="651" w:type="pct"/>
            <w:tcBorders>
              <w:top w:val="single" w:sz="4" w:space="0" w:color="auto"/>
            </w:tcBorders>
            <w:vAlign w:val="center"/>
          </w:tcPr>
          <w:p w14:paraId="40F5F427" w14:textId="77777777" w:rsidR="0013405D" w:rsidRPr="007B7747" w:rsidRDefault="0013405D" w:rsidP="000E6AC2">
            <w:pPr>
              <w:jc w:val="center"/>
              <w:rPr>
                <w:rFonts w:ascii="Arial" w:hAnsi="Arial" w:cs="Arial"/>
              </w:rPr>
            </w:pPr>
            <w:r w:rsidRPr="007B7747">
              <w:rPr>
                <w:rFonts w:ascii="Arial" w:hAnsi="Arial" w:cs="Arial"/>
              </w:rPr>
              <w:t>18</w:t>
            </w:r>
          </w:p>
        </w:tc>
        <w:tc>
          <w:tcPr>
            <w:tcW w:w="735" w:type="pct"/>
            <w:tcBorders>
              <w:top w:val="single" w:sz="4" w:space="0" w:color="auto"/>
            </w:tcBorders>
            <w:vAlign w:val="center"/>
          </w:tcPr>
          <w:p w14:paraId="36A447D9" w14:textId="77777777" w:rsidR="0013405D" w:rsidRPr="007B7747" w:rsidRDefault="0013405D" w:rsidP="000E6AC2">
            <w:pPr>
              <w:jc w:val="center"/>
              <w:rPr>
                <w:rFonts w:ascii="Arial" w:hAnsi="Arial" w:cs="Arial"/>
              </w:rPr>
            </w:pPr>
            <w:r w:rsidRPr="007B7747">
              <w:rPr>
                <w:rFonts w:ascii="Arial" w:hAnsi="Arial" w:cs="Arial"/>
              </w:rPr>
              <w:t>35</w:t>
            </w:r>
          </w:p>
        </w:tc>
        <w:tc>
          <w:tcPr>
            <w:tcW w:w="980" w:type="pct"/>
            <w:tcBorders>
              <w:top w:val="single" w:sz="4" w:space="0" w:color="auto"/>
            </w:tcBorders>
            <w:vAlign w:val="center"/>
          </w:tcPr>
          <w:p w14:paraId="576514D7" w14:textId="77777777" w:rsidR="0013405D" w:rsidRPr="007B7747" w:rsidRDefault="0013405D" w:rsidP="000E6AC2">
            <w:pPr>
              <w:jc w:val="center"/>
              <w:rPr>
                <w:rFonts w:ascii="Arial" w:hAnsi="Arial" w:cs="Arial"/>
              </w:rPr>
            </w:pPr>
            <w:r w:rsidRPr="007B7747">
              <w:rPr>
                <w:rFonts w:ascii="Arial" w:hAnsi="Arial" w:cs="Arial"/>
              </w:rPr>
              <w:t>22.79 - 24.18</w:t>
            </w:r>
          </w:p>
        </w:tc>
      </w:tr>
      <w:tr w:rsidR="007B7747" w:rsidRPr="007B7747" w14:paraId="403F0B42" w14:textId="77777777" w:rsidTr="00805D31">
        <w:tc>
          <w:tcPr>
            <w:tcW w:w="981" w:type="pct"/>
            <w:vAlign w:val="center"/>
          </w:tcPr>
          <w:p w14:paraId="56E34351" w14:textId="77777777" w:rsidR="0013405D" w:rsidRPr="007B7747" w:rsidRDefault="0013405D" w:rsidP="000E6AC2">
            <w:pPr>
              <w:jc w:val="center"/>
              <w:rPr>
                <w:rFonts w:ascii="Arial" w:hAnsi="Arial" w:cs="Arial"/>
              </w:rPr>
            </w:pPr>
            <w:r w:rsidRPr="007B7747">
              <w:rPr>
                <w:rFonts w:ascii="Arial" w:hAnsi="Arial" w:cs="Arial"/>
              </w:rPr>
              <w:t>Spice</w:t>
            </w:r>
          </w:p>
        </w:tc>
        <w:tc>
          <w:tcPr>
            <w:tcW w:w="574" w:type="pct"/>
            <w:vAlign w:val="center"/>
          </w:tcPr>
          <w:p w14:paraId="679A5397" w14:textId="77777777" w:rsidR="0013405D" w:rsidRPr="007B7747" w:rsidRDefault="0013405D" w:rsidP="000E6AC2">
            <w:pPr>
              <w:jc w:val="center"/>
              <w:rPr>
                <w:rFonts w:ascii="Arial" w:hAnsi="Arial" w:cs="Arial"/>
              </w:rPr>
            </w:pPr>
            <w:r w:rsidRPr="007B7747">
              <w:rPr>
                <w:rFonts w:ascii="Arial" w:hAnsi="Arial" w:cs="Arial"/>
              </w:rPr>
              <w:t>15.37%</w:t>
            </w:r>
          </w:p>
        </w:tc>
        <w:tc>
          <w:tcPr>
            <w:tcW w:w="477" w:type="pct"/>
            <w:vAlign w:val="center"/>
          </w:tcPr>
          <w:p w14:paraId="2685A78A" w14:textId="77777777" w:rsidR="0013405D" w:rsidRPr="007B7747" w:rsidRDefault="0013405D" w:rsidP="000E6AC2">
            <w:pPr>
              <w:jc w:val="center"/>
              <w:rPr>
                <w:rFonts w:ascii="Arial" w:hAnsi="Arial" w:cs="Arial"/>
              </w:rPr>
            </w:pPr>
            <w:r w:rsidRPr="007B7747">
              <w:rPr>
                <w:rFonts w:ascii="Arial" w:hAnsi="Arial" w:cs="Arial"/>
              </w:rPr>
              <w:t>24.97</w:t>
            </w:r>
          </w:p>
        </w:tc>
        <w:tc>
          <w:tcPr>
            <w:tcW w:w="601" w:type="pct"/>
            <w:vAlign w:val="center"/>
          </w:tcPr>
          <w:p w14:paraId="7079313F" w14:textId="77777777" w:rsidR="0013405D" w:rsidRPr="007B7747" w:rsidRDefault="0013405D" w:rsidP="000E6AC2">
            <w:pPr>
              <w:jc w:val="center"/>
              <w:rPr>
                <w:rFonts w:ascii="Arial" w:hAnsi="Arial" w:cs="Arial"/>
              </w:rPr>
            </w:pPr>
            <w:r w:rsidRPr="007B7747">
              <w:rPr>
                <w:rFonts w:ascii="Arial" w:hAnsi="Arial" w:cs="Arial"/>
              </w:rPr>
              <w:t>4.4</w:t>
            </w:r>
          </w:p>
        </w:tc>
        <w:tc>
          <w:tcPr>
            <w:tcW w:w="651" w:type="pct"/>
            <w:vAlign w:val="center"/>
          </w:tcPr>
          <w:p w14:paraId="74632F1A" w14:textId="77777777" w:rsidR="0013405D" w:rsidRPr="007B7747" w:rsidRDefault="0013405D" w:rsidP="000E6AC2">
            <w:pPr>
              <w:jc w:val="center"/>
              <w:rPr>
                <w:rFonts w:ascii="Arial" w:hAnsi="Arial" w:cs="Arial"/>
              </w:rPr>
            </w:pPr>
            <w:r w:rsidRPr="007B7747">
              <w:rPr>
                <w:rFonts w:ascii="Arial" w:hAnsi="Arial" w:cs="Arial"/>
              </w:rPr>
              <w:t>21</w:t>
            </w:r>
          </w:p>
        </w:tc>
        <w:tc>
          <w:tcPr>
            <w:tcW w:w="735" w:type="pct"/>
            <w:vAlign w:val="center"/>
          </w:tcPr>
          <w:p w14:paraId="1C12E3F8" w14:textId="77777777" w:rsidR="0013405D" w:rsidRPr="007B7747" w:rsidRDefault="0013405D" w:rsidP="000E6AC2">
            <w:pPr>
              <w:jc w:val="center"/>
              <w:rPr>
                <w:rFonts w:ascii="Arial" w:hAnsi="Arial" w:cs="Arial"/>
              </w:rPr>
            </w:pPr>
            <w:r w:rsidRPr="007B7747">
              <w:rPr>
                <w:rFonts w:ascii="Arial" w:hAnsi="Arial" w:cs="Arial"/>
              </w:rPr>
              <w:t>34</w:t>
            </w:r>
          </w:p>
        </w:tc>
        <w:tc>
          <w:tcPr>
            <w:tcW w:w="980" w:type="pct"/>
            <w:vAlign w:val="center"/>
          </w:tcPr>
          <w:p w14:paraId="1BC06DBF" w14:textId="77777777" w:rsidR="0013405D" w:rsidRPr="007B7747" w:rsidRDefault="0013405D" w:rsidP="000E6AC2">
            <w:pPr>
              <w:jc w:val="center"/>
              <w:rPr>
                <w:rFonts w:ascii="Arial" w:hAnsi="Arial" w:cs="Arial"/>
              </w:rPr>
            </w:pPr>
            <w:r w:rsidRPr="007B7747">
              <w:rPr>
                <w:rFonts w:ascii="Arial" w:hAnsi="Arial" w:cs="Arial"/>
              </w:rPr>
              <w:t>23.86 - 26.08</w:t>
            </w:r>
          </w:p>
        </w:tc>
      </w:tr>
      <w:tr w:rsidR="007B7747" w:rsidRPr="007B7747" w14:paraId="0F80AFB5" w14:textId="77777777" w:rsidTr="00805D31">
        <w:tc>
          <w:tcPr>
            <w:tcW w:w="981" w:type="pct"/>
            <w:vAlign w:val="center"/>
          </w:tcPr>
          <w:p w14:paraId="4D9FB8C5" w14:textId="77777777" w:rsidR="0013405D" w:rsidRPr="007B7747" w:rsidRDefault="0013405D" w:rsidP="000E6AC2">
            <w:pPr>
              <w:jc w:val="center"/>
              <w:rPr>
                <w:rFonts w:ascii="Arial" w:hAnsi="Arial" w:cs="Arial"/>
              </w:rPr>
            </w:pPr>
            <w:r w:rsidRPr="007B7747">
              <w:rPr>
                <w:rFonts w:ascii="Arial" w:hAnsi="Arial" w:cs="Arial"/>
              </w:rPr>
              <w:t>Perfume</w:t>
            </w:r>
          </w:p>
        </w:tc>
        <w:tc>
          <w:tcPr>
            <w:tcW w:w="574" w:type="pct"/>
            <w:vAlign w:val="center"/>
          </w:tcPr>
          <w:p w14:paraId="03803696" w14:textId="77777777" w:rsidR="0013405D" w:rsidRPr="007B7747" w:rsidRDefault="0013405D" w:rsidP="000E6AC2">
            <w:pPr>
              <w:jc w:val="center"/>
              <w:rPr>
                <w:rFonts w:ascii="Arial" w:hAnsi="Arial" w:cs="Arial"/>
              </w:rPr>
            </w:pPr>
            <w:r w:rsidRPr="007B7747">
              <w:rPr>
                <w:rFonts w:ascii="Arial" w:hAnsi="Arial" w:cs="Arial"/>
              </w:rPr>
              <w:t>13.66%</w:t>
            </w:r>
          </w:p>
        </w:tc>
        <w:tc>
          <w:tcPr>
            <w:tcW w:w="477" w:type="pct"/>
            <w:vAlign w:val="center"/>
          </w:tcPr>
          <w:p w14:paraId="68BAC3E0" w14:textId="77777777" w:rsidR="0013405D" w:rsidRPr="007B7747" w:rsidRDefault="0013405D" w:rsidP="000E6AC2">
            <w:pPr>
              <w:jc w:val="center"/>
              <w:rPr>
                <w:rFonts w:ascii="Arial" w:hAnsi="Arial" w:cs="Arial"/>
              </w:rPr>
            </w:pPr>
            <w:r w:rsidRPr="007B7747">
              <w:rPr>
                <w:rFonts w:ascii="Arial" w:hAnsi="Arial" w:cs="Arial"/>
              </w:rPr>
              <w:t>25.8</w:t>
            </w:r>
          </w:p>
        </w:tc>
        <w:tc>
          <w:tcPr>
            <w:tcW w:w="601" w:type="pct"/>
            <w:vAlign w:val="center"/>
          </w:tcPr>
          <w:p w14:paraId="5FF948BB" w14:textId="77777777" w:rsidR="0013405D" w:rsidRPr="007B7747" w:rsidRDefault="0013405D" w:rsidP="000E6AC2">
            <w:pPr>
              <w:jc w:val="center"/>
              <w:rPr>
                <w:rFonts w:ascii="Arial" w:hAnsi="Arial" w:cs="Arial"/>
              </w:rPr>
            </w:pPr>
            <w:r w:rsidRPr="007B7747">
              <w:rPr>
                <w:rFonts w:ascii="Arial" w:hAnsi="Arial" w:cs="Arial"/>
              </w:rPr>
              <w:t>5.3</w:t>
            </w:r>
          </w:p>
        </w:tc>
        <w:tc>
          <w:tcPr>
            <w:tcW w:w="651" w:type="pct"/>
            <w:vAlign w:val="center"/>
          </w:tcPr>
          <w:p w14:paraId="79681E66" w14:textId="77777777" w:rsidR="0013405D" w:rsidRPr="007B7747" w:rsidRDefault="0013405D" w:rsidP="000E6AC2">
            <w:pPr>
              <w:jc w:val="center"/>
              <w:rPr>
                <w:rFonts w:ascii="Arial" w:hAnsi="Arial" w:cs="Arial"/>
              </w:rPr>
            </w:pPr>
            <w:r w:rsidRPr="007B7747">
              <w:rPr>
                <w:rFonts w:ascii="Arial" w:hAnsi="Arial" w:cs="Arial"/>
              </w:rPr>
              <w:t>21</w:t>
            </w:r>
          </w:p>
        </w:tc>
        <w:tc>
          <w:tcPr>
            <w:tcW w:w="735" w:type="pct"/>
            <w:vAlign w:val="center"/>
          </w:tcPr>
          <w:p w14:paraId="2A63218C" w14:textId="77777777" w:rsidR="0013405D" w:rsidRPr="007B7747" w:rsidRDefault="0013405D" w:rsidP="000E6AC2">
            <w:pPr>
              <w:jc w:val="center"/>
              <w:rPr>
                <w:rFonts w:ascii="Arial" w:hAnsi="Arial" w:cs="Arial"/>
              </w:rPr>
            </w:pPr>
            <w:r w:rsidRPr="007B7747">
              <w:rPr>
                <w:rFonts w:ascii="Arial" w:hAnsi="Arial" w:cs="Arial"/>
              </w:rPr>
              <w:t>35</w:t>
            </w:r>
          </w:p>
        </w:tc>
        <w:tc>
          <w:tcPr>
            <w:tcW w:w="980" w:type="pct"/>
            <w:vAlign w:val="center"/>
          </w:tcPr>
          <w:p w14:paraId="380AC051" w14:textId="77777777" w:rsidR="0013405D" w:rsidRPr="007B7747" w:rsidRDefault="0013405D" w:rsidP="000E6AC2">
            <w:pPr>
              <w:jc w:val="center"/>
              <w:rPr>
                <w:rFonts w:ascii="Arial" w:hAnsi="Arial" w:cs="Arial"/>
              </w:rPr>
            </w:pPr>
            <w:r w:rsidRPr="007B7747">
              <w:rPr>
                <w:rFonts w:ascii="Arial" w:hAnsi="Arial" w:cs="Arial"/>
              </w:rPr>
              <w:t>24.38 - 27.22</w:t>
            </w:r>
          </w:p>
        </w:tc>
      </w:tr>
      <w:tr w:rsidR="007B7747" w:rsidRPr="007B7747" w14:paraId="1CA8B2C9" w14:textId="77777777" w:rsidTr="00805D31">
        <w:tc>
          <w:tcPr>
            <w:tcW w:w="981" w:type="pct"/>
            <w:vAlign w:val="center"/>
          </w:tcPr>
          <w:p w14:paraId="56E162C8" w14:textId="77777777" w:rsidR="0013405D" w:rsidRPr="007B7747" w:rsidRDefault="0013405D" w:rsidP="000E6AC2">
            <w:pPr>
              <w:jc w:val="center"/>
              <w:rPr>
                <w:rFonts w:ascii="Arial" w:hAnsi="Arial" w:cs="Arial"/>
              </w:rPr>
            </w:pPr>
            <w:r w:rsidRPr="007B7747">
              <w:rPr>
                <w:rFonts w:ascii="Arial" w:hAnsi="Arial" w:cs="Arial"/>
              </w:rPr>
              <w:t>Pollen</w:t>
            </w:r>
          </w:p>
        </w:tc>
        <w:tc>
          <w:tcPr>
            <w:tcW w:w="574" w:type="pct"/>
            <w:vAlign w:val="center"/>
          </w:tcPr>
          <w:p w14:paraId="1F977D0F" w14:textId="77777777" w:rsidR="0013405D" w:rsidRPr="007B7747" w:rsidRDefault="0013405D" w:rsidP="000E6AC2">
            <w:pPr>
              <w:jc w:val="center"/>
              <w:rPr>
                <w:rFonts w:ascii="Arial" w:hAnsi="Arial" w:cs="Arial"/>
              </w:rPr>
            </w:pPr>
            <w:r w:rsidRPr="007B7747">
              <w:rPr>
                <w:rFonts w:ascii="Arial" w:hAnsi="Arial" w:cs="Arial"/>
              </w:rPr>
              <w:t>11.95%</w:t>
            </w:r>
          </w:p>
        </w:tc>
        <w:tc>
          <w:tcPr>
            <w:tcW w:w="477" w:type="pct"/>
            <w:vAlign w:val="center"/>
          </w:tcPr>
          <w:p w14:paraId="11A5593B" w14:textId="77777777" w:rsidR="0013405D" w:rsidRPr="007B7747" w:rsidRDefault="0013405D" w:rsidP="000E6AC2">
            <w:pPr>
              <w:jc w:val="center"/>
              <w:rPr>
                <w:rFonts w:ascii="Arial" w:hAnsi="Arial" w:cs="Arial"/>
              </w:rPr>
            </w:pPr>
            <w:r w:rsidRPr="007B7747">
              <w:rPr>
                <w:rFonts w:ascii="Arial" w:hAnsi="Arial" w:cs="Arial"/>
              </w:rPr>
              <w:t>23.88</w:t>
            </w:r>
          </w:p>
        </w:tc>
        <w:tc>
          <w:tcPr>
            <w:tcW w:w="601" w:type="pct"/>
            <w:vAlign w:val="center"/>
          </w:tcPr>
          <w:p w14:paraId="0F5CE96E" w14:textId="77777777" w:rsidR="0013405D" w:rsidRPr="007B7747" w:rsidRDefault="0013405D" w:rsidP="000E6AC2">
            <w:pPr>
              <w:jc w:val="center"/>
              <w:rPr>
                <w:rFonts w:ascii="Arial" w:hAnsi="Arial" w:cs="Arial"/>
              </w:rPr>
            </w:pPr>
            <w:r w:rsidRPr="007B7747">
              <w:rPr>
                <w:rFonts w:ascii="Arial" w:hAnsi="Arial" w:cs="Arial"/>
              </w:rPr>
              <w:t>3.47</w:t>
            </w:r>
          </w:p>
        </w:tc>
        <w:tc>
          <w:tcPr>
            <w:tcW w:w="651" w:type="pct"/>
            <w:vAlign w:val="center"/>
          </w:tcPr>
          <w:p w14:paraId="7A73CEE4" w14:textId="77777777" w:rsidR="0013405D" w:rsidRPr="007B7747" w:rsidRDefault="0013405D" w:rsidP="000E6AC2">
            <w:pPr>
              <w:jc w:val="center"/>
              <w:rPr>
                <w:rFonts w:ascii="Arial" w:hAnsi="Arial" w:cs="Arial"/>
              </w:rPr>
            </w:pPr>
            <w:r w:rsidRPr="007B7747">
              <w:rPr>
                <w:rFonts w:ascii="Arial" w:hAnsi="Arial" w:cs="Arial"/>
              </w:rPr>
              <w:t>21</w:t>
            </w:r>
          </w:p>
        </w:tc>
        <w:tc>
          <w:tcPr>
            <w:tcW w:w="735" w:type="pct"/>
            <w:vAlign w:val="center"/>
          </w:tcPr>
          <w:p w14:paraId="47D4E7EE" w14:textId="77777777" w:rsidR="0013405D" w:rsidRPr="007B7747" w:rsidRDefault="0013405D" w:rsidP="000E6AC2">
            <w:pPr>
              <w:jc w:val="center"/>
              <w:rPr>
                <w:rFonts w:ascii="Arial" w:hAnsi="Arial" w:cs="Arial"/>
              </w:rPr>
            </w:pPr>
            <w:r w:rsidRPr="007B7747">
              <w:rPr>
                <w:rFonts w:ascii="Arial" w:hAnsi="Arial" w:cs="Arial"/>
              </w:rPr>
              <w:t>34</w:t>
            </w:r>
          </w:p>
        </w:tc>
        <w:tc>
          <w:tcPr>
            <w:tcW w:w="980" w:type="pct"/>
            <w:vAlign w:val="center"/>
          </w:tcPr>
          <w:p w14:paraId="4DD26CE7" w14:textId="77777777" w:rsidR="0013405D" w:rsidRPr="007B7747" w:rsidRDefault="0013405D" w:rsidP="000E6AC2">
            <w:pPr>
              <w:jc w:val="center"/>
              <w:rPr>
                <w:rFonts w:ascii="Arial" w:hAnsi="Arial" w:cs="Arial"/>
              </w:rPr>
            </w:pPr>
            <w:r w:rsidRPr="007B7747">
              <w:rPr>
                <w:rFonts w:ascii="Arial" w:hAnsi="Arial" w:cs="Arial"/>
              </w:rPr>
              <w:t>22.88 - 24.88</w:t>
            </w:r>
          </w:p>
        </w:tc>
      </w:tr>
      <w:tr w:rsidR="007B7747" w:rsidRPr="007B7747" w14:paraId="0B89D610" w14:textId="77777777" w:rsidTr="00805D31">
        <w:tc>
          <w:tcPr>
            <w:tcW w:w="981" w:type="pct"/>
            <w:vAlign w:val="center"/>
          </w:tcPr>
          <w:p w14:paraId="0EDF8CD5" w14:textId="77777777" w:rsidR="0013405D" w:rsidRPr="007B7747" w:rsidRDefault="0013405D" w:rsidP="000E6AC2">
            <w:pPr>
              <w:jc w:val="center"/>
              <w:rPr>
                <w:rFonts w:ascii="Arial" w:hAnsi="Arial" w:cs="Arial"/>
              </w:rPr>
            </w:pPr>
            <w:r w:rsidRPr="007B7747">
              <w:rPr>
                <w:rFonts w:ascii="Arial" w:hAnsi="Arial" w:cs="Arial"/>
              </w:rPr>
              <w:t>Cleaning products</w:t>
            </w:r>
          </w:p>
        </w:tc>
        <w:tc>
          <w:tcPr>
            <w:tcW w:w="574" w:type="pct"/>
            <w:vAlign w:val="center"/>
          </w:tcPr>
          <w:p w14:paraId="312A899E" w14:textId="77777777" w:rsidR="0013405D" w:rsidRPr="007B7747" w:rsidRDefault="0013405D" w:rsidP="000E6AC2">
            <w:pPr>
              <w:jc w:val="center"/>
              <w:rPr>
                <w:rFonts w:ascii="Arial" w:hAnsi="Arial" w:cs="Arial"/>
              </w:rPr>
            </w:pPr>
            <w:r w:rsidRPr="007B7747">
              <w:rPr>
                <w:rFonts w:ascii="Arial" w:hAnsi="Arial" w:cs="Arial"/>
              </w:rPr>
              <w:t>11.46%</w:t>
            </w:r>
          </w:p>
        </w:tc>
        <w:tc>
          <w:tcPr>
            <w:tcW w:w="477" w:type="pct"/>
            <w:vAlign w:val="center"/>
          </w:tcPr>
          <w:p w14:paraId="47EE3BC1" w14:textId="77777777" w:rsidR="0013405D" w:rsidRPr="007B7747" w:rsidRDefault="0013405D" w:rsidP="000E6AC2">
            <w:pPr>
              <w:jc w:val="center"/>
              <w:rPr>
                <w:rFonts w:ascii="Arial" w:hAnsi="Arial" w:cs="Arial"/>
              </w:rPr>
            </w:pPr>
            <w:r w:rsidRPr="007B7747">
              <w:rPr>
                <w:rFonts w:ascii="Arial" w:hAnsi="Arial" w:cs="Arial"/>
              </w:rPr>
              <w:t>26.55</w:t>
            </w:r>
          </w:p>
        </w:tc>
        <w:tc>
          <w:tcPr>
            <w:tcW w:w="601" w:type="pct"/>
            <w:vAlign w:val="center"/>
          </w:tcPr>
          <w:p w14:paraId="19772E49" w14:textId="77777777" w:rsidR="0013405D" w:rsidRPr="007B7747" w:rsidRDefault="0013405D" w:rsidP="000E6AC2">
            <w:pPr>
              <w:jc w:val="center"/>
              <w:rPr>
                <w:rFonts w:ascii="Arial" w:hAnsi="Arial" w:cs="Arial"/>
              </w:rPr>
            </w:pPr>
            <w:r w:rsidRPr="007B7747">
              <w:rPr>
                <w:rFonts w:ascii="Arial" w:hAnsi="Arial" w:cs="Arial"/>
              </w:rPr>
              <w:t>5.47</w:t>
            </w:r>
          </w:p>
        </w:tc>
        <w:tc>
          <w:tcPr>
            <w:tcW w:w="651" w:type="pct"/>
            <w:vAlign w:val="center"/>
          </w:tcPr>
          <w:p w14:paraId="0C3771D3" w14:textId="77777777" w:rsidR="0013405D" w:rsidRPr="007B7747" w:rsidRDefault="0013405D" w:rsidP="000E6AC2">
            <w:pPr>
              <w:jc w:val="center"/>
              <w:rPr>
                <w:rFonts w:ascii="Arial" w:hAnsi="Arial" w:cs="Arial"/>
              </w:rPr>
            </w:pPr>
            <w:r w:rsidRPr="007B7747">
              <w:rPr>
                <w:rFonts w:ascii="Arial" w:hAnsi="Arial" w:cs="Arial"/>
              </w:rPr>
              <w:t>18</w:t>
            </w:r>
          </w:p>
        </w:tc>
        <w:tc>
          <w:tcPr>
            <w:tcW w:w="735" w:type="pct"/>
            <w:vAlign w:val="center"/>
          </w:tcPr>
          <w:p w14:paraId="4616742F" w14:textId="77777777" w:rsidR="0013405D" w:rsidRPr="007B7747" w:rsidRDefault="0013405D" w:rsidP="000E6AC2">
            <w:pPr>
              <w:jc w:val="center"/>
              <w:rPr>
                <w:rFonts w:ascii="Arial" w:hAnsi="Arial" w:cs="Arial"/>
              </w:rPr>
            </w:pPr>
            <w:r w:rsidRPr="007B7747">
              <w:rPr>
                <w:rFonts w:ascii="Arial" w:hAnsi="Arial" w:cs="Arial"/>
              </w:rPr>
              <w:t>34</w:t>
            </w:r>
          </w:p>
        </w:tc>
        <w:tc>
          <w:tcPr>
            <w:tcW w:w="980" w:type="pct"/>
            <w:vAlign w:val="center"/>
          </w:tcPr>
          <w:p w14:paraId="66740251" w14:textId="77777777" w:rsidR="0013405D" w:rsidRPr="007B7747" w:rsidRDefault="0013405D" w:rsidP="000E6AC2">
            <w:pPr>
              <w:jc w:val="center"/>
              <w:rPr>
                <w:rFonts w:ascii="Arial" w:hAnsi="Arial" w:cs="Arial"/>
              </w:rPr>
            </w:pPr>
            <w:r w:rsidRPr="007B7747">
              <w:rPr>
                <w:rFonts w:ascii="Arial" w:hAnsi="Arial" w:cs="Arial"/>
              </w:rPr>
              <w:t>24.95 - 28.16</w:t>
            </w:r>
          </w:p>
        </w:tc>
      </w:tr>
      <w:tr w:rsidR="007B7747" w:rsidRPr="007B7747" w14:paraId="7583CD64" w14:textId="77777777" w:rsidTr="00805D31">
        <w:tc>
          <w:tcPr>
            <w:tcW w:w="981" w:type="pct"/>
            <w:vAlign w:val="center"/>
          </w:tcPr>
          <w:p w14:paraId="41E5E839" w14:textId="77777777" w:rsidR="0013405D" w:rsidRPr="007B7747" w:rsidRDefault="0013405D" w:rsidP="000E6AC2">
            <w:pPr>
              <w:jc w:val="center"/>
              <w:rPr>
                <w:rFonts w:ascii="Arial" w:hAnsi="Arial" w:cs="Arial"/>
              </w:rPr>
            </w:pPr>
            <w:r w:rsidRPr="007B7747">
              <w:rPr>
                <w:rFonts w:ascii="Arial" w:hAnsi="Arial" w:cs="Arial"/>
              </w:rPr>
              <w:t>Fruits</w:t>
            </w:r>
          </w:p>
        </w:tc>
        <w:tc>
          <w:tcPr>
            <w:tcW w:w="574" w:type="pct"/>
            <w:vAlign w:val="center"/>
          </w:tcPr>
          <w:p w14:paraId="2C0AA654" w14:textId="77777777" w:rsidR="0013405D" w:rsidRPr="007B7747" w:rsidRDefault="0013405D" w:rsidP="000E6AC2">
            <w:pPr>
              <w:jc w:val="center"/>
              <w:rPr>
                <w:rFonts w:ascii="Arial" w:hAnsi="Arial" w:cs="Arial"/>
              </w:rPr>
            </w:pPr>
            <w:r w:rsidRPr="007B7747">
              <w:rPr>
                <w:rFonts w:ascii="Arial" w:hAnsi="Arial" w:cs="Arial"/>
              </w:rPr>
              <w:t>9.27%</w:t>
            </w:r>
          </w:p>
        </w:tc>
        <w:tc>
          <w:tcPr>
            <w:tcW w:w="477" w:type="pct"/>
            <w:vAlign w:val="center"/>
          </w:tcPr>
          <w:p w14:paraId="2F9BB344" w14:textId="77777777" w:rsidR="0013405D" w:rsidRPr="007B7747" w:rsidRDefault="0013405D" w:rsidP="000E6AC2">
            <w:pPr>
              <w:jc w:val="center"/>
              <w:rPr>
                <w:rFonts w:ascii="Arial" w:hAnsi="Arial" w:cs="Arial"/>
              </w:rPr>
            </w:pPr>
            <w:r w:rsidRPr="007B7747">
              <w:rPr>
                <w:rFonts w:ascii="Arial" w:hAnsi="Arial" w:cs="Arial"/>
              </w:rPr>
              <w:t>21.92</w:t>
            </w:r>
          </w:p>
        </w:tc>
        <w:tc>
          <w:tcPr>
            <w:tcW w:w="601" w:type="pct"/>
            <w:vAlign w:val="center"/>
          </w:tcPr>
          <w:p w14:paraId="03390DE0" w14:textId="77777777" w:rsidR="0013405D" w:rsidRPr="007B7747" w:rsidRDefault="0013405D" w:rsidP="000E6AC2">
            <w:pPr>
              <w:jc w:val="center"/>
              <w:rPr>
                <w:rFonts w:ascii="Arial" w:hAnsi="Arial" w:cs="Arial"/>
              </w:rPr>
            </w:pPr>
            <w:r w:rsidRPr="007B7747">
              <w:rPr>
                <w:rFonts w:ascii="Arial" w:hAnsi="Arial" w:cs="Arial"/>
              </w:rPr>
              <w:t>3.72</w:t>
            </w:r>
          </w:p>
        </w:tc>
        <w:tc>
          <w:tcPr>
            <w:tcW w:w="651" w:type="pct"/>
            <w:vAlign w:val="center"/>
          </w:tcPr>
          <w:p w14:paraId="3ED5F981" w14:textId="77777777" w:rsidR="0013405D" w:rsidRPr="007B7747" w:rsidRDefault="0013405D" w:rsidP="000E6AC2">
            <w:pPr>
              <w:jc w:val="center"/>
              <w:rPr>
                <w:rFonts w:ascii="Arial" w:hAnsi="Arial" w:cs="Arial"/>
              </w:rPr>
            </w:pPr>
            <w:r w:rsidRPr="007B7747">
              <w:rPr>
                <w:rFonts w:ascii="Arial" w:hAnsi="Arial" w:cs="Arial"/>
              </w:rPr>
              <w:t>18</w:t>
            </w:r>
          </w:p>
        </w:tc>
        <w:tc>
          <w:tcPr>
            <w:tcW w:w="735" w:type="pct"/>
            <w:vAlign w:val="center"/>
          </w:tcPr>
          <w:p w14:paraId="31D1AD5F" w14:textId="77777777" w:rsidR="0013405D" w:rsidRPr="007B7747" w:rsidRDefault="0013405D" w:rsidP="000E6AC2">
            <w:pPr>
              <w:jc w:val="center"/>
              <w:rPr>
                <w:rFonts w:ascii="Arial" w:hAnsi="Arial" w:cs="Arial"/>
              </w:rPr>
            </w:pPr>
            <w:r w:rsidRPr="007B7747">
              <w:rPr>
                <w:rFonts w:ascii="Arial" w:hAnsi="Arial" w:cs="Arial"/>
              </w:rPr>
              <w:t>34</w:t>
            </w:r>
          </w:p>
        </w:tc>
        <w:tc>
          <w:tcPr>
            <w:tcW w:w="980" w:type="pct"/>
            <w:vAlign w:val="center"/>
          </w:tcPr>
          <w:p w14:paraId="53F4E862" w14:textId="77777777" w:rsidR="0013405D" w:rsidRPr="007B7747" w:rsidRDefault="0013405D" w:rsidP="000E6AC2">
            <w:pPr>
              <w:jc w:val="center"/>
              <w:rPr>
                <w:rFonts w:ascii="Arial" w:hAnsi="Arial" w:cs="Arial"/>
              </w:rPr>
            </w:pPr>
            <w:r w:rsidRPr="007B7747">
              <w:rPr>
                <w:rFonts w:ascii="Arial" w:hAnsi="Arial" w:cs="Arial"/>
              </w:rPr>
              <w:t>20.7 - 23.14</w:t>
            </w:r>
          </w:p>
        </w:tc>
      </w:tr>
      <w:tr w:rsidR="007B7747" w:rsidRPr="007B7747" w14:paraId="6A595B68" w14:textId="77777777" w:rsidTr="00805D31">
        <w:tc>
          <w:tcPr>
            <w:tcW w:w="981" w:type="pct"/>
            <w:vAlign w:val="center"/>
          </w:tcPr>
          <w:p w14:paraId="5C6B74B4" w14:textId="77777777" w:rsidR="0013405D" w:rsidRPr="007B7747" w:rsidRDefault="0013405D" w:rsidP="000E6AC2">
            <w:pPr>
              <w:jc w:val="center"/>
              <w:rPr>
                <w:rFonts w:ascii="Arial" w:hAnsi="Arial" w:cs="Arial"/>
              </w:rPr>
            </w:pPr>
            <w:r w:rsidRPr="007B7747">
              <w:rPr>
                <w:rFonts w:ascii="Arial" w:hAnsi="Arial" w:cs="Arial"/>
              </w:rPr>
              <w:t>Penicillin</w:t>
            </w:r>
          </w:p>
        </w:tc>
        <w:tc>
          <w:tcPr>
            <w:tcW w:w="574" w:type="pct"/>
            <w:vAlign w:val="center"/>
          </w:tcPr>
          <w:p w14:paraId="21691581" w14:textId="77777777" w:rsidR="0013405D" w:rsidRPr="007B7747" w:rsidRDefault="0013405D" w:rsidP="000E6AC2">
            <w:pPr>
              <w:jc w:val="center"/>
              <w:rPr>
                <w:rFonts w:ascii="Arial" w:hAnsi="Arial" w:cs="Arial"/>
              </w:rPr>
            </w:pPr>
            <w:r w:rsidRPr="007B7747">
              <w:rPr>
                <w:rFonts w:ascii="Arial" w:hAnsi="Arial" w:cs="Arial"/>
              </w:rPr>
              <w:t>4.15%</w:t>
            </w:r>
          </w:p>
        </w:tc>
        <w:tc>
          <w:tcPr>
            <w:tcW w:w="477" w:type="pct"/>
            <w:vAlign w:val="center"/>
          </w:tcPr>
          <w:p w14:paraId="576AAFDB" w14:textId="77777777" w:rsidR="0013405D" w:rsidRPr="007B7747" w:rsidRDefault="0013405D" w:rsidP="000E6AC2">
            <w:pPr>
              <w:jc w:val="center"/>
              <w:rPr>
                <w:rFonts w:ascii="Arial" w:hAnsi="Arial" w:cs="Arial"/>
              </w:rPr>
            </w:pPr>
            <w:r w:rsidRPr="007B7747">
              <w:rPr>
                <w:rFonts w:ascii="Arial" w:hAnsi="Arial" w:cs="Arial"/>
              </w:rPr>
              <w:t>32.47</w:t>
            </w:r>
          </w:p>
        </w:tc>
        <w:tc>
          <w:tcPr>
            <w:tcW w:w="601" w:type="pct"/>
            <w:vAlign w:val="center"/>
          </w:tcPr>
          <w:p w14:paraId="32E95507" w14:textId="77777777" w:rsidR="0013405D" w:rsidRPr="007B7747" w:rsidRDefault="0013405D" w:rsidP="000E6AC2">
            <w:pPr>
              <w:jc w:val="center"/>
              <w:rPr>
                <w:rFonts w:ascii="Arial" w:hAnsi="Arial" w:cs="Arial"/>
              </w:rPr>
            </w:pPr>
            <w:r w:rsidRPr="007B7747">
              <w:rPr>
                <w:rFonts w:ascii="Arial" w:hAnsi="Arial" w:cs="Arial"/>
              </w:rPr>
              <w:t>2.67</w:t>
            </w:r>
          </w:p>
        </w:tc>
        <w:tc>
          <w:tcPr>
            <w:tcW w:w="651" w:type="pct"/>
            <w:vAlign w:val="center"/>
          </w:tcPr>
          <w:p w14:paraId="3C6FB9AC" w14:textId="77777777" w:rsidR="0013405D" w:rsidRPr="007B7747" w:rsidRDefault="0013405D" w:rsidP="000E6AC2">
            <w:pPr>
              <w:jc w:val="center"/>
              <w:rPr>
                <w:rFonts w:ascii="Arial" w:hAnsi="Arial" w:cs="Arial"/>
              </w:rPr>
            </w:pPr>
            <w:r w:rsidRPr="007B7747">
              <w:rPr>
                <w:rFonts w:ascii="Arial" w:hAnsi="Arial" w:cs="Arial"/>
              </w:rPr>
              <w:t>24</w:t>
            </w:r>
          </w:p>
        </w:tc>
        <w:tc>
          <w:tcPr>
            <w:tcW w:w="735" w:type="pct"/>
            <w:vAlign w:val="center"/>
          </w:tcPr>
          <w:p w14:paraId="2532C3F1" w14:textId="77777777" w:rsidR="0013405D" w:rsidRPr="007B7747" w:rsidRDefault="0013405D" w:rsidP="000E6AC2">
            <w:pPr>
              <w:jc w:val="center"/>
              <w:rPr>
                <w:rFonts w:ascii="Arial" w:hAnsi="Arial" w:cs="Arial"/>
              </w:rPr>
            </w:pPr>
            <w:r w:rsidRPr="007B7747">
              <w:rPr>
                <w:rFonts w:ascii="Arial" w:hAnsi="Arial" w:cs="Arial"/>
              </w:rPr>
              <w:t>35</w:t>
            </w:r>
          </w:p>
        </w:tc>
        <w:tc>
          <w:tcPr>
            <w:tcW w:w="980" w:type="pct"/>
            <w:vAlign w:val="center"/>
          </w:tcPr>
          <w:p w14:paraId="2793C0D4" w14:textId="77777777" w:rsidR="0013405D" w:rsidRPr="007B7747" w:rsidRDefault="0013405D" w:rsidP="000E6AC2">
            <w:pPr>
              <w:jc w:val="center"/>
              <w:rPr>
                <w:rFonts w:ascii="Arial" w:hAnsi="Arial" w:cs="Arial"/>
              </w:rPr>
            </w:pPr>
            <w:r w:rsidRPr="007B7747">
              <w:rPr>
                <w:rFonts w:ascii="Arial" w:hAnsi="Arial" w:cs="Arial"/>
              </w:rPr>
              <w:t>31.1 - 33.84</w:t>
            </w:r>
          </w:p>
        </w:tc>
      </w:tr>
      <w:tr w:rsidR="00B3159B" w:rsidRPr="007B7747" w14:paraId="502B0CA2" w14:textId="77777777" w:rsidTr="00805D31">
        <w:tc>
          <w:tcPr>
            <w:tcW w:w="981" w:type="pct"/>
            <w:tcBorders>
              <w:bottom w:val="single" w:sz="4" w:space="0" w:color="auto"/>
            </w:tcBorders>
            <w:vAlign w:val="center"/>
          </w:tcPr>
          <w:p w14:paraId="01148F2F" w14:textId="77777777" w:rsidR="0013405D" w:rsidRPr="007B7747" w:rsidRDefault="0013405D" w:rsidP="000E6AC2">
            <w:pPr>
              <w:jc w:val="center"/>
              <w:rPr>
                <w:rFonts w:ascii="Arial" w:hAnsi="Arial" w:cs="Arial"/>
              </w:rPr>
            </w:pPr>
            <w:r w:rsidRPr="007B7747">
              <w:rPr>
                <w:rFonts w:ascii="Arial" w:hAnsi="Arial" w:cs="Arial"/>
              </w:rPr>
              <w:t>Gluten</w:t>
            </w:r>
          </w:p>
        </w:tc>
        <w:tc>
          <w:tcPr>
            <w:tcW w:w="574" w:type="pct"/>
            <w:tcBorders>
              <w:bottom w:val="single" w:sz="4" w:space="0" w:color="auto"/>
            </w:tcBorders>
            <w:vAlign w:val="center"/>
          </w:tcPr>
          <w:p w14:paraId="0CC5AEDB" w14:textId="77777777" w:rsidR="0013405D" w:rsidRPr="007B7747" w:rsidRDefault="0013405D" w:rsidP="000E6AC2">
            <w:pPr>
              <w:jc w:val="center"/>
              <w:rPr>
                <w:rFonts w:ascii="Arial" w:hAnsi="Arial" w:cs="Arial"/>
              </w:rPr>
            </w:pPr>
            <w:r w:rsidRPr="007B7747">
              <w:rPr>
                <w:rFonts w:ascii="Arial" w:hAnsi="Arial" w:cs="Arial"/>
              </w:rPr>
              <w:t>3.41%</w:t>
            </w:r>
          </w:p>
        </w:tc>
        <w:tc>
          <w:tcPr>
            <w:tcW w:w="477" w:type="pct"/>
            <w:tcBorders>
              <w:bottom w:val="single" w:sz="4" w:space="0" w:color="auto"/>
            </w:tcBorders>
            <w:vAlign w:val="center"/>
          </w:tcPr>
          <w:p w14:paraId="16D1C48E" w14:textId="77777777" w:rsidR="0013405D" w:rsidRPr="007B7747" w:rsidRDefault="0013405D" w:rsidP="000E6AC2">
            <w:pPr>
              <w:jc w:val="center"/>
              <w:rPr>
                <w:rFonts w:ascii="Arial" w:hAnsi="Arial" w:cs="Arial"/>
              </w:rPr>
            </w:pPr>
            <w:r w:rsidRPr="007B7747">
              <w:rPr>
                <w:rFonts w:ascii="Arial" w:hAnsi="Arial" w:cs="Arial"/>
              </w:rPr>
              <w:t>19.71</w:t>
            </w:r>
          </w:p>
        </w:tc>
        <w:tc>
          <w:tcPr>
            <w:tcW w:w="601" w:type="pct"/>
            <w:tcBorders>
              <w:bottom w:val="single" w:sz="4" w:space="0" w:color="auto"/>
            </w:tcBorders>
            <w:vAlign w:val="center"/>
          </w:tcPr>
          <w:p w14:paraId="086E3506" w14:textId="77777777" w:rsidR="0013405D" w:rsidRPr="007B7747" w:rsidRDefault="0013405D" w:rsidP="000E6AC2">
            <w:pPr>
              <w:jc w:val="center"/>
              <w:rPr>
                <w:rFonts w:ascii="Arial" w:hAnsi="Arial" w:cs="Arial"/>
              </w:rPr>
            </w:pPr>
            <w:r w:rsidRPr="007B7747">
              <w:rPr>
                <w:rFonts w:ascii="Arial" w:hAnsi="Arial" w:cs="Arial"/>
              </w:rPr>
              <w:t>1.73</w:t>
            </w:r>
          </w:p>
        </w:tc>
        <w:tc>
          <w:tcPr>
            <w:tcW w:w="651" w:type="pct"/>
            <w:tcBorders>
              <w:bottom w:val="single" w:sz="4" w:space="0" w:color="auto"/>
            </w:tcBorders>
            <w:vAlign w:val="center"/>
          </w:tcPr>
          <w:p w14:paraId="06F4D035" w14:textId="77777777" w:rsidR="0013405D" w:rsidRPr="007B7747" w:rsidRDefault="0013405D" w:rsidP="000E6AC2">
            <w:pPr>
              <w:jc w:val="center"/>
              <w:rPr>
                <w:rFonts w:ascii="Arial" w:hAnsi="Arial" w:cs="Arial"/>
              </w:rPr>
            </w:pPr>
            <w:r w:rsidRPr="007B7747">
              <w:rPr>
                <w:rFonts w:ascii="Arial" w:hAnsi="Arial" w:cs="Arial"/>
              </w:rPr>
              <w:t>18</w:t>
            </w:r>
          </w:p>
        </w:tc>
        <w:tc>
          <w:tcPr>
            <w:tcW w:w="735" w:type="pct"/>
            <w:tcBorders>
              <w:bottom w:val="single" w:sz="4" w:space="0" w:color="auto"/>
            </w:tcBorders>
            <w:vAlign w:val="center"/>
          </w:tcPr>
          <w:p w14:paraId="78E432BE" w14:textId="77777777" w:rsidR="0013405D" w:rsidRPr="007B7747" w:rsidRDefault="0013405D" w:rsidP="000E6AC2">
            <w:pPr>
              <w:jc w:val="center"/>
              <w:rPr>
                <w:rFonts w:ascii="Arial" w:hAnsi="Arial" w:cs="Arial"/>
              </w:rPr>
            </w:pPr>
            <w:r w:rsidRPr="007B7747">
              <w:rPr>
                <w:rFonts w:ascii="Arial" w:hAnsi="Arial" w:cs="Arial"/>
              </w:rPr>
              <w:t>22</w:t>
            </w:r>
          </w:p>
        </w:tc>
        <w:tc>
          <w:tcPr>
            <w:tcW w:w="980" w:type="pct"/>
            <w:tcBorders>
              <w:bottom w:val="single" w:sz="4" w:space="0" w:color="auto"/>
            </w:tcBorders>
            <w:vAlign w:val="center"/>
          </w:tcPr>
          <w:p w14:paraId="657B8F08" w14:textId="77777777" w:rsidR="0013405D" w:rsidRPr="007B7747" w:rsidRDefault="0013405D" w:rsidP="000E6AC2">
            <w:pPr>
              <w:jc w:val="center"/>
              <w:rPr>
                <w:rFonts w:ascii="Arial" w:hAnsi="Arial" w:cs="Arial"/>
              </w:rPr>
            </w:pPr>
            <w:r w:rsidRPr="007B7747">
              <w:rPr>
                <w:rFonts w:ascii="Arial" w:hAnsi="Arial" w:cs="Arial"/>
              </w:rPr>
              <w:t>18.72 - 20.71</w:t>
            </w:r>
          </w:p>
        </w:tc>
      </w:tr>
    </w:tbl>
    <w:p w14:paraId="74845534" w14:textId="77777777" w:rsidR="0013405D" w:rsidRPr="007B7747" w:rsidRDefault="0013405D" w:rsidP="0013405D">
      <w:pPr>
        <w:spacing w:line="480" w:lineRule="auto"/>
        <w:jc w:val="both"/>
        <w:rPr>
          <w:rFonts w:ascii="Arial" w:hAnsi="Arial" w:cs="Arial"/>
        </w:rPr>
      </w:pPr>
    </w:p>
    <w:p w14:paraId="13C5A61A" w14:textId="619E371B" w:rsidR="0013405D" w:rsidRPr="007B7747" w:rsidRDefault="0013405D" w:rsidP="00F07716">
      <w:pPr>
        <w:pStyle w:val="ListParagraph"/>
        <w:numPr>
          <w:ilvl w:val="1"/>
          <w:numId w:val="1"/>
        </w:numPr>
        <w:spacing w:line="480" w:lineRule="auto"/>
        <w:jc w:val="both"/>
        <w:rPr>
          <w:rFonts w:ascii="Arial" w:hAnsi="Arial" w:cs="Arial"/>
        </w:rPr>
      </w:pPr>
      <w:r w:rsidRPr="007B7747">
        <w:rPr>
          <w:rFonts w:ascii="Arial" w:hAnsi="Arial" w:cs="Arial"/>
          <w:b/>
          <w:bCs/>
        </w:rPr>
        <w:t xml:space="preserve">Allergic </w:t>
      </w:r>
      <w:r w:rsidR="003B4126" w:rsidRPr="007B7747">
        <w:rPr>
          <w:rFonts w:ascii="Arial" w:hAnsi="Arial" w:cs="Arial"/>
          <w:b/>
          <w:bCs/>
        </w:rPr>
        <w:t>S</w:t>
      </w:r>
      <w:r w:rsidRPr="007B7747">
        <w:rPr>
          <w:rFonts w:ascii="Arial" w:hAnsi="Arial" w:cs="Arial"/>
          <w:b/>
          <w:bCs/>
        </w:rPr>
        <w:t>ymptoms</w:t>
      </w:r>
      <w:r w:rsidRPr="007B7747">
        <w:rPr>
          <w:rFonts w:ascii="Arial" w:hAnsi="Arial" w:cs="Arial"/>
        </w:rPr>
        <w:t xml:space="preserve"> </w:t>
      </w:r>
    </w:p>
    <w:p w14:paraId="2081F0D0" w14:textId="2FB8A92C" w:rsidR="0013405D" w:rsidRPr="007B7747" w:rsidRDefault="0013405D" w:rsidP="003C1E35">
      <w:pPr>
        <w:spacing w:line="480" w:lineRule="auto"/>
        <w:jc w:val="both"/>
        <w:rPr>
          <w:rFonts w:ascii="Arial" w:hAnsi="Arial" w:cs="Arial"/>
        </w:rPr>
      </w:pPr>
      <w:r w:rsidRPr="007B7747">
        <w:rPr>
          <w:rFonts w:ascii="Arial" w:hAnsi="Arial" w:cs="Arial"/>
        </w:rPr>
        <w:t xml:space="preserve">The results of allergy symptom analysis revealed significant variations in clinical presentations, categorized into </w:t>
      </w:r>
      <w:r w:rsidR="00B76061" w:rsidRPr="007B7747">
        <w:rPr>
          <w:rFonts w:ascii="Arial" w:hAnsi="Arial" w:cs="Arial"/>
        </w:rPr>
        <w:t>four main</w:t>
      </w:r>
      <w:r w:rsidRPr="007B7747">
        <w:rPr>
          <w:rFonts w:ascii="Arial" w:hAnsi="Arial" w:cs="Arial"/>
        </w:rPr>
        <w:t xml:space="preserve"> patterns: cutaneous/respiratory (characterized by skin rash, shortness of breath, cough, and itching), cutaneous (including rash and itching), respiratory (manifested by sneezing and cough), and gastrointestinal symptoms (</w:t>
      </w:r>
      <w:r w:rsidRPr="007B7747">
        <w:rPr>
          <w:rFonts w:ascii="Arial" w:hAnsi="Arial" w:cs="Arial"/>
          <w:b/>
          <w:bCs/>
        </w:rPr>
        <w:t xml:space="preserve">Figure </w:t>
      </w:r>
      <w:r w:rsidR="00AE3ABF" w:rsidRPr="007B7747">
        <w:rPr>
          <w:rFonts w:ascii="Arial" w:hAnsi="Arial" w:cs="Arial"/>
          <w:b/>
          <w:bCs/>
        </w:rPr>
        <w:t>1</w:t>
      </w:r>
      <w:r w:rsidRPr="007B7747">
        <w:rPr>
          <w:rFonts w:ascii="Arial" w:hAnsi="Arial" w:cs="Arial"/>
        </w:rPr>
        <w:t xml:space="preserve">). Multi-symptoms of allergic reactions (skin rash, shortness of breath, cough, and itching) emerged as the most common manifestation (n=158, 38.5%), followed by dermatological </w:t>
      </w:r>
      <w:r w:rsidRPr="007B7747">
        <w:rPr>
          <w:rFonts w:ascii="Arial" w:hAnsi="Arial" w:cs="Arial"/>
        </w:rPr>
        <w:lastRenderedPageBreak/>
        <w:t xml:space="preserve">symptoms (rash and itching, n=150, 36.6%). Respiratory symptoms (sneezing and cough) accounted for 20.7% (n=85), while gastrointestinal complaints were notably rare (n=17, 4.1%). </w:t>
      </w:r>
    </w:p>
    <w:p w14:paraId="34002C56" w14:textId="77777777" w:rsidR="0013405D" w:rsidRPr="007B7747" w:rsidRDefault="0013405D" w:rsidP="0013405D">
      <w:pPr>
        <w:spacing w:line="480" w:lineRule="auto"/>
        <w:jc w:val="both"/>
        <w:rPr>
          <w:rFonts w:ascii="Arial" w:hAnsi="Arial" w:cs="Arial"/>
        </w:rPr>
      </w:pPr>
    </w:p>
    <w:p w14:paraId="05B1B1BE" w14:textId="77777777" w:rsidR="0013405D" w:rsidRPr="007B7747" w:rsidRDefault="0013405D" w:rsidP="0013405D">
      <w:pPr>
        <w:spacing w:line="480" w:lineRule="auto"/>
        <w:jc w:val="center"/>
        <w:rPr>
          <w:rFonts w:ascii="Arial" w:hAnsi="Arial" w:cs="Arial"/>
        </w:rPr>
      </w:pPr>
      <w:r w:rsidRPr="007B7747">
        <w:rPr>
          <w:rFonts w:ascii="Arial" w:hAnsi="Arial" w:cs="Arial"/>
          <w:b/>
          <w:bCs/>
          <w:noProof/>
          <w:rtl/>
        </w:rPr>
        <w:drawing>
          <wp:inline distT="0" distB="0" distL="0" distR="0" wp14:anchorId="7218002E" wp14:editId="1DCBD94D">
            <wp:extent cx="5039704" cy="3119606"/>
            <wp:effectExtent l="12700" t="12700" r="15240" b="17780"/>
            <wp:docPr id="5514444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44446" name="Picture 551444446"/>
                    <pic:cNvPicPr/>
                  </pic:nvPicPr>
                  <pic:blipFill rotWithShape="1">
                    <a:blip r:embed="rId8" cstate="print">
                      <a:extLst>
                        <a:ext uri="{28A0092B-C50C-407E-A947-70E740481C1C}">
                          <a14:useLocalDpi xmlns:a14="http://schemas.microsoft.com/office/drawing/2010/main" val="0"/>
                        </a:ext>
                      </a:extLst>
                    </a:blip>
                    <a:srcRect l="3668" t="2685" r="1516" b="1846"/>
                    <a:stretch>
                      <a:fillRect/>
                    </a:stretch>
                  </pic:blipFill>
                  <pic:spPr bwMode="auto">
                    <a:xfrm>
                      <a:off x="0" y="0"/>
                      <a:ext cx="5117670" cy="316786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CFC78FA" w14:textId="41E8919D" w:rsidR="0013405D" w:rsidRPr="007B7747" w:rsidRDefault="0013405D" w:rsidP="0013405D">
      <w:pPr>
        <w:spacing w:line="480" w:lineRule="auto"/>
        <w:jc w:val="both"/>
        <w:rPr>
          <w:rFonts w:ascii="Arial" w:hAnsi="Arial" w:cs="Arial"/>
          <w:b/>
          <w:bCs/>
        </w:rPr>
      </w:pPr>
      <w:r w:rsidRPr="007B7747">
        <w:rPr>
          <w:rFonts w:ascii="Arial" w:hAnsi="Arial" w:cs="Arial"/>
          <w:b/>
          <w:bCs/>
        </w:rPr>
        <w:t xml:space="preserve">Figure </w:t>
      </w:r>
      <w:r w:rsidR="00AE3ABF" w:rsidRPr="007B7747">
        <w:rPr>
          <w:rFonts w:ascii="Arial" w:hAnsi="Arial" w:cs="Arial"/>
          <w:b/>
          <w:bCs/>
        </w:rPr>
        <w:t>1</w:t>
      </w:r>
      <w:r w:rsidRPr="007B7747">
        <w:rPr>
          <w:rFonts w:ascii="Arial" w:hAnsi="Arial" w:cs="Arial"/>
          <w:b/>
          <w:bCs/>
        </w:rPr>
        <w:t xml:space="preserve">. </w:t>
      </w:r>
      <w:r w:rsidRPr="007B7747">
        <w:rPr>
          <w:rFonts w:ascii="Arial" w:hAnsi="Arial" w:cs="Arial"/>
        </w:rPr>
        <w:t xml:space="preserve">The distribution of </w:t>
      </w:r>
      <w:r w:rsidR="00F30686" w:rsidRPr="007B7747">
        <w:rPr>
          <w:rFonts w:ascii="Arial" w:hAnsi="Arial" w:cs="Arial"/>
        </w:rPr>
        <w:t xml:space="preserve">allergic </w:t>
      </w:r>
      <w:r w:rsidRPr="007B7747">
        <w:rPr>
          <w:rFonts w:ascii="Arial" w:hAnsi="Arial" w:cs="Arial"/>
        </w:rPr>
        <w:t>symptom patterns.</w:t>
      </w:r>
    </w:p>
    <w:p w14:paraId="6A73E93C" w14:textId="77777777" w:rsidR="005F05E2" w:rsidRPr="007B7747" w:rsidRDefault="005F05E2" w:rsidP="0013405D">
      <w:pPr>
        <w:spacing w:line="480" w:lineRule="auto"/>
        <w:jc w:val="both"/>
        <w:rPr>
          <w:rFonts w:ascii="Arial" w:hAnsi="Arial" w:cs="Arial"/>
        </w:rPr>
      </w:pPr>
    </w:p>
    <w:p w14:paraId="10568D24" w14:textId="36D9D061" w:rsidR="0013405D" w:rsidRPr="007B7747" w:rsidRDefault="0013405D" w:rsidP="00F07716">
      <w:pPr>
        <w:pStyle w:val="ListParagraph"/>
        <w:numPr>
          <w:ilvl w:val="1"/>
          <w:numId w:val="1"/>
        </w:numPr>
        <w:spacing w:line="480" w:lineRule="auto"/>
        <w:jc w:val="both"/>
        <w:rPr>
          <w:rFonts w:ascii="Arial" w:hAnsi="Arial" w:cs="Arial"/>
          <w:b/>
          <w:bCs/>
          <w:lang w:bidi="ar-IQ"/>
        </w:rPr>
      </w:pPr>
      <w:r w:rsidRPr="007B7747">
        <w:rPr>
          <w:rFonts w:ascii="Arial" w:hAnsi="Arial" w:cs="Arial"/>
          <w:b/>
          <w:bCs/>
          <w:lang w:bidi="ar-IQ"/>
        </w:rPr>
        <w:t xml:space="preserve">Symptoms </w:t>
      </w:r>
      <w:r w:rsidR="00460912" w:rsidRPr="007B7747">
        <w:rPr>
          <w:rFonts w:ascii="Arial" w:hAnsi="Arial" w:cs="Arial"/>
          <w:b/>
          <w:bCs/>
          <w:lang w:bidi="ar-IQ"/>
        </w:rPr>
        <w:t>S</w:t>
      </w:r>
      <w:r w:rsidRPr="007B7747">
        <w:rPr>
          <w:rFonts w:ascii="Arial" w:hAnsi="Arial" w:cs="Arial"/>
          <w:b/>
          <w:bCs/>
          <w:lang w:bidi="ar-IQ"/>
        </w:rPr>
        <w:t>everity</w:t>
      </w:r>
    </w:p>
    <w:p w14:paraId="637169AE" w14:textId="73268B39" w:rsidR="0013405D" w:rsidRPr="007B7747" w:rsidRDefault="0013405D" w:rsidP="0013405D">
      <w:pPr>
        <w:spacing w:line="480" w:lineRule="auto"/>
        <w:jc w:val="both"/>
        <w:rPr>
          <w:rFonts w:ascii="Arial" w:hAnsi="Arial" w:cs="Arial"/>
          <w:lang w:bidi="ar-IQ"/>
        </w:rPr>
      </w:pPr>
      <w:r w:rsidRPr="007B7747">
        <w:rPr>
          <w:rFonts w:ascii="Arial" w:hAnsi="Arial" w:cs="Arial"/>
          <w:lang w:bidi="ar-IQ"/>
        </w:rPr>
        <w:t>Statistical analysis was performed using paired-samples t-tests with a Bonferroni correction to assess differences in mean symptom severity scores across eight allergen sources. The results revealed significant differences among several allergen comparisons. Gluten allergy showed the highest symptom severity, with a mean score of 4.07 ± 0.83 out of 5, significantly exceeding that of other allergens (</w:t>
      </w:r>
      <w:r w:rsidR="001917AA" w:rsidRPr="007B7747">
        <w:rPr>
          <w:rFonts w:ascii="Arial" w:hAnsi="Arial" w:cs="Arial"/>
          <w:i/>
          <w:iCs/>
        </w:rPr>
        <w:t xml:space="preserve">P </w:t>
      </w:r>
      <w:r w:rsidR="001917AA" w:rsidRPr="007B7747">
        <w:rPr>
          <w:rFonts w:ascii="Arial" w:hAnsi="Arial" w:cs="Arial"/>
        </w:rPr>
        <w:t>=</w:t>
      </w:r>
      <w:r w:rsidRPr="007B7747">
        <w:rPr>
          <w:rFonts w:ascii="Arial" w:hAnsi="Arial" w:cs="Arial"/>
          <w:lang w:bidi="ar-IQ"/>
        </w:rPr>
        <w:t xml:space="preserve"> 0.001). Symptoms triggered by gluten were more severe than those caused by perfume (Mean Difference [MD] = -1.04, </w:t>
      </w:r>
      <w:r w:rsidR="001917AA" w:rsidRPr="007B7747">
        <w:rPr>
          <w:rFonts w:ascii="Arial" w:hAnsi="Arial" w:cs="Arial"/>
          <w:i/>
          <w:iCs/>
        </w:rPr>
        <w:t xml:space="preserve">P </w:t>
      </w:r>
      <w:r w:rsidR="001917AA" w:rsidRPr="007B7747">
        <w:rPr>
          <w:rFonts w:ascii="Arial" w:hAnsi="Arial" w:cs="Arial"/>
        </w:rPr>
        <w:t>=</w:t>
      </w:r>
      <w:r w:rsidRPr="007B7747">
        <w:rPr>
          <w:rFonts w:ascii="Arial" w:hAnsi="Arial" w:cs="Arial"/>
          <w:lang w:bidi="ar-IQ"/>
        </w:rPr>
        <w:t xml:space="preserve"> 0.001), dust (MD = -1.21, </w:t>
      </w:r>
      <w:r w:rsidR="001917AA" w:rsidRPr="007B7747">
        <w:rPr>
          <w:rFonts w:ascii="Arial" w:hAnsi="Arial" w:cs="Arial"/>
          <w:i/>
          <w:iCs/>
        </w:rPr>
        <w:t xml:space="preserve">P </w:t>
      </w:r>
      <w:r w:rsidR="001917AA" w:rsidRPr="007B7747">
        <w:rPr>
          <w:rFonts w:ascii="Arial" w:hAnsi="Arial" w:cs="Arial"/>
        </w:rPr>
        <w:t>=</w:t>
      </w:r>
      <w:r w:rsidRPr="007B7747">
        <w:rPr>
          <w:rFonts w:ascii="Arial" w:hAnsi="Arial" w:cs="Arial"/>
          <w:lang w:bidi="ar-IQ"/>
        </w:rPr>
        <w:t xml:space="preserve"> 0.001), pollen (MD = -1.30, </w:t>
      </w:r>
      <w:r w:rsidR="001917AA" w:rsidRPr="007B7747">
        <w:rPr>
          <w:rFonts w:ascii="Arial" w:hAnsi="Arial" w:cs="Arial"/>
          <w:i/>
          <w:iCs/>
        </w:rPr>
        <w:t xml:space="preserve">P </w:t>
      </w:r>
      <w:r w:rsidR="001917AA" w:rsidRPr="007B7747">
        <w:rPr>
          <w:rFonts w:ascii="Arial" w:hAnsi="Arial" w:cs="Arial"/>
        </w:rPr>
        <w:t>=</w:t>
      </w:r>
      <w:r w:rsidRPr="007B7747">
        <w:rPr>
          <w:rFonts w:ascii="Arial" w:hAnsi="Arial" w:cs="Arial"/>
          <w:lang w:bidi="ar-IQ"/>
        </w:rPr>
        <w:t xml:space="preserve"> 0.001), cleaning products (MD = 0.97, </w:t>
      </w:r>
      <w:r w:rsidR="001917AA" w:rsidRPr="007B7747">
        <w:rPr>
          <w:rFonts w:ascii="Arial" w:hAnsi="Arial" w:cs="Arial"/>
          <w:i/>
          <w:iCs/>
        </w:rPr>
        <w:t xml:space="preserve">P </w:t>
      </w:r>
      <w:r w:rsidR="001917AA" w:rsidRPr="007B7747">
        <w:rPr>
          <w:rFonts w:ascii="Arial" w:hAnsi="Arial" w:cs="Arial"/>
        </w:rPr>
        <w:t>=</w:t>
      </w:r>
      <w:r w:rsidRPr="007B7747">
        <w:rPr>
          <w:rFonts w:ascii="Arial" w:hAnsi="Arial" w:cs="Arial"/>
          <w:lang w:bidi="ar-IQ"/>
        </w:rPr>
        <w:t xml:space="preserve"> 0.001), fruits (MD = 0.73, p= 0.006), spices (MD = 1.17, </w:t>
      </w:r>
      <w:r w:rsidR="00AE3745" w:rsidRPr="007B7747">
        <w:rPr>
          <w:rFonts w:ascii="Arial" w:hAnsi="Arial" w:cs="Arial"/>
          <w:i/>
          <w:iCs/>
        </w:rPr>
        <w:t xml:space="preserve">P </w:t>
      </w:r>
      <w:r w:rsidR="00AE3745" w:rsidRPr="007B7747">
        <w:rPr>
          <w:rFonts w:ascii="Arial" w:hAnsi="Arial" w:cs="Arial"/>
        </w:rPr>
        <w:t>=</w:t>
      </w:r>
      <w:r w:rsidRPr="007B7747">
        <w:rPr>
          <w:rFonts w:ascii="Arial" w:hAnsi="Arial" w:cs="Arial"/>
          <w:lang w:bidi="ar-IQ"/>
        </w:rPr>
        <w:t xml:space="preserve"> 0.001), and penicillin (MD = 1.07, </w:t>
      </w:r>
      <w:r w:rsidR="00AE3745" w:rsidRPr="007B7747">
        <w:rPr>
          <w:rFonts w:ascii="Arial" w:hAnsi="Arial" w:cs="Arial"/>
          <w:lang w:bidi="ar-IQ"/>
        </w:rPr>
        <w:br/>
      </w:r>
      <w:r w:rsidR="00AE3745" w:rsidRPr="007B7747">
        <w:rPr>
          <w:rFonts w:ascii="Arial" w:hAnsi="Arial" w:cs="Arial"/>
          <w:i/>
          <w:iCs/>
        </w:rPr>
        <w:t xml:space="preserve">P </w:t>
      </w:r>
      <w:r w:rsidR="00AE3745" w:rsidRPr="007B7747">
        <w:rPr>
          <w:rFonts w:ascii="Arial" w:hAnsi="Arial" w:cs="Arial"/>
        </w:rPr>
        <w:t>=</w:t>
      </w:r>
      <w:r w:rsidRPr="007B7747">
        <w:rPr>
          <w:rFonts w:ascii="Arial" w:hAnsi="Arial" w:cs="Arial"/>
          <w:lang w:bidi="ar-IQ"/>
        </w:rPr>
        <w:t xml:space="preserve"> 0.001). Additionally, symptoms associated with fruit allergens were significantly more </w:t>
      </w:r>
      <w:r w:rsidRPr="007B7747">
        <w:rPr>
          <w:rFonts w:ascii="Arial" w:hAnsi="Arial" w:cs="Arial"/>
          <w:lang w:bidi="ar-IQ"/>
        </w:rPr>
        <w:lastRenderedPageBreak/>
        <w:t xml:space="preserve">severe than those from dust (MD = -0.48, </w:t>
      </w:r>
      <w:r w:rsidR="00AE3745" w:rsidRPr="007B7747">
        <w:rPr>
          <w:rFonts w:ascii="Arial" w:hAnsi="Arial" w:cs="Arial"/>
          <w:i/>
          <w:iCs/>
        </w:rPr>
        <w:t xml:space="preserve">P </w:t>
      </w:r>
      <w:r w:rsidR="00AE3745" w:rsidRPr="007B7747">
        <w:rPr>
          <w:rFonts w:ascii="Arial" w:hAnsi="Arial" w:cs="Arial"/>
        </w:rPr>
        <w:t>=</w:t>
      </w:r>
      <w:r w:rsidRPr="007B7747">
        <w:rPr>
          <w:rFonts w:ascii="Arial" w:hAnsi="Arial" w:cs="Arial"/>
          <w:lang w:bidi="ar-IQ"/>
        </w:rPr>
        <w:t xml:space="preserve"> 0.003) and pollen (MD = -0.57, </w:t>
      </w:r>
      <w:r w:rsidR="008767F6" w:rsidRPr="007B7747">
        <w:rPr>
          <w:rFonts w:ascii="Arial" w:hAnsi="Arial" w:cs="Arial"/>
          <w:i/>
          <w:iCs/>
        </w:rPr>
        <w:t xml:space="preserve">P </w:t>
      </w:r>
      <w:r w:rsidR="008767F6" w:rsidRPr="007B7747">
        <w:rPr>
          <w:rFonts w:ascii="Arial" w:hAnsi="Arial" w:cs="Arial"/>
        </w:rPr>
        <w:t>=</w:t>
      </w:r>
      <w:r w:rsidRPr="007B7747">
        <w:rPr>
          <w:rFonts w:ascii="Arial" w:hAnsi="Arial" w:cs="Arial"/>
          <w:lang w:bidi="ar-IQ"/>
        </w:rPr>
        <w:t xml:space="preserve"> 0.002). Dust and pollen allergies exhibited moderate severity levels (2.87 ± 0.88 and 2.78 ± 0.80, respectively), whereas cleaning product allergies showed unexpectedly high severity (3.11 ± 0.56), </w:t>
      </w:r>
      <w:r w:rsidRPr="007B7747">
        <w:rPr>
          <w:rFonts w:ascii="Arial" w:hAnsi="Arial" w:cs="Arial"/>
        </w:rPr>
        <w:t xml:space="preserve">despite their relatively low prevalence </w:t>
      </w:r>
      <w:r w:rsidRPr="007B7747">
        <w:rPr>
          <w:rFonts w:ascii="Arial" w:hAnsi="Arial" w:cs="Arial"/>
          <w:lang w:bidi="ar-IQ"/>
        </w:rPr>
        <w:t>(</w:t>
      </w:r>
      <w:r w:rsidRPr="007B7747">
        <w:rPr>
          <w:rFonts w:ascii="Arial" w:hAnsi="Arial" w:cs="Arial"/>
          <w:b/>
          <w:bCs/>
          <w:lang w:bidi="ar-IQ"/>
        </w:rPr>
        <w:t xml:space="preserve">Table </w:t>
      </w:r>
      <w:r w:rsidR="00AC38E8" w:rsidRPr="007B7747">
        <w:rPr>
          <w:rFonts w:ascii="Arial" w:hAnsi="Arial" w:cs="Arial"/>
          <w:b/>
          <w:bCs/>
          <w:lang w:bidi="ar-IQ"/>
        </w:rPr>
        <w:t>3</w:t>
      </w:r>
      <w:r w:rsidRPr="007B7747">
        <w:rPr>
          <w:rFonts w:ascii="Arial" w:hAnsi="Arial" w:cs="Arial"/>
          <w:lang w:bidi="ar-IQ"/>
        </w:rPr>
        <w:t>).</w:t>
      </w:r>
    </w:p>
    <w:p w14:paraId="15C019DF" w14:textId="77777777" w:rsidR="00CA56B1" w:rsidRPr="007B7747" w:rsidRDefault="00CA56B1" w:rsidP="0013405D">
      <w:pPr>
        <w:spacing w:line="480" w:lineRule="auto"/>
        <w:jc w:val="both"/>
        <w:rPr>
          <w:rFonts w:ascii="Arial" w:hAnsi="Arial" w:cs="Arial"/>
          <w:lang w:bidi="ar-IQ"/>
        </w:rPr>
      </w:pPr>
    </w:p>
    <w:p w14:paraId="10F01C9E" w14:textId="48E7FA5E" w:rsidR="0013405D" w:rsidRPr="007B7747" w:rsidRDefault="0013405D" w:rsidP="0013405D">
      <w:pPr>
        <w:spacing w:line="480" w:lineRule="auto"/>
        <w:jc w:val="both"/>
        <w:rPr>
          <w:rFonts w:ascii="Arial" w:hAnsi="Arial" w:cs="Arial"/>
          <w:lang w:bidi="ar-IQ"/>
        </w:rPr>
      </w:pPr>
      <w:r w:rsidRPr="007B7747">
        <w:rPr>
          <w:rFonts w:ascii="Arial" w:hAnsi="Arial" w:cs="Arial"/>
          <w:b/>
          <w:bCs/>
          <w:lang w:bidi="ar-IQ"/>
        </w:rPr>
        <w:t xml:space="preserve">Table </w:t>
      </w:r>
      <w:r w:rsidR="00AC38E8" w:rsidRPr="007B7747">
        <w:rPr>
          <w:rFonts w:ascii="Arial" w:hAnsi="Arial" w:cs="Arial"/>
          <w:b/>
          <w:bCs/>
          <w:lang w:bidi="ar-IQ"/>
        </w:rPr>
        <w:t>3</w:t>
      </w:r>
      <w:r w:rsidRPr="007B7747">
        <w:rPr>
          <w:rFonts w:ascii="Arial" w:hAnsi="Arial" w:cs="Arial"/>
          <w:b/>
          <w:bCs/>
          <w:lang w:bidi="ar-IQ"/>
        </w:rPr>
        <w:t>.</w:t>
      </w:r>
      <w:r w:rsidRPr="007B7747">
        <w:rPr>
          <w:rFonts w:ascii="Arial" w:hAnsi="Arial" w:cs="Arial"/>
          <w:lang w:bidi="ar-IQ"/>
        </w:rPr>
        <w:t xml:space="preserve"> Variation in </w:t>
      </w:r>
      <w:r w:rsidR="005C6897" w:rsidRPr="007B7747">
        <w:rPr>
          <w:rFonts w:ascii="Arial" w:hAnsi="Arial" w:cs="Arial"/>
          <w:lang w:bidi="ar-IQ"/>
        </w:rPr>
        <w:t xml:space="preserve">allergic </w:t>
      </w:r>
      <w:r w:rsidRPr="007B7747">
        <w:rPr>
          <w:rFonts w:ascii="Arial" w:hAnsi="Arial" w:cs="Arial"/>
          <w:lang w:bidi="ar-IQ"/>
        </w:rPr>
        <w:t>symptom severity across different allergen types.</w:t>
      </w:r>
    </w:p>
    <w:tbl>
      <w:tblPr>
        <w:tblW w:w="1034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731"/>
        <w:gridCol w:w="1143"/>
        <w:gridCol w:w="586"/>
        <w:gridCol w:w="895"/>
        <w:gridCol w:w="1360"/>
        <w:gridCol w:w="1393"/>
        <w:gridCol w:w="1432"/>
        <w:gridCol w:w="1803"/>
      </w:tblGrid>
      <w:tr w:rsidR="007B7747" w:rsidRPr="007B7747" w14:paraId="3A986EDE" w14:textId="77777777" w:rsidTr="000E6AC2">
        <w:trPr>
          <w:trHeight w:val="291"/>
          <w:tblHeader/>
          <w:jc w:val="center"/>
        </w:trPr>
        <w:tc>
          <w:tcPr>
            <w:tcW w:w="1731" w:type="dxa"/>
            <w:vMerge w:val="restart"/>
            <w:tcBorders>
              <w:top w:val="single" w:sz="4" w:space="0" w:color="auto"/>
              <w:bottom w:val="single" w:sz="4" w:space="0" w:color="auto"/>
            </w:tcBorders>
            <w:shd w:val="clear" w:color="auto" w:fill="FFFFFF"/>
            <w:tcMar>
              <w:top w:w="75" w:type="dxa"/>
              <w:left w:w="150" w:type="dxa"/>
              <w:bottom w:w="75" w:type="dxa"/>
              <w:right w:w="150" w:type="dxa"/>
            </w:tcMar>
            <w:vAlign w:val="center"/>
            <w:hideMark/>
          </w:tcPr>
          <w:p w14:paraId="2ED2FEF5" w14:textId="77777777" w:rsidR="001A4A67" w:rsidRPr="007B7747" w:rsidRDefault="001A4A67" w:rsidP="000E6AC2">
            <w:pPr>
              <w:jc w:val="center"/>
              <w:rPr>
                <w:rFonts w:ascii="Arial" w:hAnsi="Arial" w:cs="Arial"/>
                <w:b/>
                <w:bCs/>
                <w:sz w:val="22"/>
                <w:szCs w:val="22"/>
              </w:rPr>
            </w:pPr>
            <w:r w:rsidRPr="007B7747">
              <w:rPr>
                <w:rFonts w:ascii="Arial" w:hAnsi="Arial" w:cs="Arial"/>
                <w:b/>
                <w:bCs/>
                <w:sz w:val="22"/>
                <w:szCs w:val="22"/>
              </w:rPr>
              <w:t>Allergen Type</w:t>
            </w:r>
          </w:p>
        </w:tc>
        <w:tc>
          <w:tcPr>
            <w:tcW w:w="1143" w:type="dxa"/>
            <w:vMerge w:val="restart"/>
            <w:tcBorders>
              <w:top w:val="single" w:sz="4" w:space="0" w:color="auto"/>
            </w:tcBorders>
            <w:shd w:val="clear" w:color="auto" w:fill="FFFFFF"/>
            <w:vAlign w:val="center"/>
          </w:tcPr>
          <w:p w14:paraId="6F8BBDBD" w14:textId="77777777" w:rsidR="001A4A67" w:rsidRPr="007B7747" w:rsidRDefault="001A4A67" w:rsidP="000E6AC2">
            <w:pPr>
              <w:jc w:val="center"/>
              <w:rPr>
                <w:rFonts w:ascii="Arial" w:hAnsi="Arial" w:cs="Arial"/>
                <w:b/>
                <w:bCs/>
                <w:sz w:val="22"/>
                <w:szCs w:val="22"/>
              </w:rPr>
            </w:pPr>
            <w:r w:rsidRPr="007B7747">
              <w:rPr>
                <w:rFonts w:ascii="Arial" w:hAnsi="Arial" w:cs="Arial"/>
                <w:b/>
                <w:bCs/>
                <w:sz w:val="22"/>
                <w:szCs w:val="22"/>
              </w:rPr>
              <w:t>Frequency</w:t>
            </w:r>
          </w:p>
        </w:tc>
        <w:tc>
          <w:tcPr>
            <w:tcW w:w="586" w:type="dxa"/>
            <w:vMerge w:val="restart"/>
            <w:tcBorders>
              <w:top w:val="single" w:sz="4" w:space="0" w:color="auto"/>
            </w:tcBorders>
            <w:shd w:val="clear" w:color="auto" w:fill="FFFFFF"/>
          </w:tcPr>
          <w:p w14:paraId="5EFAF977" w14:textId="77777777" w:rsidR="001A4A67" w:rsidRPr="007B7747" w:rsidRDefault="001A4A67" w:rsidP="000E6AC2">
            <w:pPr>
              <w:jc w:val="center"/>
              <w:rPr>
                <w:rFonts w:ascii="Arial" w:hAnsi="Arial" w:cs="Arial"/>
                <w:b/>
                <w:bCs/>
                <w:sz w:val="22"/>
                <w:szCs w:val="22"/>
              </w:rPr>
            </w:pPr>
          </w:p>
        </w:tc>
        <w:tc>
          <w:tcPr>
            <w:tcW w:w="895" w:type="dxa"/>
            <w:vMerge w:val="restart"/>
            <w:tcBorders>
              <w:top w:val="single" w:sz="4" w:space="0" w:color="auto"/>
              <w:bottom w:val="single" w:sz="4" w:space="0" w:color="auto"/>
            </w:tcBorders>
            <w:shd w:val="clear" w:color="auto" w:fill="FFFFFF"/>
            <w:tcMar>
              <w:top w:w="75" w:type="dxa"/>
              <w:left w:w="150" w:type="dxa"/>
              <w:bottom w:w="75" w:type="dxa"/>
              <w:right w:w="150" w:type="dxa"/>
            </w:tcMar>
            <w:vAlign w:val="center"/>
            <w:hideMark/>
          </w:tcPr>
          <w:p w14:paraId="5D41232B" w14:textId="77777777" w:rsidR="001A4A67" w:rsidRPr="007B7747" w:rsidRDefault="001A4A67" w:rsidP="000E6AC2">
            <w:pPr>
              <w:jc w:val="center"/>
              <w:rPr>
                <w:rFonts w:ascii="Arial" w:hAnsi="Arial" w:cs="Arial"/>
                <w:b/>
                <w:bCs/>
                <w:sz w:val="22"/>
                <w:szCs w:val="22"/>
              </w:rPr>
            </w:pPr>
            <w:r w:rsidRPr="007B7747">
              <w:rPr>
                <w:rFonts w:ascii="Arial" w:hAnsi="Arial" w:cs="Arial"/>
                <w:b/>
                <w:bCs/>
                <w:sz w:val="22"/>
                <w:szCs w:val="22"/>
              </w:rPr>
              <w:t>Mean</w:t>
            </w:r>
          </w:p>
        </w:tc>
        <w:tc>
          <w:tcPr>
            <w:tcW w:w="1360" w:type="dxa"/>
            <w:vMerge w:val="restart"/>
            <w:tcBorders>
              <w:top w:val="single" w:sz="4" w:space="0" w:color="auto"/>
              <w:bottom w:val="single" w:sz="4" w:space="0" w:color="auto"/>
            </w:tcBorders>
            <w:shd w:val="clear" w:color="auto" w:fill="FFFFFF"/>
            <w:tcMar>
              <w:top w:w="75" w:type="dxa"/>
              <w:left w:w="150" w:type="dxa"/>
              <w:bottom w:w="75" w:type="dxa"/>
              <w:right w:w="150" w:type="dxa"/>
            </w:tcMar>
            <w:vAlign w:val="center"/>
            <w:hideMark/>
          </w:tcPr>
          <w:p w14:paraId="26EF19C4" w14:textId="77777777" w:rsidR="001A4A67" w:rsidRPr="007B7747" w:rsidRDefault="001A4A67" w:rsidP="000E6AC2">
            <w:pPr>
              <w:jc w:val="center"/>
              <w:rPr>
                <w:rFonts w:ascii="Arial" w:hAnsi="Arial" w:cs="Arial"/>
                <w:b/>
                <w:bCs/>
                <w:sz w:val="22"/>
                <w:szCs w:val="22"/>
              </w:rPr>
            </w:pPr>
            <w:r w:rsidRPr="007B7747">
              <w:rPr>
                <w:rFonts w:ascii="Arial" w:hAnsi="Arial" w:cs="Arial"/>
                <w:b/>
                <w:bCs/>
                <w:sz w:val="22"/>
                <w:szCs w:val="22"/>
              </w:rPr>
              <w:t>Std. Deviation</w:t>
            </w:r>
          </w:p>
          <w:p w14:paraId="3DBC3252" w14:textId="77777777" w:rsidR="001A4A67" w:rsidRPr="007B7747" w:rsidRDefault="001A4A67" w:rsidP="000E6AC2">
            <w:pPr>
              <w:jc w:val="center"/>
              <w:rPr>
                <w:rFonts w:ascii="Arial" w:hAnsi="Arial" w:cs="Arial"/>
                <w:b/>
                <w:bCs/>
                <w:sz w:val="22"/>
                <w:szCs w:val="22"/>
              </w:rPr>
            </w:pPr>
            <w:r w:rsidRPr="007B7747">
              <w:rPr>
                <w:rFonts w:ascii="Arial" w:hAnsi="Arial" w:cs="Arial"/>
                <w:b/>
                <w:bCs/>
                <w:sz w:val="22"/>
                <w:szCs w:val="22"/>
              </w:rPr>
              <w:t>(SD)</w:t>
            </w:r>
          </w:p>
        </w:tc>
        <w:tc>
          <w:tcPr>
            <w:tcW w:w="2825" w:type="dxa"/>
            <w:gridSpan w:val="2"/>
            <w:tcBorders>
              <w:top w:val="single" w:sz="4" w:space="0" w:color="auto"/>
              <w:bottom w:val="single" w:sz="4" w:space="0" w:color="auto"/>
            </w:tcBorders>
            <w:shd w:val="clear" w:color="auto" w:fill="FFFFFF"/>
            <w:tcMar>
              <w:top w:w="75" w:type="dxa"/>
              <w:left w:w="150" w:type="dxa"/>
              <w:bottom w:w="75" w:type="dxa"/>
              <w:right w:w="150" w:type="dxa"/>
            </w:tcMar>
            <w:vAlign w:val="center"/>
          </w:tcPr>
          <w:p w14:paraId="77E33D84" w14:textId="77777777" w:rsidR="001A4A67" w:rsidRPr="007B7747" w:rsidRDefault="001A4A67" w:rsidP="000E6AC2">
            <w:pPr>
              <w:jc w:val="center"/>
              <w:rPr>
                <w:rFonts w:ascii="Arial" w:hAnsi="Arial" w:cs="Arial"/>
                <w:b/>
                <w:bCs/>
                <w:sz w:val="22"/>
                <w:szCs w:val="22"/>
              </w:rPr>
            </w:pPr>
            <w:r w:rsidRPr="007B7747">
              <w:rPr>
                <w:rFonts w:ascii="Arial" w:hAnsi="Arial" w:cs="Arial"/>
                <w:b/>
                <w:bCs/>
                <w:sz w:val="22"/>
                <w:szCs w:val="22"/>
              </w:rPr>
              <w:t xml:space="preserve">Symptoms Severity </w:t>
            </w:r>
            <w:r w:rsidRPr="007B7747">
              <w:rPr>
                <w:rFonts w:ascii="Arial" w:hAnsi="Arial" w:cs="Arial"/>
                <w:b/>
                <w:bCs/>
                <w:sz w:val="22"/>
                <w:szCs w:val="22"/>
              </w:rPr>
              <w:br/>
              <w:t>(1-5)</w:t>
            </w:r>
          </w:p>
        </w:tc>
        <w:tc>
          <w:tcPr>
            <w:tcW w:w="1803" w:type="dxa"/>
            <w:vMerge w:val="restart"/>
            <w:tcBorders>
              <w:top w:val="single" w:sz="4" w:space="0" w:color="auto"/>
              <w:bottom w:val="single" w:sz="4" w:space="0" w:color="auto"/>
            </w:tcBorders>
            <w:shd w:val="clear" w:color="auto" w:fill="FFFFFF"/>
            <w:tcMar>
              <w:top w:w="75" w:type="dxa"/>
              <w:left w:w="150" w:type="dxa"/>
              <w:bottom w:w="75" w:type="dxa"/>
              <w:right w:w="150" w:type="dxa"/>
            </w:tcMar>
            <w:vAlign w:val="center"/>
            <w:hideMark/>
          </w:tcPr>
          <w:p w14:paraId="63BBE6F7" w14:textId="3235B579" w:rsidR="001A4A67" w:rsidRPr="007B7747" w:rsidRDefault="001A4A67" w:rsidP="000E6AC2">
            <w:pPr>
              <w:jc w:val="center"/>
              <w:rPr>
                <w:rFonts w:ascii="Arial" w:hAnsi="Arial" w:cs="Arial"/>
                <w:b/>
                <w:bCs/>
                <w:sz w:val="22"/>
                <w:szCs w:val="22"/>
              </w:rPr>
            </w:pPr>
            <w:r w:rsidRPr="007B7747">
              <w:rPr>
                <w:rFonts w:ascii="Arial" w:hAnsi="Arial" w:cs="Arial"/>
                <w:b/>
                <w:bCs/>
                <w:sz w:val="22"/>
                <w:szCs w:val="22"/>
              </w:rPr>
              <w:t xml:space="preserve">95% Confidence </w:t>
            </w:r>
            <w:r w:rsidR="00B76061" w:rsidRPr="007B7747">
              <w:rPr>
                <w:rFonts w:ascii="Arial" w:hAnsi="Arial" w:cs="Arial"/>
                <w:b/>
                <w:bCs/>
                <w:sz w:val="22"/>
                <w:szCs w:val="22"/>
              </w:rPr>
              <w:t>Interval</w:t>
            </w:r>
            <w:r w:rsidRPr="007B7747">
              <w:rPr>
                <w:rFonts w:ascii="Arial" w:hAnsi="Arial" w:cs="Arial"/>
                <w:b/>
                <w:bCs/>
                <w:sz w:val="22"/>
                <w:szCs w:val="22"/>
              </w:rPr>
              <w:t xml:space="preserve"> of Mean</w:t>
            </w:r>
          </w:p>
        </w:tc>
      </w:tr>
      <w:tr w:rsidR="007B7747" w:rsidRPr="007B7747" w14:paraId="42F6AFE2" w14:textId="77777777" w:rsidTr="000E6AC2">
        <w:trPr>
          <w:trHeight w:val="290"/>
          <w:tblHeader/>
          <w:jc w:val="center"/>
        </w:trPr>
        <w:tc>
          <w:tcPr>
            <w:tcW w:w="1731" w:type="dxa"/>
            <w:vMerge/>
            <w:tcBorders>
              <w:bottom w:val="single" w:sz="4" w:space="0" w:color="auto"/>
            </w:tcBorders>
            <w:shd w:val="clear" w:color="auto" w:fill="FFFFFF"/>
            <w:tcMar>
              <w:top w:w="75" w:type="dxa"/>
              <w:left w:w="150" w:type="dxa"/>
              <w:bottom w:w="75" w:type="dxa"/>
              <w:right w:w="150" w:type="dxa"/>
            </w:tcMar>
            <w:vAlign w:val="center"/>
          </w:tcPr>
          <w:p w14:paraId="04E20C06" w14:textId="77777777" w:rsidR="001A4A67" w:rsidRPr="007B7747" w:rsidRDefault="001A4A67" w:rsidP="000E6AC2">
            <w:pPr>
              <w:jc w:val="center"/>
              <w:rPr>
                <w:rFonts w:ascii="Arial" w:hAnsi="Arial" w:cs="Arial"/>
                <w:sz w:val="22"/>
                <w:szCs w:val="22"/>
              </w:rPr>
            </w:pPr>
          </w:p>
        </w:tc>
        <w:tc>
          <w:tcPr>
            <w:tcW w:w="1143" w:type="dxa"/>
            <w:vMerge/>
            <w:tcBorders>
              <w:bottom w:val="single" w:sz="4" w:space="0" w:color="auto"/>
            </w:tcBorders>
            <w:shd w:val="clear" w:color="auto" w:fill="FFFFFF"/>
          </w:tcPr>
          <w:p w14:paraId="6EF3FFB1" w14:textId="77777777" w:rsidR="001A4A67" w:rsidRPr="007B7747" w:rsidRDefault="001A4A67" w:rsidP="000E6AC2">
            <w:pPr>
              <w:rPr>
                <w:rFonts w:ascii="Arial" w:hAnsi="Arial" w:cs="Arial"/>
                <w:b/>
                <w:bCs/>
                <w:sz w:val="22"/>
                <w:szCs w:val="22"/>
              </w:rPr>
            </w:pPr>
          </w:p>
        </w:tc>
        <w:tc>
          <w:tcPr>
            <w:tcW w:w="586" w:type="dxa"/>
            <w:vMerge/>
            <w:tcBorders>
              <w:bottom w:val="single" w:sz="4" w:space="0" w:color="auto"/>
            </w:tcBorders>
            <w:shd w:val="clear" w:color="auto" w:fill="FFFFFF"/>
          </w:tcPr>
          <w:p w14:paraId="21A52E60" w14:textId="77777777" w:rsidR="001A4A67" w:rsidRPr="007B7747" w:rsidRDefault="001A4A67" w:rsidP="000E6AC2">
            <w:pPr>
              <w:jc w:val="center"/>
              <w:rPr>
                <w:rFonts w:ascii="Arial" w:hAnsi="Arial" w:cs="Arial"/>
                <w:b/>
                <w:bCs/>
                <w:sz w:val="22"/>
                <w:szCs w:val="22"/>
              </w:rPr>
            </w:pPr>
          </w:p>
        </w:tc>
        <w:tc>
          <w:tcPr>
            <w:tcW w:w="895" w:type="dxa"/>
            <w:vMerge/>
            <w:tcBorders>
              <w:bottom w:val="single" w:sz="4" w:space="0" w:color="auto"/>
            </w:tcBorders>
            <w:shd w:val="clear" w:color="auto" w:fill="FFFFFF"/>
            <w:tcMar>
              <w:top w:w="75" w:type="dxa"/>
              <w:left w:w="150" w:type="dxa"/>
              <w:bottom w:w="75" w:type="dxa"/>
              <w:right w:w="150" w:type="dxa"/>
            </w:tcMar>
            <w:vAlign w:val="center"/>
          </w:tcPr>
          <w:p w14:paraId="58F0E321" w14:textId="77777777" w:rsidR="001A4A67" w:rsidRPr="007B7747" w:rsidRDefault="001A4A67" w:rsidP="000E6AC2">
            <w:pPr>
              <w:jc w:val="center"/>
              <w:rPr>
                <w:rFonts w:ascii="Arial" w:hAnsi="Arial" w:cs="Arial"/>
                <w:b/>
                <w:bCs/>
                <w:sz w:val="22"/>
                <w:szCs w:val="22"/>
              </w:rPr>
            </w:pPr>
          </w:p>
        </w:tc>
        <w:tc>
          <w:tcPr>
            <w:tcW w:w="1360" w:type="dxa"/>
            <w:vMerge/>
            <w:tcBorders>
              <w:bottom w:val="single" w:sz="4" w:space="0" w:color="auto"/>
            </w:tcBorders>
            <w:shd w:val="clear" w:color="auto" w:fill="FFFFFF"/>
            <w:tcMar>
              <w:top w:w="75" w:type="dxa"/>
              <w:left w:w="150" w:type="dxa"/>
              <w:bottom w:w="75" w:type="dxa"/>
              <w:right w:w="150" w:type="dxa"/>
            </w:tcMar>
            <w:vAlign w:val="center"/>
          </w:tcPr>
          <w:p w14:paraId="2C46430E" w14:textId="77777777" w:rsidR="001A4A67" w:rsidRPr="007B7747" w:rsidRDefault="001A4A67" w:rsidP="000E6AC2">
            <w:pPr>
              <w:jc w:val="center"/>
              <w:rPr>
                <w:rFonts w:ascii="Arial" w:hAnsi="Arial" w:cs="Arial"/>
                <w:b/>
                <w:bCs/>
                <w:sz w:val="22"/>
                <w:szCs w:val="22"/>
              </w:rPr>
            </w:pPr>
          </w:p>
        </w:tc>
        <w:tc>
          <w:tcPr>
            <w:tcW w:w="1393" w:type="dxa"/>
            <w:tcBorders>
              <w:top w:val="single" w:sz="4" w:space="0" w:color="auto"/>
              <w:bottom w:val="single" w:sz="4" w:space="0" w:color="auto"/>
            </w:tcBorders>
            <w:shd w:val="clear" w:color="auto" w:fill="FFFFFF"/>
            <w:tcMar>
              <w:top w:w="75" w:type="dxa"/>
              <w:left w:w="150" w:type="dxa"/>
              <w:bottom w:w="75" w:type="dxa"/>
              <w:right w:w="150" w:type="dxa"/>
            </w:tcMar>
            <w:vAlign w:val="center"/>
          </w:tcPr>
          <w:p w14:paraId="1E87304D" w14:textId="77777777" w:rsidR="001A4A67" w:rsidRPr="007B7747" w:rsidRDefault="001A4A67" w:rsidP="000E6AC2">
            <w:pPr>
              <w:jc w:val="center"/>
              <w:rPr>
                <w:rFonts w:ascii="Arial" w:hAnsi="Arial" w:cs="Arial"/>
                <w:b/>
                <w:bCs/>
                <w:sz w:val="22"/>
                <w:szCs w:val="22"/>
              </w:rPr>
            </w:pPr>
            <w:r w:rsidRPr="007B7747">
              <w:rPr>
                <w:rFonts w:ascii="Arial" w:hAnsi="Arial" w:cs="Arial"/>
                <w:b/>
                <w:bCs/>
                <w:sz w:val="22"/>
                <w:szCs w:val="22"/>
              </w:rPr>
              <w:t>Minimum</w:t>
            </w:r>
          </w:p>
        </w:tc>
        <w:tc>
          <w:tcPr>
            <w:tcW w:w="1432" w:type="dxa"/>
            <w:tcBorders>
              <w:top w:val="single" w:sz="4" w:space="0" w:color="auto"/>
              <w:bottom w:val="single" w:sz="4" w:space="0" w:color="auto"/>
            </w:tcBorders>
            <w:shd w:val="clear" w:color="auto" w:fill="FFFFFF"/>
            <w:vAlign w:val="center"/>
          </w:tcPr>
          <w:p w14:paraId="4354C700" w14:textId="77777777" w:rsidR="001A4A67" w:rsidRPr="007B7747" w:rsidRDefault="001A4A67" w:rsidP="000E6AC2">
            <w:pPr>
              <w:jc w:val="center"/>
              <w:rPr>
                <w:rFonts w:ascii="Arial" w:hAnsi="Arial" w:cs="Arial"/>
                <w:b/>
                <w:bCs/>
                <w:sz w:val="22"/>
                <w:szCs w:val="22"/>
              </w:rPr>
            </w:pPr>
            <w:r w:rsidRPr="007B7747">
              <w:rPr>
                <w:rFonts w:ascii="Arial" w:hAnsi="Arial" w:cs="Arial"/>
                <w:b/>
                <w:bCs/>
                <w:sz w:val="22"/>
                <w:szCs w:val="22"/>
              </w:rPr>
              <w:t>Maximum</w:t>
            </w:r>
          </w:p>
        </w:tc>
        <w:tc>
          <w:tcPr>
            <w:tcW w:w="1803" w:type="dxa"/>
            <w:vMerge/>
            <w:tcBorders>
              <w:bottom w:val="single" w:sz="4" w:space="0" w:color="auto"/>
            </w:tcBorders>
            <w:shd w:val="clear" w:color="auto" w:fill="FFFFFF"/>
            <w:tcMar>
              <w:top w:w="75" w:type="dxa"/>
              <w:left w:w="150" w:type="dxa"/>
              <w:bottom w:w="75" w:type="dxa"/>
              <w:right w:w="150" w:type="dxa"/>
            </w:tcMar>
            <w:vAlign w:val="center"/>
          </w:tcPr>
          <w:p w14:paraId="26631A5A" w14:textId="77777777" w:rsidR="001A4A67" w:rsidRPr="007B7747" w:rsidRDefault="001A4A67" w:rsidP="000E6AC2">
            <w:pPr>
              <w:jc w:val="center"/>
              <w:rPr>
                <w:rFonts w:ascii="Arial" w:hAnsi="Arial" w:cs="Arial"/>
                <w:b/>
                <w:bCs/>
                <w:sz w:val="22"/>
                <w:szCs w:val="22"/>
              </w:rPr>
            </w:pPr>
          </w:p>
        </w:tc>
      </w:tr>
      <w:tr w:rsidR="007B7747" w:rsidRPr="007B7747" w14:paraId="57D8CF29" w14:textId="77777777" w:rsidTr="007333FA">
        <w:trPr>
          <w:jc w:val="center"/>
        </w:trPr>
        <w:tc>
          <w:tcPr>
            <w:tcW w:w="1731" w:type="dxa"/>
            <w:tcBorders>
              <w:top w:val="single" w:sz="4" w:space="0" w:color="auto"/>
            </w:tcBorders>
            <w:shd w:val="clear" w:color="auto" w:fill="FFFFFF"/>
            <w:tcMar>
              <w:top w:w="75" w:type="dxa"/>
              <w:left w:w="150" w:type="dxa"/>
              <w:bottom w:w="75" w:type="dxa"/>
              <w:right w:w="150" w:type="dxa"/>
            </w:tcMar>
            <w:vAlign w:val="center"/>
            <w:hideMark/>
          </w:tcPr>
          <w:p w14:paraId="0CC64BFE"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Dust</w:t>
            </w:r>
          </w:p>
        </w:tc>
        <w:tc>
          <w:tcPr>
            <w:tcW w:w="1143" w:type="dxa"/>
            <w:tcBorders>
              <w:top w:val="single" w:sz="4" w:space="0" w:color="auto"/>
            </w:tcBorders>
            <w:shd w:val="clear" w:color="auto" w:fill="FFFFFF"/>
            <w:vAlign w:val="center"/>
          </w:tcPr>
          <w:p w14:paraId="2E5E0F6A" w14:textId="77777777" w:rsidR="001A4A67" w:rsidRPr="007B7747" w:rsidRDefault="001A4A67" w:rsidP="007333FA">
            <w:pPr>
              <w:jc w:val="center"/>
              <w:rPr>
                <w:rFonts w:ascii="Arial" w:hAnsi="Arial" w:cs="Arial"/>
                <w:sz w:val="22"/>
                <w:szCs w:val="22"/>
              </w:rPr>
            </w:pPr>
            <w:r w:rsidRPr="007B7747">
              <w:rPr>
                <w:rFonts w:ascii="Arial" w:hAnsi="Arial" w:cs="Arial"/>
                <w:sz w:val="22"/>
                <w:szCs w:val="22"/>
              </w:rPr>
              <w:t>126</w:t>
            </w:r>
          </w:p>
        </w:tc>
        <w:tc>
          <w:tcPr>
            <w:tcW w:w="586" w:type="dxa"/>
            <w:tcBorders>
              <w:top w:val="single" w:sz="4" w:space="0" w:color="auto"/>
            </w:tcBorders>
            <w:shd w:val="clear" w:color="auto" w:fill="FFFFFF"/>
          </w:tcPr>
          <w:p w14:paraId="69821B90" w14:textId="77777777" w:rsidR="001A4A67" w:rsidRPr="007B7747" w:rsidRDefault="001A4A67" w:rsidP="000E6AC2">
            <w:pPr>
              <w:jc w:val="center"/>
              <w:rPr>
                <w:rFonts w:ascii="Arial" w:hAnsi="Arial" w:cs="Arial"/>
                <w:sz w:val="22"/>
                <w:szCs w:val="22"/>
              </w:rPr>
            </w:pPr>
          </w:p>
        </w:tc>
        <w:tc>
          <w:tcPr>
            <w:tcW w:w="895" w:type="dxa"/>
            <w:tcBorders>
              <w:top w:val="single" w:sz="4" w:space="0" w:color="auto"/>
            </w:tcBorders>
            <w:shd w:val="clear" w:color="auto" w:fill="FFFFFF"/>
            <w:tcMar>
              <w:top w:w="75" w:type="dxa"/>
              <w:left w:w="150" w:type="dxa"/>
              <w:bottom w:w="75" w:type="dxa"/>
              <w:right w:w="150" w:type="dxa"/>
            </w:tcMar>
            <w:vAlign w:val="center"/>
            <w:hideMark/>
          </w:tcPr>
          <w:p w14:paraId="3F685D25"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2.87</w:t>
            </w:r>
          </w:p>
        </w:tc>
        <w:tc>
          <w:tcPr>
            <w:tcW w:w="1360" w:type="dxa"/>
            <w:tcBorders>
              <w:top w:val="single" w:sz="4" w:space="0" w:color="auto"/>
            </w:tcBorders>
            <w:shd w:val="clear" w:color="auto" w:fill="FFFFFF"/>
            <w:tcMar>
              <w:top w:w="75" w:type="dxa"/>
              <w:left w:w="150" w:type="dxa"/>
              <w:bottom w:w="75" w:type="dxa"/>
              <w:right w:w="150" w:type="dxa"/>
            </w:tcMar>
            <w:vAlign w:val="center"/>
            <w:hideMark/>
          </w:tcPr>
          <w:p w14:paraId="21CA3B9F"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0.88</w:t>
            </w:r>
          </w:p>
        </w:tc>
        <w:tc>
          <w:tcPr>
            <w:tcW w:w="1393" w:type="dxa"/>
            <w:tcBorders>
              <w:top w:val="single" w:sz="4" w:space="0" w:color="auto"/>
            </w:tcBorders>
            <w:shd w:val="clear" w:color="auto" w:fill="FFFFFF"/>
            <w:tcMar>
              <w:top w:w="75" w:type="dxa"/>
              <w:left w:w="150" w:type="dxa"/>
              <w:bottom w:w="75" w:type="dxa"/>
              <w:right w:w="150" w:type="dxa"/>
            </w:tcMar>
            <w:vAlign w:val="center"/>
            <w:hideMark/>
          </w:tcPr>
          <w:p w14:paraId="665DFACE"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1</w:t>
            </w:r>
          </w:p>
        </w:tc>
        <w:tc>
          <w:tcPr>
            <w:tcW w:w="1432" w:type="dxa"/>
            <w:tcBorders>
              <w:top w:val="single" w:sz="4" w:space="0" w:color="auto"/>
            </w:tcBorders>
            <w:shd w:val="clear" w:color="auto" w:fill="FFFFFF"/>
            <w:tcMar>
              <w:top w:w="75" w:type="dxa"/>
              <w:left w:w="150" w:type="dxa"/>
              <w:bottom w:w="75" w:type="dxa"/>
              <w:right w:w="150" w:type="dxa"/>
            </w:tcMar>
            <w:vAlign w:val="center"/>
            <w:hideMark/>
          </w:tcPr>
          <w:p w14:paraId="3E6BABF2"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5</w:t>
            </w:r>
          </w:p>
        </w:tc>
        <w:tc>
          <w:tcPr>
            <w:tcW w:w="1803" w:type="dxa"/>
            <w:tcBorders>
              <w:top w:val="single" w:sz="4" w:space="0" w:color="auto"/>
            </w:tcBorders>
            <w:shd w:val="clear" w:color="auto" w:fill="FFFFFF"/>
            <w:tcMar>
              <w:top w:w="75" w:type="dxa"/>
              <w:left w:w="150" w:type="dxa"/>
              <w:bottom w:w="75" w:type="dxa"/>
              <w:right w:w="150" w:type="dxa"/>
            </w:tcMar>
            <w:vAlign w:val="center"/>
            <w:hideMark/>
          </w:tcPr>
          <w:p w14:paraId="43B02719"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2.71 - 3.02</w:t>
            </w:r>
          </w:p>
        </w:tc>
      </w:tr>
      <w:tr w:rsidR="007B7747" w:rsidRPr="007B7747" w14:paraId="3237EE39" w14:textId="77777777" w:rsidTr="007333FA">
        <w:trPr>
          <w:jc w:val="center"/>
        </w:trPr>
        <w:tc>
          <w:tcPr>
            <w:tcW w:w="1731" w:type="dxa"/>
            <w:shd w:val="clear" w:color="auto" w:fill="FFFFFF"/>
            <w:tcMar>
              <w:top w:w="75" w:type="dxa"/>
              <w:left w:w="150" w:type="dxa"/>
              <w:bottom w:w="75" w:type="dxa"/>
              <w:right w:w="150" w:type="dxa"/>
            </w:tcMar>
            <w:vAlign w:val="center"/>
            <w:hideMark/>
          </w:tcPr>
          <w:p w14:paraId="33903302"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Spice</w:t>
            </w:r>
          </w:p>
        </w:tc>
        <w:tc>
          <w:tcPr>
            <w:tcW w:w="1143" w:type="dxa"/>
            <w:shd w:val="clear" w:color="auto" w:fill="FFFFFF"/>
            <w:vAlign w:val="center"/>
          </w:tcPr>
          <w:p w14:paraId="3E01A8C5" w14:textId="77777777" w:rsidR="001A4A67" w:rsidRPr="007B7747" w:rsidRDefault="001A4A67" w:rsidP="007333FA">
            <w:pPr>
              <w:jc w:val="center"/>
              <w:rPr>
                <w:rFonts w:ascii="Arial" w:hAnsi="Arial" w:cs="Arial"/>
                <w:sz w:val="22"/>
                <w:szCs w:val="22"/>
              </w:rPr>
            </w:pPr>
            <w:r w:rsidRPr="007B7747">
              <w:rPr>
                <w:rFonts w:ascii="Arial" w:hAnsi="Arial" w:cs="Arial"/>
                <w:sz w:val="22"/>
                <w:szCs w:val="22"/>
              </w:rPr>
              <w:t>63</w:t>
            </w:r>
          </w:p>
        </w:tc>
        <w:tc>
          <w:tcPr>
            <w:tcW w:w="586" w:type="dxa"/>
            <w:shd w:val="clear" w:color="auto" w:fill="FFFFFF"/>
          </w:tcPr>
          <w:p w14:paraId="60B46D9F" w14:textId="77777777" w:rsidR="001A4A67" w:rsidRPr="007B7747" w:rsidRDefault="001A4A67" w:rsidP="000E6AC2">
            <w:pPr>
              <w:jc w:val="center"/>
              <w:rPr>
                <w:rFonts w:ascii="Arial" w:hAnsi="Arial" w:cs="Arial"/>
                <w:sz w:val="22"/>
                <w:szCs w:val="22"/>
              </w:rPr>
            </w:pPr>
          </w:p>
        </w:tc>
        <w:tc>
          <w:tcPr>
            <w:tcW w:w="895" w:type="dxa"/>
            <w:shd w:val="clear" w:color="auto" w:fill="FFFFFF"/>
            <w:tcMar>
              <w:top w:w="75" w:type="dxa"/>
              <w:left w:w="150" w:type="dxa"/>
              <w:bottom w:w="75" w:type="dxa"/>
              <w:right w:w="150" w:type="dxa"/>
            </w:tcMar>
            <w:vAlign w:val="center"/>
            <w:hideMark/>
          </w:tcPr>
          <w:p w14:paraId="04DE67B9"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2.9</w:t>
            </w:r>
          </w:p>
        </w:tc>
        <w:tc>
          <w:tcPr>
            <w:tcW w:w="1360" w:type="dxa"/>
            <w:shd w:val="clear" w:color="auto" w:fill="FFFFFF"/>
            <w:tcMar>
              <w:top w:w="75" w:type="dxa"/>
              <w:left w:w="150" w:type="dxa"/>
              <w:bottom w:w="75" w:type="dxa"/>
              <w:right w:w="150" w:type="dxa"/>
            </w:tcMar>
            <w:vAlign w:val="center"/>
            <w:hideMark/>
          </w:tcPr>
          <w:p w14:paraId="633DDA74"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0.86</w:t>
            </w:r>
          </w:p>
        </w:tc>
        <w:tc>
          <w:tcPr>
            <w:tcW w:w="1393" w:type="dxa"/>
            <w:shd w:val="clear" w:color="auto" w:fill="FFFFFF"/>
            <w:tcMar>
              <w:top w:w="75" w:type="dxa"/>
              <w:left w:w="150" w:type="dxa"/>
              <w:bottom w:w="75" w:type="dxa"/>
              <w:right w:w="150" w:type="dxa"/>
            </w:tcMar>
            <w:vAlign w:val="center"/>
            <w:hideMark/>
          </w:tcPr>
          <w:p w14:paraId="56F28176"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1</w:t>
            </w:r>
          </w:p>
        </w:tc>
        <w:tc>
          <w:tcPr>
            <w:tcW w:w="1432" w:type="dxa"/>
            <w:shd w:val="clear" w:color="auto" w:fill="FFFFFF"/>
            <w:tcMar>
              <w:top w:w="75" w:type="dxa"/>
              <w:left w:w="150" w:type="dxa"/>
              <w:bottom w:w="75" w:type="dxa"/>
              <w:right w:w="150" w:type="dxa"/>
            </w:tcMar>
            <w:vAlign w:val="center"/>
            <w:hideMark/>
          </w:tcPr>
          <w:p w14:paraId="305D663B"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4</w:t>
            </w:r>
          </w:p>
        </w:tc>
        <w:tc>
          <w:tcPr>
            <w:tcW w:w="1803" w:type="dxa"/>
            <w:shd w:val="clear" w:color="auto" w:fill="FFFFFF"/>
            <w:tcMar>
              <w:top w:w="75" w:type="dxa"/>
              <w:left w:w="150" w:type="dxa"/>
              <w:bottom w:w="75" w:type="dxa"/>
              <w:right w:w="150" w:type="dxa"/>
            </w:tcMar>
            <w:vAlign w:val="center"/>
            <w:hideMark/>
          </w:tcPr>
          <w:p w14:paraId="0A27C186"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2.69 - 3.12</w:t>
            </w:r>
          </w:p>
        </w:tc>
      </w:tr>
      <w:tr w:rsidR="007B7747" w:rsidRPr="007B7747" w14:paraId="75149EBB" w14:textId="77777777" w:rsidTr="007333FA">
        <w:trPr>
          <w:jc w:val="center"/>
        </w:trPr>
        <w:tc>
          <w:tcPr>
            <w:tcW w:w="1731" w:type="dxa"/>
            <w:shd w:val="clear" w:color="auto" w:fill="FFFFFF"/>
            <w:tcMar>
              <w:top w:w="75" w:type="dxa"/>
              <w:left w:w="150" w:type="dxa"/>
              <w:bottom w:w="75" w:type="dxa"/>
              <w:right w:w="150" w:type="dxa"/>
            </w:tcMar>
            <w:vAlign w:val="center"/>
            <w:hideMark/>
          </w:tcPr>
          <w:p w14:paraId="26BAD18E"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Perfume</w:t>
            </w:r>
          </w:p>
        </w:tc>
        <w:tc>
          <w:tcPr>
            <w:tcW w:w="1143" w:type="dxa"/>
            <w:shd w:val="clear" w:color="auto" w:fill="FFFFFF"/>
            <w:vAlign w:val="center"/>
          </w:tcPr>
          <w:p w14:paraId="68060E0C" w14:textId="77777777" w:rsidR="001A4A67" w:rsidRPr="007B7747" w:rsidRDefault="001A4A67" w:rsidP="007333FA">
            <w:pPr>
              <w:jc w:val="center"/>
              <w:rPr>
                <w:rFonts w:ascii="Arial" w:hAnsi="Arial" w:cs="Arial"/>
                <w:sz w:val="22"/>
                <w:szCs w:val="22"/>
              </w:rPr>
            </w:pPr>
            <w:r w:rsidRPr="007B7747">
              <w:rPr>
                <w:rFonts w:ascii="Arial" w:hAnsi="Arial" w:cs="Arial"/>
                <w:sz w:val="22"/>
                <w:szCs w:val="22"/>
              </w:rPr>
              <w:t>56</w:t>
            </w:r>
          </w:p>
        </w:tc>
        <w:tc>
          <w:tcPr>
            <w:tcW w:w="586" w:type="dxa"/>
            <w:shd w:val="clear" w:color="auto" w:fill="FFFFFF"/>
          </w:tcPr>
          <w:p w14:paraId="4B55DDEA" w14:textId="77777777" w:rsidR="001A4A67" w:rsidRPr="007B7747" w:rsidRDefault="001A4A67" w:rsidP="000E6AC2">
            <w:pPr>
              <w:jc w:val="center"/>
              <w:rPr>
                <w:rFonts w:ascii="Arial" w:hAnsi="Arial" w:cs="Arial"/>
                <w:sz w:val="22"/>
                <w:szCs w:val="22"/>
              </w:rPr>
            </w:pPr>
          </w:p>
        </w:tc>
        <w:tc>
          <w:tcPr>
            <w:tcW w:w="895" w:type="dxa"/>
            <w:shd w:val="clear" w:color="auto" w:fill="FFFFFF"/>
            <w:tcMar>
              <w:top w:w="75" w:type="dxa"/>
              <w:left w:w="150" w:type="dxa"/>
              <w:bottom w:w="75" w:type="dxa"/>
              <w:right w:w="150" w:type="dxa"/>
            </w:tcMar>
            <w:vAlign w:val="center"/>
            <w:hideMark/>
          </w:tcPr>
          <w:p w14:paraId="382F4801"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3.04</w:t>
            </w:r>
          </w:p>
        </w:tc>
        <w:tc>
          <w:tcPr>
            <w:tcW w:w="1360" w:type="dxa"/>
            <w:shd w:val="clear" w:color="auto" w:fill="FFFFFF"/>
            <w:tcMar>
              <w:top w:w="75" w:type="dxa"/>
              <w:left w:w="150" w:type="dxa"/>
              <w:bottom w:w="75" w:type="dxa"/>
              <w:right w:w="150" w:type="dxa"/>
            </w:tcMar>
            <w:vAlign w:val="center"/>
            <w:hideMark/>
          </w:tcPr>
          <w:p w14:paraId="08EA1AB8"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1.04</w:t>
            </w:r>
          </w:p>
        </w:tc>
        <w:tc>
          <w:tcPr>
            <w:tcW w:w="1393" w:type="dxa"/>
            <w:shd w:val="clear" w:color="auto" w:fill="FFFFFF"/>
            <w:tcMar>
              <w:top w:w="75" w:type="dxa"/>
              <w:left w:w="150" w:type="dxa"/>
              <w:bottom w:w="75" w:type="dxa"/>
              <w:right w:w="150" w:type="dxa"/>
            </w:tcMar>
            <w:vAlign w:val="center"/>
            <w:hideMark/>
          </w:tcPr>
          <w:p w14:paraId="180FBBD8"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1</w:t>
            </w:r>
          </w:p>
        </w:tc>
        <w:tc>
          <w:tcPr>
            <w:tcW w:w="1432" w:type="dxa"/>
            <w:shd w:val="clear" w:color="auto" w:fill="FFFFFF"/>
            <w:tcMar>
              <w:top w:w="75" w:type="dxa"/>
              <w:left w:w="150" w:type="dxa"/>
              <w:bottom w:w="75" w:type="dxa"/>
              <w:right w:w="150" w:type="dxa"/>
            </w:tcMar>
            <w:vAlign w:val="center"/>
            <w:hideMark/>
          </w:tcPr>
          <w:p w14:paraId="2EA60D62"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4</w:t>
            </w:r>
          </w:p>
        </w:tc>
        <w:tc>
          <w:tcPr>
            <w:tcW w:w="1803" w:type="dxa"/>
            <w:shd w:val="clear" w:color="auto" w:fill="FFFFFF"/>
            <w:tcMar>
              <w:top w:w="75" w:type="dxa"/>
              <w:left w:w="150" w:type="dxa"/>
              <w:bottom w:w="75" w:type="dxa"/>
              <w:right w:w="150" w:type="dxa"/>
            </w:tcMar>
            <w:vAlign w:val="center"/>
            <w:hideMark/>
          </w:tcPr>
          <w:p w14:paraId="335C401E"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2.76 - 3.32</w:t>
            </w:r>
          </w:p>
        </w:tc>
      </w:tr>
      <w:tr w:rsidR="007B7747" w:rsidRPr="007B7747" w14:paraId="020CDE5E" w14:textId="77777777" w:rsidTr="007333FA">
        <w:trPr>
          <w:jc w:val="center"/>
        </w:trPr>
        <w:tc>
          <w:tcPr>
            <w:tcW w:w="1731" w:type="dxa"/>
            <w:shd w:val="clear" w:color="auto" w:fill="FFFFFF"/>
            <w:tcMar>
              <w:top w:w="75" w:type="dxa"/>
              <w:left w:w="150" w:type="dxa"/>
              <w:bottom w:w="75" w:type="dxa"/>
              <w:right w:w="150" w:type="dxa"/>
            </w:tcMar>
            <w:vAlign w:val="center"/>
            <w:hideMark/>
          </w:tcPr>
          <w:p w14:paraId="331A51FD"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Pollen</w:t>
            </w:r>
          </w:p>
        </w:tc>
        <w:tc>
          <w:tcPr>
            <w:tcW w:w="1143" w:type="dxa"/>
            <w:shd w:val="clear" w:color="auto" w:fill="FFFFFF"/>
            <w:vAlign w:val="center"/>
          </w:tcPr>
          <w:p w14:paraId="13C81986" w14:textId="77777777" w:rsidR="001A4A67" w:rsidRPr="007B7747" w:rsidRDefault="001A4A67" w:rsidP="007333FA">
            <w:pPr>
              <w:jc w:val="center"/>
              <w:rPr>
                <w:rFonts w:ascii="Arial" w:hAnsi="Arial" w:cs="Arial"/>
                <w:sz w:val="22"/>
                <w:szCs w:val="22"/>
              </w:rPr>
            </w:pPr>
            <w:r w:rsidRPr="007B7747">
              <w:rPr>
                <w:rFonts w:ascii="Arial" w:hAnsi="Arial" w:cs="Arial"/>
                <w:sz w:val="22"/>
                <w:szCs w:val="22"/>
              </w:rPr>
              <w:t>49</w:t>
            </w:r>
          </w:p>
        </w:tc>
        <w:tc>
          <w:tcPr>
            <w:tcW w:w="586" w:type="dxa"/>
            <w:shd w:val="clear" w:color="auto" w:fill="FFFFFF"/>
          </w:tcPr>
          <w:p w14:paraId="7E87EF82" w14:textId="77777777" w:rsidR="001A4A67" w:rsidRPr="007B7747" w:rsidRDefault="001A4A67" w:rsidP="000E6AC2">
            <w:pPr>
              <w:jc w:val="center"/>
              <w:rPr>
                <w:rFonts w:ascii="Arial" w:hAnsi="Arial" w:cs="Arial"/>
                <w:sz w:val="22"/>
                <w:szCs w:val="22"/>
              </w:rPr>
            </w:pPr>
          </w:p>
        </w:tc>
        <w:tc>
          <w:tcPr>
            <w:tcW w:w="895" w:type="dxa"/>
            <w:shd w:val="clear" w:color="auto" w:fill="FFFFFF"/>
            <w:tcMar>
              <w:top w:w="75" w:type="dxa"/>
              <w:left w:w="150" w:type="dxa"/>
              <w:bottom w:w="75" w:type="dxa"/>
              <w:right w:w="150" w:type="dxa"/>
            </w:tcMar>
            <w:vAlign w:val="center"/>
            <w:hideMark/>
          </w:tcPr>
          <w:p w14:paraId="3FFC5985"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2.78</w:t>
            </w:r>
          </w:p>
        </w:tc>
        <w:tc>
          <w:tcPr>
            <w:tcW w:w="1360" w:type="dxa"/>
            <w:shd w:val="clear" w:color="auto" w:fill="FFFFFF"/>
            <w:tcMar>
              <w:top w:w="75" w:type="dxa"/>
              <w:left w:w="150" w:type="dxa"/>
              <w:bottom w:w="75" w:type="dxa"/>
              <w:right w:w="150" w:type="dxa"/>
            </w:tcMar>
            <w:vAlign w:val="center"/>
            <w:hideMark/>
          </w:tcPr>
          <w:p w14:paraId="4F031091"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0.8</w:t>
            </w:r>
          </w:p>
        </w:tc>
        <w:tc>
          <w:tcPr>
            <w:tcW w:w="1393" w:type="dxa"/>
            <w:shd w:val="clear" w:color="auto" w:fill="FFFFFF"/>
            <w:tcMar>
              <w:top w:w="75" w:type="dxa"/>
              <w:left w:w="150" w:type="dxa"/>
              <w:bottom w:w="75" w:type="dxa"/>
              <w:right w:w="150" w:type="dxa"/>
            </w:tcMar>
            <w:vAlign w:val="center"/>
            <w:hideMark/>
          </w:tcPr>
          <w:p w14:paraId="439F6EEE"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1</w:t>
            </w:r>
          </w:p>
        </w:tc>
        <w:tc>
          <w:tcPr>
            <w:tcW w:w="1432" w:type="dxa"/>
            <w:shd w:val="clear" w:color="auto" w:fill="FFFFFF"/>
            <w:tcMar>
              <w:top w:w="75" w:type="dxa"/>
              <w:left w:w="150" w:type="dxa"/>
              <w:bottom w:w="75" w:type="dxa"/>
              <w:right w:w="150" w:type="dxa"/>
            </w:tcMar>
            <w:vAlign w:val="center"/>
            <w:hideMark/>
          </w:tcPr>
          <w:p w14:paraId="566F7BA6"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5</w:t>
            </w:r>
          </w:p>
        </w:tc>
        <w:tc>
          <w:tcPr>
            <w:tcW w:w="1803" w:type="dxa"/>
            <w:shd w:val="clear" w:color="auto" w:fill="FFFFFF"/>
            <w:tcMar>
              <w:top w:w="75" w:type="dxa"/>
              <w:left w:w="150" w:type="dxa"/>
              <w:bottom w:w="75" w:type="dxa"/>
              <w:right w:w="150" w:type="dxa"/>
            </w:tcMar>
            <w:vAlign w:val="center"/>
            <w:hideMark/>
          </w:tcPr>
          <w:p w14:paraId="0DE76B52"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2.55 - 3</w:t>
            </w:r>
          </w:p>
        </w:tc>
      </w:tr>
      <w:tr w:rsidR="007B7747" w:rsidRPr="007B7747" w14:paraId="25070E9C" w14:textId="77777777" w:rsidTr="007333FA">
        <w:trPr>
          <w:jc w:val="center"/>
        </w:trPr>
        <w:tc>
          <w:tcPr>
            <w:tcW w:w="1731" w:type="dxa"/>
            <w:shd w:val="clear" w:color="auto" w:fill="FFFFFF"/>
            <w:tcMar>
              <w:top w:w="75" w:type="dxa"/>
              <w:left w:w="150" w:type="dxa"/>
              <w:bottom w:w="75" w:type="dxa"/>
              <w:right w:w="150" w:type="dxa"/>
            </w:tcMar>
            <w:vAlign w:val="center"/>
            <w:hideMark/>
          </w:tcPr>
          <w:p w14:paraId="42BB6AC1"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Cleaning products</w:t>
            </w:r>
          </w:p>
        </w:tc>
        <w:tc>
          <w:tcPr>
            <w:tcW w:w="1143" w:type="dxa"/>
            <w:shd w:val="clear" w:color="auto" w:fill="FFFFFF"/>
            <w:vAlign w:val="center"/>
          </w:tcPr>
          <w:p w14:paraId="2AFB4735" w14:textId="77777777" w:rsidR="001A4A67" w:rsidRPr="007B7747" w:rsidRDefault="001A4A67" w:rsidP="007333FA">
            <w:pPr>
              <w:jc w:val="center"/>
              <w:rPr>
                <w:rFonts w:ascii="Arial" w:hAnsi="Arial" w:cs="Arial"/>
                <w:sz w:val="22"/>
                <w:szCs w:val="22"/>
              </w:rPr>
            </w:pPr>
            <w:r w:rsidRPr="007B7747">
              <w:rPr>
                <w:rFonts w:ascii="Arial" w:hAnsi="Arial" w:cs="Arial"/>
                <w:sz w:val="22"/>
                <w:szCs w:val="22"/>
              </w:rPr>
              <w:t>47</w:t>
            </w:r>
          </w:p>
        </w:tc>
        <w:tc>
          <w:tcPr>
            <w:tcW w:w="586" w:type="dxa"/>
            <w:shd w:val="clear" w:color="auto" w:fill="FFFFFF"/>
          </w:tcPr>
          <w:p w14:paraId="04E7859D" w14:textId="77777777" w:rsidR="001A4A67" w:rsidRPr="007B7747" w:rsidRDefault="001A4A67" w:rsidP="000E6AC2">
            <w:pPr>
              <w:jc w:val="center"/>
              <w:rPr>
                <w:rFonts w:ascii="Arial" w:hAnsi="Arial" w:cs="Arial"/>
                <w:sz w:val="22"/>
                <w:szCs w:val="22"/>
              </w:rPr>
            </w:pPr>
          </w:p>
        </w:tc>
        <w:tc>
          <w:tcPr>
            <w:tcW w:w="895" w:type="dxa"/>
            <w:shd w:val="clear" w:color="auto" w:fill="FFFFFF"/>
            <w:tcMar>
              <w:top w:w="75" w:type="dxa"/>
              <w:left w:w="150" w:type="dxa"/>
              <w:bottom w:w="75" w:type="dxa"/>
              <w:right w:w="150" w:type="dxa"/>
            </w:tcMar>
            <w:vAlign w:val="center"/>
            <w:hideMark/>
          </w:tcPr>
          <w:p w14:paraId="40FD84D8"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3.11</w:t>
            </w:r>
          </w:p>
        </w:tc>
        <w:tc>
          <w:tcPr>
            <w:tcW w:w="1360" w:type="dxa"/>
            <w:shd w:val="clear" w:color="auto" w:fill="FFFFFF"/>
            <w:tcMar>
              <w:top w:w="75" w:type="dxa"/>
              <w:left w:w="150" w:type="dxa"/>
              <w:bottom w:w="75" w:type="dxa"/>
              <w:right w:w="150" w:type="dxa"/>
            </w:tcMar>
            <w:vAlign w:val="center"/>
            <w:hideMark/>
          </w:tcPr>
          <w:p w14:paraId="58DE1DC5"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0.56</w:t>
            </w:r>
          </w:p>
        </w:tc>
        <w:tc>
          <w:tcPr>
            <w:tcW w:w="1393" w:type="dxa"/>
            <w:shd w:val="clear" w:color="auto" w:fill="FFFFFF"/>
            <w:tcMar>
              <w:top w:w="75" w:type="dxa"/>
              <w:left w:w="150" w:type="dxa"/>
              <w:bottom w:w="75" w:type="dxa"/>
              <w:right w:w="150" w:type="dxa"/>
            </w:tcMar>
            <w:vAlign w:val="center"/>
            <w:hideMark/>
          </w:tcPr>
          <w:p w14:paraId="5C28FD75"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2</w:t>
            </w:r>
          </w:p>
        </w:tc>
        <w:tc>
          <w:tcPr>
            <w:tcW w:w="1432" w:type="dxa"/>
            <w:shd w:val="clear" w:color="auto" w:fill="FFFFFF"/>
            <w:tcMar>
              <w:top w:w="75" w:type="dxa"/>
              <w:left w:w="150" w:type="dxa"/>
              <w:bottom w:w="75" w:type="dxa"/>
              <w:right w:w="150" w:type="dxa"/>
            </w:tcMar>
            <w:vAlign w:val="center"/>
            <w:hideMark/>
          </w:tcPr>
          <w:p w14:paraId="2B906B1D"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4</w:t>
            </w:r>
          </w:p>
        </w:tc>
        <w:tc>
          <w:tcPr>
            <w:tcW w:w="1803" w:type="dxa"/>
            <w:shd w:val="clear" w:color="auto" w:fill="FFFFFF"/>
            <w:tcMar>
              <w:top w:w="75" w:type="dxa"/>
              <w:left w:w="150" w:type="dxa"/>
              <w:bottom w:w="75" w:type="dxa"/>
              <w:right w:w="150" w:type="dxa"/>
            </w:tcMar>
            <w:vAlign w:val="center"/>
            <w:hideMark/>
          </w:tcPr>
          <w:p w14:paraId="5E6A09CE"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2.94 - 3.27</w:t>
            </w:r>
          </w:p>
        </w:tc>
      </w:tr>
      <w:tr w:rsidR="007B7747" w:rsidRPr="007B7747" w14:paraId="3E606D97" w14:textId="77777777" w:rsidTr="007333FA">
        <w:trPr>
          <w:jc w:val="center"/>
        </w:trPr>
        <w:tc>
          <w:tcPr>
            <w:tcW w:w="1731" w:type="dxa"/>
            <w:shd w:val="clear" w:color="auto" w:fill="FFFFFF"/>
            <w:tcMar>
              <w:top w:w="75" w:type="dxa"/>
              <w:left w:w="150" w:type="dxa"/>
              <w:bottom w:w="75" w:type="dxa"/>
              <w:right w:w="150" w:type="dxa"/>
            </w:tcMar>
            <w:vAlign w:val="center"/>
            <w:hideMark/>
          </w:tcPr>
          <w:p w14:paraId="1AC84A4B"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Fruits</w:t>
            </w:r>
          </w:p>
        </w:tc>
        <w:tc>
          <w:tcPr>
            <w:tcW w:w="1143" w:type="dxa"/>
            <w:shd w:val="clear" w:color="auto" w:fill="FFFFFF"/>
            <w:vAlign w:val="center"/>
          </w:tcPr>
          <w:p w14:paraId="10D6EE00" w14:textId="77777777" w:rsidR="001A4A67" w:rsidRPr="007B7747" w:rsidRDefault="001A4A67" w:rsidP="007333FA">
            <w:pPr>
              <w:jc w:val="center"/>
              <w:rPr>
                <w:rFonts w:ascii="Arial" w:hAnsi="Arial" w:cs="Arial"/>
                <w:sz w:val="22"/>
                <w:szCs w:val="22"/>
              </w:rPr>
            </w:pPr>
            <w:r w:rsidRPr="007B7747">
              <w:rPr>
                <w:rFonts w:ascii="Arial" w:hAnsi="Arial" w:cs="Arial"/>
                <w:sz w:val="22"/>
                <w:szCs w:val="22"/>
              </w:rPr>
              <w:t>38</w:t>
            </w:r>
          </w:p>
        </w:tc>
        <w:tc>
          <w:tcPr>
            <w:tcW w:w="586" w:type="dxa"/>
            <w:shd w:val="clear" w:color="auto" w:fill="FFFFFF"/>
          </w:tcPr>
          <w:p w14:paraId="207525CE" w14:textId="77777777" w:rsidR="001A4A67" w:rsidRPr="007B7747" w:rsidRDefault="001A4A67" w:rsidP="000E6AC2">
            <w:pPr>
              <w:jc w:val="center"/>
              <w:rPr>
                <w:rFonts w:ascii="Arial" w:hAnsi="Arial" w:cs="Arial"/>
                <w:sz w:val="22"/>
                <w:szCs w:val="22"/>
              </w:rPr>
            </w:pPr>
          </w:p>
        </w:tc>
        <w:tc>
          <w:tcPr>
            <w:tcW w:w="895" w:type="dxa"/>
            <w:shd w:val="clear" w:color="auto" w:fill="FFFFFF"/>
            <w:tcMar>
              <w:top w:w="75" w:type="dxa"/>
              <w:left w:w="150" w:type="dxa"/>
              <w:bottom w:w="75" w:type="dxa"/>
              <w:right w:w="150" w:type="dxa"/>
            </w:tcMar>
            <w:vAlign w:val="center"/>
            <w:hideMark/>
          </w:tcPr>
          <w:p w14:paraId="49382554"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3.34</w:t>
            </w:r>
          </w:p>
        </w:tc>
        <w:tc>
          <w:tcPr>
            <w:tcW w:w="1360" w:type="dxa"/>
            <w:shd w:val="clear" w:color="auto" w:fill="FFFFFF"/>
            <w:tcMar>
              <w:top w:w="75" w:type="dxa"/>
              <w:left w:w="150" w:type="dxa"/>
              <w:bottom w:w="75" w:type="dxa"/>
              <w:right w:w="150" w:type="dxa"/>
            </w:tcMar>
            <w:vAlign w:val="center"/>
            <w:hideMark/>
          </w:tcPr>
          <w:p w14:paraId="09FCEB06"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0.78</w:t>
            </w:r>
          </w:p>
        </w:tc>
        <w:tc>
          <w:tcPr>
            <w:tcW w:w="1393" w:type="dxa"/>
            <w:shd w:val="clear" w:color="auto" w:fill="FFFFFF"/>
            <w:tcMar>
              <w:top w:w="75" w:type="dxa"/>
              <w:left w:w="150" w:type="dxa"/>
              <w:bottom w:w="75" w:type="dxa"/>
              <w:right w:w="150" w:type="dxa"/>
            </w:tcMar>
            <w:vAlign w:val="center"/>
            <w:hideMark/>
          </w:tcPr>
          <w:p w14:paraId="46D1010C"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2</w:t>
            </w:r>
          </w:p>
        </w:tc>
        <w:tc>
          <w:tcPr>
            <w:tcW w:w="1432" w:type="dxa"/>
            <w:shd w:val="clear" w:color="auto" w:fill="FFFFFF"/>
            <w:tcMar>
              <w:top w:w="75" w:type="dxa"/>
              <w:left w:w="150" w:type="dxa"/>
              <w:bottom w:w="75" w:type="dxa"/>
              <w:right w:w="150" w:type="dxa"/>
            </w:tcMar>
            <w:vAlign w:val="center"/>
            <w:hideMark/>
          </w:tcPr>
          <w:p w14:paraId="5B220838"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5</w:t>
            </w:r>
          </w:p>
        </w:tc>
        <w:tc>
          <w:tcPr>
            <w:tcW w:w="1803" w:type="dxa"/>
            <w:shd w:val="clear" w:color="auto" w:fill="FFFFFF"/>
            <w:tcMar>
              <w:top w:w="75" w:type="dxa"/>
              <w:left w:w="150" w:type="dxa"/>
              <w:bottom w:w="75" w:type="dxa"/>
              <w:right w:w="150" w:type="dxa"/>
            </w:tcMar>
            <w:vAlign w:val="center"/>
            <w:hideMark/>
          </w:tcPr>
          <w:p w14:paraId="43A22489"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3.09 - 3.6</w:t>
            </w:r>
          </w:p>
        </w:tc>
      </w:tr>
      <w:tr w:rsidR="007B7747" w:rsidRPr="007B7747" w14:paraId="6AE1EAFA" w14:textId="77777777" w:rsidTr="007333FA">
        <w:trPr>
          <w:jc w:val="center"/>
        </w:trPr>
        <w:tc>
          <w:tcPr>
            <w:tcW w:w="1731" w:type="dxa"/>
            <w:shd w:val="clear" w:color="auto" w:fill="FFFFFF"/>
            <w:tcMar>
              <w:top w:w="75" w:type="dxa"/>
              <w:left w:w="150" w:type="dxa"/>
              <w:bottom w:w="75" w:type="dxa"/>
              <w:right w:w="150" w:type="dxa"/>
            </w:tcMar>
            <w:vAlign w:val="center"/>
            <w:hideMark/>
          </w:tcPr>
          <w:p w14:paraId="1459212F"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Penicillin</w:t>
            </w:r>
          </w:p>
        </w:tc>
        <w:tc>
          <w:tcPr>
            <w:tcW w:w="1143" w:type="dxa"/>
            <w:shd w:val="clear" w:color="auto" w:fill="FFFFFF"/>
            <w:vAlign w:val="center"/>
          </w:tcPr>
          <w:p w14:paraId="3A5ACE0F" w14:textId="77777777" w:rsidR="001A4A67" w:rsidRPr="007B7747" w:rsidRDefault="001A4A67" w:rsidP="007333FA">
            <w:pPr>
              <w:jc w:val="center"/>
              <w:rPr>
                <w:rFonts w:ascii="Arial" w:hAnsi="Arial" w:cs="Arial"/>
                <w:sz w:val="22"/>
                <w:szCs w:val="22"/>
              </w:rPr>
            </w:pPr>
            <w:r w:rsidRPr="007B7747">
              <w:rPr>
                <w:rFonts w:ascii="Arial" w:hAnsi="Arial" w:cs="Arial"/>
                <w:sz w:val="22"/>
                <w:szCs w:val="22"/>
              </w:rPr>
              <w:t>17</w:t>
            </w:r>
          </w:p>
        </w:tc>
        <w:tc>
          <w:tcPr>
            <w:tcW w:w="586" w:type="dxa"/>
            <w:shd w:val="clear" w:color="auto" w:fill="FFFFFF"/>
          </w:tcPr>
          <w:p w14:paraId="489FE1F3" w14:textId="77777777" w:rsidR="001A4A67" w:rsidRPr="007B7747" w:rsidRDefault="001A4A67" w:rsidP="000E6AC2">
            <w:pPr>
              <w:jc w:val="center"/>
              <w:rPr>
                <w:rFonts w:ascii="Arial" w:hAnsi="Arial" w:cs="Arial"/>
                <w:sz w:val="22"/>
                <w:szCs w:val="22"/>
              </w:rPr>
            </w:pPr>
          </w:p>
        </w:tc>
        <w:tc>
          <w:tcPr>
            <w:tcW w:w="895" w:type="dxa"/>
            <w:shd w:val="clear" w:color="auto" w:fill="FFFFFF"/>
            <w:tcMar>
              <w:top w:w="75" w:type="dxa"/>
              <w:left w:w="150" w:type="dxa"/>
              <w:bottom w:w="75" w:type="dxa"/>
              <w:right w:w="150" w:type="dxa"/>
            </w:tcMar>
            <w:vAlign w:val="center"/>
            <w:hideMark/>
          </w:tcPr>
          <w:p w14:paraId="38AC1293"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3</w:t>
            </w:r>
          </w:p>
        </w:tc>
        <w:tc>
          <w:tcPr>
            <w:tcW w:w="1360" w:type="dxa"/>
            <w:shd w:val="clear" w:color="auto" w:fill="FFFFFF"/>
            <w:tcMar>
              <w:top w:w="75" w:type="dxa"/>
              <w:left w:w="150" w:type="dxa"/>
              <w:bottom w:w="75" w:type="dxa"/>
              <w:right w:w="150" w:type="dxa"/>
            </w:tcMar>
            <w:vAlign w:val="center"/>
            <w:hideMark/>
          </w:tcPr>
          <w:p w14:paraId="3C516F70"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0.87</w:t>
            </w:r>
          </w:p>
        </w:tc>
        <w:tc>
          <w:tcPr>
            <w:tcW w:w="1393" w:type="dxa"/>
            <w:shd w:val="clear" w:color="auto" w:fill="FFFFFF"/>
            <w:tcMar>
              <w:top w:w="75" w:type="dxa"/>
              <w:left w:w="150" w:type="dxa"/>
              <w:bottom w:w="75" w:type="dxa"/>
              <w:right w:w="150" w:type="dxa"/>
            </w:tcMar>
            <w:vAlign w:val="center"/>
            <w:hideMark/>
          </w:tcPr>
          <w:p w14:paraId="1B2CF3F5"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2</w:t>
            </w:r>
          </w:p>
        </w:tc>
        <w:tc>
          <w:tcPr>
            <w:tcW w:w="1432" w:type="dxa"/>
            <w:shd w:val="clear" w:color="auto" w:fill="FFFFFF"/>
            <w:tcMar>
              <w:top w:w="75" w:type="dxa"/>
              <w:left w:w="150" w:type="dxa"/>
              <w:bottom w:w="75" w:type="dxa"/>
              <w:right w:w="150" w:type="dxa"/>
            </w:tcMar>
            <w:vAlign w:val="center"/>
            <w:hideMark/>
          </w:tcPr>
          <w:p w14:paraId="2697B06F"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4</w:t>
            </w:r>
          </w:p>
        </w:tc>
        <w:tc>
          <w:tcPr>
            <w:tcW w:w="1803" w:type="dxa"/>
            <w:shd w:val="clear" w:color="auto" w:fill="FFFFFF"/>
            <w:tcMar>
              <w:top w:w="75" w:type="dxa"/>
              <w:left w:w="150" w:type="dxa"/>
              <w:bottom w:w="75" w:type="dxa"/>
              <w:right w:w="150" w:type="dxa"/>
            </w:tcMar>
            <w:vAlign w:val="center"/>
            <w:hideMark/>
          </w:tcPr>
          <w:p w14:paraId="24584F2B"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2.55 - 3.45</w:t>
            </w:r>
          </w:p>
        </w:tc>
      </w:tr>
      <w:tr w:rsidR="007B7747" w:rsidRPr="007B7747" w14:paraId="2AFB98B7" w14:textId="77777777" w:rsidTr="007333FA">
        <w:trPr>
          <w:jc w:val="center"/>
        </w:trPr>
        <w:tc>
          <w:tcPr>
            <w:tcW w:w="1731" w:type="dxa"/>
            <w:tcBorders>
              <w:bottom w:val="single" w:sz="4" w:space="0" w:color="auto"/>
            </w:tcBorders>
            <w:shd w:val="clear" w:color="auto" w:fill="FFFFFF"/>
            <w:tcMar>
              <w:top w:w="75" w:type="dxa"/>
              <w:left w:w="150" w:type="dxa"/>
              <w:bottom w:w="75" w:type="dxa"/>
              <w:right w:w="150" w:type="dxa"/>
            </w:tcMar>
            <w:vAlign w:val="center"/>
            <w:hideMark/>
          </w:tcPr>
          <w:p w14:paraId="78006829"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Gluten</w:t>
            </w:r>
          </w:p>
        </w:tc>
        <w:tc>
          <w:tcPr>
            <w:tcW w:w="1143" w:type="dxa"/>
            <w:tcBorders>
              <w:bottom w:val="single" w:sz="4" w:space="0" w:color="auto"/>
            </w:tcBorders>
            <w:shd w:val="clear" w:color="auto" w:fill="FFFFFF"/>
            <w:vAlign w:val="center"/>
          </w:tcPr>
          <w:p w14:paraId="42A8E9F3" w14:textId="77777777" w:rsidR="001A4A67" w:rsidRPr="007B7747" w:rsidRDefault="001A4A67" w:rsidP="007333FA">
            <w:pPr>
              <w:jc w:val="center"/>
              <w:rPr>
                <w:rFonts w:ascii="Arial" w:hAnsi="Arial" w:cs="Arial"/>
                <w:sz w:val="22"/>
                <w:szCs w:val="22"/>
              </w:rPr>
            </w:pPr>
            <w:r w:rsidRPr="007B7747">
              <w:rPr>
                <w:rFonts w:ascii="Arial" w:hAnsi="Arial" w:cs="Arial"/>
                <w:sz w:val="22"/>
                <w:szCs w:val="22"/>
              </w:rPr>
              <w:t>14</w:t>
            </w:r>
          </w:p>
        </w:tc>
        <w:tc>
          <w:tcPr>
            <w:tcW w:w="586" w:type="dxa"/>
            <w:tcBorders>
              <w:bottom w:val="single" w:sz="4" w:space="0" w:color="auto"/>
            </w:tcBorders>
            <w:shd w:val="clear" w:color="auto" w:fill="FFFFFF"/>
          </w:tcPr>
          <w:p w14:paraId="6523EF42" w14:textId="77777777" w:rsidR="001A4A67" w:rsidRPr="007B7747" w:rsidRDefault="001A4A67" w:rsidP="000E6AC2">
            <w:pPr>
              <w:jc w:val="center"/>
              <w:rPr>
                <w:rFonts w:ascii="Arial" w:hAnsi="Arial" w:cs="Arial"/>
                <w:sz w:val="22"/>
                <w:szCs w:val="22"/>
              </w:rPr>
            </w:pPr>
          </w:p>
        </w:tc>
        <w:tc>
          <w:tcPr>
            <w:tcW w:w="895" w:type="dxa"/>
            <w:tcBorders>
              <w:bottom w:val="single" w:sz="4" w:space="0" w:color="auto"/>
            </w:tcBorders>
            <w:shd w:val="clear" w:color="auto" w:fill="FFFFFF"/>
            <w:tcMar>
              <w:top w:w="75" w:type="dxa"/>
              <w:left w:w="150" w:type="dxa"/>
              <w:bottom w:w="75" w:type="dxa"/>
              <w:right w:w="150" w:type="dxa"/>
            </w:tcMar>
            <w:vAlign w:val="center"/>
            <w:hideMark/>
          </w:tcPr>
          <w:p w14:paraId="2E9EAAF8"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4.07</w:t>
            </w:r>
          </w:p>
        </w:tc>
        <w:tc>
          <w:tcPr>
            <w:tcW w:w="1360" w:type="dxa"/>
            <w:tcBorders>
              <w:bottom w:val="single" w:sz="4" w:space="0" w:color="auto"/>
            </w:tcBorders>
            <w:shd w:val="clear" w:color="auto" w:fill="FFFFFF"/>
            <w:tcMar>
              <w:top w:w="75" w:type="dxa"/>
              <w:left w:w="150" w:type="dxa"/>
              <w:bottom w:w="75" w:type="dxa"/>
              <w:right w:w="150" w:type="dxa"/>
            </w:tcMar>
            <w:vAlign w:val="center"/>
            <w:hideMark/>
          </w:tcPr>
          <w:p w14:paraId="1811A677"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0.83</w:t>
            </w:r>
          </w:p>
        </w:tc>
        <w:tc>
          <w:tcPr>
            <w:tcW w:w="1393" w:type="dxa"/>
            <w:tcBorders>
              <w:bottom w:val="single" w:sz="4" w:space="0" w:color="auto"/>
            </w:tcBorders>
            <w:shd w:val="clear" w:color="auto" w:fill="FFFFFF"/>
            <w:tcMar>
              <w:top w:w="75" w:type="dxa"/>
              <w:left w:w="150" w:type="dxa"/>
              <w:bottom w:w="75" w:type="dxa"/>
              <w:right w:w="150" w:type="dxa"/>
            </w:tcMar>
            <w:vAlign w:val="center"/>
            <w:hideMark/>
          </w:tcPr>
          <w:p w14:paraId="782BE9CF"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3</w:t>
            </w:r>
          </w:p>
        </w:tc>
        <w:tc>
          <w:tcPr>
            <w:tcW w:w="1432" w:type="dxa"/>
            <w:tcBorders>
              <w:bottom w:val="single" w:sz="4" w:space="0" w:color="auto"/>
            </w:tcBorders>
            <w:shd w:val="clear" w:color="auto" w:fill="FFFFFF"/>
            <w:tcMar>
              <w:top w:w="75" w:type="dxa"/>
              <w:left w:w="150" w:type="dxa"/>
              <w:bottom w:w="75" w:type="dxa"/>
              <w:right w:w="150" w:type="dxa"/>
            </w:tcMar>
            <w:vAlign w:val="center"/>
            <w:hideMark/>
          </w:tcPr>
          <w:p w14:paraId="47B5AE73"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5</w:t>
            </w:r>
          </w:p>
        </w:tc>
        <w:tc>
          <w:tcPr>
            <w:tcW w:w="1803" w:type="dxa"/>
            <w:tcBorders>
              <w:bottom w:val="single" w:sz="4" w:space="0" w:color="auto"/>
            </w:tcBorders>
            <w:shd w:val="clear" w:color="auto" w:fill="FFFFFF"/>
            <w:tcMar>
              <w:top w:w="75" w:type="dxa"/>
              <w:left w:w="150" w:type="dxa"/>
              <w:bottom w:w="75" w:type="dxa"/>
              <w:right w:w="150" w:type="dxa"/>
            </w:tcMar>
            <w:vAlign w:val="center"/>
            <w:hideMark/>
          </w:tcPr>
          <w:p w14:paraId="1FF23C2F" w14:textId="77777777" w:rsidR="001A4A67" w:rsidRPr="007B7747" w:rsidRDefault="001A4A67" w:rsidP="000E6AC2">
            <w:pPr>
              <w:jc w:val="center"/>
              <w:rPr>
                <w:rFonts w:ascii="Arial" w:hAnsi="Arial" w:cs="Arial"/>
                <w:sz w:val="22"/>
                <w:szCs w:val="22"/>
              </w:rPr>
            </w:pPr>
            <w:r w:rsidRPr="007B7747">
              <w:rPr>
                <w:rFonts w:ascii="Arial" w:hAnsi="Arial" w:cs="Arial"/>
                <w:sz w:val="22"/>
                <w:szCs w:val="22"/>
              </w:rPr>
              <w:t>3.59 - 4.55</w:t>
            </w:r>
          </w:p>
        </w:tc>
      </w:tr>
    </w:tbl>
    <w:p w14:paraId="07E5136C" w14:textId="77777777" w:rsidR="0013405D" w:rsidRPr="007B7747" w:rsidRDefault="0013405D" w:rsidP="0013405D">
      <w:pPr>
        <w:spacing w:line="480" w:lineRule="auto"/>
        <w:jc w:val="both"/>
        <w:rPr>
          <w:rFonts w:ascii="Arial" w:hAnsi="Arial" w:cs="Arial"/>
          <w:b/>
          <w:bCs/>
          <w:sz w:val="22"/>
          <w:szCs w:val="22"/>
        </w:rPr>
      </w:pPr>
    </w:p>
    <w:p w14:paraId="7A26CD27" w14:textId="1FC662E1" w:rsidR="0013405D" w:rsidRPr="007B7747" w:rsidRDefault="0013405D" w:rsidP="00F07716">
      <w:pPr>
        <w:pStyle w:val="ListParagraph"/>
        <w:numPr>
          <w:ilvl w:val="1"/>
          <w:numId w:val="1"/>
        </w:numPr>
        <w:spacing w:line="480" w:lineRule="auto"/>
        <w:jc w:val="both"/>
        <w:rPr>
          <w:rFonts w:ascii="Arial" w:hAnsi="Arial" w:cs="Arial"/>
          <w:b/>
          <w:bCs/>
        </w:rPr>
      </w:pPr>
      <w:r w:rsidRPr="007B7747">
        <w:rPr>
          <w:rFonts w:ascii="Arial" w:hAnsi="Arial" w:cs="Arial"/>
          <w:b/>
          <w:bCs/>
        </w:rPr>
        <w:t>Psychological Impact</w:t>
      </w:r>
    </w:p>
    <w:p w14:paraId="3D9956D7" w14:textId="0D5E2234" w:rsidR="0013405D" w:rsidRPr="007B7747" w:rsidRDefault="0013405D" w:rsidP="0013405D">
      <w:pPr>
        <w:spacing w:line="480" w:lineRule="auto"/>
        <w:jc w:val="both"/>
        <w:rPr>
          <w:rFonts w:ascii="Arial" w:hAnsi="Arial" w:cs="Arial"/>
        </w:rPr>
      </w:pPr>
      <w:r w:rsidRPr="007B7747">
        <w:rPr>
          <w:rFonts w:ascii="Arial" w:hAnsi="Arial" w:cs="Arial"/>
        </w:rPr>
        <w:t>The study examined psychological impacts among the study population. The results revealed significant variations in psychological distribution. Participants most commonly reported anxiety (n=177, 43.2%), followed by combined anxiety plus depression (n=125, 30.5%), and sleep disorder with depression (n=108, 26.3%) (</w:t>
      </w:r>
      <w:r w:rsidRPr="007B7747">
        <w:rPr>
          <w:rFonts w:ascii="Arial" w:hAnsi="Arial" w:cs="Arial"/>
          <w:b/>
          <w:bCs/>
        </w:rPr>
        <w:t xml:space="preserve">Table </w:t>
      </w:r>
      <w:r w:rsidR="00EA6F67" w:rsidRPr="007B7747">
        <w:rPr>
          <w:rFonts w:ascii="Arial" w:hAnsi="Arial" w:cs="Arial"/>
          <w:b/>
          <w:bCs/>
        </w:rPr>
        <w:t>4</w:t>
      </w:r>
      <w:r w:rsidRPr="007B7747">
        <w:rPr>
          <w:rFonts w:ascii="Arial" w:hAnsi="Arial" w:cs="Arial"/>
        </w:rPr>
        <w:t xml:space="preserve">). By a Chi-square goodness-of-fit test analysis, there was a significant distribution (χ² = 24.63, df = 2, </w:t>
      </w:r>
      <w:r w:rsidR="00E42BE0" w:rsidRPr="007B7747">
        <w:rPr>
          <w:rFonts w:ascii="Arial" w:hAnsi="Arial" w:cs="Arial"/>
        </w:rPr>
        <w:br/>
      </w:r>
      <w:r w:rsidR="00D17260" w:rsidRPr="007B7747">
        <w:rPr>
          <w:rFonts w:ascii="Arial" w:hAnsi="Arial" w:cs="Arial"/>
          <w:i/>
          <w:iCs/>
        </w:rPr>
        <w:t xml:space="preserve">P </w:t>
      </w:r>
      <w:r w:rsidR="00D17260" w:rsidRPr="007B7747">
        <w:rPr>
          <w:rFonts w:ascii="Arial" w:hAnsi="Arial" w:cs="Arial"/>
        </w:rPr>
        <w:t>=</w:t>
      </w:r>
      <w:r w:rsidRPr="007B7747">
        <w:rPr>
          <w:rFonts w:ascii="Arial" w:hAnsi="Arial" w:cs="Arial"/>
        </w:rPr>
        <w:t xml:space="preserve"> 0.0001), with post-hoc analysis showing that anxiety only was significantly overrepresented (standardized residual = +3.90), while sleep disorder with depression was underrepresented (standardized residual =-3.58). </w:t>
      </w:r>
    </w:p>
    <w:p w14:paraId="16666318" w14:textId="77777777" w:rsidR="0075570A" w:rsidRPr="007B7747" w:rsidRDefault="0075570A" w:rsidP="0013405D">
      <w:pPr>
        <w:spacing w:line="480" w:lineRule="auto"/>
        <w:jc w:val="both"/>
        <w:rPr>
          <w:rFonts w:ascii="Arial" w:hAnsi="Arial" w:cs="Arial"/>
          <w:b/>
          <w:bCs/>
          <w:lang w:bidi="ar-IQ"/>
        </w:rPr>
      </w:pPr>
    </w:p>
    <w:p w14:paraId="453A8A74" w14:textId="77777777" w:rsidR="0052364C" w:rsidRPr="007B7747" w:rsidRDefault="0052364C" w:rsidP="0013405D">
      <w:pPr>
        <w:spacing w:line="480" w:lineRule="auto"/>
        <w:jc w:val="both"/>
        <w:rPr>
          <w:rFonts w:ascii="Arial" w:hAnsi="Arial" w:cs="Arial"/>
          <w:b/>
          <w:bCs/>
          <w:lang w:bidi="ar-IQ"/>
        </w:rPr>
      </w:pPr>
    </w:p>
    <w:p w14:paraId="673DC57B" w14:textId="7692E2D7" w:rsidR="0013405D" w:rsidRPr="007B7747" w:rsidRDefault="0013405D" w:rsidP="0013405D">
      <w:pPr>
        <w:spacing w:line="480" w:lineRule="auto"/>
        <w:jc w:val="both"/>
        <w:rPr>
          <w:rFonts w:ascii="Arial" w:hAnsi="Arial" w:cs="Arial"/>
          <w:b/>
          <w:bCs/>
        </w:rPr>
      </w:pPr>
      <w:r w:rsidRPr="007B7747">
        <w:rPr>
          <w:rFonts w:ascii="Arial" w:hAnsi="Arial" w:cs="Arial"/>
          <w:b/>
          <w:bCs/>
        </w:rPr>
        <w:lastRenderedPageBreak/>
        <w:t xml:space="preserve">Table </w:t>
      </w:r>
      <w:r w:rsidR="00EA6F67" w:rsidRPr="007B7747">
        <w:rPr>
          <w:rFonts w:ascii="Arial" w:hAnsi="Arial" w:cs="Arial"/>
          <w:b/>
          <w:bCs/>
        </w:rPr>
        <w:t>4</w:t>
      </w:r>
      <w:r w:rsidRPr="007B7747">
        <w:rPr>
          <w:rFonts w:ascii="Arial" w:hAnsi="Arial" w:cs="Arial"/>
          <w:b/>
          <w:bCs/>
        </w:rPr>
        <w:t xml:space="preserve">. </w:t>
      </w:r>
      <w:r w:rsidRPr="007B7747">
        <w:rPr>
          <w:rFonts w:ascii="Arial" w:hAnsi="Arial" w:cs="Arial"/>
        </w:rPr>
        <w:t>Distribution of psychological impacts in participants with an allergic reaction.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939"/>
        <w:gridCol w:w="1509"/>
        <w:gridCol w:w="1723"/>
        <w:gridCol w:w="1631"/>
      </w:tblGrid>
      <w:tr w:rsidR="007B7747" w:rsidRPr="007B7747" w14:paraId="45A3A069" w14:textId="77777777" w:rsidTr="002055F1">
        <w:tc>
          <w:tcPr>
            <w:tcW w:w="1471" w:type="pct"/>
            <w:tcBorders>
              <w:top w:val="single" w:sz="4" w:space="0" w:color="auto"/>
              <w:bottom w:val="single" w:sz="4" w:space="0" w:color="auto"/>
            </w:tcBorders>
            <w:vAlign w:val="center"/>
          </w:tcPr>
          <w:p w14:paraId="47CDE942" w14:textId="77777777" w:rsidR="0013405D" w:rsidRPr="007B7747" w:rsidRDefault="0013405D" w:rsidP="000E6AC2">
            <w:pPr>
              <w:spacing w:line="480" w:lineRule="auto"/>
              <w:jc w:val="center"/>
              <w:rPr>
                <w:rFonts w:ascii="Arial" w:hAnsi="Arial" w:cs="Arial"/>
                <w:b/>
                <w:bCs/>
              </w:rPr>
            </w:pPr>
            <w:r w:rsidRPr="007B7747">
              <w:rPr>
                <w:rFonts w:ascii="Arial" w:hAnsi="Arial" w:cs="Arial"/>
                <w:b/>
                <w:bCs/>
              </w:rPr>
              <w:t>Psychological Impact</w:t>
            </w:r>
          </w:p>
        </w:tc>
        <w:tc>
          <w:tcPr>
            <w:tcW w:w="1006" w:type="pct"/>
            <w:tcBorders>
              <w:top w:val="single" w:sz="4" w:space="0" w:color="auto"/>
              <w:bottom w:val="single" w:sz="4" w:space="0" w:color="auto"/>
            </w:tcBorders>
            <w:vAlign w:val="center"/>
          </w:tcPr>
          <w:p w14:paraId="417A6031" w14:textId="77777777" w:rsidR="0013405D" w:rsidRPr="007B7747" w:rsidRDefault="0013405D" w:rsidP="000E6AC2">
            <w:pPr>
              <w:spacing w:line="480" w:lineRule="auto"/>
              <w:jc w:val="center"/>
              <w:rPr>
                <w:rFonts w:ascii="Arial" w:hAnsi="Arial" w:cs="Arial"/>
                <w:b/>
                <w:bCs/>
              </w:rPr>
            </w:pPr>
            <w:r w:rsidRPr="007B7747">
              <w:rPr>
                <w:rFonts w:ascii="Arial" w:hAnsi="Arial" w:cs="Arial"/>
                <w:b/>
                <w:bCs/>
              </w:rPr>
              <w:t>Frequency (n)</w:t>
            </w:r>
          </w:p>
        </w:tc>
        <w:tc>
          <w:tcPr>
            <w:tcW w:w="783" w:type="pct"/>
            <w:tcBorders>
              <w:top w:val="single" w:sz="4" w:space="0" w:color="auto"/>
              <w:bottom w:val="single" w:sz="4" w:space="0" w:color="auto"/>
            </w:tcBorders>
            <w:vAlign w:val="center"/>
          </w:tcPr>
          <w:p w14:paraId="0EC92221" w14:textId="77777777" w:rsidR="0013405D" w:rsidRPr="007B7747" w:rsidRDefault="0013405D" w:rsidP="000E6AC2">
            <w:pPr>
              <w:spacing w:line="480" w:lineRule="auto"/>
              <w:jc w:val="center"/>
              <w:rPr>
                <w:rFonts w:ascii="Arial" w:hAnsi="Arial" w:cs="Arial"/>
                <w:b/>
                <w:bCs/>
              </w:rPr>
            </w:pPr>
            <w:r w:rsidRPr="007B7747">
              <w:rPr>
                <w:rFonts w:ascii="Arial" w:hAnsi="Arial" w:cs="Arial"/>
                <w:b/>
                <w:bCs/>
              </w:rPr>
              <w:t>Percentage (%)</w:t>
            </w:r>
          </w:p>
        </w:tc>
        <w:tc>
          <w:tcPr>
            <w:tcW w:w="894" w:type="pct"/>
            <w:tcBorders>
              <w:top w:val="single" w:sz="4" w:space="0" w:color="auto"/>
              <w:bottom w:val="single" w:sz="4" w:space="0" w:color="auto"/>
            </w:tcBorders>
            <w:vAlign w:val="center"/>
          </w:tcPr>
          <w:p w14:paraId="552EF5CC" w14:textId="77777777" w:rsidR="0013405D" w:rsidRPr="007B7747" w:rsidRDefault="0013405D" w:rsidP="000E6AC2">
            <w:pPr>
              <w:spacing w:line="480" w:lineRule="auto"/>
              <w:jc w:val="center"/>
              <w:rPr>
                <w:rFonts w:ascii="Arial" w:hAnsi="Arial" w:cs="Arial"/>
                <w:b/>
                <w:bCs/>
              </w:rPr>
            </w:pPr>
            <w:r w:rsidRPr="007B7747">
              <w:rPr>
                <w:rFonts w:ascii="Arial" w:hAnsi="Arial" w:cs="Arial"/>
                <w:b/>
                <w:bCs/>
              </w:rPr>
              <w:t>Standardized Residual</w:t>
            </w:r>
          </w:p>
        </w:tc>
        <w:tc>
          <w:tcPr>
            <w:tcW w:w="846" w:type="pct"/>
            <w:tcBorders>
              <w:top w:val="single" w:sz="4" w:space="0" w:color="auto"/>
              <w:bottom w:val="single" w:sz="4" w:space="0" w:color="auto"/>
            </w:tcBorders>
            <w:vAlign w:val="center"/>
          </w:tcPr>
          <w:p w14:paraId="05987A97" w14:textId="77777777" w:rsidR="0013405D" w:rsidRPr="007B7747" w:rsidRDefault="0013405D" w:rsidP="000E6AC2">
            <w:pPr>
              <w:spacing w:line="480" w:lineRule="auto"/>
              <w:jc w:val="center"/>
              <w:rPr>
                <w:rFonts w:ascii="Arial" w:hAnsi="Arial" w:cs="Arial"/>
                <w:b/>
                <w:bCs/>
              </w:rPr>
            </w:pPr>
            <w:r w:rsidRPr="007B7747">
              <w:rPr>
                <w:rFonts w:ascii="Arial" w:hAnsi="Arial" w:cs="Arial"/>
                <w:b/>
                <w:bCs/>
              </w:rPr>
              <w:t>Significance</w:t>
            </w:r>
          </w:p>
        </w:tc>
      </w:tr>
      <w:tr w:rsidR="007B7747" w:rsidRPr="007B7747" w14:paraId="1AB50A59" w14:textId="77777777" w:rsidTr="002055F1">
        <w:tc>
          <w:tcPr>
            <w:tcW w:w="1471" w:type="pct"/>
            <w:tcBorders>
              <w:top w:val="single" w:sz="4" w:space="0" w:color="auto"/>
            </w:tcBorders>
            <w:vAlign w:val="center"/>
          </w:tcPr>
          <w:p w14:paraId="314DC6C5" w14:textId="77777777" w:rsidR="0013405D" w:rsidRPr="007B7747" w:rsidRDefault="0013405D" w:rsidP="000E6AC2">
            <w:pPr>
              <w:spacing w:line="480" w:lineRule="auto"/>
              <w:jc w:val="center"/>
              <w:rPr>
                <w:rFonts w:ascii="Arial" w:hAnsi="Arial" w:cs="Arial"/>
              </w:rPr>
            </w:pPr>
            <w:r w:rsidRPr="007B7747">
              <w:rPr>
                <w:rFonts w:ascii="Arial" w:hAnsi="Arial" w:cs="Arial"/>
              </w:rPr>
              <w:t>Anxious Only</w:t>
            </w:r>
          </w:p>
        </w:tc>
        <w:tc>
          <w:tcPr>
            <w:tcW w:w="1006" w:type="pct"/>
            <w:tcBorders>
              <w:top w:val="single" w:sz="4" w:space="0" w:color="auto"/>
            </w:tcBorders>
            <w:vAlign w:val="center"/>
          </w:tcPr>
          <w:p w14:paraId="0FCF3941" w14:textId="77777777" w:rsidR="0013405D" w:rsidRPr="007B7747" w:rsidRDefault="0013405D" w:rsidP="000E6AC2">
            <w:pPr>
              <w:spacing w:line="480" w:lineRule="auto"/>
              <w:jc w:val="center"/>
              <w:rPr>
                <w:rFonts w:ascii="Arial" w:hAnsi="Arial" w:cs="Arial"/>
              </w:rPr>
            </w:pPr>
            <w:r w:rsidRPr="007B7747">
              <w:rPr>
                <w:rFonts w:ascii="Arial" w:hAnsi="Arial" w:cs="Arial"/>
              </w:rPr>
              <w:t>177</w:t>
            </w:r>
          </w:p>
        </w:tc>
        <w:tc>
          <w:tcPr>
            <w:tcW w:w="783" w:type="pct"/>
            <w:tcBorders>
              <w:top w:val="single" w:sz="4" w:space="0" w:color="auto"/>
            </w:tcBorders>
            <w:vAlign w:val="center"/>
          </w:tcPr>
          <w:p w14:paraId="1BD4233F" w14:textId="77777777" w:rsidR="0013405D" w:rsidRPr="007B7747" w:rsidRDefault="0013405D" w:rsidP="000E6AC2">
            <w:pPr>
              <w:spacing w:line="480" w:lineRule="auto"/>
              <w:jc w:val="center"/>
              <w:rPr>
                <w:rFonts w:ascii="Arial" w:hAnsi="Arial" w:cs="Arial"/>
              </w:rPr>
            </w:pPr>
            <w:r w:rsidRPr="007B7747">
              <w:rPr>
                <w:rFonts w:ascii="Arial" w:hAnsi="Arial" w:cs="Arial"/>
              </w:rPr>
              <w:t>43.2</w:t>
            </w:r>
          </w:p>
        </w:tc>
        <w:tc>
          <w:tcPr>
            <w:tcW w:w="894" w:type="pct"/>
            <w:tcBorders>
              <w:top w:val="single" w:sz="4" w:space="0" w:color="auto"/>
            </w:tcBorders>
            <w:vAlign w:val="center"/>
          </w:tcPr>
          <w:p w14:paraId="3458D6F1" w14:textId="77777777" w:rsidR="0013405D" w:rsidRPr="007B7747" w:rsidRDefault="0013405D" w:rsidP="000E6AC2">
            <w:pPr>
              <w:spacing w:line="480" w:lineRule="auto"/>
              <w:jc w:val="center"/>
              <w:rPr>
                <w:rFonts w:ascii="Arial" w:hAnsi="Arial" w:cs="Arial"/>
              </w:rPr>
            </w:pPr>
            <w:r w:rsidRPr="007B7747">
              <w:rPr>
                <w:rFonts w:ascii="Arial" w:hAnsi="Arial" w:cs="Arial"/>
              </w:rPr>
              <w:t>3.9</w:t>
            </w:r>
          </w:p>
        </w:tc>
        <w:tc>
          <w:tcPr>
            <w:tcW w:w="846" w:type="pct"/>
            <w:tcBorders>
              <w:top w:val="single" w:sz="4" w:space="0" w:color="auto"/>
            </w:tcBorders>
            <w:vAlign w:val="center"/>
          </w:tcPr>
          <w:p w14:paraId="4F3AB816" w14:textId="7AE6CE33" w:rsidR="0013405D" w:rsidRPr="007B7747" w:rsidRDefault="002F5545" w:rsidP="000E6AC2">
            <w:pPr>
              <w:spacing w:line="480" w:lineRule="auto"/>
              <w:jc w:val="center"/>
              <w:rPr>
                <w:rFonts w:ascii="Arial" w:hAnsi="Arial" w:cs="Arial"/>
              </w:rPr>
            </w:pPr>
            <w:r w:rsidRPr="007B7747">
              <w:rPr>
                <w:rFonts w:ascii="Arial" w:hAnsi="Arial" w:cs="Arial"/>
                <w:i/>
                <w:iCs/>
              </w:rPr>
              <w:t>P</w:t>
            </w:r>
            <w:r w:rsidRPr="007B7747">
              <w:rPr>
                <w:rFonts w:ascii="Arial" w:hAnsi="Arial" w:cs="Arial"/>
              </w:rPr>
              <w:t xml:space="preserve"> = </w:t>
            </w:r>
            <w:r w:rsidR="0013405D" w:rsidRPr="007B7747">
              <w:rPr>
                <w:rFonts w:ascii="Arial" w:hAnsi="Arial" w:cs="Arial"/>
              </w:rPr>
              <w:t>0.0001</w:t>
            </w:r>
          </w:p>
        </w:tc>
      </w:tr>
      <w:tr w:rsidR="007B7747" w:rsidRPr="007B7747" w14:paraId="3BEF3BD7" w14:textId="77777777" w:rsidTr="002055F1">
        <w:tc>
          <w:tcPr>
            <w:tcW w:w="1471" w:type="pct"/>
            <w:vAlign w:val="center"/>
          </w:tcPr>
          <w:p w14:paraId="2E5AB074" w14:textId="77777777" w:rsidR="0013405D" w:rsidRPr="007B7747" w:rsidRDefault="0013405D" w:rsidP="000E6AC2">
            <w:pPr>
              <w:spacing w:line="480" w:lineRule="auto"/>
              <w:jc w:val="center"/>
              <w:rPr>
                <w:rFonts w:ascii="Arial" w:hAnsi="Arial" w:cs="Arial"/>
              </w:rPr>
            </w:pPr>
            <w:r w:rsidRPr="007B7747">
              <w:rPr>
                <w:rFonts w:ascii="Arial" w:hAnsi="Arial" w:cs="Arial"/>
              </w:rPr>
              <w:t>Anxious and Depressed</w:t>
            </w:r>
          </w:p>
        </w:tc>
        <w:tc>
          <w:tcPr>
            <w:tcW w:w="1006" w:type="pct"/>
            <w:vAlign w:val="center"/>
          </w:tcPr>
          <w:p w14:paraId="68302DDA" w14:textId="77777777" w:rsidR="0013405D" w:rsidRPr="007B7747" w:rsidRDefault="0013405D" w:rsidP="000E6AC2">
            <w:pPr>
              <w:spacing w:line="480" w:lineRule="auto"/>
              <w:jc w:val="center"/>
              <w:rPr>
                <w:rFonts w:ascii="Arial" w:hAnsi="Arial" w:cs="Arial"/>
              </w:rPr>
            </w:pPr>
            <w:r w:rsidRPr="007B7747">
              <w:rPr>
                <w:rFonts w:ascii="Arial" w:hAnsi="Arial" w:cs="Arial"/>
              </w:rPr>
              <w:t>125</w:t>
            </w:r>
          </w:p>
        </w:tc>
        <w:tc>
          <w:tcPr>
            <w:tcW w:w="783" w:type="pct"/>
            <w:vAlign w:val="center"/>
          </w:tcPr>
          <w:p w14:paraId="1B5BEAA0" w14:textId="77777777" w:rsidR="0013405D" w:rsidRPr="007B7747" w:rsidRDefault="0013405D" w:rsidP="000E6AC2">
            <w:pPr>
              <w:spacing w:line="480" w:lineRule="auto"/>
              <w:jc w:val="center"/>
              <w:rPr>
                <w:rFonts w:ascii="Arial" w:hAnsi="Arial" w:cs="Arial"/>
              </w:rPr>
            </w:pPr>
            <w:r w:rsidRPr="007B7747">
              <w:rPr>
                <w:rFonts w:ascii="Arial" w:hAnsi="Arial" w:cs="Arial"/>
              </w:rPr>
              <w:t>30.5</w:t>
            </w:r>
          </w:p>
        </w:tc>
        <w:tc>
          <w:tcPr>
            <w:tcW w:w="894" w:type="pct"/>
            <w:vAlign w:val="center"/>
          </w:tcPr>
          <w:p w14:paraId="3044BB37" w14:textId="77777777" w:rsidR="0013405D" w:rsidRPr="007B7747" w:rsidRDefault="0013405D" w:rsidP="000E6AC2">
            <w:pPr>
              <w:spacing w:line="480" w:lineRule="auto"/>
              <w:jc w:val="center"/>
              <w:rPr>
                <w:rFonts w:ascii="Arial" w:hAnsi="Arial" w:cs="Arial"/>
              </w:rPr>
            </w:pPr>
            <w:r w:rsidRPr="007B7747">
              <w:rPr>
                <w:rFonts w:ascii="Arial" w:hAnsi="Arial" w:cs="Arial"/>
              </w:rPr>
              <w:t>-0.32</w:t>
            </w:r>
          </w:p>
        </w:tc>
        <w:tc>
          <w:tcPr>
            <w:tcW w:w="846" w:type="pct"/>
            <w:vAlign w:val="center"/>
          </w:tcPr>
          <w:p w14:paraId="57CF0492" w14:textId="45167901" w:rsidR="0013405D" w:rsidRPr="007B7747" w:rsidRDefault="002F5545" w:rsidP="000E6AC2">
            <w:pPr>
              <w:spacing w:line="480" w:lineRule="auto"/>
              <w:jc w:val="center"/>
              <w:rPr>
                <w:rFonts w:ascii="Arial" w:hAnsi="Arial" w:cs="Arial"/>
              </w:rPr>
            </w:pPr>
            <w:r w:rsidRPr="007B7747">
              <w:rPr>
                <w:rFonts w:ascii="Arial" w:hAnsi="Arial" w:cs="Arial"/>
                <w:i/>
                <w:iCs/>
              </w:rPr>
              <w:t xml:space="preserve">P </w:t>
            </w:r>
            <w:r w:rsidR="0013405D" w:rsidRPr="007B7747">
              <w:rPr>
                <w:rFonts w:ascii="Arial" w:hAnsi="Arial" w:cs="Arial"/>
              </w:rPr>
              <w:t>=</w:t>
            </w:r>
            <w:r w:rsidRPr="007B7747">
              <w:rPr>
                <w:rFonts w:ascii="Arial" w:hAnsi="Arial" w:cs="Arial"/>
              </w:rPr>
              <w:t xml:space="preserve"> </w:t>
            </w:r>
            <w:r w:rsidR="0013405D" w:rsidRPr="007B7747">
              <w:rPr>
                <w:rFonts w:ascii="Arial" w:hAnsi="Arial" w:cs="Arial"/>
              </w:rPr>
              <w:t>0.749</w:t>
            </w:r>
          </w:p>
        </w:tc>
      </w:tr>
      <w:tr w:rsidR="007B7747" w:rsidRPr="007B7747" w14:paraId="303046F1" w14:textId="77777777" w:rsidTr="002055F1">
        <w:tc>
          <w:tcPr>
            <w:tcW w:w="1471" w:type="pct"/>
            <w:tcBorders>
              <w:bottom w:val="single" w:sz="4" w:space="0" w:color="auto"/>
            </w:tcBorders>
            <w:vAlign w:val="center"/>
          </w:tcPr>
          <w:p w14:paraId="63D78909" w14:textId="238ED31C" w:rsidR="0013405D" w:rsidRPr="007B7747" w:rsidRDefault="0013405D" w:rsidP="000E6AC2">
            <w:pPr>
              <w:spacing w:line="480" w:lineRule="auto"/>
              <w:jc w:val="center"/>
              <w:rPr>
                <w:rFonts w:ascii="Arial" w:hAnsi="Arial" w:cs="Arial"/>
              </w:rPr>
            </w:pPr>
            <w:r w:rsidRPr="007B7747">
              <w:rPr>
                <w:rFonts w:ascii="Arial" w:hAnsi="Arial" w:cs="Arial"/>
              </w:rPr>
              <w:t xml:space="preserve">Cannot </w:t>
            </w:r>
            <w:r w:rsidR="00B76061" w:rsidRPr="007B7747">
              <w:rPr>
                <w:rFonts w:ascii="Arial" w:hAnsi="Arial" w:cs="Arial"/>
              </w:rPr>
              <w:t>sleep</w:t>
            </w:r>
            <w:r w:rsidRPr="007B7747">
              <w:rPr>
                <w:rFonts w:ascii="Arial" w:hAnsi="Arial" w:cs="Arial"/>
              </w:rPr>
              <w:t xml:space="preserve"> and Depressed</w:t>
            </w:r>
          </w:p>
        </w:tc>
        <w:tc>
          <w:tcPr>
            <w:tcW w:w="1006" w:type="pct"/>
            <w:tcBorders>
              <w:bottom w:val="single" w:sz="4" w:space="0" w:color="auto"/>
            </w:tcBorders>
            <w:vAlign w:val="center"/>
          </w:tcPr>
          <w:p w14:paraId="5EB1079E" w14:textId="77777777" w:rsidR="0013405D" w:rsidRPr="007B7747" w:rsidRDefault="0013405D" w:rsidP="000E6AC2">
            <w:pPr>
              <w:spacing w:line="480" w:lineRule="auto"/>
              <w:jc w:val="center"/>
              <w:rPr>
                <w:rFonts w:ascii="Arial" w:hAnsi="Arial" w:cs="Arial"/>
              </w:rPr>
            </w:pPr>
            <w:r w:rsidRPr="007B7747">
              <w:rPr>
                <w:rFonts w:ascii="Arial" w:hAnsi="Arial" w:cs="Arial"/>
              </w:rPr>
              <w:t>108</w:t>
            </w:r>
          </w:p>
        </w:tc>
        <w:tc>
          <w:tcPr>
            <w:tcW w:w="783" w:type="pct"/>
            <w:tcBorders>
              <w:bottom w:val="single" w:sz="4" w:space="0" w:color="auto"/>
            </w:tcBorders>
            <w:vAlign w:val="center"/>
          </w:tcPr>
          <w:p w14:paraId="487E2113" w14:textId="77777777" w:rsidR="0013405D" w:rsidRPr="007B7747" w:rsidRDefault="0013405D" w:rsidP="000E6AC2">
            <w:pPr>
              <w:spacing w:line="480" w:lineRule="auto"/>
              <w:jc w:val="center"/>
              <w:rPr>
                <w:rFonts w:ascii="Arial" w:hAnsi="Arial" w:cs="Arial"/>
              </w:rPr>
            </w:pPr>
            <w:r w:rsidRPr="007B7747">
              <w:rPr>
                <w:rFonts w:ascii="Arial" w:hAnsi="Arial" w:cs="Arial"/>
              </w:rPr>
              <w:t>26.3</w:t>
            </w:r>
          </w:p>
        </w:tc>
        <w:tc>
          <w:tcPr>
            <w:tcW w:w="894" w:type="pct"/>
            <w:tcBorders>
              <w:bottom w:val="single" w:sz="4" w:space="0" w:color="auto"/>
            </w:tcBorders>
            <w:vAlign w:val="center"/>
          </w:tcPr>
          <w:p w14:paraId="29C7A63A" w14:textId="77777777" w:rsidR="0013405D" w:rsidRPr="007B7747" w:rsidRDefault="0013405D" w:rsidP="000E6AC2">
            <w:pPr>
              <w:spacing w:line="480" w:lineRule="auto"/>
              <w:jc w:val="center"/>
              <w:rPr>
                <w:rFonts w:ascii="Arial" w:hAnsi="Arial" w:cs="Arial"/>
              </w:rPr>
            </w:pPr>
            <w:r w:rsidRPr="007B7747">
              <w:rPr>
                <w:rFonts w:ascii="Arial" w:hAnsi="Arial" w:cs="Arial"/>
              </w:rPr>
              <w:t>-3.58</w:t>
            </w:r>
          </w:p>
        </w:tc>
        <w:tc>
          <w:tcPr>
            <w:tcW w:w="846" w:type="pct"/>
            <w:tcBorders>
              <w:bottom w:val="single" w:sz="4" w:space="0" w:color="auto"/>
            </w:tcBorders>
            <w:vAlign w:val="center"/>
          </w:tcPr>
          <w:p w14:paraId="6B40CE1E" w14:textId="51EE4003" w:rsidR="0013405D" w:rsidRPr="007B7747" w:rsidRDefault="002F5545" w:rsidP="000E6AC2">
            <w:pPr>
              <w:spacing w:line="480" w:lineRule="auto"/>
              <w:jc w:val="center"/>
              <w:rPr>
                <w:rFonts w:ascii="Arial" w:hAnsi="Arial" w:cs="Arial"/>
              </w:rPr>
            </w:pPr>
            <w:r w:rsidRPr="007B7747">
              <w:rPr>
                <w:rFonts w:ascii="Arial" w:hAnsi="Arial" w:cs="Arial"/>
                <w:i/>
                <w:iCs/>
              </w:rPr>
              <w:t xml:space="preserve">P </w:t>
            </w:r>
            <w:r w:rsidRPr="007B7747">
              <w:rPr>
                <w:rFonts w:ascii="Arial" w:hAnsi="Arial" w:cs="Arial"/>
              </w:rPr>
              <w:t xml:space="preserve">= </w:t>
            </w:r>
            <w:r w:rsidR="0013405D" w:rsidRPr="007B7747">
              <w:rPr>
                <w:rFonts w:ascii="Arial" w:hAnsi="Arial" w:cs="Arial"/>
              </w:rPr>
              <w:t>0.0001</w:t>
            </w:r>
          </w:p>
        </w:tc>
      </w:tr>
      <w:tr w:rsidR="0013405D" w:rsidRPr="007B7747" w14:paraId="2429E45B" w14:textId="77777777" w:rsidTr="002055F1">
        <w:tc>
          <w:tcPr>
            <w:tcW w:w="1471" w:type="pct"/>
            <w:tcBorders>
              <w:top w:val="single" w:sz="4" w:space="0" w:color="auto"/>
              <w:bottom w:val="single" w:sz="4" w:space="0" w:color="auto"/>
            </w:tcBorders>
            <w:vAlign w:val="center"/>
          </w:tcPr>
          <w:p w14:paraId="471E508F" w14:textId="77777777" w:rsidR="0013405D" w:rsidRPr="007B7747" w:rsidRDefault="0013405D" w:rsidP="000E6AC2">
            <w:pPr>
              <w:spacing w:line="480" w:lineRule="auto"/>
              <w:jc w:val="center"/>
              <w:rPr>
                <w:rFonts w:ascii="Arial" w:hAnsi="Arial" w:cs="Arial"/>
                <w:b/>
                <w:bCs/>
              </w:rPr>
            </w:pPr>
            <w:r w:rsidRPr="007B7747">
              <w:rPr>
                <w:rFonts w:ascii="Arial" w:hAnsi="Arial" w:cs="Arial"/>
                <w:b/>
                <w:bCs/>
              </w:rPr>
              <w:t>Total</w:t>
            </w:r>
          </w:p>
        </w:tc>
        <w:tc>
          <w:tcPr>
            <w:tcW w:w="1006" w:type="pct"/>
            <w:tcBorders>
              <w:top w:val="single" w:sz="4" w:space="0" w:color="auto"/>
              <w:bottom w:val="single" w:sz="4" w:space="0" w:color="auto"/>
            </w:tcBorders>
            <w:vAlign w:val="center"/>
          </w:tcPr>
          <w:p w14:paraId="710562F3" w14:textId="77777777" w:rsidR="0013405D" w:rsidRPr="007B7747" w:rsidRDefault="0013405D" w:rsidP="000E6AC2">
            <w:pPr>
              <w:spacing w:line="480" w:lineRule="auto"/>
              <w:jc w:val="center"/>
              <w:rPr>
                <w:rFonts w:ascii="Arial" w:hAnsi="Arial" w:cs="Arial"/>
                <w:b/>
                <w:bCs/>
              </w:rPr>
            </w:pPr>
            <w:r w:rsidRPr="007B7747">
              <w:rPr>
                <w:rFonts w:ascii="Arial" w:hAnsi="Arial" w:cs="Arial"/>
                <w:b/>
                <w:bCs/>
              </w:rPr>
              <w:t>410</w:t>
            </w:r>
          </w:p>
        </w:tc>
        <w:tc>
          <w:tcPr>
            <w:tcW w:w="783" w:type="pct"/>
            <w:tcBorders>
              <w:top w:val="single" w:sz="4" w:space="0" w:color="auto"/>
              <w:bottom w:val="single" w:sz="4" w:space="0" w:color="auto"/>
            </w:tcBorders>
            <w:vAlign w:val="center"/>
          </w:tcPr>
          <w:p w14:paraId="76B1FEC8" w14:textId="77777777" w:rsidR="0013405D" w:rsidRPr="007B7747" w:rsidRDefault="0013405D" w:rsidP="000E6AC2">
            <w:pPr>
              <w:spacing w:line="480" w:lineRule="auto"/>
              <w:jc w:val="center"/>
              <w:rPr>
                <w:rFonts w:ascii="Arial" w:hAnsi="Arial" w:cs="Arial"/>
                <w:b/>
                <w:bCs/>
              </w:rPr>
            </w:pPr>
            <w:r w:rsidRPr="007B7747">
              <w:rPr>
                <w:rFonts w:ascii="Arial" w:hAnsi="Arial" w:cs="Arial"/>
                <w:b/>
                <w:bCs/>
              </w:rPr>
              <w:t>100</w:t>
            </w:r>
          </w:p>
        </w:tc>
        <w:tc>
          <w:tcPr>
            <w:tcW w:w="894" w:type="pct"/>
            <w:tcBorders>
              <w:top w:val="single" w:sz="4" w:space="0" w:color="auto"/>
              <w:bottom w:val="single" w:sz="4" w:space="0" w:color="auto"/>
            </w:tcBorders>
            <w:vAlign w:val="center"/>
          </w:tcPr>
          <w:p w14:paraId="25883E43" w14:textId="77777777" w:rsidR="0013405D" w:rsidRPr="007B7747" w:rsidRDefault="0013405D" w:rsidP="000E6AC2">
            <w:pPr>
              <w:spacing w:line="480" w:lineRule="auto"/>
              <w:jc w:val="center"/>
              <w:rPr>
                <w:rFonts w:ascii="Arial" w:hAnsi="Arial" w:cs="Arial"/>
              </w:rPr>
            </w:pPr>
            <w:r w:rsidRPr="007B7747">
              <w:rPr>
                <w:rFonts w:ascii="Arial" w:hAnsi="Arial" w:cs="Arial"/>
              </w:rPr>
              <w:t>-</w:t>
            </w:r>
          </w:p>
        </w:tc>
        <w:tc>
          <w:tcPr>
            <w:tcW w:w="846" w:type="pct"/>
            <w:tcBorders>
              <w:top w:val="single" w:sz="4" w:space="0" w:color="auto"/>
              <w:bottom w:val="single" w:sz="4" w:space="0" w:color="auto"/>
            </w:tcBorders>
            <w:vAlign w:val="center"/>
          </w:tcPr>
          <w:p w14:paraId="76C950B3" w14:textId="77777777" w:rsidR="0013405D" w:rsidRPr="007B7747" w:rsidRDefault="0013405D" w:rsidP="000E6AC2">
            <w:pPr>
              <w:spacing w:line="480" w:lineRule="auto"/>
              <w:jc w:val="center"/>
              <w:rPr>
                <w:rFonts w:ascii="Arial" w:hAnsi="Arial" w:cs="Arial"/>
              </w:rPr>
            </w:pPr>
            <w:r w:rsidRPr="007B7747">
              <w:rPr>
                <w:rFonts w:ascii="Arial" w:hAnsi="Arial" w:cs="Arial"/>
              </w:rPr>
              <w:t>-</w:t>
            </w:r>
          </w:p>
        </w:tc>
      </w:tr>
    </w:tbl>
    <w:p w14:paraId="4D9FB98F" w14:textId="77777777" w:rsidR="0013405D" w:rsidRPr="007B7747" w:rsidRDefault="0013405D" w:rsidP="0013405D">
      <w:pPr>
        <w:spacing w:line="480" w:lineRule="auto"/>
        <w:jc w:val="both"/>
        <w:rPr>
          <w:rFonts w:ascii="Arial" w:hAnsi="Arial" w:cs="Arial"/>
          <w:b/>
          <w:bCs/>
          <w:lang w:bidi="ar-IQ"/>
        </w:rPr>
      </w:pPr>
    </w:p>
    <w:p w14:paraId="039E76CC" w14:textId="232C14F8" w:rsidR="0013405D" w:rsidRPr="007B7747" w:rsidRDefault="00613337" w:rsidP="00F07716">
      <w:pPr>
        <w:pStyle w:val="ListParagraph"/>
        <w:numPr>
          <w:ilvl w:val="0"/>
          <w:numId w:val="1"/>
        </w:numPr>
        <w:spacing w:line="480" w:lineRule="auto"/>
        <w:jc w:val="center"/>
        <w:rPr>
          <w:rFonts w:ascii="Arial" w:hAnsi="Arial" w:cs="Arial"/>
          <w:b/>
          <w:bCs/>
          <w:lang w:bidi="ar-IQ"/>
        </w:rPr>
      </w:pPr>
      <w:r w:rsidRPr="007B7747">
        <w:rPr>
          <w:rFonts w:ascii="Arial" w:hAnsi="Arial" w:cs="Arial"/>
          <w:b/>
          <w:bCs/>
          <w:lang w:bidi="ar-IQ"/>
        </w:rPr>
        <w:t>DISCUSSION</w:t>
      </w:r>
    </w:p>
    <w:p w14:paraId="71402D66" w14:textId="6F598FB8" w:rsidR="0013405D" w:rsidRPr="007B7747" w:rsidRDefault="0013405D" w:rsidP="00400BC1">
      <w:pPr>
        <w:spacing w:line="480" w:lineRule="auto"/>
        <w:jc w:val="both"/>
        <w:rPr>
          <w:rFonts w:ascii="Arial" w:hAnsi="Arial" w:cs="Arial"/>
          <w:b/>
          <w:bCs/>
        </w:rPr>
      </w:pPr>
      <w:r w:rsidRPr="007B7747">
        <w:rPr>
          <w:rFonts w:ascii="Arial" w:hAnsi="Arial" w:cs="Arial"/>
        </w:rPr>
        <w:t xml:space="preserve">The primary function of the immune system is to defend the body against harmful antigens related to microbial pathogens. However, the lack of evaluation of antigen harmfulness and immune tolerance leads to an overactive immune response, known as a hypersensitivity reaction, which is a case of immunopathology. In this study, immediate hypersensitivity reactions outnumbered delayed reactions, accounting for 52.9% of cases. This finding indicated that more than half of the population studied suffered from Type I hypersensitivity, which is mediated by IgE antibodies specific to environmental, dietary, and medication sources. A rapid allergic reaction occurs within minutes to an hour after exposure to the allergen. The production of a high level of IgE increases binding to type-I high-affinity </w:t>
      </w:r>
      <w:proofErr w:type="spellStart"/>
      <w:r w:rsidRPr="007B7747">
        <w:rPr>
          <w:rFonts w:ascii="Arial" w:hAnsi="Arial" w:cs="Arial"/>
        </w:rPr>
        <w:t>IgE</w:t>
      </w:r>
      <w:proofErr w:type="spellEnd"/>
      <w:r w:rsidRPr="007B7747">
        <w:rPr>
          <w:rFonts w:ascii="Arial" w:hAnsi="Arial" w:cs="Arial"/>
        </w:rPr>
        <w:t xml:space="preserve"> Fc-receptors (</w:t>
      </w:r>
      <w:proofErr w:type="spellStart"/>
      <w:r w:rsidRPr="007B7747">
        <w:rPr>
          <w:rFonts w:ascii="Arial" w:hAnsi="Arial" w:cs="Arial"/>
        </w:rPr>
        <w:t>FcεRI</w:t>
      </w:r>
      <w:proofErr w:type="spellEnd"/>
      <w:r w:rsidRPr="007B7747">
        <w:rPr>
          <w:rFonts w:ascii="Arial" w:hAnsi="Arial" w:cs="Arial"/>
        </w:rPr>
        <w:t xml:space="preserve">) on the surfaces of mast cells and basophils </w:t>
      </w:r>
      <w:r w:rsidRPr="007B7747">
        <w:rPr>
          <w:rFonts w:ascii="Arial" w:hAnsi="Arial" w:cs="Arial"/>
        </w:rPr>
        <w:fldChar w:fldCharType="begin"/>
      </w:r>
      <w:r w:rsidR="00416159" w:rsidRPr="007B7747">
        <w:rPr>
          <w:rFonts w:ascii="Arial" w:hAnsi="Arial" w:cs="Arial"/>
        </w:rPr>
        <w:instrText xml:space="preserve"> ADDIN ZOTERO_ITEM CSL_CITATION {"citationID":"a4hkecmd7p","properties":{"formattedCitation":"(Anvari et al., 2019)","plainCitation":"(Anvari et al., 2019)","noteIndex":0},"citationItems":[{"id":8153,"uris":["http://zotero.org/users/2543086/items/JTPUI99Q"],"itemData":{"id":8153,"type":"article-journal","abstract":"Food allergies are defined as adverse immune responses to food proteins that result in typical clinical symptoms involving the dermatologic, respiratory, gastrointestinal, cardiovascular, and/or neurologic systems. IgE-mediated food-allergic disease differs from non-IgE-mediated disease because the pathophysiology results from activation of the immune system, causing a T helper 2 response which results in IgE binding to Fcε receptors on effector cells like mast cells and basophils. The activation of these cells causes release of histamine and other preformed mediators, and rapid symptom onset, in contrast with non-IgE-mediated food allergy which is more delayed in onset. The diagnosis of IgE-mediated food allergy requires a history of classic clinical symptoms and evidence of food-specific IgE by either skin-prick or serum-specific IgE testing. Symptoms of IgE-mediated food allergies range from mild to severe. The severity of symptoms is not predicted by the level of specific IgE or skin test wheal size, but the likelihood of symptom onset is directly related. Diagnosis is excluded when a patient can ingest the suspected food without clinical symptoms and may require an in-office oral food challenge if testing for food-specific IgE by serum or skin testing is negative or low. Anaphylaxis is the most severe form of the clinical manifestation of IgE-mediated food allergy, and injectable epinephrine is the first-line treatment. Management of food allergies requires strict avoidance measures, counseling of the family about constant vigilance, and prompt treatment of allergic reactions with emergency medications. Guidelines have changed recently to include early introduction of peanuts at 4–6 months of life. Early introduction is recommended to prevent the development of peanut allergy. Future treatments for IgE-mediated food allergy evaluated in clinical trials include epicutaneous, sublingual, and oral immunotherapy.","container-title":"Clinical Reviews in Allergy &amp; Immunology","DOI":"10.1007/s12016-018-8710-3","ISSN":"1559-0267","issue":"2","journalAbbreviation":"Clinic Rev Allerg Immunol","language":"en","page":"244-260","source":"Springer Link","title":"IgE-Mediated Food Allergy","volume":"57","author":[{"family":"Anvari","given":"Sara"},{"family":"Miller","given":"Jennifer"},{"family":"Yeh","given":"Chih-Yin"},{"family":"Davis","given":"Carla M."}],"issued":{"date-parts":[["2019",10,1]]}}}],"schema":"https://github.com/citation-style-language/schema/raw/master/csl-citation.json"} </w:instrText>
      </w:r>
      <w:r w:rsidRPr="007B7747">
        <w:rPr>
          <w:rFonts w:ascii="Arial" w:hAnsi="Arial" w:cs="Arial"/>
        </w:rPr>
        <w:fldChar w:fldCharType="separate"/>
      </w:r>
      <w:r w:rsidR="00416159" w:rsidRPr="007B7747">
        <w:rPr>
          <w:rFonts w:ascii="Arial" w:hAnsi="Arial" w:cs="Arial"/>
        </w:rPr>
        <w:t>(Anvari et al., 2019)</w:t>
      </w:r>
      <w:r w:rsidRPr="007B7747">
        <w:rPr>
          <w:rFonts w:ascii="Arial" w:hAnsi="Arial" w:cs="Arial"/>
        </w:rPr>
        <w:fldChar w:fldCharType="end"/>
      </w:r>
      <w:r w:rsidRPr="007B7747">
        <w:rPr>
          <w:rFonts w:ascii="Arial" w:hAnsi="Arial" w:cs="Arial"/>
        </w:rPr>
        <w:t xml:space="preserve">. A crosslinking of </w:t>
      </w:r>
      <w:proofErr w:type="spellStart"/>
      <w:r w:rsidRPr="007B7747">
        <w:rPr>
          <w:rFonts w:ascii="Arial" w:hAnsi="Arial" w:cs="Arial"/>
        </w:rPr>
        <w:t>IgE</w:t>
      </w:r>
      <w:proofErr w:type="spellEnd"/>
      <w:r w:rsidRPr="007B7747">
        <w:rPr>
          <w:rFonts w:ascii="Arial" w:hAnsi="Arial" w:cs="Arial"/>
        </w:rPr>
        <w:t xml:space="preserve"> and </w:t>
      </w:r>
      <w:proofErr w:type="spellStart"/>
      <w:r w:rsidRPr="007B7747">
        <w:rPr>
          <w:rFonts w:ascii="Arial" w:hAnsi="Arial" w:cs="Arial"/>
        </w:rPr>
        <w:t>FcεRI</w:t>
      </w:r>
      <w:proofErr w:type="spellEnd"/>
      <w:r w:rsidRPr="007B7747">
        <w:rPr>
          <w:rFonts w:ascii="Arial" w:hAnsi="Arial" w:cs="Arial"/>
        </w:rPr>
        <w:t xml:space="preserve"> on the same mast cells leads to </w:t>
      </w:r>
      <w:r w:rsidR="00B76061" w:rsidRPr="007B7747">
        <w:rPr>
          <w:rFonts w:ascii="Arial" w:hAnsi="Arial" w:cs="Arial"/>
        </w:rPr>
        <w:t xml:space="preserve">the </w:t>
      </w:r>
      <w:r w:rsidR="00595E58" w:rsidRPr="007B7747">
        <w:rPr>
          <w:rFonts w:ascii="Arial" w:hAnsi="Arial" w:cs="Arial"/>
        </w:rPr>
        <w:t>stimulation</w:t>
      </w:r>
      <w:r w:rsidR="00B76061" w:rsidRPr="007B7747">
        <w:rPr>
          <w:rFonts w:ascii="Arial" w:hAnsi="Arial" w:cs="Arial"/>
        </w:rPr>
        <w:t>,</w:t>
      </w:r>
      <w:r w:rsidRPr="007B7747">
        <w:rPr>
          <w:rFonts w:ascii="Arial" w:hAnsi="Arial" w:cs="Arial"/>
        </w:rPr>
        <w:t xml:space="preserve"> releasing a large variety of inflammatory mediators such as histamine, prostaglandin D2, leukotriene D4, tryptase, interleukin-1 (IL-1), IL-4, IL-5, IL-13</w:t>
      </w:r>
      <w:r w:rsidR="00B76061" w:rsidRPr="007B7747">
        <w:rPr>
          <w:rFonts w:ascii="Arial" w:hAnsi="Arial" w:cs="Arial"/>
        </w:rPr>
        <w:t>,</w:t>
      </w:r>
      <w:r w:rsidRPr="007B7747">
        <w:rPr>
          <w:rFonts w:ascii="Arial" w:hAnsi="Arial" w:cs="Arial"/>
        </w:rPr>
        <w:t xml:space="preserve"> and tumor necrosis factor (TNF) </w:t>
      </w:r>
      <w:r w:rsidR="006D49CA" w:rsidRPr="007B7747">
        <w:rPr>
          <w:rFonts w:ascii="Arial" w:hAnsi="Arial" w:cs="Arial"/>
        </w:rPr>
        <w:fldChar w:fldCharType="begin"/>
      </w:r>
      <w:r w:rsidR="00AF6B38" w:rsidRPr="007B7747">
        <w:rPr>
          <w:rFonts w:ascii="Arial" w:hAnsi="Arial" w:cs="Arial"/>
        </w:rPr>
        <w:instrText xml:space="preserve"> ADDIN ZOTERO_ITEM CSL_CITATION {"citationID":"a259kd57asm","properties":{"formattedCitation":"(Parente et al., 2023)","plainCitation":"(Parente et al., 2023)","noteIndex":0},"citationItems":[{"id":8811,"uris":["http://zotero.org/users/2543086/items/9XJAT2HN"],"itemData":{"id":8811,"type":"article-journal","abstract":"Mast cells (MCs) are immune cells distributed in many organs and tissues and involved in the pathogenesis of allergic and inflammatory diseases as a major source of pro-inflammatory and vasoactive mediators. MC-related disorders are heterogeneous conditions characterized by the proliferation of MC within tissues and/or MC hyper-reactivity that leads to the uncontrolled release of mediators. MC disorders include mastocytosis, a clonal disease characterized by tissue MC proliferation, and MC activation syndromes that can be primary (clonal), secondary (related to allergic disorders), or idiopathic. Diagnosis of MC disorders is difficult because symptoms are transient, unpredictable, and unspecific, and because these conditions mimic many other diseases. Validation of markers of MC activation in vivo will be useful to allow faster diagnosis and better management of MC disorders. Tryptase, being the most specific MC product, is a widely used biomarker of proliferation and activation. Other mediators, such as histamine, cysteinyl leukotrienes, and prostaglandin D2, are unstable molecules and have limitations in their assays. Surface MC markers, detected by flow cytometry, are useful for the identification of neoplastic MC in mastocytosis but, so far, none of them has been validated as a biomarker of MC activation. Further studies are needed to identify useful biomarkers of MC activation in vivo.","container-title":"International Journal of Molecular Sciences","DOI":"10.3390/ijms24087071","ISSN":"1422-0067","issue":"8","language":"en","license":"http://creativecommons.org/licenses/by/3.0/","note":"publisher: Multidisciplinary Digital Publishing Institute","page":"7071","source":"www.mdpi.com","title":"Secretory and Membrane-Associated Biomarkers of Mast Cell Activation and Proliferation","volume":"24","author":[{"family":"Parente","given":"Roberta"},{"family":"Giudice","given":"Valentina"},{"family":"Cardamone","given":"Chiara"},{"family":"Serio","given":"Bianca"},{"family":"Selleri","given":"Carmine"},{"family":"Triggiani","given":"Massimo"}],"issued":{"date-parts":[["2023",1]]}}}],"schema":"https://github.com/citation-style-language/schema/raw/master/csl-citation.json"} </w:instrText>
      </w:r>
      <w:r w:rsidR="006D49CA" w:rsidRPr="007B7747">
        <w:rPr>
          <w:rFonts w:ascii="Arial" w:hAnsi="Arial" w:cs="Arial"/>
        </w:rPr>
        <w:fldChar w:fldCharType="separate"/>
      </w:r>
      <w:r w:rsidR="00AF6B38" w:rsidRPr="007B7747">
        <w:rPr>
          <w:rFonts w:ascii="Arial" w:eastAsiaTheme="minorHAnsi" w:hAnsi="Arial" w:cs="Arial"/>
          <w:lang w:val="en-GB" w:eastAsia="en-US"/>
          <w14:ligatures w14:val="standardContextual"/>
        </w:rPr>
        <w:t>(Parente et al., 2023)</w:t>
      </w:r>
      <w:r w:rsidR="006D49CA" w:rsidRPr="007B7747">
        <w:rPr>
          <w:rFonts w:ascii="Arial" w:hAnsi="Arial" w:cs="Arial"/>
        </w:rPr>
        <w:fldChar w:fldCharType="end"/>
      </w:r>
      <w:r w:rsidRPr="007B7747">
        <w:rPr>
          <w:rFonts w:ascii="Arial" w:hAnsi="Arial" w:cs="Arial"/>
        </w:rPr>
        <w:t xml:space="preserve">. As a result, anaphylaxis, asthma, and urticaria develop due to blood vessel dilation and airway constriction </w:t>
      </w:r>
      <w:r w:rsidRPr="007B7747">
        <w:rPr>
          <w:rFonts w:ascii="Arial" w:hAnsi="Arial" w:cs="Arial"/>
        </w:rPr>
        <w:fldChar w:fldCharType="begin"/>
      </w:r>
      <w:r w:rsidR="00416159" w:rsidRPr="007B7747">
        <w:rPr>
          <w:rFonts w:ascii="Arial" w:hAnsi="Arial" w:cs="Arial"/>
        </w:rPr>
        <w:instrText xml:space="preserve"> ADDIN ZOTERO_ITEM CSL_CITATION {"citationID":"a1keal8lgb1","properties":{"formattedCitation":"(Acevedo et al., 2012)","plainCitation":"(Acevedo et al., 2012)","noteIndex":0},"citationItems":[{"id":8054,"uris":["http://zotero.org/users/2543086/items/S8LJISER"],"itemData":{"id":8054,"type":"article-journal","abstract":"Background\nEarly wheezing and asthma are relevant health problems in the tropics. Mite sensitization is an important risk factor, but the roles of others, inherent in poverty, are unknown. We designed a birth-cohort study in Cartagena (Colombia) to investigate genetic and environmental risk factors for asthma and atopy, considering as particular features perennial exposure to mites, parasite infections and poor living conditions.\n\nMethods\nPregnant women representative of the low-income suburbs of the city were randomly screened for eligibility at delivery; 326 mother-infant pairs were included at baseline and biological samples were collected from birth to 24 months for immunological testing, molecular genetics and gene expression analysis. Pre and post-natal information was collected using questionnaires.\n\nResults\n94% of families were from the poorest communes of the city, 40% lacked sewage and 11% tap-water. Intestinal parasites were found as early as 3 months; by the second year, 37.9% of children have had parasites and 5.22% detectable eggs of Ascaris lumbricoides in stools (Median 3458 epg, IQR 975-9256). The prevalence of \"wheezing ever\" was 17.5% at 6 months, 31.1% at 12 months and 38.3% at 24 months; and recurrent wheezing (3 or more episodes) 7.1% at 12 months and 14.2% at 24 months. Maternal rhinitis [aOR 3.03 (95%CI 1.60-5.74), p = 0.001] and male gender [aOR 2.09 (95%CI 1.09 - 4.01), p = 0.026], increased risk for wheezing at 6 months. At 24 months, maternal asthma was the main predisposing factor for wheezing [aOR 3.65 (95%CI 1.23-10.8), p = 0.01]. Clinical symptoms of milk/egg allergy or other food-induced allergies were scarce (1.8%) and no case of atopic eczema was observed.\n\nConclusions\nWheezing is the most frequent phenotype during the first 24 months of life and is strongly associated with maternal asthma. At 24 months, the natural history of allergic symptoms is different to the \"atopic march\" described in some industrialized countries. This cohort is representative of socially deprived urban areas of underdeveloped tropical countries. The collection of biological samples, data on exposure and defined phenotypes, will contribute to understand the gene/environment interactions leading to allergy inception and evolution.","container-title":"BMC Pulmonary Medicine","DOI":"10.1186/1471-2466-12-13","ISSN":"1471-2466","journalAbbreviation":"BMC Pulm Med","note":"PMID: 22439773\nPMCID: PMC3331807","page":"13","source":"PubMed Central","title":"Particular characteristics of allergic symptoms in tropical environments: follow up to 24 months in the FRAAT birth cohort study","title-short":"Particular characteristics of allergic symptoms in tropical environments","volume":"12","author":[{"family":"Acevedo","given":"Nathalie"},{"family":"Sánchez","given":"Jorge"},{"family":"Zakzuk","given":"Josefina"},{"family":"Bornacelly","given":"Adriana"},{"family":"Quiróz","given":"Carlos"},{"family":"Alvarez","given":"Álvaro"},{"family":"Puello","given":"Marta"},{"family":"Mendoza","given":"Ketty"},{"family":"Martínez","given":"Dalgys"},{"family":"Mercado","given":"Dilia"},{"family":"Jiménez","given":"Silvia"},{"family":"Caraballo","given":"Luis"}],"issued":{"date-parts":[["2012",3,22]]}}}],"schema":"https://github.com/citation-style-language/schema/raw/master/csl-citation.json"} </w:instrText>
      </w:r>
      <w:r w:rsidRPr="007B7747">
        <w:rPr>
          <w:rFonts w:ascii="Arial" w:hAnsi="Arial" w:cs="Arial"/>
        </w:rPr>
        <w:fldChar w:fldCharType="separate"/>
      </w:r>
      <w:r w:rsidR="00416159" w:rsidRPr="007B7747">
        <w:rPr>
          <w:rFonts w:ascii="Arial" w:hAnsi="Arial" w:cs="Arial"/>
        </w:rPr>
        <w:t>(Acevedo et al., 2012)</w:t>
      </w:r>
      <w:r w:rsidRPr="007B7747">
        <w:rPr>
          <w:rFonts w:ascii="Arial" w:hAnsi="Arial" w:cs="Arial"/>
        </w:rPr>
        <w:fldChar w:fldCharType="end"/>
      </w:r>
      <w:r w:rsidRPr="007B7747">
        <w:rPr>
          <w:rFonts w:ascii="Arial" w:hAnsi="Arial" w:cs="Arial"/>
        </w:rPr>
        <w:t xml:space="preserve">. Studies showed that the development of immediate hypersensitivity reactions may be influenced by a complex interplay of genetic, microbiome, and environmental factors </w:t>
      </w:r>
      <w:r w:rsidR="00400BC1" w:rsidRPr="007B7747">
        <w:rPr>
          <w:rFonts w:ascii="Arial" w:hAnsi="Arial" w:cs="Arial"/>
        </w:rPr>
        <w:fldChar w:fldCharType="begin"/>
      </w:r>
      <w:r w:rsidR="00AF6B38" w:rsidRPr="007B7747">
        <w:rPr>
          <w:rFonts w:ascii="Arial" w:hAnsi="Arial" w:cs="Arial"/>
        </w:rPr>
        <w:instrText xml:space="preserve"> ADDIN ZOTERO_ITEM CSL_CITATION {"citationID":"akr8v124kg","properties":{"formattedCitation":"(Jutel et al., 2023)","plainCitation":"(Jutel et al., 2023)","noteIndex":0},"citationItems":[{"id":8808,"uris":["http://zotero.org/users/2543086/items/NKWUIBFS"],"itemData":{"id":8808,"type":"article-journal","abstract":"The exponential growth of precision diagnostic tools, including omic technologies, molecular diagnostics, sophisticated genetic and epigenetic editing, imaging and nano-technologies and patient access to extensive health care, has resulted in vast amounts of unbiased data enabling in-depth disease characterization. New disease endotypes have been identified for various allergic diseases and triggered the gradual transition from a disease description focused on symptoms to identifying biomarkers and intricate pathogenetic and metabolic pathways. Consequently, the current disease taxonomy has to be revised for better categorization. This European Academy of Allergy and Clinical Immunology Position Paper responds to this challenge and provides a modern nomenclature for allergic diseases, which respects the earlier classifications back to the early 20th century. Hypersensitivity reactions originally described by Gell and Coombs have been extended into nine different types comprising antibody- (I-III), cell-mediated (IVa-c), tissue-driven mechanisms (V-VI) and direct response to chemicals (VII). Types I-III are linked to classical and newly described clinical conditions. Type IVa-c are specified and detailed according to the current understanding of T1, T2 and T3 responses. Types V-VI involve epithelial barrier defects and metabolic-induced immune dysregulation, while direct cellular and inflammatory responses to chemicals are covered in type VII. It is notable that several combinations of mixed types may appear in the clinical setting. The clinical relevance of the current approach for allergy practice will be conferred in another article that will follow this year, aiming at showing the relevance in clinical practice where various endotypes can overlap and evolve over the lifetime.","container-title":"Allergy","DOI":"10.1111/all.15889","ISSN":"1398-9995","issue":"11","language":"en","license":"© 2023 European Academy of Allergy and Clinical Immunology and John Wiley &amp; Sons Ltd.","note":"_eprint: https://onlinelibrary.wiley.com/doi/pdf/10.1111/all.15889","page":"2851-2874","source":"Wiley Online Library","title":"Nomenclature of allergic diseases and hypersensitivity reactions: Adapted to modern needs: An EAACI position paper","title-short":"Nomenclature of allergic diseases and hypersensitivity reactions","volume":"78","author":[{"family":"Jutel","given":"Marek"},{"family":"Agache","given":"Ioana"},{"family":"Zemelka-Wiacek","given":"Magdalena"},{"family":"Akdis","given":"Mübeccel"},{"family":"Chivato","given":"Tomás"},{"family":"Giacco","given":"Stefano","non-dropping-particle":"del"},{"family":"Gajdanowicz","given":"Pawel"},{"family":"Gracia","given":"Ibon Eguiluz"},{"family":"Klimek","given":"Ludger"},{"family":"Lauerma","given":"Antti"},{"family":"Ollert","given":"Markus"},{"family":"O'Mahony","given":"Liam"},{"family":"Schwarze","given":"Jürgen"},{"family":"Shamji","given":"Mohamed H."},{"family":"Skypala","given":"Isabel"},{"family":"Palomares","given":"Oscar"},{"family":"Pfaar","given":"Oliver"},{"family":"Torres","given":"Maria Jose"},{"family":"Bernstein","given":"Jonathan A."},{"family":"Cruz","given":"Alvaro A."},{"family":"Durham","given":"Stephen R."},{"family":"Galli","given":"Stephen J."},{"family":"Gómez","given":"R. Maximiliano"},{"family":"Guttman-Yassky","given":"Emma"},{"family":"Haahtela","given":"Tari"},{"family":"Holgate","given":"Stephen T."},{"family":"Izuhara","given":"Kenji"},{"family":"Kabashima","given":"Kenji"},{"family":"Larenas-Linnemann","given":"Désirée E."},{"family":"Mutius","given":"Erica","non-dropping-particle":"von"},{"family":"Nadeau","given":"Kari C."},{"family":"Pawankar","given":"Ruby"},{"family":"Platts-Mills","given":"Tomas A. E."},{"family":"Sicherer","given":"Scott H."},{"family":"Park","given":"Hae-Sim"},{"family":"Vieths","given":"Stefan"},{"family":"Wong","given":"Gary"},{"family":"Zhang","given":"Luo"},{"family":"Bilò","given":"M. Beatrice"},{"family":"Akdis","given":"Cezmi A."}],"issued":{"date-parts":[["2023"]]}}}],"schema":"https://github.com/citation-style-language/schema/raw/master/csl-citation.json"} </w:instrText>
      </w:r>
      <w:r w:rsidR="00400BC1" w:rsidRPr="007B7747">
        <w:rPr>
          <w:rFonts w:ascii="Arial" w:hAnsi="Arial" w:cs="Arial"/>
        </w:rPr>
        <w:fldChar w:fldCharType="separate"/>
      </w:r>
      <w:r w:rsidR="00AF6B38" w:rsidRPr="007B7747">
        <w:rPr>
          <w:rFonts w:ascii="Arial" w:eastAsiaTheme="minorHAnsi" w:hAnsi="Arial" w:cs="Arial"/>
          <w:lang w:val="en-GB" w:eastAsia="en-US"/>
          <w14:ligatures w14:val="standardContextual"/>
        </w:rPr>
        <w:t>(Jutel et al., 2023)</w:t>
      </w:r>
      <w:r w:rsidR="00400BC1" w:rsidRPr="007B7747">
        <w:rPr>
          <w:rFonts w:ascii="Arial" w:hAnsi="Arial" w:cs="Arial"/>
        </w:rPr>
        <w:fldChar w:fldCharType="end"/>
      </w:r>
      <w:r w:rsidR="00400BC1" w:rsidRPr="007B7747">
        <w:rPr>
          <w:rFonts w:ascii="Arial" w:hAnsi="Arial" w:cs="Arial"/>
        </w:rPr>
        <w:t>.</w:t>
      </w:r>
      <w:r w:rsidRPr="007B7747">
        <w:rPr>
          <w:rFonts w:ascii="Arial" w:hAnsi="Arial" w:cs="Arial"/>
        </w:rPr>
        <w:t xml:space="preserve"> These factors are associated </w:t>
      </w:r>
      <w:r w:rsidRPr="007B7747">
        <w:rPr>
          <w:rFonts w:ascii="Arial" w:hAnsi="Arial" w:cs="Arial"/>
        </w:rPr>
        <w:lastRenderedPageBreak/>
        <w:t xml:space="preserve">either directly or indirectly with immune response dysregulation. Underscores the importance of rapid detection and management of IgE-mediated allergic responses, which is considered a critical step to reduce morbidity. </w:t>
      </w:r>
    </w:p>
    <w:p w14:paraId="461A9239" w14:textId="65DF2FA2" w:rsidR="0013405D" w:rsidRPr="007B7747" w:rsidRDefault="0013405D" w:rsidP="0013405D">
      <w:pPr>
        <w:spacing w:line="480" w:lineRule="auto"/>
        <w:jc w:val="both"/>
        <w:rPr>
          <w:rFonts w:ascii="Arial" w:hAnsi="Arial" w:cs="Arial"/>
        </w:rPr>
      </w:pPr>
      <w:r w:rsidRPr="007B7747">
        <w:rPr>
          <w:rFonts w:ascii="Arial" w:hAnsi="Arial" w:cs="Arial"/>
        </w:rPr>
        <w:t xml:space="preserve">The current study results demonstrate dust as the primary source of allergic reactions (30.73%). This result is consistent with global trends that showed environmental and airborne allergens are the primary causes of allergic rhinitis and asthma </w:t>
      </w:r>
      <w:r w:rsidRPr="007B7747">
        <w:rPr>
          <w:rFonts w:ascii="Arial" w:hAnsi="Arial" w:cs="Arial"/>
        </w:rPr>
        <w:fldChar w:fldCharType="begin"/>
      </w:r>
      <w:r w:rsidR="00416159" w:rsidRPr="007B7747">
        <w:rPr>
          <w:rFonts w:ascii="Arial" w:hAnsi="Arial" w:cs="Arial"/>
        </w:rPr>
        <w:instrText xml:space="preserve"> ADDIN ZOTERO_ITEM CSL_CITATION {"citationID":"a19c9osjltd","properties":{"formattedCitation":"(Lee et al., 2023)","plainCitation":"(Lee et al., 2023)","noteIndex":0},"citationItems":[{"id":8084,"uris":["http://zotero.org/users/2543086/items/USP96LIX"],"itemData":{"id":8084,"type":"article-journal","abstract":"The prevalence of house dust mite (HDM) allergy, especially in Asian countries with rapid urbanization, has been increasing. House dust mites thrive in places with relatively high humidity. With the combination of climate change, naturally high humidity, and urbanization, tropical countries like Malaysia are becoming a hotspot for HDM allergy fast. With a previously reported sensitization rate of between 60 and 80%, it is a worrying trend for Malaysia. However, due to incomplete and out-of-date data, as seen by the limited study coverage in the past, these numbers do not paint a complete picture of the true HDM allergy scene in Malaysia. This review briefly discusses the HDM fauna, the HDM sensitization rate, the common diagnosis and therapeutic tools for HDM allergy in Malaysia, and makes suggestions for possible improvements in the future. This review also highlights the need of more comprehensive population-based prevalence studies to be done in Malaysia, encompassing the three main HDMs-Dermatophagoides pteronyssinus, Dermatophagoides farinae, and Blomia tropicalis-as the lack of up-to-date studies failed to give a clearer picture on the current scenario of HDM allergy in Malaysia. Future studies will be beneficial to the nation in preparing a better blueprint for the management and treatment of HDM allergy.","container-title":"Experimental &amp; Applied Acarology","DOI":"10.1007/s10493-023-00857-5","ISSN":"1572-9702","issue":"4","journalAbbreviation":"Exp Appl Acarol","language":"eng","note":"PMID: 37995026","page":"509-539","source":"PubMed","title":"House dust mite allergy in Malaysia: review of research gaps in the current scenario and the way forward","title-short":"House dust mite allergy in Malaysia","volume":"91","author":[{"family":"Lee","given":"Yu Zhao"},{"family":"Kow","given":"Audrey Siew Foong"},{"family":"Jacquet","given":"Alain"},{"family":"Lee","given":"Ming Tatt"},{"family":"Tham","given":"Chau Ling"}],"issued":{"date-parts":[["2023",12]]}}}],"schema":"https://github.com/citation-style-language/schema/raw/master/csl-citation.json"} </w:instrText>
      </w:r>
      <w:r w:rsidRPr="007B7747">
        <w:rPr>
          <w:rFonts w:ascii="Arial" w:hAnsi="Arial" w:cs="Arial"/>
        </w:rPr>
        <w:fldChar w:fldCharType="separate"/>
      </w:r>
      <w:r w:rsidR="00416159" w:rsidRPr="007B7747">
        <w:rPr>
          <w:rFonts w:ascii="Arial" w:hAnsi="Arial" w:cs="Arial"/>
        </w:rPr>
        <w:t>(Lee et al., 2023)</w:t>
      </w:r>
      <w:r w:rsidRPr="007B7747">
        <w:rPr>
          <w:rFonts w:ascii="Arial" w:hAnsi="Arial" w:cs="Arial"/>
        </w:rPr>
        <w:fldChar w:fldCharType="end"/>
      </w:r>
      <w:r w:rsidRPr="007B7747">
        <w:rPr>
          <w:rFonts w:ascii="Arial" w:hAnsi="Arial" w:cs="Arial"/>
        </w:rPr>
        <w:t xml:space="preserve">. Dust contains a complex mixture of allergenic proteins such as Der p1 and Der p2, which stimulate IgE-mediated hypersensitivity reactions leading to allergic rhinitis, asthma, and atopic dermatitis </w:t>
      </w:r>
      <w:r w:rsidRPr="007B7747">
        <w:rPr>
          <w:rFonts w:ascii="Arial" w:hAnsi="Arial" w:cs="Arial"/>
        </w:rPr>
        <w:fldChar w:fldCharType="begin"/>
      </w:r>
      <w:r w:rsidR="00416159" w:rsidRPr="007B7747">
        <w:rPr>
          <w:rFonts w:ascii="Arial" w:hAnsi="Arial" w:cs="Arial"/>
        </w:rPr>
        <w:instrText xml:space="preserve"> ADDIN ZOTERO_ITEM CSL_CITATION {"citationID":"a2jm1uk2fur","properties":{"formattedCitation":"(d\\uc0\\u8217{}Alessandro et al., 2021)","plainCitation":"(d’Alessandro et al., 2021)","noteIndex":0},"citationItems":[{"id":8087,"uris":["http://zotero.org/users/2543086/items/Z4DDBNDC"],"itemData":{"id":8087,"type":"article-journal","abstract":"The house dust mite (HDM) is globally ubiquitous in human habitats. Thirty-two allergens for Dermatophagoides farinae and 21 for Dermatophagoides pteronyssinus have been detected so far. The present minireview summarizes information about the role of Der p 1 as a key coordinator of the HDM-induced allergic response and reports on a series of Italian patients who are allergic to HDMs. We studied the specific IgE profiles in a population of patients with allergic asthma and rhinitis screened for specific immunotherapy (SIT) for HDM allergies, with the aim of obtaining insights into the pathogenic role of Der p1. Patients co-sensitized to other airborne allergens showed a higher prevalence of asthma (9/12 (75%) vs. 2/7 (29%); p &lt; 0.05) than did HDM mono-sensitized patients. The latter group showed higher Der p1 concentrations than that of the co-sensitized group (p = 0.0360), and a direct correlation between Der p1 and Der p2 (r = 0.93; p = 0.0003) was observed. In conclusion, our study offers insights into the role of Der p1 in a population of patients with allergic rhinitis and asthma who were candidates for SIT. Interestingly, Der p1 positivity was associated with bronchial asthma and co-sensitization.","container-title":"Allergies","DOI":"10.3390/allergies1020008","ISSN":"2313-5786","issue":"2","language":"en","license":"http://creativecommons.org/licenses/by/3.0/","note":"number: 2\npublisher: Multidisciplinary Digital Publishing Institute","page":"108-114","source":"www.mdpi.com","title":"House Dust Mite Allergy and the Der p1 Conundrum: A Literature Review and Case Series","title-short":"House Dust Mite Allergy and the Der p1 Conundrum","volume":"1","author":[{"family":"Alessandro","given":"Miriana","non-dropping-particle":"d’"},{"family":"Bergantini","given":"Laura"},{"family":"Perrone","given":"Anna"},{"family":"Cameli","given":"Paolo"},{"family":"Beltrami","given":"Valerio"},{"family":"Alderighi","given":"Lorenzo"},{"family":"Pini","given":"Laura"},{"family":"Bargagli","given":"Elena"},{"family":"Saletti","given":"Marco"}],"issued":{"date-parts":[["2021",6]]}}}],"schema":"https://github.com/citation-style-language/schema/raw/master/csl-citation.json"} </w:instrText>
      </w:r>
      <w:r w:rsidRPr="007B7747">
        <w:rPr>
          <w:rFonts w:ascii="Arial" w:hAnsi="Arial" w:cs="Arial"/>
        </w:rPr>
        <w:fldChar w:fldCharType="separate"/>
      </w:r>
      <w:r w:rsidR="00416159" w:rsidRPr="007B7747">
        <w:rPr>
          <w:rFonts w:ascii="Arial" w:eastAsiaTheme="minorHAnsi" w:hAnsi="Arial" w:cs="Arial"/>
          <w:lang w:val="en-GB" w:eastAsia="en-US"/>
          <w14:ligatures w14:val="standardContextual"/>
        </w:rPr>
        <w:t>(d’Alessandro et al., 2021)</w:t>
      </w:r>
      <w:r w:rsidRPr="007B7747">
        <w:rPr>
          <w:rFonts w:ascii="Arial" w:hAnsi="Arial" w:cs="Arial"/>
        </w:rPr>
        <w:fldChar w:fldCharType="end"/>
      </w:r>
      <w:r w:rsidRPr="007B7747">
        <w:rPr>
          <w:rFonts w:ascii="Arial" w:hAnsi="Arial" w:cs="Arial"/>
        </w:rPr>
        <w:t xml:space="preserve">. Global climate change and the replacement of farms with buildings may suggest a significant increase in the rate of dust storms, resulting in an upward trend in allergic reactions among the Basrah population. Spicy foods and perfume emerged as remarkable secondary allergens in the Basrah community, which may act through either IgE-mediated or non-immunologic pathways. Spices are not well-known as standard allergy testing panels. However, studies have shown that capsaicin, carotenoids, polyphenols, and alkaloids, compounds found in spice extracts, can trigger neurogenic inflammation and </w:t>
      </w:r>
      <w:proofErr w:type="spellStart"/>
      <w:r w:rsidRPr="007B7747">
        <w:rPr>
          <w:rFonts w:ascii="Arial" w:hAnsi="Arial" w:cs="Arial"/>
        </w:rPr>
        <w:t>pseudoallergic</w:t>
      </w:r>
      <w:proofErr w:type="spellEnd"/>
      <w:r w:rsidRPr="007B7747">
        <w:rPr>
          <w:rFonts w:ascii="Arial" w:hAnsi="Arial" w:cs="Arial"/>
        </w:rPr>
        <w:t xml:space="preserve"> reactions, particularly in individuals with sensitive mucosa </w:t>
      </w:r>
      <w:r w:rsidRPr="007B7747">
        <w:rPr>
          <w:rFonts w:ascii="Arial" w:hAnsi="Arial" w:cs="Arial"/>
        </w:rPr>
        <w:fldChar w:fldCharType="begin"/>
      </w:r>
      <w:r w:rsidR="00416159" w:rsidRPr="007B7747">
        <w:rPr>
          <w:rFonts w:ascii="Arial" w:hAnsi="Arial" w:cs="Arial"/>
        </w:rPr>
        <w:instrText xml:space="preserve"> ADDIN ZOTERO_ITEM CSL_CITATION {"citationID":"an9d8fo918","properties":{"formattedCitation":"(D\\uc0\\u237{}az-Guerrero et al., 2025)","plainCitation":"(Díaz-Guerrero et al., 2025)","noteIndex":0},"citationItems":[{"id":8091,"uris":["http://zotero.org/users/2543086/items/BNNTJJKL"],"itemData":{"id":8091,"type":"article-journal","abstract":"Spices are a part of modern and ancient cultures due to their recognized culinary and medicinal properties. Pepper is commonly used in many recipes; however, in the field of gastronomy, the term “pepper” usually refers to a group that includes several different spices, such as black pepper (Piper nigrum L.), cubeb pepper (Piper cubeba L.f.), long pepper (Piper longum L.), pink pepper (Schinus terebinthifolius Raddi), allspice (Pimenta dioica L. Merrill), and Japanese pepper (Zanthoxylum piperitum DC.). Despite the extensive study of the chemical characterization and medicinal and culinary properties of “pepper”, sensory analysis (color, aroma profile, odor profile, and chemesthesis) of these spices have not been completed. Therefore, the aim of this review was to identify the strengths, weaknesses, opportunities, and threats within the spice supply chain considering these six “peppers” to analyze their positive and negative aspects. Finally, we selected the most representative molecules and properties of spices referred to as “pepper” to expand the research focus and highlight their key aspects related to health and sensory science for future applications. In this sense, this review provides a new strategic guideline that will help us understand and assess the key internal and external factors of pepper, allowing them to be applied in different sectors with different approaches.","container-title":"Molecules","DOI":"10.3390/molecules30091891","ISSN":"1420-3049","issue":"9","language":"en","license":"http://creativecommons.org/licenses/by/3.0/","note":"number: 9\npublisher: Multidisciplinary Digital Publishing Institute","page":"1891","source":"www.mdpi.com","title":"“Pepper”: Different Spices, One Name—Analysis of Sensory and Biological Aspects","title-short":"“Pepper”","volume":"30","author":[{"family":"Díaz-Guerrero","given":"Pierina"},{"family":"Panzani","given":"Sofia"},{"family":"Sanmartin","given":"Chiara"},{"family":"Muntoni","given":"Chiara"},{"family":"Taglieri","given":"Isabella"},{"family":"Venturi","given":"Francesca"}],"issued":{"date-parts":[["2025",1]]}}}],"schema":"https://github.com/citation-style-language/schema/raw/master/csl-citation.json"} </w:instrText>
      </w:r>
      <w:r w:rsidRPr="007B7747">
        <w:rPr>
          <w:rFonts w:ascii="Arial" w:hAnsi="Arial" w:cs="Arial"/>
        </w:rPr>
        <w:fldChar w:fldCharType="separate"/>
      </w:r>
      <w:r w:rsidR="00416159" w:rsidRPr="007B7747">
        <w:rPr>
          <w:rFonts w:ascii="Arial" w:eastAsiaTheme="minorHAnsi" w:hAnsi="Arial" w:cs="Arial"/>
          <w:lang w:val="en-GB" w:eastAsia="en-US"/>
          <w14:ligatures w14:val="standardContextual"/>
        </w:rPr>
        <w:t>(Díaz-Guerrero et al., 2025)</w:t>
      </w:r>
      <w:r w:rsidRPr="007B7747">
        <w:rPr>
          <w:rFonts w:ascii="Arial" w:hAnsi="Arial" w:cs="Arial"/>
        </w:rPr>
        <w:fldChar w:fldCharType="end"/>
      </w:r>
      <w:r w:rsidRPr="007B7747">
        <w:rPr>
          <w:rFonts w:ascii="Arial" w:hAnsi="Arial" w:cs="Arial"/>
        </w:rPr>
        <w:t xml:space="preserve">. Limonene is one of the fragrance volatile organic compounds that can oxidize to form skin sensitizers, causing allergic reactions. Cleaning products were identified in the current study as active contributors to allergic reactions, including dermatitis and irritant contact dermatitis. Studies indicated that cleaning materials include (dimethyl-dimethyl) hydantoin (DMDMH), </w:t>
      </w:r>
      <w:proofErr w:type="spellStart"/>
      <w:r w:rsidRPr="007B7747">
        <w:rPr>
          <w:rFonts w:ascii="Arial" w:hAnsi="Arial" w:cs="Arial"/>
        </w:rPr>
        <w:t>benzisothiazolinone</w:t>
      </w:r>
      <w:proofErr w:type="spellEnd"/>
      <w:r w:rsidRPr="007B7747">
        <w:rPr>
          <w:rFonts w:ascii="Arial" w:hAnsi="Arial" w:cs="Arial"/>
        </w:rPr>
        <w:t xml:space="preserve"> (BIT), </w:t>
      </w:r>
      <w:proofErr w:type="spellStart"/>
      <w:r w:rsidRPr="007B7747">
        <w:rPr>
          <w:rFonts w:ascii="Arial" w:hAnsi="Arial" w:cs="Arial"/>
        </w:rPr>
        <w:t>octylisothiazolinone</w:t>
      </w:r>
      <w:proofErr w:type="spellEnd"/>
      <w:r w:rsidRPr="007B7747">
        <w:rPr>
          <w:rFonts w:ascii="Arial" w:hAnsi="Arial" w:cs="Arial"/>
        </w:rPr>
        <w:t xml:space="preserve"> (OIT), and phenoxyethanol</w:t>
      </w:r>
      <w:r w:rsidR="00B76061" w:rsidRPr="007B7747">
        <w:rPr>
          <w:rFonts w:ascii="Arial" w:hAnsi="Arial" w:cs="Arial"/>
        </w:rPr>
        <w:t>,</w:t>
      </w:r>
      <w:r w:rsidRPr="007B7747">
        <w:rPr>
          <w:rFonts w:ascii="Arial" w:hAnsi="Arial" w:cs="Arial"/>
        </w:rPr>
        <w:t xml:space="preserve"> and also fragrances </w:t>
      </w:r>
      <w:r w:rsidRPr="007B7747">
        <w:rPr>
          <w:rFonts w:ascii="Arial" w:hAnsi="Arial" w:cs="Arial"/>
        </w:rPr>
        <w:fldChar w:fldCharType="begin"/>
      </w:r>
      <w:r w:rsidR="00416159" w:rsidRPr="007B7747">
        <w:rPr>
          <w:rFonts w:ascii="Arial" w:hAnsi="Arial" w:cs="Arial"/>
        </w:rPr>
        <w:instrText xml:space="preserve"> ADDIN ZOTERO_ITEM CSL_CITATION {"citationID":"a5hqo34i1v","properties":{"formattedCitation":"(Salonen et al., 2024)","plainCitation":"(Salonen et al., 2024)","noteIndex":0},"citationItems":[{"id":8106,"uris":["http://zotero.org/users/2543086/items/GPBQ6F3E"],"itemData":{"id":8106,"type":"article-journal","abstract":"The use of cleaning and disinfecting products both at work and at home increased during the COVID-19 pandemic. Those products often include surfactants, acids/bases, carcinogens such as chloroform, and endocrine-disrupting chemicals, such as cyclosiloxanes, phthalates, and synthetic fragrances, which may cause harmful health effects among professional cleaners as well as among people exposed at home or in their workplaces. The aim of this study was to synthesize the effects of the commonly used chemical, surface cleaning and disinfecting products on indoor air quality, focusing on chemical and particulate matter pollutants, exposure, and human health in residential and public buildings. We also provide a summary of recommendations to avoid harmful exposure and suggest future research directions. PubMed, Google Scholar, Scopus, and Web of Science (WoS) were used to search the literature. Analysis of the literature revealed that the use of cleaning products and disinfectants increase occupants’ exposure to a variety of harmful chemical air contaminants and to particulate matter. Occupational exposure to cleaning and disinfectant products has been linked to an increased risk of asthma and rhinitis. Residential exposure to cleaning products has been shown to have an adverse effect on respiratory health, particularly on asthma onset, and on the occurrence of asthma(-like) symptoms among children and adults. Efforts to reduce occupants’ exposure to cleaning chemicals will require lowering the content of hazardous substances in cleaning products and improving ventilation during and after cleaning. Experimentally examined, best cleaning practices as well as careful selection of cleaning products can minimize the burden of harmful air pollutant exposure indoors. In addition, indirect ways to reduce exposure include increasing people’s awareness of the harmfulness of cleaning chemicals and of safe cleaning practices, as well as clear labelling of cleaning and disinfecting products.","container-title":"Environment International","DOI":"10.1016/j.envint.2024.108836","ISSN":"0160-4120","journalAbbreviation":"Environment International","page":"108836","source":"ScienceDirect","title":"Cleaning products: Their chemistry, effects on indoor air quality, and implications for human health","title-short":"Cleaning products","volume":"190","author":[{"family":"Salonen","given":"Heidi"},{"family":"Salthammer","given":"Tunga"},{"family":"Castagnoli","given":"Emmanuelle"},{"family":"Täubel","given":"Martin"},{"family":"Morawska","given":"Lidia"}],"issued":{"date-parts":[["2024",8,1]]}}}],"schema":"https://github.com/citation-style-language/schema/raw/master/csl-citation.json"} </w:instrText>
      </w:r>
      <w:r w:rsidRPr="007B7747">
        <w:rPr>
          <w:rFonts w:ascii="Arial" w:hAnsi="Arial" w:cs="Arial"/>
        </w:rPr>
        <w:fldChar w:fldCharType="separate"/>
      </w:r>
      <w:r w:rsidR="00416159" w:rsidRPr="007B7747">
        <w:rPr>
          <w:rFonts w:ascii="Arial" w:hAnsi="Arial" w:cs="Arial"/>
        </w:rPr>
        <w:t>(Salonen et al., 2024)</w:t>
      </w:r>
      <w:r w:rsidRPr="007B7747">
        <w:rPr>
          <w:rFonts w:ascii="Arial" w:hAnsi="Arial" w:cs="Arial"/>
        </w:rPr>
        <w:fldChar w:fldCharType="end"/>
      </w:r>
      <w:r w:rsidRPr="007B7747">
        <w:rPr>
          <w:rFonts w:ascii="Arial" w:hAnsi="Arial" w:cs="Arial"/>
        </w:rPr>
        <w:t xml:space="preserve">. All these chemicals are common allergens and can trigger immune-mediated skin inflammation upon exposure to cause skin irritation, sensitization, redness, and itching. As a result, cleaning agents can act as allergens, causing fruit allergens to be present in the peel, pulp, and seeds of fruits, which can lead to diverse allergic reactions and clinical </w:t>
      </w:r>
      <w:r w:rsidRPr="007B7747">
        <w:rPr>
          <w:rFonts w:ascii="Arial" w:hAnsi="Arial" w:cs="Arial"/>
        </w:rPr>
        <w:lastRenderedPageBreak/>
        <w:t xml:space="preserve">presentations, ranging from contact allergies to potentially life-threatening anaphylaxis. Cross-reactivity between aeroallergens and food allergens, due to structurally similar epitopes, causes a phenomenon recognized as pollen food allergy syndrome (PFAS), resulting in type I hypersensitivity through IgE production </w:t>
      </w:r>
      <w:r w:rsidRPr="007B7747">
        <w:rPr>
          <w:rFonts w:ascii="Arial" w:hAnsi="Arial" w:cs="Arial"/>
        </w:rPr>
        <w:fldChar w:fldCharType="begin"/>
      </w:r>
      <w:r w:rsidR="00416159" w:rsidRPr="007B7747">
        <w:rPr>
          <w:rFonts w:ascii="Arial" w:hAnsi="Arial" w:cs="Arial"/>
        </w:rPr>
        <w:instrText xml:space="preserve"> ADDIN ZOTERO_ITEM CSL_CITATION {"citationID":"a2co69ut1cv","properties":{"formattedCitation":"(Krikeerati et al., 2023)","plainCitation":"(Krikeerati et al., 2023)","noteIndex":0},"citationItems":[{"id":8113,"uris":["http://zotero.org/users/2543086/items/TXF2Z58S"],"itemData":{"id":8113,"type":"article-journal","abstract":"Fruit allergies manifest with a diverse array of clinical presentations, ranging from localized contact allergies and oral allergy syndrome to the potential for severe systemic reactions including anaphylaxis. The scope of population-level prevalence studies remains limited, largely derived from single-center or hospital-based investigations. In this comprehensive review, we conducted a systematic literature search spanning the years 2009 to 2023, with full acknowledgment of potential analytical biases, to provide a global overview of fruit allergy prevalence. The primary mechanistic underpinning of fruit allergies stems from cross-reactivity between aeroallergens and food allergens, a consequence of structurally similar epitopes—a phenomenon recognized as pollen food allergy syndrome (PFAS). In the era of molecular allergology, numerous studies have dissected allergen components with substantial clinical relevance. Within this review, we explore important allergenic molecules found in plant-based foods, scrutinize pertinent cross-reactivity patterns, and offer insights into management recommendations. Additionally, we compare guideline recommendations to enhance clinical understanding and inform decision making.","container-title":"Foods","DOI":"10.3390/foods12224083","ISSN":"2304-8158","issue":"22","journalAbbreviation":"Foods","note":"PMID: 38002141\nPMCID: PMC10670478","page":"4083","source":"PubMed Central","title":"Revisiting Fruit Allergy: Prevalence across the Globe, Diagnosis, and Current Management","title-short":"Revisiting Fruit Allergy","volume":"12","author":[{"family":"Krikeerati","given":"Thanachit"},{"family":"Rodsaward","given":"Pongsawat"},{"family":"Nawiboonwong","given":"Jutamard"},{"family":"Pinyopornpanish","given":"Kanokkarn"},{"family":"Phusawang","given":"Songwut"},{"family":"Sompornrattanaphan","given":"Mongkhon"}],"issued":{"date-parts":[["2023",11,10]]}}}],"schema":"https://github.com/citation-style-language/schema/raw/master/csl-citation.json"} </w:instrText>
      </w:r>
      <w:r w:rsidRPr="007B7747">
        <w:rPr>
          <w:rFonts w:ascii="Arial" w:hAnsi="Arial" w:cs="Arial"/>
        </w:rPr>
        <w:fldChar w:fldCharType="separate"/>
      </w:r>
      <w:r w:rsidR="00416159" w:rsidRPr="007B7747">
        <w:rPr>
          <w:rFonts w:ascii="Arial" w:hAnsi="Arial" w:cs="Arial"/>
        </w:rPr>
        <w:t>(Krikeerati et al., 2023)</w:t>
      </w:r>
      <w:r w:rsidRPr="007B7747">
        <w:rPr>
          <w:rFonts w:ascii="Arial" w:hAnsi="Arial" w:cs="Arial"/>
        </w:rPr>
        <w:fldChar w:fldCharType="end"/>
      </w:r>
      <w:r w:rsidRPr="007B7747">
        <w:rPr>
          <w:rFonts w:ascii="Arial" w:hAnsi="Arial" w:cs="Arial"/>
        </w:rPr>
        <w:t xml:space="preserve">. Our study showed that hypersensitivity to penicillin was relatively low (4.15%) among the study population. Globally, studies reported penicillin allergy rates between (8–12%) in the UK, USA, and Australia (9·9%), compared to middle-income countries in Asia (4·4%) </w:t>
      </w:r>
      <w:r w:rsidRPr="007B7747">
        <w:rPr>
          <w:rFonts w:ascii="Arial" w:hAnsi="Arial" w:cs="Arial"/>
        </w:rPr>
        <w:fldChar w:fldCharType="begin"/>
      </w:r>
      <w:r w:rsidR="00416159" w:rsidRPr="007B7747">
        <w:rPr>
          <w:rFonts w:ascii="Arial" w:hAnsi="Arial" w:cs="Arial"/>
        </w:rPr>
        <w:instrText xml:space="preserve"> ADDIN ZOTERO_ITEM CSL_CITATION {"citationID":"a13t26o7q9m","properties":{"formattedCitation":"(Luintel et al., 2025)","plainCitation":"(Luintel et al., 2025)","noteIndex":0},"citationItems":[{"id":8119,"uris":["http://zotero.org/users/2543086/items/UAHJPU3A"],"itemData":{"id":8119,"type":"article-journal","container-title":"Journal of Infection","DOI":"10.1016/j.jinf.2025.106429","ISSN":"0163-4453, 1532-2742","issue":"2","journalAbbreviation":"Journal of Infection","language":"English","note":"publisher: Elsevier\nPMID: 39874990","source":"www.journalofinfection.com","title":"The global prevalence of reported penicillin allergy: A systematic review and meta-analysis","title-short":"The global prevalence of reported penicillin allergy","URL":"https://www.journalofinfection.com/article/S0163-4453(25)00023-4/fulltext","volume":"90","author":[{"family":"Luintel","given":"Akish"},{"family":"Healy","given":"Joseph"},{"family":"Blank","given":"Michael"},{"family":"Luintel","given":"Aashika"},{"family":"Dryden","given":"Simon"},{"family":"Das","given":"Abhishek"},{"family":"Darzi","given":"Ara"},{"family":"Cooke","given":"Graham"}],"accessed":{"date-parts":[["2025",6,9]]},"issued":{"date-parts":[["2025",2,1]]}}}],"schema":"https://github.com/citation-style-language/schema/raw/master/csl-citation.json"} </w:instrText>
      </w:r>
      <w:r w:rsidRPr="007B7747">
        <w:rPr>
          <w:rFonts w:ascii="Arial" w:hAnsi="Arial" w:cs="Arial"/>
        </w:rPr>
        <w:fldChar w:fldCharType="separate"/>
      </w:r>
      <w:r w:rsidR="00416159" w:rsidRPr="007B7747">
        <w:rPr>
          <w:rFonts w:ascii="Arial" w:hAnsi="Arial" w:cs="Arial"/>
        </w:rPr>
        <w:t>(Luintel et al., 2025)</w:t>
      </w:r>
      <w:r w:rsidRPr="007B7747">
        <w:rPr>
          <w:rFonts w:ascii="Arial" w:hAnsi="Arial" w:cs="Arial"/>
        </w:rPr>
        <w:fldChar w:fldCharType="end"/>
      </w:r>
      <w:r w:rsidRPr="007B7747">
        <w:rPr>
          <w:rFonts w:ascii="Arial" w:hAnsi="Arial" w:cs="Arial"/>
        </w:rPr>
        <w:t xml:space="preserve">. Penicillin acts as haptens that bind to red blood cells as </w:t>
      </w:r>
      <w:r w:rsidR="00B76061" w:rsidRPr="007B7747">
        <w:rPr>
          <w:rFonts w:ascii="Arial" w:hAnsi="Arial" w:cs="Arial"/>
        </w:rPr>
        <w:t>a carrier</w:t>
      </w:r>
      <w:r w:rsidRPr="007B7747">
        <w:rPr>
          <w:rFonts w:ascii="Arial" w:hAnsi="Arial" w:cs="Arial"/>
        </w:rPr>
        <w:t xml:space="preserve"> to be an active allergen</w:t>
      </w:r>
      <w:r w:rsidR="00B76061" w:rsidRPr="007B7747">
        <w:rPr>
          <w:rFonts w:ascii="Arial" w:hAnsi="Arial" w:cs="Arial"/>
        </w:rPr>
        <w:t>,</w:t>
      </w:r>
      <w:r w:rsidRPr="007B7747">
        <w:rPr>
          <w:rFonts w:ascii="Arial" w:hAnsi="Arial" w:cs="Arial"/>
        </w:rPr>
        <w:t xml:space="preserve"> causing drug hypersensitivity reactions due to the release of IL-4, IL-8, IgE, and interferon-γ (</w:t>
      </w:r>
      <w:proofErr w:type="spellStart"/>
      <w:r w:rsidRPr="007B7747">
        <w:rPr>
          <w:rFonts w:ascii="Arial" w:hAnsi="Arial" w:cs="Arial"/>
        </w:rPr>
        <w:t>IFNγ</w:t>
      </w:r>
      <w:proofErr w:type="spellEnd"/>
      <w:r w:rsidRPr="007B7747">
        <w:rPr>
          <w:rFonts w:ascii="Arial" w:hAnsi="Arial" w:cs="Arial"/>
        </w:rPr>
        <w:t>)</w:t>
      </w:r>
      <w:r w:rsidR="00B76061" w:rsidRPr="007B7747">
        <w:rPr>
          <w:rFonts w:ascii="Arial" w:hAnsi="Arial" w:cs="Arial"/>
        </w:rPr>
        <w:t>,</w:t>
      </w:r>
      <w:r w:rsidRPr="007B7747">
        <w:rPr>
          <w:rFonts w:ascii="Arial" w:hAnsi="Arial" w:cs="Arial"/>
        </w:rPr>
        <w:t xml:space="preserve"> resulting in clinical presentation of symptoms such as skin rash, vomiting, breath shortness, and anaphylaxis</w:t>
      </w:r>
      <w:r w:rsidR="000515FC" w:rsidRPr="007B7747">
        <w:rPr>
          <w:rFonts w:ascii="Arial" w:hAnsi="Arial" w:cs="Arial"/>
        </w:rPr>
        <w:t xml:space="preserve"> </w:t>
      </w:r>
      <w:r w:rsidR="000515FC" w:rsidRPr="007B7747">
        <w:rPr>
          <w:rFonts w:ascii="Arial" w:hAnsi="Arial" w:cs="Arial"/>
        </w:rPr>
        <w:fldChar w:fldCharType="begin"/>
      </w:r>
      <w:r w:rsidR="00AF6B38" w:rsidRPr="007B7747">
        <w:rPr>
          <w:rFonts w:ascii="Arial" w:hAnsi="Arial" w:cs="Arial"/>
        </w:rPr>
        <w:instrText xml:space="preserve"> ADDIN ZOTERO_ITEM CSL_CITATION {"citationID":"arob30go4n","properties":{"formattedCitation":"(Pallardy et al., 2024)","plainCitation":"(Pallardy et al., 2024)","noteIndex":0},"citationItems":[{"id":8813,"uris":["http://zotero.org/users/2543086/items/YCGC37DS"],"itemData":{"id":8813,"type":"article-journal","abstract":"Drug hypersensitivity reactions (DHRs) are a type of adverse drug reaction that can occur with different classes of drugs and affect multiple organ systems and patient populations. DHRs can be classified as allergic or non-allergic based on the cellular mechanisms involved. Whereas nonallergic reactions rely mainly on the innate immune system, allergic reactions involve the generation of an adaptive immune response. Consequently, drug allergies are DHRs for which an immunological mechanism, with antibody and/or T cell, is demonstrated. Despite decades of research, methods to predict the potential for a new chemical entity to cause DHRs or to correctly attribute DHRs to a specific mechanism and a specific molecule are not well-established. This review will focus on allergic reactions induced by systemically administered low-molecular weight drugs with an emphasis on drug- and patient-specific factors that could influence the development of DHRs. Strategies for predicting and diagnosing DHRs, including potential tools based on the current state of the science, will also be discussed.","container-title":"Toxicological Sciences","DOI":"10.1093/toxsci/kfae046","ISSN":"1096-6080","issue":"1","journalAbbreviation":"Toxicol Sci","page":"11-30","source":"Silverchair","title":"Drug hypersensitivity reactions: review of the state of the science for prediction and diagnosis","title-short":"Drug hypersensitivity reactions","volume":"200","author":[{"family":"Pallardy","given":"Marc"},{"family":"Bechara","given":"Rami"},{"family":"Whritenour","given":"Jessica"},{"family":"Mitchell-Ryan","given":"Shermaine"},{"family":"Herzyk","given":"Danuta"},{"family":"Lebrec","given":"Herve"},{"family":"Merk","given":"Hans"},{"family":"Gourley","given":"Ian"},{"family":"Komocsar","given":"Wendy J"},{"family":"Piccotti","given":"Joseph R"},{"family":"Balazs","given":"Mercedesz"},{"family":"Sharma","given":"Amy"},{"family":"Walker","given":"Dana B"},{"family":"Weinstock","given":"Daniel"},{"family":"HESI Immuno-Safety Technical Committee","given":"Drug Hypersensitivity Reactions Project Team","non-dropping-particle":"on behalf of the"}],"issued":{"date-parts":[["2024",7,1]]}}}],"schema":"https://github.com/citation-style-language/schema/raw/master/csl-citation.json"} </w:instrText>
      </w:r>
      <w:r w:rsidR="000515FC" w:rsidRPr="007B7747">
        <w:rPr>
          <w:rFonts w:ascii="Arial" w:hAnsi="Arial" w:cs="Arial"/>
        </w:rPr>
        <w:fldChar w:fldCharType="separate"/>
      </w:r>
      <w:r w:rsidR="00AF6B38" w:rsidRPr="007B7747">
        <w:rPr>
          <w:rFonts w:ascii="Arial" w:eastAsiaTheme="minorHAnsi" w:hAnsi="Arial" w:cs="Arial"/>
          <w:lang w:val="en-GB" w:eastAsia="en-US"/>
          <w14:ligatures w14:val="standardContextual"/>
        </w:rPr>
        <w:t>(Pallardy et al., 2024)</w:t>
      </w:r>
      <w:r w:rsidR="000515FC" w:rsidRPr="007B7747">
        <w:rPr>
          <w:rFonts w:ascii="Arial" w:hAnsi="Arial" w:cs="Arial"/>
        </w:rPr>
        <w:fldChar w:fldCharType="end"/>
      </w:r>
      <w:r w:rsidRPr="007B7747">
        <w:rPr>
          <w:rFonts w:ascii="Arial" w:hAnsi="Arial" w:cs="Arial"/>
        </w:rPr>
        <w:t xml:space="preserve">. The low prevalence of penicillin allergy in the Basrah community may indicate increased awareness about drug hypersensitivity or the use of a new generation of antibiotics for healthcare instead of penicillin. One of the most notable results of the current study was </w:t>
      </w:r>
      <w:r w:rsidR="00B76061" w:rsidRPr="007B7747">
        <w:rPr>
          <w:rFonts w:ascii="Arial" w:hAnsi="Arial" w:cs="Arial"/>
        </w:rPr>
        <w:t xml:space="preserve">that </w:t>
      </w:r>
      <w:r w:rsidRPr="007B7747">
        <w:rPr>
          <w:rFonts w:ascii="Arial" w:hAnsi="Arial" w:cs="Arial"/>
        </w:rPr>
        <w:t xml:space="preserve">allergic to gluten, with a relatively low-frequency rate (3.41%) compared to other allergens such as dust, spices, or perfumes. This result aligns with the global trend of gluten sensitivity in approximately 5% of the population </w:t>
      </w:r>
      <w:r w:rsidRPr="007B7747">
        <w:rPr>
          <w:rFonts w:ascii="Arial" w:hAnsi="Arial" w:cs="Arial"/>
        </w:rPr>
        <w:fldChar w:fldCharType="begin"/>
      </w:r>
      <w:r w:rsidR="00416159" w:rsidRPr="007B7747">
        <w:rPr>
          <w:rFonts w:ascii="Arial" w:hAnsi="Arial" w:cs="Arial"/>
        </w:rPr>
        <w:instrText xml:space="preserve"> ADDIN ZOTERO_ITEM CSL_CITATION {"citationID":"a2jtfp2qf0","properties":{"formattedCitation":"(Taraghikhah et al., 2020)","plainCitation":"(Taraghikhah et al., 2020)","noteIndex":0},"citationItems":[{"id":8126,"uris":["http://zotero.org/users/2543086/items/C6WHEPGU"],"itemData":{"id":8126,"type":"article-journal","abstract":"The incidence of gluten-related disorders (GRDs) continues to increase and its global prevalence is estimated at approximately 5% of the population. Celiac disease (CD), dermatitis herpetiformis (DH), gluten ataxia (GA), wheat allergy (WA), and non-celiac gluten sensitivity (NCGS) are the five major GRDs that present with a wide range of clinical manifestations. The diagnosis of GRDs can be challenging because the typical and atypical clinical manifestations of the GRDs overlap. In this review, the current definitions of gluten-related disorders, focusing on their clinical features, diagnostic and therapeutic approaches are presented. We concluded that GRDs are usually diagnosed using a combination of clinical features, serological tests, and histopathological findings. Treatment usually involves dietary modification.","container-title":"BMC Gastroenterology","DOI":"10.1186/s12876-020-01390-0","ISSN":"1471-230X","journalAbbreviation":"BMC Gastroenterol","note":"PMID: 32762724\nPMCID: PMC7409416","page":"258","source":"PubMed Central","title":"An updated overview of spectrum of gluten-related disorders: clinical and diagnostic aspects","title-short":"An updated overview of spectrum of gluten-related disorders","volume":"20","author":[{"family":"Taraghikhah","given":"Nazanin"},{"family":"Ashtari","given":"Sara"},{"family":"Asri","given":"Nastaran"},{"family":"Shahbazkhani","given":"Bijan"},{"family":"Al-Dulaimi","given":"David"},{"family":"Rostami-Nejad","given":"Mohammad"},{"family":"Rezaei-Tavirani","given":"Mostafa"},{"family":"Razzaghi","given":"Mohammad Reza"},{"family":"Zali","given":"Mohammad Reza"}],"issued":{"date-parts":[["2020",8,6]]}}}],"schema":"https://github.com/citation-style-language/schema/raw/master/csl-citation.json"} </w:instrText>
      </w:r>
      <w:r w:rsidRPr="007B7747">
        <w:rPr>
          <w:rFonts w:ascii="Arial" w:hAnsi="Arial" w:cs="Arial"/>
        </w:rPr>
        <w:fldChar w:fldCharType="separate"/>
      </w:r>
      <w:r w:rsidR="00416159" w:rsidRPr="007B7747">
        <w:rPr>
          <w:rFonts w:ascii="Arial" w:hAnsi="Arial" w:cs="Arial"/>
        </w:rPr>
        <w:t>(Taraghikhah et al., 2020)</w:t>
      </w:r>
      <w:r w:rsidRPr="007B7747">
        <w:rPr>
          <w:rFonts w:ascii="Arial" w:hAnsi="Arial" w:cs="Arial"/>
        </w:rPr>
        <w:fldChar w:fldCharType="end"/>
      </w:r>
      <w:r w:rsidRPr="007B7747">
        <w:rPr>
          <w:rFonts w:ascii="Arial" w:hAnsi="Arial" w:cs="Arial"/>
        </w:rPr>
        <w:t xml:space="preserve">. This finding suggests that true IgE-mediated wheat or gluten allergy is rare compared to other allergies </w:t>
      </w:r>
      <w:r w:rsidRPr="007B7747">
        <w:rPr>
          <w:rFonts w:ascii="Arial" w:hAnsi="Arial" w:cs="Arial"/>
        </w:rPr>
        <w:fldChar w:fldCharType="begin"/>
      </w:r>
      <w:r w:rsidR="00AF6B38" w:rsidRPr="007B7747">
        <w:rPr>
          <w:rFonts w:ascii="Arial" w:hAnsi="Arial" w:cs="Arial"/>
        </w:rPr>
        <w:instrText xml:space="preserve"> ADDIN ZOTERO_ITEM CSL_CITATION {"citationID":"a16ql51q4ci","properties":{"formattedCitation":"(Sayed &amp; Ali, 2022)","plainCitation":"(Sayed &amp; Ali, 2022)","dontUpdate":true,"noteIndex":0},"citationItems":[{"id":8129,"uris":["http://zotero.org/users/2543086/items/UXVJ58MT"],"itemData":{"id":8129,"type":"article-journal","abstract":"IgE Mediated Wheat Allergy Associated with Resistant and Severe Forms of Allergic Conjunctivitis","DOI":"10.2174/18743064-v16-e2208170","journalAbbreviation":"Open Respir Med J.","language":"en","page":"e187430642208170","source":"openrespiratorymedicinejournal.com","title":"IgE Mediated Wheat Allergy Associated with Resistant and Severe Forms of Allergic Conjunctivitis","volume":"16","author":[{"family":"Sayed","given":"Khulood M."},{"family":"Ali","given":"Abdellah H."}],"issued":{"date-parts":[["2022"]]}}}],"schema":"https://github.com/citation-style-language/schema/raw/master/csl-citation.json"} </w:instrText>
      </w:r>
      <w:r w:rsidRPr="007B7747">
        <w:rPr>
          <w:rFonts w:ascii="Arial" w:hAnsi="Arial" w:cs="Arial"/>
        </w:rPr>
        <w:fldChar w:fldCharType="separate"/>
      </w:r>
      <w:r w:rsidR="00416159" w:rsidRPr="007B7747">
        <w:rPr>
          <w:rFonts w:ascii="Arial" w:hAnsi="Arial" w:cs="Arial"/>
        </w:rPr>
        <w:t xml:space="preserve">(Sayed </w:t>
      </w:r>
      <w:r w:rsidR="00DD6C5F" w:rsidRPr="007B7747">
        <w:rPr>
          <w:rFonts w:ascii="Arial" w:hAnsi="Arial" w:cs="Arial"/>
        </w:rPr>
        <w:t>and</w:t>
      </w:r>
      <w:r w:rsidR="00416159" w:rsidRPr="007B7747">
        <w:rPr>
          <w:rFonts w:ascii="Arial" w:hAnsi="Arial" w:cs="Arial"/>
        </w:rPr>
        <w:t xml:space="preserve"> Ali, 2022)</w:t>
      </w:r>
      <w:r w:rsidRPr="007B7747">
        <w:rPr>
          <w:rFonts w:ascii="Arial" w:hAnsi="Arial" w:cs="Arial"/>
        </w:rPr>
        <w:fldChar w:fldCharType="end"/>
      </w:r>
      <w:r w:rsidRPr="007B7747">
        <w:rPr>
          <w:rFonts w:ascii="Arial" w:hAnsi="Arial" w:cs="Arial"/>
        </w:rPr>
        <w:t xml:space="preserve">. In contrast, some countries reported a high prevalence of allergies to gluten, reaching approximately (10%) </w:t>
      </w:r>
      <w:r w:rsidRPr="007B7747">
        <w:rPr>
          <w:rFonts w:ascii="Arial" w:hAnsi="Arial" w:cs="Arial"/>
        </w:rPr>
        <w:fldChar w:fldCharType="begin"/>
      </w:r>
      <w:r w:rsidR="00416159" w:rsidRPr="007B7747">
        <w:rPr>
          <w:rFonts w:ascii="Arial" w:hAnsi="Arial" w:cs="Arial"/>
        </w:rPr>
        <w:instrText xml:space="preserve"> ADDIN ZOTERO_ITEM CSL_CITATION {"citationID":"avg1cke9vg","properties":{"formattedCitation":"(Ontiveros et al., 2021)","plainCitation":"(Ontiveros et al., 2021)","noteIndex":0},"citationItems":[{"id":8124,"uris":["http://zotero.org/users/2543086/items/MK6RFC6B"],"itemData":{"id":8124,"type":"article-journal","abstract":"Gluten-related disorders (GRDs) are increasing around the world, but their magnitude and relevance remain unknown in most Latin American countries. Thus, an online survey was conducted to estimate the prevalence of GRDs as well as adherence to a gluten-free diet (GFD) in Paraguayan adult population. There were 1058 individuals surveyed using a validated questionnaire (response rate of 93.9%). The self-reported prevalence rates were as follows (95% CI): gluten sensitivity (GS), 10.30% (8.53–12.29); non-celiac GS (NCGS), 5.19% (3.94–6.71); physician-diagnosed celiac disease (PD-CD), 3.11% (2.15–4.35); wheat allergy (WA), 2.07% (1.30–3.13); and adherence to GFD, 15.69% (13.55–18.02). Excluding CD, more women than men met the criteria for GRDs, adverse food reactions, and GFD (p &lt; 0.05). Eight respondents reported the coexistence of NCGS with PD-CD and/or WA. Most cases on a GFD indicated medical/dietitian advice for following the diet (68.07%). Non-self-reported GS individuals indicated weight control (46.4%) and the notion that the GFD is healthier (20.2%) as the main motivations for following the diet. GRDs are not uncommon in Paraguayan adult population. It seems that there is awareness about GRDs and the GFD, but training about the diagnosis of GRDs is desirable because of the informed overlapping diagnoses of CD or WA with NCGS. Future studies involving face-to-face interviews are necessary.","container-title":"Nutrients","DOI":"10.3390/nu13020396","ISSN":"2072-6643","issue":"2","language":"en","license":"http://creativecommons.org/licenses/by/3.0/","note":"number: 2\npublisher: Multidisciplinary Digital Publishing Institute","page":"396","source":"www.mdpi.com","title":"Prevalence of Wheat/Gluten-Related Disorders and Gluten-Free Diet in Paraguay: An Online Survey-Based Study","title-short":"Prevalence of Wheat/Gluten-Related Disorders and Gluten-Free Diet in Paraguay","volume":"13","author":[{"family":"Ontiveros","given":"Noé"},{"family":"Real-Delor","given":"Raúl Emilio"},{"family":"Mora-Melgem","given":"José Antonio"},{"family":"Beltrán-Cárdenas","given":"Carlos Eduardo"},{"family":"Figueroa-Salcido","given":"Oscar Gerardo"},{"family":"Vergara-Jiménez","given":"Marcela de Jesús"},{"family":"Cárdenas-Torres","given":"Feliznando Isidro"},{"family":"Flores-Mendoza","given":"Lilian Karem"},{"family":"Arámburo-Gálvez","given":"Jesús Gilberto"},{"family":"Cabrera-Chávez","given":"Francisco"}],"issued":{"date-parts":[["2021",2]]}}}],"schema":"https://github.com/citation-style-language/schema/raw/master/csl-citation.json"} </w:instrText>
      </w:r>
      <w:r w:rsidRPr="007B7747">
        <w:rPr>
          <w:rFonts w:ascii="Arial" w:hAnsi="Arial" w:cs="Arial"/>
        </w:rPr>
        <w:fldChar w:fldCharType="separate"/>
      </w:r>
      <w:r w:rsidR="00416159" w:rsidRPr="007B7747">
        <w:rPr>
          <w:rFonts w:ascii="Arial" w:hAnsi="Arial" w:cs="Arial"/>
        </w:rPr>
        <w:t>(Ontiveros et al., 2021)</w:t>
      </w:r>
      <w:r w:rsidRPr="007B7747">
        <w:rPr>
          <w:rFonts w:ascii="Arial" w:hAnsi="Arial" w:cs="Arial"/>
        </w:rPr>
        <w:fldChar w:fldCharType="end"/>
      </w:r>
      <w:r w:rsidRPr="007B7747">
        <w:rPr>
          <w:rFonts w:ascii="Arial" w:hAnsi="Arial" w:cs="Arial"/>
        </w:rPr>
        <w:t xml:space="preserve">. Food allergic prevalence is highly variable in different countries, which is attributed to a complex interaction between genetic variation of human leukocyte antigens (HLA-DQ2/DQ8), epigenetic factors, and environmental factors </w:t>
      </w:r>
      <w:r w:rsidRPr="007B7747">
        <w:rPr>
          <w:rFonts w:ascii="Arial" w:hAnsi="Arial" w:cs="Arial"/>
        </w:rPr>
        <w:fldChar w:fldCharType="begin"/>
      </w:r>
      <w:r w:rsidR="00AF6B38" w:rsidRPr="007B7747">
        <w:rPr>
          <w:rFonts w:ascii="Arial" w:hAnsi="Arial" w:cs="Arial"/>
        </w:rPr>
        <w:instrText xml:space="preserve"> ADDIN ZOTERO_ITEM CSL_CITATION {"citationID":"akqmpuh5ue","properties":{"formattedCitation":"(Tham &amp; Leung, 2018)","plainCitation":"(Tham &amp; Leung, 2018)","dontUpdate":true,"noteIndex":0},"citationItems":[{"id":8131,"uris":["http://zotero.org/users/2543086/items/YWYWTBU9"],"itemData":{"id":8131,"type":"article-journal","abstract":"The prevalence and patterns of food allergy are highly variable in different parts of the world. Differences in food allergy epidemiology may be attributed to a complex interplay of genetic, epigenetic, and environmental factors, suggesting that mechanisms of food allergy may differ in various global populations. Genetic polymorphisms, migration, climate, and infant feeding practices all modulate food allergy risk, and possibly also the efficacy of interventions aimed at primary prevention of food allergy development. Approaches to diagnosis, treatment, and prevention of food allergy should thus be tailored carefully to each population's unique genetic and environmental make-up. Future research in the context of food allergy prevention should focus on elucidating factors determining differential responses between populations.","container-title":"Allergy, Asthma &amp; Immunology Research","DOI":"10.4168/aair.2018.10.4.290","ISSN":"2092-7355","issue":"4","journalAbbreviation":"Allergy Asthma Immunol Res","language":"eng","note":"PMID: 29949829\nPMCID: PMC6021584","page":"290-299","source":"PubMed","title":"How Different Parts of the World Provide New Insights Into Food Allergy","volume":"10","author":[{"family":"Tham","given":"Elizabeth Huiwen"},{"family":"Leung","given":"Donald Y. M."}],"issued":{"date-parts":[["2018",7]]}}}],"schema":"https://github.com/citation-style-language/schema/raw/master/csl-citation.json"} </w:instrText>
      </w:r>
      <w:r w:rsidRPr="007B7747">
        <w:rPr>
          <w:rFonts w:ascii="Arial" w:hAnsi="Arial" w:cs="Arial"/>
        </w:rPr>
        <w:fldChar w:fldCharType="separate"/>
      </w:r>
      <w:r w:rsidR="00416159" w:rsidRPr="007B7747">
        <w:rPr>
          <w:rFonts w:ascii="Arial" w:hAnsi="Arial" w:cs="Arial"/>
        </w:rPr>
        <w:t xml:space="preserve">(Tham </w:t>
      </w:r>
      <w:r w:rsidR="00DD6C5F" w:rsidRPr="007B7747">
        <w:rPr>
          <w:rFonts w:ascii="Arial" w:hAnsi="Arial" w:cs="Arial"/>
        </w:rPr>
        <w:t>and</w:t>
      </w:r>
      <w:r w:rsidR="00416159" w:rsidRPr="007B7747">
        <w:rPr>
          <w:rFonts w:ascii="Arial" w:hAnsi="Arial" w:cs="Arial"/>
        </w:rPr>
        <w:t xml:space="preserve"> Leung, 2018)</w:t>
      </w:r>
      <w:r w:rsidRPr="007B7747">
        <w:rPr>
          <w:rFonts w:ascii="Arial" w:hAnsi="Arial" w:cs="Arial"/>
        </w:rPr>
        <w:fldChar w:fldCharType="end"/>
      </w:r>
      <w:r w:rsidRPr="007B7747">
        <w:rPr>
          <w:rFonts w:ascii="Arial" w:hAnsi="Arial" w:cs="Arial"/>
        </w:rPr>
        <w:t xml:space="preserve"> </w:t>
      </w:r>
      <w:r w:rsidR="00B76061" w:rsidRPr="007B7747">
        <w:rPr>
          <w:rFonts w:ascii="Arial" w:hAnsi="Arial" w:cs="Arial"/>
        </w:rPr>
        <w:t>i</w:t>
      </w:r>
      <w:r w:rsidRPr="007B7747">
        <w:rPr>
          <w:rFonts w:ascii="Arial" w:hAnsi="Arial" w:cs="Arial"/>
        </w:rPr>
        <w:t xml:space="preserve">n compare with close countries such as Turkey including the Eastern Black Sea Region and Mediterranean population reported prevalence with spices, tomatoes, and eggs as leading allergens </w:t>
      </w:r>
      <w:r w:rsidRPr="007B7747">
        <w:rPr>
          <w:rFonts w:ascii="Arial" w:hAnsi="Arial" w:cs="Arial"/>
        </w:rPr>
        <w:fldChar w:fldCharType="begin"/>
      </w:r>
      <w:r w:rsidR="00AF6B38" w:rsidRPr="007B7747">
        <w:rPr>
          <w:rFonts w:ascii="Arial" w:hAnsi="Arial" w:cs="Arial"/>
        </w:rPr>
        <w:instrText xml:space="preserve"> ADDIN ZOTERO_ITEM CSL_CITATION {"citationID":"a1f8ije6hd0","properties":{"formattedCitation":"(Duman &amp; Dursun, 2023; Gelincik et al., 2008)","plainCitation":"(Duman &amp; Dursun, 2023; Gelincik et al., 2008)","dontUpdate":true,"noteIndex":0},"citationItems":[{"id":8417,"uris":["http://zotero.org/users/2543086/items/7G5NMDGR"],"itemData":{"id":8417,"type":"article-journal","abstract":"Objective: Food allergy (FA) is an important public health problem which affects children and adults, its prevelance is increasing with the change of dietary habits in recent years. FA is a lifethreatening allergic reaction which can lead to anaphylaxis and is very difficult to treat. In our study, we wanted to contribute to the literature by investigating the prevalence of FA in the Eastern Black Sea Region based on a questionnaire.\nMethods: This study was planned as a cross-sectional web-based survey study. The questionnaire was prepared including 12 questions related with health problems that develop following food intake. Eastern Black Sea Region of Turkey was chosen as the target group of the study population. The questionnaire was published in local online and printed media during three months and the participants were allowed to fill it out.\nResults: The study included 920 people (604 female, 316 male) who completed the questionnaire and 157 (17%) of the participants noted that they had food allergies. The most common allergen foods were spices (15%), tomatoes (10.9%), and cow's milk (7.5%). The most common symptoms were urticaria (63.5%), gastrointestinal symptoms (30.2%), rhinitis (15.1%), oral allergy syndrome (OAS) symptoms (11.3%). Young age (p= 0.004), presence of atopic disease or family history of atopy (p=0.001) were found to be risk factors for the development of food allergy.\nConclusion: The prevalence of self-reported FA based on web-based survey in Eastern Black Sea residents is relatively high and specific to the region.","container-title":"Middle Black Sea Journal of Health Science","DOI":"10.19127/mbsjohs.1177217","ISSN":"2149-7796","issue":"3","language":"en","page":"489-497","source":"DOI.org (Crossref)","title":"The Prevalence of Questionnare Based Food Allergy in Adult Population of Eastern Blacksea Region of Turkey","volume":"9","author":[{"family":"Duman","given":"Handan"},{"family":"Dursun","given":"Adile Berna"}],"issued":{"date-parts":[["2023",8,31]]}}},{"id":8418,"uris":["http://zotero.org/users/2543086/items/CGN7PFYF"],"itemData":{"id":8418,"type":"article-journal","abstract":"We may conclude that FA/NAFH in the Turkish population seems to be low when compared with Northern and Western European countries. This may be due to genetic, cultural or dietary factors, and further studies evaluating the reasons for this low prevalence of FA/NAFH in our population are needed.","container-title":"Clinical and experimental allergy : journal of the British Society for Allergy and Clinical Immunology","DOI":"10.1111/j.1365-2222.2008.03019.x","ISSN":"1365-2222","issue":"8","language":"en","note":"publisher: Clin Exp Allergy\nPMID: 18537984","source":"pubmed.ncbi.nlm.nih.gov","title":"Confirmed prevalence of food allergy and non-allergic food hypersensitivity in a Mediterranean population","URL":"https://pubmed.ncbi.nlm.nih.gov/18537984/","volume":"38","author":[{"family":"Gelincik","given":"A."},{"family":"Büyüköztürk","given":"S."},{"family":"H","given":"Gül"},{"family":"E","given":"Işik"},{"family":"H","given":"Işsever"},{"family":"F","given":"Ozşeker"},{"family":"B","given":"Colakoğlu"},{"family":"M","given":"Dal"},{"family":"O","given":"Ayvaz"},{"family":"G","given":"Güngör"},{"family":"A","given":"Akkor"}],"accessed":{"date-parts":[["2025",8,30]]},"issued":{"date-parts":[["2008",8]]}}}],"schema":"https://github.com/citation-style-language/schema/raw/master/csl-citation.json"} </w:instrText>
      </w:r>
      <w:r w:rsidRPr="007B7747">
        <w:rPr>
          <w:rFonts w:ascii="Arial" w:hAnsi="Arial" w:cs="Arial"/>
        </w:rPr>
        <w:fldChar w:fldCharType="separate"/>
      </w:r>
      <w:r w:rsidR="00416159" w:rsidRPr="007B7747">
        <w:rPr>
          <w:rFonts w:ascii="Arial" w:hAnsi="Arial" w:cs="Arial"/>
        </w:rPr>
        <w:t xml:space="preserve">(Duman </w:t>
      </w:r>
      <w:r w:rsidR="00DD6C5F" w:rsidRPr="007B7747">
        <w:rPr>
          <w:rFonts w:ascii="Arial" w:hAnsi="Arial" w:cs="Arial"/>
        </w:rPr>
        <w:t>and</w:t>
      </w:r>
      <w:r w:rsidR="00416159" w:rsidRPr="007B7747">
        <w:rPr>
          <w:rFonts w:ascii="Arial" w:hAnsi="Arial" w:cs="Arial"/>
        </w:rPr>
        <w:t xml:space="preserve"> Dursun, 2023; Gelincik et al., 2008)</w:t>
      </w:r>
      <w:r w:rsidRPr="007B7747">
        <w:rPr>
          <w:rFonts w:ascii="Arial" w:hAnsi="Arial" w:cs="Arial"/>
        </w:rPr>
        <w:fldChar w:fldCharType="end"/>
      </w:r>
      <w:r w:rsidRPr="007B7747">
        <w:rPr>
          <w:rFonts w:ascii="Arial" w:hAnsi="Arial" w:cs="Arial"/>
        </w:rPr>
        <w:t xml:space="preserve">. The most common allergen foods were spices (15%), tomatoes </w:t>
      </w:r>
      <w:r w:rsidRPr="007B7747">
        <w:rPr>
          <w:rFonts w:ascii="Arial" w:hAnsi="Arial" w:cs="Arial"/>
        </w:rPr>
        <w:lastRenderedPageBreak/>
        <w:t xml:space="preserve">(10.9%), and cow's milk (7.5%). The most common symptoms were urticaria (63.5%), gastrointestinal symptoms (30.2%), rhinitis (15.1%), </w:t>
      </w:r>
      <w:r w:rsidR="006F3F4D" w:rsidRPr="007B7747">
        <w:rPr>
          <w:rFonts w:ascii="Arial" w:hAnsi="Arial" w:cs="Arial"/>
        </w:rPr>
        <w:t xml:space="preserve">and </w:t>
      </w:r>
      <w:r w:rsidRPr="007B7747">
        <w:rPr>
          <w:rFonts w:ascii="Arial" w:hAnsi="Arial" w:cs="Arial"/>
        </w:rPr>
        <w:t xml:space="preserve">oral allergy syndrome (OAS) symptoms (11.3%). This result potentially reflects regional dietary patterns characterized by higher rice consumption, as well as social behaviors associated with food consumption and the introduction of new types of food supplemented with gluten from various countries and restaurants in Basrah province. Furthermore, Iraqi individuals have access to many countries that facilitate local food consumption, which may evoke allergic reactions in Iraqi travelers.    </w:t>
      </w:r>
    </w:p>
    <w:p w14:paraId="04686B67" w14:textId="4BCA6A74" w:rsidR="0013405D" w:rsidRPr="007B7747" w:rsidRDefault="0013405D" w:rsidP="0013405D">
      <w:pPr>
        <w:spacing w:line="480" w:lineRule="auto"/>
        <w:jc w:val="both"/>
        <w:rPr>
          <w:rFonts w:ascii="Arial" w:hAnsi="Arial" w:cs="Arial"/>
          <w:lang w:bidi="ar-IQ"/>
        </w:rPr>
      </w:pPr>
      <w:r w:rsidRPr="007B7747">
        <w:rPr>
          <w:rFonts w:ascii="Arial" w:hAnsi="Arial" w:cs="Arial"/>
        </w:rPr>
        <w:t xml:space="preserve">The results of this study showed distinct patterns between age-related distribution and allergen sensitivities, with penicillin allergies occurring predominantly in older adults over 31 years. These findings are consistent with broader epidemiological trends indicating that drug hypersensitivity reactions, particularly to penicillin, are more commonly reported in adults due to increased lifetime exposure and healthcare encounters </w:t>
      </w:r>
      <w:r w:rsidRPr="007B7747">
        <w:rPr>
          <w:rFonts w:ascii="Arial" w:hAnsi="Arial" w:cs="Arial"/>
        </w:rPr>
        <w:fldChar w:fldCharType="begin"/>
      </w:r>
      <w:r w:rsidR="00416159" w:rsidRPr="007B7747">
        <w:rPr>
          <w:rFonts w:ascii="Arial" w:hAnsi="Arial" w:cs="Arial"/>
        </w:rPr>
        <w:instrText xml:space="preserve"> ADDIN ZOTERO_ITEM CSL_CITATION {"citationID":"a20nrnmo49v","properties":{"formattedCitation":"(Copaescu et al., 2025)","plainCitation":"(Copaescu et al., 2025)","noteIndex":0},"citationItems":[{"id":8134,"uris":["http://zotero.org/users/2543086/items/MW6QR5VW"],"itemData":{"id":8134,"type":"article-journal","abstract":"Background\nPenicillin allergy labels are associated with many adverse outcomes. Fear and restriction of future medication use also have an impact on health-related quality of life (HR-QoL). However, the impact of a drug allergy on HR-QoL and its associated factors remains unknown.\nObjective\nWe sought to investigate the impact of penicillin allergy labels and compare the factors associated with HR-QoL impairment among patients in an international multicenter, multiethnic cohort.\nMethods\nHR-QoL was measured using the 6-item Drug Hypersensitivity Quality of Life Questionnaire (DrHy-Q) and compared among patients labeled with penicillin allergy, before their allergy evaluation, from 8 adult allergy/immunology clinics across Asia, Australia, and North America.\nResults\nWe recruited 643 patients labeled with penicillin allergy (median age, 56 years [interquartile range, 39-67]; male:female ratio, 1:2.2), with 273 (42.5%), 186 (28.9%), and 184 (28.6%) from Asia, North America, and Australia, respectively. The median DrHy-Q score was 8.3 (interquartile range, 0.0-29.2). All patients underwent penicillin allergy evaluation, and 96% (617 of 643) were delabeled following negative provocation test results. Female patients (8.3 vs 4.2; P = .003), those with other concomitant antimicrobial allergy labels (20.8 vs 4.2; P = .004), and patients from Asia (33.3 vs 4.2 [North America] vs 0 [Australia]; P &lt; .001) had significantly higher DrHy-Q scores, reflecting a reduced HR-QoL. Ethnicity as well as other allergy variables were not significant in the multivariate analysis.\nConclusions\nRegional differences, ethnicity, and other risk factors influence HR-QoL impairment among patients labeled with penicillin allergy. Future studies are needed to understand the contributions of regional sociodemographic factors and identify interventions to improve HR-QoL.","container-title":"Journal of Allergy and Clinical Immunology: Global","DOI":"10.1016/j.jacig.2024.100354","ISSN":"2772-8293","issue":"1","journalAbbreviation":"Journal of Allergy and Clinical Immunology: Global","page":"100354","source":"ScienceDirect","title":"Global differences and risk factors influencing drug hypersensitivity quality of life: A multicenter, multiethnic study of drug allergy across 3 continents","title-short":"Global differences and risk factors influencing drug hypersensitivity quality of life","volume":"4","author":[{"family":"Copaescu","given":"Ana M."},{"family":"Mak","given":"Hugo W. F."},{"family":"Vogrin","given":"Sara"},{"family":"Holmes","given":"Natasha E."},{"family":"Trubiano","given":"Jason A."},{"family":"Li","given":"Philip H."}],"issued":{"date-parts":[["2025",2,1]]}}}],"schema":"https://github.com/citation-style-language/schema/raw/master/csl-citation.json"} </w:instrText>
      </w:r>
      <w:r w:rsidRPr="007B7747">
        <w:rPr>
          <w:rFonts w:ascii="Arial" w:hAnsi="Arial" w:cs="Arial"/>
        </w:rPr>
        <w:fldChar w:fldCharType="separate"/>
      </w:r>
      <w:r w:rsidR="00416159" w:rsidRPr="007B7747">
        <w:rPr>
          <w:rFonts w:ascii="Arial" w:hAnsi="Arial" w:cs="Arial"/>
        </w:rPr>
        <w:t>(Copaescu et al., 2025)</w:t>
      </w:r>
      <w:r w:rsidRPr="007B7747">
        <w:rPr>
          <w:rFonts w:ascii="Arial" w:hAnsi="Arial" w:cs="Arial"/>
        </w:rPr>
        <w:fldChar w:fldCharType="end"/>
      </w:r>
      <w:r w:rsidRPr="007B7747">
        <w:rPr>
          <w:rFonts w:ascii="Arial" w:hAnsi="Arial" w:cs="Arial"/>
        </w:rPr>
        <w:t xml:space="preserve">. The relatively narrow age range suggests that these reactions may be more likely to occur in individuals with prior sensitization through repeated antibiotic use during childhood illnesses. In contrast, in this study, gluten sensitivity was reported primarily among individuals younger than 20 years. This finding is consistent with the younger age range observed by other studies. For example, gastrointestinal symptoms associated with gluten allergy were most frequently reported in younger individuals in Italy </w:t>
      </w:r>
      <w:r w:rsidRPr="007B7747">
        <w:rPr>
          <w:rFonts w:ascii="Arial" w:hAnsi="Arial" w:cs="Arial"/>
        </w:rPr>
        <w:fldChar w:fldCharType="begin"/>
      </w:r>
      <w:r w:rsidR="00416159" w:rsidRPr="007B7747">
        <w:rPr>
          <w:rFonts w:ascii="Arial" w:hAnsi="Arial" w:cs="Arial"/>
        </w:rPr>
        <w:instrText xml:space="preserve"> ADDIN ZOTERO_ITEM CSL_CITATION {"citationID":"a1p9fet23ch","properties":{"formattedCitation":"(Brindicci et al., 2024)","plainCitation":"(Brindicci et al., 2024)","noteIndex":0},"citationItems":[{"id":8136,"uris":["http://zotero.org/users/2543086/items/3C9H9BVN"],"itemData":{"id":8136,"type":"article-journal","abstract":"INTRODUCTION: \n          In different countries, the exact prevalence of people that refer symptoms after gluten ingestion is increasing and the unavailability of reliable laboratory tests to diagnose the condition known as nonceliac gluten sensitivity (NCGS) has opened the door to the spread of survey-based studies to hypothesize a prevalence of this condition with highly discordant results. We aim to describe the attitude toward gluten consumption in a large population of young adults in Italy.\n          METHODS: \n          A questionnaire-based cross-sectional study was conducted in 13 Italian cities to investigate the dietary attitudes of more than 9,400 people distributed throughout the country about gluten consumption. Only those referring to gluten-related symptoms with a frequency equal to “always” or “most of the time” were considered self-reported NCGS (SR-NCGS) patients.\n          RESULTS: \n          Five thousand two hundred thirty-four of 9,432 eligible participants (55.5%) fully completed the questionnaire. Excluding those with previous gastrointestinal diagnoses of celiac disease and wheat allergy, we have finally analyzed 4,987 questionnaires. Four hundred eighty-seven participants indicated gluten-related symptoms always or most of the time (SR-NCGS subjects), while 121 already had a medical diagnosis of NCGS. The minimum prevalence figure of SR-NCGS is 6.4% (95% confidence interval 6.0–6.9), with a higher prevalence in women (79.9%). The most frequent gluten-related symptoms were bloating, abdominal pain, and tiredness.\n          DISCUSSION: \n          The high prevalence of people reporting symptoms after gluten ingestion requires that the diagnosis of NCGS should be ascertained with a double-blind controlled study to limit the number of people who improperly approach a gluten-free diet.","container-title":"Official journal of the American College of Gastroenterology | ACG","DOI":"10.14309/ajg.0000000000002885","ISSN":"0002-9270","issue":"10","language":"en-US","page":"2114","source":"journals.lww.com","title":"Self-Reported Nonceliac Gluten Sensitivity in Italian Young Adults: A Cross-Sectional Study. A Dietary Fad?","title-short":"Self-Reported Nonceliac Gluten Sensitivity in Italian Young Adults","volume":"119","author":[{"family":"Brindicci","given":"Viviana Fara"},{"family":"Franceschini","given":"Simone"},{"family":"Gnasso","given":"Ilaria"},{"family":"Alcini","given":"Paride"},{"family":"Tassi","given":"Emanuele Abondio"},{"family":"Santarelli","given":"Lorenzo"},{"family":"Cristofori","given":"Fernanda"},{"family":"Dargenio","given":"Vanessa Nadia"},{"family":"Castellaneta","given":"Stefania"},{"family":"Group*","given":"the NCGS","dropping-particle":"study"},{"family":"Francavilla","given":"Ruggiero"}],"issued":{"date-parts":[["2024",10]]}}}],"schema":"https://github.com/citation-style-language/schema/raw/master/csl-citation.json"} </w:instrText>
      </w:r>
      <w:r w:rsidRPr="007B7747">
        <w:rPr>
          <w:rFonts w:ascii="Arial" w:hAnsi="Arial" w:cs="Arial"/>
        </w:rPr>
        <w:fldChar w:fldCharType="separate"/>
      </w:r>
      <w:r w:rsidR="00416159" w:rsidRPr="007B7747">
        <w:rPr>
          <w:rFonts w:ascii="Arial" w:hAnsi="Arial" w:cs="Arial"/>
        </w:rPr>
        <w:t>(Brindicci et al., 2024)</w:t>
      </w:r>
      <w:r w:rsidRPr="007B7747">
        <w:rPr>
          <w:rFonts w:ascii="Arial" w:hAnsi="Arial" w:cs="Arial"/>
        </w:rPr>
        <w:fldChar w:fldCharType="end"/>
      </w:r>
      <w:r w:rsidRPr="007B7747">
        <w:rPr>
          <w:rFonts w:ascii="Arial" w:hAnsi="Arial" w:cs="Arial"/>
        </w:rPr>
        <w:t>.</w:t>
      </w:r>
    </w:p>
    <w:p w14:paraId="25739BD2" w14:textId="682B6D8B" w:rsidR="0013405D" w:rsidRPr="007B7747" w:rsidRDefault="0013405D" w:rsidP="004032BE">
      <w:pPr>
        <w:spacing w:line="480" w:lineRule="auto"/>
        <w:jc w:val="both"/>
        <w:rPr>
          <w:rFonts w:ascii="Arial" w:hAnsi="Arial" w:cs="Arial"/>
        </w:rPr>
      </w:pPr>
      <w:r w:rsidRPr="007B7747">
        <w:rPr>
          <w:rFonts w:ascii="Arial" w:hAnsi="Arial" w:cs="Arial"/>
        </w:rPr>
        <w:t xml:space="preserve">Gluten stands out as the most triggering allergen, with significantly higher allergic symptom severity (4.07±0.83 out of 5) compared to all other allergens, including perfume, dust, pollen, fruits, spicy foods, and penicillin, despite its low frequency. This finding aligns with studies showing more severe systemic manifestations in gluten-related disorders compared to other food allergies </w:t>
      </w:r>
      <w:r w:rsidRPr="007B7747">
        <w:rPr>
          <w:rFonts w:ascii="Arial" w:hAnsi="Arial" w:cs="Arial"/>
        </w:rPr>
        <w:fldChar w:fldCharType="begin"/>
      </w:r>
      <w:r w:rsidR="00416159" w:rsidRPr="007B7747">
        <w:rPr>
          <w:rFonts w:ascii="Arial" w:hAnsi="Arial" w:cs="Arial"/>
        </w:rPr>
        <w:instrText xml:space="preserve"> ADDIN ZOTERO_ITEM CSL_CITATION {"citationID":"a2n3tgqesd1","properties":{"formattedCitation":"(Sapone et al., 2012)","plainCitation":"(Sapone et al., 2012)","noteIndex":0},"citationItems":[{"id":8138,"uris":["http://zotero.org/users/2543086/items/SSXB4UCU"],"itemData":{"id":8138,"type":"article-journal","abstract":"A decade ago celiac disease was considered extremely rare outside Europe and, therefore, was almost completely ignored by health care professionals. In only 10 years, key milestones have moved celiac disease from obscurity into the popular spotlight worldwide. Now we are observing another interesting phenomenon that is generating great confusion among health care professionals. The number of individuals embracing a gluten-free diet (GFD) appears much higher than the projected number of celiac disease patients, fueling a global market of gluten-free products approaching $2.5 billion (US) in global sales in 2010. This trend is supported by the notion that, along with celiac disease, other conditions related to the ingestion of gluten have emerged as health care concerns. This review will summarize our current knowledge about the three main forms of gluten reactions: allergic (wheat allergy), autoimmune (celiac disease, dermatitis herpetiformis and gluten ataxia) and possibly immune-mediated (gluten sensitivity), and also outline pathogenic, clinical and epidemiological differences and propose new nomenclature and classifications.","container-title":"BMC Medicine","DOI":"10.1186/1741-7015-10-13","ISSN":"1741-7015","issue":"1","journalAbbreviation":"BMC Medicine","page":"13","source":"BioMed Central","title":"Spectrum of gluten-related disorders: consensus on new nomenclature and classification","title-short":"Spectrum of gluten-related disorders","volume":"10","author":[{"family":"Sapone","given":"Anna"},{"family":"Bai","given":"Julio C."},{"family":"Ciacci","given":"Carolina"},{"family":"Dolinsek","given":"Jernej"},{"family":"Green","given":"Peter HR"},{"family":"Hadjivassiliou","given":"Marios"},{"family":"Kaukinen","given":"Katri"},{"family":"Rostami","given":"Kamran"},{"family":"Sanders","given":"David S."},{"family":"Schumann","given":"Michael"},{"family":"Ullrich","given":"Reiner"},{"family":"Villalta","given":"Danilo"},{"family":"Volta","given":"Umberto"},{"family":"Catassi","given":"Carlo"},{"family":"Fasano","given":"Alessio"}],"issued":{"date-parts":[["2012",2,7]]}}}],"schema":"https://github.com/citation-style-language/schema/raw/master/csl-citation.json"} </w:instrText>
      </w:r>
      <w:r w:rsidRPr="007B7747">
        <w:rPr>
          <w:rFonts w:ascii="Arial" w:hAnsi="Arial" w:cs="Arial"/>
        </w:rPr>
        <w:fldChar w:fldCharType="separate"/>
      </w:r>
      <w:r w:rsidR="00416159" w:rsidRPr="007B7747">
        <w:rPr>
          <w:rFonts w:ascii="Arial" w:hAnsi="Arial" w:cs="Arial"/>
        </w:rPr>
        <w:t>(Sapone et al., 2012)</w:t>
      </w:r>
      <w:r w:rsidRPr="007B7747">
        <w:rPr>
          <w:rFonts w:ascii="Arial" w:hAnsi="Arial" w:cs="Arial"/>
        </w:rPr>
        <w:fldChar w:fldCharType="end"/>
      </w:r>
      <w:r w:rsidRPr="007B7747">
        <w:rPr>
          <w:rFonts w:ascii="Arial" w:hAnsi="Arial" w:cs="Arial"/>
        </w:rPr>
        <w:t xml:space="preserve"> and reflects its substantial impact on gluten intolerance and presentations of allergic disease, which often involve significant gastrointestinal and systemic </w:t>
      </w:r>
      <w:r w:rsidR="00796F30" w:rsidRPr="007B7747">
        <w:rPr>
          <w:rFonts w:ascii="Arial" w:hAnsi="Arial" w:cs="Arial"/>
        </w:rPr>
        <w:br/>
      </w:r>
      <w:r w:rsidRPr="007B7747">
        <w:rPr>
          <w:rFonts w:ascii="Arial" w:hAnsi="Arial" w:cs="Arial"/>
        </w:rPr>
        <w:lastRenderedPageBreak/>
        <w:t xml:space="preserve">symptoms </w:t>
      </w:r>
      <w:r w:rsidRPr="007B7747">
        <w:rPr>
          <w:rFonts w:ascii="Arial" w:hAnsi="Arial" w:cs="Arial"/>
        </w:rPr>
        <w:fldChar w:fldCharType="begin"/>
      </w:r>
      <w:r w:rsidR="00AF6B38" w:rsidRPr="007B7747">
        <w:rPr>
          <w:rFonts w:ascii="Arial" w:hAnsi="Arial" w:cs="Arial"/>
        </w:rPr>
        <w:instrText xml:space="preserve"> ADDIN ZOTERO_ITEM CSL_CITATION {"citationID":"a2900che386","properties":{"formattedCitation":"(Jansson-Knodell &amp; Rubio-Tapia, 2024)","plainCitation":"(Jansson-Knodell &amp; Rubio-Tapia, 2024)","dontUpdate":true,"noteIndex":0},"citationItems":[{"id":8141,"uris":["http://zotero.org/users/2543086/items/84MV29XR"],"itemData":{"id":8141,"type":"article-journal","container-title":"Clinical Gastroenterology and Hepatology","DOI":"10.1016/j.cgh.2023.09.042","ISSN":"1542-3565, 1542-7714","issue":"4","journalAbbreviation":"Clinical Gastroenterology and Hepatology","language":"English","note":"publisher: Elsevier\nPMID: 37879521","page":"693-704.e1","source":"www.cghjournal.org","title":"Gluten-related Disorders From Bench to Bedside","volume":"22","author":[{"family":"Jansson-Knodell","given":"Claire L."},{"family":"Rubio-Tapia","given":"Alberto"}],"issued":{"date-parts":[["2024",4,1]]}}}],"schema":"https://github.com/citation-style-language/schema/raw/master/csl-citation.json"} </w:instrText>
      </w:r>
      <w:r w:rsidRPr="007B7747">
        <w:rPr>
          <w:rFonts w:ascii="Arial" w:hAnsi="Arial" w:cs="Arial"/>
        </w:rPr>
        <w:fldChar w:fldCharType="separate"/>
      </w:r>
      <w:r w:rsidR="00416159" w:rsidRPr="007B7747">
        <w:rPr>
          <w:rFonts w:ascii="Arial" w:hAnsi="Arial" w:cs="Arial"/>
        </w:rPr>
        <w:t xml:space="preserve">(Jansson-Knodell </w:t>
      </w:r>
      <w:r w:rsidR="00DD6C5F" w:rsidRPr="007B7747">
        <w:rPr>
          <w:rFonts w:ascii="Arial" w:hAnsi="Arial" w:cs="Arial"/>
        </w:rPr>
        <w:t>and</w:t>
      </w:r>
      <w:r w:rsidR="00416159" w:rsidRPr="007B7747">
        <w:rPr>
          <w:rFonts w:ascii="Arial" w:hAnsi="Arial" w:cs="Arial"/>
        </w:rPr>
        <w:t xml:space="preserve"> Rubio-Tapia, 2024)</w:t>
      </w:r>
      <w:r w:rsidRPr="007B7747">
        <w:rPr>
          <w:rFonts w:ascii="Arial" w:hAnsi="Arial" w:cs="Arial"/>
        </w:rPr>
        <w:fldChar w:fldCharType="end"/>
      </w:r>
      <w:r w:rsidRPr="007B7747">
        <w:rPr>
          <w:rFonts w:ascii="Arial" w:hAnsi="Arial" w:cs="Arial"/>
        </w:rPr>
        <w:t>.</w:t>
      </w:r>
      <w:r w:rsidR="004032BE" w:rsidRPr="007B7747">
        <w:rPr>
          <w:rFonts w:ascii="Arial" w:hAnsi="Arial" w:cs="Arial"/>
        </w:rPr>
        <w:t xml:space="preserve"> </w:t>
      </w:r>
      <w:r w:rsidRPr="007B7747">
        <w:rPr>
          <w:rFonts w:ascii="Arial" w:hAnsi="Arial" w:cs="Arial"/>
          <w:lang w:bidi="ar-IQ"/>
        </w:rPr>
        <w:t xml:space="preserve">Among the study samples, the </w:t>
      </w:r>
      <w:r w:rsidR="006F3F4D" w:rsidRPr="007B7747">
        <w:rPr>
          <w:rFonts w:ascii="Arial" w:hAnsi="Arial" w:cs="Arial"/>
          <w:lang w:bidi="ar-IQ"/>
        </w:rPr>
        <w:t>results</w:t>
      </w:r>
      <w:r w:rsidRPr="007B7747">
        <w:rPr>
          <w:rFonts w:ascii="Arial" w:hAnsi="Arial" w:cs="Arial"/>
          <w:lang w:bidi="ar-IQ"/>
        </w:rPr>
        <w:t xml:space="preserve"> showed a high prevalence of combined cutaneous/respiratory symptoms, including </w:t>
      </w:r>
      <w:r w:rsidRPr="007B7747">
        <w:rPr>
          <w:rFonts w:ascii="Arial" w:hAnsi="Arial" w:cs="Arial"/>
        </w:rPr>
        <w:t>skin rash with breath shortening, cough, and itching (38.54%), skin rash with itching alone (36.59%), sneezing with cough (20.73%), and digestive issues (4.15%).</w:t>
      </w:r>
      <w:r w:rsidRPr="007B7747">
        <w:rPr>
          <w:rFonts w:ascii="Arial" w:hAnsi="Arial" w:cs="Arial"/>
          <w:lang w:bidi="ar-IQ"/>
        </w:rPr>
        <w:t xml:space="preserve"> These symptoms </w:t>
      </w:r>
      <w:r w:rsidRPr="007B7747">
        <w:rPr>
          <w:rFonts w:ascii="Arial" w:hAnsi="Arial" w:cs="Arial"/>
        </w:rPr>
        <w:t xml:space="preserve">indicated a spectrum of allergic manifestations involving multiple organ systems. Studies have reported a high prevalence of a combination of skin irritation and respiratory symptoms among the student population </w:t>
      </w:r>
      <w:r w:rsidRPr="007B7747">
        <w:rPr>
          <w:rFonts w:ascii="Arial" w:hAnsi="Arial" w:cs="Arial"/>
        </w:rPr>
        <w:fldChar w:fldCharType="begin"/>
      </w:r>
      <w:r w:rsidR="00416159" w:rsidRPr="007B7747">
        <w:rPr>
          <w:rFonts w:ascii="Arial" w:hAnsi="Arial" w:cs="Arial"/>
        </w:rPr>
        <w:instrText xml:space="preserve"> ADDIN ZOTERO_ITEM CSL_CITATION {"citationID":"a1eu2555amn","properties":{"formattedCitation":"(Ibrahim et al., 2019)","plainCitation":"(Ibrahim et al., 2019)","noteIndex":0},"citationItems":[{"id":8064,"uris":["http://zotero.org/users/2543086/items/SV3QPEHM"],"itemData":{"id":8064,"type":"article-journal","abstract":"Objectives:\nTo determine the prevalence, types, clinical presentations, triggers, and predictors of allergic disorders among medical students and interns at King Abdulaziz University (KAU), Jeddah, Saudi Arabia.\n\nMethods:\nA cross-sectional design was used for this study in which 600 medical students and interns were selected by a multistage stratified random sampling. A validated, confidential, self-administered questionnaire was used during 2016 / 2017. It asked about the previous diagnosis of allergic disorders, associated factors, types, clinical symptoms and the triggering allergenic. Descriptive &amp; inferential statistics were done and logistic regression analysis was conducted.\n\nResults:\nThe overall prevalence of diagnosed allergic disorder(s) among the participants was 36.2%.The commonest types of allergy were skin (33.8%) followed by respiratory (29.5%) presentations. The most frequently reported allergenic triggers were the house dust (45.6%) and smoke (30.4%). The first allergy predictor was family history of allergic disorders (aOR= 4.35, 95 % CI: 2.96-6.39), followed by female gender. Regarding the outcome of allergy on students’ life, 16.1% occasionally missed classes, and 28.6% had sleep disturbance during allergic attacks.\n\nConclusion:\nAllergy represents an important problem among medical students and interns. Family history and female gender were the predictors of allergy. Skin and respiratory allergies were the most common types. House dust and smoke were the commonest allergenic triggers. Detection of allergens and management of cases of allergy among medical students and interns are needed. Education and conduction of awareness campaigns about allergy are needed.","container-title":"Pakistan Journal of Medical Sciences","DOI":"10.12669/pjms.35.4.1281","ISSN":"1682-024X","issue":"4","journalAbbreviation":"Pak J Med Sci","note":"PMID: 31372143\nPMCID: PMC6659050","page":"1060-1065","source":"PubMed Central","title":"Allergy and related clinical symptoms among medical students and interns","volume":"35","author":[{"family":"Ibrahim","given":"Nahla Khamis"},{"family":"Alghamdi","given":"Abeer Ali"},{"family":"Almehmadi","given":"Mayar Majed"},{"family":"Alzahrani","given":"Asma Abdulwahed"},{"family":"Turkistani","given":"Asraa Khairallah"},{"family":"Alghamdi","given":"Khalid"}],"issued":{"date-parts":[["2019"]]}}}],"schema":"https://github.com/citation-style-language/schema/raw/master/csl-citation.json"} </w:instrText>
      </w:r>
      <w:r w:rsidRPr="007B7747">
        <w:rPr>
          <w:rFonts w:ascii="Arial" w:hAnsi="Arial" w:cs="Arial"/>
        </w:rPr>
        <w:fldChar w:fldCharType="separate"/>
      </w:r>
      <w:r w:rsidR="00416159" w:rsidRPr="007B7747">
        <w:rPr>
          <w:rFonts w:ascii="Arial" w:hAnsi="Arial" w:cs="Arial"/>
        </w:rPr>
        <w:t>(Ibrahim et al., 2019)</w:t>
      </w:r>
      <w:r w:rsidRPr="007B7747">
        <w:rPr>
          <w:rFonts w:ascii="Arial" w:hAnsi="Arial" w:cs="Arial"/>
        </w:rPr>
        <w:fldChar w:fldCharType="end"/>
      </w:r>
      <w:r w:rsidRPr="007B7747">
        <w:rPr>
          <w:rFonts w:ascii="Arial" w:hAnsi="Arial" w:cs="Arial"/>
        </w:rPr>
        <w:t xml:space="preserve">. The combination of symptoms </w:t>
      </w:r>
      <w:r w:rsidR="006F3F4D" w:rsidRPr="007B7747">
        <w:rPr>
          <w:rFonts w:ascii="Arial" w:hAnsi="Arial" w:cs="Arial"/>
        </w:rPr>
        <w:t xml:space="preserve">is </w:t>
      </w:r>
      <w:r w:rsidRPr="007B7747">
        <w:rPr>
          <w:rFonts w:ascii="Arial" w:hAnsi="Arial" w:cs="Arial"/>
        </w:rPr>
        <w:t>potentially due to anaphylaxis</w:t>
      </w:r>
      <w:r w:rsidR="006F3F4D" w:rsidRPr="007B7747">
        <w:rPr>
          <w:rFonts w:ascii="Arial" w:hAnsi="Arial" w:cs="Arial"/>
        </w:rPr>
        <w:t>,</w:t>
      </w:r>
      <w:r w:rsidRPr="007B7747">
        <w:rPr>
          <w:rFonts w:ascii="Arial" w:hAnsi="Arial" w:cs="Arial"/>
        </w:rPr>
        <w:t xml:space="preserve"> severe allergic reactions, which are characteristically associated with two or more organ systems simultaneously, including the skin and respiratory tract </w:t>
      </w:r>
      <w:r w:rsidRPr="007B7747">
        <w:rPr>
          <w:rFonts w:ascii="Arial" w:hAnsi="Arial" w:cs="Arial"/>
        </w:rPr>
        <w:fldChar w:fldCharType="begin"/>
      </w:r>
      <w:r w:rsidR="00416159" w:rsidRPr="007B7747">
        <w:rPr>
          <w:rFonts w:ascii="Arial" w:hAnsi="Arial" w:cs="Arial"/>
        </w:rPr>
        <w:instrText xml:space="preserve"> ADDIN ZOTERO_ITEM CSL_CITATION {"citationID":"a2jrikddnmu","properties":{"formattedCitation":"(Cardona et al., 2020)","plainCitation":"(Cardona et al., 2020)","noteIndex":0},"citationItems":[{"id":8071,"uris":["http://zotero.org/users/2543086/items/J4SQGQJ8"],"itemData":{"id":8071,"type":"article-journal","abstract":"Anaphylaxis is the most severe clinical presentation of acute systemic allergic reactions. The occurrence of anaphylaxis has increased in recent years, and subsequently, there is a need to continue disseminating knowledge on the diagnosis and management, so every healthcare professional is prepared to deal with such emergencies. The rationale of this updated position document is the need to keep guidance aligned with the current state of the art of knowledge in anaphylaxis management. The World Allergy Organization (WAO) anaphylaxis guidelines were published in 2011, and the current guidance adopts their major indications, incorporating some novel changes. Intramuscular epinephrine (adrenaline) continues to be the first-line treatment for anaphylaxis. Nevertheless, its use remains suboptimal. After an anaphylaxis occurrence, patients should be referred to a specialist to assess the potential cause and to be educated on prevention of recurrences and self-management. The limited availability of epinephrine auto-injectors remains a major problem in many countries, as well as their affordability for some patients.","container-title":"World Allergy Organization Journal","DOI":"10.1016/j.waojou.2020.100472","ISSN":"1939-4551","issue":"10","journalAbbreviation":"World Allergy Organization Journal","page":"100472","source":"ScienceDirect","title":"World Allergy Organization Anaphylaxis Guidance 2020","volume":"13","author":[{"family":"Cardona","given":"Victoria"},{"family":"Ansotegui","given":"Ignacio J."},{"family":"Ebisawa","given":"Motohiro"},{"family":"El-Gamal","given":"Yehia"},{"family":"Fernandez Rivas","given":"Montserrat"},{"family":"Fineman","given":"Stanley"},{"family":"Geller","given":"Mario"},{"family":"Gonzalez-Estrada","given":"Alexei"},{"family":"Greenberger","given":"Paul A."},{"family":"Sanchez Borges","given":"Mario"},{"family":"Senna","given":"Gianenrico"},{"family":"Sheikh","given":"Aziz"},{"family":"Tanno","given":"Luciana Kase"},{"family":"Thong","given":"Bernard Y."},{"family":"Turner","given":"Paul J."},{"family":"Worm","given":"Margitta"}],"issued":{"date-parts":[["2020",10,1]]}}}],"schema":"https://github.com/citation-style-language/schema/raw/master/csl-citation.json"} </w:instrText>
      </w:r>
      <w:r w:rsidRPr="007B7747">
        <w:rPr>
          <w:rFonts w:ascii="Arial" w:hAnsi="Arial" w:cs="Arial"/>
        </w:rPr>
        <w:fldChar w:fldCharType="separate"/>
      </w:r>
      <w:r w:rsidR="00416159" w:rsidRPr="007B7747">
        <w:rPr>
          <w:rFonts w:ascii="Arial" w:hAnsi="Arial" w:cs="Arial"/>
        </w:rPr>
        <w:t>(Cardona et al., 2020)</w:t>
      </w:r>
      <w:r w:rsidRPr="007B7747">
        <w:rPr>
          <w:rFonts w:ascii="Arial" w:hAnsi="Arial" w:cs="Arial"/>
        </w:rPr>
        <w:fldChar w:fldCharType="end"/>
      </w:r>
      <w:r w:rsidRPr="007B7747">
        <w:rPr>
          <w:rFonts w:ascii="Arial" w:hAnsi="Arial" w:cs="Arial"/>
        </w:rPr>
        <w:t xml:space="preserve">. These symptoms result from the activation of mast cells and basophils, which is associated with the crosslinking of </w:t>
      </w:r>
      <w:proofErr w:type="spellStart"/>
      <w:r w:rsidRPr="007B7747">
        <w:rPr>
          <w:rFonts w:ascii="Arial" w:hAnsi="Arial" w:cs="Arial"/>
        </w:rPr>
        <w:t>IgE</w:t>
      </w:r>
      <w:proofErr w:type="spellEnd"/>
      <w:r w:rsidRPr="007B7747">
        <w:rPr>
          <w:rFonts w:ascii="Arial" w:hAnsi="Arial" w:cs="Arial"/>
        </w:rPr>
        <w:t xml:space="preserve"> on </w:t>
      </w:r>
      <w:proofErr w:type="spellStart"/>
      <w:r w:rsidRPr="007B7747">
        <w:rPr>
          <w:rFonts w:ascii="Arial" w:hAnsi="Arial" w:cs="Arial"/>
        </w:rPr>
        <w:t>FcεRI</w:t>
      </w:r>
      <w:proofErr w:type="spellEnd"/>
      <w:r w:rsidRPr="007B7747">
        <w:rPr>
          <w:rFonts w:ascii="Arial" w:hAnsi="Arial" w:cs="Arial"/>
        </w:rPr>
        <w:t xml:space="preserve">, leading to the immediate release of histamine </w:t>
      </w:r>
      <w:r w:rsidRPr="007B7747">
        <w:rPr>
          <w:rFonts w:ascii="Arial" w:hAnsi="Arial" w:cs="Arial"/>
        </w:rPr>
        <w:fldChar w:fldCharType="begin"/>
      </w:r>
      <w:r w:rsidR="00AF6B38" w:rsidRPr="007B7747">
        <w:rPr>
          <w:rFonts w:ascii="Arial" w:hAnsi="Arial" w:cs="Arial"/>
        </w:rPr>
        <w:instrText xml:space="preserve"> ADDIN ZOTERO_ITEM CSL_CITATION {"citationID":"ah3qecpa5h","properties":{"formattedCitation":"(Peavy &amp; Metcalfe, 2008)","plainCitation":"(Peavy &amp; Metcalfe, 2008)","dontUpdate":true,"noteIndex":0},"citationItems":[{"id":8074,"uris":["http://zotero.org/users/2543086/items/7QF2LDQW"],"itemData":{"id":8074,"type":"article-journal","abstract":"Purpose of review\nThe present review considers recent reports that identify the roles of key intermediate signaling components and mediators during and after mast cell activation and degranulation leading to anaphylaxis.\n\nRecent findings\nMechanisms of anaphylaxis are becoming better understood as the interaction of several regulatory systems in the mast cell activation and degranulation signaling cascade. Multiple tyrosine kinases, activated after immunoglobulin E binding to the high-affinity receptors for immunoglobulin E (FcεRI), exert both positive and negative regulation on the signaling cascade, which may vary with genetic background or mutations in signaling proteins. Calcium influx, the essential, proximal intracellular event leading to mast cell degranulation, is controlled also by both negative and positive regulation through calcium channels. Sphingosine-1-phosphate is emerging as a newly realized mediator of anaphylaxis, acting as a signaling component within the mast cell and as a circulating mediator.\n\nSummary\nAnaphylaxis is a systemic reaction involving multiple organ systems, but it is believed that it may be influenced by cellular events in mast cells and basophils resulting in the release of mediators. Therefore, understanding the mechanisms of mast cell activation and degranulation is critical to understanding the mechanisms of anaphylaxis. Recent reports have identified important regulatory components of the signaling cascade and, consequently, potential targets for therapeutic intervention.","container-title":"Current opinion in allergy and clinical immunology","DOI":"10.1097/ACI.0b013e3283036a90","ISSN":"1528-4050","issue":"4","journalAbbreviation":"Curr Opin Allergy Clin Immunol","note":"PMID: 18596587\nPMCID: PMC2683407","page":"310-315","source":"PubMed Central","title":"Understanding the mechanisms of anaphylaxis","volume":"8","author":[{"family":"Peavy","given":"Richard D."},{"family":"Metcalfe","given":"Dean D."}],"issued":{"date-parts":[["2008",8]]}}}],"schema":"https://github.com/citation-style-language/schema/raw/master/csl-citation.json"} </w:instrText>
      </w:r>
      <w:r w:rsidRPr="007B7747">
        <w:rPr>
          <w:rFonts w:ascii="Arial" w:hAnsi="Arial" w:cs="Arial"/>
        </w:rPr>
        <w:fldChar w:fldCharType="separate"/>
      </w:r>
      <w:r w:rsidR="00416159" w:rsidRPr="007B7747">
        <w:rPr>
          <w:rFonts w:ascii="Arial" w:hAnsi="Arial" w:cs="Arial"/>
        </w:rPr>
        <w:t xml:space="preserve">(Peavy </w:t>
      </w:r>
      <w:r w:rsidR="00DD6C5F" w:rsidRPr="007B7747">
        <w:rPr>
          <w:rFonts w:ascii="Arial" w:hAnsi="Arial" w:cs="Arial"/>
        </w:rPr>
        <w:t>and</w:t>
      </w:r>
      <w:r w:rsidR="00416159" w:rsidRPr="007B7747">
        <w:rPr>
          <w:rFonts w:ascii="Arial" w:hAnsi="Arial" w:cs="Arial"/>
        </w:rPr>
        <w:t xml:space="preserve"> Metcalfe, 2008)</w:t>
      </w:r>
      <w:r w:rsidRPr="007B7747">
        <w:rPr>
          <w:rFonts w:ascii="Arial" w:hAnsi="Arial" w:cs="Arial"/>
        </w:rPr>
        <w:fldChar w:fldCharType="end"/>
      </w:r>
      <w:r w:rsidRPr="007B7747">
        <w:rPr>
          <w:rFonts w:ascii="Arial" w:hAnsi="Arial" w:cs="Arial"/>
        </w:rPr>
        <w:t xml:space="preserve">. </w:t>
      </w:r>
      <w:r w:rsidRPr="007B7747">
        <w:rPr>
          <w:rFonts w:ascii="Arial" w:hAnsi="Arial" w:cs="Arial"/>
          <w:lang w:bidi="ar-IQ"/>
        </w:rPr>
        <w:t xml:space="preserve">The skin is the largest immune organ, supported by a complex mixture of immune cells, particularly mast cells, which are mainly located in the dermis and orchestrate the defense mechanisms. Mast cells play a pivotal role as the first line of defense against microbial antigens, and they contain a large number of proinflammatory mediators within their cytoplasmic secretory granules, primarily histamines </w:t>
      </w:r>
      <w:r w:rsidRPr="007B7747">
        <w:rPr>
          <w:rFonts w:ascii="Arial" w:hAnsi="Arial" w:cs="Arial"/>
          <w:lang w:bidi="ar-IQ"/>
        </w:rPr>
        <w:fldChar w:fldCharType="begin"/>
      </w:r>
      <w:r w:rsidR="00416159" w:rsidRPr="007B7747">
        <w:rPr>
          <w:rFonts w:ascii="Arial" w:hAnsi="Arial" w:cs="Arial"/>
          <w:lang w:bidi="ar-IQ"/>
        </w:rPr>
        <w:instrText xml:space="preserve"> ADDIN ZOTERO_ITEM CSL_CITATION {"citationID":"a29m4ephvn4","properties":{"formattedCitation":"(Banafea et al., 2022)","plainCitation":"(Banafea et al., 2022)","noteIndex":0},"citationItems":[{"id":8155,"uris":["http://zotero.org/users/2543086/items/HM4ZUEQX"],"itemData":{"id":8155,"type":"article-journal","abstract":"Mast cells are tissue-inhabiting cells that play an important role in inflammatory diseases of the airway tract. Mast cells arise in the bone marrow as progenitor cells and complete their differentiation in tissues exposed to the external environment, such as the skin and respiratory tract, and are among the first to respond to bacterial and parasitic infections. Mast cells express a variety of receptors that enable them to respond to a wide range of stimulants, including the high-affinity FcεRI receptor. Upon initial contact with an antigen, mast cells are sensitized with IgE to recognize the allergen upon further contact. FcεRI-activated mast cells are known to release histamine and proteases that contribute to asthma symptoms. They release a variety of cytokines and lipid mediators that contribute to immune cell accumulation and tissue remodeling in asthma. Mast cell mediators trigger inflammation and also have a protective effect. This review aims to update the existing knowledge on the mediators released by human FcεRI-activated mast cells, and to unravel their pathological and protective roles in asthma and allergy. In addition, we highlight other diseases that arise from mast cell dysfunction, the therapeutic approaches used to address them, and fill the gaps in our current knowledge. Mast cell mediators not only trigger inflammation but may also have a protective effect. Given the differences between human and animal mast cells, this review focuses on the mediators released by human FcεRI-activated mast cells and the role they play in asthma and allergy.","container-title":"Bioengineered","DOI":"10.1080/21655979.2022.2044278","ISSN":"2165-5979","issue":"3","note":"publisher: Taylor &amp; Francis\n_eprint: https://doi.org/10.1080/21655979.2022.2044278\nPMID: 35266441","page":"7049-7064","source":"Taylor and Francis+NEJM","title":"The role of human mast cells in allergy and asthma","volume":"13","author":[{"family":"Banafea","given":"Ghalya H"},{"family":"","given":"Bakhashab ,Sherin"},{"family":"","given":"Alshaibi ,Huda F"},{"family":"","given":"Natesan Pushparaj ,Peter"},{"family":"Rasool","given":"Mahmood","non-dropping-particle":"and"}],"issued":{"date-parts":[["2022",3,1]]}}}],"schema":"https://github.com/citation-style-language/schema/raw/master/csl-citation.json"} </w:instrText>
      </w:r>
      <w:r w:rsidRPr="007B7747">
        <w:rPr>
          <w:rFonts w:ascii="Arial" w:hAnsi="Arial" w:cs="Arial"/>
          <w:lang w:bidi="ar-IQ"/>
        </w:rPr>
        <w:fldChar w:fldCharType="separate"/>
      </w:r>
      <w:r w:rsidR="00416159" w:rsidRPr="007B7747">
        <w:rPr>
          <w:rFonts w:ascii="Arial" w:hAnsi="Arial" w:cs="Arial"/>
        </w:rPr>
        <w:t>(Banafea et al., 2022)</w:t>
      </w:r>
      <w:r w:rsidRPr="007B7747">
        <w:rPr>
          <w:rFonts w:ascii="Arial" w:hAnsi="Arial" w:cs="Arial"/>
          <w:lang w:bidi="ar-IQ"/>
        </w:rPr>
        <w:fldChar w:fldCharType="end"/>
      </w:r>
      <w:r w:rsidRPr="007B7747">
        <w:rPr>
          <w:rFonts w:ascii="Arial" w:hAnsi="Arial" w:cs="Arial"/>
          <w:lang w:bidi="ar-IQ"/>
        </w:rPr>
        <w:t xml:space="preserve">. Histamine triggers an itch sensation on the skin, prompting the desire to scratch. </w:t>
      </w:r>
      <w:r w:rsidRPr="007B7747">
        <w:rPr>
          <w:rFonts w:ascii="Arial" w:hAnsi="Arial" w:cs="Arial"/>
        </w:rPr>
        <w:t xml:space="preserve">Skin irritation, including itching, pruritus, and rashes, is a common hallmark of allergic reactions due to histamine release, reflecting the complex immune mechanisms triggered by allergen exposure </w:t>
      </w:r>
      <w:r w:rsidRPr="007B7747">
        <w:rPr>
          <w:rFonts w:ascii="Arial" w:hAnsi="Arial" w:cs="Arial"/>
        </w:rPr>
        <w:fldChar w:fldCharType="begin"/>
      </w:r>
      <w:r w:rsidR="00416159" w:rsidRPr="007B7747">
        <w:rPr>
          <w:rFonts w:ascii="Arial" w:hAnsi="Arial" w:cs="Arial"/>
        </w:rPr>
        <w:instrText xml:space="preserve"> ADDIN ZOTERO_ITEM CSL_CITATION {"citationID":"a5c2gp4n8g","properties":{"formattedCitation":"(Umehara et al., 2021)","plainCitation":"(Umehara et al., 2021)","noteIndex":0},"citationItems":[{"id":8157,"uris":["http://zotero.org/users/2543086/items/B7ESRBTI"],"itemData":{"id":8157,"type":"article-journal","abstract":"Itch or pruritus is the hallmark of atopic dermatitis and is defined as an unpleasant sensation that evokes the desire to scratch. It is also believed that itch is a signal of danger from various environmental factors or physiological abnormalities. Because histamine is a well-known substance inducing itch, H1-antihistamines are the most frequently used drugs to treat pruritus. However, H1-antihistamines are not fully effective against intractable itch in patients with atopic dermatitis. Given that intractable itch is a clinical problem that markedly decreases quality of life, its treatment in atopic dermatitis is of high importance. Histamine-independent itch may be elicited by various pruritogens, including proteases, cytokines, neuropeptides, lipids, and opioids, and their cognate receptors, such as protease-activated receptors, cytokine receptors, Mas-related G protein-coupled receptors, opioid receptors, and transient receptor potential channels. In addition, cutaneous hyperinnervation is partly involved in itch sensitization in the periphery. It is believed that dry skin is a key feature of intractable itch in atopic dermatitis. Treatment of the underlying conditions that cause itch is necessary to improve the quality of life of patients with atopic dermatitis. This review describes current insights into the pathophysiology of itch and its treatment in atopic dermatitis.","container-title":"Biomedicines","DOI":"10.3390/biomedicines9030229","ISSN":"2227-9059","issue":"3","journalAbbreviation":"Biomedicines","note":"PMID: 33668714\nPMCID: PMC7996203","page":"229","source":"PubMed Central","title":"Intractable Itch in Atopic Dermatitis: Causes and Treatments","title-short":"Intractable Itch in Atopic Dermatitis","volume":"9","author":[{"family":"Umehara","given":"Yoshie"},{"family":"Kiatsurayanon","given":"Chanisa"},{"family":"Trujillo-Paez","given":"Juan Valentin"},{"family":"Chieosilapatham","given":"Panjit"},{"family":"Peng","given":"Ge"},{"family":"Yue","given":"Hainan"},{"family":"Nguyen","given":"Hai Le Thanh"},{"family":"Song","given":"Pu"},{"family":"Okumura","given":"Ko"},{"family":"Ogawa","given":"Hideoki"},{"family":"Niyonsaba","given":"François"}],"issued":{"date-parts":[["2021",2,25]]}}}],"schema":"https://github.com/citation-style-language/schema/raw/master/csl-citation.json"} </w:instrText>
      </w:r>
      <w:r w:rsidRPr="007B7747">
        <w:rPr>
          <w:rFonts w:ascii="Arial" w:hAnsi="Arial" w:cs="Arial"/>
        </w:rPr>
        <w:fldChar w:fldCharType="separate"/>
      </w:r>
      <w:r w:rsidR="00416159" w:rsidRPr="007B7747">
        <w:rPr>
          <w:rFonts w:ascii="Arial" w:hAnsi="Arial" w:cs="Arial"/>
        </w:rPr>
        <w:t>(Umehara et al., 2021)</w:t>
      </w:r>
      <w:r w:rsidRPr="007B7747">
        <w:rPr>
          <w:rFonts w:ascii="Arial" w:hAnsi="Arial" w:cs="Arial"/>
        </w:rPr>
        <w:fldChar w:fldCharType="end"/>
      </w:r>
      <w:r w:rsidRPr="007B7747">
        <w:rPr>
          <w:rFonts w:ascii="Arial" w:hAnsi="Arial" w:cs="Arial"/>
        </w:rPr>
        <w:t xml:space="preserve">. Accordingly, </w:t>
      </w:r>
      <w:r w:rsidRPr="007B7747">
        <w:rPr>
          <w:rFonts w:ascii="Arial" w:hAnsi="Arial" w:cs="Arial"/>
          <w:lang w:bidi="ar-IQ"/>
        </w:rPr>
        <w:t>cutaneous symptoms are the predominant signs observed in the population studied. An inflammatory immune response may also develop, leading to hypersensitivity reactions triggered by allergens, which are typically characterized by skin redness and swelling, such as contact dermatitis and atopic dermatitis.</w:t>
      </w:r>
      <w:r w:rsidRPr="007B7747">
        <w:rPr>
          <w:rFonts w:ascii="Arial" w:hAnsi="Arial" w:cs="Arial"/>
        </w:rPr>
        <w:t> Conversely,</w:t>
      </w:r>
      <w:r w:rsidRPr="007B7747">
        <w:rPr>
          <w:rStyle w:val="whitespace-nowrap"/>
          <w:rFonts w:ascii="Arial" w:hAnsi="Arial" w:cs="Arial"/>
        </w:rPr>
        <w:t xml:space="preserve"> digestive symptoms are presented less commonly, which aligns with the recognized gastrointestinal effects of food allergies, where immune-mediated responses lead to symptoms such as abdominal pain, nausea, or </w:t>
      </w:r>
      <w:r w:rsidRPr="007B7747">
        <w:rPr>
          <w:rStyle w:val="whitespace-nowrap"/>
          <w:rFonts w:ascii="Arial" w:hAnsi="Arial" w:cs="Arial"/>
        </w:rPr>
        <w:lastRenderedPageBreak/>
        <w:t>vomiting</w:t>
      </w:r>
      <w:r w:rsidRPr="007B7747">
        <w:rPr>
          <w:rFonts w:ascii="Arial" w:hAnsi="Arial" w:cs="Arial"/>
        </w:rPr>
        <w:t xml:space="preserve"> </w:t>
      </w:r>
      <w:r w:rsidRPr="007B7747">
        <w:rPr>
          <w:rFonts w:ascii="Arial" w:hAnsi="Arial" w:cs="Arial"/>
        </w:rPr>
        <w:fldChar w:fldCharType="begin"/>
      </w:r>
      <w:r w:rsidR="00AF6B38" w:rsidRPr="007B7747">
        <w:rPr>
          <w:rFonts w:ascii="Arial" w:hAnsi="Arial" w:cs="Arial"/>
        </w:rPr>
        <w:instrText xml:space="preserve"> ADDIN ZOTERO_ITEM CSL_CITATION {"citationID":"a2jkv9u1f4a","properties":{"formattedCitation":"(Brown-Whitehorn &amp; Spergel, 2020)","plainCitation":"(Brown-Whitehorn &amp; Spergel, 2020)","dontUpdate":true,"noteIndex":0},"citationItems":[{"id":8160,"uris":["http://zotero.org/users/2543086/items/T83J3JHZ"],"itemData":{"id":8160,"type":"article-journal","abstract":"Eosinophilic esophagitis (EoE) is a non–immunoglobulin E mediated disorder that has been seen with increasing frequency over the past 25 years. Although the presentation varies per age group from vomiting and refusal to eat in infants and toddlers to abdominal pain and dysphagia in school-aged children, and food impaction and indigestion in adolescents and adults. Treatment options include proton-pump inhibitors, dietary avoidance, swallowed steroids, or a combination of these. Newer therapies with biologics show promise in early studies. Cow's milk is the most common food trigger of EoE across all age groups, followed by wheat and eggs. Different dietary avoidance strategies have been used, and help from a knowledgeable nutritionist is often key to success. Patients with EoE commonly have other baseline atopic disease. Clinicians who take care of patients who are atopic, therefore, should have a higher index of suspicion for EoE in patients with dysphagia. The goals of treatment are both a decrease in symptoms and normalization of esophageal histology. Eosinophilic gastrointestinal diseases are less common and less likely to respond to dietary therapies and/or avoidance. Pathogenesis seems to be different and may be more autoimmune mediated. Trialing dietary restrictions is certainly an option in this cohort of patients. For persistent symptoms and abnormalities, systemic medications have been used, although biologics may be used in the future. Additional studies are needed to determine which patients will respond to which therapies.","container-title":"Journal of Food Allergy","DOI":"10.2500/jfa.2020.2.200010","ISSN":"2689-0267","issue":"1","journalAbbreviation":"J Food Allergy","note":"PMID: 39022152\nPMCID: PMC11250641","page":"39-43","source":"PubMed Central","title":"Food allergy and eosinophilic gastrointestinal disorders","volume":"2","author":[{"family":"Brown-Whitehorn","given":"Terri"},{"family":"Spergel","given":"Jonathan M."}],"issued":{"date-parts":[["2020",9,1]]}}}],"schema":"https://github.com/citation-style-language/schema/raw/master/csl-citation.json"} </w:instrText>
      </w:r>
      <w:r w:rsidRPr="007B7747">
        <w:rPr>
          <w:rFonts w:ascii="Arial" w:hAnsi="Arial" w:cs="Arial"/>
        </w:rPr>
        <w:fldChar w:fldCharType="separate"/>
      </w:r>
      <w:r w:rsidR="00416159" w:rsidRPr="007B7747">
        <w:rPr>
          <w:rFonts w:ascii="Arial" w:hAnsi="Arial" w:cs="Arial"/>
        </w:rPr>
        <w:t xml:space="preserve">(Brown-Whitehorn </w:t>
      </w:r>
      <w:r w:rsidR="00DD6C5F" w:rsidRPr="007B7747">
        <w:rPr>
          <w:rFonts w:ascii="Arial" w:hAnsi="Arial" w:cs="Arial"/>
        </w:rPr>
        <w:t>and</w:t>
      </w:r>
      <w:r w:rsidR="00416159" w:rsidRPr="007B7747">
        <w:rPr>
          <w:rFonts w:ascii="Arial" w:hAnsi="Arial" w:cs="Arial"/>
        </w:rPr>
        <w:t xml:space="preserve"> Spergel, 2020)</w:t>
      </w:r>
      <w:r w:rsidRPr="007B7747">
        <w:rPr>
          <w:rFonts w:ascii="Arial" w:hAnsi="Arial" w:cs="Arial"/>
        </w:rPr>
        <w:fldChar w:fldCharType="end"/>
      </w:r>
      <w:r w:rsidRPr="007B7747">
        <w:rPr>
          <w:rFonts w:ascii="Arial" w:hAnsi="Arial" w:cs="Arial"/>
        </w:rPr>
        <w:t>. This pattern of symptoms emphasizes the complex interaction and involvement of the skin, respiratory tract, and gastrointestinal organs in the immune system during allergic reactions. From a clinical perspective, these results point out the importance of identifying specific allergens to draw certain strategies for preventing or avoiding severe allergic reactions that require urgent medical attention, particularly in Basrah province.</w:t>
      </w:r>
      <w:r w:rsidR="004032BE" w:rsidRPr="007B7747">
        <w:rPr>
          <w:rFonts w:ascii="Arial" w:hAnsi="Arial" w:cs="Arial"/>
        </w:rPr>
        <w:t xml:space="preserve"> </w:t>
      </w:r>
      <w:r w:rsidRPr="007B7747">
        <w:rPr>
          <w:rFonts w:ascii="Arial" w:hAnsi="Arial" w:cs="Arial"/>
          <w:lang w:bidi="ar-IQ"/>
        </w:rPr>
        <w:t xml:space="preserve">This study had several limitations. Firstly, a small </w:t>
      </w:r>
      <w:r w:rsidR="006F3F4D" w:rsidRPr="007B7747">
        <w:rPr>
          <w:rFonts w:ascii="Arial" w:hAnsi="Arial" w:cs="Arial"/>
          <w:lang w:bidi="ar-IQ"/>
        </w:rPr>
        <w:t xml:space="preserve">sample </w:t>
      </w:r>
      <w:r w:rsidRPr="007B7747">
        <w:rPr>
          <w:rFonts w:ascii="Arial" w:hAnsi="Arial" w:cs="Arial"/>
          <w:lang w:bidi="ar-IQ"/>
        </w:rPr>
        <w:t xml:space="preserve">size of participants may be considered one of these limitations. Second, the definitions of allergy symptoms collected from questionnaire choices may not represent the actual symptoms, and the conclusions obtained may be biased. </w:t>
      </w:r>
    </w:p>
    <w:p w14:paraId="5F2D8D7F" w14:textId="77777777" w:rsidR="0013405D" w:rsidRPr="007B7747" w:rsidRDefault="0013405D" w:rsidP="0013405D">
      <w:pPr>
        <w:spacing w:line="480" w:lineRule="auto"/>
        <w:jc w:val="both"/>
        <w:rPr>
          <w:rFonts w:ascii="Arial" w:hAnsi="Arial" w:cs="Arial"/>
          <w:lang w:bidi="ar-IQ"/>
        </w:rPr>
      </w:pPr>
    </w:p>
    <w:p w14:paraId="719A228A" w14:textId="495525DD" w:rsidR="0013405D" w:rsidRPr="007B7747" w:rsidRDefault="00613337" w:rsidP="00F07716">
      <w:pPr>
        <w:pStyle w:val="ListParagraph"/>
        <w:numPr>
          <w:ilvl w:val="0"/>
          <w:numId w:val="1"/>
        </w:numPr>
        <w:spacing w:line="480" w:lineRule="auto"/>
        <w:jc w:val="center"/>
        <w:rPr>
          <w:rFonts w:ascii="Arial" w:hAnsi="Arial" w:cs="Arial"/>
          <w:b/>
          <w:bCs/>
          <w:lang w:bidi="ar-IQ"/>
        </w:rPr>
      </w:pPr>
      <w:r w:rsidRPr="007B7747">
        <w:rPr>
          <w:rFonts w:ascii="Arial" w:hAnsi="Arial" w:cs="Arial"/>
          <w:b/>
          <w:bCs/>
          <w:lang w:bidi="ar-IQ"/>
        </w:rPr>
        <w:t>CONCLUSION</w:t>
      </w:r>
    </w:p>
    <w:p w14:paraId="5935F747" w14:textId="371A383B" w:rsidR="0037286B" w:rsidRDefault="0013405D" w:rsidP="009B6E5A">
      <w:pPr>
        <w:spacing w:line="480" w:lineRule="auto"/>
        <w:jc w:val="both"/>
        <w:rPr>
          <w:rFonts w:ascii="Arial" w:hAnsi="Arial" w:cs="Arial"/>
        </w:rPr>
      </w:pPr>
      <w:r w:rsidRPr="007B7747">
        <w:rPr>
          <w:rFonts w:ascii="Arial" w:hAnsi="Arial" w:cs="Arial"/>
        </w:rPr>
        <w:t>These findings reveal that dust-contaminated air is identified as the predominant environmental trigger, followed by spicy foods, perfume, pollen, cleaning products, fruits, penicillin, and gluten. Gluten emerges as the most potent active allergen in younger individuals and is associated with the highest symptom severity. Developing strategies to mitigate exposure to dust, pollen, and particularly gluten can enhance allergy management and medical support services. Further research is needed to address and reduce the impact of allergic diseases in this area.</w:t>
      </w:r>
    </w:p>
    <w:p w14:paraId="03EC0CCC" w14:textId="6BF40276" w:rsidR="002A3EB7" w:rsidRDefault="002A3EB7" w:rsidP="009B6E5A">
      <w:pPr>
        <w:spacing w:line="480" w:lineRule="auto"/>
        <w:jc w:val="both"/>
        <w:rPr>
          <w:rFonts w:ascii="Arial" w:hAnsi="Arial" w:cs="Arial"/>
        </w:rPr>
      </w:pPr>
    </w:p>
    <w:p w14:paraId="3858514A" w14:textId="31AFADAF" w:rsidR="001C31C3" w:rsidRDefault="002A3EB7" w:rsidP="002A3EB7">
      <w:pPr>
        <w:spacing w:line="480" w:lineRule="auto"/>
        <w:jc w:val="both"/>
        <w:rPr>
          <w:rFonts w:ascii="Arial" w:hAnsi="Arial" w:cs="Arial"/>
          <w:b/>
        </w:rPr>
      </w:pPr>
      <w:r w:rsidRPr="002A3EB7">
        <w:rPr>
          <w:rFonts w:ascii="Arial" w:hAnsi="Arial" w:cs="Arial"/>
          <w:b/>
        </w:rPr>
        <w:t>Ethical Approval:</w:t>
      </w:r>
    </w:p>
    <w:p w14:paraId="01128E99" w14:textId="528A71F1" w:rsidR="002A3EB7" w:rsidRPr="002A3EB7" w:rsidRDefault="001C31C3" w:rsidP="002A3EB7">
      <w:pPr>
        <w:spacing w:line="480" w:lineRule="auto"/>
        <w:jc w:val="both"/>
        <w:rPr>
          <w:rFonts w:ascii="Arial" w:hAnsi="Arial" w:cs="Arial"/>
        </w:rPr>
      </w:pPr>
      <w:r w:rsidRPr="001C31C3">
        <w:rPr>
          <w:rFonts w:ascii="Arial" w:hAnsi="Arial" w:cs="Arial"/>
        </w:rPr>
        <w:t>Approval for all stages of the study was obtained from the Institutional Scientific and Ethics Committee (No. S/24/09).</w:t>
      </w:r>
    </w:p>
    <w:p w14:paraId="5215A4F2" w14:textId="77777777" w:rsidR="002A3EB7" w:rsidRPr="002A3EB7" w:rsidRDefault="002A3EB7" w:rsidP="002A3EB7">
      <w:pPr>
        <w:spacing w:line="480" w:lineRule="auto"/>
        <w:jc w:val="both"/>
        <w:rPr>
          <w:rFonts w:ascii="Arial" w:hAnsi="Arial" w:cs="Arial"/>
          <w:b/>
        </w:rPr>
      </w:pPr>
      <w:r w:rsidRPr="002A3EB7">
        <w:rPr>
          <w:rFonts w:ascii="Arial" w:hAnsi="Arial" w:cs="Arial"/>
          <w:b/>
        </w:rPr>
        <w:t xml:space="preserve">Consent </w:t>
      </w:r>
      <w:bookmarkStart w:id="0" w:name="_GoBack"/>
      <w:bookmarkEnd w:id="0"/>
    </w:p>
    <w:p w14:paraId="2365C84F" w14:textId="77777777" w:rsidR="002A3EB7" w:rsidRPr="002A3EB7" w:rsidRDefault="002A3EB7" w:rsidP="002A3EB7">
      <w:pPr>
        <w:spacing w:line="480" w:lineRule="auto"/>
        <w:jc w:val="both"/>
        <w:rPr>
          <w:rFonts w:ascii="Arial" w:hAnsi="Arial" w:cs="Arial"/>
        </w:rPr>
      </w:pPr>
      <w:r w:rsidRPr="002A3EB7">
        <w:rPr>
          <w:rFonts w:ascii="Arial" w:hAnsi="Arial" w:cs="Arial"/>
        </w:rPr>
        <w:t>As per international standards or university standards, Participants’ written consent has been collected and preserved by the author(s).</w:t>
      </w:r>
    </w:p>
    <w:p w14:paraId="0B0F4C9A" w14:textId="77777777" w:rsidR="002A3EB7" w:rsidRPr="007B7747" w:rsidRDefault="002A3EB7" w:rsidP="009B6E5A">
      <w:pPr>
        <w:spacing w:line="480" w:lineRule="auto"/>
        <w:jc w:val="both"/>
        <w:rPr>
          <w:rFonts w:ascii="Arial" w:hAnsi="Arial" w:cs="Arial"/>
        </w:rPr>
      </w:pPr>
    </w:p>
    <w:p w14:paraId="5C396C76" w14:textId="77777777" w:rsidR="002A3EB7" w:rsidRDefault="002A3EB7" w:rsidP="0013405D">
      <w:pPr>
        <w:spacing w:line="480" w:lineRule="auto"/>
        <w:jc w:val="both"/>
        <w:rPr>
          <w:rFonts w:ascii="Arial" w:hAnsi="Arial" w:cs="Arial"/>
          <w:b/>
          <w:bCs/>
        </w:rPr>
      </w:pPr>
    </w:p>
    <w:p w14:paraId="18673C35" w14:textId="4EBDA395" w:rsidR="0013405D" w:rsidRPr="007B7747" w:rsidRDefault="0013405D" w:rsidP="0013405D">
      <w:pPr>
        <w:spacing w:line="480" w:lineRule="auto"/>
        <w:jc w:val="both"/>
        <w:rPr>
          <w:rFonts w:ascii="Arial" w:hAnsi="Arial" w:cs="Arial"/>
          <w:b/>
          <w:bCs/>
        </w:rPr>
      </w:pPr>
      <w:r w:rsidRPr="007B7747">
        <w:rPr>
          <w:rFonts w:ascii="Arial" w:hAnsi="Arial" w:cs="Arial"/>
          <w:b/>
          <w:bCs/>
        </w:rPr>
        <w:t>Acknowledgments</w:t>
      </w:r>
    </w:p>
    <w:p w14:paraId="3EB4C19D" w14:textId="71789D8E" w:rsidR="00116357" w:rsidRPr="007B7747" w:rsidRDefault="0013405D" w:rsidP="009B6E5A">
      <w:pPr>
        <w:spacing w:line="480" w:lineRule="auto"/>
        <w:jc w:val="both"/>
        <w:rPr>
          <w:rFonts w:ascii="Arial" w:hAnsi="Arial" w:cs="Arial"/>
        </w:rPr>
      </w:pPr>
      <w:r w:rsidRPr="007B7747">
        <w:rPr>
          <w:rFonts w:ascii="Arial" w:hAnsi="Arial" w:cs="Arial"/>
        </w:rPr>
        <w:t xml:space="preserve">The authors </w:t>
      </w:r>
      <w:r w:rsidR="006F3F4D" w:rsidRPr="007B7747">
        <w:rPr>
          <w:rFonts w:ascii="Arial" w:hAnsi="Arial" w:cs="Arial"/>
        </w:rPr>
        <w:t>thank</w:t>
      </w:r>
      <w:r w:rsidRPr="007B7747">
        <w:rPr>
          <w:rFonts w:ascii="Arial" w:hAnsi="Arial" w:cs="Arial"/>
        </w:rPr>
        <w:t xml:space="preserve"> all the patients who participated in this study voluntarily and provided their information. Also, we would </w:t>
      </w:r>
      <w:r w:rsidR="006F3F4D" w:rsidRPr="007B7747">
        <w:rPr>
          <w:rFonts w:ascii="Arial" w:hAnsi="Arial" w:cs="Arial"/>
        </w:rPr>
        <w:t xml:space="preserve">like to </w:t>
      </w:r>
      <w:r w:rsidRPr="007B7747">
        <w:rPr>
          <w:rFonts w:ascii="Arial" w:hAnsi="Arial" w:cs="Arial"/>
        </w:rPr>
        <w:t xml:space="preserve">thank the Allergic and Asthma </w:t>
      </w:r>
      <w:r w:rsidR="006F3F4D" w:rsidRPr="007B7747">
        <w:rPr>
          <w:rFonts w:ascii="Arial" w:hAnsi="Arial" w:cs="Arial"/>
        </w:rPr>
        <w:t>Center</w:t>
      </w:r>
      <w:r w:rsidRPr="007B7747">
        <w:rPr>
          <w:rFonts w:ascii="Arial" w:hAnsi="Arial" w:cs="Arial"/>
        </w:rPr>
        <w:t xml:space="preserve"> in Basrah </w:t>
      </w:r>
      <w:r w:rsidR="006F3F4D" w:rsidRPr="007B7747">
        <w:rPr>
          <w:rFonts w:ascii="Arial" w:hAnsi="Arial" w:cs="Arial"/>
        </w:rPr>
        <w:t>for facilitating</w:t>
      </w:r>
      <w:r w:rsidRPr="007B7747">
        <w:rPr>
          <w:rFonts w:ascii="Arial" w:hAnsi="Arial" w:cs="Arial"/>
        </w:rPr>
        <w:t xml:space="preserve"> this study and the University of Basrah, College of Science, Department of Biology</w:t>
      </w:r>
      <w:r w:rsidR="006F3F4D" w:rsidRPr="007B7747">
        <w:rPr>
          <w:rFonts w:ascii="Arial" w:hAnsi="Arial" w:cs="Arial"/>
        </w:rPr>
        <w:t>,</w:t>
      </w:r>
      <w:r w:rsidRPr="007B7747">
        <w:rPr>
          <w:rFonts w:ascii="Arial" w:hAnsi="Arial" w:cs="Arial"/>
        </w:rPr>
        <w:t xml:space="preserve"> for support.</w:t>
      </w:r>
    </w:p>
    <w:p w14:paraId="49F00928" w14:textId="479F814A" w:rsidR="0027248A" w:rsidRDefault="0027248A" w:rsidP="0013405D">
      <w:pPr>
        <w:spacing w:line="480" w:lineRule="auto"/>
        <w:outlineLvl w:val="2"/>
        <w:rPr>
          <w:rFonts w:ascii="Arial" w:hAnsi="Arial" w:cs="Arial"/>
        </w:rPr>
      </w:pPr>
    </w:p>
    <w:p w14:paraId="0B16D691" w14:textId="77777777" w:rsidR="002A3EB7" w:rsidRPr="002A3EB7" w:rsidRDefault="002A3EB7" w:rsidP="002A3EB7">
      <w:pPr>
        <w:spacing w:line="480" w:lineRule="auto"/>
        <w:outlineLvl w:val="2"/>
        <w:rPr>
          <w:rFonts w:ascii="Arial" w:hAnsi="Arial" w:cs="Arial"/>
          <w:b/>
        </w:rPr>
      </w:pPr>
      <w:r w:rsidRPr="002A3EB7">
        <w:rPr>
          <w:rFonts w:ascii="Arial" w:hAnsi="Arial" w:cs="Arial"/>
          <w:b/>
        </w:rPr>
        <w:t>Disclaimer (Artificial intelligence)</w:t>
      </w:r>
    </w:p>
    <w:p w14:paraId="063238BE" w14:textId="77777777" w:rsidR="002A3EB7" w:rsidRPr="002A3EB7" w:rsidRDefault="002A3EB7" w:rsidP="002A3EB7">
      <w:pPr>
        <w:spacing w:line="480" w:lineRule="auto"/>
        <w:outlineLvl w:val="2"/>
        <w:rPr>
          <w:rFonts w:ascii="Arial" w:hAnsi="Arial" w:cs="Arial"/>
        </w:rPr>
      </w:pPr>
      <w:r w:rsidRPr="002A3EB7">
        <w:rPr>
          <w:rFonts w:ascii="Arial" w:hAnsi="Arial" w:cs="Arial"/>
        </w:rPr>
        <w:t xml:space="preserve">Option 1: </w:t>
      </w:r>
    </w:p>
    <w:p w14:paraId="4FB7901D" w14:textId="77777777" w:rsidR="002A3EB7" w:rsidRPr="002A3EB7" w:rsidRDefault="002A3EB7" w:rsidP="002A3EB7">
      <w:pPr>
        <w:spacing w:line="480" w:lineRule="auto"/>
        <w:outlineLvl w:val="2"/>
        <w:rPr>
          <w:rFonts w:ascii="Arial" w:hAnsi="Arial" w:cs="Arial"/>
        </w:rPr>
      </w:pPr>
      <w:r w:rsidRPr="002A3EB7">
        <w:rPr>
          <w:rFonts w:ascii="Arial" w:hAnsi="Arial" w:cs="Arial"/>
        </w:rPr>
        <w:t>Author(s) hereby declare that NO generative AI technologies such as Large Language Models (</w:t>
      </w:r>
      <w:proofErr w:type="spellStart"/>
      <w:r w:rsidRPr="002A3EB7">
        <w:rPr>
          <w:rFonts w:ascii="Arial" w:hAnsi="Arial" w:cs="Arial"/>
        </w:rPr>
        <w:t>ChatGPT</w:t>
      </w:r>
      <w:proofErr w:type="spellEnd"/>
      <w:r w:rsidRPr="002A3EB7">
        <w:rPr>
          <w:rFonts w:ascii="Arial" w:hAnsi="Arial" w:cs="Arial"/>
        </w:rPr>
        <w:t xml:space="preserve">, COPILOT, etc.) and text-to-image generators have been used during the writing or editing of this manuscript. </w:t>
      </w:r>
    </w:p>
    <w:p w14:paraId="50208020" w14:textId="77777777" w:rsidR="002A3EB7" w:rsidRPr="002A3EB7" w:rsidRDefault="002A3EB7" w:rsidP="002A3EB7">
      <w:pPr>
        <w:spacing w:line="480" w:lineRule="auto"/>
        <w:outlineLvl w:val="2"/>
        <w:rPr>
          <w:rFonts w:ascii="Arial" w:hAnsi="Arial" w:cs="Arial"/>
        </w:rPr>
      </w:pPr>
      <w:r w:rsidRPr="002A3EB7">
        <w:rPr>
          <w:rFonts w:ascii="Arial" w:hAnsi="Arial" w:cs="Arial"/>
        </w:rPr>
        <w:t xml:space="preserve">Option 2: </w:t>
      </w:r>
    </w:p>
    <w:p w14:paraId="09E0326E" w14:textId="77777777" w:rsidR="002A3EB7" w:rsidRPr="002A3EB7" w:rsidRDefault="002A3EB7" w:rsidP="002A3EB7">
      <w:pPr>
        <w:spacing w:line="480" w:lineRule="auto"/>
        <w:outlineLvl w:val="2"/>
        <w:rPr>
          <w:rFonts w:ascii="Arial" w:hAnsi="Arial" w:cs="Arial"/>
        </w:rPr>
      </w:pPr>
      <w:r w:rsidRPr="002A3EB7">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FB6187" w14:textId="77777777" w:rsidR="002A3EB7" w:rsidRPr="002A3EB7" w:rsidRDefault="002A3EB7" w:rsidP="002A3EB7">
      <w:pPr>
        <w:spacing w:line="480" w:lineRule="auto"/>
        <w:outlineLvl w:val="2"/>
        <w:rPr>
          <w:rFonts w:ascii="Arial" w:hAnsi="Arial" w:cs="Arial"/>
        </w:rPr>
      </w:pPr>
      <w:r w:rsidRPr="002A3EB7">
        <w:rPr>
          <w:rFonts w:ascii="Arial" w:hAnsi="Arial" w:cs="Arial"/>
        </w:rPr>
        <w:t>Details of the AI usage are given below:</w:t>
      </w:r>
    </w:p>
    <w:p w14:paraId="5ED96164" w14:textId="77777777" w:rsidR="002A3EB7" w:rsidRPr="002A3EB7" w:rsidRDefault="002A3EB7" w:rsidP="002A3EB7">
      <w:pPr>
        <w:spacing w:line="480" w:lineRule="auto"/>
        <w:outlineLvl w:val="2"/>
        <w:rPr>
          <w:rFonts w:ascii="Arial" w:hAnsi="Arial" w:cs="Arial"/>
        </w:rPr>
      </w:pPr>
      <w:r w:rsidRPr="002A3EB7">
        <w:rPr>
          <w:rFonts w:ascii="Arial" w:hAnsi="Arial" w:cs="Arial"/>
        </w:rPr>
        <w:t>1.</w:t>
      </w:r>
    </w:p>
    <w:p w14:paraId="547A2227" w14:textId="77777777" w:rsidR="002A3EB7" w:rsidRPr="002A3EB7" w:rsidRDefault="002A3EB7" w:rsidP="002A3EB7">
      <w:pPr>
        <w:spacing w:line="480" w:lineRule="auto"/>
        <w:outlineLvl w:val="2"/>
        <w:rPr>
          <w:rFonts w:ascii="Arial" w:hAnsi="Arial" w:cs="Arial"/>
        </w:rPr>
      </w:pPr>
      <w:r w:rsidRPr="002A3EB7">
        <w:rPr>
          <w:rFonts w:ascii="Arial" w:hAnsi="Arial" w:cs="Arial"/>
        </w:rPr>
        <w:t>2.</w:t>
      </w:r>
    </w:p>
    <w:p w14:paraId="4D2FD13E" w14:textId="6C7D106D" w:rsidR="002A3EB7" w:rsidRPr="007B7747" w:rsidRDefault="002A3EB7" w:rsidP="002A3EB7">
      <w:pPr>
        <w:spacing w:line="480" w:lineRule="auto"/>
        <w:outlineLvl w:val="2"/>
        <w:rPr>
          <w:rFonts w:ascii="Arial" w:hAnsi="Arial" w:cs="Arial"/>
        </w:rPr>
      </w:pPr>
      <w:r w:rsidRPr="002A3EB7">
        <w:rPr>
          <w:rFonts w:ascii="Arial" w:hAnsi="Arial" w:cs="Arial"/>
        </w:rPr>
        <w:t>3.</w:t>
      </w:r>
    </w:p>
    <w:p w14:paraId="5D7E3CFF" w14:textId="77777777" w:rsidR="004328AE" w:rsidRPr="007B7747" w:rsidRDefault="004328AE" w:rsidP="0013405D">
      <w:pPr>
        <w:spacing w:line="480" w:lineRule="auto"/>
        <w:outlineLvl w:val="2"/>
        <w:rPr>
          <w:rFonts w:ascii="Arial" w:hAnsi="Arial" w:cs="Arial"/>
          <w:b/>
          <w:bCs/>
        </w:rPr>
      </w:pPr>
    </w:p>
    <w:p w14:paraId="0C427F16" w14:textId="77777777" w:rsidR="002A3EB7" w:rsidRDefault="002A3EB7" w:rsidP="00613337">
      <w:pPr>
        <w:spacing w:line="480" w:lineRule="auto"/>
        <w:jc w:val="center"/>
        <w:rPr>
          <w:rFonts w:ascii="Arial" w:hAnsi="Arial" w:cs="Arial"/>
          <w:b/>
          <w:bCs/>
          <w:lang w:bidi="ar-IQ"/>
        </w:rPr>
      </w:pPr>
    </w:p>
    <w:p w14:paraId="48CAE028" w14:textId="77777777" w:rsidR="002A3EB7" w:rsidRDefault="002A3EB7" w:rsidP="00613337">
      <w:pPr>
        <w:spacing w:line="480" w:lineRule="auto"/>
        <w:jc w:val="center"/>
        <w:rPr>
          <w:rFonts w:ascii="Arial" w:hAnsi="Arial" w:cs="Arial"/>
          <w:b/>
          <w:bCs/>
          <w:lang w:bidi="ar-IQ"/>
        </w:rPr>
      </w:pPr>
    </w:p>
    <w:p w14:paraId="7C66E615" w14:textId="77777777" w:rsidR="002A3EB7" w:rsidRDefault="002A3EB7" w:rsidP="00613337">
      <w:pPr>
        <w:spacing w:line="480" w:lineRule="auto"/>
        <w:jc w:val="center"/>
        <w:rPr>
          <w:rFonts w:ascii="Arial" w:hAnsi="Arial" w:cs="Arial"/>
          <w:b/>
          <w:bCs/>
          <w:lang w:bidi="ar-IQ"/>
        </w:rPr>
      </w:pPr>
    </w:p>
    <w:p w14:paraId="5E2BC900" w14:textId="35C5B2BE" w:rsidR="0013405D" w:rsidRPr="007B7747" w:rsidRDefault="00613337" w:rsidP="00613337">
      <w:pPr>
        <w:spacing w:line="480" w:lineRule="auto"/>
        <w:jc w:val="center"/>
        <w:rPr>
          <w:rFonts w:ascii="Arial" w:hAnsi="Arial" w:cs="Arial"/>
          <w:b/>
          <w:bCs/>
          <w:lang w:bidi="ar-IQ"/>
        </w:rPr>
      </w:pPr>
      <w:r w:rsidRPr="007B7747">
        <w:rPr>
          <w:rFonts w:ascii="Arial" w:hAnsi="Arial" w:cs="Arial"/>
          <w:b/>
          <w:bCs/>
          <w:lang w:bidi="ar-IQ"/>
        </w:rPr>
        <w:t>REFERENCES</w:t>
      </w:r>
    </w:p>
    <w:p w14:paraId="509D3BAA"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hAnsi="Arial" w:cs="Arial"/>
        </w:rPr>
        <w:lastRenderedPageBreak/>
        <w:fldChar w:fldCharType="begin"/>
      </w:r>
      <w:r w:rsidRPr="007B7747">
        <w:rPr>
          <w:rFonts w:ascii="Arial" w:hAnsi="Arial" w:cs="Arial"/>
        </w:rPr>
        <w:instrText xml:space="preserve"> ADDIN ZOTERO_BIBL {"uncited":[],"omitted":[],"custom":[]} CSL_BIBLIOGRAPHY </w:instrText>
      </w:r>
      <w:r w:rsidRPr="007B7747">
        <w:rPr>
          <w:rFonts w:ascii="Arial" w:hAnsi="Arial" w:cs="Arial"/>
        </w:rPr>
        <w:fldChar w:fldCharType="separate"/>
      </w:r>
      <w:r w:rsidRPr="007B7747">
        <w:rPr>
          <w:rFonts w:ascii="Arial" w:eastAsiaTheme="minorHAnsi" w:hAnsi="Arial" w:cs="Arial"/>
          <w:lang w:val="en-GB" w:eastAsia="en-US"/>
        </w:rPr>
        <w:t xml:space="preserve">Abrams, E. M., Alqurashi, W., Fischer, D. A., Vander Leek, T. K., &amp; Ellis, A. K. (2024). Anaphylaxis. </w:t>
      </w:r>
      <w:r w:rsidRPr="007B7747">
        <w:rPr>
          <w:rFonts w:ascii="Arial" w:eastAsiaTheme="minorHAnsi" w:hAnsi="Arial" w:cs="Arial"/>
          <w:i/>
          <w:iCs/>
          <w:lang w:val="en-GB" w:eastAsia="en-US"/>
        </w:rPr>
        <w:t>Allergy, Asthma &amp; Clinical Immunology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20</w:t>
      </w:r>
      <w:r w:rsidRPr="007B7747">
        <w:rPr>
          <w:rFonts w:ascii="Arial" w:eastAsiaTheme="minorHAnsi" w:hAnsi="Arial" w:cs="Arial"/>
          <w:lang w:val="en-GB" w:eastAsia="en-US"/>
        </w:rPr>
        <w:t>(3), 62. https://doi.org/10.1186/s13223-024-00926-3</w:t>
      </w:r>
    </w:p>
    <w:p w14:paraId="3B06BAE1"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Acevedo, N., Sánchez, J., Zakzuk, J., Bornacelly, A., Quiróz, C., Alvarez, Á., Puello, M., Mendoza, K., Martínez, D., Mercado, D., Jiménez, S., &amp; Caraballo, L. (2012). Particular characteristics of allergic symptoms in tropical environments: Follow up to 24 months in the FRAAT birth cohort study. </w:t>
      </w:r>
      <w:r w:rsidRPr="007B7747">
        <w:rPr>
          <w:rFonts w:ascii="Arial" w:eastAsiaTheme="minorHAnsi" w:hAnsi="Arial" w:cs="Arial"/>
          <w:i/>
          <w:iCs/>
          <w:lang w:val="en-GB" w:eastAsia="en-US"/>
        </w:rPr>
        <w:t>BMC Pulmonary Medicine</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12</w:t>
      </w:r>
      <w:r w:rsidRPr="007B7747">
        <w:rPr>
          <w:rFonts w:ascii="Arial" w:eastAsiaTheme="minorHAnsi" w:hAnsi="Arial" w:cs="Arial"/>
          <w:lang w:val="en-GB" w:eastAsia="en-US"/>
        </w:rPr>
        <w:t>, 13. https://doi.org/10.1186/1471-2466-12-13</w:t>
      </w:r>
    </w:p>
    <w:p w14:paraId="0C3C2694"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Aitella, E., Romano, C., Ginaldi, L., &amp; Cozzolino, D. (2025). Mast Cells at the Crossroads of Hypersensitivity Reactions and Neurogenic Inflammation. </w:t>
      </w:r>
      <w:r w:rsidRPr="007B7747">
        <w:rPr>
          <w:rFonts w:ascii="Arial" w:eastAsiaTheme="minorHAnsi" w:hAnsi="Arial" w:cs="Arial"/>
          <w:i/>
          <w:iCs/>
          <w:lang w:val="en-GB" w:eastAsia="en-US"/>
        </w:rPr>
        <w:t>International Journal of Molecular Sciences</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26</w:t>
      </w:r>
      <w:r w:rsidRPr="007B7747">
        <w:rPr>
          <w:rFonts w:ascii="Arial" w:eastAsiaTheme="minorHAnsi" w:hAnsi="Arial" w:cs="Arial"/>
          <w:lang w:val="en-GB" w:eastAsia="en-US"/>
        </w:rPr>
        <w:t>(3), Article 3. https://doi.org/10.3390/ijms26030927</w:t>
      </w:r>
    </w:p>
    <w:p w14:paraId="7AA0B143"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Aldakheel, F. M. (2021). Allergic Diseases: A Comprehensive Review on Risk Factors, Immunological Mechanisms, Link with COVID-19, Potential Treatments, and Role of Allergen Bioinformatics. </w:t>
      </w:r>
      <w:r w:rsidRPr="007B7747">
        <w:rPr>
          <w:rFonts w:ascii="Arial" w:eastAsiaTheme="minorHAnsi" w:hAnsi="Arial" w:cs="Arial"/>
          <w:i/>
          <w:iCs/>
          <w:lang w:val="en-GB" w:eastAsia="en-US"/>
        </w:rPr>
        <w:t>International Journal of Environmental Research and Public Health</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18</w:t>
      </w:r>
      <w:r w:rsidRPr="007B7747">
        <w:rPr>
          <w:rFonts w:ascii="Arial" w:eastAsiaTheme="minorHAnsi" w:hAnsi="Arial" w:cs="Arial"/>
          <w:lang w:val="en-GB" w:eastAsia="en-US"/>
        </w:rPr>
        <w:t>(22), Article 22. https://doi.org/10.3390/ijerph182212105</w:t>
      </w:r>
    </w:p>
    <w:p w14:paraId="01BD4BB5"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Anvari, S., Miller, J., Yeh, C.-Y., &amp; Davis, C. M. (2019). IgE-Mediated Food Allergy. </w:t>
      </w:r>
      <w:r w:rsidRPr="007B7747">
        <w:rPr>
          <w:rFonts w:ascii="Arial" w:eastAsiaTheme="minorHAnsi" w:hAnsi="Arial" w:cs="Arial"/>
          <w:i/>
          <w:iCs/>
          <w:lang w:val="en-GB" w:eastAsia="en-US"/>
        </w:rPr>
        <w:t>Clinical Reviews in Allergy &amp; Immunology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57</w:t>
      </w:r>
      <w:r w:rsidRPr="007B7747">
        <w:rPr>
          <w:rFonts w:ascii="Arial" w:eastAsiaTheme="minorHAnsi" w:hAnsi="Arial" w:cs="Arial"/>
          <w:lang w:val="en-GB" w:eastAsia="en-US"/>
        </w:rPr>
        <w:t>(2), 244–260. https://doi.org/10.1007/s12016-018-8710-3</w:t>
      </w:r>
    </w:p>
    <w:p w14:paraId="560E15AD"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Banafea, G. H., Bakhashab ,Sherin, Alshaibi ,Huda F, Natesan Pushparaj ,Peter, &amp; and Rasool, M. (2022). The role of human mast cells in allergy and asthma. </w:t>
      </w:r>
      <w:r w:rsidRPr="007B7747">
        <w:rPr>
          <w:rFonts w:ascii="Arial" w:eastAsiaTheme="minorHAnsi" w:hAnsi="Arial" w:cs="Arial"/>
          <w:i/>
          <w:iCs/>
          <w:lang w:val="en-GB" w:eastAsia="en-US"/>
        </w:rPr>
        <w:t>Bioengineered</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13</w:t>
      </w:r>
      <w:r w:rsidRPr="007B7747">
        <w:rPr>
          <w:rFonts w:ascii="Arial" w:eastAsiaTheme="minorHAnsi" w:hAnsi="Arial" w:cs="Arial"/>
          <w:lang w:val="en-GB" w:eastAsia="en-US"/>
        </w:rPr>
        <w:t>(3), 7049–7064. https://doi.org/10.1080/21655979.2022.2044278</w:t>
      </w:r>
    </w:p>
    <w:p w14:paraId="75626D28"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Brindicci, V. F., Franceschini, S., Gnasso, I., Alcini, P., Tassi, E. A., Santarelli, L., Cristofori, F., Dargenio, V. N., Castellaneta, S., Group*,  the N. study, &amp; Francavilla, R. (2024). Self-Reported Nonceliac Gluten Sensitivity in Italian Young Adults: A Cross-Sectional Study. A Dietary Fad? </w:t>
      </w:r>
      <w:r w:rsidRPr="007B7747">
        <w:rPr>
          <w:rFonts w:ascii="Arial" w:eastAsiaTheme="minorHAnsi" w:hAnsi="Arial" w:cs="Arial"/>
          <w:i/>
          <w:iCs/>
          <w:lang w:val="en-GB" w:eastAsia="en-US"/>
        </w:rPr>
        <w:t>Official Journal of the American College of Gastroenterology | ACG</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119</w:t>
      </w:r>
      <w:r w:rsidRPr="007B7747">
        <w:rPr>
          <w:rFonts w:ascii="Arial" w:eastAsiaTheme="minorHAnsi" w:hAnsi="Arial" w:cs="Arial"/>
          <w:lang w:val="en-GB" w:eastAsia="en-US"/>
        </w:rPr>
        <w:t>(10), 2114. https://doi.org/10.14309/ajg.0000000000002885</w:t>
      </w:r>
    </w:p>
    <w:p w14:paraId="5C028A2C"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lastRenderedPageBreak/>
        <w:t xml:space="preserve">Brown-Whitehorn, T., &amp; Spergel, J. M. (2020). Food allergy and eosinophilic gastrointestinal disorders. </w:t>
      </w:r>
      <w:r w:rsidRPr="007B7747">
        <w:rPr>
          <w:rFonts w:ascii="Arial" w:eastAsiaTheme="minorHAnsi" w:hAnsi="Arial" w:cs="Arial"/>
          <w:i/>
          <w:iCs/>
          <w:lang w:val="en-GB" w:eastAsia="en-US"/>
        </w:rPr>
        <w:t>Journal of Food Allergy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2</w:t>
      </w:r>
      <w:r w:rsidRPr="007B7747">
        <w:rPr>
          <w:rFonts w:ascii="Arial" w:eastAsiaTheme="minorHAnsi" w:hAnsi="Arial" w:cs="Arial"/>
          <w:lang w:val="en-GB" w:eastAsia="en-US"/>
        </w:rPr>
        <w:t>(1), 39–43. https://doi.org/10.2500/jfa.2020.2.200010</w:t>
      </w:r>
    </w:p>
    <w:p w14:paraId="687B9060"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Cardona, V., Ansotegui, I. J., Ebisawa, M., El-Gamal, Y., Fernandez Rivas, M., Fineman, S., Geller, M., Gonzalez-Estrada, A., Greenberger, P. A., Sanchez Borges, M., Senna, G., Sheikh, A., Tanno, L. K., Thong, B. Y., Turner, P. J., &amp; Worm, M. (2020). World Allergy Organization Anaphylaxis Guidance 2020. </w:t>
      </w:r>
      <w:r w:rsidRPr="007B7747">
        <w:rPr>
          <w:rFonts w:ascii="Arial" w:eastAsiaTheme="minorHAnsi" w:hAnsi="Arial" w:cs="Arial"/>
          <w:i/>
          <w:iCs/>
          <w:lang w:val="en-GB" w:eastAsia="en-US"/>
        </w:rPr>
        <w:t>World Allergy Organization Journal</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13</w:t>
      </w:r>
      <w:r w:rsidRPr="007B7747">
        <w:rPr>
          <w:rFonts w:ascii="Arial" w:eastAsiaTheme="minorHAnsi" w:hAnsi="Arial" w:cs="Arial"/>
          <w:lang w:val="en-GB" w:eastAsia="en-US"/>
        </w:rPr>
        <w:t>(10), 100472. https://doi.org/10.1016/j.waojou.2020.100472</w:t>
      </w:r>
    </w:p>
    <w:p w14:paraId="675E9D45"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Chan Gomez, J., Saleem, T., Snyder, S., Joseph, M., &amp; Kanderi, T. (2020). Drug-Induced Immune Hemolytic Anemia due to Amoxicillin-Clavulanate: A Case Report and Review. </w:t>
      </w:r>
      <w:r w:rsidRPr="007B7747">
        <w:rPr>
          <w:rFonts w:ascii="Arial" w:eastAsiaTheme="minorHAnsi" w:hAnsi="Arial" w:cs="Arial"/>
          <w:i/>
          <w:iCs/>
          <w:lang w:val="en-GB" w:eastAsia="en-US"/>
        </w:rPr>
        <w:t>Cureus</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12</w:t>
      </w:r>
      <w:r w:rsidRPr="007B7747">
        <w:rPr>
          <w:rFonts w:ascii="Arial" w:eastAsiaTheme="minorHAnsi" w:hAnsi="Arial" w:cs="Arial"/>
          <w:lang w:val="en-GB" w:eastAsia="en-US"/>
        </w:rPr>
        <w:t>(6), e8666. https://doi.org/10.7759/cureus.8666</w:t>
      </w:r>
    </w:p>
    <w:p w14:paraId="33C45D93"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Copaescu, A. M., Mak, H. W. F., Vogrin, S., Holmes, N. E., Trubiano, J. A., &amp; Li, P. H. (2025). Global differences and risk factors influencing drug hypersensitivity quality of life: A multicenter, multiethnic study of drug allergy across 3 continents. </w:t>
      </w:r>
      <w:r w:rsidRPr="007B7747">
        <w:rPr>
          <w:rFonts w:ascii="Arial" w:eastAsiaTheme="minorHAnsi" w:hAnsi="Arial" w:cs="Arial"/>
          <w:i/>
          <w:iCs/>
          <w:lang w:val="en-GB" w:eastAsia="en-US"/>
        </w:rPr>
        <w:t>Journal of Allergy and Clinical Immunology: Global</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4</w:t>
      </w:r>
      <w:r w:rsidRPr="007B7747">
        <w:rPr>
          <w:rFonts w:ascii="Arial" w:eastAsiaTheme="minorHAnsi" w:hAnsi="Arial" w:cs="Arial"/>
          <w:lang w:val="en-GB" w:eastAsia="en-US"/>
        </w:rPr>
        <w:t>(1), 100354. https://doi.org/10.1016/j.jacig.2024.100354</w:t>
      </w:r>
    </w:p>
    <w:p w14:paraId="0F468D66"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d’Alessandro, M., Bergantini, L., Perrone, A., Cameli, P., Beltrami, V., Alderighi, L., Pini, L., Bargagli, E., &amp; Saletti, M. (2021). House Dust Mite Allergy and the Der p1 Conundrum: A Literature Review and Case Series. </w:t>
      </w:r>
      <w:r w:rsidRPr="007B7747">
        <w:rPr>
          <w:rFonts w:ascii="Arial" w:eastAsiaTheme="minorHAnsi" w:hAnsi="Arial" w:cs="Arial"/>
          <w:i/>
          <w:iCs/>
          <w:lang w:val="en-GB" w:eastAsia="en-US"/>
        </w:rPr>
        <w:t>Allergies</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w:t>
      </w:r>
      <w:r w:rsidRPr="007B7747">
        <w:rPr>
          <w:rFonts w:ascii="Arial" w:eastAsiaTheme="minorHAnsi" w:hAnsi="Arial" w:cs="Arial"/>
          <w:lang w:val="en-GB" w:eastAsia="en-US"/>
        </w:rPr>
        <w:t>(2), Article 2. https://doi.org/10.3390/allergies1020008</w:t>
      </w:r>
    </w:p>
    <w:p w14:paraId="20AB2FFD"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Díaz-Guerrero, P., Panzani, S., Sanmartin, C., Muntoni, C., Taglieri, I., &amp; Venturi, F. (2025). “Pepper”: Different Spices, One Name—Analysis of Sensory and Biological Aspects. </w:t>
      </w:r>
      <w:r w:rsidRPr="007B7747">
        <w:rPr>
          <w:rFonts w:ascii="Arial" w:eastAsiaTheme="minorHAnsi" w:hAnsi="Arial" w:cs="Arial"/>
          <w:i/>
          <w:iCs/>
          <w:lang w:val="en-GB" w:eastAsia="en-US"/>
        </w:rPr>
        <w:t>Molecules</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30</w:t>
      </w:r>
      <w:r w:rsidRPr="007B7747">
        <w:rPr>
          <w:rFonts w:ascii="Arial" w:eastAsiaTheme="minorHAnsi" w:hAnsi="Arial" w:cs="Arial"/>
          <w:lang w:val="en-GB" w:eastAsia="en-US"/>
        </w:rPr>
        <w:t>(9), Article 9. https://doi.org/10.3390/molecules30091891</w:t>
      </w:r>
    </w:p>
    <w:p w14:paraId="625CBDA5"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Duman, H., &amp; Dursun, A. B. (2023). The Prevalence of Questionnare Based Food Allergy in Adult Population of Eastern Blacksea Region of Turkey. </w:t>
      </w:r>
      <w:r w:rsidRPr="007B7747">
        <w:rPr>
          <w:rFonts w:ascii="Arial" w:eastAsiaTheme="minorHAnsi" w:hAnsi="Arial" w:cs="Arial"/>
          <w:i/>
          <w:iCs/>
          <w:lang w:val="en-GB" w:eastAsia="en-US"/>
        </w:rPr>
        <w:t>Middle Black Sea Journal of Health Science</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9</w:t>
      </w:r>
      <w:r w:rsidRPr="007B7747">
        <w:rPr>
          <w:rFonts w:ascii="Arial" w:eastAsiaTheme="minorHAnsi" w:hAnsi="Arial" w:cs="Arial"/>
          <w:lang w:val="en-GB" w:eastAsia="en-US"/>
        </w:rPr>
        <w:t>(3), 489–497. https://doi.org/10.19127/mbsjohs.1177217</w:t>
      </w:r>
    </w:p>
    <w:p w14:paraId="1AE460C0"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lastRenderedPageBreak/>
        <w:t xml:space="preserve">Feng, Y., Xu, L., Zhang, J., Bin, J., Pang, X., He, S., &amp; Fang, L. (2024). Allergenic protein-induced type I hypersensitivity models: A review. </w:t>
      </w:r>
      <w:r w:rsidRPr="007B7747">
        <w:rPr>
          <w:rFonts w:ascii="Arial" w:eastAsiaTheme="minorHAnsi" w:hAnsi="Arial" w:cs="Arial"/>
          <w:i/>
          <w:iCs/>
          <w:lang w:val="en-GB" w:eastAsia="en-US"/>
        </w:rPr>
        <w:t>Frontiers in Allergy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5</w:t>
      </w:r>
      <w:r w:rsidRPr="007B7747">
        <w:rPr>
          <w:rFonts w:ascii="Arial" w:eastAsiaTheme="minorHAnsi" w:hAnsi="Arial" w:cs="Arial"/>
          <w:lang w:val="en-GB" w:eastAsia="en-US"/>
        </w:rPr>
        <w:t>. https://doi.org/10.3389/falgy.2024.1481011</w:t>
      </w:r>
    </w:p>
    <w:p w14:paraId="46605840"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Gelincik, A., Büyüköztürk, S., H, G., E, I., H, I., F, O., B, C., M, D., O, A., G, G., &amp; A, A. (2008). Confirmed prevalence of food allergy and non-allergic food hypersensitivity in a Mediterranean population. </w:t>
      </w:r>
      <w:r w:rsidRPr="007B7747">
        <w:rPr>
          <w:rFonts w:ascii="Arial" w:eastAsiaTheme="minorHAnsi" w:hAnsi="Arial" w:cs="Arial"/>
          <w:i/>
          <w:iCs/>
          <w:lang w:val="en-GB" w:eastAsia="en-US"/>
        </w:rPr>
        <w:t>Clinical and Experimental Allergy : Journal of the British Society for Allergy and Clinical Immunology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38</w:t>
      </w:r>
      <w:r w:rsidRPr="007B7747">
        <w:rPr>
          <w:rFonts w:ascii="Arial" w:eastAsiaTheme="minorHAnsi" w:hAnsi="Arial" w:cs="Arial"/>
          <w:lang w:val="en-GB" w:eastAsia="en-US"/>
        </w:rPr>
        <w:t>(8). https://doi.org/10.1111/j.1365-2222.2008.03019.x</w:t>
      </w:r>
    </w:p>
    <w:p w14:paraId="7926796C"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Ibrahim, N. K., Alghamdi, A. A., Almehmadi, M. M., Alzahrani, A. A., Turkistani, A. K., &amp; Alghamdi, K. (2019). Allergy and related clinical symptoms among medical students and interns. </w:t>
      </w:r>
      <w:r w:rsidRPr="007B7747">
        <w:rPr>
          <w:rFonts w:ascii="Arial" w:eastAsiaTheme="minorHAnsi" w:hAnsi="Arial" w:cs="Arial"/>
          <w:i/>
          <w:iCs/>
          <w:lang w:val="en-GB" w:eastAsia="en-US"/>
        </w:rPr>
        <w:t>Pakistan Journal of Medical Sciences</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35</w:t>
      </w:r>
      <w:r w:rsidRPr="007B7747">
        <w:rPr>
          <w:rFonts w:ascii="Arial" w:eastAsiaTheme="minorHAnsi" w:hAnsi="Arial" w:cs="Arial"/>
          <w:lang w:val="en-GB" w:eastAsia="en-US"/>
        </w:rPr>
        <w:t>(4), 1060–1065. https://doi.org/10.12669/pjms.35.4.1281</w:t>
      </w:r>
    </w:p>
    <w:p w14:paraId="540D0CD5"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Jansson-Knodell, C. L., &amp; Rubio-Tapia, A. (2024). Gluten-related Disorders From Bench to Bedside. </w:t>
      </w:r>
      <w:r w:rsidRPr="007B7747">
        <w:rPr>
          <w:rFonts w:ascii="Arial" w:eastAsiaTheme="minorHAnsi" w:hAnsi="Arial" w:cs="Arial"/>
          <w:i/>
          <w:iCs/>
          <w:lang w:val="en-GB" w:eastAsia="en-US"/>
        </w:rPr>
        <w:t>Clinical Gastroenterology and Hepatology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22</w:t>
      </w:r>
      <w:r w:rsidRPr="007B7747">
        <w:rPr>
          <w:rFonts w:ascii="Arial" w:eastAsiaTheme="minorHAnsi" w:hAnsi="Arial" w:cs="Arial"/>
          <w:lang w:val="en-GB" w:eastAsia="en-US"/>
        </w:rPr>
        <w:t>(4), 693-704.e1. https://doi.org/10.1016/j.cgh.2023.09.042</w:t>
      </w:r>
    </w:p>
    <w:p w14:paraId="13B2371A"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Jutel, M., Agache, I., Zemelka-Wiacek, M., Akdis, M., Chivato, T., del Giacco, S., Gajdanowicz, P., Gracia, I. E., Klimek, L., Lauerma, A., Ollert, M., O’Mahony, L., Schwarze, J., Shamji, M. H., Skypala, I., Palomares, O., Pfaar, O., Torres, M. J., Bernstein, J. A., … Akdis, C. A. (2023). Nomenclature of allergic diseases and hypersensitivity reactions: Adapted to modern needs: An EAACI position paper. </w:t>
      </w:r>
      <w:r w:rsidRPr="007B7747">
        <w:rPr>
          <w:rFonts w:ascii="Arial" w:eastAsiaTheme="minorHAnsi" w:hAnsi="Arial" w:cs="Arial"/>
          <w:i/>
          <w:iCs/>
          <w:lang w:val="en-GB" w:eastAsia="en-US"/>
        </w:rPr>
        <w:t>Allergy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78</w:t>
      </w:r>
      <w:r w:rsidRPr="007B7747">
        <w:rPr>
          <w:rFonts w:ascii="Arial" w:eastAsiaTheme="minorHAnsi" w:hAnsi="Arial" w:cs="Arial"/>
          <w:lang w:val="en-GB" w:eastAsia="en-US"/>
        </w:rPr>
        <w:t>(11), 2851–2874. https://doi.org/10.1111/all.15889</w:t>
      </w:r>
    </w:p>
    <w:p w14:paraId="36F88D41"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Klain, A., Senatore, A. A., Licari, A., Galletta, F., Bettini, I., Tomei, L., Manti, S., Mori, F., Miraglia del Giudice, M., &amp; Indolfi, C. (2024). The Prevention of House Dust Mite Allergies in Pediatric Asthma. </w:t>
      </w:r>
      <w:r w:rsidRPr="007B7747">
        <w:rPr>
          <w:rFonts w:ascii="Arial" w:eastAsiaTheme="minorHAnsi" w:hAnsi="Arial" w:cs="Arial"/>
          <w:i/>
          <w:iCs/>
          <w:lang w:val="en-GB" w:eastAsia="en-US"/>
        </w:rPr>
        <w:t>Children</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11</w:t>
      </w:r>
      <w:r w:rsidRPr="007B7747">
        <w:rPr>
          <w:rFonts w:ascii="Arial" w:eastAsiaTheme="minorHAnsi" w:hAnsi="Arial" w:cs="Arial"/>
          <w:lang w:val="en-GB" w:eastAsia="en-US"/>
        </w:rPr>
        <w:t>(4), Article 4. https://doi.org/10.3390/children11040469</w:t>
      </w:r>
    </w:p>
    <w:p w14:paraId="784FC1EA"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lastRenderedPageBreak/>
        <w:t xml:space="preserve">Knol, E. F., &amp; Gilles, S. (2022). Allergy: Type I, II, III, and IV. In C. Traidl-Hoffmann, T. Zuberbier, &amp; T. Werfel (Eds), </w:t>
      </w:r>
      <w:r w:rsidRPr="007B7747">
        <w:rPr>
          <w:rFonts w:ascii="Arial" w:eastAsiaTheme="minorHAnsi" w:hAnsi="Arial" w:cs="Arial"/>
          <w:i/>
          <w:iCs/>
          <w:lang w:val="en-GB" w:eastAsia="en-US"/>
        </w:rPr>
        <w:t>Allergic Diseases – From Basic Mechanisms to Comprehensive Management and Prevention</w:t>
      </w:r>
      <w:r w:rsidRPr="007B7747">
        <w:rPr>
          <w:rFonts w:ascii="Arial" w:eastAsiaTheme="minorHAnsi" w:hAnsi="Arial" w:cs="Arial"/>
          <w:lang w:val="en-GB" w:eastAsia="en-US"/>
        </w:rPr>
        <w:t xml:space="preserve"> (pp. 31–41). Springer International Publishing. https://doi.org/10.1007/164_2021_510</w:t>
      </w:r>
    </w:p>
    <w:p w14:paraId="26CF1CE7"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Krikeerati, T., Rodsaward, P., Nawiboonwong, J., Pinyopornpanish, K., Phusawang, S., &amp; Sompornrattanaphan, M. (2023). Revisiting Fruit Allergy: Prevalence across the Globe, Diagnosis, and Current Management. </w:t>
      </w:r>
      <w:r w:rsidRPr="007B7747">
        <w:rPr>
          <w:rFonts w:ascii="Arial" w:eastAsiaTheme="minorHAnsi" w:hAnsi="Arial" w:cs="Arial"/>
          <w:i/>
          <w:iCs/>
          <w:lang w:val="en-GB" w:eastAsia="en-US"/>
        </w:rPr>
        <w:t>Foods</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12</w:t>
      </w:r>
      <w:r w:rsidRPr="007B7747">
        <w:rPr>
          <w:rFonts w:ascii="Arial" w:eastAsiaTheme="minorHAnsi" w:hAnsi="Arial" w:cs="Arial"/>
          <w:lang w:val="en-GB" w:eastAsia="en-US"/>
        </w:rPr>
        <w:t>(22), 4083. https://doi.org/10.3390/foods12224083</w:t>
      </w:r>
    </w:p>
    <w:p w14:paraId="72949D29"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Lee, Y. Z., Kow, A. S. F., Jacquet, A., Lee, M. T., &amp; Tham, C. L. (2023). House dust mite allergy in Malaysia: Review of research gaps in the current scenario and the way forward. </w:t>
      </w:r>
      <w:r w:rsidRPr="007B7747">
        <w:rPr>
          <w:rFonts w:ascii="Arial" w:eastAsiaTheme="minorHAnsi" w:hAnsi="Arial" w:cs="Arial"/>
          <w:i/>
          <w:iCs/>
          <w:lang w:val="en-GB" w:eastAsia="en-US"/>
        </w:rPr>
        <w:t>Experimental &amp; Applied Acarology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91</w:t>
      </w:r>
      <w:r w:rsidRPr="007B7747">
        <w:rPr>
          <w:rFonts w:ascii="Arial" w:eastAsiaTheme="minorHAnsi" w:hAnsi="Arial" w:cs="Arial"/>
          <w:lang w:val="en-GB" w:eastAsia="en-US"/>
        </w:rPr>
        <w:t>(4), 509–539. https://doi.org/10.1007/s10493-023-00857-5</w:t>
      </w:r>
    </w:p>
    <w:p w14:paraId="4A5E2687"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Luintel, A., Healy, J., Blank, M., Luintel, A., Dryden, S., Das, A., Darzi, A., &amp; Cooke, G. (2025). The global prevalence of reported penicillin allergy: A systematic review and meta-analysis. </w:t>
      </w:r>
      <w:r w:rsidRPr="007B7747">
        <w:rPr>
          <w:rFonts w:ascii="Arial" w:eastAsiaTheme="minorHAnsi" w:hAnsi="Arial" w:cs="Arial"/>
          <w:i/>
          <w:iCs/>
          <w:lang w:val="en-GB" w:eastAsia="en-US"/>
        </w:rPr>
        <w:t>Journal of Infection</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90</w:t>
      </w:r>
      <w:r w:rsidRPr="007B7747">
        <w:rPr>
          <w:rFonts w:ascii="Arial" w:eastAsiaTheme="minorHAnsi" w:hAnsi="Arial" w:cs="Arial"/>
          <w:lang w:val="en-GB" w:eastAsia="en-US"/>
        </w:rPr>
        <w:t>(2). https://doi.org/10.1016/j.jinf.2025.106429</w:t>
      </w:r>
    </w:p>
    <w:p w14:paraId="18F8F3D2"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Ogulur, I., Mitamura, Y., Yazici, D., Pat, Y., Ardicli, S., Li, M., D’Avino, P., Beha, C., Babayev, H., Zhao, B., Zeyneloglu, C., Giannelli Viscardi, O., Ardicli, O., Kiykim, A., Garcia-Sanchez, A., Lopez, J.-F., Shi, L., Yang, M., Schneider, S. R., … Akdis, C. A. (2025). Type 2 immunity in allergic diseases. </w:t>
      </w:r>
      <w:r w:rsidRPr="007B7747">
        <w:rPr>
          <w:rFonts w:ascii="Arial" w:eastAsiaTheme="minorHAnsi" w:hAnsi="Arial" w:cs="Arial"/>
          <w:i/>
          <w:iCs/>
          <w:lang w:val="en-GB" w:eastAsia="en-US"/>
        </w:rPr>
        <w:t>Cellular &amp; Molecular Immunology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22</w:t>
      </w:r>
      <w:r w:rsidRPr="007B7747">
        <w:rPr>
          <w:rFonts w:ascii="Arial" w:eastAsiaTheme="minorHAnsi" w:hAnsi="Arial" w:cs="Arial"/>
          <w:lang w:val="en-GB" w:eastAsia="en-US"/>
        </w:rPr>
        <w:t>(3), 211–242. https://doi.org/10.1038/s41423-025-01261-2</w:t>
      </w:r>
    </w:p>
    <w:p w14:paraId="21AE6C8C"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Ontiveros, N., Real-Delor, R. E., Mora-Melgem, J. A., Beltrán-Cárdenas, C. E., Figueroa-Salcido, O. G., Vergara-Jiménez, M. de J., Cárdenas-Torres, F. I., Flores-Mendoza, L. K., Arámburo-Gálvez, J. G., &amp; Cabrera-Chávez, F. (2021). Prevalence of Wheat/Gluten-Related Disorders and Gluten-Free Diet in Paraguay: An Online Survey-Based Study. </w:t>
      </w:r>
      <w:r w:rsidRPr="007B7747">
        <w:rPr>
          <w:rFonts w:ascii="Arial" w:eastAsiaTheme="minorHAnsi" w:hAnsi="Arial" w:cs="Arial"/>
          <w:i/>
          <w:iCs/>
          <w:lang w:val="en-GB" w:eastAsia="en-US"/>
        </w:rPr>
        <w:t>Nutrients</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13</w:t>
      </w:r>
      <w:r w:rsidRPr="007B7747">
        <w:rPr>
          <w:rFonts w:ascii="Arial" w:eastAsiaTheme="minorHAnsi" w:hAnsi="Arial" w:cs="Arial"/>
          <w:lang w:val="en-GB" w:eastAsia="en-US"/>
        </w:rPr>
        <w:t>(2), Article 2. https://doi.org/10.3390/nu13020396</w:t>
      </w:r>
    </w:p>
    <w:p w14:paraId="3B87059C"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lastRenderedPageBreak/>
        <w:t xml:space="preserve">Pallardy, M., Bechara, R., Whritenour, J., Mitchell-Ryan, S., Herzyk, D., Lebrec, H., Merk, H., Gourley, I., Komocsar, W. J., Piccotti, J. R., Balazs, M., Sharma, A., Walker, D. B., Weinstock, D., &amp; on behalf of the HESI Immuno-Safety Technical Committee, D. H. R. P. T. (2024). Drug hypersensitivity reactions: Review of the state of the science for prediction and diagnosis. </w:t>
      </w:r>
      <w:r w:rsidRPr="007B7747">
        <w:rPr>
          <w:rFonts w:ascii="Arial" w:eastAsiaTheme="minorHAnsi" w:hAnsi="Arial" w:cs="Arial"/>
          <w:i/>
          <w:iCs/>
          <w:lang w:val="en-GB" w:eastAsia="en-US"/>
        </w:rPr>
        <w:t>Toxicological Sciences</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200</w:t>
      </w:r>
      <w:r w:rsidRPr="007B7747">
        <w:rPr>
          <w:rFonts w:ascii="Arial" w:eastAsiaTheme="minorHAnsi" w:hAnsi="Arial" w:cs="Arial"/>
          <w:lang w:val="en-GB" w:eastAsia="en-US"/>
        </w:rPr>
        <w:t>(1), 11–30. https://doi.org/10.1093/toxsci/kfae046</w:t>
      </w:r>
    </w:p>
    <w:p w14:paraId="45EF07D7"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Pallardy, M., Galbiati, V., &amp; Martin, S. F. (2023). Editorial: Chemical allergy and the relevance of new models. </w:t>
      </w:r>
      <w:r w:rsidRPr="007B7747">
        <w:rPr>
          <w:rFonts w:ascii="Arial" w:eastAsiaTheme="minorHAnsi" w:hAnsi="Arial" w:cs="Arial"/>
          <w:i/>
          <w:iCs/>
          <w:lang w:val="en-GB" w:eastAsia="en-US"/>
        </w:rPr>
        <w:t>Frontiers in Toxicology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5</w:t>
      </w:r>
      <w:r w:rsidRPr="007B7747">
        <w:rPr>
          <w:rFonts w:ascii="Arial" w:eastAsiaTheme="minorHAnsi" w:hAnsi="Arial" w:cs="Arial"/>
          <w:lang w:val="en-GB" w:eastAsia="en-US"/>
        </w:rPr>
        <w:t>, 1228175. https://doi.org/10.3389/ftox.2023.1228175</w:t>
      </w:r>
    </w:p>
    <w:p w14:paraId="7E0C9898"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Parente, R., Giudice, V., Cardamone, C., Serio, B., Selleri, C., &amp; Triggiani, M. (2023). Secretory and Membrane-Associated Biomarkers of Mast Cell Activation and Proliferation. </w:t>
      </w:r>
      <w:r w:rsidRPr="007B7747">
        <w:rPr>
          <w:rFonts w:ascii="Arial" w:eastAsiaTheme="minorHAnsi" w:hAnsi="Arial" w:cs="Arial"/>
          <w:i/>
          <w:iCs/>
          <w:lang w:val="en-GB" w:eastAsia="en-US"/>
        </w:rPr>
        <w:t>International Journal of Molecular Sciences</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24</w:t>
      </w:r>
      <w:r w:rsidRPr="007B7747">
        <w:rPr>
          <w:rFonts w:ascii="Arial" w:eastAsiaTheme="minorHAnsi" w:hAnsi="Arial" w:cs="Arial"/>
          <w:lang w:val="en-GB" w:eastAsia="en-US"/>
        </w:rPr>
        <w:t>(8), 7071. https://doi.org/10.3390/ijms24087071</w:t>
      </w:r>
    </w:p>
    <w:p w14:paraId="44470916"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Peavy, R. D., &amp; Metcalfe, D. D. (2008). Understanding the mechanisms of anaphylaxis. </w:t>
      </w:r>
      <w:r w:rsidRPr="007B7747">
        <w:rPr>
          <w:rFonts w:ascii="Arial" w:eastAsiaTheme="minorHAnsi" w:hAnsi="Arial" w:cs="Arial"/>
          <w:i/>
          <w:iCs/>
          <w:lang w:val="en-GB" w:eastAsia="en-US"/>
        </w:rPr>
        <w:t>Current Opinion in Allergy and Clinical Immunology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8</w:t>
      </w:r>
      <w:r w:rsidRPr="007B7747">
        <w:rPr>
          <w:rFonts w:ascii="Arial" w:eastAsiaTheme="minorHAnsi" w:hAnsi="Arial" w:cs="Arial"/>
          <w:lang w:val="en-GB" w:eastAsia="en-US"/>
        </w:rPr>
        <w:t>(4), 310–315. https://doi.org/10.1097/ACI.0b013e3283036a90</w:t>
      </w:r>
    </w:p>
    <w:p w14:paraId="74347338"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Salonen, H., Salthammer, T., Castagnoli, E., Täubel, M., &amp; Morawska, L. (2024). Cleaning products: Their chemistry, effects on indoor air quality, and implications for human health. </w:t>
      </w:r>
      <w:r w:rsidRPr="007B7747">
        <w:rPr>
          <w:rFonts w:ascii="Arial" w:eastAsiaTheme="minorHAnsi" w:hAnsi="Arial" w:cs="Arial"/>
          <w:i/>
          <w:iCs/>
          <w:lang w:val="en-GB" w:eastAsia="en-US"/>
        </w:rPr>
        <w:t>Environment International</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190</w:t>
      </w:r>
      <w:r w:rsidRPr="007B7747">
        <w:rPr>
          <w:rFonts w:ascii="Arial" w:eastAsiaTheme="minorHAnsi" w:hAnsi="Arial" w:cs="Arial"/>
          <w:lang w:val="en-GB" w:eastAsia="en-US"/>
        </w:rPr>
        <w:t>, 108836. https://doi.org/10.1016/j.envint.2024.108836</w:t>
      </w:r>
    </w:p>
    <w:p w14:paraId="1B353092"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Sapone, A., Bai, J. C., Ciacci, C., Dolinsek, J., Green, P. H., Hadjivassiliou, M., Kaukinen, K., Rostami, K., Sanders, D. S., Schumann, M., Ullrich, R., Villalta, D., Volta, U., Catassi, C., &amp; Fasano, A. (2012). Spectrum of gluten-related disorders: Consensus on new nomenclature and classification. </w:t>
      </w:r>
      <w:r w:rsidRPr="007B7747">
        <w:rPr>
          <w:rFonts w:ascii="Arial" w:eastAsiaTheme="minorHAnsi" w:hAnsi="Arial" w:cs="Arial"/>
          <w:i/>
          <w:iCs/>
          <w:lang w:val="en-GB" w:eastAsia="en-US"/>
        </w:rPr>
        <w:t>BMC Medicine</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10</w:t>
      </w:r>
      <w:r w:rsidRPr="007B7747">
        <w:rPr>
          <w:rFonts w:ascii="Arial" w:eastAsiaTheme="minorHAnsi" w:hAnsi="Arial" w:cs="Arial"/>
          <w:lang w:val="en-GB" w:eastAsia="en-US"/>
        </w:rPr>
        <w:t>(1), 13. https://doi.org/10.1186/1741-7015-10-13</w:t>
      </w:r>
    </w:p>
    <w:p w14:paraId="629502DD"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lastRenderedPageBreak/>
        <w:t xml:space="preserve">Sayed, K. M., &amp; Ali, A. H. (2022). </w:t>
      </w:r>
      <w:r w:rsidRPr="007B7747">
        <w:rPr>
          <w:rFonts w:ascii="Arial" w:eastAsiaTheme="minorHAnsi" w:hAnsi="Arial" w:cs="Arial"/>
          <w:i/>
          <w:iCs/>
          <w:lang w:val="en-GB" w:eastAsia="en-US"/>
        </w:rPr>
        <w:t>IgE Mediated Wheat Allergy Associated with Resistant and Severe Forms of Allergic Conjunctivitis</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16</w:t>
      </w:r>
      <w:r w:rsidRPr="007B7747">
        <w:rPr>
          <w:rFonts w:ascii="Arial" w:eastAsiaTheme="minorHAnsi" w:hAnsi="Arial" w:cs="Arial"/>
          <w:lang w:val="en-GB" w:eastAsia="en-US"/>
        </w:rPr>
        <w:t>, e187430642208170. https://doi.org/10.2174/18743064-v16-e2208170</w:t>
      </w:r>
    </w:p>
    <w:p w14:paraId="099BD079"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Shah, R., &amp; Grammer, L. C. (2012). Chapter 1: An overview of allergens. </w:t>
      </w:r>
      <w:r w:rsidRPr="007B7747">
        <w:rPr>
          <w:rFonts w:ascii="Arial" w:eastAsiaTheme="minorHAnsi" w:hAnsi="Arial" w:cs="Arial"/>
          <w:i/>
          <w:iCs/>
          <w:lang w:val="en-GB" w:eastAsia="en-US"/>
        </w:rPr>
        <w:t>Allergy and Asthma Proceedings</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33 Suppl 1</w:t>
      </w:r>
      <w:r w:rsidRPr="007B7747">
        <w:rPr>
          <w:rFonts w:ascii="Arial" w:eastAsiaTheme="minorHAnsi" w:hAnsi="Arial" w:cs="Arial"/>
          <w:lang w:val="en-GB" w:eastAsia="en-US"/>
        </w:rPr>
        <w:t>, 2–5. https://doi.org/10.2500/aap.2012.33.3531</w:t>
      </w:r>
    </w:p>
    <w:p w14:paraId="399972EC"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Sharpe, R. A., Cocq, K. L., Nikolaou, V., Osborne, N. J., &amp; Thornton, C. R. (2016). Identifying risk factors for exposure to culturable allergenic moulds in energy efficient homes by using highly specific monoclonal antibodies. </w:t>
      </w:r>
      <w:r w:rsidRPr="007B7747">
        <w:rPr>
          <w:rFonts w:ascii="Arial" w:eastAsiaTheme="minorHAnsi" w:hAnsi="Arial" w:cs="Arial"/>
          <w:i/>
          <w:iCs/>
          <w:lang w:val="en-GB" w:eastAsia="en-US"/>
        </w:rPr>
        <w:t>Environmental Research</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144</w:t>
      </w:r>
      <w:r w:rsidRPr="007B7747">
        <w:rPr>
          <w:rFonts w:ascii="Arial" w:eastAsiaTheme="minorHAnsi" w:hAnsi="Arial" w:cs="Arial"/>
          <w:lang w:val="en-GB" w:eastAsia="en-US"/>
        </w:rPr>
        <w:t>(Pt A), 32–42. https://doi.org/10.1016/j.envres.2015.10.029</w:t>
      </w:r>
    </w:p>
    <w:p w14:paraId="4EDA8DB8"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Shin, Y. H., Hwang, J., Kwon, R., Lee, S. W., Kim, M. S., Shin, J. I., &amp; Yon, D. K. (2023). Global, regional, and national burden of allergic disorders and their risk factors in 204 countries and territories, from 1990 to 2019: A systematic analysis for the Global Burden of Disease Study 2019. </w:t>
      </w:r>
      <w:r w:rsidRPr="007B7747">
        <w:rPr>
          <w:rFonts w:ascii="Arial" w:eastAsiaTheme="minorHAnsi" w:hAnsi="Arial" w:cs="Arial"/>
          <w:i/>
          <w:iCs/>
          <w:lang w:val="en-GB" w:eastAsia="en-US"/>
        </w:rPr>
        <w:t>Allergy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78</w:t>
      </w:r>
      <w:r w:rsidRPr="007B7747">
        <w:rPr>
          <w:rFonts w:ascii="Arial" w:eastAsiaTheme="minorHAnsi" w:hAnsi="Arial" w:cs="Arial"/>
          <w:lang w:val="en-GB" w:eastAsia="en-US"/>
        </w:rPr>
        <w:t>(8), 2232–2254. https://doi.org/10.1111/all.15807</w:t>
      </w:r>
    </w:p>
    <w:p w14:paraId="317B9859"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Taraghikhah, N., Ashtari, S., Asri, N., Shahbazkhani, B., Al-Dulaimi, D., Rostami-Nejad, M., Rezaei-Tavirani, M., Razzaghi, M. R., &amp; Zali, M. R. (2020). An updated overview of spectrum of gluten-related disorders: Clinical and diagnostic aspects. </w:t>
      </w:r>
      <w:r w:rsidRPr="007B7747">
        <w:rPr>
          <w:rFonts w:ascii="Arial" w:eastAsiaTheme="minorHAnsi" w:hAnsi="Arial" w:cs="Arial"/>
          <w:i/>
          <w:iCs/>
          <w:lang w:val="en-GB" w:eastAsia="en-US"/>
        </w:rPr>
        <w:t>BMC Gastroenterology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20</w:t>
      </w:r>
      <w:r w:rsidRPr="007B7747">
        <w:rPr>
          <w:rFonts w:ascii="Arial" w:eastAsiaTheme="minorHAnsi" w:hAnsi="Arial" w:cs="Arial"/>
          <w:lang w:val="en-GB" w:eastAsia="en-US"/>
        </w:rPr>
        <w:t>, 258. https://doi.org/10.1186/s12876-020-01390-0</w:t>
      </w:r>
    </w:p>
    <w:p w14:paraId="6D905343"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Tham, E. H., &amp; Leung, D. Y. M. (2018). How Different Parts of the World Provide New Insights Into Food Allergy. </w:t>
      </w:r>
      <w:r w:rsidRPr="007B7747">
        <w:rPr>
          <w:rFonts w:ascii="Arial" w:eastAsiaTheme="minorHAnsi" w:hAnsi="Arial" w:cs="Arial"/>
          <w:i/>
          <w:iCs/>
          <w:lang w:val="en-GB" w:eastAsia="en-US"/>
        </w:rPr>
        <w:t>Allergy, Asthma &amp; Immunology Research</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10</w:t>
      </w:r>
      <w:r w:rsidRPr="007B7747">
        <w:rPr>
          <w:rFonts w:ascii="Arial" w:eastAsiaTheme="minorHAnsi" w:hAnsi="Arial" w:cs="Arial"/>
          <w:lang w:val="en-GB" w:eastAsia="en-US"/>
        </w:rPr>
        <w:t>(4), 290–299. https://doi.org/10.4168/aair.2018.10.4.290</w:t>
      </w:r>
    </w:p>
    <w:p w14:paraId="54D735BD"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Umehara, Y., Kiatsurayanon, C., Trujillo-Paez, J. V., Chieosilapatham, P., Peng, G., Yue, H., Nguyen, H. L. T., Song, P., Okumura, K., Ogawa, H., &amp; Niyonsaba, F. (2021). Intractable Itch in Atopic Dermatitis: Causes and Treatments. </w:t>
      </w:r>
      <w:r w:rsidRPr="007B7747">
        <w:rPr>
          <w:rFonts w:ascii="Arial" w:eastAsiaTheme="minorHAnsi" w:hAnsi="Arial" w:cs="Arial"/>
          <w:i/>
          <w:iCs/>
          <w:lang w:val="en-GB" w:eastAsia="en-US"/>
        </w:rPr>
        <w:t>Biomedicines</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9</w:t>
      </w:r>
      <w:r w:rsidRPr="007B7747">
        <w:rPr>
          <w:rFonts w:ascii="Arial" w:eastAsiaTheme="minorHAnsi" w:hAnsi="Arial" w:cs="Arial"/>
          <w:lang w:val="en-GB" w:eastAsia="en-US"/>
        </w:rPr>
        <w:t>(3), 229. https://doi.org/10.3390/biomedicines9030229</w:t>
      </w:r>
    </w:p>
    <w:p w14:paraId="5F356C00"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lastRenderedPageBreak/>
        <w:t xml:space="preserve">Wang, J., Zhou, Y., Zhang, H., Hu, L., Liu, J., Wang, L., Wang, T., Zhang, H., Cong, L., &amp; Wang, Q. (2023). Pathogenesis of allergic diseases and implications for therapeutic interventions. </w:t>
      </w:r>
      <w:r w:rsidRPr="007B7747">
        <w:rPr>
          <w:rFonts w:ascii="Arial" w:eastAsiaTheme="minorHAnsi" w:hAnsi="Arial" w:cs="Arial"/>
          <w:i/>
          <w:iCs/>
          <w:lang w:val="en-GB" w:eastAsia="en-US"/>
        </w:rPr>
        <w:t>Signal Transduction and Targeted Therapy</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8</w:t>
      </w:r>
      <w:r w:rsidRPr="007B7747">
        <w:rPr>
          <w:rFonts w:ascii="Arial" w:eastAsiaTheme="minorHAnsi" w:hAnsi="Arial" w:cs="Arial"/>
          <w:lang w:val="en-GB" w:eastAsia="en-US"/>
        </w:rPr>
        <w:t>(1), 1–30. https://doi.org/10.1038/s41392-023-01344-4</w:t>
      </w:r>
    </w:p>
    <w:p w14:paraId="1F7D1BC3" w14:textId="77777777" w:rsidR="00AF6B38" w:rsidRPr="007B7747" w:rsidRDefault="00AF6B38" w:rsidP="00AF6B38">
      <w:pPr>
        <w:pStyle w:val="Bibliography"/>
        <w:jc w:val="both"/>
        <w:rPr>
          <w:rFonts w:ascii="Arial" w:eastAsiaTheme="minorHAnsi" w:hAnsi="Arial" w:cs="Arial"/>
          <w:lang w:val="en-GB" w:eastAsia="en-US"/>
        </w:rPr>
      </w:pPr>
      <w:r w:rsidRPr="007B7747">
        <w:rPr>
          <w:rFonts w:ascii="Arial" w:eastAsiaTheme="minorHAnsi" w:hAnsi="Arial" w:cs="Arial"/>
          <w:lang w:val="en-GB" w:eastAsia="en-US"/>
        </w:rPr>
        <w:t xml:space="preserve">Wang, R., Lan, C., Benlagha, K., Camara, N. O. S., Miller, H., Kubo, M., Heegaard, S., Lee, P., Yang, L., Forsman, H., Li, X., Zhai, Z., &amp; Liu, C. (2024). The interaction of innate immune and adaptive immune system. </w:t>
      </w:r>
      <w:r w:rsidRPr="007B7747">
        <w:rPr>
          <w:rFonts w:ascii="Arial" w:eastAsiaTheme="minorHAnsi" w:hAnsi="Arial" w:cs="Arial"/>
          <w:i/>
          <w:iCs/>
          <w:lang w:val="en-GB" w:eastAsia="en-US"/>
        </w:rPr>
        <w:t>MedComm</w:t>
      </w:r>
      <w:r w:rsidRPr="007B7747">
        <w:rPr>
          <w:rFonts w:ascii="Arial" w:eastAsiaTheme="minorHAnsi" w:hAnsi="Arial" w:cs="Arial"/>
          <w:lang w:val="en-GB" w:eastAsia="en-US"/>
        </w:rPr>
        <w:t xml:space="preserve">, </w:t>
      </w:r>
      <w:r w:rsidRPr="007B7747">
        <w:rPr>
          <w:rFonts w:ascii="Arial" w:eastAsiaTheme="minorHAnsi" w:hAnsi="Arial" w:cs="Arial"/>
          <w:i/>
          <w:iCs/>
          <w:lang w:val="en-GB" w:eastAsia="en-US"/>
        </w:rPr>
        <w:t>5</w:t>
      </w:r>
      <w:r w:rsidRPr="007B7747">
        <w:rPr>
          <w:rFonts w:ascii="Arial" w:eastAsiaTheme="minorHAnsi" w:hAnsi="Arial" w:cs="Arial"/>
          <w:lang w:val="en-GB" w:eastAsia="en-US"/>
        </w:rPr>
        <w:t>(10), e714. https://doi.org/10.1002/mco2.714</w:t>
      </w:r>
    </w:p>
    <w:p w14:paraId="169C5A72" w14:textId="1D9EC090" w:rsidR="004C5AF5" w:rsidRPr="007B7747" w:rsidRDefault="00AF6B38" w:rsidP="00AF6B38">
      <w:pPr>
        <w:pStyle w:val="Bibliography"/>
        <w:jc w:val="both"/>
        <w:rPr>
          <w:rFonts w:ascii="Arial" w:hAnsi="Arial" w:cs="Arial"/>
        </w:rPr>
      </w:pPr>
      <w:r w:rsidRPr="007B7747">
        <w:rPr>
          <w:rFonts w:ascii="Arial" w:hAnsi="Arial" w:cs="Arial"/>
        </w:rPr>
        <w:fldChar w:fldCharType="end"/>
      </w:r>
    </w:p>
    <w:sectPr w:rsidR="004C5AF5" w:rsidRPr="007B7747" w:rsidSect="0013405D">
      <w:footerReference w:type="even" r:id="rId9"/>
      <w:footerReference w:type="default" r:id="rId10"/>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00BB8" w14:textId="77777777" w:rsidR="00D0448D" w:rsidRDefault="00D0448D">
      <w:r>
        <w:separator/>
      </w:r>
    </w:p>
  </w:endnote>
  <w:endnote w:type="continuationSeparator" w:id="0">
    <w:p w14:paraId="57A2AF1A" w14:textId="77777777" w:rsidR="00D0448D" w:rsidRDefault="00D0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713925702"/>
      <w:docPartObj>
        <w:docPartGallery w:val="Page Numbers (Bottom of Page)"/>
        <w:docPartUnique/>
      </w:docPartObj>
    </w:sdtPr>
    <w:sdtEndPr>
      <w:rPr>
        <w:rStyle w:val="PageNumber"/>
      </w:rPr>
    </w:sdtEndPr>
    <w:sdtContent>
      <w:p w14:paraId="305C2ABA" w14:textId="77777777" w:rsidR="0013405D" w:rsidRDefault="0013405D">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5ADFED8C" w14:textId="77777777" w:rsidR="0013405D" w:rsidRDefault="00134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2057608473"/>
      <w:docPartObj>
        <w:docPartGallery w:val="Page Numbers (Bottom of Page)"/>
        <w:docPartUnique/>
      </w:docPartObj>
    </w:sdtPr>
    <w:sdtEndPr>
      <w:rPr>
        <w:rStyle w:val="PageNumber"/>
      </w:rPr>
    </w:sdtEndPr>
    <w:sdtContent>
      <w:p w14:paraId="7BC1F18A" w14:textId="77777777" w:rsidR="0013405D" w:rsidRDefault="0013405D">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3</w:t>
        </w:r>
        <w:r>
          <w:rPr>
            <w:rStyle w:val="PageNumber"/>
            <w:rtl/>
          </w:rPr>
          <w:fldChar w:fldCharType="end"/>
        </w:r>
      </w:p>
    </w:sdtContent>
  </w:sdt>
  <w:p w14:paraId="5A5C3723" w14:textId="77777777" w:rsidR="0013405D" w:rsidRDefault="00134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A1D1A" w14:textId="77777777" w:rsidR="00D0448D" w:rsidRDefault="00D0448D">
      <w:r>
        <w:separator/>
      </w:r>
    </w:p>
  </w:footnote>
  <w:footnote w:type="continuationSeparator" w:id="0">
    <w:p w14:paraId="4AB03E0D" w14:textId="77777777" w:rsidR="00D0448D" w:rsidRDefault="00D04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81080"/>
    <w:multiLevelType w:val="multilevel"/>
    <w:tmpl w:val="E4F654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5D"/>
    <w:rsid w:val="00006CD7"/>
    <w:rsid w:val="00007012"/>
    <w:rsid w:val="0001125D"/>
    <w:rsid w:val="00011A2E"/>
    <w:rsid w:val="00011D84"/>
    <w:rsid w:val="000234F1"/>
    <w:rsid w:val="0004054B"/>
    <w:rsid w:val="00046DB1"/>
    <w:rsid w:val="000515FC"/>
    <w:rsid w:val="0006553A"/>
    <w:rsid w:val="0007421D"/>
    <w:rsid w:val="000744CE"/>
    <w:rsid w:val="000875F1"/>
    <w:rsid w:val="000A03C3"/>
    <w:rsid w:val="000A0480"/>
    <w:rsid w:val="000A0E35"/>
    <w:rsid w:val="000C3661"/>
    <w:rsid w:val="000C4892"/>
    <w:rsid w:val="000D012C"/>
    <w:rsid w:val="000F1D0A"/>
    <w:rsid w:val="000F6648"/>
    <w:rsid w:val="00116357"/>
    <w:rsid w:val="00116B00"/>
    <w:rsid w:val="0011731E"/>
    <w:rsid w:val="0012184C"/>
    <w:rsid w:val="001335F9"/>
    <w:rsid w:val="0013405D"/>
    <w:rsid w:val="00135D84"/>
    <w:rsid w:val="001457F4"/>
    <w:rsid w:val="00150B5F"/>
    <w:rsid w:val="001551BF"/>
    <w:rsid w:val="00161A5E"/>
    <w:rsid w:val="0016550E"/>
    <w:rsid w:val="00166536"/>
    <w:rsid w:val="0016695A"/>
    <w:rsid w:val="001859D8"/>
    <w:rsid w:val="001917AA"/>
    <w:rsid w:val="00194A6C"/>
    <w:rsid w:val="001A4335"/>
    <w:rsid w:val="001A4A67"/>
    <w:rsid w:val="001B1D49"/>
    <w:rsid w:val="001B1E85"/>
    <w:rsid w:val="001B2251"/>
    <w:rsid w:val="001B39F5"/>
    <w:rsid w:val="001B533A"/>
    <w:rsid w:val="001B7354"/>
    <w:rsid w:val="001C31C3"/>
    <w:rsid w:val="001D67D4"/>
    <w:rsid w:val="001D7601"/>
    <w:rsid w:val="001E1B75"/>
    <w:rsid w:val="001E520F"/>
    <w:rsid w:val="001E666A"/>
    <w:rsid w:val="001F1AC2"/>
    <w:rsid w:val="00200648"/>
    <w:rsid w:val="00202C73"/>
    <w:rsid w:val="002048FB"/>
    <w:rsid w:val="00204BB2"/>
    <w:rsid w:val="002055F1"/>
    <w:rsid w:val="00206DBF"/>
    <w:rsid w:val="0021209A"/>
    <w:rsid w:val="00213DF4"/>
    <w:rsid w:val="00233577"/>
    <w:rsid w:val="00236CF2"/>
    <w:rsid w:val="0023708B"/>
    <w:rsid w:val="00244C8C"/>
    <w:rsid w:val="002519EE"/>
    <w:rsid w:val="00252C91"/>
    <w:rsid w:val="0025429C"/>
    <w:rsid w:val="0025508A"/>
    <w:rsid w:val="00255512"/>
    <w:rsid w:val="002558C9"/>
    <w:rsid w:val="0025668E"/>
    <w:rsid w:val="00261A48"/>
    <w:rsid w:val="00265299"/>
    <w:rsid w:val="00271435"/>
    <w:rsid w:val="0027248A"/>
    <w:rsid w:val="00275CB5"/>
    <w:rsid w:val="00276D9C"/>
    <w:rsid w:val="0028791D"/>
    <w:rsid w:val="00291337"/>
    <w:rsid w:val="00293BAE"/>
    <w:rsid w:val="00294BF4"/>
    <w:rsid w:val="00294FF9"/>
    <w:rsid w:val="002A0E5A"/>
    <w:rsid w:val="002A2ED1"/>
    <w:rsid w:val="002A3EB7"/>
    <w:rsid w:val="002A41D6"/>
    <w:rsid w:val="002A48DA"/>
    <w:rsid w:val="002A55C8"/>
    <w:rsid w:val="002B5203"/>
    <w:rsid w:val="002B572B"/>
    <w:rsid w:val="002C03D3"/>
    <w:rsid w:val="002C2A8A"/>
    <w:rsid w:val="002D775A"/>
    <w:rsid w:val="002E1A09"/>
    <w:rsid w:val="002E5F1A"/>
    <w:rsid w:val="002F1A7C"/>
    <w:rsid w:val="002F5545"/>
    <w:rsid w:val="0030582C"/>
    <w:rsid w:val="00307F8A"/>
    <w:rsid w:val="00312EEA"/>
    <w:rsid w:val="00323982"/>
    <w:rsid w:val="003324D5"/>
    <w:rsid w:val="00337691"/>
    <w:rsid w:val="00352197"/>
    <w:rsid w:val="00354633"/>
    <w:rsid w:val="0036068F"/>
    <w:rsid w:val="00360AFC"/>
    <w:rsid w:val="0036304B"/>
    <w:rsid w:val="0036386D"/>
    <w:rsid w:val="00364AB1"/>
    <w:rsid w:val="00371DD1"/>
    <w:rsid w:val="0037286B"/>
    <w:rsid w:val="00380933"/>
    <w:rsid w:val="003861C4"/>
    <w:rsid w:val="003903E3"/>
    <w:rsid w:val="003907F9"/>
    <w:rsid w:val="003B0E06"/>
    <w:rsid w:val="003B18D5"/>
    <w:rsid w:val="003B3998"/>
    <w:rsid w:val="003B4126"/>
    <w:rsid w:val="003C1E35"/>
    <w:rsid w:val="003D323C"/>
    <w:rsid w:val="003D5953"/>
    <w:rsid w:val="00400BC1"/>
    <w:rsid w:val="004032BE"/>
    <w:rsid w:val="004065B4"/>
    <w:rsid w:val="00412C2F"/>
    <w:rsid w:val="00413D1D"/>
    <w:rsid w:val="00416159"/>
    <w:rsid w:val="00425DB1"/>
    <w:rsid w:val="00426B52"/>
    <w:rsid w:val="00427624"/>
    <w:rsid w:val="00431A88"/>
    <w:rsid w:val="004328AE"/>
    <w:rsid w:val="004334FD"/>
    <w:rsid w:val="004359EB"/>
    <w:rsid w:val="00436506"/>
    <w:rsid w:val="00436C97"/>
    <w:rsid w:val="00451FFB"/>
    <w:rsid w:val="00453182"/>
    <w:rsid w:val="00460912"/>
    <w:rsid w:val="00464DF1"/>
    <w:rsid w:val="00473035"/>
    <w:rsid w:val="0048051F"/>
    <w:rsid w:val="00481F75"/>
    <w:rsid w:val="00487153"/>
    <w:rsid w:val="00493A6E"/>
    <w:rsid w:val="00493CC1"/>
    <w:rsid w:val="00494D85"/>
    <w:rsid w:val="004A2F15"/>
    <w:rsid w:val="004A47A2"/>
    <w:rsid w:val="004A5376"/>
    <w:rsid w:val="004B13E1"/>
    <w:rsid w:val="004C1ED9"/>
    <w:rsid w:val="004C5AF5"/>
    <w:rsid w:val="004D5A0B"/>
    <w:rsid w:val="004E07BB"/>
    <w:rsid w:val="004E17B6"/>
    <w:rsid w:val="004E3623"/>
    <w:rsid w:val="004F32A3"/>
    <w:rsid w:val="004F7815"/>
    <w:rsid w:val="00510DB3"/>
    <w:rsid w:val="0051488E"/>
    <w:rsid w:val="00515E1E"/>
    <w:rsid w:val="0052364C"/>
    <w:rsid w:val="0053103E"/>
    <w:rsid w:val="00536048"/>
    <w:rsid w:val="00550A2A"/>
    <w:rsid w:val="00560C2B"/>
    <w:rsid w:val="00566946"/>
    <w:rsid w:val="00577833"/>
    <w:rsid w:val="00592FE0"/>
    <w:rsid w:val="0059477D"/>
    <w:rsid w:val="00595E58"/>
    <w:rsid w:val="005A7E44"/>
    <w:rsid w:val="005B3C4E"/>
    <w:rsid w:val="005C6897"/>
    <w:rsid w:val="005C7E0D"/>
    <w:rsid w:val="005D14EF"/>
    <w:rsid w:val="005D3CF3"/>
    <w:rsid w:val="005D566C"/>
    <w:rsid w:val="005F05E2"/>
    <w:rsid w:val="00601529"/>
    <w:rsid w:val="00604693"/>
    <w:rsid w:val="00612ED0"/>
    <w:rsid w:val="00613337"/>
    <w:rsid w:val="00615613"/>
    <w:rsid w:val="00615E5C"/>
    <w:rsid w:val="00622618"/>
    <w:rsid w:val="0062307B"/>
    <w:rsid w:val="0062694A"/>
    <w:rsid w:val="00627401"/>
    <w:rsid w:val="0062790A"/>
    <w:rsid w:val="00633FC1"/>
    <w:rsid w:val="00637E2C"/>
    <w:rsid w:val="0064201E"/>
    <w:rsid w:val="0065134C"/>
    <w:rsid w:val="00657C73"/>
    <w:rsid w:val="00663A9C"/>
    <w:rsid w:val="006644F4"/>
    <w:rsid w:val="006700A1"/>
    <w:rsid w:val="00671B6B"/>
    <w:rsid w:val="00672DC0"/>
    <w:rsid w:val="00683384"/>
    <w:rsid w:val="00692D6E"/>
    <w:rsid w:val="00696104"/>
    <w:rsid w:val="006B2101"/>
    <w:rsid w:val="006B6FAA"/>
    <w:rsid w:val="006B7ED4"/>
    <w:rsid w:val="006D4586"/>
    <w:rsid w:val="006D49CA"/>
    <w:rsid w:val="006D677E"/>
    <w:rsid w:val="006E58CE"/>
    <w:rsid w:val="006F3F4D"/>
    <w:rsid w:val="006F7E39"/>
    <w:rsid w:val="00703C50"/>
    <w:rsid w:val="00705573"/>
    <w:rsid w:val="00707021"/>
    <w:rsid w:val="00717C13"/>
    <w:rsid w:val="00720980"/>
    <w:rsid w:val="00720B2C"/>
    <w:rsid w:val="00730451"/>
    <w:rsid w:val="007317D9"/>
    <w:rsid w:val="007333FA"/>
    <w:rsid w:val="00736B0E"/>
    <w:rsid w:val="007449F5"/>
    <w:rsid w:val="00752F53"/>
    <w:rsid w:val="0075570A"/>
    <w:rsid w:val="00761A7F"/>
    <w:rsid w:val="007644B6"/>
    <w:rsid w:val="007649A1"/>
    <w:rsid w:val="00771F06"/>
    <w:rsid w:val="00774A35"/>
    <w:rsid w:val="00793E40"/>
    <w:rsid w:val="00796F30"/>
    <w:rsid w:val="007A4F55"/>
    <w:rsid w:val="007B7747"/>
    <w:rsid w:val="007C06F3"/>
    <w:rsid w:val="007C1941"/>
    <w:rsid w:val="007C355F"/>
    <w:rsid w:val="007D7960"/>
    <w:rsid w:val="007E0CEA"/>
    <w:rsid w:val="007E6456"/>
    <w:rsid w:val="007F7938"/>
    <w:rsid w:val="007F7DBF"/>
    <w:rsid w:val="00804ED0"/>
    <w:rsid w:val="00805309"/>
    <w:rsid w:val="00805D31"/>
    <w:rsid w:val="00807CC4"/>
    <w:rsid w:val="00812168"/>
    <w:rsid w:val="00813764"/>
    <w:rsid w:val="00825969"/>
    <w:rsid w:val="008264BE"/>
    <w:rsid w:val="00830B9E"/>
    <w:rsid w:val="00831F8A"/>
    <w:rsid w:val="0083222B"/>
    <w:rsid w:val="00840B0B"/>
    <w:rsid w:val="008438E4"/>
    <w:rsid w:val="008445F0"/>
    <w:rsid w:val="0085221F"/>
    <w:rsid w:val="00857FA1"/>
    <w:rsid w:val="00865AD7"/>
    <w:rsid w:val="008767F6"/>
    <w:rsid w:val="0088059A"/>
    <w:rsid w:val="008805ED"/>
    <w:rsid w:val="0088350D"/>
    <w:rsid w:val="0088407C"/>
    <w:rsid w:val="00885C0C"/>
    <w:rsid w:val="00892B9C"/>
    <w:rsid w:val="00896246"/>
    <w:rsid w:val="008A0414"/>
    <w:rsid w:val="008A2A29"/>
    <w:rsid w:val="008A3BDB"/>
    <w:rsid w:val="008B6466"/>
    <w:rsid w:val="008B7139"/>
    <w:rsid w:val="008B76C7"/>
    <w:rsid w:val="008C0A7D"/>
    <w:rsid w:val="008C320F"/>
    <w:rsid w:val="008D2FF9"/>
    <w:rsid w:val="008E1C63"/>
    <w:rsid w:val="008E4FAB"/>
    <w:rsid w:val="008E7647"/>
    <w:rsid w:val="008F21A4"/>
    <w:rsid w:val="008F5266"/>
    <w:rsid w:val="00907B47"/>
    <w:rsid w:val="00911E51"/>
    <w:rsid w:val="00916A9F"/>
    <w:rsid w:val="0093587A"/>
    <w:rsid w:val="00940A59"/>
    <w:rsid w:val="00944730"/>
    <w:rsid w:val="009473F5"/>
    <w:rsid w:val="00954E67"/>
    <w:rsid w:val="009739A2"/>
    <w:rsid w:val="00977A53"/>
    <w:rsid w:val="009828A3"/>
    <w:rsid w:val="009865B4"/>
    <w:rsid w:val="0098710A"/>
    <w:rsid w:val="009922D0"/>
    <w:rsid w:val="0099625B"/>
    <w:rsid w:val="009A2CA2"/>
    <w:rsid w:val="009A3C4A"/>
    <w:rsid w:val="009A5433"/>
    <w:rsid w:val="009A7365"/>
    <w:rsid w:val="009A7DA1"/>
    <w:rsid w:val="009B0B3D"/>
    <w:rsid w:val="009B12FF"/>
    <w:rsid w:val="009B4D1B"/>
    <w:rsid w:val="009B59E3"/>
    <w:rsid w:val="009B627B"/>
    <w:rsid w:val="009B633D"/>
    <w:rsid w:val="009B6E5A"/>
    <w:rsid w:val="009C2548"/>
    <w:rsid w:val="009C3279"/>
    <w:rsid w:val="009E5F5A"/>
    <w:rsid w:val="009F0CBD"/>
    <w:rsid w:val="00A03572"/>
    <w:rsid w:val="00A10A07"/>
    <w:rsid w:val="00A1580A"/>
    <w:rsid w:val="00A15EF6"/>
    <w:rsid w:val="00A26BEC"/>
    <w:rsid w:val="00A30716"/>
    <w:rsid w:val="00A44A94"/>
    <w:rsid w:val="00A51131"/>
    <w:rsid w:val="00A52F84"/>
    <w:rsid w:val="00A57C0D"/>
    <w:rsid w:val="00A61A19"/>
    <w:rsid w:val="00A6637A"/>
    <w:rsid w:val="00A66CF7"/>
    <w:rsid w:val="00A7122B"/>
    <w:rsid w:val="00A722FB"/>
    <w:rsid w:val="00A73070"/>
    <w:rsid w:val="00A74856"/>
    <w:rsid w:val="00A8776D"/>
    <w:rsid w:val="00A9407D"/>
    <w:rsid w:val="00A94B06"/>
    <w:rsid w:val="00AA2CE9"/>
    <w:rsid w:val="00AB0CF0"/>
    <w:rsid w:val="00AB2A15"/>
    <w:rsid w:val="00AC1B76"/>
    <w:rsid w:val="00AC38E8"/>
    <w:rsid w:val="00AD73E2"/>
    <w:rsid w:val="00AE3745"/>
    <w:rsid w:val="00AE3ABF"/>
    <w:rsid w:val="00AE6F4A"/>
    <w:rsid w:val="00AF16EB"/>
    <w:rsid w:val="00AF6B38"/>
    <w:rsid w:val="00B17DAD"/>
    <w:rsid w:val="00B3159B"/>
    <w:rsid w:val="00B338B6"/>
    <w:rsid w:val="00B34212"/>
    <w:rsid w:val="00B43CD2"/>
    <w:rsid w:val="00B44C3C"/>
    <w:rsid w:val="00B50694"/>
    <w:rsid w:val="00B522F5"/>
    <w:rsid w:val="00B5435B"/>
    <w:rsid w:val="00B73B16"/>
    <w:rsid w:val="00B76061"/>
    <w:rsid w:val="00B77958"/>
    <w:rsid w:val="00B9633D"/>
    <w:rsid w:val="00BA3FE6"/>
    <w:rsid w:val="00BA4E64"/>
    <w:rsid w:val="00BA690C"/>
    <w:rsid w:val="00BB6358"/>
    <w:rsid w:val="00BB757C"/>
    <w:rsid w:val="00BC2DDE"/>
    <w:rsid w:val="00BD570C"/>
    <w:rsid w:val="00C00CF9"/>
    <w:rsid w:val="00C011FE"/>
    <w:rsid w:val="00C054F9"/>
    <w:rsid w:val="00C101C0"/>
    <w:rsid w:val="00C10F40"/>
    <w:rsid w:val="00C13987"/>
    <w:rsid w:val="00C2151E"/>
    <w:rsid w:val="00C21727"/>
    <w:rsid w:val="00C2517E"/>
    <w:rsid w:val="00C344B3"/>
    <w:rsid w:val="00C34B82"/>
    <w:rsid w:val="00C36167"/>
    <w:rsid w:val="00C54297"/>
    <w:rsid w:val="00C54528"/>
    <w:rsid w:val="00C6077F"/>
    <w:rsid w:val="00C63AE7"/>
    <w:rsid w:val="00C73DF1"/>
    <w:rsid w:val="00C74953"/>
    <w:rsid w:val="00C7765C"/>
    <w:rsid w:val="00C779C0"/>
    <w:rsid w:val="00C809BF"/>
    <w:rsid w:val="00C84041"/>
    <w:rsid w:val="00C86EB3"/>
    <w:rsid w:val="00C93F88"/>
    <w:rsid w:val="00C94639"/>
    <w:rsid w:val="00C94F9B"/>
    <w:rsid w:val="00CA044B"/>
    <w:rsid w:val="00CA56B1"/>
    <w:rsid w:val="00CA7ECB"/>
    <w:rsid w:val="00CB7E88"/>
    <w:rsid w:val="00CC5827"/>
    <w:rsid w:val="00CC71F9"/>
    <w:rsid w:val="00CD21F5"/>
    <w:rsid w:val="00CE0262"/>
    <w:rsid w:val="00CE2B18"/>
    <w:rsid w:val="00CE384B"/>
    <w:rsid w:val="00CE5317"/>
    <w:rsid w:val="00CF1F95"/>
    <w:rsid w:val="00CF3BEC"/>
    <w:rsid w:val="00D04249"/>
    <w:rsid w:val="00D0448D"/>
    <w:rsid w:val="00D117BC"/>
    <w:rsid w:val="00D11A79"/>
    <w:rsid w:val="00D142C6"/>
    <w:rsid w:val="00D144F2"/>
    <w:rsid w:val="00D1668B"/>
    <w:rsid w:val="00D17260"/>
    <w:rsid w:val="00D224A3"/>
    <w:rsid w:val="00D252B2"/>
    <w:rsid w:val="00D327C0"/>
    <w:rsid w:val="00D40796"/>
    <w:rsid w:val="00D42A36"/>
    <w:rsid w:val="00D46D09"/>
    <w:rsid w:val="00D57627"/>
    <w:rsid w:val="00D919E9"/>
    <w:rsid w:val="00DA00F5"/>
    <w:rsid w:val="00DA08ED"/>
    <w:rsid w:val="00DA6E59"/>
    <w:rsid w:val="00DA78CA"/>
    <w:rsid w:val="00DC2B8B"/>
    <w:rsid w:val="00DD02EE"/>
    <w:rsid w:val="00DD3816"/>
    <w:rsid w:val="00DD6C5F"/>
    <w:rsid w:val="00DE0E69"/>
    <w:rsid w:val="00DE2A80"/>
    <w:rsid w:val="00DE4E0E"/>
    <w:rsid w:val="00E13E6A"/>
    <w:rsid w:val="00E14499"/>
    <w:rsid w:val="00E14872"/>
    <w:rsid w:val="00E1601D"/>
    <w:rsid w:val="00E1777E"/>
    <w:rsid w:val="00E22E11"/>
    <w:rsid w:val="00E27C2A"/>
    <w:rsid w:val="00E36CCE"/>
    <w:rsid w:val="00E4285C"/>
    <w:rsid w:val="00E42BE0"/>
    <w:rsid w:val="00E43D33"/>
    <w:rsid w:val="00E602DA"/>
    <w:rsid w:val="00E61BA8"/>
    <w:rsid w:val="00E646E1"/>
    <w:rsid w:val="00E65823"/>
    <w:rsid w:val="00E716A2"/>
    <w:rsid w:val="00E71881"/>
    <w:rsid w:val="00EA0F90"/>
    <w:rsid w:val="00EA11CD"/>
    <w:rsid w:val="00EA2E67"/>
    <w:rsid w:val="00EA56AB"/>
    <w:rsid w:val="00EA6F67"/>
    <w:rsid w:val="00EB3471"/>
    <w:rsid w:val="00EB754B"/>
    <w:rsid w:val="00EC2C09"/>
    <w:rsid w:val="00EC66BA"/>
    <w:rsid w:val="00EC71F0"/>
    <w:rsid w:val="00ED0F3A"/>
    <w:rsid w:val="00EE0E6B"/>
    <w:rsid w:val="00EE14BE"/>
    <w:rsid w:val="00EE7960"/>
    <w:rsid w:val="00EF1EF8"/>
    <w:rsid w:val="00EF72D5"/>
    <w:rsid w:val="00EF738C"/>
    <w:rsid w:val="00F0073B"/>
    <w:rsid w:val="00F03BB0"/>
    <w:rsid w:val="00F07716"/>
    <w:rsid w:val="00F10C58"/>
    <w:rsid w:val="00F11D8F"/>
    <w:rsid w:val="00F1324E"/>
    <w:rsid w:val="00F16B06"/>
    <w:rsid w:val="00F24CE9"/>
    <w:rsid w:val="00F24F54"/>
    <w:rsid w:val="00F25063"/>
    <w:rsid w:val="00F25D23"/>
    <w:rsid w:val="00F261F3"/>
    <w:rsid w:val="00F30686"/>
    <w:rsid w:val="00F32F84"/>
    <w:rsid w:val="00F36AC4"/>
    <w:rsid w:val="00F43B97"/>
    <w:rsid w:val="00F47AA2"/>
    <w:rsid w:val="00F53458"/>
    <w:rsid w:val="00F60198"/>
    <w:rsid w:val="00F640A4"/>
    <w:rsid w:val="00F713FE"/>
    <w:rsid w:val="00F81EA0"/>
    <w:rsid w:val="00F833E1"/>
    <w:rsid w:val="00F96928"/>
    <w:rsid w:val="00FA25B6"/>
    <w:rsid w:val="00FA4F7C"/>
    <w:rsid w:val="00FB05B2"/>
    <w:rsid w:val="00FB1357"/>
    <w:rsid w:val="00FC0C5A"/>
    <w:rsid w:val="00FC2A10"/>
    <w:rsid w:val="00FD0101"/>
    <w:rsid w:val="00FD1C60"/>
    <w:rsid w:val="00FD6F54"/>
    <w:rsid w:val="00FD7D76"/>
    <w:rsid w:val="00FE1871"/>
    <w:rsid w:val="00FE5334"/>
    <w:rsid w:val="00FF068B"/>
    <w:rsid w:val="00FF15DA"/>
    <w:rsid w:val="00FF4244"/>
    <w:rsid w:val="00FF70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C7B6"/>
  <w15:chartTrackingRefBased/>
  <w15:docId w15:val="{EF090448-38D5-5843-9F72-E9E87C0B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05D"/>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rsid w:val="0013405D"/>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3405D"/>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3405D"/>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3405D"/>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3405D"/>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3405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3405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3405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3405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05D"/>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13405D"/>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13405D"/>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13405D"/>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3405D"/>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13405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3405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3405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3405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340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3405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3405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3405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3405D"/>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3405D"/>
    <w:rPr>
      <w:i/>
      <w:iCs/>
      <w:color w:val="404040" w:themeColor="text1" w:themeTint="BF"/>
      <w:lang w:val="en-US"/>
    </w:rPr>
  </w:style>
  <w:style w:type="paragraph" w:styleId="ListParagraph">
    <w:name w:val="List Paragraph"/>
    <w:basedOn w:val="Normal"/>
    <w:uiPriority w:val="34"/>
    <w:qFormat/>
    <w:rsid w:val="0013405D"/>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3405D"/>
    <w:rPr>
      <w:i/>
      <w:iCs/>
      <w:color w:val="2F5496" w:themeColor="accent1" w:themeShade="BF"/>
    </w:rPr>
  </w:style>
  <w:style w:type="paragraph" w:styleId="IntenseQuote">
    <w:name w:val="Intense Quote"/>
    <w:basedOn w:val="Normal"/>
    <w:next w:val="Normal"/>
    <w:link w:val="IntenseQuoteChar"/>
    <w:uiPriority w:val="30"/>
    <w:qFormat/>
    <w:rsid w:val="0013405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3405D"/>
    <w:rPr>
      <w:i/>
      <w:iCs/>
      <w:color w:val="2F5496" w:themeColor="accent1" w:themeShade="BF"/>
      <w:lang w:val="en-US"/>
    </w:rPr>
  </w:style>
  <w:style w:type="character" w:styleId="IntenseReference">
    <w:name w:val="Intense Reference"/>
    <w:basedOn w:val="DefaultParagraphFont"/>
    <w:uiPriority w:val="32"/>
    <w:qFormat/>
    <w:rsid w:val="0013405D"/>
    <w:rPr>
      <w:b/>
      <w:bCs/>
      <w:smallCaps/>
      <w:color w:val="2F5496" w:themeColor="accent1" w:themeShade="BF"/>
      <w:spacing w:val="5"/>
    </w:rPr>
  </w:style>
  <w:style w:type="paragraph" w:styleId="Footer">
    <w:name w:val="footer"/>
    <w:basedOn w:val="Normal"/>
    <w:link w:val="FooterChar"/>
    <w:uiPriority w:val="99"/>
    <w:unhideWhenUsed/>
    <w:rsid w:val="0013405D"/>
    <w:pPr>
      <w:tabs>
        <w:tab w:val="center" w:pos="4153"/>
        <w:tab w:val="right" w:pos="8306"/>
      </w:tabs>
      <w:bidi/>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3405D"/>
    <w:rPr>
      <w:kern w:val="0"/>
      <w:sz w:val="22"/>
      <w:szCs w:val="22"/>
      <w:lang w:val="en-US"/>
      <w14:ligatures w14:val="none"/>
    </w:rPr>
  </w:style>
  <w:style w:type="paragraph" w:styleId="NormalWeb">
    <w:name w:val="Normal (Web)"/>
    <w:basedOn w:val="Normal"/>
    <w:uiPriority w:val="99"/>
    <w:unhideWhenUsed/>
    <w:rsid w:val="0013405D"/>
    <w:pPr>
      <w:spacing w:before="100" w:beforeAutospacing="1" w:after="100" w:afterAutospacing="1"/>
    </w:pPr>
  </w:style>
  <w:style w:type="paragraph" w:styleId="Bibliography">
    <w:name w:val="Bibliography"/>
    <w:basedOn w:val="Normal"/>
    <w:next w:val="Normal"/>
    <w:uiPriority w:val="37"/>
    <w:unhideWhenUsed/>
    <w:rsid w:val="0013405D"/>
    <w:pPr>
      <w:tabs>
        <w:tab w:val="left" w:pos="380"/>
      </w:tabs>
      <w:spacing w:line="480" w:lineRule="auto"/>
      <w:ind w:left="720" w:hanging="720"/>
    </w:pPr>
  </w:style>
  <w:style w:type="character" w:styleId="PageNumber">
    <w:name w:val="page number"/>
    <w:basedOn w:val="DefaultParagraphFont"/>
    <w:uiPriority w:val="99"/>
    <w:semiHidden/>
    <w:unhideWhenUsed/>
    <w:rsid w:val="0013405D"/>
  </w:style>
  <w:style w:type="character" w:styleId="Strong">
    <w:name w:val="Strong"/>
    <w:basedOn w:val="DefaultParagraphFont"/>
    <w:uiPriority w:val="22"/>
    <w:qFormat/>
    <w:rsid w:val="0013405D"/>
    <w:rPr>
      <w:b/>
      <w:bCs/>
    </w:rPr>
  </w:style>
  <w:style w:type="paragraph" w:customStyle="1" w:styleId="my-0">
    <w:name w:val="my-0"/>
    <w:basedOn w:val="Normal"/>
    <w:rsid w:val="0013405D"/>
    <w:pPr>
      <w:spacing w:before="100" w:beforeAutospacing="1" w:after="100" w:afterAutospacing="1"/>
    </w:pPr>
    <w:rPr>
      <w:lang w:val="en-GB"/>
    </w:rPr>
  </w:style>
  <w:style w:type="character" w:customStyle="1" w:styleId="whitespace-nowrap">
    <w:name w:val="whitespace-nowrap"/>
    <w:basedOn w:val="DefaultParagraphFont"/>
    <w:rsid w:val="0013405D"/>
  </w:style>
  <w:style w:type="paragraph" w:styleId="BodyText">
    <w:name w:val="Body Text"/>
    <w:basedOn w:val="Normal"/>
    <w:link w:val="BodyTextChar"/>
    <w:uiPriority w:val="1"/>
    <w:qFormat/>
    <w:rsid w:val="0013405D"/>
    <w:pPr>
      <w:widowControl w:val="0"/>
      <w:autoSpaceDE w:val="0"/>
      <w:autoSpaceDN w:val="0"/>
      <w:spacing w:line="480" w:lineRule="auto"/>
      <w:ind w:right="48"/>
      <w:jc w:val="both"/>
    </w:pPr>
    <w:rPr>
      <w:rFonts w:ascii="Arial" w:hAnsi="Arial" w:cs="Arial"/>
      <w:color w:val="242424"/>
      <w:shd w:val="clear" w:color="auto" w:fill="FFFFFF"/>
      <w:lang w:eastAsia="en-US"/>
    </w:rPr>
  </w:style>
  <w:style w:type="character" w:customStyle="1" w:styleId="BodyTextChar">
    <w:name w:val="Body Text Char"/>
    <w:basedOn w:val="DefaultParagraphFont"/>
    <w:link w:val="BodyText"/>
    <w:uiPriority w:val="1"/>
    <w:rsid w:val="0013405D"/>
    <w:rPr>
      <w:rFonts w:ascii="Arial" w:eastAsia="Times New Roman" w:hAnsi="Arial" w:cs="Arial"/>
      <w:color w:val="242424"/>
      <w:kern w:val="0"/>
      <w:lang w:val="en-US"/>
      <w14:ligatures w14:val="none"/>
    </w:rPr>
  </w:style>
  <w:style w:type="table" w:styleId="TableGrid">
    <w:name w:val="Table Grid"/>
    <w:basedOn w:val="TableNormal"/>
    <w:uiPriority w:val="39"/>
    <w:rsid w:val="0013405D"/>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d-Pendahul10">
    <w:name w:val="jbd-Pendahul10"/>
    <w:basedOn w:val="Normal"/>
    <w:qFormat/>
    <w:rsid w:val="0013405D"/>
    <w:pPr>
      <w:keepNext/>
      <w:spacing w:before="480" w:after="240"/>
      <w:jc w:val="center"/>
    </w:pPr>
    <w:rPr>
      <w:rFonts w:eastAsia="Batang" w:cs="Arial"/>
      <w:b/>
      <w:bCs/>
      <w:caps/>
      <w:sz w:val="20"/>
      <w:szCs w:val="18"/>
      <w:lang w:val="id-ID"/>
    </w:rPr>
  </w:style>
  <w:style w:type="character" w:styleId="LineNumber">
    <w:name w:val="line number"/>
    <w:basedOn w:val="DefaultParagraphFont"/>
    <w:uiPriority w:val="99"/>
    <w:semiHidden/>
    <w:unhideWhenUsed/>
    <w:rsid w:val="0013405D"/>
  </w:style>
  <w:style w:type="character" w:styleId="Hyperlink">
    <w:name w:val="Hyperlink"/>
    <w:basedOn w:val="DefaultParagraphFont"/>
    <w:uiPriority w:val="99"/>
    <w:unhideWhenUsed/>
    <w:rsid w:val="00AF16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E6307C-3B70-A244-8A09-67887E4924F3}">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0FE5A-47E5-47EB-A425-051E5396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21494</Words>
  <Characters>122517</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Al-Maqtoofi</dc:creator>
  <cp:keywords/>
  <dc:description/>
  <cp:lastModifiedBy>SDI 1158</cp:lastModifiedBy>
  <cp:revision>13</cp:revision>
  <cp:lastPrinted>2025-10-23T15:09:00Z</cp:lastPrinted>
  <dcterms:created xsi:type="dcterms:W3CDTF">2025-10-23T16:31:00Z</dcterms:created>
  <dcterms:modified xsi:type="dcterms:W3CDTF">2025-10-27T07:25:00Z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zotero-version="7.0.28"&gt;&lt;session id="0oncGgy0"/&gt;&lt;style id="http://www.zotero.org/styles/apa" locale="en-GB" hasBibliography="1" bibliographyStyleHasBeenSet="1"/&gt;&lt;prefs&gt;&lt;pref name="fieldType" value="Field"/&gt;&lt;pref name="delayCitationU</vt:lpwstr>
  </property>
  <property fmtid="{D5CDD505-2E9C-101B-9397-08002B2CF9AE}" pid="3" name="ZOTERO_PREF_2">
    <vt:lpwstr>pdates" value="true"/&gt;&lt;pref name="dontAskDelayCitationUpdates" value="true"/&gt;&lt;/prefs&gt;&lt;/data&gt;</vt:lpwstr>
  </property>
  <property fmtid="{D5CDD505-2E9C-101B-9397-08002B2CF9AE}" pid="4" name="grammarly_documentId">
    <vt:lpwstr>documentId_374</vt:lpwstr>
  </property>
  <property fmtid="{D5CDD505-2E9C-101B-9397-08002B2CF9AE}" pid="5" name="grammarly_documentContext">
    <vt:lpwstr>{"goals":[],"domain":"general","emotions":[],"dialect":"american"}</vt:lpwstr>
  </property>
</Properties>
</file>