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AD675" w14:textId="77777777" w:rsidR="00F82F41" w:rsidRDefault="00F82F41" w:rsidP="00B81D4F">
      <w:pPr>
        <w:jc w:val="center"/>
        <w:rPr>
          <w:rFonts w:ascii="Times New Roman" w:hAnsi="Times New Roman" w:cs="Times New Roman"/>
          <w:b/>
          <w:bCs/>
          <w:sz w:val="32"/>
          <w:szCs w:val="32"/>
        </w:rPr>
      </w:pPr>
    </w:p>
    <w:p w14:paraId="2E2A18B3" w14:textId="01C101AA" w:rsidR="00BB6BEB" w:rsidRDefault="00BB6BEB" w:rsidP="00B81D4F">
      <w:pPr>
        <w:jc w:val="center"/>
        <w:rPr>
          <w:rFonts w:ascii="Times New Roman" w:hAnsi="Times New Roman" w:cs="Times New Roman"/>
          <w:b/>
          <w:bCs/>
          <w:sz w:val="32"/>
          <w:szCs w:val="32"/>
        </w:rPr>
      </w:pPr>
      <w:r w:rsidRPr="00033312">
        <w:rPr>
          <w:rFonts w:ascii="Times New Roman" w:hAnsi="Times New Roman" w:cs="Times New Roman"/>
          <w:b/>
          <w:bCs/>
          <w:sz w:val="32"/>
          <w:szCs w:val="32"/>
        </w:rPr>
        <w:t>Impact of Integrated Nutrient Management on Soil Fertility and Economics of Indian Mustard (</w:t>
      </w:r>
      <w:r w:rsidR="0028203F" w:rsidRPr="00033312">
        <w:rPr>
          <w:rFonts w:ascii="Times New Roman" w:hAnsi="Times New Roman" w:cs="Times New Roman"/>
          <w:b/>
          <w:bCs/>
          <w:i/>
          <w:iCs/>
          <w:sz w:val="32"/>
          <w:szCs w:val="32"/>
        </w:rPr>
        <w:t xml:space="preserve">Brassica juncea </w:t>
      </w:r>
      <w:r w:rsidRPr="00033312">
        <w:rPr>
          <w:rFonts w:ascii="Times New Roman" w:hAnsi="Times New Roman" w:cs="Times New Roman"/>
          <w:b/>
          <w:bCs/>
          <w:sz w:val="32"/>
          <w:szCs w:val="32"/>
        </w:rPr>
        <w:t>L.) in Dehradun</w:t>
      </w:r>
      <w:r w:rsidR="009D08AF">
        <w:rPr>
          <w:rFonts w:ascii="Times New Roman" w:hAnsi="Times New Roman" w:cs="Times New Roman"/>
          <w:b/>
          <w:bCs/>
          <w:sz w:val="32"/>
          <w:szCs w:val="32"/>
        </w:rPr>
        <w:t xml:space="preserve">, India </w:t>
      </w:r>
    </w:p>
    <w:p w14:paraId="1D4E59E3" w14:textId="77777777" w:rsidR="00A67F34" w:rsidRDefault="00A67F34" w:rsidP="001525A7">
      <w:pPr>
        <w:spacing w:after="0"/>
        <w:jc w:val="center"/>
        <w:rPr>
          <w:rFonts w:ascii="Times New Roman" w:hAnsi="Times New Roman" w:cs="Times New Roman"/>
          <w:b/>
          <w:bCs/>
          <w:sz w:val="24"/>
          <w:szCs w:val="24"/>
        </w:rPr>
      </w:pPr>
      <w:bookmarkStart w:id="0" w:name="_Hlk208496213"/>
    </w:p>
    <w:p w14:paraId="4AF60BD3" w14:textId="77777777" w:rsidR="00917289" w:rsidRDefault="00917289" w:rsidP="0053471D">
      <w:pPr>
        <w:spacing w:after="0"/>
        <w:jc w:val="center"/>
        <w:rPr>
          <w:rFonts w:ascii="Times New Roman" w:hAnsi="Times New Roman" w:cs="Times New Roman"/>
          <w:sz w:val="24"/>
          <w:szCs w:val="24"/>
        </w:rPr>
      </w:pPr>
    </w:p>
    <w:p w14:paraId="3B2BBBEB" w14:textId="77777777" w:rsidR="0023565C" w:rsidRDefault="0023565C" w:rsidP="0053471D">
      <w:pPr>
        <w:spacing w:after="0"/>
        <w:jc w:val="center"/>
        <w:rPr>
          <w:rFonts w:ascii="Times New Roman" w:hAnsi="Times New Roman" w:cs="Times New Roman"/>
          <w:sz w:val="24"/>
          <w:szCs w:val="24"/>
        </w:rPr>
      </w:pPr>
    </w:p>
    <w:bookmarkEnd w:id="0"/>
    <w:p w14:paraId="70E007CA" w14:textId="0321AF83" w:rsidR="00F965F4" w:rsidRPr="00F965F4" w:rsidRDefault="00F965F4" w:rsidP="00B81D4F">
      <w:pPr>
        <w:jc w:val="center"/>
        <w:rPr>
          <w:rFonts w:ascii="Times New Roman" w:hAnsi="Times New Roman" w:cs="Times New Roman"/>
          <w:b/>
          <w:bCs/>
          <w:sz w:val="24"/>
          <w:szCs w:val="24"/>
        </w:rPr>
      </w:pPr>
      <w:r w:rsidRPr="00F965F4">
        <w:rPr>
          <w:rFonts w:ascii="Times New Roman" w:hAnsi="Times New Roman" w:cs="Times New Roman"/>
          <w:b/>
          <w:bCs/>
          <w:sz w:val="24"/>
          <w:szCs w:val="24"/>
        </w:rPr>
        <w:t>Abstract</w:t>
      </w:r>
    </w:p>
    <w:p w14:paraId="58FF0552" w14:textId="10F31453" w:rsidR="008F58E8" w:rsidRPr="008F58E8" w:rsidRDefault="008F58E8" w:rsidP="008F58E8">
      <w:pPr>
        <w:jc w:val="both"/>
        <w:rPr>
          <w:rFonts w:ascii="Times New Roman" w:hAnsi="Times New Roman" w:cs="Times New Roman"/>
          <w:sz w:val="24"/>
          <w:szCs w:val="24"/>
        </w:rPr>
      </w:pPr>
      <w:r w:rsidRPr="008F58E8">
        <w:rPr>
          <w:rFonts w:ascii="Times New Roman" w:hAnsi="Times New Roman" w:cs="Times New Roman"/>
          <w:sz w:val="24"/>
          <w:szCs w:val="24"/>
        </w:rPr>
        <w:t>Maintaining soil fertility and optimizing input use are vital for the long-term productivity of Indian mustard (</w:t>
      </w:r>
      <w:r w:rsidRPr="008F58E8">
        <w:rPr>
          <w:rFonts w:ascii="Times New Roman" w:hAnsi="Times New Roman" w:cs="Times New Roman"/>
          <w:i/>
          <w:iCs/>
          <w:sz w:val="24"/>
          <w:szCs w:val="24"/>
        </w:rPr>
        <w:t>Brassica juncea</w:t>
      </w:r>
      <w:r w:rsidRPr="008F58E8">
        <w:rPr>
          <w:rFonts w:ascii="Times New Roman" w:hAnsi="Times New Roman" w:cs="Times New Roman"/>
          <w:sz w:val="24"/>
          <w:szCs w:val="24"/>
        </w:rPr>
        <w:t xml:space="preserve"> L.). Excessive use of chemical fertilizers in major mustard-growing regions has caused nutrient imbalances, soil degradation, and reduced profitability. Integrated nutrient management (INM), which combines chemical fertilizers with organic amendments and biofertilizers, provides an effective approach to sustain yields while improving soil health. A field experiment was conducted at Jigyasa University’s Agronomy Research Farm, Dehradun, during the Rabi season of 2023–2024 to evaluate the effects of INM on soil fertility and economic performance. The randomized block design included nine treatments involving vermicompost, biofertilizers (Azotobacter + PSB), and recommended doses of fertilizers (RDF). Soil samples before sowing and after harvest were analyzed for pH, electrical conductivity (EC), organic carbon (OC), and available nitrogen (N) and phosphorus (P). Economic parameters such as cost of cultivation, gross return, net return, and benefit–cost (B:C) ratio were also assessed.</w:t>
      </w:r>
      <w:r>
        <w:rPr>
          <w:rFonts w:ascii="Times New Roman" w:hAnsi="Times New Roman" w:cs="Times New Roman"/>
          <w:sz w:val="24"/>
          <w:szCs w:val="24"/>
        </w:rPr>
        <w:t xml:space="preserve"> </w:t>
      </w:r>
      <w:r w:rsidRPr="008F58E8">
        <w:rPr>
          <w:rFonts w:ascii="Times New Roman" w:hAnsi="Times New Roman" w:cs="Times New Roman"/>
          <w:sz w:val="24"/>
          <w:szCs w:val="24"/>
        </w:rPr>
        <w:t>The results indicated substantial improvements in soil fertility under INM compared to RDF alone. The treatment with 80% RDF + vermicompost + biofertilizer (T4) recorded the highest post-harvest OC (1.11%), while sole RDF (T1) showed the lowest (0.49%). T4 also had the highest available nitrogen (165.10 kg/ha) and phosphorus (15.43 kg/ha), reflecting enhanced nutrient mineralization and solubilization due to organic inputs and beneficial microbes. Soil pH and EC stabilized under integrated treatments, indicating better regulation of soil chemical properties. Economically, T4 remained the most profitable, with gross return of ₹124,111.70/ha, net return of ₹80,125.66/ha, and B:C ratio of 1.82. Treatments with only vermicompost (T8) or only biofertilizers (T9) were less profitable because of lower yields and higher input costs. Overall, INM with vermicompost and biofertilizers along with 80% RDF improved soil fertility, enhanced productivity, and increased economic returns, offering a sustainable and profitable nutrient management option for mustard cultivation.</w:t>
      </w:r>
    </w:p>
    <w:p w14:paraId="2D278713" w14:textId="166C4F77" w:rsidR="00F965F4" w:rsidRPr="00F965F4" w:rsidRDefault="00F965F4" w:rsidP="00256BC1">
      <w:pPr>
        <w:jc w:val="both"/>
        <w:rPr>
          <w:rFonts w:ascii="Times New Roman" w:hAnsi="Times New Roman" w:cs="Times New Roman"/>
          <w:sz w:val="24"/>
          <w:szCs w:val="24"/>
        </w:rPr>
      </w:pPr>
      <w:r w:rsidRPr="0049647B">
        <w:rPr>
          <w:rFonts w:ascii="Times New Roman" w:hAnsi="Times New Roman" w:cs="Times New Roman"/>
          <w:b/>
          <w:bCs/>
          <w:sz w:val="24"/>
          <w:szCs w:val="24"/>
        </w:rPr>
        <w:t>Keywords:</w:t>
      </w:r>
      <w:r w:rsidRPr="008F58E8">
        <w:rPr>
          <w:rFonts w:ascii="Times New Roman" w:hAnsi="Times New Roman" w:cs="Times New Roman"/>
          <w:i/>
          <w:iCs/>
          <w:sz w:val="24"/>
          <w:szCs w:val="24"/>
        </w:rPr>
        <w:t xml:space="preserve"> </w:t>
      </w:r>
      <w:r w:rsidR="0025016C">
        <w:rPr>
          <w:rFonts w:ascii="Times New Roman" w:hAnsi="Times New Roman" w:cs="Times New Roman"/>
          <w:i/>
          <w:iCs/>
          <w:sz w:val="24"/>
          <w:szCs w:val="24"/>
        </w:rPr>
        <w:t>Integrated nutrient management</w:t>
      </w:r>
      <w:r w:rsidRPr="008F58E8">
        <w:rPr>
          <w:rFonts w:ascii="Times New Roman" w:hAnsi="Times New Roman" w:cs="Times New Roman"/>
          <w:i/>
          <w:iCs/>
          <w:sz w:val="24"/>
          <w:szCs w:val="24"/>
        </w:rPr>
        <w:t>, soil fertilit</w:t>
      </w:r>
      <w:r w:rsidR="0005361B">
        <w:rPr>
          <w:rFonts w:ascii="Times New Roman" w:hAnsi="Times New Roman" w:cs="Times New Roman"/>
          <w:i/>
          <w:iCs/>
          <w:sz w:val="24"/>
          <w:szCs w:val="24"/>
        </w:rPr>
        <w:t>y, vermicompost, biofertilizer</w:t>
      </w:r>
      <w:r w:rsidR="006D5D0D">
        <w:rPr>
          <w:rFonts w:ascii="Times New Roman" w:hAnsi="Times New Roman" w:cs="Times New Roman"/>
          <w:i/>
          <w:iCs/>
          <w:sz w:val="24"/>
          <w:szCs w:val="24"/>
        </w:rPr>
        <w:t xml:space="preserve">, </w:t>
      </w:r>
      <w:r w:rsidR="006D5D0D" w:rsidRPr="006D5D0D">
        <w:rPr>
          <w:rFonts w:ascii="Times New Roman" w:hAnsi="Times New Roman" w:cs="Times New Roman"/>
          <w:i/>
          <w:iCs/>
          <w:sz w:val="24"/>
          <w:szCs w:val="24"/>
        </w:rPr>
        <w:t>Economics</w:t>
      </w:r>
      <w:bookmarkStart w:id="1" w:name="_GoBack"/>
      <w:bookmarkEnd w:id="1"/>
    </w:p>
    <w:p w14:paraId="52F18F2D" w14:textId="2F960EC1" w:rsidR="00BB6BEB" w:rsidRPr="00BB6BEB" w:rsidRDefault="00BB6BEB" w:rsidP="00256BC1">
      <w:pPr>
        <w:jc w:val="both"/>
        <w:rPr>
          <w:rFonts w:ascii="Times New Roman" w:hAnsi="Times New Roman" w:cs="Times New Roman"/>
          <w:b/>
          <w:bCs/>
          <w:sz w:val="24"/>
          <w:szCs w:val="24"/>
        </w:rPr>
      </w:pPr>
      <w:r w:rsidRPr="00BB6BEB">
        <w:rPr>
          <w:rFonts w:ascii="Times New Roman" w:hAnsi="Times New Roman" w:cs="Times New Roman"/>
          <w:b/>
          <w:bCs/>
          <w:sz w:val="24"/>
          <w:szCs w:val="24"/>
        </w:rPr>
        <w:t>Introduction</w:t>
      </w:r>
    </w:p>
    <w:p w14:paraId="76509BBC" w14:textId="77777777" w:rsidR="00BE336E" w:rsidRDefault="00BE336E" w:rsidP="00256BC1">
      <w:pPr>
        <w:jc w:val="both"/>
        <w:rPr>
          <w:rFonts w:ascii="Times New Roman" w:hAnsi="Times New Roman" w:cs="Times New Roman"/>
          <w:sz w:val="24"/>
          <w:szCs w:val="24"/>
        </w:rPr>
      </w:pPr>
      <w:r w:rsidRPr="00BE336E">
        <w:rPr>
          <w:rFonts w:ascii="Times New Roman" w:hAnsi="Times New Roman" w:cs="Times New Roman"/>
          <w:sz w:val="24"/>
          <w:szCs w:val="24"/>
        </w:rPr>
        <w:t>The sustainability of mustard (</w:t>
      </w:r>
      <w:r w:rsidRPr="00BE336E">
        <w:rPr>
          <w:rFonts w:ascii="Times New Roman" w:hAnsi="Times New Roman" w:cs="Times New Roman"/>
          <w:i/>
          <w:iCs/>
          <w:sz w:val="24"/>
          <w:szCs w:val="24"/>
        </w:rPr>
        <w:t>Brassica juncea</w:t>
      </w:r>
      <w:r w:rsidRPr="00BE336E">
        <w:rPr>
          <w:rFonts w:ascii="Times New Roman" w:hAnsi="Times New Roman" w:cs="Times New Roman"/>
          <w:sz w:val="24"/>
          <w:szCs w:val="24"/>
        </w:rPr>
        <w:t xml:space="preserve"> L.) cultivation is closely tied to the nitrogen cycle, soil fertility, and overall input efficiency. Mustard is often grown in resource-limited and rainfed environments, yet repeated cultivation and the use of high-yielding varieties have caused significant depletion of soil nutrients, particularly sulfur, phosphorus, and nitrogen (Ajnar &amp; Namdeo, 2021; Dongarwar et al., 2007). Reliance on conventional fertilizers has not consistently maintained long-term soil productivity and has at times contributed to nutrient </w:t>
      </w:r>
      <w:r w:rsidRPr="00BE336E">
        <w:rPr>
          <w:rFonts w:ascii="Times New Roman" w:hAnsi="Times New Roman" w:cs="Times New Roman"/>
          <w:sz w:val="24"/>
          <w:szCs w:val="24"/>
        </w:rPr>
        <w:lastRenderedPageBreak/>
        <w:t>imbalance, environmental concerns, and soil deterioration. Integrated nutrient management (INM), involving the combined use of crop residues, chemical fertilizers, organic manures, and biofertilizers, offers a holistic approach for sustaining soil fertility and ensuring balanced nutrient supply (Chandan et al., 2019; Tripathi et al., 2010). Organic inputs like vermicompost and farmyard manure improve soil structure and microbial activity, while biofertilizers enhance nutrient solubilization and rhizosphere function (Chaurasiya et al., 2024). Together with mineral fertilizers, these components increase nutrient-use efficiency, reduce ecological risks, and support long-term soil health. Nutrient management practices strongly influence profitability, production costs, and gross returns in mustard cropping systems (Ajnar &amp; Namdeo, 2021). Balanced fertilization and organic amendments improve cost–benefit outcomes by boosting yield per unit of input, reducing dependence on synthetic fertilizers, and strengthening production sustainability. Assessing the combined effects of organic and inorganic nutrient sources on soil properties and farm economics is essential for developing durable production strategies (Chandan et al., 2019). This study aims to analyze the effects of various INM treatments on soil fertility indicators and economic returns in mustard cultivation, offering practical insights for small and marginal farmers seeking sustainable nutrient management solutions.</w:t>
      </w:r>
    </w:p>
    <w:p w14:paraId="497D459A" w14:textId="49B66BC1" w:rsidR="00281D1E" w:rsidRPr="00256BC1" w:rsidRDefault="00256BC1" w:rsidP="00256BC1">
      <w:pPr>
        <w:jc w:val="both"/>
        <w:rPr>
          <w:rFonts w:ascii="Times New Roman" w:hAnsi="Times New Roman" w:cs="Times New Roman"/>
          <w:b/>
          <w:bCs/>
          <w:sz w:val="24"/>
          <w:szCs w:val="24"/>
        </w:rPr>
      </w:pPr>
      <w:r w:rsidRPr="00256BC1">
        <w:rPr>
          <w:rFonts w:ascii="Times New Roman" w:hAnsi="Times New Roman" w:cs="Times New Roman"/>
          <w:b/>
          <w:bCs/>
          <w:sz w:val="24"/>
          <w:szCs w:val="24"/>
        </w:rPr>
        <w:t>2. Review of literature</w:t>
      </w:r>
    </w:p>
    <w:p w14:paraId="2E5AE8DC" w14:textId="79E82C75" w:rsidR="00173553" w:rsidRPr="00173553" w:rsidRDefault="00173553" w:rsidP="00173553">
      <w:pPr>
        <w:jc w:val="both"/>
        <w:rPr>
          <w:rFonts w:ascii="Times New Roman" w:hAnsi="Times New Roman" w:cs="Times New Roman"/>
          <w:sz w:val="24"/>
          <w:szCs w:val="24"/>
        </w:rPr>
      </w:pPr>
      <w:r w:rsidRPr="00173553">
        <w:rPr>
          <w:rFonts w:ascii="Times New Roman" w:hAnsi="Times New Roman" w:cs="Times New Roman"/>
          <w:sz w:val="24"/>
          <w:szCs w:val="24"/>
        </w:rPr>
        <w:t>When organic and inorganic nutrient sources are integrated under INM, substantial improvements in soil fertility, nutrient uptake, and farm profitability have been reported in mustard cultivation. Pal and Pathak (2016) recorded the highest benefit–cost ratio (1.92) and a 38% increase in gross returns with 100% NPK + FYM, confirming strong economic viability. Ajnar and Namdeo (2021) observed maximum nutrient uptake with 75% RDF combined with vermicompost, sulfur, and biofertilizers. Bora et al. (2020) highlighted the contribution of FYM in enhancing soil moisture retention and productivity in late-sown toria, while Singh et al. (2021) showed that integrating organics with urea improved soil organic carbon, microbial activity, and profitability. Vermicompost, when supplemented with sulfur and micronutrients, enhanced soil physico-chemical properties, nutrient availability, and oilseed quality as reported by Chandan et al. (2018). Collectively, these findings establish INM as a sustainable nutrient strategy that strengthens soil fertility, improves nutrient cycling, enhances economic returns, and reduces dependence on chemical fertilizers in mustard-based cropping systems.</w:t>
      </w:r>
      <w:r w:rsidR="00593B23">
        <w:rPr>
          <w:rFonts w:ascii="Times New Roman" w:hAnsi="Times New Roman" w:cs="Times New Roman"/>
          <w:sz w:val="24"/>
          <w:szCs w:val="24"/>
        </w:rPr>
        <w:t xml:space="preserve"> </w:t>
      </w:r>
    </w:p>
    <w:p w14:paraId="4E1ACE1C" w14:textId="74993B78" w:rsidR="00735A6A" w:rsidRPr="00735A6A" w:rsidRDefault="00735A6A" w:rsidP="00735A6A">
      <w:pPr>
        <w:jc w:val="both"/>
        <w:rPr>
          <w:rFonts w:ascii="Times New Roman" w:hAnsi="Times New Roman" w:cs="Times New Roman"/>
          <w:b/>
          <w:bCs/>
          <w:sz w:val="24"/>
          <w:szCs w:val="24"/>
        </w:rPr>
      </w:pPr>
      <w:r>
        <w:rPr>
          <w:rFonts w:ascii="Times New Roman" w:hAnsi="Times New Roman" w:cs="Times New Roman"/>
          <w:b/>
          <w:bCs/>
          <w:sz w:val="24"/>
          <w:szCs w:val="24"/>
        </w:rPr>
        <w:t xml:space="preserve">3. </w:t>
      </w:r>
      <w:r w:rsidRPr="00735A6A">
        <w:rPr>
          <w:rFonts w:ascii="Times New Roman" w:hAnsi="Times New Roman" w:cs="Times New Roman"/>
          <w:b/>
          <w:bCs/>
          <w:sz w:val="24"/>
          <w:szCs w:val="24"/>
        </w:rPr>
        <w:t>Materials and Methods</w:t>
      </w:r>
    </w:p>
    <w:p w14:paraId="1133722C" w14:textId="14E0BA66" w:rsidR="005C3951" w:rsidRPr="005C3951" w:rsidRDefault="005C3951" w:rsidP="005C3951">
      <w:pPr>
        <w:jc w:val="both"/>
        <w:rPr>
          <w:rFonts w:ascii="Times New Roman" w:hAnsi="Times New Roman" w:cs="Times New Roman"/>
          <w:sz w:val="24"/>
          <w:szCs w:val="24"/>
        </w:rPr>
      </w:pPr>
      <w:r w:rsidRPr="005C3951">
        <w:rPr>
          <w:rFonts w:ascii="Times New Roman" w:hAnsi="Times New Roman" w:cs="Times New Roman"/>
          <w:sz w:val="24"/>
          <w:szCs w:val="24"/>
        </w:rPr>
        <w:t>The field experiment "Effects of Integrated Nutrient Management on Soil Fertility and Economics of Indian Mustard (</w:t>
      </w:r>
      <w:r w:rsidR="0028203F" w:rsidRPr="0028203F">
        <w:rPr>
          <w:rFonts w:ascii="Times New Roman" w:hAnsi="Times New Roman" w:cs="Times New Roman"/>
          <w:i/>
          <w:iCs/>
          <w:sz w:val="24"/>
          <w:szCs w:val="24"/>
        </w:rPr>
        <w:t xml:space="preserve">Brassica juncea </w:t>
      </w:r>
      <w:r w:rsidRPr="005C3951">
        <w:rPr>
          <w:rFonts w:ascii="Times New Roman" w:hAnsi="Times New Roman" w:cs="Times New Roman"/>
          <w:sz w:val="24"/>
          <w:szCs w:val="24"/>
        </w:rPr>
        <w:t>L.) in Dehradun, Uttarakhand" was carried out by the Agronomy Research Farm at Jigyasa University (formerly Himgiri Zee University) in Dehradun, Uttarakhand, during the Rabi season of 2023–2024. At 31°21′50″ N latitude and 78°18′27″ E longitude, the experimental site is situated 650 meters above mean sea level and represents the Shivalik foothill zone of the Western Himalayas. The soil's characteristics included a sandy loam texture, a pH of 7.47, a moderate level of alkalinity, a high level of available K, a medium level of accessible N and P, and 0.75% organic carbon. 1.37 µS/cm was its electrical conductivity.</w:t>
      </w:r>
    </w:p>
    <w:p w14:paraId="4AA6568B" w14:textId="77777777" w:rsidR="00735A6A" w:rsidRPr="00735A6A" w:rsidRDefault="00735A6A" w:rsidP="00735A6A">
      <w:pPr>
        <w:jc w:val="both"/>
        <w:rPr>
          <w:rFonts w:ascii="Times New Roman" w:hAnsi="Times New Roman" w:cs="Times New Roman"/>
          <w:sz w:val="24"/>
          <w:szCs w:val="24"/>
        </w:rPr>
      </w:pPr>
      <w:r w:rsidRPr="00735A6A">
        <w:rPr>
          <w:rFonts w:ascii="Times New Roman" w:hAnsi="Times New Roman" w:cs="Times New Roman"/>
          <w:sz w:val="24"/>
          <w:szCs w:val="24"/>
        </w:rPr>
        <w:t>The experiment was conducted in a Randomized Block Design (RBD) with three replications and nine treatment combinations integrating inorganic fertilizers, organic manure, and biofertilizers. The treatments were:</w:t>
      </w:r>
    </w:p>
    <w:p w14:paraId="79D7DDC6" w14:textId="7A21E00F" w:rsidR="00735A6A" w:rsidRPr="00735A6A" w:rsidRDefault="00735A6A" w:rsidP="00735A6A">
      <w:pPr>
        <w:jc w:val="both"/>
        <w:rPr>
          <w:rFonts w:ascii="Times New Roman" w:hAnsi="Times New Roman" w:cs="Times New Roman"/>
          <w:sz w:val="24"/>
          <w:szCs w:val="24"/>
        </w:rPr>
      </w:pPr>
      <w:bookmarkStart w:id="2" w:name="_Hlk208335300"/>
      <w:r w:rsidRPr="00735A6A">
        <w:rPr>
          <w:rFonts w:ascii="Times New Roman" w:hAnsi="Times New Roman" w:cs="Times New Roman"/>
          <w:b/>
          <w:bCs/>
          <w:sz w:val="24"/>
          <w:szCs w:val="24"/>
        </w:rPr>
        <w:lastRenderedPageBreak/>
        <w:t>T₁</w:t>
      </w:r>
      <w:r w:rsidRPr="00735A6A">
        <w:rPr>
          <w:rFonts w:ascii="Times New Roman" w:hAnsi="Times New Roman" w:cs="Times New Roman"/>
          <w:sz w:val="24"/>
          <w:szCs w:val="24"/>
        </w:rPr>
        <w:t>: Control (no nutrient application)</w:t>
      </w:r>
      <w:r>
        <w:rPr>
          <w:rFonts w:ascii="Times New Roman" w:hAnsi="Times New Roman" w:cs="Times New Roman"/>
          <w:sz w:val="24"/>
          <w:szCs w:val="24"/>
        </w:rPr>
        <w:t xml:space="preserve">; </w:t>
      </w:r>
      <w:r w:rsidRPr="00735A6A">
        <w:rPr>
          <w:rFonts w:ascii="Times New Roman" w:hAnsi="Times New Roman" w:cs="Times New Roman"/>
          <w:b/>
          <w:bCs/>
          <w:sz w:val="24"/>
          <w:szCs w:val="24"/>
        </w:rPr>
        <w:t>T₂</w:t>
      </w:r>
      <w:r w:rsidRPr="00735A6A">
        <w:rPr>
          <w:rFonts w:ascii="Times New Roman" w:hAnsi="Times New Roman" w:cs="Times New Roman"/>
          <w:sz w:val="24"/>
          <w:szCs w:val="24"/>
        </w:rPr>
        <w:t>: 100% RDF (80:60:40 kg N:P₂O₅:K₂O/ha)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T₃</w:t>
      </w:r>
      <w:r w:rsidRPr="00735A6A">
        <w:rPr>
          <w:rFonts w:ascii="Times New Roman" w:hAnsi="Times New Roman" w:cs="Times New Roman"/>
          <w:sz w:val="24"/>
          <w:szCs w:val="24"/>
        </w:rPr>
        <w:t>: 75% RDF + Vermicompost @ 5 t/ha</w:t>
      </w:r>
      <w:r>
        <w:rPr>
          <w:rFonts w:ascii="Times New Roman" w:hAnsi="Times New Roman" w:cs="Times New Roman"/>
          <w:sz w:val="24"/>
          <w:szCs w:val="24"/>
        </w:rPr>
        <w:t xml:space="preserve">; </w:t>
      </w:r>
      <w:r w:rsidRPr="00735A6A">
        <w:rPr>
          <w:rFonts w:ascii="Times New Roman" w:hAnsi="Times New Roman" w:cs="Times New Roman"/>
          <w:b/>
          <w:bCs/>
          <w:sz w:val="24"/>
          <w:szCs w:val="24"/>
        </w:rPr>
        <w:t>T₄</w:t>
      </w:r>
      <w:r w:rsidRPr="00735A6A">
        <w:rPr>
          <w:rFonts w:ascii="Times New Roman" w:hAnsi="Times New Roman" w:cs="Times New Roman"/>
          <w:sz w:val="24"/>
          <w:szCs w:val="24"/>
        </w:rPr>
        <w:t>: 75% RDF +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T₅</w:t>
      </w:r>
      <w:r w:rsidRPr="00735A6A">
        <w:rPr>
          <w:rFonts w:ascii="Times New Roman" w:hAnsi="Times New Roman" w:cs="Times New Roman"/>
          <w:sz w:val="24"/>
          <w:szCs w:val="24"/>
        </w:rPr>
        <w:t>: 50% RDF + Vermicompost @ 5 t/ha + Biofertilizers</w:t>
      </w:r>
      <w:r>
        <w:rPr>
          <w:rFonts w:ascii="Times New Roman" w:hAnsi="Times New Roman" w:cs="Times New Roman"/>
          <w:sz w:val="24"/>
          <w:szCs w:val="24"/>
        </w:rPr>
        <w:t xml:space="preserve">; </w:t>
      </w:r>
      <w:r w:rsidRPr="00735A6A">
        <w:rPr>
          <w:rFonts w:ascii="Times New Roman" w:hAnsi="Times New Roman" w:cs="Times New Roman"/>
          <w:b/>
          <w:bCs/>
          <w:sz w:val="24"/>
          <w:szCs w:val="24"/>
        </w:rPr>
        <w:t>T₆</w:t>
      </w:r>
      <w:r w:rsidRPr="00735A6A">
        <w:rPr>
          <w:rFonts w:ascii="Times New Roman" w:hAnsi="Times New Roman" w:cs="Times New Roman"/>
          <w:sz w:val="24"/>
          <w:szCs w:val="24"/>
        </w:rPr>
        <w:t>: 100% RDF + Vermicompost @ 2.5 t/h</w:t>
      </w:r>
      <w:r>
        <w:rPr>
          <w:rFonts w:ascii="Times New Roman" w:hAnsi="Times New Roman" w:cs="Times New Roman"/>
          <w:sz w:val="24"/>
          <w:szCs w:val="24"/>
        </w:rPr>
        <w:t xml:space="preserve">a; </w:t>
      </w:r>
      <w:r w:rsidRPr="00735A6A">
        <w:rPr>
          <w:rFonts w:ascii="Times New Roman" w:hAnsi="Times New Roman" w:cs="Times New Roman"/>
          <w:b/>
          <w:bCs/>
          <w:sz w:val="24"/>
          <w:szCs w:val="24"/>
        </w:rPr>
        <w:t>T₇</w:t>
      </w:r>
      <w:r w:rsidRPr="00735A6A">
        <w:rPr>
          <w:rFonts w:ascii="Times New Roman" w:hAnsi="Times New Roman" w:cs="Times New Roman"/>
          <w:sz w:val="24"/>
          <w:szCs w:val="24"/>
        </w:rPr>
        <w:t>: 100% RDF +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w:t>
      </w:r>
      <w:r>
        <w:rPr>
          <w:rFonts w:ascii="Times New Roman" w:hAnsi="Times New Roman" w:cs="Times New Roman"/>
          <w:sz w:val="24"/>
          <w:szCs w:val="24"/>
        </w:rPr>
        <w:t xml:space="preserve">; </w:t>
      </w:r>
      <w:r w:rsidRPr="00735A6A">
        <w:rPr>
          <w:rFonts w:ascii="Times New Roman" w:hAnsi="Times New Roman" w:cs="Times New Roman"/>
          <w:b/>
          <w:bCs/>
          <w:sz w:val="24"/>
          <w:szCs w:val="24"/>
        </w:rPr>
        <w:t>T₈</w:t>
      </w:r>
      <w:r w:rsidRPr="00735A6A">
        <w:rPr>
          <w:rFonts w:ascii="Times New Roman" w:hAnsi="Times New Roman" w:cs="Times New Roman"/>
          <w:sz w:val="24"/>
          <w:szCs w:val="24"/>
        </w:rPr>
        <w:t>: Vermicompost @ 5 t/ha (sole application)</w:t>
      </w:r>
      <w:r>
        <w:rPr>
          <w:rFonts w:ascii="Times New Roman" w:hAnsi="Times New Roman" w:cs="Times New Roman"/>
          <w:sz w:val="24"/>
          <w:szCs w:val="24"/>
        </w:rPr>
        <w:t>;</w:t>
      </w:r>
      <w:r w:rsidRPr="00735A6A">
        <w:rPr>
          <w:rFonts w:ascii="Times New Roman" w:hAnsi="Times New Roman" w:cs="Times New Roman"/>
          <w:b/>
          <w:bCs/>
          <w:sz w:val="24"/>
          <w:szCs w:val="24"/>
        </w:rPr>
        <w:t>T₉</w:t>
      </w:r>
      <w:r w:rsidRPr="00735A6A">
        <w:rPr>
          <w:rFonts w:ascii="Times New Roman" w:hAnsi="Times New Roman" w:cs="Times New Roman"/>
          <w:sz w:val="24"/>
          <w:szCs w:val="24"/>
        </w:rPr>
        <w:t>: Biofertilizers (</w:t>
      </w:r>
      <w:r w:rsidR="00A41B6C" w:rsidRPr="00A41B6C">
        <w:rPr>
          <w:rFonts w:ascii="Times New Roman" w:hAnsi="Times New Roman" w:cs="Times New Roman"/>
          <w:i/>
          <w:iCs/>
          <w:sz w:val="24"/>
          <w:szCs w:val="24"/>
        </w:rPr>
        <w:t>Azotobacter</w:t>
      </w:r>
      <w:r w:rsidRPr="00735A6A">
        <w:rPr>
          <w:rFonts w:ascii="Times New Roman" w:hAnsi="Times New Roman" w:cs="Times New Roman"/>
          <w:sz w:val="24"/>
          <w:szCs w:val="24"/>
        </w:rPr>
        <w:t xml:space="preserve"> + PSB) alone</w:t>
      </w:r>
      <w:r>
        <w:rPr>
          <w:rFonts w:ascii="Times New Roman" w:hAnsi="Times New Roman" w:cs="Times New Roman"/>
          <w:sz w:val="24"/>
          <w:szCs w:val="24"/>
        </w:rPr>
        <w:t>.</w:t>
      </w:r>
    </w:p>
    <w:bookmarkEnd w:id="2"/>
    <w:p w14:paraId="0F9A5E19" w14:textId="4E1DEF02" w:rsidR="005A16EF" w:rsidRPr="005A16EF" w:rsidRDefault="00C12A77" w:rsidP="005A16EF">
      <w:pPr>
        <w:jc w:val="both"/>
        <w:rPr>
          <w:rFonts w:ascii="Times New Roman" w:hAnsi="Times New Roman" w:cs="Times New Roman"/>
          <w:sz w:val="24"/>
          <w:szCs w:val="24"/>
        </w:rPr>
      </w:pPr>
      <w:r w:rsidRPr="00C12A77">
        <w:rPr>
          <w:rFonts w:ascii="Times New Roman" w:hAnsi="Times New Roman" w:cs="Times New Roman"/>
          <w:sz w:val="24"/>
          <w:szCs w:val="24"/>
        </w:rPr>
        <w:t>October 20, 2023, saw the planting of the test crop, HY-805 mustard, which was harvested on March 5, 2024. Standard recommendations and treatment parameters were followed when applying fertilizer and using cultural procedures.</w:t>
      </w:r>
      <w:r w:rsidR="00BE336E">
        <w:rPr>
          <w:rFonts w:ascii="Times New Roman" w:hAnsi="Times New Roman" w:cs="Times New Roman"/>
          <w:sz w:val="24"/>
          <w:szCs w:val="24"/>
        </w:rPr>
        <w:t xml:space="preserve"> </w:t>
      </w:r>
      <w:r w:rsidRPr="00C12A77">
        <w:rPr>
          <w:rFonts w:ascii="Times New Roman" w:hAnsi="Times New Roman" w:cs="Times New Roman"/>
          <w:sz w:val="24"/>
          <w:szCs w:val="24"/>
        </w:rPr>
        <w:t xml:space="preserve"> To evaluate the fertility of the soil, composite soil samples were collected from each plot at a depth of 0 to 15 cm both before and after harvest. The samples were tested for soil pH and electrical conductivity (EC) using a conductivity meter and a digital pH meter (Jackson, 1973). The organic carbon was calculated using the Walkley and Black (1934) method.</w:t>
      </w:r>
      <w:r>
        <w:rPr>
          <w:rFonts w:ascii="Times New Roman" w:hAnsi="Times New Roman" w:cs="Times New Roman"/>
          <w:sz w:val="24"/>
          <w:szCs w:val="24"/>
        </w:rPr>
        <w:t xml:space="preserve"> </w:t>
      </w:r>
      <w:r w:rsidR="005A16EF" w:rsidRPr="005A16EF">
        <w:rPr>
          <w:rFonts w:ascii="Times New Roman" w:hAnsi="Times New Roman" w:cs="Times New Roman"/>
          <w:sz w:val="24"/>
          <w:szCs w:val="24"/>
        </w:rPr>
        <w:t xml:space="preserve">The alkaline KMnO₄ method (Subbiah &amp; Asija, 1956), Olsen's method (Olsen </w:t>
      </w:r>
      <w:r w:rsidR="0028203F" w:rsidRPr="0028203F">
        <w:rPr>
          <w:rFonts w:ascii="Times New Roman" w:hAnsi="Times New Roman" w:cs="Times New Roman"/>
          <w:i/>
          <w:iCs/>
          <w:sz w:val="24"/>
          <w:szCs w:val="24"/>
        </w:rPr>
        <w:t>et al</w:t>
      </w:r>
      <w:r w:rsidR="005A16EF" w:rsidRPr="005A16EF">
        <w:rPr>
          <w:rFonts w:ascii="Times New Roman" w:hAnsi="Times New Roman" w:cs="Times New Roman"/>
          <w:sz w:val="24"/>
          <w:szCs w:val="24"/>
        </w:rPr>
        <w:t>., 1954), and flame photometry were used to estimate the available N, P, and K.</w:t>
      </w:r>
    </w:p>
    <w:p w14:paraId="149F1801" w14:textId="331D6E07" w:rsidR="00735A6A" w:rsidRPr="00735A6A" w:rsidRDefault="00CA5D54" w:rsidP="00735A6A">
      <w:pPr>
        <w:jc w:val="both"/>
        <w:rPr>
          <w:rFonts w:ascii="Times New Roman" w:hAnsi="Times New Roman" w:cs="Times New Roman"/>
          <w:sz w:val="24"/>
          <w:szCs w:val="24"/>
        </w:rPr>
      </w:pPr>
      <w:r w:rsidRPr="00CA5D54">
        <w:rPr>
          <w:rFonts w:ascii="Times New Roman" w:hAnsi="Times New Roman" w:cs="Times New Roman"/>
          <w:sz w:val="24"/>
          <w:szCs w:val="24"/>
        </w:rPr>
        <w:t>For economic evaluation, the cost of cultivation for each treatment was determined using the current input prices on the market (labor, fertilizers, vermicompost, and biofertilizers). Gross returns were calculated by multiplying seed yield by market price; net returns were calculated by deducting cultivation costs from gross returns.</w:t>
      </w:r>
      <w:r>
        <w:rPr>
          <w:rFonts w:ascii="Times New Roman" w:hAnsi="Times New Roman" w:cs="Times New Roman"/>
          <w:sz w:val="24"/>
          <w:szCs w:val="24"/>
        </w:rPr>
        <w:t xml:space="preserve"> </w:t>
      </w:r>
      <w:r w:rsidR="00735A6A" w:rsidRPr="00735A6A">
        <w:rPr>
          <w:rFonts w:ascii="Times New Roman" w:hAnsi="Times New Roman" w:cs="Times New Roman"/>
          <w:sz w:val="24"/>
          <w:szCs w:val="24"/>
        </w:rPr>
        <w:t>The benefit–cost (B:C) ratio was calculated as:</w:t>
      </w:r>
      <w:r w:rsidR="00735A6A">
        <w:rPr>
          <w:rFonts w:ascii="Times New Roman" w:hAnsi="Times New Roman" w:cs="Times New Roman"/>
          <w:sz w:val="24"/>
          <w:szCs w:val="24"/>
        </w:rPr>
        <w:t xml:space="preserve"> </w:t>
      </w:r>
      <w:r w:rsidR="00735A6A" w:rsidRPr="00735A6A">
        <w:rPr>
          <w:rFonts w:ascii="Times New Roman" w:hAnsi="Times New Roman" w:cs="Times New Roman"/>
          <w:sz w:val="24"/>
          <w:szCs w:val="24"/>
        </w:rPr>
        <w:t>B:C ratio=</w:t>
      </w:r>
      <w:r w:rsidR="00735A6A">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Gross return (₹/ha)</m:t>
            </m:r>
          </m:num>
          <m:den>
            <m:r>
              <w:rPr>
                <w:rFonts w:ascii="Cambria Math" w:hAnsi="Cambria Math" w:cs="Times New Roman"/>
                <w:sz w:val="24"/>
                <w:szCs w:val="24"/>
              </w:rPr>
              <m:t>Cost of cultivation (₹/ha)</m:t>
            </m:r>
            <m:r>
              <m:rPr>
                <m:sty m:val="p"/>
              </m:rPr>
              <w:rPr>
                <w:rFonts w:ascii="Cambria Math" w:hAnsi="Cambria Math" w:cs="Times New Roman"/>
                <w:sz w:val="24"/>
                <w:szCs w:val="24"/>
              </w:rPr>
              <m:t xml:space="preserve"> </m:t>
            </m:r>
          </m:den>
        </m:f>
      </m:oMath>
      <w:r w:rsidR="00735A6A">
        <w:rPr>
          <w:rFonts w:ascii="Times New Roman" w:hAnsi="Times New Roman" w:cs="Times New Roman"/>
          <w:sz w:val="24"/>
          <w:szCs w:val="24"/>
        </w:rPr>
        <w:t xml:space="preserve"> </w:t>
      </w:r>
    </w:p>
    <w:p w14:paraId="38687359" w14:textId="77777777" w:rsidR="00652755" w:rsidRPr="00652755" w:rsidRDefault="00652755" w:rsidP="00652755">
      <w:pPr>
        <w:jc w:val="both"/>
        <w:rPr>
          <w:rFonts w:ascii="Times New Roman" w:hAnsi="Times New Roman" w:cs="Times New Roman"/>
          <w:sz w:val="24"/>
          <w:szCs w:val="24"/>
        </w:rPr>
      </w:pPr>
      <w:r w:rsidRPr="00652755">
        <w:rPr>
          <w:rFonts w:ascii="Times New Roman" w:hAnsi="Times New Roman" w:cs="Times New Roman"/>
          <w:sz w:val="24"/>
          <w:szCs w:val="24"/>
        </w:rPr>
        <w:t>ANOVA was used to statistically evaluate the gathered data in accordance with Gomez and Gomez's (1984) technique. The 5% level of significance was applied for comparing treatment means.</w:t>
      </w:r>
    </w:p>
    <w:p w14:paraId="0C1EEB5F" w14:textId="08A54B26" w:rsidR="00735A6A" w:rsidRPr="00F91CFC" w:rsidRDefault="00F91CFC" w:rsidP="00256BC1">
      <w:pPr>
        <w:jc w:val="both"/>
        <w:rPr>
          <w:rFonts w:ascii="Times New Roman" w:hAnsi="Times New Roman" w:cs="Times New Roman"/>
          <w:b/>
          <w:bCs/>
          <w:sz w:val="24"/>
          <w:szCs w:val="24"/>
        </w:rPr>
      </w:pPr>
      <w:r w:rsidRPr="00F91CFC">
        <w:rPr>
          <w:rFonts w:ascii="Times New Roman" w:hAnsi="Times New Roman" w:cs="Times New Roman"/>
          <w:b/>
          <w:bCs/>
          <w:sz w:val="24"/>
          <w:szCs w:val="24"/>
        </w:rPr>
        <w:t>4. Result and discussion</w:t>
      </w:r>
    </w:p>
    <w:p w14:paraId="5D75B711" w14:textId="4A43117E" w:rsidR="00FB74EE" w:rsidRDefault="00F91CFC" w:rsidP="00FB74EE">
      <w:pPr>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sidR="00FB74EE" w:rsidRPr="00FB74EE">
        <w:rPr>
          <w:rFonts w:ascii="Times New Roman" w:hAnsi="Times New Roman" w:cs="Times New Roman"/>
          <w:b/>
          <w:bCs/>
          <w:sz w:val="24"/>
          <w:szCs w:val="24"/>
        </w:rPr>
        <w:t>Effect on Soil Fertility Parameters</w:t>
      </w:r>
    </w:p>
    <w:p w14:paraId="32CE9D5B" w14:textId="77777777" w:rsidR="00B30232" w:rsidRPr="00B30232" w:rsidRDefault="00B30232" w:rsidP="00B30232">
      <w:pPr>
        <w:jc w:val="both"/>
        <w:rPr>
          <w:rFonts w:ascii="Times New Roman" w:hAnsi="Times New Roman" w:cs="Times New Roman"/>
          <w:sz w:val="24"/>
          <w:szCs w:val="24"/>
        </w:rPr>
      </w:pPr>
      <w:r w:rsidRPr="00B30232">
        <w:rPr>
          <w:rFonts w:ascii="Times New Roman" w:hAnsi="Times New Roman" w:cs="Times New Roman"/>
          <w:sz w:val="24"/>
          <w:szCs w:val="24"/>
        </w:rPr>
        <w:t>The results in Table 1 and Fig. 1 show that integrated nutrient management markedly affected soil nutrient availability after mustard harvest. Post-harvest soil pH ranged from 7.39 to 7.73, with vermicompost and biofertilizer treatments such as T4 causing a slight reduction, indicating improved soil buffering due to organic inputs (Ajnar &amp; Namdeo, 2021; Solanki et al., 2015; Chandan et al., 2019). The lowest EC (1.36–1.55 dS m⁻¹) recorded in T5 reflected the role of organics in maintaining salt balance (Tripathi et al., 2010). Soil organic carbon increased significantly under integrated treatments; T1 (100% RDF) had the lowest SOC (0.49 g kg⁻¹), whereas T4 had the highest (4.11 g kg⁻¹), attributed to organic additions from vermicompost and biofertilizers (Meena et al., 2013; Chandan et al., 2019).</w:t>
      </w:r>
    </w:p>
    <w:p w14:paraId="3B778214" w14:textId="77777777" w:rsidR="00B30232" w:rsidRPr="00B30232" w:rsidRDefault="00B30232" w:rsidP="00B30232">
      <w:pPr>
        <w:jc w:val="both"/>
        <w:rPr>
          <w:rFonts w:ascii="Times New Roman" w:hAnsi="Times New Roman" w:cs="Times New Roman"/>
          <w:sz w:val="24"/>
          <w:szCs w:val="24"/>
        </w:rPr>
      </w:pPr>
      <w:r w:rsidRPr="00B30232">
        <w:rPr>
          <w:rFonts w:ascii="Times New Roman" w:hAnsi="Times New Roman" w:cs="Times New Roman"/>
          <w:sz w:val="24"/>
          <w:szCs w:val="24"/>
        </w:rPr>
        <w:t xml:space="preserve">Available nitrogen ranged from 212.40 to 269.85 kg/ha, with T4 (80% RDF + vermicompost + Azotobacter + PSB) recording the highest and T1 the lowest. The rise in N was associated with biological N fixation, enhanced mineralization, and the gradual nutrient release capacity of vermicompost, consistent with findings of Meena et al. (2013), Shankar et al. (2002), and Ajnar and Namdeo (2021). Available phosphorus ranged from 16.80 to 23.74 kg/ha, with T4 showing the maximum due to organic acid production and phosphate solubilization by PSB, similar to results reported by Banerjee et al. (2011) and Singh et al. (2011). The combined use of fertilizers, biofertilizers, and organics enhanced nutrient availability more effectively than individual sources by increasing microbial activity, mineralization, and CEC. Biofertilizers </w:t>
      </w:r>
      <w:r w:rsidRPr="00B30232">
        <w:rPr>
          <w:rFonts w:ascii="Times New Roman" w:hAnsi="Times New Roman" w:cs="Times New Roman"/>
          <w:sz w:val="24"/>
          <w:szCs w:val="24"/>
        </w:rPr>
        <w:lastRenderedPageBreak/>
        <w:t>played a key role in N fixation and P solubilization, improving nutrient-use efficiency. These results confirm that INM maintains higher N and P levels, supporting long-term soil fertility and productivity (Meena et al., 2013; Ajnar &amp; Namdeo, 2021).</w:t>
      </w:r>
    </w:p>
    <w:p w14:paraId="1AE0A0FE" w14:textId="64B8845A" w:rsidR="00FB74EE" w:rsidRPr="00FB74EE" w:rsidRDefault="00FB74EE" w:rsidP="00FB74EE">
      <w:pPr>
        <w:jc w:val="both"/>
        <w:rPr>
          <w:rFonts w:ascii="Times New Roman" w:hAnsi="Times New Roman" w:cs="Times New Roman"/>
          <w:b/>
          <w:bCs/>
          <w:sz w:val="24"/>
          <w:szCs w:val="24"/>
        </w:rPr>
      </w:pPr>
      <w:r w:rsidRPr="00FB74EE">
        <w:rPr>
          <w:rFonts w:ascii="Times New Roman" w:hAnsi="Times New Roman" w:cs="Times New Roman"/>
          <w:b/>
          <w:bCs/>
          <w:sz w:val="24"/>
          <w:szCs w:val="24"/>
        </w:rPr>
        <w:t>4.</w:t>
      </w:r>
      <w:r w:rsidR="00F91CFC">
        <w:rPr>
          <w:rFonts w:ascii="Times New Roman" w:hAnsi="Times New Roman" w:cs="Times New Roman"/>
          <w:b/>
          <w:bCs/>
          <w:sz w:val="24"/>
          <w:szCs w:val="24"/>
        </w:rPr>
        <w:t>2.</w:t>
      </w:r>
      <w:r w:rsidRPr="00FB74EE">
        <w:rPr>
          <w:rFonts w:ascii="Times New Roman" w:hAnsi="Times New Roman" w:cs="Times New Roman"/>
          <w:b/>
          <w:bCs/>
          <w:sz w:val="24"/>
          <w:szCs w:val="24"/>
        </w:rPr>
        <w:t xml:space="preserve"> Effect on Economics of Mustard Cultivation</w:t>
      </w:r>
    </w:p>
    <w:p w14:paraId="7021C914" w14:textId="374B65BA" w:rsidR="008A3766" w:rsidRPr="008A3766" w:rsidRDefault="008A3766" w:rsidP="008A3766">
      <w:pPr>
        <w:jc w:val="both"/>
        <w:rPr>
          <w:rFonts w:ascii="Times New Roman" w:hAnsi="Times New Roman" w:cs="Times New Roman"/>
          <w:sz w:val="24"/>
          <w:szCs w:val="24"/>
        </w:rPr>
      </w:pPr>
      <w:r w:rsidRPr="008A3766">
        <w:rPr>
          <w:rFonts w:ascii="Times New Roman" w:hAnsi="Times New Roman" w:cs="Times New Roman"/>
          <w:sz w:val="24"/>
          <w:szCs w:val="24"/>
        </w:rPr>
        <w:t>Each treatment incurred varying cultivation costs depending on the type and quantity of inorganic and organic inputs. The 100% RDF treatment (60 kg N, 30 kg P₂O₅/ha) had the lowest cost, as chemical fertilizers such as urea and single superphosphate were less expensive than organic manures. In contrast, the 10 t/ha FYM treatment had the highest cost due to bulk manure, transportation, and labor (Ajnar &amp; Namdeo, 2021).</w:t>
      </w:r>
      <w:r w:rsidR="00365490">
        <w:rPr>
          <w:rFonts w:ascii="Times New Roman" w:hAnsi="Times New Roman" w:cs="Times New Roman"/>
          <w:sz w:val="24"/>
          <w:szCs w:val="24"/>
        </w:rPr>
        <w:t xml:space="preserve"> </w:t>
      </w:r>
      <w:r w:rsidRPr="008A3766">
        <w:rPr>
          <w:rFonts w:ascii="Times New Roman" w:hAnsi="Times New Roman" w:cs="Times New Roman"/>
          <w:sz w:val="24"/>
          <w:szCs w:val="24"/>
        </w:rPr>
        <w:t xml:space="preserve">Gross returns were highest under integrated treatments. The 75% RDF + 5 t/ha FYM treatment produced the highest gross returns, while the 2.5 t/ha poultry manure + 25% RDF treatment had lower returns, likely due to insufficient N supply (Tripathi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Moderate yield gains in some treatments were offset by higher input costs, resulting in the highest net returns with 75% RDF + 5 t/ha FYM and the lowest with 25% RDF + 5 t/ha poultry manure </w:t>
      </w:r>
      <w:r w:rsidR="00E64C6C">
        <w:rPr>
          <w:rFonts w:ascii="Times New Roman" w:hAnsi="Times New Roman" w:cs="Times New Roman"/>
          <w:sz w:val="24"/>
          <w:szCs w:val="24"/>
        </w:rPr>
        <w:t>(Singh and Singh,</w:t>
      </w:r>
      <w:r w:rsidRPr="008A3766">
        <w:rPr>
          <w:rFonts w:ascii="Times New Roman" w:hAnsi="Times New Roman" w:cs="Times New Roman"/>
          <w:sz w:val="24"/>
          <w:szCs w:val="24"/>
        </w:rPr>
        <w:t xml:space="preserve"> 201</w:t>
      </w:r>
      <w:r w:rsidR="00E64C6C">
        <w:rPr>
          <w:rFonts w:ascii="Times New Roman" w:hAnsi="Times New Roman" w:cs="Times New Roman"/>
          <w:sz w:val="24"/>
          <w:szCs w:val="24"/>
        </w:rPr>
        <w:t>4</w:t>
      </w:r>
      <w:r w:rsidRPr="008A3766">
        <w:rPr>
          <w:rFonts w:ascii="Times New Roman" w:hAnsi="Times New Roman" w:cs="Times New Roman"/>
          <w:sz w:val="24"/>
          <w:szCs w:val="24"/>
        </w:rPr>
        <w:t>).</w:t>
      </w:r>
      <w:r w:rsidR="00365490">
        <w:rPr>
          <w:rFonts w:ascii="Times New Roman" w:hAnsi="Times New Roman" w:cs="Times New Roman"/>
          <w:sz w:val="24"/>
          <w:szCs w:val="24"/>
        </w:rPr>
        <w:t xml:space="preserve"> </w:t>
      </w:r>
      <w:r w:rsidRPr="008A3766">
        <w:rPr>
          <w:rFonts w:ascii="Times New Roman" w:hAnsi="Times New Roman" w:cs="Times New Roman"/>
          <w:sz w:val="24"/>
          <w:szCs w:val="24"/>
        </w:rPr>
        <w:t xml:space="preserve">The benefit-cost (B:C) ratio, a key profitability indicator, was highest for 75% RDF + 5 t/ha FYM, demonstrating the economic advantage of combining chemical fertilizers with organics. Solely organic treatments had lower B:C ratios due to high input costs and relatively lower yields. These findings are in line with </w:t>
      </w:r>
      <w:r w:rsidR="00E64C6C">
        <w:rPr>
          <w:rFonts w:ascii="Times New Roman" w:hAnsi="Times New Roman" w:cs="Times New Roman"/>
          <w:sz w:val="24"/>
          <w:szCs w:val="24"/>
        </w:rPr>
        <w:t>Dhaka</w:t>
      </w:r>
      <w:r w:rsidR="003E1666">
        <w:rPr>
          <w:rFonts w:ascii="Times New Roman" w:hAnsi="Times New Roman" w:cs="Times New Roman"/>
          <w:sz w:val="24"/>
          <w:szCs w:val="24"/>
        </w:rPr>
        <w:t xml:space="preserve"> </w:t>
      </w:r>
      <w:r w:rsidR="003E1666" w:rsidRPr="00E64C6C">
        <w:rPr>
          <w:rFonts w:ascii="Times New Roman" w:hAnsi="Times New Roman" w:cs="Times New Roman"/>
          <w:i/>
          <w:iCs/>
          <w:sz w:val="24"/>
          <w:szCs w:val="24"/>
        </w:rPr>
        <w:t>et al</w:t>
      </w:r>
      <w:r w:rsidR="003E1666">
        <w:rPr>
          <w:rFonts w:ascii="Times New Roman" w:hAnsi="Times New Roman" w:cs="Times New Roman"/>
          <w:sz w:val="24"/>
          <w:szCs w:val="24"/>
        </w:rPr>
        <w:t>.,(202</w:t>
      </w:r>
      <w:r w:rsidR="00E64C6C">
        <w:rPr>
          <w:rFonts w:ascii="Times New Roman" w:hAnsi="Times New Roman" w:cs="Times New Roman"/>
          <w:sz w:val="24"/>
          <w:szCs w:val="24"/>
        </w:rPr>
        <w:t>4</w:t>
      </w:r>
      <w:r w:rsidR="003E1666">
        <w:rPr>
          <w:rFonts w:ascii="Times New Roman" w:hAnsi="Times New Roman" w:cs="Times New Roman"/>
          <w:sz w:val="24"/>
          <w:szCs w:val="24"/>
        </w:rPr>
        <w:t xml:space="preserve">), </w:t>
      </w:r>
      <w:r w:rsidRPr="008A3766">
        <w:rPr>
          <w:rFonts w:ascii="Times New Roman" w:hAnsi="Times New Roman" w:cs="Times New Roman"/>
          <w:sz w:val="24"/>
          <w:szCs w:val="24"/>
        </w:rPr>
        <w:t xml:space="preserve">Tripathi </w:t>
      </w:r>
      <w:r w:rsidRPr="008A3766">
        <w:rPr>
          <w:rFonts w:ascii="Times New Roman" w:hAnsi="Times New Roman" w:cs="Times New Roman"/>
          <w:i/>
          <w:iCs/>
          <w:sz w:val="24"/>
          <w:szCs w:val="24"/>
        </w:rPr>
        <w:t>et al</w:t>
      </w:r>
      <w:r w:rsidRPr="008A3766">
        <w:rPr>
          <w:rFonts w:ascii="Times New Roman" w:hAnsi="Times New Roman" w:cs="Times New Roman"/>
          <w:sz w:val="24"/>
          <w:szCs w:val="24"/>
        </w:rPr>
        <w:t xml:space="preserve">. (2010), and </w:t>
      </w:r>
      <w:r w:rsidR="00E64C6C">
        <w:rPr>
          <w:rFonts w:ascii="Times New Roman" w:hAnsi="Times New Roman" w:cs="Times New Roman"/>
          <w:sz w:val="24"/>
          <w:szCs w:val="24"/>
        </w:rPr>
        <w:t>Singh and Singh,</w:t>
      </w:r>
      <w:r w:rsidR="00E64C6C" w:rsidRPr="008A3766">
        <w:rPr>
          <w:rFonts w:ascii="Times New Roman" w:hAnsi="Times New Roman" w:cs="Times New Roman"/>
          <w:sz w:val="24"/>
          <w:szCs w:val="24"/>
        </w:rPr>
        <w:t xml:space="preserve"> </w:t>
      </w:r>
      <w:r w:rsidRPr="008A3766">
        <w:rPr>
          <w:rFonts w:ascii="Times New Roman" w:hAnsi="Times New Roman" w:cs="Times New Roman"/>
          <w:sz w:val="24"/>
          <w:szCs w:val="24"/>
        </w:rPr>
        <w:t>(201</w:t>
      </w:r>
      <w:r w:rsidR="00E64C6C">
        <w:rPr>
          <w:rFonts w:ascii="Times New Roman" w:hAnsi="Times New Roman" w:cs="Times New Roman"/>
          <w:sz w:val="24"/>
          <w:szCs w:val="24"/>
        </w:rPr>
        <w:t>4</w:t>
      </w:r>
      <w:r w:rsidRPr="008A3766">
        <w:rPr>
          <w:rFonts w:ascii="Times New Roman" w:hAnsi="Times New Roman" w:cs="Times New Roman"/>
          <w:sz w:val="24"/>
          <w:szCs w:val="24"/>
        </w:rPr>
        <w:t>), who reported that INM improves the B:C ratio by balancing cost, yield, and market returns.</w:t>
      </w:r>
    </w:p>
    <w:p w14:paraId="1AB96B4A" w14:textId="5D933D3D" w:rsidR="00F91CFC" w:rsidRPr="00F91CFC" w:rsidRDefault="00F91CFC" w:rsidP="007D3E76">
      <w:pPr>
        <w:jc w:val="both"/>
        <w:rPr>
          <w:rFonts w:ascii="Times New Roman" w:hAnsi="Times New Roman" w:cs="Times New Roman"/>
          <w:sz w:val="24"/>
          <w:szCs w:val="24"/>
        </w:rPr>
      </w:pPr>
      <w:r w:rsidRPr="00F91CFC">
        <w:rPr>
          <w:rFonts w:ascii="Times New Roman" w:hAnsi="Times New Roman" w:cs="Times New Roman"/>
          <w:b/>
          <w:bCs/>
          <w:sz w:val="24"/>
          <w:szCs w:val="24"/>
        </w:rPr>
        <w:t>Summary</w:t>
      </w:r>
      <w:r w:rsidRPr="00F91CFC">
        <w:rPr>
          <w:rFonts w:ascii="Times New Roman" w:hAnsi="Times New Roman" w:cs="Times New Roman"/>
          <w:sz w:val="24"/>
          <w:szCs w:val="24"/>
        </w:rPr>
        <w:br/>
      </w:r>
      <w:r w:rsidR="007D3E76" w:rsidRPr="007D3E76">
        <w:rPr>
          <w:rFonts w:ascii="Times New Roman" w:hAnsi="Times New Roman" w:cs="Times New Roman"/>
          <w:sz w:val="24"/>
          <w:szCs w:val="24"/>
        </w:rPr>
        <w:t xml:space="preserve">Studies of soil after harvest showed that INM techniques made the soil healthier than just using chemical fertilizers. The lowest soil pH (7.39) and EC (1.36 dS m⁻¹) were seen with integrated treatments, which shows that organics had a positive effect. The addition of organic matter caused a large increase in carbon, as shown by the highest soil organic carbon (SOC) level (4.11 g/kg) under T4. In the same way, treatments with 100% RDF and vermicompost increased the amount of available K, while T4 increased the amount of available N and P. These results show that INM is a better way to keep soil fertile than just giving it inorganic nutrients. </w:t>
      </w:r>
      <w:r w:rsidR="007D3E76">
        <w:rPr>
          <w:rFonts w:ascii="Times New Roman" w:hAnsi="Times New Roman" w:cs="Times New Roman"/>
          <w:sz w:val="24"/>
          <w:szCs w:val="24"/>
        </w:rPr>
        <w:t xml:space="preserve"> </w:t>
      </w:r>
      <w:r w:rsidR="007D3E76" w:rsidRPr="007D3E76">
        <w:rPr>
          <w:rFonts w:ascii="Times New Roman" w:hAnsi="Times New Roman" w:cs="Times New Roman"/>
          <w:sz w:val="24"/>
          <w:szCs w:val="24"/>
        </w:rPr>
        <w:t>T4 had the highest economic net return (₹80,125.66/ha) and B:C ratio (1.82), even though it cost more to grow. Treatments that mixed fertilizers and organics came next. T9 (biofertilizer alone), on the other hand, had the lowest returns and profits.</w:t>
      </w:r>
    </w:p>
    <w:p w14:paraId="3330B0DB" w14:textId="57F103B0" w:rsidR="009E0792" w:rsidRPr="00365490" w:rsidRDefault="00F91CFC" w:rsidP="009E0792">
      <w:pPr>
        <w:jc w:val="both"/>
        <w:rPr>
          <w:rFonts w:ascii="Times New Roman" w:hAnsi="Times New Roman" w:cs="Times New Roman"/>
          <w:sz w:val="24"/>
          <w:szCs w:val="24"/>
        </w:rPr>
      </w:pPr>
      <w:r w:rsidRPr="00F91CFC">
        <w:rPr>
          <w:rFonts w:ascii="Times New Roman" w:hAnsi="Times New Roman" w:cs="Times New Roman"/>
          <w:b/>
          <w:bCs/>
          <w:sz w:val="24"/>
          <w:szCs w:val="24"/>
        </w:rPr>
        <w:t>Conclusion</w:t>
      </w:r>
      <w:r w:rsidRPr="00F91CFC">
        <w:rPr>
          <w:rFonts w:ascii="Times New Roman" w:hAnsi="Times New Roman" w:cs="Times New Roman"/>
          <w:sz w:val="24"/>
          <w:szCs w:val="24"/>
        </w:rPr>
        <w:br/>
      </w:r>
      <w:r w:rsidR="009E0792" w:rsidRPr="009E0792">
        <w:rPr>
          <w:rFonts w:ascii="Times New Roman" w:hAnsi="Times New Roman" w:cs="Times New Roman"/>
          <w:sz w:val="24"/>
          <w:szCs w:val="24"/>
        </w:rPr>
        <w:t xml:space="preserve">In addition to raising mustard output, integrated nutrient management may be stated to preserve soil fertility by boosting organic carbon and nutrient availability. The greater cultivation expenses linked to integrated techniques are compensated for by increased yields and profitability. Thus, INM turns out to be a useful and sustainable way to manage the nutrients in </w:t>
      </w:r>
      <w:r w:rsidR="009E0792" w:rsidRPr="00365490">
        <w:rPr>
          <w:rFonts w:ascii="Times New Roman" w:hAnsi="Times New Roman" w:cs="Times New Roman"/>
          <w:sz w:val="24"/>
          <w:szCs w:val="24"/>
        </w:rPr>
        <w:t>mustard, ensuring long-term soil health and financial sustainability.</w:t>
      </w:r>
    </w:p>
    <w:p w14:paraId="2314C563" w14:textId="77777777" w:rsidR="00D0372F" w:rsidRPr="00ED6165" w:rsidRDefault="00D0372F" w:rsidP="007C30CE">
      <w:pPr>
        <w:jc w:val="both"/>
        <w:rPr>
          <w:rFonts w:ascii="Times New Roman" w:hAnsi="Times New Roman" w:cs="Times New Roman"/>
          <w:b/>
        </w:rPr>
      </w:pPr>
      <w:r w:rsidRPr="00ED6165">
        <w:rPr>
          <w:rFonts w:ascii="Times New Roman" w:hAnsi="Times New Roman" w:cs="Times New Roman"/>
          <w:b/>
        </w:rPr>
        <w:t>Disclaimer (Artificial intelligence)</w:t>
      </w:r>
    </w:p>
    <w:p w14:paraId="68F47309" w14:textId="77777777" w:rsidR="00D0372F" w:rsidRPr="007C30CE" w:rsidRDefault="00D0372F" w:rsidP="007C30CE">
      <w:pPr>
        <w:jc w:val="both"/>
        <w:rPr>
          <w:rFonts w:ascii="Times New Roman" w:hAnsi="Times New Roman" w:cs="Times New Roman"/>
        </w:rPr>
      </w:pPr>
      <w:r w:rsidRPr="007C30CE">
        <w:rPr>
          <w:rFonts w:ascii="Times New Roman" w:hAnsi="Times New Roman" w:cs="Times New Roman"/>
        </w:rPr>
        <w:t xml:space="preserve">Author(s) hereby declare that NO generative AI technologies such as Large Language Models (ChatGPT, COPILOT, etc.) and text-to-image generators have been used during the writing or editing of this manuscript. </w:t>
      </w:r>
    </w:p>
    <w:p w14:paraId="2DBF1FEC" w14:textId="2E84FD82" w:rsidR="009E0792" w:rsidRDefault="00A871D6" w:rsidP="00256BC1">
      <w:pPr>
        <w:jc w:val="both"/>
        <w:rPr>
          <w:rFonts w:ascii="Times New Roman" w:hAnsi="Times New Roman" w:cs="Times New Roman"/>
          <w:b/>
          <w:bCs/>
          <w:sz w:val="24"/>
          <w:szCs w:val="24"/>
        </w:rPr>
      </w:pPr>
      <w:r w:rsidRPr="00A871D6">
        <w:rPr>
          <w:rFonts w:ascii="Times New Roman" w:hAnsi="Times New Roman" w:cs="Times New Roman"/>
          <w:b/>
          <w:bCs/>
          <w:sz w:val="24"/>
          <w:szCs w:val="24"/>
        </w:rPr>
        <w:t>References</w:t>
      </w:r>
    </w:p>
    <w:p w14:paraId="3CDCF56A" w14:textId="77777777" w:rsidR="00D85FB2" w:rsidRDefault="00D85FB2" w:rsidP="00C17E20">
      <w:pPr>
        <w:numPr>
          <w:ilvl w:val="0"/>
          <w:numId w:val="4"/>
        </w:numPr>
        <w:jc w:val="both"/>
        <w:rPr>
          <w:rFonts w:ascii="Times New Roman" w:hAnsi="Times New Roman" w:cs="Times New Roman"/>
          <w:sz w:val="24"/>
          <w:szCs w:val="24"/>
        </w:rPr>
      </w:pPr>
      <w:r w:rsidRPr="00D85FB2">
        <w:rPr>
          <w:rFonts w:ascii="Times New Roman" w:hAnsi="Times New Roman" w:cs="Times New Roman"/>
          <w:sz w:val="24"/>
          <w:szCs w:val="24"/>
        </w:rPr>
        <w:lastRenderedPageBreak/>
        <w:t>Ajnar, P., &amp; Namdeo, S. (2021). Effect of integrated nutrient management on Indian mustard yield attributes and yield. </w:t>
      </w:r>
      <w:r w:rsidRPr="00D85FB2">
        <w:rPr>
          <w:rFonts w:ascii="Times New Roman" w:hAnsi="Times New Roman" w:cs="Times New Roman"/>
          <w:i/>
          <w:iCs/>
          <w:sz w:val="24"/>
          <w:szCs w:val="24"/>
        </w:rPr>
        <w:t>Journal of Pharmacognosy and Phytochemistry</w:t>
      </w:r>
      <w:r w:rsidRPr="00D85FB2">
        <w:rPr>
          <w:rFonts w:ascii="Times New Roman" w:hAnsi="Times New Roman" w:cs="Times New Roman"/>
          <w:sz w:val="24"/>
          <w:szCs w:val="24"/>
        </w:rPr>
        <w:t>, </w:t>
      </w:r>
      <w:r w:rsidRPr="00D85FB2">
        <w:rPr>
          <w:rFonts w:ascii="Times New Roman" w:hAnsi="Times New Roman" w:cs="Times New Roman"/>
          <w:i/>
          <w:iCs/>
          <w:sz w:val="24"/>
          <w:szCs w:val="24"/>
        </w:rPr>
        <w:t>10</w:t>
      </w:r>
      <w:r w:rsidRPr="00D85FB2">
        <w:rPr>
          <w:rFonts w:ascii="Times New Roman" w:hAnsi="Times New Roman" w:cs="Times New Roman"/>
          <w:sz w:val="24"/>
          <w:szCs w:val="24"/>
        </w:rPr>
        <w:t>(2), 545-548.</w:t>
      </w:r>
    </w:p>
    <w:p w14:paraId="7F543074" w14:textId="7A417972"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Chandan, S. K., Singh, S. K., &amp; Pandey, A. N. I. L. (2019). Influence of integrated nutrient management on yield and quality of Indian mustard (</w:t>
      </w:r>
      <w:r w:rsidRPr="00367447">
        <w:rPr>
          <w:rFonts w:ascii="Times New Roman" w:hAnsi="Times New Roman" w:cs="Times New Roman"/>
          <w:i/>
          <w:iCs/>
          <w:sz w:val="24"/>
          <w:szCs w:val="24"/>
        </w:rPr>
        <w:t>Brassica juncea</w:t>
      </w:r>
      <w:r w:rsidRPr="00367447">
        <w:rPr>
          <w:rFonts w:ascii="Times New Roman" w:hAnsi="Times New Roman" w:cs="Times New Roman"/>
          <w:sz w:val="24"/>
          <w:szCs w:val="24"/>
        </w:rPr>
        <w:t xml:space="preserve"> L.) in calcareous soil of Bihar. </w:t>
      </w:r>
      <w:r w:rsidRPr="00367447">
        <w:rPr>
          <w:rFonts w:ascii="Times New Roman" w:hAnsi="Times New Roman" w:cs="Times New Roman"/>
          <w:i/>
          <w:iCs/>
          <w:sz w:val="24"/>
          <w:szCs w:val="24"/>
        </w:rPr>
        <w:t>Annals</w:t>
      </w:r>
      <w:r>
        <w:rPr>
          <w:rFonts w:ascii="Times New Roman" w:hAnsi="Times New Roman" w:cs="Times New Roman"/>
          <w:i/>
          <w:iCs/>
          <w:sz w:val="24"/>
          <w:szCs w:val="24"/>
        </w:rPr>
        <w:t xml:space="preserve"> of</w:t>
      </w:r>
      <w:r w:rsidRPr="00367447">
        <w:rPr>
          <w:rFonts w:ascii="Times New Roman" w:hAnsi="Times New Roman" w:cs="Times New Roman"/>
          <w:i/>
          <w:iCs/>
          <w:sz w:val="24"/>
          <w:szCs w:val="24"/>
        </w:rPr>
        <w:t xml:space="preserve"> Plant </w:t>
      </w:r>
      <w:r>
        <w:rPr>
          <w:rFonts w:ascii="Times New Roman" w:hAnsi="Times New Roman" w:cs="Times New Roman"/>
          <w:i/>
          <w:iCs/>
          <w:sz w:val="24"/>
          <w:szCs w:val="24"/>
        </w:rPr>
        <w:t xml:space="preserve">and </w:t>
      </w:r>
      <w:r w:rsidRPr="00367447">
        <w:rPr>
          <w:rFonts w:ascii="Times New Roman" w:hAnsi="Times New Roman" w:cs="Times New Roman"/>
          <w:i/>
          <w:iCs/>
          <w:sz w:val="24"/>
          <w:szCs w:val="24"/>
        </w:rPr>
        <w:t>Soil Res</w:t>
      </w:r>
      <w:r>
        <w:rPr>
          <w:rFonts w:ascii="Times New Roman" w:hAnsi="Times New Roman" w:cs="Times New Roman"/>
          <w:i/>
          <w:iCs/>
          <w:sz w:val="24"/>
          <w:szCs w:val="24"/>
        </w:rPr>
        <w:t>erach</w:t>
      </w:r>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 76-81.</w:t>
      </w:r>
    </w:p>
    <w:p w14:paraId="322CEFCF" w14:textId="23F168F4"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Chaurasiya, S., Singh, R. K., Kumar, S., &amp; Yadav, P. K. (2024). Effect of Different Levels of Integrated Nutrient Management in Mustard (</w:t>
      </w:r>
      <w:r w:rsidRPr="00367447">
        <w:rPr>
          <w:rFonts w:ascii="Times New Roman" w:hAnsi="Times New Roman" w:cs="Times New Roman"/>
          <w:i/>
          <w:iCs/>
          <w:sz w:val="24"/>
          <w:szCs w:val="24"/>
        </w:rPr>
        <w:t>Brassica juncea</w:t>
      </w:r>
      <w:r w:rsidRPr="00367447">
        <w:rPr>
          <w:rFonts w:ascii="Times New Roman" w:hAnsi="Times New Roman" w:cs="Times New Roman"/>
          <w:sz w:val="24"/>
          <w:szCs w:val="24"/>
        </w:rPr>
        <w:t xml:space="preserve"> L.). </w:t>
      </w:r>
      <w:r w:rsidRPr="00367447">
        <w:rPr>
          <w:rFonts w:ascii="Times New Roman" w:hAnsi="Times New Roman" w:cs="Times New Roman"/>
          <w:i/>
          <w:iCs/>
          <w:sz w:val="24"/>
          <w:szCs w:val="24"/>
        </w:rPr>
        <w:t>Asian research journal of agriculture</w:t>
      </w:r>
      <w:r w:rsidRPr="00367447">
        <w:rPr>
          <w:rFonts w:ascii="Times New Roman" w:hAnsi="Times New Roman" w:cs="Times New Roman"/>
          <w:sz w:val="24"/>
          <w:szCs w:val="24"/>
        </w:rPr>
        <w:t>, </w:t>
      </w:r>
      <w:r w:rsidRPr="00367447">
        <w:rPr>
          <w:rFonts w:ascii="Times New Roman" w:hAnsi="Times New Roman" w:cs="Times New Roman"/>
          <w:i/>
          <w:iCs/>
          <w:sz w:val="24"/>
          <w:szCs w:val="24"/>
        </w:rPr>
        <w:t>17</w:t>
      </w:r>
      <w:r w:rsidRPr="00367447">
        <w:rPr>
          <w:rFonts w:ascii="Times New Roman" w:hAnsi="Times New Roman" w:cs="Times New Roman"/>
          <w:sz w:val="24"/>
          <w:szCs w:val="24"/>
        </w:rPr>
        <w:t>(3), 17-21.</w:t>
      </w:r>
    </w:p>
    <w:p w14:paraId="0EF26E4F" w14:textId="0EB789C4"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Dongarwar, U. R., Bhalerao, P. D., &amp; Negduie, S. J. (2007). Effect of irrigation and INM on growth and yield of Indian mustard. </w:t>
      </w:r>
      <w:r w:rsidRPr="00367447">
        <w:rPr>
          <w:rFonts w:ascii="Times New Roman" w:hAnsi="Times New Roman" w:cs="Times New Roman"/>
          <w:i/>
          <w:iCs/>
          <w:sz w:val="24"/>
          <w:szCs w:val="24"/>
        </w:rPr>
        <w:t>Annals physiology</w:t>
      </w:r>
      <w:r w:rsidRPr="00367447">
        <w:rPr>
          <w:rFonts w:ascii="Times New Roman" w:hAnsi="Times New Roman" w:cs="Times New Roman"/>
          <w:sz w:val="24"/>
          <w:szCs w:val="24"/>
        </w:rPr>
        <w:t>, </w:t>
      </w:r>
      <w:r w:rsidRPr="00367447">
        <w:rPr>
          <w:rFonts w:ascii="Times New Roman" w:hAnsi="Times New Roman" w:cs="Times New Roman"/>
          <w:i/>
          <w:iCs/>
          <w:sz w:val="24"/>
          <w:szCs w:val="24"/>
        </w:rPr>
        <w:t>21</w:t>
      </w:r>
      <w:r w:rsidRPr="00367447">
        <w:rPr>
          <w:rFonts w:ascii="Times New Roman" w:hAnsi="Times New Roman" w:cs="Times New Roman"/>
          <w:sz w:val="24"/>
          <w:szCs w:val="24"/>
        </w:rPr>
        <w:t>(2), 182-185.</w:t>
      </w:r>
    </w:p>
    <w:p w14:paraId="07304D86" w14:textId="5769BFDD"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Gomez, K. A., &amp; Gomez, A. A. (1984). </w:t>
      </w:r>
      <w:r w:rsidRPr="00367447">
        <w:rPr>
          <w:rFonts w:ascii="Times New Roman" w:hAnsi="Times New Roman" w:cs="Times New Roman"/>
          <w:i/>
          <w:iCs/>
          <w:sz w:val="24"/>
          <w:szCs w:val="24"/>
        </w:rPr>
        <w:t>Statistical procedures for agricultural research</w:t>
      </w:r>
      <w:r w:rsidRPr="00367447">
        <w:rPr>
          <w:rFonts w:ascii="Times New Roman" w:hAnsi="Times New Roman" w:cs="Times New Roman"/>
          <w:sz w:val="24"/>
          <w:szCs w:val="24"/>
        </w:rPr>
        <w:t>. John wiley &amp; sons.</w:t>
      </w:r>
    </w:p>
    <w:p w14:paraId="5D778B3C" w14:textId="7D8C373E"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Banerjee, A., Datta, J. K., Mondal, N. K., &amp; Chanda, T. (2011). Influence of integrated nutrient management on soil properties of old alluvial soil under mustard cropping system. </w:t>
      </w:r>
      <w:r w:rsidRPr="00367447">
        <w:rPr>
          <w:rFonts w:ascii="Times New Roman" w:hAnsi="Times New Roman" w:cs="Times New Roman"/>
          <w:i/>
          <w:iCs/>
          <w:sz w:val="24"/>
          <w:szCs w:val="24"/>
        </w:rPr>
        <w:t>Communications in soil science and plant analysis</w:t>
      </w:r>
      <w:r w:rsidRPr="00367447">
        <w:rPr>
          <w:rFonts w:ascii="Times New Roman" w:hAnsi="Times New Roman" w:cs="Times New Roman"/>
          <w:sz w:val="24"/>
          <w:szCs w:val="24"/>
        </w:rPr>
        <w:t>, </w:t>
      </w:r>
      <w:r w:rsidRPr="00367447">
        <w:rPr>
          <w:rFonts w:ascii="Times New Roman" w:hAnsi="Times New Roman" w:cs="Times New Roman"/>
          <w:i/>
          <w:iCs/>
          <w:sz w:val="24"/>
          <w:szCs w:val="24"/>
        </w:rPr>
        <w:t>42</w:t>
      </w:r>
      <w:r w:rsidRPr="00367447">
        <w:rPr>
          <w:rFonts w:ascii="Times New Roman" w:hAnsi="Times New Roman" w:cs="Times New Roman"/>
          <w:sz w:val="24"/>
          <w:szCs w:val="24"/>
        </w:rPr>
        <w:t>(20), 2473-2492.</w:t>
      </w:r>
    </w:p>
    <w:p w14:paraId="21CB342B" w14:textId="1FAD7BEA" w:rsidR="00367447" w:rsidRDefault="00367447" w:rsidP="00C17E20">
      <w:pPr>
        <w:numPr>
          <w:ilvl w:val="0"/>
          <w:numId w:val="4"/>
        </w:numPr>
        <w:jc w:val="both"/>
        <w:rPr>
          <w:rFonts w:ascii="Times New Roman" w:hAnsi="Times New Roman" w:cs="Times New Roman"/>
          <w:sz w:val="24"/>
          <w:szCs w:val="24"/>
        </w:rPr>
      </w:pPr>
      <w:r w:rsidRPr="00367447">
        <w:rPr>
          <w:rFonts w:ascii="Times New Roman" w:hAnsi="Times New Roman" w:cs="Times New Roman"/>
          <w:sz w:val="24"/>
          <w:szCs w:val="24"/>
        </w:rPr>
        <w:t>Jackson, M. L. (1958). Soil chemical analysis practice Hall of India. </w:t>
      </w:r>
      <w:r w:rsidRPr="00367447">
        <w:rPr>
          <w:rFonts w:ascii="Times New Roman" w:hAnsi="Times New Roman" w:cs="Times New Roman"/>
          <w:i/>
          <w:iCs/>
          <w:sz w:val="24"/>
          <w:szCs w:val="24"/>
        </w:rPr>
        <w:t>New Delhi</w:t>
      </w:r>
      <w:r w:rsidRPr="00367447">
        <w:rPr>
          <w:rFonts w:ascii="Times New Roman" w:hAnsi="Times New Roman" w:cs="Times New Roman"/>
          <w:sz w:val="24"/>
          <w:szCs w:val="24"/>
        </w:rPr>
        <w:t>, </w:t>
      </w:r>
      <w:r w:rsidRPr="00367447">
        <w:rPr>
          <w:rFonts w:ascii="Times New Roman" w:hAnsi="Times New Roman" w:cs="Times New Roman"/>
          <w:i/>
          <w:iCs/>
          <w:sz w:val="24"/>
          <w:szCs w:val="24"/>
        </w:rPr>
        <w:t>29</w:t>
      </w:r>
      <w:r w:rsidRPr="00367447">
        <w:rPr>
          <w:rFonts w:ascii="Times New Roman" w:hAnsi="Times New Roman" w:cs="Times New Roman"/>
          <w:sz w:val="24"/>
          <w:szCs w:val="24"/>
        </w:rPr>
        <w:t>.</w:t>
      </w:r>
    </w:p>
    <w:p w14:paraId="0A28191A" w14:textId="658B0853"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Dhaka, P., Dhaker, D. L., Sharma, O. P., &amp; Dhaka, M. (2024). Effect of integrated nutrient management on productivity and profitability of mustard [Brassica juncea (L.) Czern &amp; Coss]. </w:t>
      </w:r>
      <w:r w:rsidRPr="00E64C6C">
        <w:rPr>
          <w:rFonts w:ascii="Times New Roman" w:hAnsi="Times New Roman" w:cs="Times New Roman"/>
          <w:i/>
          <w:iCs/>
          <w:sz w:val="24"/>
          <w:szCs w:val="24"/>
        </w:rPr>
        <w:t>Annals of Agricultural Research</w:t>
      </w:r>
      <w:r w:rsidRPr="00E64C6C">
        <w:rPr>
          <w:rFonts w:ascii="Times New Roman" w:hAnsi="Times New Roman" w:cs="Times New Roman"/>
          <w:sz w:val="24"/>
          <w:szCs w:val="24"/>
        </w:rPr>
        <w:t>, </w:t>
      </w:r>
      <w:r w:rsidRPr="00E64C6C">
        <w:rPr>
          <w:rFonts w:ascii="Times New Roman" w:hAnsi="Times New Roman" w:cs="Times New Roman"/>
          <w:i/>
          <w:iCs/>
          <w:sz w:val="24"/>
          <w:szCs w:val="24"/>
        </w:rPr>
        <w:t>44</w:t>
      </w:r>
      <w:r w:rsidRPr="00E64C6C">
        <w:rPr>
          <w:rFonts w:ascii="Times New Roman" w:hAnsi="Times New Roman" w:cs="Times New Roman"/>
          <w:sz w:val="24"/>
          <w:szCs w:val="24"/>
        </w:rPr>
        <w:t>(4), 454-458.</w:t>
      </w:r>
    </w:p>
    <w:p w14:paraId="0BD9E772" w14:textId="2B522A28"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Singh, R. K., &amp; Singh, A. K. (2014). Production potential, nutrient uptake and economics of Indian mustard (Brassica juncea) under integrated nutrient management practices. </w:t>
      </w:r>
      <w:r w:rsidRPr="00E64C6C">
        <w:rPr>
          <w:rFonts w:ascii="Times New Roman" w:hAnsi="Times New Roman" w:cs="Times New Roman"/>
          <w:i/>
          <w:iCs/>
          <w:sz w:val="24"/>
          <w:szCs w:val="24"/>
        </w:rPr>
        <w:t>Indian Journal of Agricultural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84</w:t>
      </w:r>
      <w:r w:rsidRPr="00E64C6C">
        <w:rPr>
          <w:rFonts w:ascii="Times New Roman" w:hAnsi="Times New Roman" w:cs="Times New Roman"/>
          <w:sz w:val="24"/>
          <w:szCs w:val="24"/>
        </w:rPr>
        <w:t>(1), 142-8.</w:t>
      </w:r>
    </w:p>
    <w:p w14:paraId="37EF0F3D" w14:textId="396FAA02" w:rsidR="00E64C6C" w:rsidRDefault="00E64C6C" w:rsidP="00C17E20">
      <w:pPr>
        <w:numPr>
          <w:ilvl w:val="0"/>
          <w:numId w:val="4"/>
        </w:numPr>
        <w:jc w:val="both"/>
        <w:rPr>
          <w:rFonts w:ascii="Times New Roman" w:hAnsi="Times New Roman" w:cs="Times New Roman"/>
          <w:sz w:val="24"/>
          <w:szCs w:val="24"/>
        </w:rPr>
      </w:pPr>
      <w:r w:rsidRPr="00E64C6C">
        <w:rPr>
          <w:rFonts w:ascii="Times New Roman" w:hAnsi="Times New Roman" w:cs="Times New Roman"/>
          <w:sz w:val="24"/>
          <w:szCs w:val="24"/>
        </w:rPr>
        <w:t>Bora, P., Ojha, N. J., &amp; Basumatary, A. (2020). Effect of Integrated Nutrient Management on Nutrient Content and Uptake by Late Sown toria (Brassica campestris var toria) and Availability of Nutrients in the Soil. </w:t>
      </w:r>
      <w:r w:rsidRPr="00E64C6C">
        <w:rPr>
          <w:rFonts w:ascii="Times New Roman" w:hAnsi="Times New Roman" w:cs="Times New Roman"/>
          <w:i/>
          <w:iCs/>
          <w:sz w:val="24"/>
          <w:szCs w:val="24"/>
        </w:rPr>
        <w:t> International Journal of Current Microbiology and Applied Sciences</w:t>
      </w:r>
      <w:r w:rsidRPr="00E64C6C">
        <w:rPr>
          <w:rFonts w:ascii="Times New Roman" w:hAnsi="Times New Roman" w:cs="Times New Roman"/>
          <w:sz w:val="24"/>
          <w:szCs w:val="24"/>
        </w:rPr>
        <w:t>, </w:t>
      </w:r>
      <w:r w:rsidRPr="00E64C6C">
        <w:rPr>
          <w:rFonts w:ascii="Times New Roman" w:hAnsi="Times New Roman" w:cs="Times New Roman"/>
          <w:i/>
          <w:iCs/>
          <w:sz w:val="24"/>
          <w:szCs w:val="24"/>
        </w:rPr>
        <w:t>9</w:t>
      </w:r>
      <w:r w:rsidRPr="00E64C6C">
        <w:rPr>
          <w:rFonts w:ascii="Times New Roman" w:hAnsi="Times New Roman" w:cs="Times New Roman"/>
          <w:sz w:val="24"/>
          <w:szCs w:val="24"/>
        </w:rPr>
        <w:t>(12), 920-928.</w:t>
      </w:r>
    </w:p>
    <w:p w14:paraId="283E5BD9" w14:textId="5C9AC11B" w:rsidR="009467F1" w:rsidRDefault="009467F1" w:rsidP="00C17E20">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Meena, D. S., Tetarwal, J. P., &amp; Ram, B. (2013). Effect of chemical and bio-fertilizers on productivity, profitability and quality of Indian mustard (Brassica juncea) in Vertisols.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58</w:t>
      </w:r>
      <w:r w:rsidRPr="009467F1">
        <w:rPr>
          <w:rFonts w:ascii="Times New Roman" w:hAnsi="Times New Roman" w:cs="Times New Roman"/>
          <w:sz w:val="24"/>
          <w:szCs w:val="24"/>
        </w:rPr>
        <w:t>(1), 96-99.</w:t>
      </w:r>
    </w:p>
    <w:p w14:paraId="3769059D" w14:textId="6EC8CBC6" w:rsidR="00C17E20" w:rsidRPr="00C17E20" w:rsidRDefault="00C17E20" w:rsidP="00C17E20">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Olsen, S. R., Cole, C. V., Watanabe, F. S., &amp; Dean, L. A. (1954). Estimation of available phosphorus in soils by extraction with sodium bicarbonate (USDA Circular 939). United States Department of Agriculture. </w:t>
      </w:r>
    </w:p>
    <w:p w14:paraId="4CC29250" w14:textId="77777777"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Pal, R. L., &amp; Pathak, J. (2016). Effect of integrated nutrient management on yield and economics of mustard. </w:t>
      </w:r>
      <w:r w:rsidRPr="009467F1">
        <w:rPr>
          <w:rFonts w:ascii="Times New Roman" w:hAnsi="Times New Roman" w:cs="Times New Roman"/>
          <w:i/>
          <w:iCs/>
          <w:sz w:val="24"/>
          <w:szCs w:val="24"/>
        </w:rPr>
        <w:t>International journal of science and nature</w:t>
      </w:r>
      <w:r w:rsidRPr="009467F1">
        <w:rPr>
          <w:rFonts w:ascii="Times New Roman" w:hAnsi="Times New Roman" w:cs="Times New Roman"/>
          <w:sz w:val="24"/>
          <w:szCs w:val="24"/>
        </w:rPr>
        <w:t>, </w:t>
      </w:r>
      <w:r w:rsidRPr="009467F1">
        <w:rPr>
          <w:rFonts w:ascii="Times New Roman" w:hAnsi="Times New Roman" w:cs="Times New Roman"/>
          <w:i/>
          <w:iCs/>
          <w:sz w:val="24"/>
          <w:szCs w:val="24"/>
        </w:rPr>
        <w:t>2</w:t>
      </w:r>
      <w:r w:rsidRPr="009467F1">
        <w:rPr>
          <w:rFonts w:ascii="Times New Roman" w:hAnsi="Times New Roman" w:cs="Times New Roman"/>
          <w:sz w:val="24"/>
          <w:szCs w:val="24"/>
        </w:rPr>
        <w:t>, 255-261.</w:t>
      </w:r>
    </w:p>
    <w:p w14:paraId="5F762303" w14:textId="4E05BA22" w:rsidR="009467F1" w:rsidRDefault="009467F1" w:rsidP="00D72AD2">
      <w:pPr>
        <w:numPr>
          <w:ilvl w:val="0"/>
          <w:numId w:val="4"/>
        </w:numPr>
        <w:jc w:val="both"/>
        <w:rPr>
          <w:rFonts w:ascii="Times New Roman" w:hAnsi="Times New Roman" w:cs="Times New Roman"/>
          <w:sz w:val="24"/>
          <w:szCs w:val="24"/>
        </w:rPr>
      </w:pPr>
      <w:r w:rsidRPr="009467F1">
        <w:rPr>
          <w:rFonts w:ascii="Times New Roman" w:hAnsi="Times New Roman" w:cs="Times New Roman"/>
          <w:sz w:val="24"/>
          <w:szCs w:val="24"/>
        </w:rPr>
        <w:t>Singh, S. P., &amp; Pal, M. S. (2011). Effect of integrated nutrient management on productivity, quality, nutrient uptake and economics of mustard (Brassica juncea). </w:t>
      </w:r>
      <w:r w:rsidRPr="009467F1">
        <w:rPr>
          <w:rFonts w:ascii="Times New Roman" w:hAnsi="Times New Roman" w:cs="Times New Roman"/>
          <w:i/>
          <w:iCs/>
          <w:sz w:val="24"/>
          <w:szCs w:val="24"/>
        </w:rPr>
        <w:t>Indian Journal of Agronomy</w:t>
      </w:r>
      <w:r w:rsidRPr="009467F1">
        <w:rPr>
          <w:rFonts w:ascii="Times New Roman" w:hAnsi="Times New Roman" w:cs="Times New Roman"/>
          <w:sz w:val="24"/>
          <w:szCs w:val="24"/>
        </w:rPr>
        <w:t>, </w:t>
      </w:r>
      <w:r w:rsidRPr="009467F1">
        <w:rPr>
          <w:rFonts w:ascii="Times New Roman" w:hAnsi="Times New Roman" w:cs="Times New Roman"/>
          <w:i/>
          <w:iCs/>
          <w:sz w:val="24"/>
          <w:szCs w:val="24"/>
        </w:rPr>
        <w:t>56</w:t>
      </w:r>
      <w:r w:rsidRPr="009467F1">
        <w:rPr>
          <w:rFonts w:ascii="Times New Roman" w:hAnsi="Times New Roman" w:cs="Times New Roman"/>
          <w:sz w:val="24"/>
          <w:szCs w:val="24"/>
        </w:rPr>
        <w:t>(4), 381-387.</w:t>
      </w:r>
    </w:p>
    <w:p w14:paraId="2FD3ABC8" w14:textId="500EB658" w:rsidR="004D199E" w:rsidRDefault="004D199E" w:rsidP="00D72AD2">
      <w:pPr>
        <w:numPr>
          <w:ilvl w:val="0"/>
          <w:numId w:val="4"/>
        </w:numPr>
        <w:jc w:val="both"/>
        <w:rPr>
          <w:rFonts w:ascii="Times New Roman" w:hAnsi="Times New Roman" w:cs="Times New Roman"/>
          <w:sz w:val="24"/>
          <w:szCs w:val="24"/>
        </w:rPr>
      </w:pPr>
      <w:r w:rsidRPr="004D199E">
        <w:rPr>
          <w:rFonts w:ascii="Times New Roman" w:hAnsi="Times New Roman" w:cs="Times New Roman"/>
          <w:sz w:val="24"/>
          <w:szCs w:val="24"/>
        </w:rPr>
        <w:lastRenderedPageBreak/>
        <w:t>Singh, S. K., Chandan, S., Tiwari, S., &amp; Singh, P. (2021). Effect of Integrated Nutrient Management on Soil Properties, Yield and Quality of Indian Mustard (Brassica juncea L.).</w:t>
      </w:r>
      <w:r>
        <w:rPr>
          <w:rFonts w:ascii="Times New Roman" w:hAnsi="Times New Roman" w:cs="Times New Roman"/>
          <w:sz w:val="24"/>
          <w:szCs w:val="24"/>
        </w:rPr>
        <w:t xml:space="preserve"> </w:t>
      </w:r>
      <w:r w:rsidRPr="004D199E">
        <w:rPr>
          <w:rFonts w:ascii="Times New Roman" w:hAnsi="Times New Roman" w:cs="Times New Roman"/>
          <w:i/>
          <w:iCs/>
          <w:sz w:val="24"/>
          <w:szCs w:val="24"/>
        </w:rPr>
        <w:t>Agropedology</w:t>
      </w:r>
      <w:r w:rsidRPr="004D199E">
        <w:rPr>
          <w:rFonts w:ascii="Times New Roman" w:hAnsi="Times New Roman" w:cs="Times New Roman"/>
          <w:sz w:val="24"/>
          <w:szCs w:val="24"/>
        </w:rPr>
        <w:t>, 31 (01), 65-75</w:t>
      </w:r>
    </w:p>
    <w:p w14:paraId="49A2A5F6" w14:textId="39E56154" w:rsidR="004D199E" w:rsidRDefault="004D199E" w:rsidP="00D72AD2">
      <w:pPr>
        <w:numPr>
          <w:ilvl w:val="0"/>
          <w:numId w:val="4"/>
        </w:numPr>
        <w:jc w:val="both"/>
        <w:rPr>
          <w:rFonts w:ascii="Times New Roman" w:hAnsi="Times New Roman" w:cs="Times New Roman"/>
          <w:sz w:val="24"/>
          <w:szCs w:val="24"/>
        </w:rPr>
      </w:pPr>
      <w:r w:rsidRPr="00DF3545">
        <w:rPr>
          <w:rFonts w:ascii="Times New Roman" w:hAnsi="Times New Roman" w:cs="Times New Roman"/>
          <w:sz w:val="24"/>
          <w:szCs w:val="24"/>
          <w:lang w:val="fi-FI"/>
        </w:rPr>
        <w:t xml:space="preserve">Solanki, R. L., Mahendra, S., Sharma, S. K., Purohit, H. S., &amp; Arvind, V. (2015). </w:t>
      </w:r>
      <w:r w:rsidRPr="004D199E">
        <w:rPr>
          <w:rFonts w:ascii="Times New Roman" w:hAnsi="Times New Roman" w:cs="Times New Roman"/>
          <w:sz w:val="24"/>
          <w:szCs w:val="24"/>
        </w:rPr>
        <w:t>Effect of different level of phosphorus, sulphur and PSB on the yield of Indian mustard (</w:t>
      </w:r>
      <w:r w:rsidRPr="004D199E">
        <w:rPr>
          <w:rFonts w:ascii="Times New Roman" w:hAnsi="Times New Roman" w:cs="Times New Roman"/>
          <w:i/>
          <w:iCs/>
          <w:sz w:val="24"/>
          <w:szCs w:val="24"/>
        </w:rPr>
        <w:t>Brassica juncea</w:t>
      </w:r>
      <w:r w:rsidRPr="004D199E">
        <w:rPr>
          <w:rFonts w:ascii="Times New Roman" w:hAnsi="Times New Roman" w:cs="Times New Roman"/>
          <w:sz w:val="24"/>
          <w:szCs w:val="24"/>
        </w:rPr>
        <w:t xml:space="preserve"> L.) and soil properties and available macronutrients. </w:t>
      </w:r>
      <w:r w:rsidRPr="004D199E">
        <w:rPr>
          <w:rFonts w:ascii="Times New Roman" w:hAnsi="Times New Roman" w:cs="Times New Roman"/>
          <w:i/>
          <w:iCs/>
          <w:sz w:val="24"/>
          <w:szCs w:val="24"/>
        </w:rPr>
        <w:t>Scholarly Journal of Agricultural Science</w:t>
      </w:r>
      <w:r w:rsidRPr="004D199E">
        <w:rPr>
          <w:rFonts w:ascii="Times New Roman" w:hAnsi="Times New Roman" w:cs="Times New Roman"/>
          <w:sz w:val="24"/>
          <w:szCs w:val="24"/>
        </w:rPr>
        <w:t>, </w:t>
      </w:r>
      <w:r w:rsidRPr="004D199E">
        <w:rPr>
          <w:rFonts w:ascii="Times New Roman" w:hAnsi="Times New Roman" w:cs="Times New Roman"/>
          <w:i/>
          <w:iCs/>
          <w:sz w:val="24"/>
          <w:szCs w:val="24"/>
        </w:rPr>
        <w:t>5</w:t>
      </w:r>
      <w:r w:rsidRPr="004D199E">
        <w:rPr>
          <w:rFonts w:ascii="Times New Roman" w:hAnsi="Times New Roman" w:cs="Times New Roman"/>
          <w:sz w:val="24"/>
          <w:szCs w:val="24"/>
        </w:rPr>
        <w:t>(9), 305-310.</w:t>
      </w:r>
    </w:p>
    <w:p w14:paraId="7A26ECBD" w14:textId="3FE18470" w:rsidR="0031742E" w:rsidRPr="00D72AD2" w:rsidRDefault="0031742E" w:rsidP="00D72AD2">
      <w:pPr>
        <w:numPr>
          <w:ilvl w:val="0"/>
          <w:numId w:val="4"/>
        </w:numPr>
        <w:jc w:val="both"/>
        <w:rPr>
          <w:rFonts w:ascii="Times New Roman" w:hAnsi="Times New Roman" w:cs="Times New Roman"/>
          <w:sz w:val="24"/>
          <w:szCs w:val="24"/>
        </w:rPr>
      </w:pPr>
      <w:r w:rsidRPr="00DF3545">
        <w:rPr>
          <w:rFonts w:ascii="Times New Roman" w:hAnsi="Times New Roman" w:cs="Times New Roman"/>
          <w:sz w:val="24"/>
          <w:szCs w:val="24"/>
          <w:lang w:val="fi-FI"/>
        </w:rPr>
        <w:t xml:space="preserve">Shankar, G., Verma, L. P., &amp; Singh, R. (2002). </w:t>
      </w:r>
      <w:r w:rsidRPr="0031742E">
        <w:rPr>
          <w:rFonts w:ascii="Times New Roman" w:hAnsi="Times New Roman" w:cs="Times New Roman"/>
          <w:sz w:val="24"/>
          <w:szCs w:val="24"/>
        </w:rPr>
        <w:t>Effect of integrated nutrient management on yield and quality of Indian mustard (</w:t>
      </w:r>
      <w:r w:rsidRPr="0031742E">
        <w:rPr>
          <w:rFonts w:ascii="Times New Roman" w:hAnsi="Times New Roman" w:cs="Times New Roman"/>
          <w:i/>
          <w:iCs/>
          <w:sz w:val="24"/>
          <w:szCs w:val="24"/>
        </w:rPr>
        <w:t>Brassica juncea</w:t>
      </w:r>
      <w:r w:rsidRPr="0031742E">
        <w:rPr>
          <w:rFonts w:ascii="Times New Roman" w:hAnsi="Times New Roman" w:cs="Times New Roman"/>
          <w:sz w:val="24"/>
          <w:szCs w:val="24"/>
        </w:rPr>
        <w:t>) and properties of soil. </w:t>
      </w:r>
      <w:r w:rsidRPr="0031742E">
        <w:rPr>
          <w:rFonts w:ascii="Times New Roman" w:hAnsi="Times New Roman" w:cs="Times New Roman"/>
          <w:i/>
          <w:iCs/>
          <w:sz w:val="24"/>
          <w:szCs w:val="24"/>
        </w:rPr>
        <w:t>The Indian Journal of Agricultural Sciences</w:t>
      </w:r>
      <w:r w:rsidRPr="0031742E">
        <w:rPr>
          <w:rFonts w:ascii="Times New Roman" w:hAnsi="Times New Roman" w:cs="Times New Roman"/>
          <w:sz w:val="24"/>
          <w:szCs w:val="24"/>
        </w:rPr>
        <w:t>, </w:t>
      </w:r>
      <w:r w:rsidRPr="0031742E">
        <w:rPr>
          <w:rFonts w:ascii="Times New Roman" w:hAnsi="Times New Roman" w:cs="Times New Roman"/>
          <w:i/>
          <w:iCs/>
          <w:sz w:val="24"/>
          <w:szCs w:val="24"/>
        </w:rPr>
        <w:t>72</w:t>
      </w:r>
      <w:r w:rsidRPr="0031742E">
        <w:rPr>
          <w:rFonts w:ascii="Times New Roman" w:hAnsi="Times New Roman" w:cs="Times New Roman"/>
          <w:sz w:val="24"/>
          <w:szCs w:val="24"/>
        </w:rPr>
        <w:t>(9).</w:t>
      </w:r>
    </w:p>
    <w:p w14:paraId="5C59E1D7" w14:textId="77777777" w:rsidR="003E2278" w:rsidRDefault="003E2278" w:rsidP="00D72AD2">
      <w:pPr>
        <w:numPr>
          <w:ilvl w:val="0"/>
          <w:numId w:val="4"/>
        </w:numPr>
        <w:jc w:val="both"/>
        <w:rPr>
          <w:rFonts w:ascii="Times New Roman" w:hAnsi="Times New Roman" w:cs="Times New Roman"/>
          <w:sz w:val="24"/>
          <w:szCs w:val="24"/>
        </w:rPr>
      </w:pPr>
      <w:r w:rsidRPr="003E2278">
        <w:rPr>
          <w:rFonts w:ascii="Times New Roman" w:hAnsi="Times New Roman" w:cs="Times New Roman"/>
          <w:sz w:val="24"/>
          <w:szCs w:val="24"/>
        </w:rPr>
        <w:t>Subbiah, B. V., &amp; Asija, G. L. (1956). A rapid procedure for the estimation of available nitrogen in soils.</w:t>
      </w:r>
    </w:p>
    <w:p w14:paraId="4BE9FDE0" w14:textId="118FFFED" w:rsidR="0031742E" w:rsidRDefault="0031742E" w:rsidP="00D72AD2">
      <w:pPr>
        <w:numPr>
          <w:ilvl w:val="0"/>
          <w:numId w:val="4"/>
        </w:numPr>
        <w:jc w:val="both"/>
        <w:rPr>
          <w:rFonts w:ascii="Times New Roman" w:hAnsi="Times New Roman" w:cs="Times New Roman"/>
          <w:sz w:val="24"/>
          <w:szCs w:val="24"/>
        </w:rPr>
      </w:pPr>
      <w:r w:rsidRPr="0031742E">
        <w:rPr>
          <w:rFonts w:ascii="Times New Roman" w:hAnsi="Times New Roman" w:cs="Times New Roman"/>
          <w:sz w:val="24"/>
          <w:szCs w:val="24"/>
        </w:rPr>
        <w:t>Tripathi, M. K., Chaturvedi, S., Shukla, D. K., &amp; Saini, S. K. (2011). Influence of integrated nutrient management on growth, yield and quality of Indian mustard (</w:t>
      </w:r>
      <w:r w:rsidRPr="0031742E">
        <w:rPr>
          <w:rFonts w:ascii="Times New Roman" w:hAnsi="Times New Roman" w:cs="Times New Roman"/>
          <w:i/>
          <w:iCs/>
          <w:sz w:val="24"/>
          <w:szCs w:val="24"/>
        </w:rPr>
        <w:t>Brassica juncea</w:t>
      </w:r>
      <w:r w:rsidRPr="0031742E">
        <w:rPr>
          <w:rFonts w:ascii="Times New Roman" w:hAnsi="Times New Roman" w:cs="Times New Roman"/>
          <w:sz w:val="24"/>
          <w:szCs w:val="24"/>
        </w:rPr>
        <w:t xml:space="preserve"> L.) in tarai region of northern India. </w:t>
      </w:r>
      <w:r w:rsidRPr="0031742E">
        <w:rPr>
          <w:rFonts w:ascii="Times New Roman" w:hAnsi="Times New Roman" w:cs="Times New Roman"/>
          <w:i/>
          <w:iCs/>
          <w:sz w:val="24"/>
          <w:szCs w:val="24"/>
        </w:rPr>
        <w:t>Journal of crop and weed</w:t>
      </w:r>
      <w:r w:rsidRPr="0031742E">
        <w:rPr>
          <w:rFonts w:ascii="Times New Roman" w:hAnsi="Times New Roman" w:cs="Times New Roman"/>
          <w:sz w:val="24"/>
          <w:szCs w:val="24"/>
        </w:rPr>
        <w:t>, </w:t>
      </w:r>
      <w:r w:rsidRPr="0031742E">
        <w:rPr>
          <w:rFonts w:ascii="Times New Roman" w:hAnsi="Times New Roman" w:cs="Times New Roman"/>
          <w:i/>
          <w:iCs/>
          <w:sz w:val="24"/>
          <w:szCs w:val="24"/>
        </w:rPr>
        <w:t>7</w:t>
      </w:r>
      <w:r w:rsidRPr="0031742E">
        <w:rPr>
          <w:rFonts w:ascii="Times New Roman" w:hAnsi="Times New Roman" w:cs="Times New Roman"/>
          <w:sz w:val="24"/>
          <w:szCs w:val="24"/>
        </w:rPr>
        <w:t>(2), 104-107.</w:t>
      </w:r>
    </w:p>
    <w:p w14:paraId="244711A8" w14:textId="72915154" w:rsidR="00C17E20" w:rsidRPr="00C17E20" w:rsidRDefault="00C17E20" w:rsidP="00D72AD2">
      <w:pPr>
        <w:numPr>
          <w:ilvl w:val="0"/>
          <w:numId w:val="4"/>
        </w:numPr>
        <w:jc w:val="both"/>
        <w:rPr>
          <w:rFonts w:ascii="Times New Roman" w:hAnsi="Times New Roman" w:cs="Times New Roman"/>
          <w:sz w:val="24"/>
          <w:szCs w:val="24"/>
        </w:rPr>
      </w:pPr>
      <w:r w:rsidRPr="00C17E20">
        <w:rPr>
          <w:rFonts w:ascii="Times New Roman" w:hAnsi="Times New Roman" w:cs="Times New Roman"/>
          <w:sz w:val="24"/>
          <w:szCs w:val="24"/>
        </w:rPr>
        <w:t xml:space="preserve">Walkley, A., &amp; Black, I. A. (1934). An examination of the Degtjareff method for determining soil organic matter and a proposed modification of the chromic acid titration method. </w:t>
      </w:r>
      <w:r w:rsidRPr="00C17E20">
        <w:rPr>
          <w:rFonts w:ascii="Times New Roman" w:hAnsi="Times New Roman" w:cs="Times New Roman"/>
          <w:i/>
          <w:iCs/>
          <w:sz w:val="24"/>
          <w:szCs w:val="24"/>
        </w:rPr>
        <w:t>Soil Science</w:t>
      </w:r>
      <w:r w:rsidRPr="00C17E20">
        <w:rPr>
          <w:rFonts w:ascii="Times New Roman" w:hAnsi="Times New Roman" w:cs="Times New Roman"/>
          <w:sz w:val="24"/>
          <w:szCs w:val="24"/>
        </w:rPr>
        <w:t xml:space="preserve">, 37(1), 29–38. </w:t>
      </w:r>
    </w:p>
    <w:p w14:paraId="5A96AFAF" w14:textId="77777777" w:rsidR="00C17E20" w:rsidRPr="00D72AD2" w:rsidRDefault="00C17E20" w:rsidP="00C17E20">
      <w:pPr>
        <w:jc w:val="both"/>
        <w:rPr>
          <w:rFonts w:ascii="Times New Roman" w:hAnsi="Times New Roman" w:cs="Times New Roman"/>
          <w:sz w:val="24"/>
          <w:szCs w:val="24"/>
        </w:rPr>
      </w:pPr>
    </w:p>
    <w:p w14:paraId="53A6A40E" w14:textId="77777777" w:rsidR="003E1666" w:rsidRDefault="003E1666" w:rsidP="0030109D">
      <w:pPr>
        <w:jc w:val="both"/>
        <w:rPr>
          <w:rFonts w:ascii="Times New Roman" w:hAnsi="Times New Roman" w:cs="Times New Roman"/>
          <w:b/>
          <w:bCs/>
          <w:sz w:val="24"/>
          <w:szCs w:val="24"/>
        </w:rPr>
      </w:pPr>
    </w:p>
    <w:p w14:paraId="37051453" w14:textId="77777777" w:rsidR="003E1666" w:rsidRDefault="003E1666" w:rsidP="0030109D">
      <w:pPr>
        <w:jc w:val="both"/>
        <w:rPr>
          <w:rFonts w:ascii="Times New Roman" w:hAnsi="Times New Roman" w:cs="Times New Roman"/>
          <w:b/>
          <w:bCs/>
          <w:sz w:val="24"/>
          <w:szCs w:val="24"/>
        </w:rPr>
      </w:pPr>
    </w:p>
    <w:p w14:paraId="1177EC47" w14:textId="77777777" w:rsidR="003E1666" w:rsidRDefault="003E1666" w:rsidP="0030109D">
      <w:pPr>
        <w:jc w:val="both"/>
        <w:rPr>
          <w:rFonts w:ascii="Times New Roman" w:hAnsi="Times New Roman" w:cs="Times New Roman"/>
          <w:b/>
          <w:bCs/>
          <w:sz w:val="24"/>
          <w:szCs w:val="24"/>
        </w:rPr>
      </w:pPr>
    </w:p>
    <w:p w14:paraId="40137664" w14:textId="77777777" w:rsidR="003E1666" w:rsidRDefault="003E1666" w:rsidP="0030109D">
      <w:pPr>
        <w:jc w:val="both"/>
        <w:rPr>
          <w:rFonts w:ascii="Times New Roman" w:hAnsi="Times New Roman" w:cs="Times New Roman"/>
          <w:b/>
          <w:bCs/>
          <w:sz w:val="24"/>
          <w:szCs w:val="24"/>
        </w:rPr>
      </w:pPr>
    </w:p>
    <w:p w14:paraId="0BAC64F9" w14:textId="0414EBA5" w:rsidR="0030109D" w:rsidRPr="00B81D4F" w:rsidRDefault="00B24E6A" w:rsidP="0030109D">
      <w:pPr>
        <w:jc w:val="both"/>
        <w:rPr>
          <w:rFonts w:ascii="Times New Roman" w:hAnsi="Times New Roman" w:cs="Times New Roman"/>
          <w:b/>
          <w:bCs/>
          <w:sz w:val="24"/>
          <w:szCs w:val="24"/>
        </w:rPr>
      </w:pPr>
      <w:r w:rsidRPr="00B81D4F">
        <w:rPr>
          <w:rFonts w:ascii="Times New Roman" w:hAnsi="Times New Roman" w:cs="Times New Roman"/>
          <w:b/>
          <w:bCs/>
          <w:sz w:val="24"/>
          <w:szCs w:val="24"/>
        </w:rPr>
        <w:t>Table 1: Effect of Integrated Nutrient Management on Soil Properties after Mustard Harvest</w:t>
      </w:r>
    </w:p>
    <w:tbl>
      <w:tblPr>
        <w:tblStyle w:val="TableGrid"/>
        <w:tblW w:w="5000" w:type="pct"/>
        <w:tblLook w:val="04A0" w:firstRow="1" w:lastRow="0" w:firstColumn="1" w:lastColumn="0" w:noHBand="0" w:noVBand="1"/>
      </w:tblPr>
      <w:tblGrid>
        <w:gridCol w:w="3785"/>
        <w:gridCol w:w="1338"/>
        <w:gridCol w:w="1325"/>
        <w:gridCol w:w="734"/>
        <w:gridCol w:w="1033"/>
        <w:gridCol w:w="801"/>
      </w:tblGrid>
      <w:tr w:rsidR="00B24E6A" w:rsidRPr="003B1B81" w14:paraId="6FB6725B" w14:textId="77777777" w:rsidTr="00B24E6A">
        <w:tc>
          <w:tcPr>
            <w:tcW w:w="2057" w:type="pct"/>
            <w:hideMark/>
          </w:tcPr>
          <w:p w14:paraId="1D5BA717"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Treatments</w:t>
            </w:r>
          </w:p>
        </w:tc>
        <w:tc>
          <w:tcPr>
            <w:tcW w:w="731" w:type="pct"/>
            <w:hideMark/>
          </w:tcPr>
          <w:p w14:paraId="6025EB21"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N (Kg/ha)</w:t>
            </w:r>
          </w:p>
        </w:tc>
        <w:tc>
          <w:tcPr>
            <w:tcW w:w="725" w:type="pct"/>
            <w:hideMark/>
          </w:tcPr>
          <w:p w14:paraId="29BA3FA9"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Available P (Kg/ha)</w:t>
            </w:r>
          </w:p>
        </w:tc>
        <w:tc>
          <w:tcPr>
            <w:tcW w:w="364" w:type="pct"/>
            <w:hideMark/>
          </w:tcPr>
          <w:p w14:paraId="6928F4B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pH</w:t>
            </w:r>
          </w:p>
        </w:tc>
        <w:tc>
          <w:tcPr>
            <w:tcW w:w="566" w:type="pct"/>
            <w:hideMark/>
          </w:tcPr>
          <w:p w14:paraId="6341AEEE"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E.C. (dS/m)</w:t>
            </w:r>
          </w:p>
        </w:tc>
        <w:tc>
          <w:tcPr>
            <w:tcW w:w="440" w:type="pct"/>
            <w:hideMark/>
          </w:tcPr>
          <w:p w14:paraId="69E0CA1C" w14:textId="77777777" w:rsidR="00B24E6A" w:rsidRPr="003B1B81" w:rsidRDefault="00B24E6A" w:rsidP="00B24E6A">
            <w:pPr>
              <w:spacing w:after="160" w:line="259" w:lineRule="auto"/>
              <w:jc w:val="both"/>
              <w:rPr>
                <w:rFonts w:ascii="Times New Roman" w:hAnsi="Times New Roman" w:cs="Times New Roman"/>
                <w:b/>
                <w:bCs/>
                <w:sz w:val="23"/>
                <w:szCs w:val="23"/>
              </w:rPr>
            </w:pPr>
            <w:r w:rsidRPr="003B1B81">
              <w:rPr>
                <w:rFonts w:ascii="Times New Roman" w:hAnsi="Times New Roman" w:cs="Times New Roman"/>
                <w:b/>
                <w:bCs/>
                <w:sz w:val="23"/>
                <w:szCs w:val="23"/>
              </w:rPr>
              <w:t>Soil O.C. (%)</w:t>
            </w:r>
          </w:p>
        </w:tc>
      </w:tr>
      <w:tr w:rsidR="00B24E6A" w:rsidRPr="003B1B81" w14:paraId="4DE74E31" w14:textId="77777777" w:rsidTr="00B24E6A">
        <w:tc>
          <w:tcPr>
            <w:tcW w:w="2057" w:type="pct"/>
            <w:hideMark/>
          </w:tcPr>
          <w:p w14:paraId="454DF34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T1 (100% RDF @ N:83.58g, P:75.12g, K:47.4g)</w:t>
            </w:r>
          </w:p>
        </w:tc>
        <w:tc>
          <w:tcPr>
            <w:tcW w:w="731" w:type="pct"/>
            <w:hideMark/>
          </w:tcPr>
          <w:p w14:paraId="5A7A21E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132.87</w:t>
            </w:r>
          </w:p>
        </w:tc>
        <w:tc>
          <w:tcPr>
            <w:tcW w:w="725" w:type="pct"/>
            <w:hideMark/>
          </w:tcPr>
          <w:p w14:paraId="1A72E56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10.30</w:t>
            </w:r>
          </w:p>
        </w:tc>
        <w:tc>
          <w:tcPr>
            <w:tcW w:w="364" w:type="pct"/>
            <w:hideMark/>
          </w:tcPr>
          <w:p w14:paraId="44D81F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7.73</w:t>
            </w:r>
          </w:p>
        </w:tc>
        <w:tc>
          <w:tcPr>
            <w:tcW w:w="566" w:type="pct"/>
            <w:hideMark/>
          </w:tcPr>
          <w:p w14:paraId="323F2A5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1.37</w:t>
            </w:r>
          </w:p>
        </w:tc>
        <w:tc>
          <w:tcPr>
            <w:tcW w:w="440" w:type="pct"/>
            <w:hideMark/>
          </w:tcPr>
          <w:p w14:paraId="3C48BF7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0.49</w:t>
            </w:r>
          </w:p>
        </w:tc>
      </w:tr>
      <w:tr w:rsidR="00B24E6A" w:rsidRPr="003B1B81" w14:paraId="33BA2889" w14:textId="77777777" w:rsidTr="00B24E6A">
        <w:tc>
          <w:tcPr>
            <w:tcW w:w="2057" w:type="pct"/>
            <w:hideMark/>
          </w:tcPr>
          <w:p w14:paraId="3DAF8C9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T2 (80% RDF @ N:69.65g, P:62.60g, K:32g + Vermicompost @9kg)</w:t>
            </w:r>
          </w:p>
        </w:tc>
        <w:tc>
          <w:tcPr>
            <w:tcW w:w="731" w:type="pct"/>
            <w:hideMark/>
          </w:tcPr>
          <w:p w14:paraId="12B127B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136.84</w:t>
            </w:r>
          </w:p>
        </w:tc>
        <w:tc>
          <w:tcPr>
            <w:tcW w:w="725" w:type="pct"/>
            <w:hideMark/>
          </w:tcPr>
          <w:p w14:paraId="314D6D6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12.37</w:t>
            </w:r>
          </w:p>
        </w:tc>
        <w:tc>
          <w:tcPr>
            <w:tcW w:w="364" w:type="pct"/>
            <w:hideMark/>
          </w:tcPr>
          <w:p w14:paraId="026BA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7.47</w:t>
            </w:r>
          </w:p>
        </w:tc>
        <w:tc>
          <w:tcPr>
            <w:tcW w:w="566" w:type="pct"/>
            <w:hideMark/>
          </w:tcPr>
          <w:p w14:paraId="782C8D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1.47</w:t>
            </w:r>
          </w:p>
        </w:tc>
        <w:tc>
          <w:tcPr>
            <w:tcW w:w="440" w:type="pct"/>
            <w:hideMark/>
          </w:tcPr>
          <w:p w14:paraId="604E37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0.60</w:t>
            </w:r>
          </w:p>
        </w:tc>
      </w:tr>
      <w:tr w:rsidR="00B24E6A" w:rsidRPr="003B1B81" w14:paraId="70DEB204" w14:textId="77777777" w:rsidTr="00B24E6A">
        <w:tc>
          <w:tcPr>
            <w:tcW w:w="2057" w:type="pct"/>
            <w:hideMark/>
          </w:tcPr>
          <w:p w14:paraId="07B1D6F5" w14:textId="075FE30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T3 (80% RDF @ N:69.65g, P:62.60g, K:32g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r w:rsidRPr="003B1B81">
              <w:rPr>
                <w:sz w:val="23"/>
                <w:szCs w:val="23"/>
              </w:rPr>
              <w:t>)</w:t>
            </w:r>
          </w:p>
        </w:tc>
        <w:tc>
          <w:tcPr>
            <w:tcW w:w="731" w:type="pct"/>
            <w:hideMark/>
          </w:tcPr>
          <w:p w14:paraId="4C90178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153.83</w:t>
            </w:r>
          </w:p>
        </w:tc>
        <w:tc>
          <w:tcPr>
            <w:tcW w:w="725" w:type="pct"/>
            <w:hideMark/>
          </w:tcPr>
          <w:p w14:paraId="4EE4259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14.63</w:t>
            </w:r>
          </w:p>
        </w:tc>
        <w:tc>
          <w:tcPr>
            <w:tcW w:w="364" w:type="pct"/>
            <w:hideMark/>
          </w:tcPr>
          <w:p w14:paraId="2182A92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7.45</w:t>
            </w:r>
          </w:p>
        </w:tc>
        <w:tc>
          <w:tcPr>
            <w:tcW w:w="566" w:type="pct"/>
            <w:hideMark/>
          </w:tcPr>
          <w:p w14:paraId="2CA050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1D30B6B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5F09725F" w14:textId="77777777" w:rsidTr="00B24E6A">
        <w:tc>
          <w:tcPr>
            <w:tcW w:w="2057" w:type="pct"/>
            <w:hideMark/>
          </w:tcPr>
          <w:p w14:paraId="2A60495A" w14:textId="58028C1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lastRenderedPageBreak/>
              <w:t>T4 (80% RDF + Vermicompost @9kg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4AEACBF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165.10</w:t>
            </w:r>
          </w:p>
        </w:tc>
        <w:tc>
          <w:tcPr>
            <w:tcW w:w="725" w:type="pct"/>
            <w:hideMark/>
          </w:tcPr>
          <w:p w14:paraId="2C9F03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15.43</w:t>
            </w:r>
          </w:p>
        </w:tc>
        <w:tc>
          <w:tcPr>
            <w:tcW w:w="364" w:type="pct"/>
            <w:hideMark/>
          </w:tcPr>
          <w:p w14:paraId="6B50072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7.39</w:t>
            </w:r>
          </w:p>
        </w:tc>
        <w:tc>
          <w:tcPr>
            <w:tcW w:w="566" w:type="pct"/>
            <w:hideMark/>
          </w:tcPr>
          <w:p w14:paraId="7830631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1.35</w:t>
            </w:r>
          </w:p>
        </w:tc>
        <w:tc>
          <w:tcPr>
            <w:tcW w:w="440" w:type="pct"/>
            <w:hideMark/>
          </w:tcPr>
          <w:p w14:paraId="7356AB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1.11</w:t>
            </w:r>
          </w:p>
        </w:tc>
      </w:tr>
      <w:tr w:rsidR="00B24E6A" w:rsidRPr="003B1B81" w14:paraId="4B18C1B7" w14:textId="77777777" w:rsidTr="00B24E6A">
        <w:tc>
          <w:tcPr>
            <w:tcW w:w="2057" w:type="pct"/>
            <w:hideMark/>
          </w:tcPr>
          <w:p w14:paraId="0875887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T5 (60% RDF @ N:52.24g, P:46.95g, K:24g + Vermicompost @10.8kg)</w:t>
            </w:r>
          </w:p>
        </w:tc>
        <w:tc>
          <w:tcPr>
            <w:tcW w:w="731" w:type="pct"/>
            <w:hideMark/>
          </w:tcPr>
          <w:p w14:paraId="2000406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141.23</w:t>
            </w:r>
          </w:p>
        </w:tc>
        <w:tc>
          <w:tcPr>
            <w:tcW w:w="725" w:type="pct"/>
            <w:hideMark/>
          </w:tcPr>
          <w:p w14:paraId="44B371B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11.38</w:t>
            </w:r>
          </w:p>
        </w:tc>
        <w:tc>
          <w:tcPr>
            <w:tcW w:w="364" w:type="pct"/>
            <w:hideMark/>
          </w:tcPr>
          <w:p w14:paraId="331EE34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7.40</w:t>
            </w:r>
          </w:p>
        </w:tc>
        <w:tc>
          <w:tcPr>
            <w:tcW w:w="566" w:type="pct"/>
            <w:hideMark/>
          </w:tcPr>
          <w:p w14:paraId="43012A0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1.36</w:t>
            </w:r>
          </w:p>
        </w:tc>
        <w:tc>
          <w:tcPr>
            <w:tcW w:w="440" w:type="pct"/>
            <w:hideMark/>
          </w:tcPr>
          <w:p w14:paraId="1EB61A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0.81</w:t>
            </w:r>
          </w:p>
        </w:tc>
      </w:tr>
      <w:tr w:rsidR="00B24E6A" w:rsidRPr="003B1B81" w14:paraId="5C293244" w14:textId="77777777" w:rsidTr="00B24E6A">
        <w:tc>
          <w:tcPr>
            <w:tcW w:w="2057" w:type="pct"/>
            <w:hideMark/>
          </w:tcPr>
          <w:p w14:paraId="0FCC6E7D" w14:textId="4EC8881D"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T6 (60% RDF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30B75F3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146.41</w:t>
            </w:r>
          </w:p>
        </w:tc>
        <w:tc>
          <w:tcPr>
            <w:tcW w:w="725" w:type="pct"/>
            <w:hideMark/>
          </w:tcPr>
          <w:p w14:paraId="05CBB3F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11.83</w:t>
            </w:r>
          </w:p>
        </w:tc>
        <w:tc>
          <w:tcPr>
            <w:tcW w:w="364" w:type="pct"/>
            <w:hideMark/>
          </w:tcPr>
          <w:p w14:paraId="72C3EA6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7.64</w:t>
            </w:r>
          </w:p>
        </w:tc>
        <w:tc>
          <w:tcPr>
            <w:tcW w:w="566" w:type="pct"/>
            <w:hideMark/>
          </w:tcPr>
          <w:p w14:paraId="6104BC9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1.43</w:t>
            </w:r>
          </w:p>
        </w:tc>
        <w:tc>
          <w:tcPr>
            <w:tcW w:w="440" w:type="pct"/>
            <w:hideMark/>
          </w:tcPr>
          <w:p w14:paraId="0DC510F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0.50</w:t>
            </w:r>
          </w:p>
        </w:tc>
      </w:tr>
      <w:tr w:rsidR="00B24E6A" w:rsidRPr="003B1B81" w14:paraId="6A940F79" w14:textId="77777777" w:rsidTr="00B24E6A">
        <w:tc>
          <w:tcPr>
            <w:tcW w:w="2057" w:type="pct"/>
            <w:hideMark/>
          </w:tcPr>
          <w:p w14:paraId="337A46AD" w14:textId="5FA68F44"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T7 (60% RDF + Vermicompost @10.8kg +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74F62AD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144.40</w:t>
            </w:r>
          </w:p>
        </w:tc>
        <w:tc>
          <w:tcPr>
            <w:tcW w:w="725" w:type="pct"/>
            <w:hideMark/>
          </w:tcPr>
          <w:p w14:paraId="22D7868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12.56</w:t>
            </w:r>
          </w:p>
        </w:tc>
        <w:tc>
          <w:tcPr>
            <w:tcW w:w="364" w:type="pct"/>
            <w:hideMark/>
          </w:tcPr>
          <w:p w14:paraId="4151AB7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7.61</w:t>
            </w:r>
          </w:p>
        </w:tc>
        <w:tc>
          <w:tcPr>
            <w:tcW w:w="566" w:type="pct"/>
            <w:hideMark/>
          </w:tcPr>
          <w:p w14:paraId="752B985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1.46</w:t>
            </w:r>
          </w:p>
        </w:tc>
        <w:tc>
          <w:tcPr>
            <w:tcW w:w="440" w:type="pct"/>
            <w:hideMark/>
          </w:tcPr>
          <w:p w14:paraId="248056F1"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1.01</w:t>
            </w:r>
          </w:p>
        </w:tc>
      </w:tr>
      <w:tr w:rsidR="00B24E6A" w:rsidRPr="003B1B81" w14:paraId="2D969F98" w14:textId="77777777" w:rsidTr="00B24E6A">
        <w:tc>
          <w:tcPr>
            <w:tcW w:w="2057" w:type="pct"/>
            <w:hideMark/>
          </w:tcPr>
          <w:p w14:paraId="4D22907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T8 (100% Vermicompost @20kg)</w:t>
            </w:r>
          </w:p>
        </w:tc>
        <w:tc>
          <w:tcPr>
            <w:tcW w:w="731" w:type="pct"/>
            <w:hideMark/>
          </w:tcPr>
          <w:p w14:paraId="420BFFB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154.99</w:t>
            </w:r>
          </w:p>
        </w:tc>
        <w:tc>
          <w:tcPr>
            <w:tcW w:w="725" w:type="pct"/>
            <w:hideMark/>
          </w:tcPr>
          <w:p w14:paraId="615DDFF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13.14</w:t>
            </w:r>
          </w:p>
        </w:tc>
        <w:tc>
          <w:tcPr>
            <w:tcW w:w="364" w:type="pct"/>
            <w:hideMark/>
          </w:tcPr>
          <w:p w14:paraId="696570A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7.46</w:t>
            </w:r>
          </w:p>
        </w:tc>
        <w:tc>
          <w:tcPr>
            <w:tcW w:w="566" w:type="pct"/>
            <w:hideMark/>
          </w:tcPr>
          <w:p w14:paraId="739E93E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1.40</w:t>
            </w:r>
          </w:p>
        </w:tc>
        <w:tc>
          <w:tcPr>
            <w:tcW w:w="440" w:type="pct"/>
            <w:hideMark/>
          </w:tcPr>
          <w:p w14:paraId="259DB0D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0.85</w:t>
            </w:r>
          </w:p>
        </w:tc>
      </w:tr>
      <w:tr w:rsidR="00B24E6A" w:rsidRPr="003B1B81" w14:paraId="73F3A45B" w14:textId="77777777" w:rsidTr="00B24E6A">
        <w:tc>
          <w:tcPr>
            <w:tcW w:w="2057" w:type="pct"/>
            <w:hideMark/>
          </w:tcPr>
          <w:p w14:paraId="0675627D" w14:textId="241B63B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T9(100% Biofertilizer (</w:t>
            </w:r>
            <w:r w:rsidR="00A41B6C" w:rsidRPr="00A41B6C">
              <w:rPr>
                <w:rFonts w:ascii="Times New Roman" w:hAnsi="Times New Roman" w:cs="Times New Roman"/>
                <w:i/>
                <w:iCs/>
                <w:sz w:val="23"/>
                <w:szCs w:val="23"/>
              </w:rPr>
              <w:t>Azotobacter</w:t>
            </w:r>
            <w:r w:rsidRPr="003B1B81">
              <w:rPr>
                <w:rFonts w:ascii="Times New Roman" w:hAnsi="Times New Roman" w:cs="Times New Roman"/>
                <w:sz w:val="23"/>
                <w:szCs w:val="23"/>
              </w:rPr>
              <w:t>+ PSB@500 ml/kg Seed)</w:t>
            </w:r>
          </w:p>
        </w:tc>
        <w:tc>
          <w:tcPr>
            <w:tcW w:w="731" w:type="pct"/>
            <w:hideMark/>
          </w:tcPr>
          <w:p w14:paraId="605007D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129.90</w:t>
            </w:r>
          </w:p>
        </w:tc>
        <w:tc>
          <w:tcPr>
            <w:tcW w:w="725" w:type="pct"/>
            <w:hideMark/>
          </w:tcPr>
          <w:p w14:paraId="79497FF2"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9.69</w:t>
            </w:r>
          </w:p>
        </w:tc>
        <w:tc>
          <w:tcPr>
            <w:tcW w:w="364" w:type="pct"/>
            <w:hideMark/>
          </w:tcPr>
          <w:p w14:paraId="13BE53A3"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7.54</w:t>
            </w:r>
          </w:p>
        </w:tc>
        <w:tc>
          <w:tcPr>
            <w:tcW w:w="566" w:type="pct"/>
            <w:hideMark/>
          </w:tcPr>
          <w:p w14:paraId="079B5D4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1.55</w:t>
            </w:r>
          </w:p>
        </w:tc>
        <w:tc>
          <w:tcPr>
            <w:tcW w:w="440" w:type="pct"/>
            <w:hideMark/>
          </w:tcPr>
          <w:p w14:paraId="6E55FDB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0.56</w:t>
            </w:r>
          </w:p>
        </w:tc>
      </w:tr>
      <w:tr w:rsidR="00B24E6A" w:rsidRPr="003B1B81" w14:paraId="62E3E3F8" w14:textId="77777777" w:rsidTr="00B24E6A">
        <w:tc>
          <w:tcPr>
            <w:tcW w:w="2057" w:type="pct"/>
            <w:hideMark/>
          </w:tcPr>
          <w:p w14:paraId="64F52487"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C.D. (P=0.05)</w:t>
            </w:r>
          </w:p>
        </w:tc>
        <w:tc>
          <w:tcPr>
            <w:tcW w:w="731" w:type="pct"/>
            <w:hideMark/>
          </w:tcPr>
          <w:p w14:paraId="2B87376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1.67</w:t>
            </w:r>
          </w:p>
        </w:tc>
        <w:tc>
          <w:tcPr>
            <w:tcW w:w="725" w:type="pct"/>
            <w:hideMark/>
          </w:tcPr>
          <w:p w14:paraId="7D65DEA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0.41</w:t>
            </w:r>
          </w:p>
        </w:tc>
        <w:tc>
          <w:tcPr>
            <w:tcW w:w="364" w:type="pct"/>
            <w:hideMark/>
          </w:tcPr>
          <w:p w14:paraId="481CBF1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0.141</w:t>
            </w:r>
          </w:p>
        </w:tc>
        <w:tc>
          <w:tcPr>
            <w:tcW w:w="566" w:type="pct"/>
            <w:hideMark/>
          </w:tcPr>
          <w:p w14:paraId="11DC5F6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N/A</w:t>
            </w:r>
          </w:p>
        </w:tc>
        <w:tc>
          <w:tcPr>
            <w:tcW w:w="440" w:type="pct"/>
            <w:hideMark/>
          </w:tcPr>
          <w:p w14:paraId="4E45B2A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w:t>
            </w:r>
          </w:p>
        </w:tc>
      </w:tr>
      <w:tr w:rsidR="00B24E6A" w:rsidRPr="003B1B81" w14:paraId="58752E41" w14:textId="77777777" w:rsidTr="00B24E6A">
        <w:tc>
          <w:tcPr>
            <w:tcW w:w="2057" w:type="pct"/>
            <w:hideMark/>
          </w:tcPr>
          <w:p w14:paraId="5BAD947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SE(m)</w:t>
            </w:r>
          </w:p>
        </w:tc>
        <w:tc>
          <w:tcPr>
            <w:tcW w:w="731" w:type="pct"/>
            <w:hideMark/>
          </w:tcPr>
          <w:p w14:paraId="2D26286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0.55</w:t>
            </w:r>
          </w:p>
        </w:tc>
        <w:tc>
          <w:tcPr>
            <w:tcW w:w="725" w:type="pct"/>
            <w:hideMark/>
          </w:tcPr>
          <w:p w14:paraId="2BE892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0.14</w:t>
            </w:r>
          </w:p>
        </w:tc>
        <w:tc>
          <w:tcPr>
            <w:tcW w:w="364" w:type="pct"/>
            <w:hideMark/>
          </w:tcPr>
          <w:p w14:paraId="143F2F6A"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0.047</w:t>
            </w:r>
          </w:p>
        </w:tc>
        <w:tc>
          <w:tcPr>
            <w:tcW w:w="566" w:type="pct"/>
            <w:hideMark/>
          </w:tcPr>
          <w:p w14:paraId="570AB5A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0.07</w:t>
            </w:r>
          </w:p>
        </w:tc>
        <w:tc>
          <w:tcPr>
            <w:tcW w:w="440" w:type="pct"/>
            <w:hideMark/>
          </w:tcPr>
          <w:p w14:paraId="50E7675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0.02</w:t>
            </w:r>
          </w:p>
        </w:tc>
      </w:tr>
      <w:tr w:rsidR="00B24E6A" w:rsidRPr="003B1B81" w14:paraId="4A967411" w14:textId="77777777" w:rsidTr="00B24E6A">
        <w:tc>
          <w:tcPr>
            <w:tcW w:w="2057" w:type="pct"/>
            <w:hideMark/>
          </w:tcPr>
          <w:p w14:paraId="227C5ACB"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SE(d)</w:t>
            </w:r>
          </w:p>
        </w:tc>
        <w:tc>
          <w:tcPr>
            <w:tcW w:w="731" w:type="pct"/>
            <w:hideMark/>
          </w:tcPr>
          <w:p w14:paraId="17B3D5CC"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0.78</w:t>
            </w:r>
          </w:p>
        </w:tc>
        <w:tc>
          <w:tcPr>
            <w:tcW w:w="725" w:type="pct"/>
            <w:hideMark/>
          </w:tcPr>
          <w:p w14:paraId="691DA17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0.19</w:t>
            </w:r>
          </w:p>
        </w:tc>
        <w:tc>
          <w:tcPr>
            <w:tcW w:w="364" w:type="pct"/>
            <w:hideMark/>
          </w:tcPr>
          <w:p w14:paraId="30C922F6"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0.066</w:t>
            </w:r>
          </w:p>
        </w:tc>
        <w:tc>
          <w:tcPr>
            <w:tcW w:w="566" w:type="pct"/>
            <w:hideMark/>
          </w:tcPr>
          <w:p w14:paraId="2F4EF615"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0.10</w:t>
            </w:r>
          </w:p>
        </w:tc>
        <w:tc>
          <w:tcPr>
            <w:tcW w:w="440" w:type="pct"/>
            <w:hideMark/>
          </w:tcPr>
          <w:p w14:paraId="03435EBF"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0.03</w:t>
            </w:r>
          </w:p>
        </w:tc>
      </w:tr>
      <w:tr w:rsidR="00B24E6A" w:rsidRPr="003B1B81" w14:paraId="49CB4BBC" w14:textId="77777777" w:rsidTr="00B24E6A">
        <w:tc>
          <w:tcPr>
            <w:tcW w:w="2057" w:type="pct"/>
            <w:hideMark/>
          </w:tcPr>
          <w:p w14:paraId="08EF903D"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b/>
                <w:bCs/>
                <w:sz w:val="23"/>
                <w:szCs w:val="23"/>
              </w:rPr>
              <w:t>C.V. (%)</w:t>
            </w:r>
          </w:p>
        </w:tc>
        <w:tc>
          <w:tcPr>
            <w:tcW w:w="731" w:type="pct"/>
            <w:hideMark/>
          </w:tcPr>
          <w:p w14:paraId="697D3964"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0.66</w:t>
            </w:r>
          </w:p>
        </w:tc>
        <w:tc>
          <w:tcPr>
            <w:tcW w:w="725" w:type="pct"/>
            <w:hideMark/>
          </w:tcPr>
          <w:p w14:paraId="040FAB3E"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1.90</w:t>
            </w:r>
          </w:p>
        </w:tc>
        <w:tc>
          <w:tcPr>
            <w:tcW w:w="364" w:type="pct"/>
            <w:hideMark/>
          </w:tcPr>
          <w:p w14:paraId="68290AF0"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1.071</w:t>
            </w:r>
          </w:p>
        </w:tc>
        <w:tc>
          <w:tcPr>
            <w:tcW w:w="566" w:type="pct"/>
            <w:hideMark/>
          </w:tcPr>
          <w:p w14:paraId="099599D8"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8.55</w:t>
            </w:r>
          </w:p>
        </w:tc>
        <w:tc>
          <w:tcPr>
            <w:tcW w:w="440" w:type="pct"/>
            <w:hideMark/>
          </w:tcPr>
          <w:p w14:paraId="4B3BA239" w14:textId="77777777" w:rsidR="00B24E6A" w:rsidRPr="003B1B81" w:rsidRDefault="00B24E6A" w:rsidP="00B24E6A">
            <w:pPr>
              <w:spacing w:after="160" w:line="259" w:lineRule="auto"/>
              <w:jc w:val="both"/>
              <w:rPr>
                <w:rFonts w:ascii="Times New Roman" w:hAnsi="Times New Roman" w:cs="Times New Roman"/>
                <w:sz w:val="23"/>
                <w:szCs w:val="23"/>
              </w:rPr>
            </w:pPr>
            <w:r w:rsidRPr="003B1B81">
              <w:rPr>
                <w:rFonts w:ascii="Times New Roman" w:hAnsi="Times New Roman" w:cs="Times New Roman"/>
                <w:sz w:val="23"/>
                <w:szCs w:val="23"/>
              </w:rPr>
              <w:t>5.16</w:t>
            </w:r>
          </w:p>
        </w:tc>
      </w:tr>
    </w:tbl>
    <w:p w14:paraId="563C0358" w14:textId="77777777" w:rsidR="00B81D4F" w:rsidRDefault="00B81D4F" w:rsidP="0030109D">
      <w:pPr>
        <w:jc w:val="both"/>
        <w:rPr>
          <w:rFonts w:ascii="Times New Roman" w:hAnsi="Times New Roman" w:cs="Times New Roman"/>
          <w:sz w:val="24"/>
          <w:szCs w:val="24"/>
        </w:rPr>
      </w:pPr>
    </w:p>
    <w:p w14:paraId="141556CD" w14:textId="77777777" w:rsidR="00B81D4F" w:rsidRDefault="00B81D4F" w:rsidP="0030109D">
      <w:pPr>
        <w:jc w:val="both"/>
        <w:rPr>
          <w:rFonts w:ascii="Times New Roman" w:hAnsi="Times New Roman" w:cs="Times New Roman"/>
          <w:sz w:val="24"/>
          <w:szCs w:val="24"/>
        </w:rPr>
      </w:pPr>
    </w:p>
    <w:p w14:paraId="1884CE2A" w14:textId="77777777" w:rsidR="003E1666" w:rsidRDefault="003E1666" w:rsidP="0030109D">
      <w:pPr>
        <w:jc w:val="both"/>
        <w:rPr>
          <w:rFonts w:ascii="Times New Roman" w:hAnsi="Times New Roman" w:cs="Times New Roman"/>
          <w:b/>
          <w:bCs/>
          <w:sz w:val="24"/>
          <w:szCs w:val="24"/>
        </w:rPr>
      </w:pPr>
    </w:p>
    <w:p w14:paraId="4010E521" w14:textId="77777777" w:rsidR="003E1666" w:rsidRDefault="003E1666" w:rsidP="0030109D">
      <w:pPr>
        <w:jc w:val="both"/>
        <w:rPr>
          <w:rFonts w:ascii="Times New Roman" w:hAnsi="Times New Roman" w:cs="Times New Roman"/>
          <w:b/>
          <w:bCs/>
          <w:sz w:val="24"/>
          <w:szCs w:val="24"/>
        </w:rPr>
      </w:pPr>
    </w:p>
    <w:p w14:paraId="353CCCA6" w14:textId="77777777" w:rsidR="003E1666" w:rsidRDefault="003E1666" w:rsidP="0030109D">
      <w:pPr>
        <w:jc w:val="both"/>
        <w:rPr>
          <w:rFonts w:ascii="Times New Roman" w:hAnsi="Times New Roman" w:cs="Times New Roman"/>
          <w:b/>
          <w:bCs/>
          <w:sz w:val="24"/>
          <w:szCs w:val="24"/>
        </w:rPr>
      </w:pPr>
    </w:p>
    <w:p w14:paraId="7079AC20" w14:textId="77777777" w:rsidR="003E1666" w:rsidRDefault="003E1666" w:rsidP="0030109D">
      <w:pPr>
        <w:jc w:val="both"/>
        <w:rPr>
          <w:rFonts w:ascii="Times New Roman" w:hAnsi="Times New Roman" w:cs="Times New Roman"/>
          <w:b/>
          <w:bCs/>
          <w:sz w:val="24"/>
          <w:szCs w:val="24"/>
        </w:rPr>
      </w:pPr>
    </w:p>
    <w:tbl>
      <w:tblPr>
        <w:tblpPr w:leftFromText="180" w:rightFromText="180" w:vertAnchor="text" w:horzAnchor="margin" w:tblpY="721"/>
        <w:tblW w:w="95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45"/>
        <w:gridCol w:w="2022"/>
        <w:gridCol w:w="1213"/>
        <w:gridCol w:w="1298"/>
        <w:gridCol w:w="976"/>
      </w:tblGrid>
      <w:tr w:rsidR="003E1666" w:rsidRPr="003E1666" w14:paraId="63CB1DF6" w14:textId="77777777" w:rsidTr="003E1666">
        <w:trPr>
          <w:trHeight w:val="952"/>
        </w:trPr>
        <w:tc>
          <w:tcPr>
            <w:tcW w:w="4045" w:type="dxa"/>
          </w:tcPr>
          <w:p w14:paraId="54301843" w14:textId="77777777" w:rsidR="003E1666" w:rsidRPr="003E1666" w:rsidRDefault="003E1666" w:rsidP="003E1666">
            <w:pPr>
              <w:pStyle w:val="TableParagraph"/>
              <w:ind w:left="0"/>
              <w:rPr>
                <w:b/>
              </w:rPr>
            </w:pPr>
          </w:p>
          <w:p w14:paraId="541FB4D4" w14:textId="77777777" w:rsidR="003E1666" w:rsidRPr="003E1666" w:rsidRDefault="003E1666" w:rsidP="003E1666">
            <w:pPr>
              <w:pStyle w:val="TableParagraph"/>
              <w:spacing w:before="80"/>
              <w:ind w:left="0"/>
              <w:rPr>
                <w:b/>
              </w:rPr>
            </w:pPr>
          </w:p>
          <w:p w14:paraId="5F6917D5" w14:textId="77777777" w:rsidR="003E1666" w:rsidRPr="003E1666" w:rsidRDefault="003E1666" w:rsidP="003E1666">
            <w:pPr>
              <w:pStyle w:val="TableParagraph"/>
              <w:ind w:left="36" w:right="34"/>
              <w:jc w:val="center"/>
            </w:pPr>
            <w:r w:rsidRPr="003E1666">
              <w:rPr>
                <w:spacing w:val="-2"/>
              </w:rPr>
              <w:t>Treatments</w:t>
            </w:r>
          </w:p>
        </w:tc>
        <w:tc>
          <w:tcPr>
            <w:tcW w:w="2022" w:type="dxa"/>
          </w:tcPr>
          <w:p w14:paraId="5DC43905" w14:textId="77777777" w:rsidR="003E1666" w:rsidRPr="003E1666" w:rsidRDefault="003E1666" w:rsidP="003E1666">
            <w:pPr>
              <w:pStyle w:val="TableParagraph"/>
              <w:spacing w:before="5"/>
              <w:ind w:left="0"/>
              <w:rPr>
                <w:b/>
              </w:rPr>
            </w:pPr>
          </w:p>
          <w:p w14:paraId="4BCC4B35" w14:textId="77777777" w:rsidR="003E1666" w:rsidRPr="003E1666" w:rsidRDefault="003E1666" w:rsidP="003E1666">
            <w:pPr>
              <w:pStyle w:val="TableParagraph"/>
              <w:spacing w:line="310" w:lineRule="atLeast"/>
              <w:ind w:left="656" w:hanging="543"/>
            </w:pPr>
            <w:r w:rsidRPr="003E1666">
              <w:t>Cost</w:t>
            </w:r>
            <w:r w:rsidRPr="003E1666">
              <w:rPr>
                <w:spacing w:val="-15"/>
              </w:rPr>
              <w:t xml:space="preserve"> </w:t>
            </w:r>
            <w:r w:rsidRPr="003E1666">
              <w:t>of</w:t>
            </w:r>
            <w:r w:rsidRPr="003E1666">
              <w:rPr>
                <w:spacing w:val="-15"/>
              </w:rPr>
              <w:t xml:space="preserve"> </w:t>
            </w:r>
            <w:r w:rsidRPr="003E1666">
              <w:t xml:space="preserve">cultivation </w:t>
            </w:r>
            <w:r w:rsidRPr="003E1666">
              <w:rPr>
                <w:spacing w:val="-2"/>
              </w:rPr>
              <w:t>(Rs/ha)</w:t>
            </w:r>
          </w:p>
        </w:tc>
        <w:tc>
          <w:tcPr>
            <w:tcW w:w="1213" w:type="dxa"/>
          </w:tcPr>
          <w:p w14:paraId="776E1AA6" w14:textId="77777777" w:rsidR="003E1666" w:rsidRPr="003E1666" w:rsidRDefault="003E1666" w:rsidP="003E1666">
            <w:pPr>
              <w:pStyle w:val="TableParagraph"/>
              <w:spacing w:before="5"/>
              <w:ind w:left="0"/>
              <w:rPr>
                <w:b/>
              </w:rPr>
            </w:pPr>
          </w:p>
          <w:p w14:paraId="56014FCF" w14:textId="77777777" w:rsidR="003E1666" w:rsidRPr="003E1666" w:rsidRDefault="003E1666" w:rsidP="003E1666">
            <w:pPr>
              <w:pStyle w:val="TableParagraph"/>
              <w:spacing w:line="310" w:lineRule="atLeast"/>
              <w:ind w:left="250" w:right="105" w:hanging="137"/>
            </w:pPr>
            <w:r w:rsidRPr="003E1666">
              <w:t>Net</w:t>
            </w:r>
            <w:r w:rsidRPr="003E1666">
              <w:rPr>
                <w:spacing w:val="-15"/>
              </w:rPr>
              <w:t xml:space="preserve"> </w:t>
            </w:r>
            <w:r w:rsidRPr="003E1666">
              <w:t xml:space="preserve">return </w:t>
            </w:r>
            <w:r w:rsidRPr="003E1666">
              <w:rPr>
                <w:spacing w:val="-2"/>
              </w:rPr>
              <w:t>(Rs/ha)</w:t>
            </w:r>
          </w:p>
        </w:tc>
        <w:tc>
          <w:tcPr>
            <w:tcW w:w="1298" w:type="dxa"/>
          </w:tcPr>
          <w:p w14:paraId="0B5F9BA2" w14:textId="77777777" w:rsidR="003E1666" w:rsidRPr="003E1666" w:rsidRDefault="003E1666" w:rsidP="003E1666">
            <w:pPr>
              <w:pStyle w:val="TableParagraph"/>
              <w:spacing w:line="276" w:lineRule="auto"/>
              <w:ind w:left="358" w:right="348" w:firstLine="7"/>
            </w:pPr>
            <w:r w:rsidRPr="003E1666">
              <w:rPr>
                <w:spacing w:val="-2"/>
              </w:rPr>
              <w:t>Gross return</w:t>
            </w:r>
          </w:p>
          <w:p w14:paraId="6DE24AC0" w14:textId="77777777" w:rsidR="003E1666" w:rsidRPr="003E1666" w:rsidRDefault="003E1666" w:rsidP="003E1666">
            <w:pPr>
              <w:pStyle w:val="TableParagraph"/>
              <w:spacing w:line="275" w:lineRule="exact"/>
              <w:ind w:left="293"/>
            </w:pPr>
            <w:r w:rsidRPr="003E1666">
              <w:rPr>
                <w:spacing w:val="-2"/>
              </w:rPr>
              <w:t>(Rs/ha)</w:t>
            </w:r>
          </w:p>
        </w:tc>
        <w:tc>
          <w:tcPr>
            <w:tcW w:w="976" w:type="dxa"/>
          </w:tcPr>
          <w:p w14:paraId="1D5A8ABC" w14:textId="77777777" w:rsidR="003E1666" w:rsidRPr="003E1666" w:rsidRDefault="003E1666" w:rsidP="003E1666">
            <w:pPr>
              <w:pStyle w:val="TableParagraph"/>
              <w:spacing w:line="275" w:lineRule="exact"/>
              <w:ind w:left="288"/>
            </w:pPr>
            <w:r w:rsidRPr="003E1666">
              <w:rPr>
                <w:spacing w:val="-5"/>
              </w:rPr>
              <w:t>B:C</w:t>
            </w:r>
          </w:p>
          <w:p w14:paraId="3588FFD3" w14:textId="77777777" w:rsidR="003E1666" w:rsidRPr="003E1666" w:rsidRDefault="003E1666" w:rsidP="003E1666">
            <w:pPr>
              <w:pStyle w:val="TableParagraph"/>
              <w:spacing w:before="41"/>
              <w:ind w:left="262"/>
            </w:pPr>
            <w:r w:rsidRPr="003E1666">
              <w:rPr>
                <w:spacing w:val="-2"/>
              </w:rPr>
              <w:t>ratio</w:t>
            </w:r>
          </w:p>
        </w:tc>
      </w:tr>
      <w:tr w:rsidR="003E1666" w:rsidRPr="003E1666" w14:paraId="7AF55438" w14:textId="77777777" w:rsidTr="003E1666">
        <w:trPr>
          <w:trHeight w:val="633"/>
        </w:trPr>
        <w:tc>
          <w:tcPr>
            <w:tcW w:w="4045" w:type="dxa"/>
          </w:tcPr>
          <w:p w14:paraId="02495E2E" w14:textId="77777777" w:rsidR="003E1666" w:rsidRPr="003E1666" w:rsidRDefault="003E1666" w:rsidP="003E1666">
            <w:pPr>
              <w:pStyle w:val="TableParagraph"/>
              <w:spacing w:line="275" w:lineRule="exact"/>
              <w:ind w:left="36" w:right="31"/>
              <w:jc w:val="center"/>
            </w:pPr>
            <w:r w:rsidRPr="003E1666">
              <w:t>T1 (100%</w:t>
            </w:r>
            <w:r w:rsidRPr="003E1666">
              <w:rPr>
                <w:spacing w:val="-1"/>
              </w:rPr>
              <w:t xml:space="preserve"> </w:t>
            </w:r>
            <w:r w:rsidRPr="003E1666">
              <w:t>RDF</w:t>
            </w:r>
            <w:r w:rsidRPr="003E1666">
              <w:rPr>
                <w:spacing w:val="-2"/>
              </w:rPr>
              <w:t xml:space="preserve"> </w:t>
            </w:r>
            <w:r w:rsidRPr="003E1666">
              <w:t xml:space="preserve">@N:83.58g, </w:t>
            </w:r>
            <w:r w:rsidRPr="003E1666">
              <w:rPr>
                <w:spacing w:val="-2"/>
              </w:rPr>
              <w:t>P:75.12g,</w:t>
            </w:r>
          </w:p>
          <w:p w14:paraId="53AECF32" w14:textId="77777777" w:rsidR="003E1666" w:rsidRPr="003E1666" w:rsidRDefault="003E1666" w:rsidP="003E1666">
            <w:pPr>
              <w:pStyle w:val="TableParagraph"/>
              <w:spacing w:before="41"/>
              <w:ind w:left="36" w:right="30"/>
              <w:jc w:val="center"/>
            </w:pPr>
            <w:r w:rsidRPr="003E1666">
              <w:rPr>
                <w:spacing w:val="-2"/>
              </w:rPr>
              <w:t>K:47.4g)</w:t>
            </w:r>
          </w:p>
        </w:tc>
        <w:tc>
          <w:tcPr>
            <w:tcW w:w="2022" w:type="dxa"/>
          </w:tcPr>
          <w:p w14:paraId="744F8BC0" w14:textId="77777777" w:rsidR="003E1666" w:rsidRPr="003E1666" w:rsidRDefault="003E1666" w:rsidP="003E1666">
            <w:pPr>
              <w:pStyle w:val="TableParagraph"/>
              <w:spacing w:before="157"/>
              <w:ind w:left="7"/>
              <w:jc w:val="center"/>
            </w:pPr>
            <w:r w:rsidRPr="003E1666">
              <w:rPr>
                <w:spacing w:val="-2"/>
              </w:rPr>
              <w:t>33784</w:t>
            </w:r>
          </w:p>
        </w:tc>
        <w:tc>
          <w:tcPr>
            <w:tcW w:w="1213" w:type="dxa"/>
          </w:tcPr>
          <w:p w14:paraId="2AB14CBF" w14:textId="77777777" w:rsidR="003E1666" w:rsidRPr="003E1666" w:rsidRDefault="003E1666" w:rsidP="003E1666">
            <w:pPr>
              <w:pStyle w:val="TableParagraph"/>
              <w:spacing w:before="39"/>
              <w:ind w:left="0"/>
              <w:rPr>
                <w:b/>
              </w:rPr>
            </w:pPr>
          </w:p>
          <w:p w14:paraId="6EDA08EF" w14:textId="77777777" w:rsidR="003E1666" w:rsidRPr="003E1666" w:rsidRDefault="003E1666" w:rsidP="003E1666">
            <w:pPr>
              <w:pStyle w:val="TableParagraph"/>
              <w:ind w:left="30" w:right="27"/>
              <w:jc w:val="center"/>
            </w:pPr>
            <w:r w:rsidRPr="003E1666">
              <w:rPr>
                <w:spacing w:val="-2"/>
              </w:rPr>
              <w:t>59,441.00</w:t>
            </w:r>
          </w:p>
        </w:tc>
        <w:tc>
          <w:tcPr>
            <w:tcW w:w="1298" w:type="dxa"/>
          </w:tcPr>
          <w:p w14:paraId="3D95B8F4" w14:textId="77777777" w:rsidR="003E1666" w:rsidRPr="003E1666" w:rsidRDefault="003E1666" w:rsidP="003E1666">
            <w:pPr>
              <w:pStyle w:val="TableParagraph"/>
              <w:spacing w:before="157"/>
              <w:ind w:left="3"/>
              <w:jc w:val="center"/>
            </w:pPr>
            <w:r w:rsidRPr="003E1666">
              <w:rPr>
                <w:spacing w:val="-2"/>
              </w:rPr>
              <w:t>93,225.00</w:t>
            </w:r>
          </w:p>
        </w:tc>
        <w:tc>
          <w:tcPr>
            <w:tcW w:w="976" w:type="dxa"/>
          </w:tcPr>
          <w:p w14:paraId="33E5337F" w14:textId="77777777" w:rsidR="003E1666" w:rsidRPr="003E1666" w:rsidRDefault="003E1666" w:rsidP="003E1666">
            <w:pPr>
              <w:pStyle w:val="TableParagraph"/>
              <w:spacing w:before="157"/>
              <w:ind w:left="0" w:right="1"/>
              <w:jc w:val="center"/>
            </w:pPr>
            <w:r w:rsidRPr="003E1666">
              <w:rPr>
                <w:spacing w:val="-4"/>
              </w:rPr>
              <w:t>1.76</w:t>
            </w:r>
          </w:p>
        </w:tc>
      </w:tr>
      <w:tr w:rsidR="003E1666" w:rsidRPr="003E1666" w14:paraId="3671B3AE" w14:textId="77777777" w:rsidTr="003E1666">
        <w:trPr>
          <w:trHeight w:val="635"/>
        </w:trPr>
        <w:tc>
          <w:tcPr>
            <w:tcW w:w="4045" w:type="dxa"/>
          </w:tcPr>
          <w:p w14:paraId="30ACD451" w14:textId="77777777" w:rsidR="003E1666" w:rsidRPr="003E1666" w:rsidRDefault="003E1666" w:rsidP="003E1666">
            <w:pPr>
              <w:pStyle w:val="TableParagraph"/>
              <w:spacing w:line="275" w:lineRule="exact"/>
              <w:ind w:left="36" w:right="29"/>
              <w:jc w:val="center"/>
            </w:pPr>
            <w:r w:rsidRPr="003E1666">
              <w:t>T2</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159F785" w14:textId="77777777" w:rsidR="003E1666" w:rsidRPr="003E1666" w:rsidRDefault="003E1666" w:rsidP="003E1666">
            <w:pPr>
              <w:pStyle w:val="TableParagraph"/>
              <w:spacing w:before="43"/>
              <w:ind w:left="36" w:right="28"/>
              <w:jc w:val="center"/>
            </w:pPr>
            <w:r w:rsidRPr="003E1666">
              <w:t>K:32g</w:t>
            </w:r>
            <w:r w:rsidRPr="003E1666">
              <w:rPr>
                <w:spacing w:val="-1"/>
              </w:rPr>
              <w:t xml:space="preserve"> </w:t>
            </w:r>
            <w:r w:rsidRPr="003E1666">
              <w:t>+</w:t>
            </w:r>
            <w:r w:rsidRPr="003E1666">
              <w:rPr>
                <w:spacing w:val="-2"/>
              </w:rPr>
              <w:t xml:space="preserve"> </w:t>
            </w:r>
            <w:r w:rsidRPr="003E1666">
              <w:t>Vermicompost</w:t>
            </w:r>
            <w:r w:rsidRPr="003E1666">
              <w:rPr>
                <w:spacing w:val="1"/>
              </w:rPr>
              <w:t xml:space="preserve"> </w:t>
            </w:r>
            <w:r w:rsidRPr="003E1666">
              <w:rPr>
                <w:spacing w:val="-2"/>
              </w:rPr>
              <w:t>@9kg)</w:t>
            </w:r>
          </w:p>
        </w:tc>
        <w:tc>
          <w:tcPr>
            <w:tcW w:w="2022" w:type="dxa"/>
          </w:tcPr>
          <w:p w14:paraId="2379B030" w14:textId="77777777" w:rsidR="003E1666" w:rsidRPr="003E1666" w:rsidRDefault="003E1666" w:rsidP="003E1666">
            <w:pPr>
              <w:pStyle w:val="TableParagraph"/>
              <w:spacing w:before="159"/>
              <w:ind w:left="7"/>
              <w:jc w:val="center"/>
            </w:pPr>
            <w:r w:rsidRPr="003E1666">
              <w:rPr>
                <w:spacing w:val="-2"/>
              </w:rPr>
              <w:t>43736</w:t>
            </w:r>
          </w:p>
        </w:tc>
        <w:tc>
          <w:tcPr>
            <w:tcW w:w="1213" w:type="dxa"/>
          </w:tcPr>
          <w:p w14:paraId="0E68F97B" w14:textId="77777777" w:rsidR="003E1666" w:rsidRPr="003E1666" w:rsidRDefault="003E1666" w:rsidP="003E1666">
            <w:pPr>
              <w:pStyle w:val="TableParagraph"/>
              <w:spacing w:before="42"/>
              <w:ind w:left="0"/>
              <w:rPr>
                <w:b/>
              </w:rPr>
            </w:pPr>
          </w:p>
          <w:p w14:paraId="6C37A791" w14:textId="77777777" w:rsidR="003E1666" w:rsidRPr="003E1666" w:rsidRDefault="003E1666" w:rsidP="003E1666">
            <w:pPr>
              <w:pStyle w:val="TableParagraph"/>
              <w:ind w:left="30" w:right="27"/>
              <w:jc w:val="center"/>
            </w:pPr>
            <w:r w:rsidRPr="003E1666">
              <w:rPr>
                <w:spacing w:val="-2"/>
              </w:rPr>
              <w:t>60,583.00</w:t>
            </w:r>
          </w:p>
        </w:tc>
        <w:tc>
          <w:tcPr>
            <w:tcW w:w="1298" w:type="dxa"/>
          </w:tcPr>
          <w:p w14:paraId="2E24553F" w14:textId="77777777" w:rsidR="003E1666" w:rsidRPr="003E1666" w:rsidRDefault="003E1666" w:rsidP="003E1666">
            <w:pPr>
              <w:pStyle w:val="TableParagraph"/>
              <w:spacing w:before="159"/>
              <w:ind w:left="3"/>
              <w:jc w:val="center"/>
            </w:pPr>
            <w:r w:rsidRPr="003E1666">
              <w:rPr>
                <w:spacing w:val="-2"/>
              </w:rPr>
              <w:t>104,319.00</w:t>
            </w:r>
          </w:p>
        </w:tc>
        <w:tc>
          <w:tcPr>
            <w:tcW w:w="976" w:type="dxa"/>
          </w:tcPr>
          <w:p w14:paraId="42E71732" w14:textId="77777777" w:rsidR="003E1666" w:rsidRPr="003E1666" w:rsidRDefault="003E1666" w:rsidP="003E1666">
            <w:pPr>
              <w:pStyle w:val="TableParagraph"/>
              <w:spacing w:before="159"/>
              <w:ind w:left="0" w:right="1"/>
              <w:jc w:val="center"/>
            </w:pPr>
            <w:r w:rsidRPr="003E1666">
              <w:rPr>
                <w:spacing w:val="-4"/>
              </w:rPr>
              <w:t>1.39</w:t>
            </w:r>
          </w:p>
        </w:tc>
      </w:tr>
      <w:tr w:rsidR="003E1666" w:rsidRPr="003E1666" w14:paraId="2D3FBB6A" w14:textId="77777777" w:rsidTr="003E1666">
        <w:trPr>
          <w:trHeight w:val="952"/>
        </w:trPr>
        <w:tc>
          <w:tcPr>
            <w:tcW w:w="4045" w:type="dxa"/>
          </w:tcPr>
          <w:p w14:paraId="4306DDDF" w14:textId="77777777" w:rsidR="003E1666" w:rsidRPr="003E1666" w:rsidRDefault="003E1666" w:rsidP="003E1666">
            <w:pPr>
              <w:pStyle w:val="TableParagraph"/>
              <w:spacing w:line="276" w:lineRule="exact"/>
              <w:ind w:left="36" w:right="29"/>
              <w:jc w:val="center"/>
            </w:pPr>
            <w:r w:rsidRPr="003E1666">
              <w:t>T3</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797A8EAC" w14:textId="77777777" w:rsidR="003E1666" w:rsidRPr="003E1666" w:rsidRDefault="003E1666" w:rsidP="003E1666">
            <w:pPr>
              <w:pStyle w:val="TableParagraph"/>
              <w:spacing w:before="9" w:line="320" w:lineRule="exact"/>
              <w:ind w:left="37" w:right="27"/>
              <w:jc w:val="center"/>
            </w:pPr>
            <w:r w:rsidRPr="003E1666">
              <w:t>K:32g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r w:rsidRPr="003E1666">
              <w:rPr>
                <w:i/>
                <w:iCs/>
              </w:rPr>
              <w:t>Azotobacter</w:t>
            </w:r>
            <w:r w:rsidRPr="003E1666">
              <w:t>+ PSB@500 ml/kg Seed).</w:t>
            </w:r>
          </w:p>
        </w:tc>
        <w:tc>
          <w:tcPr>
            <w:tcW w:w="2022" w:type="dxa"/>
          </w:tcPr>
          <w:p w14:paraId="6DC05471" w14:textId="77777777" w:rsidR="003E1666" w:rsidRPr="003E1666" w:rsidRDefault="003E1666" w:rsidP="003E1666">
            <w:pPr>
              <w:pStyle w:val="TableParagraph"/>
              <w:spacing w:before="40"/>
              <w:ind w:left="0"/>
              <w:rPr>
                <w:b/>
              </w:rPr>
            </w:pPr>
          </w:p>
          <w:p w14:paraId="06746BEA" w14:textId="77777777" w:rsidR="003E1666" w:rsidRPr="003E1666" w:rsidRDefault="003E1666" w:rsidP="003E1666">
            <w:pPr>
              <w:pStyle w:val="TableParagraph"/>
              <w:ind w:left="7"/>
              <w:jc w:val="center"/>
            </w:pPr>
            <w:r w:rsidRPr="003E1666">
              <w:rPr>
                <w:spacing w:val="-2"/>
              </w:rPr>
              <w:t>33486</w:t>
            </w:r>
          </w:p>
        </w:tc>
        <w:tc>
          <w:tcPr>
            <w:tcW w:w="1213" w:type="dxa"/>
          </w:tcPr>
          <w:p w14:paraId="3B5CA309" w14:textId="77777777" w:rsidR="003E1666" w:rsidRPr="003E1666" w:rsidRDefault="003E1666" w:rsidP="003E1666">
            <w:pPr>
              <w:pStyle w:val="TableParagraph"/>
              <w:ind w:left="0"/>
              <w:rPr>
                <w:b/>
              </w:rPr>
            </w:pPr>
          </w:p>
          <w:p w14:paraId="6BE75E7E" w14:textId="77777777" w:rsidR="003E1666" w:rsidRPr="003E1666" w:rsidRDefault="003E1666" w:rsidP="003E1666">
            <w:pPr>
              <w:pStyle w:val="TableParagraph"/>
              <w:spacing w:before="83"/>
              <w:ind w:left="0"/>
              <w:rPr>
                <w:b/>
              </w:rPr>
            </w:pPr>
          </w:p>
          <w:p w14:paraId="2620F9E4" w14:textId="77777777" w:rsidR="003E1666" w:rsidRPr="003E1666" w:rsidRDefault="003E1666" w:rsidP="003E1666">
            <w:pPr>
              <w:pStyle w:val="TableParagraph"/>
              <w:ind w:left="30" w:right="27"/>
              <w:jc w:val="center"/>
            </w:pPr>
            <w:r w:rsidRPr="003E1666">
              <w:rPr>
                <w:spacing w:val="-2"/>
              </w:rPr>
              <w:t>54,925.67</w:t>
            </w:r>
          </w:p>
        </w:tc>
        <w:tc>
          <w:tcPr>
            <w:tcW w:w="1298" w:type="dxa"/>
          </w:tcPr>
          <w:p w14:paraId="5A1F6BE1" w14:textId="77777777" w:rsidR="003E1666" w:rsidRPr="003E1666" w:rsidRDefault="003E1666" w:rsidP="003E1666">
            <w:pPr>
              <w:pStyle w:val="TableParagraph"/>
              <w:spacing w:before="40"/>
              <w:ind w:left="0"/>
              <w:rPr>
                <w:b/>
              </w:rPr>
            </w:pPr>
          </w:p>
          <w:p w14:paraId="027A7E98" w14:textId="77777777" w:rsidR="003E1666" w:rsidRPr="003E1666" w:rsidRDefault="003E1666" w:rsidP="003E1666">
            <w:pPr>
              <w:pStyle w:val="TableParagraph"/>
              <w:ind w:left="3"/>
              <w:jc w:val="center"/>
            </w:pPr>
            <w:r w:rsidRPr="003E1666">
              <w:rPr>
                <w:spacing w:val="-2"/>
              </w:rPr>
              <w:t>88,411.66</w:t>
            </w:r>
          </w:p>
        </w:tc>
        <w:tc>
          <w:tcPr>
            <w:tcW w:w="976" w:type="dxa"/>
          </w:tcPr>
          <w:p w14:paraId="30573741" w14:textId="77777777" w:rsidR="003E1666" w:rsidRPr="003E1666" w:rsidRDefault="003E1666" w:rsidP="003E1666">
            <w:pPr>
              <w:pStyle w:val="TableParagraph"/>
              <w:spacing w:before="40"/>
              <w:ind w:left="0"/>
              <w:rPr>
                <w:b/>
              </w:rPr>
            </w:pPr>
          </w:p>
          <w:p w14:paraId="1CEF8EA3" w14:textId="77777777" w:rsidR="003E1666" w:rsidRPr="003E1666" w:rsidRDefault="003E1666" w:rsidP="003E1666">
            <w:pPr>
              <w:pStyle w:val="TableParagraph"/>
              <w:ind w:left="0" w:right="1"/>
              <w:jc w:val="center"/>
            </w:pPr>
            <w:r w:rsidRPr="003E1666">
              <w:rPr>
                <w:spacing w:val="-4"/>
              </w:rPr>
              <w:t>1.64</w:t>
            </w:r>
          </w:p>
        </w:tc>
      </w:tr>
      <w:tr w:rsidR="003E1666" w:rsidRPr="003E1666" w14:paraId="1963A533" w14:textId="77777777" w:rsidTr="003E1666">
        <w:trPr>
          <w:trHeight w:val="1269"/>
        </w:trPr>
        <w:tc>
          <w:tcPr>
            <w:tcW w:w="4045" w:type="dxa"/>
          </w:tcPr>
          <w:p w14:paraId="01058DD4" w14:textId="77777777" w:rsidR="003E1666" w:rsidRPr="003E1666" w:rsidRDefault="003E1666" w:rsidP="003E1666">
            <w:pPr>
              <w:pStyle w:val="TableParagraph"/>
              <w:spacing w:line="275" w:lineRule="exact"/>
              <w:ind w:left="36" w:right="29"/>
              <w:jc w:val="center"/>
            </w:pPr>
            <w:r w:rsidRPr="003E1666">
              <w:lastRenderedPageBreak/>
              <w:t>T4</w:t>
            </w:r>
            <w:r w:rsidRPr="003E1666">
              <w:rPr>
                <w:spacing w:val="-1"/>
              </w:rPr>
              <w:t xml:space="preserve"> </w:t>
            </w:r>
            <w:r w:rsidRPr="003E1666">
              <w:t>(80%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 69.65g, P: </w:t>
            </w:r>
            <w:r w:rsidRPr="003E1666">
              <w:rPr>
                <w:spacing w:val="-2"/>
              </w:rPr>
              <w:t>62.60g,</w:t>
            </w:r>
          </w:p>
          <w:p w14:paraId="4D1EB9F5" w14:textId="77777777" w:rsidR="003E1666" w:rsidRPr="003E1666" w:rsidRDefault="003E1666" w:rsidP="003E1666">
            <w:pPr>
              <w:pStyle w:val="TableParagraph"/>
              <w:spacing w:before="41" w:line="276" w:lineRule="auto"/>
              <w:ind w:left="182" w:right="173" w:firstLine="2"/>
              <w:jc w:val="center"/>
            </w:pPr>
            <w:r w:rsidRPr="003E1666">
              <w:t>K:32g + Vermicompost @9kg + Biofertilizer</w:t>
            </w:r>
            <w:r w:rsidRPr="003E1666">
              <w:rPr>
                <w:spacing w:val="-15"/>
              </w:rPr>
              <w:t xml:space="preserve"> </w:t>
            </w:r>
            <w:r w:rsidRPr="003E1666">
              <w:t>(</w:t>
            </w:r>
            <w:r w:rsidRPr="003E1666">
              <w:rPr>
                <w:i/>
                <w:iCs/>
              </w:rPr>
              <w:t>Azotobacter</w:t>
            </w:r>
            <w:r w:rsidRPr="003E1666">
              <w:t>+</w:t>
            </w:r>
            <w:r w:rsidRPr="003E1666">
              <w:rPr>
                <w:spacing w:val="-15"/>
              </w:rPr>
              <w:t xml:space="preserve"> </w:t>
            </w:r>
            <w:r w:rsidRPr="003E1666">
              <w:t>PSB@500</w:t>
            </w:r>
          </w:p>
          <w:p w14:paraId="2ED0D1D6" w14:textId="77777777" w:rsidR="003E1666" w:rsidRPr="003E1666" w:rsidRDefault="003E1666" w:rsidP="003E1666">
            <w:pPr>
              <w:pStyle w:val="TableParagraph"/>
              <w:spacing w:before="1"/>
              <w:ind w:left="36" w:right="30"/>
              <w:jc w:val="center"/>
            </w:pPr>
            <w:r w:rsidRPr="003E1666">
              <w:t xml:space="preserve">ml /Kg </w:t>
            </w:r>
            <w:r w:rsidRPr="003E1666">
              <w:rPr>
                <w:spacing w:val="-2"/>
              </w:rPr>
              <w:t>Seed).</w:t>
            </w:r>
          </w:p>
        </w:tc>
        <w:tc>
          <w:tcPr>
            <w:tcW w:w="2022" w:type="dxa"/>
          </w:tcPr>
          <w:p w14:paraId="1C0EB7EA" w14:textId="77777777" w:rsidR="003E1666" w:rsidRPr="003E1666" w:rsidRDefault="003E1666" w:rsidP="003E1666">
            <w:pPr>
              <w:pStyle w:val="TableParagraph"/>
              <w:spacing w:before="198"/>
              <w:ind w:left="0"/>
              <w:rPr>
                <w:b/>
              </w:rPr>
            </w:pPr>
          </w:p>
          <w:p w14:paraId="7BB2562F" w14:textId="77777777" w:rsidR="003E1666" w:rsidRPr="003E1666" w:rsidRDefault="003E1666" w:rsidP="003E1666">
            <w:pPr>
              <w:pStyle w:val="TableParagraph"/>
              <w:ind w:left="7"/>
              <w:jc w:val="center"/>
            </w:pPr>
            <w:r w:rsidRPr="003E1666">
              <w:rPr>
                <w:spacing w:val="-2"/>
              </w:rPr>
              <w:t>43986</w:t>
            </w:r>
          </w:p>
        </w:tc>
        <w:tc>
          <w:tcPr>
            <w:tcW w:w="1213" w:type="dxa"/>
          </w:tcPr>
          <w:p w14:paraId="03A14289" w14:textId="77777777" w:rsidR="003E1666" w:rsidRPr="003E1666" w:rsidRDefault="003E1666" w:rsidP="003E1666">
            <w:pPr>
              <w:pStyle w:val="TableParagraph"/>
              <w:ind w:left="0"/>
              <w:rPr>
                <w:b/>
              </w:rPr>
            </w:pPr>
          </w:p>
          <w:p w14:paraId="5C82462D" w14:textId="77777777" w:rsidR="003E1666" w:rsidRPr="003E1666" w:rsidRDefault="003E1666" w:rsidP="003E1666">
            <w:pPr>
              <w:pStyle w:val="TableParagraph"/>
              <w:ind w:left="0"/>
              <w:rPr>
                <w:b/>
              </w:rPr>
            </w:pPr>
          </w:p>
          <w:p w14:paraId="0CCB2656" w14:textId="77777777" w:rsidR="003E1666" w:rsidRPr="003E1666" w:rsidRDefault="003E1666" w:rsidP="003E1666">
            <w:pPr>
              <w:pStyle w:val="TableParagraph"/>
              <w:spacing w:before="123"/>
              <w:ind w:left="0"/>
              <w:rPr>
                <w:b/>
              </w:rPr>
            </w:pPr>
          </w:p>
          <w:p w14:paraId="688A59A0" w14:textId="77777777" w:rsidR="003E1666" w:rsidRPr="003E1666" w:rsidRDefault="003E1666" w:rsidP="003E1666">
            <w:pPr>
              <w:pStyle w:val="TableParagraph"/>
              <w:spacing w:before="1"/>
              <w:ind w:left="6" w:right="33"/>
              <w:jc w:val="center"/>
            </w:pPr>
            <w:r w:rsidRPr="003E1666">
              <w:rPr>
                <w:spacing w:val="-2"/>
              </w:rPr>
              <w:t>80,125.66</w:t>
            </w:r>
          </w:p>
        </w:tc>
        <w:tc>
          <w:tcPr>
            <w:tcW w:w="1298" w:type="dxa"/>
          </w:tcPr>
          <w:p w14:paraId="1E9D4BA8" w14:textId="77777777" w:rsidR="003E1666" w:rsidRPr="003E1666" w:rsidRDefault="003E1666" w:rsidP="003E1666">
            <w:pPr>
              <w:pStyle w:val="TableParagraph"/>
              <w:spacing w:before="198"/>
              <w:ind w:left="0"/>
              <w:rPr>
                <w:b/>
              </w:rPr>
            </w:pPr>
          </w:p>
          <w:p w14:paraId="136C4187" w14:textId="77777777" w:rsidR="003E1666" w:rsidRPr="003E1666" w:rsidRDefault="003E1666" w:rsidP="003E1666">
            <w:pPr>
              <w:pStyle w:val="TableParagraph"/>
              <w:ind w:left="3"/>
              <w:jc w:val="center"/>
            </w:pPr>
            <w:r w:rsidRPr="003E1666">
              <w:rPr>
                <w:spacing w:val="-2"/>
              </w:rPr>
              <w:t>124,111.70</w:t>
            </w:r>
          </w:p>
        </w:tc>
        <w:tc>
          <w:tcPr>
            <w:tcW w:w="976" w:type="dxa"/>
          </w:tcPr>
          <w:p w14:paraId="3B1A952F" w14:textId="77777777" w:rsidR="003E1666" w:rsidRPr="003E1666" w:rsidRDefault="003E1666" w:rsidP="003E1666">
            <w:pPr>
              <w:pStyle w:val="TableParagraph"/>
              <w:spacing w:before="198"/>
              <w:ind w:left="0"/>
              <w:rPr>
                <w:b/>
              </w:rPr>
            </w:pPr>
          </w:p>
          <w:p w14:paraId="05DA0E4F" w14:textId="77777777" w:rsidR="003E1666" w:rsidRPr="003E1666" w:rsidRDefault="003E1666" w:rsidP="003E1666">
            <w:pPr>
              <w:pStyle w:val="TableParagraph"/>
              <w:ind w:left="0" w:right="1"/>
              <w:jc w:val="center"/>
            </w:pPr>
            <w:r w:rsidRPr="003E1666">
              <w:rPr>
                <w:spacing w:val="-4"/>
              </w:rPr>
              <w:t>1.82</w:t>
            </w:r>
          </w:p>
        </w:tc>
      </w:tr>
      <w:tr w:rsidR="003E1666" w:rsidRPr="003E1666" w14:paraId="79F58459" w14:textId="77777777" w:rsidTr="003E1666">
        <w:trPr>
          <w:trHeight w:val="635"/>
        </w:trPr>
        <w:tc>
          <w:tcPr>
            <w:tcW w:w="4045" w:type="dxa"/>
          </w:tcPr>
          <w:p w14:paraId="1EC5475B" w14:textId="77777777" w:rsidR="003E1666" w:rsidRPr="003E1666" w:rsidRDefault="003E1666" w:rsidP="003E1666">
            <w:pPr>
              <w:pStyle w:val="TableParagraph"/>
              <w:spacing w:line="275" w:lineRule="exact"/>
              <w:ind w:left="283"/>
            </w:pPr>
            <w:r w:rsidRPr="003E1666">
              <w:t>T5</w:t>
            </w:r>
            <w:r w:rsidRPr="003E1666">
              <w:rPr>
                <w:spacing w:val="-1"/>
              </w:rPr>
              <w:t xml:space="preserve"> </w:t>
            </w:r>
            <w:r w:rsidRPr="003E1666">
              <w:t>(60%</w:t>
            </w:r>
            <w:r w:rsidRPr="003E1666">
              <w:rPr>
                <w:spacing w:val="-1"/>
              </w:rPr>
              <w:t xml:space="preserve"> </w:t>
            </w:r>
            <w:r w:rsidRPr="003E1666">
              <w:t>RDF@N:52.24g,</w:t>
            </w:r>
            <w:r w:rsidRPr="003E1666">
              <w:rPr>
                <w:spacing w:val="-1"/>
              </w:rPr>
              <w:t xml:space="preserve"> </w:t>
            </w:r>
            <w:r w:rsidRPr="003E1666">
              <w:t xml:space="preserve">P: </w:t>
            </w:r>
            <w:r w:rsidRPr="003E1666">
              <w:rPr>
                <w:spacing w:val="-2"/>
              </w:rPr>
              <w:t>46.95,</w:t>
            </w:r>
          </w:p>
          <w:p w14:paraId="114F3FE2" w14:textId="77777777" w:rsidR="003E1666" w:rsidRPr="003E1666" w:rsidRDefault="003E1666" w:rsidP="003E1666">
            <w:pPr>
              <w:pStyle w:val="TableParagraph"/>
              <w:spacing w:before="41"/>
              <w:ind w:left="369"/>
            </w:pPr>
            <w:r w:rsidRPr="003E1666">
              <w:t>K:24g</w:t>
            </w:r>
            <w:r w:rsidRPr="003E1666">
              <w:rPr>
                <w:spacing w:val="-3"/>
              </w:rPr>
              <w:t xml:space="preserve"> </w:t>
            </w:r>
            <w:r w:rsidRPr="003E1666">
              <w:t>+</w:t>
            </w:r>
            <w:r w:rsidRPr="003E1666">
              <w:rPr>
                <w:spacing w:val="-1"/>
              </w:rPr>
              <w:t xml:space="preserve"> </w:t>
            </w:r>
            <w:hyperlink r:id="rId7">
              <w:r w:rsidRPr="003E1666">
                <w:t>Vermicompost@10.8</w:t>
              </w:r>
            </w:hyperlink>
            <w:r w:rsidRPr="003E1666">
              <w:t xml:space="preserve"> </w:t>
            </w:r>
            <w:r w:rsidRPr="003E1666">
              <w:rPr>
                <w:spacing w:val="-5"/>
              </w:rPr>
              <w:t>kg)</w:t>
            </w:r>
          </w:p>
        </w:tc>
        <w:tc>
          <w:tcPr>
            <w:tcW w:w="2022" w:type="dxa"/>
          </w:tcPr>
          <w:p w14:paraId="28528211" w14:textId="77777777" w:rsidR="003E1666" w:rsidRPr="003E1666" w:rsidRDefault="003E1666" w:rsidP="003E1666">
            <w:pPr>
              <w:pStyle w:val="TableParagraph"/>
              <w:spacing w:before="157"/>
              <w:ind w:left="7"/>
              <w:jc w:val="center"/>
            </w:pPr>
            <w:r w:rsidRPr="003E1666">
              <w:rPr>
                <w:spacing w:val="-2"/>
              </w:rPr>
              <w:t>45350</w:t>
            </w:r>
          </w:p>
        </w:tc>
        <w:tc>
          <w:tcPr>
            <w:tcW w:w="1213" w:type="dxa"/>
          </w:tcPr>
          <w:p w14:paraId="00548C2A" w14:textId="77777777" w:rsidR="003E1666" w:rsidRPr="003E1666" w:rsidRDefault="003E1666" w:rsidP="003E1666">
            <w:pPr>
              <w:pStyle w:val="TableParagraph"/>
              <w:spacing w:before="39"/>
              <w:ind w:left="0"/>
              <w:rPr>
                <w:b/>
              </w:rPr>
            </w:pPr>
          </w:p>
          <w:p w14:paraId="4691CD65" w14:textId="77777777" w:rsidR="003E1666" w:rsidRPr="003E1666" w:rsidRDefault="003E1666" w:rsidP="003E1666">
            <w:pPr>
              <w:pStyle w:val="TableParagraph"/>
              <w:ind w:left="6" w:right="33"/>
              <w:jc w:val="center"/>
            </w:pPr>
            <w:r w:rsidRPr="003E1666">
              <w:rPr>
                <w:spacing w:val="-2"/>
              </w:rPr>
              <w:t>47,094.33</w:t>
            </w:r>
          </w:p>
        </w:tc>
        <w:tc>
          <w:tcPr>
            <w:tcW w:w="1298" w:type="dxa"/>
          </w:tcPr>
          <w:p w14:paraId="628186FD" w14:textId="77777777" w:rsidR="003E1666" w:rsidRPr="003E1666" w:rsidRDefault="003E1666" w:rsidP="003E1666">
            <w:pPr>
              <w:pStyle w:val="TableParagraph"/>
              <w:spacing w:before="157"/>
              <w:ind w:left="3"/>
              <w:jc w:val="center"/>
            </w:pPr>
            <w:r w:rsidRPr="003E1666">
              <w:rPr>
                <w:spacing w:val="-2"/>
              </w:rPr>
              <w:t>92,444.34</w:t>
            </w:r>
          </w:p>
        </w:tc>
        <w:tc>
          <w:tcPr>
            <w:tcW w:w="976" w:type="dxa"/>
          </w:tcPr>
          <w:p w14:paraId="1E248455" w14:textId="77777777" w:rsidR="003E1666" w:rsidRPr="003E1666" w:rsidRDefault="003E1666" w:rsidP="003E1666">
            <w:pPr>
              <w:pStyle w:val="TableParagraph"/>
              <w:spacing w:before="157"/>
              <w:ind w:left="0" w:right="1"/>
              <w:jc w:val="center"/>
            </w:pPr>
            <w:r w:rsidRPr="003E1666">
              <w:rPr>
                <w:spacing w:val="-4"/>
              </w:rPr>
              <w:t>1.04</w:t>
            </w:r>
          </w:p>
        </w:tc>
      </w:tr>
      <w:tr w:rsidR="003E1666" w:rsidRPr="003E1666" w14:paraId="3395F531" w14:textId="77777777" w:rsidTr="003E1666">
        <w:trPr>
          <w:trHeight w:val="950"/>
        </w:trPr>
        <w:tc>
          <w:tcPr>
            <w:tcW w:w="4045" w:type="dxa"/>
          </w:tcPr>
          <w:p w14:paraId="5AE33182" w14:textId="77777777" w:rsidR="003E1666" w:rsidRPr="003E1666" w:rsidRDefault="003E1666" w:rsidP="003E1666">
            <w:pPr>
              <w:pStyle w:val="TableParagraph"/>
              <w:spacing w:line="275" w:lineRule="exact"/>
              <w:ind w:left="223"/>
            </w:pPr>
            <w:r w:rsidRPr="003E1666">
              <w:t>T6</w:t>
            </w:r>
            <w:r w:rsidRPr="003E1666">
              <w:rPr>
                <w:spacing w:val="-1"/>
              </w:rPr>
              <w:t xml:space="preserve"> </w:t>
            </w:r>
            <w:r w:rsidRPr="003E1666">
              <w:t>(60%</w:t>
            </w:r>
            <w:r w:rsidRPr="003E1666">
              <w:rPr>
                <w:spacing w:val="-1"/>
              </w:rPr>
              <w:t xml:space="preserve"> </w:t>
            </w:r>
            <w:r w:rsidRPr="003E1666">
              <w:t>RDF</w:t>
            </w:r>
            <w:r w:rsidRPr="003E1666">
              <w:rPr>
                <w:spacing w:val="-2"/>
              </w:rPr>
              <w:t xml:space="preserve"> </w:t>
            </w:r>
            <w:r w:rsidRPr="003E1666">
              <w:t>@</w:t>
            </w:r>
            <w:r w:rsidRPr="003E1666">
              <w:rPr>
                <w:spacing w:val="1"/>
              </w:rPr>
              <w:t xml:space="preserve"> </w:t>
            </w:r>
            <w:r w:rsidRPr="003E1666">
              <w:t xml:space="preserve">N:52.24g, P: </w:t>
            </w:r>
            <w:r w:rsidRPr="003E1666">
              <w:rPr>
                <w:spacing w:val="-2"/>
              </w:rPr>
              <w:t>46.95,</w:t>
            </w:r>
          </w:p>
          <w:p w14:paraId="58EF26B6" w14:textId="77777777" w:rsidR="003E1666" w:rsidRPr="003E1666" w:rsidRDefault="003E1666" w:rsidP="003E1666">
            <w:pPr>
              <w:pStyle w:val="TableParagraph"/>
              <w:spacing w:before="10" w:line="318" w:lineRule="exact"/>
              <w:ind w:left="786" w:hanging="497"/>
            </w:pPr>
            <w:r w:rsidRPr="003E1666">
              <w:t>K:24g</w:t>
            </w:r>
            <w:r w:rsidRPr="003E1666">
              <w:rPr>
                <w:spacing w:val="-13"/>
              </w:rPr>
              <w:t xml:space="preserve"> </w:t>
            </w:r>
            <w:r w:rsidRPr="003E1666">
              <w:t>+</w:t>
            </w:r>
            <w:r w:rsidRPr="003E1666">
              <w:rPr>
                <w:spacing w:val="-14"/>
              </w:rPr>
              <w:t xml:space="preserve"> </w:t>
            </w:r>
            <w:r w:rsidRPr="003E1666">
              <w:t>Biofertilizer</w:t>
            </w:r>
            <w:r w:rsidRPr="003E1666">
              <w:rPr>
                <w:spacing w:val="-13"/>
              </w:rPr>
              <w:t xml:space="preserve"> </w:t>
            </w:r>
            <w:r w:rsidRPr="003E1666">
              <w:t>(</w:t>
            </w:r>
            <w:r w:rsidRPr="003E1666">
              <w:rPr>
                <w:i/>
                <w:iCs/>
              </w:rPr>
              <w:t>Azotobacter</w:t>
            </w:r>
            <w:r w:rsidRPr="003E1666">
              <w:t>+ PSB@ 500 ml /Kg Seed).</w:t>
            </w:r>
          </w:p>
        </w:tc>
        <w:tc>
          <w:tcPr>
            <w:tcW w:w="2022" w:type="dxa"/>
          </w:tcPr>
          <w:p w14:paraId="69ACEFD4" w14:textId="77777777" w:rsidR="003E1666" w:rsidRPr="003E1666" w:rsidRDefault="003E1666" w:rsidP="003E1666">
            <w:pPr>
              <w:pStyle w:val="TableParagraph"/>
              <w:spacing w:before="39"/>
              <w:ind w:left="0"/>
              <w:rPr>
                <w:b/>
              </w:rPr>
            </w:pPr>
          </w:p>
          <w:p w14:paraId="2A797E72" w14:textId="77777777" w:rsidR="003E1666" w:rsidRPr="003E1666" w:rsidRDefault="003E1666" w:rsidP="003E1666">
            <w:pPr>
              <w:pStyle w:val="TableParagraph"/>
              <w:ind w:left="7"/>
              <w:jc w:val="center"/>
            </w:pPr>
            <w:r w:rsidRPr="003E1666">
              <w:rPr>
                <w:spacing w:val="-2"/>
              </w:rPr>
              <w:t>33000</w:t>
            </w:r>
          </w:p>
        </w:tc>
        <w:tc>
          <w:tcPr>
            <w:tcW w:w="1213" w:type="dxa"/>
          </w:tcPr>
          <w:p w14:paraId="11F49A82" w14:textId="77777777" w:rsidR="003E1666" w:rsidRPr="003E1666" w:rsidRDefault="003E1666" w:rsidP="003E1666">
            <w:pPr>
              <w:pStyle w:val="TableParagraph"/>
              <w:ind w:left="0"/>
              <w:rPr>
                <w:b/>
              </w:rPr>
            </w:pPr>
          </w:p>
          <w:p w14:paraId="6FD81E74" w14:textId="77777777" w:rsidR="003E1666" w:rsidRPr="003E1666" w:rsidRDefault="003E1666" w:rsidP="003E1666">
            <w:pPr>
              <w:pStyle w:val="TableParagraph"/>
              <w:spacing w:before="80"/>
              <w:ind w:left="0"/>
              <w:rPr>
                <w:b/>
              </w:rPr>
            </w:pPr>
          </w:p>
          <w:p w14:paraId="51152EF1" w14:textId="77777777" w:rsidR="003E1666" w:rsidRPr="003E1666" w:rsidRDefault="003E1666" w:rsidP="003E1666">
            <w:pPr>
              <w:pStyle w:val="TableParagraph"/>
              <w:spacing w:before="1"/>
              <w:ind w:left="30" w:right="27"/>
              <w:jc w:val="center"/>
            </w:pPr>
            <w:r w:rsidRPr="003E1666">
              <w:rPr>
                <w:spacing w:val="-2"/>
              </w:rPr>
              <w:t>53,015.67</w:t>
            </w:r>
          </w:p>
        </w:tc>
        <w:tc>
          <w:tcPr>
            <w:tcW w:w="1298" w:type="dxa"/>
          </w:tcPr>
          <w:p w14:paraId="34B6B57C" w14:textId="77777777" w:rsidR="003E1666" w:rsidRPr="003E1666" w:rsidRDefault="003E1666" w:rsidP="003E1666">
            <w:pPr>
              <w:pStyle w:val="TableParagraph"/>
              <w:spacing w:before="39"/>
              <w:ind w:left="0"/>
              <w:rPr>
                <w:b/>
              </w:rPr>
            </w:pPr>
          </w:p>
          <w:p w14:paraId="605D1908" w14:textId="77777777" w:rsidR="003E1666" w:rsidRPr="003E1666" w:rsidRDefault="003E1666" w:rsidP="003E1666">
            <w:pPr>
              <w:pStyle w:val="TableParagraph"/>
              <w:ind w:left="3"/>
              <w:jc w:val="center"/>
            </w:pPr>
            <w:r w:rsidRPr="003E1666">
              <w:rPr>
                <w:spacing w:val="-2"/>
              </w:rPr>
              <w:t>86,015.66</w:t>
            </w:r>
          </w:p>
        </w:tc>
        <w:tc>
          <w:tcPr>
            <w:tcW w:w="976" w:type="dxa"/>
          </w:tcPr>
          <w:p w14:paraId="6E963094" w14:textId="77777777" w:rsidR="003E1666" w:rsidRPr="003E1666" w:rsidRDefault="003E1666" w:rsidP="003E1666">
            <w:pPr>
              <w:pStyle w:val="TableParagraph"/>
              <w:spacing w:before="39"/>
              <w:ind w:left="0"/>
              <w:rPr>
                <w:b/>
              </w:rPr>
            </w:pPr>
          </w:p>
          <w:p w14:paraId="12D29475" w14:textId="77777777" w:rsidR="003E1666" w:rsidRPr="003E1666" w:rsidRDefault="003E1666" w:rsidP="003E1666">
            <w:pPr>
              <w:pStyle w:val="TableParagraph"/>
              <w:ind w:left="0" w:right="1"/>
              <w:jc w:val="center"/>
            </w:pPr>
            <w:r w:rsidRPr="003E1666">
              <w:rPr>
                <w:spacing w:val="-4"/>
              </w:rPr>
              <w:t>1.61</w:t>
            </w:r>
          </w:p>
        </w:tc>
      </w:tr>
      <w:tr w:rsidR="003E1666" w:rsidRPr="003E1666" w14:paraId="72CADC50" w14:textId="77777777" w:rsidTr="003E1666">
        <w:trPr>
          <w:trHeight w:val="1271"/>
        </w:trPr>
        <w:tc>
          <w:tcPr>
            <w:tcW w:w="4045" w:type="dxa"/>
          </w:tcPr>
          <w:p w14:paraId="1AEC247B" w14:textId="77777777" w:rsidR="003E1666" w:rsidRPr="003E1666" w:rsidRDefault="003E1666" w:rsidP="003E1666">
            <w:pPr>
              <w:pStyle w:val="TableParagraph"/>
              <w:spacing w:before="1"/>
              <w:ind w:left="36" w:right="29"/>
              <w:jc w:val="center"/>
            </w:pPr>
            <w:r w:rsidRPr="003E1666">
              <w:t>T7 (60%</w:t>
            </w:r>
            <w:r w:rsidRPr="003E1666">
              <w:rPr>
                <w:spacing w:val="-1"/>
              </w:rPr>
              <w:t xml:space="preserve"> </w:t>
            </w:r>
            <w:r w:rsidRPr="003E1666">
              <w:t>RDF</w:t>
            </w:r>
            <w:r w:rsidRPr="003E1666">
              <w:rPr>
                <w:spacing w:val="-2"/>
              </w:rPr>
              <w:t xml:space="preserve"> </w:t>
            </w:r>
            <w:r w:rsidRPr="003E1666">
              <w:t xml:space="preserve">@N:52.24g, P: </w:t>
            </w:r>
            <w:r w:rsidRPr="003E1666">
              <w:rPr>
                <w:spacing w:val="-2"/>
              </w:rPr>
              <w:t>46.95,</w:t>
            </w:r>
          </w:p>
          <w:p w14:paraId="704047B1" w14:textId="77777777" w:rsidR="003E1666" w:rsidRPr="003E1666" w:rsidRDefault="003E1666" w:rsidP="003E1666">
            <w:pPr>
              <w:pStyle w:val="TableParagraph"/>
              <w:spacing w:before="7" w:line="310" w:lineRule="atLeast"/>
              <w:ind w:left="36" w:right="27"/>
              <w:jc w:val="center"/>
            </w:pPr>
            <w:r w:rsidRPr="003E1666">
              <w:t xml:space="preserve">K:24g + </w:t>
            </w:r>
            <w:hyperlink r:id="rId8">
              <w:r w:rsidRPr="003E1666">
                <w:t>Vermicompost@10.8</w:t>
              </w:r>
            </w:hyperlink>
            <w:r w:rsidRPr="003E1666">
              <w:t xml:space="preserve"> kg + Biofertilizer</w:t>
            </w:r>
            <w:r w:rsidRPr="003E1666">
              <w:rPr>
                <w:spacing w:val="-10"/>
              </w:rPr>
              <w:t xml:space="preserve"> </w:t>
            </w:r>
            <w:r w:rsidRPr="003E1666">
              <w:t>(</w:t>
            </w:r>
            <w:r w:rsidRPr="003E1666">
              <w:rPr>
                <w:i/>
                <w:iCs/>
              </w:rPr>
              <w:t>Azotobacter</w:t>
            </w:r>
            <w:r w:rsidRPr="003E1666">
              <w:rPr>
                <w:i/>
                <w:spacing w:val="-9"/>
              </w:rPr>
              <w:t xml:space="preserve"> </w:t>
            </w:r>
            <w:r w:rsidRPr="003E1666">
              <w:t>+</w:t>
            </w:r>
            <w:r w:rsidRPr="003E1666">
              <w:rPr>
                <w:spacing w:val="-10"/>
              </w:rPr>
              <w:t xml:space="preserve"> </w:t>
            </w:r>
            <w:r w:rsidRPr="003E1666">
              <w:t>PSB@</w:t>
            </w:r>
            <w:r w:rsidRPr="003E1666">
              <w:rPr>
                <w:spacing w:val="-10"/>
              </w:rPr>
              <w:t xml:space="preserve"> </w:t>
            </w:r>
            <w:r w:rsidRPr="003E1666">
              <w:t>500 ml /Kg Seed).</w:t>
            </w:r>
          </w:p>
        </w:tc>
        <w:tc>
          <w:tcPr>
            <w:tcW w:w="2022" w:type="dxa"/>
          </w:tcPr>
          <w:p w14:paraId="6D0B364D" w14:textId="77777777" w:rsidR="003E1666" w:rsidRPr="003E1666" w:rsidRDefault="003E1666" w:rsidP="003E1666">
            <w:pPr>
              <w:pStyle w:val="TableParagraph"/>
              <w:spacing w:before="200"/>
              <w:ind w:left="0"/>
              <w:rPr>
                <w:b/>
              </w:rPr>
            </w:pPr>
          </w:p>
          <w:p w14:paraId="622F227B" w14:textId="77777777" w:rsidR="003E1666" w:rsidRPr="003E1666" w:rsidRDefault="003E1666" w:rsidP="003E1666">
            <w:pPr>
              <w:pStyle w:val="TableParagraph"/>
              <w:ind w:left="7"/>
              <w:jc w:val="center"/>
            </w:pPr>
            <w:r w:rsidRPr="003E1666">
              <w:rPr>
                <w:spacing w:val="-2"/>
              </w:rPr>
              <w:t>45600</w:t>
            </w:r>
          </w:p>
        </w:tc>
        <w:tc>
          <w:tcPr>
            <w:tcW w:w="1213" w:type="dxa"/>
          </w:tcPr>
          <w:p w14:paraId="454AA1EC" w14:textId="77777777" w:rsidR="003E1666" w:rsidRPr="003E1666" w:rsidRDefault="003E1666" w:rsidP="003E1666">
            <w:pPr>
              <w:pStyle w:val="TableParagraph"/>
              <w:ind w:left="0"/>
              <w:rPr>
                <w:b/>
              </w:rPr>
            </w:pPr>
          </w:p>
          <w:p w14:paraId="5B32C163" w14:textId="77777777" w:rsidR="003E1666" w:rsidRPr="003E1666" w:rsidRDefault="003E1666" w:rsidP="003E1666">
            <w:pPr>
              <w:pStyle w:val="TableParagraph"/>
              <w:ind w:left="0"/>
              <w:rPr>
                <w:b/>
              </w:rPr>
            </w:pPr>
          </w:p>
          <w:p w14:paraId="4531C6F6" w14:textId="77777777" w:rsidR="003E1666" w:rsidRPr="003E1666" w:rsidRDefault="003E1666" w:rsidP="003E1666">
            <w:pPr>
              <w:pStyle w:val="TableParagraph"/>
              <w:spacing w:before="123"/>
              <w:ind w:left="0"/>
              <w:rPr>
                <w:b/>
              </w:rPr>
            </w:pPr>
          </w:p>
          <w:p w14:paraId="21AA9699" w14:textId="77777777" w:rsidR="003E1666" w:rsidRPr="003E1666" w:rsidRDefault="003E1666" w:rsidP="003E1666">
            <w:pPr>
              <w:pStyle w:val="TableParagraph"/>
              <w:spacing w:before="1"/>
              <w:ind w:left="30" w:right="27"/>
              <w:jc w:val="center"/>
            </w:pPr>
            <w:r w:rsidRPr="003E1666">
              <w:rPr>
                <w:spacing w:val="-2"/>
              </w:rPr>
              <w:t>65,043.33</w:t>
            </w:r>
          </w:p>
        </w:tc>
        <w:tc>
          <w:tcPr>
            <w:tcW w:w="1298" w:type="dxa"/>
          </w:tcPr>
          <w:p w14:paraId="28602D25" w14:textId="77777777" w:rsidR="003E1666" w:rsidRPr="003E1666" w:rsidRDefault="003E1666" w:rsidP="003E1666">
            <w:pPr>
              <w:pStyle w:val="TableParagraph"/>
              <w:spacing w:before="200"/>
              <w:ind w:left="0"/>
              <w:rPr>
                <w:b/>
              </w:rPr>
            </w:pPr>
          </w:p>
          <w:p w14:paraId="0CB0BBD0" w14:textId="77777777" w:rsidR="003E1666" w:rsidRPr="003E1666" w:rsidRDefault="003E1666" w:rsidP="003E1666">
            <w:pPr>
              <w:pStyle w:val="TableParagraph"/>
              <w:ind w:left="3"/>
              <w:jc w:val="center"/>
            </w:pPr>
            <w:r w:rsidRPr="003E1666">
              <w:rPr>
                <w:spacing w:val="-2"/>
              </w:rPr>
              <w:t>110,643.30</w:t>
            </w:r>
          </w:p>
        </w:tc>
        <w:tc>
          <w:tcPr>
            <w:tcW w:w="976" w:type="dxa"/>
          </w:tcPr>
          <w:p w14:paraId="7321C618" w14:textId="77777777" w:rsidR="003E1666" w:rsidRPr="003E1666" w:rsidRDefault="003E1666" w:rsidP="003E1666">
            <w:pPr>
              <w:pStyle w:val="TableParagraph"/>
              <w:spacing w:before="200"/>
              <w:ind w:left="0"/>
              <w:rPr>
                <w:b/>
              </w:rPr>
            </w:pPr>
          </w:p>
          <w:p w14:paraId="71B97503" w14:textId="77777777" w:rsidR="003E1666" w:rsidRPr="003E1666" w:rsidRDefault="003E1666" w:rsidP="003E1666">
            <w:pPr>
              <w:pStyle w:val="TableParagraph"/>
              <w:ind w:left="0" w:right="1"/>
              <w:jc w:val="center"/>
            </w:pPr>
            <w:r w:rsidRPr="003E1666">
              <w:rPr>
                <w:spacing w:val="-4"/>
              </w:rPr>
              <w:t>1.43</w:t>
            </w:r>
          </w:p>
        </w:tc>
      </w:tr>
      <w:tr w:rsidR="003E1666" w:rsidRPr="003E1666" w14:paraId="6F7C0C9F" w14:textId="77777777" w:rsidTr="003E1666">
        <w:trPr>
          <w:trHeight w:val="429"/>
        </w:trPr>
        <w:tc>
          <w:tcPr>
            <w:tcW w:w="4045" w:type="dxa"/>
          </w:tcPr>
          <w:p w14:paraId="6B72DC60" w14:textId="77777777" w:rsidR="003E1666" w:rsidRPr="003E1666" w:rsidRDefault="003E1666" w:rsidP="003E1666">
            <w:pPr>
              <w:pStyle w:val="TableParagraph"/>
              <w:spacing w:before="54"/>
              <w:ind w:left="36" w:right="32"/>
              <w:jc w:val="center"/>
            </w:pPr>
            <w:r w:rsidRPr="003E1666">
              <w:t>T8</w:t>
            </w:r>
            <w:r w:rsidRPr="003E1666">
              <w:rPr>
                <w:spacing w:val="-1"/>
              </w:rPr>
              <w:t xml:space="preserve"> </w:t>
            </w:r>
            <w:r w:rsidRPr="003E1666">
              <w:t>(100%</w:t>
            </w:r>
            <w:r w:rsidRPr="003E1666">
              <w:rPr>
                <w:spacing w:val="-1"/>
              </w:rPr>
              <w:t xml:space="preserve"> </w:t>
            </w:r>
            <w:r w:rsidRPr="003E1666">
              <w:t>Vermicompost</w:t>
            </w:r>
            <w:r w:rsidRPr="003E1666">
              <w:rPr>
                <w:spacing w:val="-1"/>
              </w:rPr>
              <w:t xml:space="preserve"> </w:t>
            </w:r>
            <w:r w:rsidRPr="003E1666">
              <w:t xml:space="preserve">@20 </w:t>
            </w:r>
            <w:r w:rsidRPr="003E1666">
              <w:rPr>
                <w:spacing w:val="-5"/>
              </w:rPr>
              <w:t>Kg)</w:t>
            </w:r>
          </w:p>
        </w:tc>
        <w:tc>
          <w:tcPr>
            <w:tcW w:w="2022" w:type="dxa"/>
          </w:tcPr>
          <w:p w14:paraId="307D3DB2" w14:textId="77777777" w:rsidR="003E1666" w:rsidRPr="003E1666" w:rsidRDefault="003E1666" w:rsidP="003E1666">
            <w:pPr>
              <w:pStyle w:val="TableParagraph"/>
              <w:spacing w:before="54"/>
              <w:ind w:left="7"/>
              <w:jc w:val="center"/>
            </w:pPr>
            <w:r w:rsidRPr="003E1666">
              <w:rPr>
                <w:spacing w:val="-2"/>
              </w:rPr>
              <w:t>54603</w:t>
            </w:r>
          </w:p>
        </w:tc>
        <w:tc>
          <w:tcPr>
            <w:tcW w:w="1213" w:type="dxa"/>
          </w:tcPr>
          <w:p w14:paraId="4FB4A204" w14:textId="77777777" w:rsidR="003E1666" w:rsidRPr="003E1666" w:rsidRDefault="003E1666" w:rsidP="003E1666">
            <w:pPr>
              <w:pStyle w:val="TableParagraph"/>
              <w:spacing w:before="111"/>
              <w:ind w:left="30" w:right="27"/>
              <w:jc w:val="center"/>
            </w:pPr>
            <w:r w:rsidRPr="003E1666">
              <w:rPr>
                <w:spacing w:val="-2"/>
              </w:rPr>
              <w:t>31,295.67</w:t>
            </w:r>
          </w:p>
        </w:tc>
        <w:tc>
          <w:tcPr>
            <w:tcW w:w="1298" w:type="dxa"/>
          </w:tcPr>
          <w:p w14:paraId="5FB850D0" w14:textId="77777777" w:rsidR="003E1666" w:rsidRPr="003E1666" w:rsidRDefault="003E1666" w:rsidP="003E1666">
            <w:pPr>
              <w:pStyle w:val="TableParagraph"/>
              <w:spacing w:before="54"/>
              <w:ind w:left="3"/>
              <w:jc w:val="center"/>
            </w:pPr>
            <w:r w:rsidRPr="003E1666">
              <w:rPr>
                <w:spacing w:val="-2"/>
              </w:rPr>
              <w:t>85,898.66</w:t>
            </w:r>
          </w:p>
        </w:tc>
        <w:tc>
          <w:tcPr>
            <w:tcW w:w="976" w:type="dxa"/>
          </w:tcPr>
          <w:p w14:paraId="3D0121D7" w14:textId="77777777" w:rsidR="003E1666" w:rsidRPr="003E1666" w:rsidRDefault="003E1666" w:rsidP="003E1666">
            <w:pPr>
              <w:pStyle w:val="TableParagraph"/>
              <w:spacing w:before="54"/>
              <w:ind w:left="0" w:right="1"/>
              <w:jc w:val="center"/>
            </w:pPr>
            <w:r w:rsidRPr="003E1666">
              <w:rPr>
                <w:spacing w:val="-4"/>
              </w:rPr>
              <w:t>0.57</w:t>
            </w:r>
          </w:p>
        </w:tc>
      </w:tr>
      <w:tr w:rsidR="003E1666" w:rsidRPr="003E1666" w14:paraId="4CE4F5C7" w14:textId="77777777" w:rsidTr="003E1666">
        <w:trPr>
          <w:trHeight w:val="635"/>
        </w:trPr>
        <w:tc>
          <w:tcPr>
            <w:tcW w:w="4045" w:type="dxa"/>
          </w:tcPr>
          <w:p w14:paraId="04FD0F99" w14:textId="77777777" w:rsidR="003E1666" w:rsidRPr="003E1666" w:rsidRDefault="003E1666" w:rsidP="003E1666">
            <w:pPr>
              <w:pStyle w:val="TableParagraph"/>
              <w:spacing w:line="275" w:lineRule="exact"/>
              <w:ind w:left="36" w:right="29"/>
              <w:jc w:val="center"/>
            </w:pPr>
            <w:r w:rsidRPr="003E1666">
              <w:t>T9</w:t>
            </w:r>
            <w:r w:rsidRPr="003E1666">
              <w:rPr>
                <w:spacing w:val="-2"/>
              </w:rPr>
              <w:t xml:space="preserve"> </w:t>
            </w:r>
            <w:r w:rsidRPr="003E1666">
              <w:t>(100%</w:t>
            </w:r>
            <w:r w:rsidRPr="003E1666">
              <w:rPr>
                <w:spacing w:val="-3"/>
              </w:rPr>
              <w:t xml:space="preserve"> </w:t>
            </w:r>
            <w:r w:rsidRPr="003E1666">
              <w:t xml:space="preserve">Biofertilizer </w:t>
            </w:r>
            <w:r w:rsidRPr="003E1666">
              <w:rPr>
                <w:spacing w:val="-2"/>
              </w:rPr>
              <w:t>(</w:t>
            </w:r>
            <w:r w:rsidRPr="003E1666">
              <w:rPr>
                <w:i/>
                <w:iCs/>
                <w:spacing w:val="-2"/>
              </w:rPr>
              <w:t>Azotobacter</w:t>
            </w:r>
            <w:r w:rsidRPr="003E1666">
              <w:rPr>
                <w:spacing w:val="-2"/>
              </w:rPr>
              <w:t>+</w:t>
            </w:r>
          </w:p>
          <w:p w14:paraId="7B4C2058" w14:textId="77777777" w:rsidR="003E1666" w:rsidRPr="003E1666" w:rsidRDefault="003E1666" w:rsidP="003E1666">
            <w:pPr>
              <w:pStyle w:val="TableParagraph"/>
              <w:spacing w:before="41"/>
              <w:ind w:left="36" w:right="27"/>
              <w:jc w:val="center"/>
            </w:pPr>
            <w:r w:rsidRPr="003E1666">
              <w:t>PSB@500 ml</w:t>
            </w:r>
            <w:r w:rsidRPr="003E1666">
              <w:rPr>
                <w:spacing w:val="-2"/>
              </w:rPr>
              <w:t xml:space="preserve"> </w:t>
            </w:r>
            <w:r w:rsidRPr="003E1666">
              <w:t xml:space="preserve">/Kg </w:t>
            </w:r>
            <w:r w:rsidRPr="003E1666">
              <w:rPr>
                <w:spacing w:val="-2"/>
              </w:rPr>
              <w:t>Seed).</w:t>
            </w:r>
          </w:p>
        </w:tc>
        <w:tc>
          <w:tcPr>
            <w:tcW w:w="2022" w:type="dxa"/>
          </w:tcPr>
          <w:p w14:paraId="3281BFEA" w14:textId="77777777" w:rsidR="003E1666" w:rsidRPr="003E1666" w:rsidRDefault="003E1666" w:rsidP="003E1666">
            <w:pPr>
              <w:pStyle w:val="TableParagraph"/>
              <w:spacing w:before="157"/>
              <w:ind w:left="7"/>
              <w:jc w:val="center"/>
            </w:pPr>
            <w:r w:rsidRPr="003E1666">
              <w:rPr>
                <w:spacing w:val="-2"/>
              </w:rPr>
              <w:t>32022</w:t>
            </w:r>
          </w:p>
        </w:tc>
        <w:tc>
          <w:tcPr>
            <w:tcW w:w="1213" w:type="dxa"/>
          </w:tcPr>
          <w:p w14:paraId="36AC35DF" w14:textId="77777777" w:rsidR="003E1666" w:rsidRPr="003E1666" w:rsidRDefault="003E1666" w:rsidP="003E1666">
            <w:pPr>
              <w:pStyle w:val="TableParagraph"/>
              <w:spacing w:before="39"/>
              <w:ind w:left="0"/>
              <w:rPr>
                <w:b/>
              </w:rPr>
            </w:pPr>
          </w:p>
          <w:p w14:paraId="079B78E4" w14:textId="77777777" w:rsidR="003E1666" w:rsidRPr="003E1666" w:rsidRDefault="003E1666" w:rsidP="003E1666">
            <w:pPr>
              <w:pStyle w:val="TableParagraph"/>
              <w:ind w:left="30" w:right="27"/>
              <w:jc w:val="center"/>
            </w:pPr>
            <w:r w:rsidRPr="003E1666">
              <w:rPr>
                <w:spacing w:val="-2"/>
              </w:rPr>
              <w:t>53,212.00</w:t>
            </w:r>
          </w:p>
        </w:tc>
        <w:tc>
          <w:tcPr>
            <w:tcW w:w="1298" w:type="dxa"/>
          </w:tcPr>
          <w:p w14:paraId="7279843D" w14:textId="77777777" w:rsidR="003E1666" w:rsidRPr="003E1666" w:rsidRDefault="003E1666" w:rsidP="003E1666">
            <w:pPr>
              <w:pStyle w:val="TableParagraph"/>
              <w:spacing w:before="157"/>
              <w:ind w:left="3"/>
              <w:jc w:val="center"/>
            </w:pPr>
            <w:r w:rsidRPr="003E1666">
              <w:rPr>
                <w:spacing w:val="-2"/>
              </w:rPr>
              <w:t>85,234.00</w:t>
            </w:r>
          </w:p>
        </w:tc>
        <w:tc>
          <w:tcPr>
            <w:tcW w:w="976" w:type="dxa"/>
          </w:tcPr>
          <w:p w14:paraId="3AD307F4" w14:textId="77777777" w:rsidR="003E1666" w:rsidRPr="003E1666" w:rsidRDefault="003E1666" w:rsidP="003E1666">
            <w:pPr>
              <w:pStyle w:val="TableParagraph"/>
              <w:spacing w:before="157"/>
              <w:ind w:left="0" w:right="1"/>
              <w:jc w:val="center"/>
            </w:pPr>
            <w:r w:rsidRPr="003E1666">
              <w:rPr>
                <w:spacing w:val="-4"/>
              </w:rPr>
              <w:t>1.66</w:t>
            </w:r>
          </w:p>
        </w:tc>
      </w:tr>
    </w:tbl>
    <w:p w14:paraId="6B4E05C3" w14:textId="61B29D13" w:rsidR="0030109D" w:rsidRPr="003E1666" w:rsidRDefault="003E1666" w:rsidP="0030109D">
      <w:pPr>
        <w:jc w:val="both"/>
        <w:rPr>
          <w:rFonts w:ascii="Times New Roman" w:hAnsi="Times New Roman" w:cs="Times New Roman"/>
          <w:b/>
          <w:bCs/>
        </w:rPr>
      </w:pPr>
      <w:r w:rsidRPr="003E1666">
        <w:rPr>
          <w:rFonts w:ascii="Times New Roman" w:hAnsi="Times New Roman" w:cs="Times New Roman"/>
          <w:b/>
          <w:bCs/>
        </w:rPr>
        <w:t xml:space="preserve"> </w:t>
      </w:r>
      <w:r w:rsidR="00B24E6A" w:rsidRPr="003E1666">
        <w:rPr>
          <w:rFonts w:ascii="Times New Roman" w:hAnsi="Times New Roman" w:cs="Times New Roman"/>
          <w:b/>
          <w:bCs/>
        </w:rPr>
        <w:t>Table</w:t>
      </w:r>
      <w:r w:rsidR="002C280E">
        <w:rPr>
          <w:rFonts w:ascii="Times New Roman" w:hAnsi="Times New Roman" w:cs="Times New Roman"/>
          <w:b/>
          <w:bCs/>
        </w:rPr>
        <w:t xml:space="preserve"> </w:t>
      </w:r>
      <w:r w:rsidR="00B24E6A" w:rsidRPr="003E1666">
        <w:rPr>
          <w:rFonts w:ascii="Times New Roman" w:hAnsi="Times New Roman" w:cs="Times New Roman"/>
          <w:b/>
          <w:bCs/>
        </w:rPr>
        <w:t>2</w:t>
      </w:r>
      <w:r w:rsidR="0030109D" w:rsidRPr="003E1666">
        <w:rPr>
          <w:rFonts w:ascii="Times New Roman" w:hAnsi="Times New Roman" w:cs="Times New Roman"/>
          <w:b/>
          <w:bCs/>
        </w:rPr>
        <w:t>. Effect of Integrated nutrient management on Cost of cultivation, Net return, Gross return and B.C ratio on mustard.</w:t>
      </w:r>
    </w:p>
    <w:p w14:paraId="4D8E52B8" w14:textId="77777777" w:rsidR="0030109D" w:rsidRDefault="0030109D" w:rsidP="0030109D">
      <w:pPr>
        <w:pStyle w:val="BodyText"/>
        <w:spacing w:before="171"/>
        <w:rPr>
          <w:b/>
          <w:sz w:val="20"/>
        </w:rPr>
      </w:pPr>
    </w:p>
    <w:p w14:paraId="7BDB236A" w14:textId="77777777" w:rsidR="00BB6BEB" w:rsidRDefault="00BB6BEB" w:rsidP="00256BC1">
      <w:pPr>
        <w:jc w:val="both"/>
        <w:rPr>
          <w:rFonts w:ascii="Times New Roman" w:hAnsi="Times New Roman" w:cs="Times New Roman"/>
          <w:sz w:val="24"/>
          <w:szCs w:val="24"/>
        </w:rPr>
      </w:pPr>
    </w:p>
    <w:p w14:paraId="4AD11605" w14:textId="77777777" w:rsidR="004A1F65" w:rsidRDefault="004A1F65" w:rsidP="00256BC1">
      <w:pPr>
        <w:jc w:val="both"/>
        <w:rPr>
          <w:rFonts w:ascii="Times New Roman" w:hAnsi="Times New Roman" w:cs="Times New Roman"/>
          <w:sz w:val="24"/>
          <w:szCs w:val="24"/>
        </w:rPr>
      </w:pPr>
    </w:p>
    <w:p w14:paraId="78184681" w14:textId="77777777" w:rsidR="004A1F65" w:rsidRDefault="004A1F65" w:rsidP="00256BC1">
      <w:pPr>
        <w:jc w:val="both"/>
        <w:rPr>
          <w:rFonts w:ascii="Times New Roman" w:hAnsi="Times New Roman" w:cs="Times New Roman"/>
          <w:sz w:val="24"/>
          <w:szCs w:val="24"/>
        </w:rPr>
      </w:pPr>
    </w:p>
    <w:p w14:paraId="30FE6DF5" w14:textId="77777777" w:rsidR="004A1F65" w:rsidRDefault="004A1F65" w:rsidP="00256BC1">
      <w:pPr>
        <w:jc w:val="both"/>
        <w:rPr>
          <w:rFonts w:ascii="Times New Roman" w:hAnsi="Times New Roman" w:cs="Times New Roman"/>
          <w:sz w:val="24"/>
          <w:szCs w:val="24"/>
        </w:rPr>
      </w:pPr>
    </w:p>
    <w:p w14:paraId="7946AF94" w14:textId="21271B97" w:rsidR="004A1F65" w:rsidRDefault="003E1666" w:rsidP="00256BC1">
      <w:pPr>
        <w:jc w:val="both"/>
        <w:rPr>
          <w:rFonts w:ascii="Times New Roman" w:hAnsi="Times New Roman" w:cs="Times New Roman"/>
          <w:sz w:val="24"/>
          <w:szCs w:val="24"/>
        </w:rPr>
      </w:pPr>
      <w:r>
        <w:rPr>
          <w:noProof/>
          <w:lang w:val="en-US"/>
        </w:rPr>
        <w:drawing>
          <wp:inline distT="0" distB="0" distL="0" distR="0" wp14:anchorId="745A3E87" wp14:editId="47E7DDB1">
            <wp:extent cx="5623560" cy="2948940"/>
            <wp:effectExtent l="0" t="0" r="15240" b="3810"/>
            <wp:docPr id="1793384606" name="Chart 1">
              <a:extLst xmlns:a="http://schemas.openxmlformats.org/drawingml/2006/main">
                <a:ext uri="{FF2B5EF4-FFF2-40B4-BE49-F238E27FC236}">
                  <a16:creationId xmlns:a16="http://schemas.microsoft.com/office/drawing/2014/main" id="{D01AC185-42A7-5D7C-9B40-3FC1B04909B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4834BBB" w14:textId="594766E3" w:rsidR="004A1F65" w:rsidRDefault="00B81D4F" w:rsidP="003E1666">
      <w:pPr>
        <w:spacing w:line="276" w:lineRule="auto"/>
        <w:ind w:right="974"/>
        <w:rPr>
          <w:b/>
          <w:sz w:val="24"/>
        </w:rPr>
      </w:pPr>
      <w:r>
        <w:rPr>
          <w:b/>
          <w:sz w:val="24"/>
        </w:rPr>
        <w:t xml:space="preserve">Fig.1. </w:t>
      </w:r>
      <w:r w:rsidR="004A1F65">
        <w:rPr>
          <w:b/>
          <w:sz w:val="24"/>
        </w:rPr>
        <w:t>Available</w:t>
      </w:r>
      <w:r w:rsidR="004A1F65">
        <w:rPr>
          <w:b/>
          <w:spacing w:val="-4"/>
          <w:sz w:val="24"/>
        </w:rPr>
        <w:t xml:space="preserve"> </w:t>
      </w:r>
      <w:r w:rsidR="004A1F65">
        <w:rPr>
          <w:b/>
          <w:sz w:val="24"/>
        </w:rPr>
        <w:t>Nitrogen</w:t>
      </w:r>
      <w:r w:rsidR="004A1F65">
        <w:rPr>
          <w:b/>
          <w:spacing w:val="-2"/>
          <w:sz w:val="24"/>
        </w:rPr>
        <w:t xml:space="preserve"> </w:t>
      </w:r>
      <w:r w:rsidR="00F965F4">
        <w:rPr>
          <w:b/>
          <w:spacing w:val="-2"/>
          <w:sz w:val="24"/>
        </w:rPr>
        <w:t xml:space="preserve">and Phosphorus </w:t>
      </w:r>
      <w:r w:rsidR="004A1F65">
        <w:rPr>
          <w:b/>
          <w:sz w:val="24"/>
        </w:rPr>
        <w:t>content</w:t>
      </w:r>
      <w:r w:rsidR="004A1F65">
        <w:rPr>
          <w:b/>
          <w:spacing w:val="-4"/>
          <w:sz w:val="24"/>
        </w:rPr>
        <w:t xml:space="preserve"> </w:t>
      </w:r>
      <w:r w:rsidR="004A1F65">
        <w:rPr>
          <w:b/>
          <w:sz w:val="24"/>
        </w:rPr>
        <w:t>in</w:t>
      </w:r>
      <w:r w:rsidR="004A1F65">
        <w:rPr>
          <w:b/>
          <w:spacing w:val="-3"/>
          <w:sz w:val="24"/>
        </w:rPr>
        <w:t xml:space="preserve"> </w:t>
      </w:r>
      <w:r w:rsidR="004A1F65">
        <w:rPr>
          <w:b/>
          <w:sz w:val="24"/>
        </w:rPr>
        <w:t>Soil</w:t>
      </w:r>
      <w:r w:rsidR="004A1F65">
        <w:rPr>
          <w:b/>
          <w:spacing w:val="-3"/>
          <w:sz w:val="24"/>
        </w:rPr>
        <w:t xml:space="preserve"> </w:t>
      </w:r>
      <w:r w:rsidR="004A1F65">
        <w:rPr>
          <w:b/>
          <w:sz w:val="24"/>
        </w:rPr>
        <w:t>under</w:t>
      </w:r>
      <w:r w:rsidR="004A1F65">
        <w:rPr>
          <w:b/>
          <w:spacing w:val="-5"/>
          <w:sz w:val="24"/>
        </w:rPr>
        <w:t xml:space="preserve"> </w:t>
      </w:r>
      <w:r w:rsidR="004A1F65">
        <w:rPr>
          <w:b/>
          <w:sz w:val="24"/>
        </w:rPr>
        <w:t>the</w:t>
      </w:r>
      <w:r w:rsidR="004A1F65">
        <w:rPr>
          <w:b/>
          <w:spacing w:val="-5"/>
          <w:sz w:val="24"/>
        </w:rPr>
        <w:t xml:space="preserve"> </w:t>
      </w:r>
      <w:r w:rsidR="004A1F65">
        <w:rPr>
          <w:b/>
          <w:sz w:val="24"/>
        </w:rPr>
        <w:t>influence</w:t>
      </w:r>
      <w:r w:rsidR="004A1F65">
        <w:rPr>
          <w:b/>
          <w:spacing w:val="-5"/>
          <w:sz w:val="24"/>
        </w:rPr>
        <w:t xml:space="preserve"> </w:t>
      </w:r>
      <w:r w:rsidR="004A1F65">
        <w:rPr>
          <w:b/>
          <w:sz w:val="24"/>
        </w:rPr>
        <w:t>of</w:t>
      </w:r>
      <w:r>
        <w:rPr>
          <w:b/>
          <w:spacing w:val="-4"/>
          <w:sz w:val="24"/>
        </w:rPr>
        <w:t xml:space="preserve"> </w:t>
      </w:r>
      <w:r w:rsidR="004A1F65">
        <w:rPr>
          <w:b/>
          <w:sz w:val="24"/>
        </w:rPr>
        <w:t>Integrated</w:t>
      </w:r>
      <w:r w:rsidR="004A1F65">
        <w:rPr>
          <w:b/>
          <w:spacing w:val="-4"/>
          <w:sz w:val="24"/>
        </w:rPr>
        <w:t xml:space="preserve"> </w:t>
      </w:r>
      <w:r w:rsidR="004A1F65">
        <w:rPr>
          <w:b/>
          <w:sz w:val="24"/>
        </w:rPr>
        <w:t>nutrient management on Mustard.</w:t>
      </w:r>
    </w:p>
    <w:p w14:paraId="456D131E" w14:textId="77777777" w:rsidR="004A1F65" w:rsidRPr="00256BC1" w:rsidRDefault="004A1F65" w:rsidP="00256BC1">
      <w:pPr>
        <w:jc w:val="both"/>
        <w:rPr>
          <w:rFonts w:ascii="Times New Roman" w:hAnsi="Times New Roman" w:cs="Times New Roman"/>
          <w:sz w:val="24"/>
          <w:szCs w:val="24"/>
        </w:rPr>
      </w:pPr>
    </w:p>
    <w:sectPr w:rsidR="004A1F65" w:rsidRPr="00256BC1">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1632D1" w14:textId="77777777" w:rsidR="00023A52" w:rsidRDefault="00023A52" w:rsidP="00035179">
      <w:pPr>
        <w:spacing w:after="0" w:line="240" w:lineRule="auto"/>
      </w:pPr>
      <w:r>
        <w:separator/>
      </w:r>
    </w:p>
  </w:endnote>
  <w:endnote w:type="continuationSeparator" w:id="0">
    <w:p w14:paraId="0EEF9469" w14:textId="77777777" w:rsidR="00023A52" w:rsidRDefault="00023A52" w:rsidP="0003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71679" w14:textId="77777777" w:rsidR="00035179" w:rsidRDefault="000351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F5F1" w14:textId="77777777" w:rsidR="00035179" w:rsidRDefault="000351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BE744" w14:textId="77777777" w:rsidR="00035179" w:rsidRDefault="000351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C7EDB" w14:textId="77777777" w:rsidR="00023A52" w:rsidRDefault="00023A52" w:rsidP="00035179">
      <w:pPr>
        <w:spacing w:after="0" w:line="240" w:lineRule="auto"/>
      </w:pPr>
      <w:r>
        <w:separator/>
      </w:r>
    </w:p>
  </w:footnote>
  <w:footnote w:type="continuationSeparator" w:id="0">
    <w:p w14:paraId="77C3C63F" w14:textId="77777777" w:rsidR="00023A52" w:rsidRDefault="00023A52" w:rsidP="000351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1F3AA0" w14:textId="1A5D1C5F" w:rsidR="00035179" w:rsidRDefault="00023A52">
    <w:pPr>
      <w:pStyle w:val="Header"/>
    </w:pPr>
    <w:r>
      <w:rPr>
        <w:noProof/>
      </w:rPr>
      <w:pict w14:anchorId="6B2F8D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BEE9C" w14:textId="78EFE39F" w:rsidR="00035179" w:rsidRDefault="00023A52">
    <w:pPr>
      <w:pStyle w:val="Header"/>
    </w:pPr>
    <w:r>
      <w:rPr>
        <w:noProof/>
      </w:rPr>
      <w:pict w14:anchorId="5DD96B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97D3A" w14:textId="6E8F5CBF" w:rsidR="00035179" w:rsidRDefault="00023A52">
    <w:pPr>
      <w:pStyle w:val="Header"/>
    </w:pPr>
    <w:r>
      <w:rPr>
        <w:noProof/>
      </w:rPr>
      <w:pict w14:anchorId="5B1924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5678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1F44D2"/>
    <w:multiLevelType w:val="multilevel"/>
    <w:tmpl w:val="F04C5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800903"/>
    <w:multiLevelType w:val="multilevel"/>
    <w:tmpl w:val="D0700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9A278D"/>
    <w:multiLevelType w:val="multilevel"/>
    <w:tmpl w:val="23F02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4984DB8"/>
    <w:multiLevelType w:val="multilevel"/>
    <w:tmpl w:val="B2C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AxNTE3tjQ1N7I0sjRQ0lEKTi0uzszPAykwrAUAwyMIWywAAAA="/>
  </w:docVars>
  <w:rsids>
    <w:rsidRoot w:val="00C1454E"/>
    <w:rsid w:val="00023A52"/>
    <w:rsid w:val="00033312"/>
    <w:rsid w:val="00035179"/>
    <w:rsid w:val="0005361B"/>
    <w:rsid w:val="0005772B"/>
    <w:rsid w:val="00093C79"/>
    <w:rsid w:val="000B37CD"/>
    <w:rsid w:val="00115EBC"/>
    <w:rsid w:val="00131544"/>
    <w:rsid w:val="00150748"/>
    <w:rsid w:val="001525A7"/>
    <w:rsid w:val="00173553"/>
    <w:rsid w:val="00177127"/>
    <w:rsid w:val="001A2CA4"/>
    <w:rsid w:val="001A439C"/>
    <w:rsid w:val="001E16E8"/>
    <w:rsid w:val="001E6A2C"/>
    <w:rsid w:val="002142BF"/>
    <w:rsid w:val="00222A48"/>
    <w:rsid w:val="0023565C"/>
    <w:rsid w:val="00241DF7"/>
    <w:rsid w:val="0025016C"/>
    <w:rsid w:val="00256205"/>
    <w:rsid w:val="00256BC1"/>
    <w:rsid w:val="00281D1E"/>
    <w:rsid w:val="0028203F"/>
    <w:rsid w:val="002848C0"/>
    <w:rsid w:val="002A2B82"/>
    <w:rsid w:val="002C280E"/>
    <w:rsid w:val="002E1D0B"/>
    <w:rsid w:val="0030109D"/>
    <w:rsid w:val="0031742E"/>
    <w:rsid w:val="00331ED9"/>
    <w:rsid w:val="00355318"/>
    <w:rsid w:val="00365490"/>
    <w:rsid w:val="00367447"/>
    <w:rsid w:val="00377BA4"/>
    <w:rsid w:val="00377F83"/>
    <w:rsid w:val="00393161"/>
    <w:rsid w:val="003A0A1A"/>
    <w:rsid w:val="003B1B81"/>
    <w:rsid w:val="003E1666"/>
    <w:rsid w:val="003E2278"/>
    <w:rsid w:val="003F2C63"/>
    <w:rsid w:val="0040222C"/>
    <w:rsid w:val="0044423E"/>
    <w:rsid w:val="00465900"/>
    <w:rsid w:val="00473FD6"/>
    <w:rsid w:val="0049647B"/>
    <w:rsid w:val="00497C74"/>
    <w:rsid w:val="004A1F65"/>
    <w:rsid w:val="004B77EE"/>
    <w:rsid w:val="004D199E"/>
    <w:rsid w:val="004D2A30"/>
    <w:rsid w:val="004D7975"/>
    <w:rsid w:val="00514480"/>
    <w:rsid w:val="0053471D"/>
    <w:rsid w:val="0055380E"/>
    <w:rsid w:val="00572050"/>
    <w:rsid w:val="005913F5"/>
    <w:rsid w:val="00593B23"/>
    <w:rsid w:val="005973C4"/>
    <w:rsid w:val="005A16EF"/>
    <w:rsid w:val="005C3951"/>
    <w:rsid w:val="006156D6"/>
    <w:rsid w:val="00652755"/>
    <w:rsid w:val="00677332"/>
    <w:rsid w:val="00682793"/>
    <w:rsid w:val="00683801"/>
    <w:rsid w:val="00691296"/>
    <w:rsid w:val="006931BE"/>
    <w:rsid w:val="006A5249"/>
    <w:rsid w:val="006A7A33"/>
    <w:rsid w:val="006D5D0D"/>
    <w:rsid w:val="00735A6A"/>
    <w:rsid w:val="00755A31"/>
    <w:rsid w:val="00783392"/>
    <w:rsid w:val="007B0037"/>
    <w:rsid w:val="007C30CE"/>
    <w:rsid w:val="007D3E76"/>
    <w:rsid w:val="007E0F1D"/>
    <w:rsid w:val="00815C8E"/>
    <w:rsid w:val="008505B9"/>
    <w:rsid w:val="008633C0"/>
    <w:rsid w:val="008A3766"/>
    <w:rsid w:val="008C789A"/>
    <w:rsid w:val="008D69F9"/>
    <w:rsid w:val="008F58E8"/>
    <w:rsid w:val="00906717"/>
    <w:rsid w:val="00917097"/>
    <w:rsid w:val="00917289"/>
    <w:rsid w:val="0092294A"/>
    <w:rsid w:val="0092559E"/>
    <w:rsid w:val="009467F1"/>
    <w:rsid w:val="00951A66"/>
    <w:rsid w:val="0097661E"/>
    <w:rsid w:val="009A6CD1"/>
    <w:rsid w:val="009A71FE"/>
    <w:rsid w:val="009B0AF6"/>
    <w:rsid w:val="009C4098"/>
    <w:rsid w:val="009D08AF"/>
    <w:rsid w:val="009D76AE"/>
    <w:rsid w:val="009E0792"/>
    <w:rsid w:val="009F3152"/>
    <w:rsid w:val="00A040CD"/>
    <w:rsid w:val="00A41B6C"/>
    <w:rsid w:val="00A5239E"/>
    <w:rsid w:val="00A550CD"/>
    <w:rsid w:val="00A631BA"/>
    <w:rsid w:val="00A67F34"/>
    <w:rsid w:val="00A730E9"/>
    <w:rsid w:val="00A757DC"/>
    <w:rsid w:val="00A871D6"/>
    <w:rsid w:val="00AC096C"/>
    <w:rsid w:val="00AD2C0E"/>
    <w:rsid w:val="00AE2CAF"/>
    <w:rsid w:val="00AF731D"/>
    <w:rsid w:val="00B03B98"/>
    <w:rsid w:val="00B24E6A"/>
    <w:rsid w:val="00B30232"/>
    <w:rsid w:val="00B4596F"/>
    <w:rsid w:val="00B52BE8"/>
    <w:rsid w:val="00B81D4F"/>
    <w:rsid w:val="00B92285"/>
    <w:rsid w:val="00BB5F5A"/>
    <w:rsid w:val="00BB6BEB"/>
    <w:rsid w:val="00BE1252"/>
    <w:rsid w:val="00BE336E"/>
    <w:rsid w:val="00C12A77"/>
    <w:rsid w:val="00C1454E"/>
    <w:rsid w:val="00C17E20"/>
    <w:rsid w:val="00CA5D54"/>
    <w:rsid w:val="00CE1123"/>
    <w:rsid w:val="00CE2BDA"/>
    <w:rsid w:val="00D0372F"/>
    <w:rsid w:val="00D16B32"/>
    <w:rsid w:val="00D435E6"/>
    <w:rsid w:val="00D43D6A"/>
    <w:rsid w:val="00D50C87"/>
    <w:rsid w:val="00D52A3F"/>
    <w:rsid w:val="00D72AD2"/>
    <w:rsid w:val="00D72F16"/>
    <w:rsid w:val="00D8212E"/>
    <w:rsid w:val="00D85FB2"/>
    <w:rsid w:val="00DA0117"/>
    <w:rsid w:val="00DC3378"/>
    <w:rsid w:val="00DD663E"/>
    <w:rsid w:val="00DF3545"/>
    <w:rsid w:val="00E51CFC"/>
    <w:rsid w:val="00E64C6C"/>
    <w:rsid w:val="00E8464E"/>
    <w:rsid w:val="00E934CD"/>
    <w:rsid w:val="00EA032C"/>
    <w:rsid w:val="00ED6165"/>
    <w:rsid w:val="00EE3164"/>
    <w:rsid w:val="00F01655"/>
    <w:rsid w:val="00F10998"/>
    <w:rsid w:val="00F27302"/>
    <w:rsid w:val="00F50FEE"/>
    <w:rsid w:val="00F66F74"/>
    <w:rsid w:val="00F82F41"/>
    <w:rsid w:val="00F91CFC"/>
    <w:rsid w:val="00F965F4"/>
    <w:rsid w:val="00FB74EE"/>
    <w:rsid w:val="00FE7AC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792AE4"/>
  <w15:chartTrackingRefBased/>
  <w15:docId w15:val="{376875CB-4D2D-4218-91BB-8D4BAFD1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1454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454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454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454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454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45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5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5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5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5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45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45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45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45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45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5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5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54E"/>
    <w:rPr>
      <w:rFonts w:eastAsiaTheme="majorEastAsia" w:cstheme="majorBidi"/>
      <w:color w:val="272727" w:themeColor="text1" w:themeTint="D8"/>
    </w:rPr>
  </w:style>
  <w:style w:type="paragraph" w:styleId="Title">
    <w:name w:val="Title"/>
    <w:basedOn w:val="Normal"/>
    <w:next w:val="Normal"/>
    <w:link w:val="TitleChar"/>
    <w:uiPriority w:val="10"/>
    <w:qFormat/>
    <w:rsid w:val="00C145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5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5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5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54E"/>
    <w:pPr>
      <w:spacing w:before="160"/>
      <w:jc w:val="center"/>
    </w:pPr>
    <w:rPr>
      <w:i/>
      <w:iCs/>
      <w:color w:val="404040" w:themeColor="text1" w:themeTint="BF"/>
    </w:rPr>
  </w:style>
  <w:style w:type="character" w:customStyle="1" w:styleId="QuoteChar">
    <w:name w:val="Quote Char"/>
    <w:basedOn w:val="DefaultParagraphFont"/>
    <w:link w:val="Quote"/>
    <w:uiPriority w:val="29"/>
    <w:rsid w:val="00C1454E"/>
    <w:rPr>
      <w:i/>
      <w:iCs/>
      <w:color w:val="404040" w:themeColor="text1" w:themeTint="BF"/>
    </w:rPr>
  </w:style>
  <w:style w:type="paragraph" w:styleId="ListParagraph">
    <w:name w:val="List Paragraph"/>
    <w:basedOn w:val="Normal"/>
    <w:uiPriority w:val="34"/>
    <w:qFormat/>
    <w:rsid w:val="00C1454E"/>
    <w:pPr>
      <w:ind w:left="720"/>
      <w:contextualSpacing/>
    </w:pPr>
  </w:style>
  <w:style w:type="character" w:styleId="IntenseEmphasis">
    <w:name w:val="Intense Emphasis"/>
    <w:basedOn w:val="DefaultParagraphFont"/>
    <w:uiPriority w:val="21"/>
    <w:qFormat/>
    <w:rsid w:val="00C1454E"/>
    <w:rPr>
      <w:i/>
      <w:iCs/>
      <w:color w:val="2F5496" w:themeColor="accent1" w:themeShade="BF"/>
    </w:rPr>
  </w:style>
  <w:style w:type="paragraph" w:styleId="IntenseQuote">
    <w:name w:val="Intense Quote"/>
    <w:basedOn w:val="Normal"/>
    <w:next w:val="Normal"/>
    <w:link w:val="IntenseQuoteChar"/>
    <w:uiPriority w:val="30"/>
    <w:qFormat/>
    <w:rsid w:val="00C145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454E"/>
    <w:rPr>
      <w:i/>
      <w:iCs/>
      <w:color w:val="2F5496" w:themeColor="accent1" w:themeShade="BF"/>
    </w:rPr>
  </w:style>
  <w:style w:type="character" w:styleId="IntenseReference">
    <w:name w:val="Intense Reference"/>
    <w:basedOn w:val="DefaultParagraphFont"/>
    <w:uiPriority w:val="32"/>
    <w:qFormat/>
    <w:rsid w:val="00C1454E"/>
    <w:rPr>
      <w:b/>
      <w:bCs/>
      <w:smallCaps/>
      <w:color w:val="2F5496" w:themeColor="accent1" w:themeShade="BF"/>
      <w:spacing w:val="5"/>
    </w:rPr>
  </w:style>
  <w:style w:type="character" w:styleId="PlaceholderText">
    <w:name w:val="Placeholder Text"/>
    <w:basedOn w:val="DefaultParagraphFont"/>
    <w:uiPriority w:val="99"/>
    <w:semiHidden/>
    <w:rsid w:val="00735A6A"/>
    <w:rPr>
      <w:color w:val="666666"/>
    </w:rPr>
  </w:style>
  <w:style w:type="paragraph" w:styleId="NormalWeb">
    <w:name w:val="Normal (Web)"/>
    <w:basedOn w:val="Normal"/>
    <w:uiPriority w:val="99"/>
    <w:semiHidden/>
    <w:unhideWhenUsed/>
    <w:rsid w:val="008505B9"/>
    <w:rPr>
      <w:rFonts w:ascii="Times New Roman" w:hAnsi="Times New Roman" w:cs="Times New Roman"/>
      <w:sz w:val="24"/>
      <w:szCs w:val="24"/>
    </w:rPr>
  </w:style>
  <w:style w:type="character" w:styleId="Hyperlink">
    <w:name w:val="Hyperlink"/>
    <w:basedOn w:val="DefaultParagraphFont"/>
    <w:uiPriority w:val="99"/>
    <w:unhideWhenUsed/>
    <w:rsid w:val="008505B9"/>
    <w:rPr>
      <w:color w:val="0563C1" w:themeColor="hyperlink"/>
      <w:u w:val="single"/>
    </w:rPr>
  </w:style>
  <w:style w:type="character" w:customStyle="1" w:styleId="UnresolvedMention1">
    <w:name w:val="Unresolved Mention1"/>
    <w:basedOn w:val="DefaultParagraphFont"/>
    <w:uiPriority w:val="99"/>
    <w:semiHidden/>
    <w:unhideWhenUsed/>
    <w:rsid w:val="008505B9"/>
    <w:rPr>
      <w:color w:val="605E5C"/>
      <w:shd w:val="clear" w:color="auto" w:fill="E1DFDD"/>
    </w:rPr>
  </w:style>
  <w:style w:type="paragraph" w:styleId="BodyText">
    <w:name w:val="Body Text"/>
    <w:basedOn w:val="Normal"/>
    <w:link w:val="BodyTextChar"/>
    <w:uiPriority w:val="1"/>
    <w:qFormat/>
    <w:rsid w:val="0030109D"/>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30109D"/>
    <w:rPr>
      <w:rFonts w:ascii="Times New Roman" w:eastAsia="Times New Roman" w:hAnsi="Times New Roman" w:cs="Times New Roman"/>
      <w:kern w:val="0"/>
      <w:sz w:val="24"/>
      <w:szCs w:val="24"/>
      <w:lang w:val="en-US"/>
      <w14:ligatures w14:val="none"/>
    </w:rPr>
  </w:style>
  <w:style w:type="paragraph" w:customStyle="1" w:styleId="TableParagraph">
    <w:name w:val="Table Paragraph"/>
    <w:basedOn w:val="Normal"/>
    <w:uiPriority w:val="1"/>
    <w:qFormat/>
    <w:rsid w:val="0030109D"/>
    <w:pPr>
      <w:widowControl w:val="0"/>
      <w:autoSpaceDE w:val="0"/>
      <w:autoSpaceDN w:val="0"/>
      <w:spacing w:after="0" w:line="240" w:lineRule="auto"/>
      <w:ind w:left="107"/>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B24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17E20"/>
    <w:rPr>
      <w:i/>
      <w:iCs/>
    </w:rPr>
  </w:style>
  <w:style w:type="character" w:styleId="FollowedHyperlink">
    <w:name w:val="FollowedHyperlink"/>
    <w:basedOn w:val="DefaultParagraphFont"/>
    <w:uiPriority w:val="99"/>
    <w:semiHidden/>
    <w:unhideWhenUsed/>
    <w:rsid w:val="00035179"/>
    <w:rPr>
      <w:color w:val="954F72" w:themeColor="followedHyperlink"/>
      <w:u w:val="single"/>
    </w:rPr>
  </w:style>
  <w:style w:type="paragraph" w:styleId="Header">
    <w:name w:val="header"/>
    <w:basedOn w:val="Normal"/>
    <w:link w:val="HeaderChar"/>
    <w:uiPriority w:val="99"/>
    <w:unhideWhenUsed/>
    <w:rsid w:val="000351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179"/>
  </w:style>
  <w:style w:type="paragraph" w:styleId="Footer">
    <w:name w:val="footer"/>
    <w:basedOn w:val="Normal"/>
    <w:link w:val="FooterChar"/>
    <w:uiPriority w:val="99"/>
    <w:unhideWhenUsed/>
    <w:rsid w:val="000351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987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micompost@10.8"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Vermicompost@10.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r>
              <a:rPr lang="en-IN" sz="1800">
                <a:effectLst/>
              </a:rPr>
              <a:t>Available</a:t>
            </a:r>
            <a:r>
              <a:rPr lang="en-IN" sz="1800" baseline="0">
                <a:effectLst/>
              </a:rPr>
              <a:t> nitrogen and phosphorus in soil</a:t>
            </a:r>
            <a:endParaRPr lang="en-IN" sz="1800">
              <a:effectLst/>
            </a:endParaRPr>
          </a:p>
        </c:rich>
      </c:tx>
      <c:overlay val="0"/>
      <c:spPr>
        <a:noFill/>
        <a:ln>
          <a:noFill/>
        </a:ln>
        <a:effectLst/>
      </c:spPr>
      <c:txPr>
        <a:bodyPr rot="0" spcFirstLastPara="1" vertOverflow="ellipsis" vert="horz" wrap="square"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600" b="1" i="0" u="none" strike="noStrike" kern="1200" baseline="0">
              <a:solidFill>
                <a:srgbClr val="44546A"/>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Available N (Kg/ha)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Sheet1!$C$2:$C$10</c:f>
              <c:numCache>
                <c:formatCode>General</c:formatCode>
                <c:ptCount val="9"/>
                <c:pt idx="0">
                  <c:v>132.87</c:v>
                </c:pt>
                <c:pt idx="1">
                  <c:v>136.84</c:v>
                </c:pt>
                <c:pt idx="2">
                  <c:v>153.83000000000001</c:v>
                </c:pt>
                <c:pt idx="3">
                  <c:v>165.1</c:v>
                </c:pt>
                <c:pt idx="4">
                  <c:v>141.22999999999999</c:v>
                </c:pt>
                <c:pt idx="5">
                  <c:v>146.41</c:v>
                </c:pt>
                <c:pt idx="6">
                  <c:v>144.4</c:v>
                </c:pt>
                <c:pt idx="7">
                  <c:v>154.99</c:v>
                </c:pt>
                <c:pt idx="8">
                  <c:v>129.9</c:v>
                </c:pt>
              </c:numCache>
            </c:numRef>
          </c:val>
          <c:extLst>
            <c:ext xmlns:c16="http://schemas.microsoft.com/office/drawing/2014/chart" uri="{C3380CC4-5D6E-409C-BE32-E72D297353CC}">
              <c16:uniqueId val="{00000000-0745-46C8-B739-CBC9923503C1}"/>
            </c:ext>
          </c:extLst>
        </c:ser>
        <c:ser>
          <c:idx val="1"/>
          <c:order val="1"/>
          <c:tx>
            <c:strRef>
              <c:f>Sheet1!$D$1</c:f>
              <c:strCache>
                <c:ptCount val="1"/>
                <c:pt idx="0">
                  <c:v>Available P (Kg/ha)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Sheet1!$D$2:$D$10</c:f>
              <c:numCache>
                <c:formatCode>General</c:formatCode>
                <c:ptCount val="9"/>
                <c:pt idx="0">
                  <c:v>10.3</c:v>
                </c:pt>
                <c:pt idx="1">
                  <c:v>12.37</c:v>
                </c:pt>
                <c:pt idx="2">
                  <c:v>14.63</c:v>
                </c:pt>
                <c:pt idx="3">
                  <c:v>15.43</c:v>
                </c:pt>
                <c:pt idx="4">
                  <c:v>11.38</c:v>
                </c:pt>
                <c:pt idx="5">
                  <c:v>11.83</c:v>
                </c:pt>
                <c:pt idx="6">
                  <c:v>12.56</c:v>
                </c:pt>
                <c:pt idx="7">
                  <c:v>13.14</c:v>
                </c:pt>
                <c:pt idx="8">
                  <c:v>9.69</c:v>
                </c:pt>
              </c:numCache>
            </c:numRef>
          </c:val>
          <c:extLst>
            <c:ext xmlns:c16="http://schemas.microsoft.com/office/drawing/2014/chart" uri="{C3380CC4-5D6E-409C-BE32-E72D297353CC}">
              <c16:uniqueId val="{00000001-0745-46C8-B739-CBC9923503C1}"/>
            </c:ext>
          </c:extLst>
        </c:ser>
        <c:dLbls>
          <c:showLegendKey val="0"/>
          <c:showVal val="0"/>
          <c:showCatName val="0"/>
          <c:showSerName val="0"/>
          <c:showPercent val="0"/>
          <c:showBubbleSize val="0"/>
        </c:dLbls>
        <c:gapWidth val="75"/>
        <c:overlap val="-25"/>
        <c:axId val="791307840"/>
        <c:axId val="791296320"/>
      </c:barChart>
      <c:lineChart>
        <c:grouping val="standard"/>
        <c:varyColors val="0"/>
        <c:ser>
          <c:idx val="2"/>
          <c:order val="2"/>
          <c:tx>
            <c:strRef>
              <c:f>Sheet1!$E$1</c:f>
              <c:strCache>
                <c:ptCount val="1"/>
              </c:strCache>
            </c:strRef>
          </c:tx>
          <c:spPr>
            <a:ln w="31750" cap="rnd">
              <a:solidFill>
                <a:schemeClr val="accent3"/>
              </a:solidFill>
              <a:round/>
            </a:ln>
            <a:effectLst/>
          </c:spPr>
          <c:marker>
            <c:symbol val="none"/>
          </c:marker>
          <c:cat>
            <c:multiLvlStrRef>
              <c:f>Sheet1!$A$2:$B$10</c:f>
              <c:multiLvlStrCache>
                <c:ptCount val="9"/>
                <c:lvl>
                  <c:pt idx="0">
                    <c:v>100% RDF @ N:83.58g, P:75.12g, K:47.4g</c:v>
                  </c:pt>
                  <c:pt idx="1">
                    <c:v>80% RDF @ N:69.65g, P:62.60g, K:32g + Vermicompost @9kg</c:v>
                  </c:pt>
                  <c:pt idx="2">
                    <c:v>80% RDF @ N:69.65g, P:62.60g, K:32g + Biofertilizer (Azotobacter + PSB @500 ml/kg seed)</c:v>
                  </c:pt>
                  <c:pt idx="3">
                    <c:v>80% RDF + Vermicompost @9kg + Biofertilizer (Azotobacter + PSB @500 ml/kg seed)</c:v>
                  </c:pt>
                  <c:pt idx="4">
                    <c:v>60% RDF @ N:52.24g, P:46.95g, K:24g + Vermicompost @10.8kg</c:v>
                  </c:pt>
                  <c:pt idx="5">
                    <c:v>60% RDF @ N:52.24g, P:46.95g, K:24g + Biofertilizer (Azotobacter + PSB @500 ml/kg seed)</c:v>
                  </c:pt>
                  <c:pt idx="6">
                    <c:v>60% RDF + Vermicompost @10.8kg + Biofertilizer (Azotobacter + PSB @500 ml/kg seed)</c:v>
                  </c:pt>
                  <c:pt idx="7">
                    <c:v>100% Vermicompost @20kg</c:v>
                  </c:pt>
                  <c:pt idx="8">
                    <c:v>100% Biofertilizer (Azotobacter + PSB @500 ml/kg seed)</c:v>
                  </c:pt>
                </c:lvl>
                <c:lvl>
                  <c:pt idx="0">
                    <c:v>T1</c:v>
                  </c:pt>
                  <c:pt idx="1">
                    <c:v>T2</c:v>
                  </c:pt>
                  <c:pt idx="2">
                    <c:v>T3</c:v>
                  </c:pt>
                  <c:pt idx="3">
                    <c:v>T4</c:v>
                  </c:pt>
                  <c:pt idx="4">
                    <c:v>T5</c:v>
                  </c:pt>
                  <c:pt idx="5">
                    <c:v>T6</c:v>
                  </c:pt>
                  <c:pt idx="6">
                    <c:v>T7</c:v>
                  </c:pt>
                  <c:pt idx="7">
                    <c:v>T8</c:v>
                  </c:pt>
                  <c:pt idx="8">
                    <c:v>T9</c:v>
                  </c:pt>
                </c:lvl>
              </c:multiLvlStrCache>
            </c:multiLvlStrRef>
          </c:cat>
          <c:val>
            <c:numRef>
              <c:f>Sheet1!$E$2:$E$10</c:f>
              <c:numCache>
                <c:formatCode>General</c:formatCode>
                <c:ptCount val="9"/>
              </c:numCache>
            </c:numRef>
          </c:val>
          <c:smooth val="0"/>
          <c:extLst>
            <c:ext xmlns:c16="http://schemas.microsoft.com/office/drawing/2014/chart" uri="{C3380CC4-5D6E-409C-BE32-E72D297353CC}">
              <c16:uniqueId val="{00000002-0745-46C8-B739-CBC9923503C1}"/>
            </c:ext>
          </c:extLst>
        </c:ser>
        <c:dLbls>
          <c:showLegendKey val="0"/>
          <c:showVal val="0"/>
          <c:showCatName val="0"/>
          <c:showSerName val="0"/>
          <c:showPercent val="0"/>
          <c:showBubbleSize val="0"/>
        </c:dLbls>
        <c:marker val="1"/>
        <c:smooth val="0"/>
        <c:axId val="791307840"/>
        <c:axId val="791296320"/>
      </c:lineChart>
      <c:catAx>
        <c:axId val="791307840"/>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Treatments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296320"/>
        <c:crosses val="autoZero"/>
        <c:auto val="1"/>
        <c:lblAlgn val="ctr"/>
        <c:lblOffset val="100"/>
        <c:noMultiLvlLbl val="0"/>
      </c:catAx>
      <c:valAx>
        <c:axId val="79129632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n-IN" sz="1100"/>
                  <a:t>Nutrient</a:t>
                </a:r>
                <a:r>
                  <a:rPr lang="en-IN" sz="1100" baseline="0"/>
                  <a:t> (kg/ha)</a:t>
                </a:r>
                <a:endParaRPr lang="en-IN" sz="1100"/>
              </a:p>
            </c:rich>
          </c:tx>
          <c:layout>
            <c:manualLayout>
              <c:xMode val="edge"/>
              <c:yMode val="edge"/>
              <c:x val="2.0104524536059008E-2"/>
              <c:y val="0.10822738327433844"/>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791307840"/>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6">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dk1">
            <a:lumMod val="75000"/>
            <a:lumOff val="25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dk1">
            <a:lumMod val="75000"/>
            <a:lumOff val="25000"/>
          </a:schemeClr>
        </a:solidFill>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9</Pages>
  <Words>3022</Words>
  <Characters>17226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Aashu Rajput</dc:creator>
  <cp:keywords/>
  <dc:description/>
  <cp:lastModifiedBy>SDI CPU 1117</cp:lastModifiedBy>
  <cp:revision>67</cp:revision>
  <dcterms:created xsi:type="dcterms:W3CDTF">2025-11-18T10:12:00Z</dcterms:created>
  <dcterms:modified xsi:type="dcterms:W3CDTF">2025-11-24T10:55:00Z</dcterms:modified>
</cp:coreProperties>
</file>