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4FC00" w14:textId="77777777" w:rsidR="00462DE3" w:rsidRPr="00C309F4" w:rsidRDefault="00462DE3" w:rsidP="00462DE3">
      <w:pPr>
        <w:jc w:val="center"/>
        <w:rPr>
          <w:rFonts w:ascii="Times New Roman" w:hAnsi="Times New Roman" w:cs="Times New Roman"/>
          <w:b/>
          <w:bCs/>
          <w:sz w:val="24"/>
          <w:szCs w:val="24"/>
        </w:rPr>
      </w:pPr>
      <w:bookmarkStart w:id="0" w:name="_Hlk213334200"/>
      <w:r w:rsidRPr="00C309F4">
        <w:rPr>
          <w:rFonts w:ascii="Times New Roman" w:hAnsi="Times New Roman" w:cs="Times New Roman"/>
          <w:b/>
          <w:bCs/>
          <w:sz w:val="24"/>
          <w:szCs w:val="24"/>
        </w:rPr>
        <w:t>Comparative Analysis of Traditional and Industrial Agroforestry Systems among Farmers in Coimbatore District, Tamil Nadu</w:t>
      </w:r>
    </w:p>
    <w:p w14:paraId="6141C1E0" w14:textId="36543535" w:rsidR="00462DE3" w:rsidRDefault="00462DE3" w:rsidP="00DA3FE8">
      <w:pPr>
        <w:spacing w:after="0"/>
        <w:rPr>
          <w:rFonts w:ascii="Times New Roman" w:hAnsi="Times New Roman" w:cs="Times New Roman"/>
          <w:sz w:val="24"/>
          <w:szCs w:val="24"/>
        </w:rPr>
      </w:pPr>
      <w:bookmarkStart w:id="1" w:name="_GoBack"/>
      <w:bookmarkEnd w:id="0"/>
      <w:bookmarkEnd w:id="1"/>
    </w:p>
    <w:p w14:paraId="578A0C51" w14:textId="77777777" w:rsidR="00B925D4" w:rsidRPr="00C309F4" w:rsidRDefault="00B925D4" w:rsidP="00DA3FE8">
      <w:pPr>
        <w:spacing w:after="0"/>
        <w:rPr>
          <w:rFonts w:ascii="Times New Roman" w:hAnsi="Times New Roman" w:cs="Times New Roman"/>
          <w:sz w:val="24"/>
          <w:szCs w:val="24"/>
        </w:rPr>
      </w:pPr>
    </w:p>
    <w:p w14:paraId="02747355" w14:textId="41A16613" w:rsidR="00462DE3" w:rsidRDefault="00A80D9C" w:rsidP="00462DE3">
      <w:pPr>
        <w:rPr>
          <w:rFonts w:ascii="Times New Roman" w:hAnsi="Times New Roman" w:cs="Times New Roman"/>
          <w:b/>
          <w:bCs/>
          <w:sz w:val="24"/>
          <w:szCs w:val="24"/>
        </w:rPr>
      </w:pPr>
      <w:r w:rsidRPr="00C309F4">
        <w:rPr>
          <w:rFonts w:ascii="Times New Roman" w:hAnsi="Times New Roman" w:cs="Times New Roman"/>
          <w:b/>
          <w:bCs/>
          <w:sz w:val="24"/>
          <w:szCs w:val="24"/>
        </w:rPr>
        <w:t>ABSTRACT</w:t>
      </w:r>
    </w:p>
    <w:p w14:paraId="67D5BCEB" w14:textId="3C201A84" w:rsidR="000423D0" w:rsidRPr="000423D0" w:rsidRDefault="000423D0" w:rsidP="00461860">
      <w:pPr>
        <w:spacing w:line="360" w:lineRule="auto"/>
        <w:ind w:firstLine="720"/>
        <w:jc w:val="both"/>
        <w:rPr>
          <w:rFonts w:ascii="Times New Roman" w:hAnsi="Times New Roman" w:cs="Times New Roman"/>
          <w:sz w:val="24"/>
          <w:szCs w:val="24"/>
        </w:rPr>
      </w:pPr>
      <w:r w:rsidRPr="000423D0">
        <w:rPr>
          <w:rFonts w:ascii="Times New Roman" w:hAnsi="Times New Roman" w:cs="Times New Roman"/>
          <w:sz w:val="24"/>
          <w:szCs w:val="24"/>
        </w:rPr>
        <w:t>Agroforestry is a sustainable land-use system that combines trees with crops and livestock to improve productivity, livelihoods, and ecological balance. In Tamil Nadu, both traditional and industrial agroforestry systems contribute significantly to rural income enhancement and efficient resource utilization. The study aimed to compare the structure, functioning, and socio-economic outcomes of traditional and industrial agroforestry systems among farmers in the Coimbatore district.</w:t>
      </w:r>
      <w:r>
        <w:rPr>
          <w:rFonts w:ascii="Times New Roman" w:hAnsi="Times New Roman" w:cs="Times New Roman"/>
          <w:sz w:val="24"/>
          <w:szCs w:val="24"/>
        </w:rPr>
        <w:t xml:space="preserve"> </w:t>
      </w:r>
      <w:r w:rsidRPr="000423D0">
        <w:rPr>
          <w:rFonts w:ascii="Times New Roman" w:hAnsi="Times New Roman" w:cs="Times New Roman"/>
          <w:sz w:val="24"/>
          <w:szCs w:val="24"/>
        </w:rPr>
        <w:t xml:space="preserve">The findings indicate that industrial agroforestry is more prevalent, representing 56.67% of the respondents, with teak, eucalyptus, and casuarina being the dominant species cultivated for timber and pulp industries. Traditional systems, including home gardens and </w:t>
      </w:r>
      <w:proofErr w:type="spellStart"/>
      <w:r w:rsidRPr="000423D0">
        <w:rPr>
          <w:rFonts w:ascii="Times New Roman" w:hAnsi="Times New Roman" w:cs="Times New Roman"/>
          <w:sz w:val="24"/>
          <w:szCs w:val="24"/>
        </w:rPr>
        <w:t>agrosilvicultural</w:t>
      </w:r>
      <w:proofErr w:type="spellEnd"/>
      <w:r w:rsidRPr="000423D0">
        <w:rPr>
          <w:rFonts w:ascii="Times New Roman" w:hAnsi="Times New Roman" w:cs="Times New Roman"/>
          <w:sz w:val="24"/>
          <w:szCs w:val="24"/>
        </w:rPr>
        <w:t xml:space="preserve"> models, accounted for 43.33% and were marked by diversified income sources and greater ecological stability. Industrial systems offered faster economic returns through contract farming but involved higher market and environmental risks, whereas traditional systems ensured long-term sustainability and food security yet faced challenges related to market access and financial support. Common constraints identified in both systems included financial limitations, policy issues, and labour </w:t>
      </w:r>
      <w:proofErr w:type="spellStart"/>
      <w:proofErr w:type="gramStart"/>
      <w:r w:rsidRPr="000423D0">
        <w:rPr>
          <w:rFonts w:ascii="Times New Roman" w:hAnsi="Times New Roman" w:cs="Times New Roman"/>
          <w:sz w:val="24"/>
          <w:szCs w:val="24"/>
        </w:rPr>
        <w:t>shortages.The</w:t>
      </w:r>
      <w:proofErr w:type="spellEnd"/>
      <w:proofErr w:type="gramEnd"/>
      <w:r w:rsidRPr="000423D0">
        <w:rPr>
          <w:rFonts w:ascii="Times New Roman" w:hAnsi="Times New Roman" w:cs="Times New Roman"/>
          <w:sz w:val="24"/>
          <w:szCs w:val="24"/>
        </w:rPr>
        <w:t xml:space="preserve"> study concludes that developing hybrid agroforestry models that merge industrial efficiency with traditional sustainability can maximize income and ecological benefits. The results can guide policymakers and development agencies in promoting balanced, resilient, and sustainable agroforestry models across Tamil Nadu.</w:t>
      </w:r>
    </w:p>
    <w:p w14:paraId="76183653" w14:textId="77777777" w:rsidR="000423D0" w:rsidRPr="00C309F4" w:rsidRDefault="000423D0" w:rsidP="00462DE3">
      <w:pPr>
        <w:rPr>
          <w:rFonts w:ascii="Times New Roman" w:hAnsi="Times New Roman" w:cs="Times New Roman"/>
          <w:b/>
          <w:bCs/>
          <w:sz w:val="24"/>
          <w:szCs w:val="24"/>
        </w:rPr>
      </w:pPr>
    </w:p>
    <w:p w14:paraId="713EDAF0" w14:textId="2D5F4EEC" w:rsidR="00462DE3" w:rsidRPr="000423D0" w:rsidRDefault="00462DE3" w:rsidP="008C6D16">
      <w:pPr>
        <w:spacing w:line="360" w:lineRule="auto"/>
        <w:ind w:left="1134" w:hanging="1134"/>
        <w:rPr>
          <w:rFonts w:ascii="Times New Roman" w:hAnsi="Times New Roman" w:cs="Times New Roman"/>
          <w:b/>
          <w:bCs/>
          <w:sz w:val="24"/>
          <w:szCs w:val="24"/>
        </w:rPr>
      </w:pPr>
      <w:r w:rsidRPr="00C309F4">
        <w:rPr>
          <w:rFonts w:ascii="Times New Roman" w:hAnsi="Times New Roman" w:cs="Times New Roman"/>
          <w:sz w:val="24"/>
          <w:szCs w:val="24"/>
        </w:rPr>
        <w:t>Keywords:</w:t>
      </w:r>
      <w:r w:rsidR="00F929D5" w:rsidRPr="00C309F4">
        <w:rPr>
          <w:rFonts w:ascii="Times New Roman" w:hAnsi="Times New Roman" w:cs="Times New Roman"/>
          <w:sz w:val="24"/>
          <w:szCs w:val="24"/>
        </w:rPr>
        <w:t xml:space="preserve">  </w:t>
      </w:r>
      <w:r w:rsidRPr="00C309F4">
        <w:rPr>
          <w:rFonts w:ascii="Times New Roman" w:hAnsi="Times New Roman" w:cs="Times New Roman"/>
          <w:sz w:val="24"/>
          <w:szCs w:val="24"/>
        </w:rPr>
        <w:t xml:space="preserve"> </w:t>
      </w:r>
      <w:r w:rsidRPr="000423D0">
        <w:rPr>
          <w:rFonts w:ascii="Times New Roman" w:hAnsi="Times New Roman" w:cs="Times New Roman"/>
          <w:b/>
          <w:bCs/>
          <w:i/>
          <w:iCs/>
          <w:sz w:val="24"/>
          <w:szCs w:val="24"/>
        </w:rPr>
        <w:t>Agroforestry, Industrial systems, Traditional systems, Socio-economic analysis, Sustainabilit</w:t>
      </w:r>
      <w:r w:rsidRPr="000423D0">
        <w:rPr>
          <w:rFonts w:ascii="Times New Roman" w:hAnsi="Times New Roman" w:cs="Times New Roman"/>
          <w:b/>
          <w:bCs/>
          <w:sz w:val="24"/>
          <w:szCs w:val="24"/>
        </w:rPr>
        <w:t>y</w:t>
      </w:r>
    </w:p>
    <w:p w14:paraId="136228A5" w14:textId="77777777" w:rsidR="00462DE3" w:rsidRPr="00C309F4" w:rsidRDefault="00462DE3" w:rsidP="00462DE3">
      <w:pPr>
        <w:rPr>
          <w:rFonts w:ascii="Times New Roman" w:hAnsi="Times New Roman" w:cs="Times New Roman"/>
          <w:sz w:val="24"/>
          <w:szCs w:val="24"/>
        </w:rPr>
      </w:pPr>
    </w:p>
    <w:p w14:paraId="37BDF45E" w14:textId="478E9A21" w:rsidR="00462DE3" w:rsidRPr="00C309F4" w:rsidRDefault="00A80D9C" w:rsidP="00462DE3">
      <w:pPr>
        <w:rPr>
          <w:rFonts w:ascii="Times New Roman" w:hAnsi="Times New Roman" w:cs="Times New Roman"/>
          <w:b/>
          <w:bCs/>
          <w:sz w:val="24"/>
          <w:szCs w:val="24"/>
        </w:rPr>
      </w:pPr>
      <w:r w:rsidRPr="00C309F4">
        <w:rPr>
          <w:rFonts w:ascii="Times New Roman" w:hAnsi="Times New Roman" w:cs="Times New Roman"/>
          <w:b/>
          <w:bCs/>
          <w:sz w:val="24"/>
          <w:szCs w:val="24"/>
        </w:rPr>
        <w:t>INTRODUCTION</w:t>
      </w:r>
    </w:p>
    <w:p w14:paraId="0225726C" w14:textId="7A93BF4A"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has been widely recognized as a land-use practice that harmonizes economic productivity with environmental sustainability (Nair, 1993</w:t>
      </w:r>
      <w:r w:rsidR="004E6D14">
        <w:rPr>
          <w:rFonts w:ascii="Times New Roman" w:hAnsi="Times New Roman" w:cs="Times New Roman"/>
          <w:sz w:val="24"/>
          <w:szCs w:val="24"/>
        </w:rPr>
        <w:t>,</w:t>
      </w:r>
      <w:r w:rsidRPr="00C309F4">
        <w:rPr>
          <w:rFonts w:ascii="Times New Roman" w:hAnsi="Times New Roman" w:cs="Times New Roman"/>
          <w:sz w:val="24"/>
          <w:szCs w:val="24"/>
        </w:rPr>
        <w:t xml:space="preserve"> Leakey, 2014). It integrates trees, crops, and livestock in spatial or temporal arrangements that sustain soil fertility, biodiversity, and livelihoods. Traditional agroforestry systems in India, including those in Tamil Nadu, have long supported household needs for food, fodder, and fuelwood </w:t>
      </w:r>
      <w:r w:rsidRPr="00C309F4">
        <w:rPr>
          <w:rFonts w:ascii="Times New Roman" w:hAnsi="Times New Roman" w:cs="Times New Roman"/>
          <w:sz w:val="24"/>
          <w:szCs w:val="24"/>
        </w:rPr>
        <w:lastRenderedPageBreak/>
        <w:t>(Arnold &amp; Dewees, 1997</w:t>
      </w:r>
      <w:r w:rsidR="004E6D14">
        <w:rPr>
          <w:rFonts w:ascii="Times New Roman" w:hAnsi="Times New Roman" w:cs="Times New Roman"/>
          <w:sz w:val="24"/>
          <w:szCs w:val="24"/>
        </w:rPr>
        <w:t>,</w:t>
      </w:r>
      <w:r w:rsidRPr="00C309F4">
        <w:rPr>
          <w:rFonts w:ascii="Times New Roman" w:hAnsi="Times New Roman" w:cs="Times New Roman"/>
          <w:sz w:val="24"/>
          <w:szCs w:val="24"/>
        </w:rPr>
        <w:t xml:space="preserve"> Paudel &amp; Pandey, 2013). However, with agricultural commercialization and industrial demand, farmers are increasingly adopting industrial agroforestry models focusing on fast-growing tree species for pulpwood, timber, and biomass industries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56621A" w:rsidRPr="0056621A">
        <w:t xml:space="preserve"> </w:t>
      </w:r>
      <w:r w:rsidR="0056621A" w:rsidRPr="0056621A">
        <w:rPr>
          <w:rFonts w:ascii="Times New Roman" w:hAnsi="Times New Roman" w:cs="Times New Roman"/>
          <w:sz w:val="24"/>
          <w:szCs w:val="24"/>
        </w:rPr>
        <w:t>Traditional agroforestry systems have evolved over centuries, offering ecological and cultural benefits while maintaining landscape diversity (</w:t>
      </w:r>
      <w:proofErr w:type="spellStart"/>
      <w:r w:rsidR="0056621A" w:rsidRPr="0056621A">
        <w:rPr>
          <w:rFonts w:ascii="Times New Roman" w:hAnsi="Times New Roman" w:cs="Times New Roman"/>
          <w:sz w:val="24"/>
          <w:szCs w:val="24"/>
        </w:rPr>
        <w:t>Papanastasis</w:t>
      </w:r>
      <w:proofErr w:type="spellEnd"/>
      <w:r w:rsidR="0056621A" w:rsidRPr="0056621A">
        <w:rPr>
          <w:rFonts w:ascii="Times New Roman" w:hAnsi="Times New Roman" w:cs="Times New Roman"/>
          <w:sz w:val="24"/>
          <w:szCs w:val="24"/>
        </w:rPr>
        <w:t xml:space="preserve"> et al., 2009).</w:t>
      </w:r>
    </w:p>
    <w:p w14:paraId="1E3BF0E4" w14:textId="3A12EBEB"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The shift from traditional to industrial systems raises questions about ecological resilience, income security, and social well-being. Therefore, a comparative study is necessary to understand the socio-economic and environmental implications of both systems (Altieri, 1995</w:t>
      </w:r>
      <w:r w:rsidR="00683145">
        <w:rPr>
          <w:rFonts w:ascii="Times New Roman" w:hAnsi="Times New Roman" w:cs="Times New Roman"/>
          <w:sz w:val="24"/>
          <w:szCs w:val="24"/>
        </w:rPr>
        <w:t xml:space="preserve"> and </w:t>
      </w:r>
      <w:r w:rsidRPr="00C309F4">
        <w:rPr>
          <w:rFonts w:ascii="Times New Roman" w:hAnsi="Times New Roman" w:cs="Times New Roman"/>
          <w:sz w:val="24"/>
          <w:szCs w:val="24"/>
        </w:rPr>
        <w:t>Waldron et al., 2017).</w:t>
      </w:r>
    </w:p>
    <w:p w14:paraId="7DDB9F76" w14:textId="52C0708D" w:rsidR="00DD0DB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Agroforestry represents an integrated approach to land use where trees, crops, and livestock coexist to enhance productivity, biodiversity, and sustainability (Nair, 1993; Leakey, 2014). It bridges the gap between agriculture and forestry, offering both ecological and socio-economic advantages for smallholder farmers (Altieri, 2004). In Tamil Nadu, the practice of agroforestry has evolved through centuries of traditional knowledge and has recently diversified into industrial forms driven by commercial demand.</w:t>
      </w:r>
    </w:p>
    <w:p w14:paraId="6D8161E2" w14:textId="7C8BE390"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Industrial agroforestry systems, promoted through contract farming and private sector collaboration, have significantly expanded due to their ability to generate faster returns and provide raw materials for paper, plywood, and timber industries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683145">
        <w:rPr>
          <w:rFonts w:ascii="Times New Roman" w:hAnsi="Times New Roman" w:cs="Times New Roman"/>
          <w:sz w:val="24"/>
          <w:szCs w:val="24"/>
        </w:rPr>
        <w:t xml:space="preserve"> and </w:t>
      </w:r>
      <w:proofErr w:type="spellStart"/>
      <w:r w:rsidR="00683145"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et al., 2001).</w:t>
      </w:r>
    </w:p>
    <w:p w14:paraId="17950A39" w14:textId="7777777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In contrast, traditional agroforestry systems, such as </w:t>
      </w: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models, remain integral to rural livelihood security and ecological balance (Paudel &amp; Pandey, 2013). These systems ensure food, fodder, and fuel availability while maintaining soil fertility and landscape resilience (Pretty, 2003).</w:t>
      </w:r>
    </w:p>
    <w:p w14:paraId="1D8E23EB" w14:textId="0E3712C7"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Despite their benefits, the adoption and sustainability of both traditional and industrial agroforestry systems face multiple challenges. Farmers encounter financial barriers, market uncertainties, and institutional constraints that influence their participation and long-term benefits (Arnold &amp; Dewees, 1997</w:t>
      </w:r>
      <w:r w:rsidR="00683145">
        <w:rPr>
          <w:rFonts w:ascii="Times New Roman" w:hAnsi="Times New Roman" w:cs="Times New Roman"/>
          <w:sz w:val="24"/>
          <w:szCs w:val="24"/>
        </w:rPr>
        <w:t xml:space="preserve"> and </w:t>
      </w:r>
      <w:r w:rsidRPr="00C309F4">
        <w:rPr>
          <w:rFonts w:ascii="Times New Roman" w:hAnsi="Times New Roman" w:cs="Times New Roman"/>
          <w:sz w:val="24"/>
          <w:szCs w:val="24"/>
        </w:rPr>
        <w:t>Agarwal, 2001).</w:t>
      </w:r>
    </w:p>
    <w:p w14:paraId="7104AFC8" w14:textId="5F1AD24C"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Moreover, industrial monocultures</w:t>
      </w:r>
      <w:r w:rsidR="00335534">
        <w:rPr>
          <w:rFonts w:ascii="Times New Roman" w:hAnsi="Times New Roman" w:cs="Times New Roman"/>
          <w:sz w:val="24"/>
          <w:szCs w:val="24"/>
        </w:rPr>
        <w:t xml:space="preserve"> </w:t>
      </w:r>
      <w:r w:rsidRPr="00C309F4">
        <w:rPr>
          <w:rFonts w:ascii="Times New Roman" w:hAnsi="Times New Roman" w:cs="Times New Roman"/>
          <w:sz w:val="24"/>
          <w:szCs w:val="24"/>
        </w:rPr>
        <w:t>although profitable</w:t>
      </w:r>
      <w:r w:rsidR="00335534">
        <w:rPr>
          <w:rFonts w:ascii="Times New Roman" w:hAnsi="Times New Roman" w:cs="Times New Roman"/>
          <w:sz w:val="24"/>
          <w:szCs w:val="24"/>
        </w:rPr>
        <w:t xml:space="preserve"> </w:t>
      </w:r>
      <w:r w:rsidRPr="00C309F4">
        <w:rPr>
          <w:rFonts w:ascii="Times New Roman" w:hAnsi="Times New Roman" w:cs="Times New Roman"/>
          <w:sz w:val="24"/>
          <w:szCs w:val="24"/>
        </w:rPr>
        <w:t>pose risks to biodiversity and ecosystem health if not properly managed (Mbow et al., 2014). The growing pressure of land-</w:t>
      </w:r>
      <w:r w:rsidRPr="00C309F4">
        <w:rPr>
          <w:rFonts w:ascii="Times New Roman" w:hAnsi="Times New Roman" w:cs="Times New Roman"/>
          <w:sz w:val="24"/>
          <w:szCs w:val="24"/>
        </w:rPr>
        <w:lastRenderedPageBreak/>
        <w:t>use change and climate variability further intensifies these issues, necessitating balanced and adaptive agroforestry models (Waldron et al., 2017).</w:t>
      </w:r>
    </w:p>
    <w:p w14:paraId="5BD87B73" w14:textId="229D1458" w:rsidR="00DD0DB4" w:rsidRPr="00C309F4" w:rsidRDefault="00061C21" w:rsidP="00DD0DB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study aims to </w:t>
      </w:r>
      <w:r w:rsidR="00DD0DB4" w:rsidRPr="00C309F4">
        <w:rPr>
          <w:rFonts w:ascii="Times New Roman" w:hAnsi="Times New Roman" w:cs="Times New Roman"/>
          <w:sz w:val="24"/>
          <w:szCs w:val="24"/>
        </w:rPr>
        <w:t>comparative dynamics of these two systems is therefore crucial for designing effective interventions and sustainable livelihood strategies.</w:t>
      </w:r>
    </w:p>
    <w:p w14:paraId="5F411A71" w14:textId="5921D98C" w:rsidR="00DD0DB4" w:rsidRPr="00C309F4" w:rsidRDefault="00DD0DB4" w:rsidP="00DD0D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w:t>
      </w:r>
      <w:r w:rsidR="00230952">
        <w:rPr>
          <w:rFonts w:ascii="Times New Roman" w:hAnsi="Times New Roman" w:cs="Times New Roman"/>
          <w:sz w:val="24"/>
          <w:szCs w:val="24"/>
        </w:rPr>
        <w:t xml:space="preserve">e </w:t>
      </w:r>
      <w:r w:rsidRPr="00C309F4">
        <w:rPr>
          <w:rFonts w:ascii="Times New Roman" w:hAnsi="Times New Roman" w:cs="Times New Roman"/>
          <w:sz w:val="24"/>
          <w:szCs w:val="24"/>
        </w:rPr>
        <w:t>study</w:t>
      </w:r>
      <w:r w:rsidR="00061C21">
        <w:rPr>
          <w:rFonts w:ascii="Times New Roman" w:hAnsi="Times New Roman" w:cs="Times New Roman"/>
          <w:sz w:val="24"/>
          <w:szCs w:val="24"/>
        </w:rPr>
        <w:t xml:space="preserve"> </w:t>
      </w:r>
      <w:r w:rsidR="001153BE">
        <w:rPr>
          <w:rFonts w:ascii="Times New Roman" w:hAnsi="Times New Roman" w:cs="Times New Roman"/>
          <w:sz w:val="24"/>
          <w:szCs w:val="24"/>
        </w:rPr>
        <w:t>assesses</w:t>
      </w:r>
      <w:r w:rsidR="00061C21">
        <w:rPr>
          <w:rFonts w:ascii="Times New Roman" w:hAnsi="Times New Roman" w:cs="Times New Roman"/>
          <w:sz w:val="24"/>
          <w:szCs w:val="24"/>
        </w:rPr>
        <w:t xml:space="preserve"> </w:t>
      </w:r>
      <w:r w:rsidRPr="00C309F4">
        <w:rPr>
          <w:rFonts w:ascii="Times New Roman" w:hAnsi="Times New Roman" w:cs="Times New Roman"/>
          <w:sz w:val="24"/>
          <w:szCs w:val="24"/>
        </w:rPr>
        <w:t xml:space="preserve">the structural, functional, and socio-economic characteristics of traditional and industrial agroforestry systems in Tamil Nadu, identifying key constraints faced by farmers and offering practical recommendations for </w:t>
      </w:r>
      <w:proofErr w:type="spellStart"/>
      <w:proofErr w:type="gramStart"/>
      <w:r w:rsidRPr="00C309F4">
        <w:rPr>
          <w:rFonts w:ascii="Times New Roman" w:hAnsi="Times New Roman" w:cs="Times New Roman"/>
          <w:sz w:val="24"/>
          <w:szCs w:val="24"/>
        </w:rPr>
        <w:t>improvement.By</w:t>
      </w:r>
      <w:proofErr w:type="spellEnd"/>
      <w:proofErr w:type="gramEnd"/>
      <w:r w:rsidRPr="00C309F4">
        <w:rPr>
          <w:rFonts w:ascii="Times New Roman" w:hAnsi="Times New Roman" w:cs="Times New Roman"/>
          <w:sz w:val="24"/>
          <w:szCs w:val="24"/>
        </w:rPr>
        <w:t xml:space="preserve"> integrating scientific insights with farmers’ experiences, this research aims to support policies that promote equitable growth, environmental sustainability, and enhanced rural resilience through agroforestry</w:t>
      </w:r>
    </w:p>
    <w:p w14:paraId="044BD1BB" w14:textId="054F3F58" w:rsidR="00016F4D" w:rsidRPr="00C309F4" w:rsidRDefault="00876FB4" w:rsidP="00016F4D">
      <w:pPr>
        <w:jc w:val="both"/>
        <w:rPr>
          <w:rFonts w:ascii="Times New Roman" w:hAnsi="Times New Roman" w:cs="Times New Roman"/>
          <w:b/>
          <w:bCs/>
          <w:sz w:val="24"/>
          <w:szCs w:val="24"/>
        </w:rPr>
      </w:pPr>
      <w:r w:rsidRPr="00C309F4">
        <w:rPr>
          <w:rFonts w:ascii="Times New Roman" w:hAnsi="Times New Roman" w:cs="Times New Roman"/>
          <w:b/>
          <w:bCs/>
          <w:sz w:val="24"/>
          <w:szCs w:val="24"/>
        </w:rPr>
        <w:t xml:space="preserve">METHODOLOGY </w:t>
      </w:r>
    </w:p>
    <w:p w14:paraId="4B5F744C" w14:textId="59F34AB1" w:rsidR="00876FB4" w:rsidRPr="00C309F4" w:rsidRDefault="00016F4D" w:rsidP="00016F4D">
      <w:pPr>
        <w:spacing w:line="360" w:lineRule="auto"/>
        <w:jc w:val="both"/>
        <w:rPr>
          <w:rFonts w:ascii="Times New Roman" w:hAnsi="Times New Roman" w:cs="Times New Roman"/>
          <w:b/>
          <w:bCs/>
          <w:sz w:val="24"/>
          <w:szCs w:val="24"/>
        </w:rPr>
      </w:pPr>
      <w:r w:rsidRPr="00C309F4">
        <w:rPr>
          <w:rFonts w:ascii="Times New Roman" w:hAnsi="Times New Roman" w:cs="Times New Roman"/>
          <w:sz w:val="24"/>
          <w:szCs w:val="24"/>
        </w:rPr>
        <w:t xml:space="preserve">      </w:t>
      </w:r>
      <w:r w:rsidR="00876FB4" w:rsidRPr="00C309F4">
        <w:rPr>
          <w:rFonts w:ascii="Times New Roman" w:hAnsi="Times New Roman" w:cs="Times New Roman"/>
          <w:b/>
          <w:bCs/>
          <w:sz w:val="24"/>
          <w:szCs w:val="24"/>
        </w:rPr>
        <w:t>Selection of the District and Block</w:t>
      </w:r>
    </w:p>
    <w:p w14:paraId="5D47C351" w14:textId="589E48E6" w:rsidR="00016F4D" w:rsidRPr="00C309F4" w:rsidRDefault="00016F4D" w:rsidP="00876FB4">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Coimbatore district was selected purposively because the area under industrial and traditional agroforestry practices is higher among farmers. Two blocks </w:t>
      </w:r>
      <w:proofErr w:type="spellStart"/>
      <w:r w:rsidRPr="00C309F4">
        <w:rPr>
          <w:rFonts w:ascii="Times New Roman" w:hAnsi="Times New Roman" w:cs="Times New Roman"/>
          <w:sz w:val="24"/>
          <w:szCs w:val="24"/>
        </w:rPr>
        <w:t>Karamadai</w:t>
      </w:r>
      <w:proofErr w:type="spellEnd"/>
      <w:r w:rsidRPr="00C309F4">
        <w:rPr>
          <w:rFonts w:ascii="Times New Roman" w:hAnsi="Times New Roman" w:cs="Times New Roman"/>
          <w:sz w:val="24"/>
          <w:szCs w:val="24"/>
        </w:rPr>
        <w:t xml:space="preserve"> and </w:t>
      </w:r>
      <w:proofErr w:type="spellStart"/>
      <w:r w:rsidRPr="00C309F4">
        <w:rPr>
          <w:rFonts w:ascii="Times New Roman" w:hAnsi="Times New Roman" w:cs="Times New Roman"/>
          <w:sz w:val="24"/>
          <w:szCs w:val="24"/>
        </w:rPr>
        <w:t>Annur</w:t>
      </w:r>
      <w:proofErr w:type="spellEnd"/>
      <w:r w:rsidRPr="00C309F4">
        <w:rPr>
          <w:rFonts w:ascii="Times New Roman" w:hAnsi="Times New Roman" w:cs="Times New Roman"/>
          <w:sz w:val="24"/>
          <w:szCs w:val="24"/>
        </w:rPr>
        <w:t xml:space="preserve"> blocks were selected based on the number of farmers. A total of 30 respondents were randomly selected based on their adoption of traditional agroforestry and industrial agroforestry systems</w:t>
      </w:r>
    </w:p>
    <w:p w14:paraId="6C595E43" w14:textId="39113F86" w:rsidR="00876FB4" w:rsidRPr="00C309F4" w:rsidRDefault="00876FB4" w:rsidP="00462DE3">
      <w:pPr>
        <w:rPr>
          <w:rFonts w:ascii="Times New Roman" w:hAnsi="Times New Roman" w:cs="Times New Roman"/>
          <w:b/>
          <w:bCs/>
          <w:sz w:val="24"/>
          <w:szCs w:val="24"/>
        </w:rPr>
      </w:pPr>
      <w:r w:rsidRPr="00C309F4">
        <w:rPr>
          <w:rFonts w:ascii="Times New Roman" w:hAnsi="Times New Roman" w:cs="Times New Roman"/>
          <w:b/>
          <w:bCs/>
          <w:sz w:val="24"/>
          <w:szCs w:val="24"/>
        </w:rPr>
        <w:t>FINDINGS AND DISCUSSION</w:t>
      </w:r>
    </w:p>
    <w:p w14:paraId="01ADE5D5" w14:textId="445E2FB7"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Structure and Functioning of Agroforestry Systems</w:t>
      </w:r>
      <w:r w:rsidR="00F86569" w:rsidRPr="00C309F4">
        <w:rPr>
          <w:rFonts w:ascii="Times New Roman" w:hAnsi="Times New Roman" w:cs="Times New Roman"/>
          <w:b/>
          <w:bCs/>
          <w:sz w:val="24"/>
          <w:szCs w:val="24"/>
        </w:rPr>
        <w:t xml:space="preserve"> in Coimbatore </w:t>
      </w:r>
    </w:p>
    <w:p w14:paraId="0756DBD9" w14:textId="55BF937E"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Industrial Agroforestry Systems</w:t>
      </w:r>
    </w:p>
    <w:p w14:paraId="51E443BF" w14:textId="2181BCD6" w:rsidR="00462DE3" w:rsidRPr="00C309F4" w:rsidRDefault="00462DE3" w:rsidP="008520DE">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Industrial agroforestry systems dominate the study area, representing 56.67% of total respondents. Among them, commercial timber plantations (26.67%)</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 xml:space="preserve">particularly of Teak (Tectona grandis), Eucalyptus spp., and Casuarina </w:t>
      </w:r>
      <w:proofErr w:type="spellStart"/>
      <w:r w:rsidRPr="00C309F4">
        <w:rPr>
          <w:rFonts w:ascii="Times New Roman" w:hAnsi="Times New Roman" w:cs="Times New Roman"/>
          <w:sz w:val="24"/>
          <w:szCs w:val="24"/>
        </w:rPr>
        <w:t>equisetifolia</w:t>
      </w:r>
      <w:proofErr w:type="spellEnd"/>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widely practiced due to high market returns (</w:t>
      </w:r>
      <w:proofErr w:type="spellStart"/>
      <w:r w:rsidRPr="00C309F4">
        <w:rPr>
          <w:rFonts w:ascii="Times New Roman" w:hAnsi="Times New Roman" w:cs="Times New Roman"/>
          <w:sz w:val="24"/>
          <w:szCs w:val="24"/>
        </w:rPr>
        <w:t>Jambulingam</w:t>
      </w:r>
      <w:proofErr w:type="spellEnd"/>
      <w:r w:rsidRPr="00C309F4">
        <w:rPr>
          <w:rFonts w:ascii="Times New Roman" w:hAnsi="Times New Roman" w:cs="Times New Roman"/>
          <w:sz w:val="24"/>
          <w:szCs w:val="24"/>
        </w:rPr>
        <w:t xml:space="preserve"> &amp; Fernandes, 1986</w:t>
      </w:r>
      <w:r w:rsidR="00582AEA" w:rsidRPr="00C309F4">
        <w:rPr>
          <w:rFonts w:ascii="Times New Roman" w:hAnsi="Times New Roman" w:cs="Times New Roman"/>
          <w:sz w:val="24"/>
          <w:szCs w:val="24"/>
        </w:rPr>
        <w:t>). The</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contract farming (16.67%) with paper and plywood industries has increased as companies seek reliable raw material supply. Farmers receive technical guidance and assured buyback arrangements, offering a sense of financial security (</w:t>
      </w:r>
      <w:proofErr w:type="spellStart"/>
      <w:r w:rsidRPr="00C309F4">
        <w:rPr>
          <w:rFonts w:ascii="Times New Roman" w:hAnsi="Times New Roman" w:cs="Times New Roman"/>
          <w:sz w:val="24"/>
          <w:szCs w:val="24"/>
        </w:rPr>
        <w:t>Murniati</w:t>
      </w:r>
      <w:proofErr w:type="spellEnd"/>
      <w:r w:rsidRPr="00C309F4">
        <w:rPr>
          <w:rFonts w:ascii="Times New Roman" w:hAnsi="Times New Roman" w:cs="Times New Roman"/>
          <w:sz w:val="24"/>
          <w:szCs w:val="24"/>
        </w:rPr>
        <w:t xml:space="preserve"> et al., 2001).</w:t>
      </w:r>
      <w:r w:rsidR="008520DE" w:rsidRPr="00C309F4">
        <w:rPr>
          <w:rFonts w:ascii="Times New Roman" w:hAnsi="Times New Roman" w:cs="Times New Roman"/>
          <w:sz w:val="24"/>
          <w:szCs w:val="24"/>
        </w:rPr>
        <w:t xml:space="preserve"> </w:t>
      </w:r>
      <w:r w:rsidRPr="00C309F4">
        <w:rPr>
          <w:rFonts w:ascii="Times New Roman" w:hAnsi="Times New Roman" w:cs="Times New Roman"/>
          <w:sz w:val="24"/>
          <w:szCs w:val="24"/>
        </w:rPr>
        <w:t>Additionally, integrated agroforestry with high-value crops (13.33%) combines timber trees with crops such as banana and guava, enhancing profitability and resource utilization (Molnar et al., 2013).</w:t>
      </w:r>
    </w:p>
    <w:p w14:paraId="738C278B" w14:textId="56DF9E81" w:rsidR="00462DE3" w:rsidRPr="00C309F4" w:rsidRDefault="00462DE3" w:rsidP="008520DE">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The preference for industrial systems is mainly driven by short rotation cycles, quick financial returns, and established market linkages (Waldron et al., 2017). However, monoculture practices can threaten biodiversity and soil fertility if ecological considerations are neglected (Mbow et al., 2014).</w:t>
      </w:r>
    </w:p>
    <w:p w14:paraId="4DEB4B96" w14:textId="0799EB93" w:rsidR="00F86569" w:rsidRPr="00C309F4" w:rsidRDefault="008520DE" w:rsidP="008520DE">
      <w:pPr>
        <w:jc w:val="center"/>
        <w:rPr>
          <w:rFonts w:ascii="Times New Roman" w:hAnsi="Times New Roman" w:cs="Times New Roman"/>
          <w:sz w:val="24"/>
          <w:szCs w:val="24"/>
        </w:rPr>
      </w:pPr>
      <w:r w:rsidRPr="00C309F4">
        <w:rPr>
          <w:rFonts w:ascii="Times New Roman" w:hAnsi="Times New Roman" w:cs="Times New Roman"/>
          <w:noProof/>
          <w:color w:val="00B050"/>
          <w:sz w:val="24"/>
          <w:szCs w:val="24"/>
        </w:rPr>
        <w:lastRenderedPageBreak/>
        <w:drawing>
          <wp:inline distT="0" distB="0" distL="0" distR="0" wp14:anchorId="36EF1768" wp14:editId="2016FAD6">
            <wp:extent cx="4381500" cy="3467100"/>
            <wp:effectExtent l="0" t="0" r="0" b="0"/>
            <wp:docPr id="1" name="Chart 1">
              <a:extLst xmlns:a="http://schemas.openxmlformats.org/drawingml/2006/main">
                <a:ext uri="{FF2B5EF4-FFF2-40B4-BE49-F238E27FC236}">
                  <a16:creationId xmlns:a16="http://schemas.microsoft.com/office/drawing/2014/main" id="{03302310-0FCF-F91E-EBF4-27B8C8EDDE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4C6E458" w14:textId="5AE92C39" w:rsidR="00F86569" w:rsidRPr="00F86569" w:rsidRDefault="00F86569" w:rsidP="00016F4D">
      <w:pPr>
        <w:spacing w:line="360" w:lineRule="auto"/>
        <w:jc w:val="both"/>
        <w:rPr>
          <w:rFonts w:ascii="Times New Roman" w:eastAsia="Times New Roman" w:hAnsi="Times New Roman" w:cs="Times New Roman"/>
          <w:sz w:val="24"/>
          <w:szCs w:val="24"/>
          <w:lang w:eastAsia="en-IN"/>
        </w:rPr>
      </w:pPr>
      <w:r w:rsidRPr="00C309F4">
        <w:rPr>
          <w:rFonts w:ascii="Times New Roman" w:hAnsi="Times New Roman" w:cs="Times New Roman"/>
          <w:noProof/>
          <w:sz w:val="24"/>
          <w:szCs w:val="24"/>
        </w:rPr>
        <mc:AlternateContent>
          <mc:Choice Requires="wps">
            <w:drawing>
              <wp:inline distT="0" distB="0" distL="0" distR="0" wp14:anchorId="6C907E3E" wp14:editId="7E4806D5">
                <wp:extent cx="304800" cy="304800"/>
                <wp:effectExtent l="0" t="0" r="0" b="0"/>
                <wp:docPr id="4" name="AutoShap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rect w14:anchorId="7B723040" id="AutoShap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2F4F1E" w:rsidRPr="00C309F4">
        <w:rPr>
          <w:rFonts w:ascii="Times New Roman" w:hAnsi="Times New Roman" w:cs="Times New Roman"/>
          <w:sz w:val="24"/>
          <w:szCs w:val="24"/>
        </w:rPr>
        <w:t xml:space="preserve">It is inferred thar </w:t>
      </w:r>
      <w:r w:rsidRPr="00F86569">
        <w:rPr>
          <w:rFonts w:ascii="Times New Roman" w:eastAsia="Times New Roman" w:hAnsi="Times New Roman" w:cs="Times New Roman"/>
          <w:sz w:val="24"/>
          <w:szCs w:val="24"/>
          <w:lang w:eastAsia="en-IN"/>
        </w:rPr>
        <w:t>distribution of agroforestry system types among farmers in Tamil Nadu. It visually shows that industrial agroforestry dominates</w:t>
      </w:r>
      <w:r w:rsidR="002F4F1E" w:rsidRPr="00C309F4">
        <w:rPr>
          <w:rFonts w:ascii="Times New Roman" w:eastAsia="Times New Roman" w:hAnsi="Times New Roman" w:cs="Times New Roman"/>
          <w:sz w:val="24"/>
          <w:szCs w:val="24"/>
          <w:lang w:eastAsia="en-IN"/>
        </w:rPr>
        <w:t xml:space="preserve"> p</w:t>
      </w:r>
      <w:r w:rsidRPr="00F86569">
        <w:rPr>
          <w:rFonts w:ascii="Times New Roman" w:eastAsia="Times New Roman" w:hAnsi="Times New Roman" w:cs="Times New Roman"/>
          <w:sz w:val="24"/>
          <w:szCs w:val="24"/>
          <w:lang w:eastAsia="en-IN"/>
        </w:rPr>
        <w:t xml:space="preserve">articularly commercial timber plantations and contract </w:t>
      </w:r>
      <w:r w:rsidR="002F4F1E" w:rsidRPr="00C309F4">
        <w:rPr>
          <w:rFonts w:ascii="Times New Roman" w:eastAsia="Times New Roman" w:hAnsi="Times New Roman" w:cs="Times New Roman"/>
          <w:sz w:val="24"/>
          <w:szCs w:val="24"/>
          <w:lang w:eastAsia="en-IN"/>
        </w:rPr>
        <w:t>farming, while</w:t>
      </w:r>
      <w:r w:rsidRPr="00F86569">
        <w:rPr>
          <w:rFonts w:ascii="Times New Roman" w:eastAsia="Times New Roman" w:hAnsi="Times New Roman" w:cs="Times New Roman"/>
          <w:sz w:val="24"/>
          <w:szCs w:val="24"/>
          <w:lang w:eastAsia="en-IN"/>
        </w:rPr>
        <w:t xml:space="preserve"> traditional systems still hold a significant share for livelihood and ecological</w:t>
      </w:r>
    </w:p>
    <w:p w14:paraId="47604088" w14:textId="527D4A93"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Traditional Agroforestry Systems</w:t>
      </w:r>
    </w:p>
    <w:p w14:paraId="3FA00758" w14:textId="77777777"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Traditional agroforestry systems account for 43.33% of the respondents and remain vital for smallholder livelihoods. The most common forms include </w:t>
      </w: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xml:space="preserve"> (20%), </w:t>
      </w:r>
      <w:proofErr w:type="spellStart"/>
      <w:r w:rsidRPr="00C309F4">
        <w:rPr>
          <w:rFonts w:ascii="Times New Roman" w:hAnsi="Times New Roman" w:cs="Times New Roman"/>
          <w:sz w:val="24"/>
          <w:szCs w:val="24"/>
        </w:rPr>
        <w:t>agrosilvicultural</w:t>
      </w:r>
      <w:proofErr w:type="spellEnd"/>
      <w:r w:rsidRPr="00C309F4">
        <w:rPr>
          <w:rFonts w:ascii="Times New Roman" w:hAnsi="Times New Roman" w:cs="Times New Roman"/>
          <w:sz w:val="24"/>
          <w:szCs w:val="24"/>
        </w:rPr>
        <w:t xml:space="preserve"> systems (13.33%), and traditional plantations (10%).</w:t>
      </w:r>
    </w:p>
    <w:p w14:paraId="794681B3" w14:textId="77777777" w:rsidR="00462DE3" w:rsidRPr="00C309F4" w:rsidRDefault="00462DE3" w:rsidP="00016F4D">
      <w:pPr>
        <w:spacing w:line="360" w:lineRule="auto"/>
        <w:ind w:firstLine="720"/>
        <w:jc w:val="both"/>
        <w:rPr>
          <w:rFonts w:ascii="Times New Roman" w:hAnsi="Times New Roman" w:cs="Times New Roman"/>
          <w:sz w:val="24"/>
          <w:szCs w:val="24"/>
        </w:rPr>
      </w:pPr>
      <w:proofErr w:type="spellStart"/>
      <w:r w:rsidRPr="00C309F4">
        <w:rPr>
          <w:rFonts w:ascii="Times New Roman" w:hAnsi="Times New Roman" w:cs="Times New Roman"/>
          <w:sz w:val="24"/>
          <w:szCs w:val="24"/>
        </w:rPr>
        <w:t>Homegardens</w:t>
      </w:r>
      <w:proofErr w:type="spellEnd"/>
      <w:r w:rsidRPr="00C309F4">
        <w:rPr>
          <w:rFonts w:ascii="Times New Roman" w:hAnsi="Times New Roman" w:cs="Times New Roman"/>
          <w:sz w:val="24"/>
          <w:szCs w:val="24"/>
        </w:rPr>
        <w:t>, typical of rural Tamil Nadu, represent integrated systems producing fruits, vegetables, and fodder within small landholdings, thus ensuring household nutrition and resilience (Paudel &amp; Pandey, 2013). These systems rely heavily on indigenous knowledge and community management, reflecting social capital in resource use (Pretty, 2003; Agarwal, 2001).</w:t>
      </w:r>
    </w:p>
    <w:p w14:paraId="20EA9BDA" w14:textId="338B7F5A" w:rsidR="00462DE3" w:rsidRPr="00C309F4" w:rsidRDefault="00462DE3" w:rsidP="00016F4D">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While economic returns from traditional systems are gradual, they offer significant ecological benefits such as soil conservation, microclimate regulation, and carbon sequestration (Leakey, 2014; </w:t>
      </w:r>
      <w:proofErr w:type="spellStart"/>
      <w:r w:rsidRPr="00C309F4">
        <w:rPr>
          <w:rFonts w:ascii="Times New Roman" w:hAnsi="Times New Roman" w:cs="Times New Roman"/>
          <w:sz w:val="24"/>
          <w:szCs w:val="24"/>
        </w:rPr>
        <w:t>Jhariya</w:t>
      </w:r>
      <w:proofErr w:type="spellEnd"/>
      <w:r w:rsidRPr="00C309F4">
        <w:rPr>
          <w:rFonts w:ascii="Times New Roman" w:hAnsi="Times New Roman" w:cs="Times New Roman"/>
          <w:sz w:val="24"/>
          <w:szCs w:val="24"/>
        </w:rPr>
        <w:t xml:space="preserve"> et al., 2015</w:t>
      </w:r>
      <w:r w:rsidR="00333294" w:rsidRPr="00C309F4">
        <w:rPr>
          <w:rFonts w:ascii="Times New Roman" w:hAnsi="Times New Roman" w:cs="Times New Roman"/>
          <w:sz w:val="24"/>
          <w:szCs w:val="24"/>
        </w:rPr>
        <w:t xml:space="preserve">, </w:t>
      </w:r>
      <w:r w:rsidR="00333294" w:rsidRPr="00C309F4">
        <w:rPr>
          <w:rStyle w:val="Strong"/>
          <w:rFonts w:ascii="Times New Roman" w:hAnsi="Times New Roman" w:cs="Times New Roman"/>
          <w:b w:val="0"/>
          <w:bCs w:val="0"/>
          <w:sz w:val="24"/>
          <w:szCs w:val="24"/>
        </w:rPr>
        <w:t>Goswami, et al (2023).</w:t>
      </w:r>
      <w:r w:rsidR="00333294" w:rsidRPr="00C309F4">
        <w:rPr>
          <w:rFonts w:ascii="Times New Roman" w:hAnsi="Times New Roman" w:cs="Times New Roman"/>
          <w:sz w:val="24"/>
          <w:szCs w:val="24"/>
        </w:rPr>
        <w:t xml:space="preserve"> This</w:t>
      </w:r>
      <w:r w:rsidR="00C652A3" w:rsidRPr="00C309F4">
        <w:rPr>
          <w:rFonts w:ascii="Times New Roman" w:hAnsi="Times New Roman" w:cs="Times New Roman"/>
          <w:sz w:val="24"/>
          <w:szCs w:val="24"/>
        </w:rPr>
        <w:t xml:space="preserve"> findin</w:t>
      </w:r>
      <w:r w:rsidR="00333294" w:rsidRPr="00C309F4">
        <w:rPr>
          <w:rFonts w:ascii="Times New Roman" w:hAnsi="Times New Roman" w:cs="Times New Roman"/>
          <w:sz w:val="24"/>
          <w:szCs w:val="24"/>
        </w:rPr>
        <w:t>g</w:t>
      </w:r>
      <w:r w:rsidR="00C652A3" w:rsidRPr="00C309F4">
        <w:rPr>
          <w:rFonts w:ascii="Times New Roman" w:hAnsi="Times New Roman" w:cs="Times New Roman"/>
          <w:sz w:val="24"/>
          <w:szCs w:val="24"/>
        </w:rPr>
        <w:t xml:space="preserve">s </w:t>
      </w:r>
      <w:r w:rsidR="00333294" w:rsidRPr="00C309F4">
        <w:rPr>
          <w:rFonts w:ascii="Times New Roman" w:hAnsi="Times New Roman" w:cs="Times New Roman"/>
          <w:sz w:val="24"/>
          <w:szCs w:val="24"/>
        </w:rPr>
        <w:t>conformity</w:t>
      </w:r>
      <w:r w:rsidR="00C652A3" w:rsidRPr="00C309F4">
        <w:rPr>
          <w:rFonts w:ascii="Times New Roman" w:hAnsi="Times New Roman" w:cs="Times New Roman"/>
          <w:sz w:val="24"/>
          <w:szCs w:val="24"/>
        </w:rPr>
        <w:t xml:space="preserve"> with Kumar and Nair (2022).</w:t>
      </w:r>
    </w:p>
    <w:p w14:paraId="39FD55F6" w14:textId="77777777" w:rsidR="00EF1FC1" w:rsidRDefault="00EF1FC1" w:rsidP="00271707">
      <w:pPr>
        <w:jc w:val="center"/>
        <w:rPr>
          <w:rFonts w:ascii="Times New Roman" w:hAnsi="Times New Roman" w:cs="Times New Roman"/>
          <w:b/>
          <w:bCs/>
          <w:sz w:val="24"/>
          <w:szCs w:val="24"/>
        </w:rPr>
      </w:pPr>
    </w:p>
    <w:p w14:paraId="6A6BD7CE" w14:textId="501A6AE5" w:rsidR="00462DE3" w:rsidRDefault="006F6E1F" w:rsidP="00271707">
      <w:pPr>
        <w:jc w:val="center"/>
        <w:rPr>
          <w:rFonts w:ascii="Times New Roman" w:hAnsi="Times New Roman" w:cs="Times New Roman"/>
          <w:b/>
          <w:bCs/>
          <w:sz w:val="24"/>
          <w:szCs w:val="24"/>
        </w:rPr>
      </w:pPr>
      <w:r w:rsidRPr="00C309F4">
        <w:rPr>
          <w:rFonts w:ascii="Times New Roman" w:hAnsi="Times New Roman" w:cs="Times New Roman"/>
          <w:b/>
          <w:bCs/>
          <w:sz w:val="24"/>
          <w:szCs w:val="24"/>
        </w:rPr>
        <w:lastRenderedPageBreak/>
        <w:t xml:space="preserve">Table 1. </w:t>
      </w:r>
      <w:r w:rsidR="00462DE3" w:rsidRPr="00C309F4">
        <w:rPr>
          <w:rFonts w:ascii="Times New Roman" w:hAnsi="Times New Roman" w:cs="Times New Roman"/>
          <w:b/>
          <w:bCs/>
          <w:sz w:val="24"/>
          <w:szCs w:val="24"/>
        </w:rPr>
        <w:t>Socio-Economic Analysis of Traditional and Industrial Agroforestry</w:t>
      </w:r>
    </w:p>
    <w:p w14:paraId="7AA0651C" w14:textId="00CD7F1C" w:rsidR="00E93297" w:rsidRPr="00C309F4" w:rsidRDefault="00E93297" w:rsidP="00271707">
      <w:pPr>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E93297">
        <w:rPr>
          <w:rFonts w:ascii="Times New Roman" w:hAnsi="Times New Roman" w:cs="Times New Roman"/>
          <w:b/>
          <w:bCs/>
          <w:sz w:val="24"/>
          <w:szCs w:val="24"/>
        </w:rPr>
        <w:t>N 30</w:t>
      </w:r>
    </w:p>
    <w:tbl>
      <w:tblPr>
        <w:tblStyle w:val="TableGrid"/>
        <w:tblW w:w="0" w:type="auto"/>
        <w:tblLook w:val="04A0" w:firstRow="1" w:lastRow="0" w:firstColumn="1" w:lastColumn="0" w:noHBand="0" w:noVBand="1"/>
      </w:tblPr>
      <w:tblGrid>
        <w:gridCol w:w="2263"/>
        <w:gridCol w:w="3747"/>
        <w:gridCol w:w="3006"/>
      </w:tblGrid>
      <w:tr w:rsidR="00876FB4" w:rsidRPr="00C309F4" w14:paraId="155064D9" w14:textId="77777777" w:rsidTr="00F331F0">
        <w:tc>
          <w:tcPr>
            <w:tcW w:w="2263" w:type="dxa"/>
          </w:tcPr>
          <w:p w14:paraId="1313884B" w14:textId="02923CE6"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Aspect</w:t>
            </w:r>
          </w:p>
        </w:tc>
        <w:tc>
          <w:tcPr>
            <w:tcW w:w="3747" w:type="dxa"/>
          </w:tcPr>
          <w:p w14:paraId="6F60629C" w14:textId="3F36E9EB"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Traditional Agroforestry</w:t>
            </w:r>
          </w:p>
        </w:tc>
        <w:tc>
          <w:tcPr>
            <w:tcW w:w="3006" w:type="dxa"/>
          </w:tcPr>
          <w:p w14:paraId="5FB3F1CE" w14:textId="6C0B9180" w:rsidR="00876FB4" w:rsidRPr="00C309F4" w:rsidRDefault="00876FB4" w:rsidP="006F6E1F">
            <w:pPr>
              <w:jc w:val="center"/>
              <w:rPr>
                <w:rFonts w:ascii="Times New Roman" w:hAnsi="Times New Roman" w:cs="Times New Roman"/>
                <w:b/>
                <w:bCs/>
                <w:sz w:val="24"/>
                <w:szCs w:val="24"/>
              </w:rPr>
            </w:pPr>
            <w:r w:rsidRPr="00C309F4">
              <w:rPr>
                <w:rFonts w:ascii="Times New Roman" w:hAnsi="Times New Roman" w:cs="Times New Roman"/>
                <w:b/>
                <w:bCs/>
                <w:sz w:val="24"/>
                <w:szCs w:val="24"/>
              </w:rPr>
              <w:t>Industrial Agroforestry</w:t>
            </w:r>
          </w:p>
        </w:tc>
      </w:tr>
      <w:tr w:rsidR="00876FB4" w:rsidRPr="00C309F4" w14:paraId="3CE5483B" w14:textId="77777777" w:rsidTr="00F331F0">
        <w:tc>
          <w:tcPr>
            <w:tcW w:w="2263" w:type="dxa"/>
          </w:tcPr>
          <w:p w14:paraId="564D81D9" w14:textId="6B756505"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Income Source</w:t>
            </w:r>
          </w:p>
        </w:tc>
        <w:tc>
          <w:tcPr>
            <w:tcW w:w="3747" w:type="dxa"/>
          </w:tcPr>
          <w:p w14:paraId="3992F3F0" w14:textId="1F1C6467"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43%</w:t>
            </w:r>
          </w:p>
          <w:p w14:paraId="767B3C31" w14:textId="760E5694" w:rsidR="00876FB4" w:rsidRPr="00C309F4" w:rsidRDefault="00F331F0" w:rsidP="00F331F0">
            <w:pPr>
              <w:jc w:val="both"/>
              <w:rPr>
                <w:rFonts w:ascii="Times New Roman" w:hAnsi="Times New Roman" w:cs="Times New Roman"/>
                <w:sz w:val="24"/>
                <w:szCs w:val="24"/>
              </w:rPr>
            </w:pPr>
            <w:r w:rsidRPr="00C309F4">
              <w:rPr>
                <w:rFonts w:ascii="Times New Roman" w:hAnsi="Times New Roman" w:cs="Times New Roman"/>
                <w:sz w:val="24"/>
                <w:szCs w:val="24"/>
              </w:rPr>
              <w:t>farmers rely on diversified income sources, ensuring long-term benefits but slower returns</w:t>
            </w:r>
          </w:p>
        </w:tc>
        <w:tc>
          <w:tcPr>
            <w:tcW w:w="3006" w:type="dxa"/>
          </w:tcPr>
          <w:p w14:paraId="1A1CE44E" w14:textId="4997A076"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56%</w:t>
            </w:r>
          </w:p>
          <w:p w14:paraId="70C12640" w14:textId="41A8C4C9" w:rsidR="00876FB4" w:rsidRPr="00C309F4" w:rsidRDefault="006F6E1F" w:rsidP="006F6E1F">
            <w:pPr>
              <w:jc w:val="both"/>
              <w:rPr>
                <w:rFonts w:ascii="Times New Roman" w:hAnsi="Times New Roman" w:cs="Times New Roman"/>
                <w:sz w:val="24"/>
                <w:szCs w:val="24"/>
              </w:rPr>
            </w:pPr>
            <w:r w:rsidRPr="00C309F4">
              <w:rPr>
                <w:rFonts w:ascii="Times New Roman" w:hAnsi="Times New Roman" w:cs="Times New Roman"/>
                <w:sz w:val="24"/>
                <w:szCs w:val="24"/>
              </w:rPr>
              <w:t>(Farmers</w:t>
            </w:r>
            <w:r w:rsidR="00F331F0" w:rsidRPr="00C309F4">
              <w:rPr>
                <w:rFonts w:ascii="Times New Roman" w:hAnsi="Times New Roman" w:cs="Times New Roman"/>
                <w:sz w:val="24"/>
                <w:szCs w:val="24"/>
              </w:rPr>
              <w:t xml:space="preserve"> obtain faster returns but face market price fluctuations</w:t>
            </w:r>
            <w:r w:rsidRPr="00C309F4">
              <w:rPr>
                <w:rFonts w:ascii="Times New Roman" w:hAnsi="Times New Roman" w:cs="Times New Roman"/>
                <w:sz w:val="24"/>
                <w:szCs w:val="24"/>
              </w:rPr>
              <w:t>)</w:t>
            </w:r>
            <w:r w:rsidR="00F331F0" w:rsidRPr="00C309F4">
              <w:rPr>
                <w:rFonts w:ascii="Times New Roman" w:hAnsi="Times New Roman" w:cs="Times New Roman"/>
                <w:sz w:val="24"/>
                <w:szCs w:val="24"/>
              </w:rPr>
              <w:t>.</w:t>
            </w:r>
          </w:p>
        </w:tc>
      </w:tr>
      <w:tr w:rsidR="00876FB4" w:rsidRPr="00C309F4" w14:paraId="158FEC45" w14:textId="77777777" w:rsidTr="00F331F0">
        <w:tc>
          <w:tcPr>
            <w:tcW w:w="2263" w:type="dxa"/>
          </w:tcPr>
          <w:p w14:paraId="563204C5" w14:textId="060F48F7"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Market &amp; Value Chain</w:t>
            </w:r>
          </w:p>
        </w:tc>
        <w:tc>
          <w:tcPr>
            <w:tcW w:w="3747" w:type="dxa"/>
          </w:tcPr>
          <w:p w14:paraId="5C76E98C" w14:textId="1F4487FB"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25%</w:t>
            </w:r>
          </w:p>
          <w:p w14:paraId="57EDDB1F" w14:textId="3BD7AF90"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depend on local markets; limited access to large buyers</w:t>
            </w:r>
          </w:p>
        </w:tc>
        <w:tc>
          <w:tcPr>
            <w:tcW w:w="3006" w:type="dxa"/>
          </w:tcPr>
          <w:p w14:paraId="66078574" w14:textId="58F3A93B"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20%</w:t>
            </w:r>
          </w:p>
          <w:p w14:paraId="5AFC2122" w14:textId="70541DC8"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benefit from contract farming; however, they face price volatility and contractual risks.</w:t>
            </w:r>
          </w:p>
        </w:tc>
      </w:tr>
      <w:tr w:rsidR="00876FB4" w:rsidRPr="00C309F4" w14:paraId="0BAB936E" w14:textId="77777777" w:rsidTr="00F331F0">
        <w:tc>
          <w:tcPr>
            <w:tcW w:w="2263" w:type="dxa"/>
          </w:tcPr>
          <w:p w14:paraId="38327D50" w14:textId="45D50A91"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Social &amp; Livelihood Aspects</w:t>
            </w:r>
          </w:p>
        </w:tc>
        <w:tc>
          <w:tcPr>
            <w:tcW w:w="3747" w:type="dxa"/>
          </w:tcPr>
          <w:p w14:paraId="03785EC0" w14:textId="23216361"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17%</w:t>
            </w:r>
          </w:p>
          <w:p w14:paraId="03FE3005" w14:textId="331D3B4A"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emphasize food security, social sustainability, and community participation</w:t>
            </w:r>
          </w:p>
        </w:tc>
        <w:tc>
          <w:tcPr>
            <w:tcW w:w="3006" w:type="dxa"/>
          </w:tcPr>
          <w:p w14:paraId="2560184C" w14:textId="6146B329"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10%</w:t>
            </w:r>
          </w:p>
          <w:p w14:paraId="4984EE02" w14:textId="23523FA3" w:rsidR="00876FB4" w:rsidRPr="00C309F4" w:rsidRDefault="00F331F0" w:rsidP="00462DE3">
            <w:pPr>
              <w:rPr>
                <w:rFonts w:ascii="Times New Roman" w:hAnsi="Times New Roman" w:cs="Times New Roman"/>
                <w:sz w:val="24"/>
                <w:szCs w:val="24"/>
              </w:rPr>
            </w:pPr>
            <w:r w:rsidRPr="00C309F4">
              <w:rPr>
                <w:rFonts w:ascii="Times New Roman" w:hAnsi="Times New Roman" w:cs="Times New Roman"/>
                <w:sz w:val="24"/>
                <w:szCs w:val="24"/>
              </w:rPr>
              <w:t>contribute to rural economic growth but face land-use changes and biodiversity loss.</w:t>
            </w:r>
          </w:p>
        </w:tc>
      </w:tr>
      <w:tr w:rsidR="00876FB4" w:rsidRPr="00C309F4" w14:paraId="005C5BC3" w14:textId="77777777" w:rsidTr="00F331F0">
        <w:tc>
          <w:tcPr>
            <w:tcW w:w="2263" w:type="dxa"/>
          </w:tcPr>
          <w:p w14:paraId="7D66D50E" w14:textId="1DE4633D" w:rsidR="00876FB4" w:rsidRPr="00C309F4" w:rsidRDefault="00F331F0" w:rsidP="00462DE3">
            <w:pPr>
              <w:rPr>
                <w:rFonts w:ascii="Times New Roman" w:hAnsi="Times New Roman" w:cs="Times New Roman"/>
                <w:b/>
                <w:bCs/>
                <w:sz w:val="24"/>
                <w:szCs w:val="24"/>
              </w:rPr>
            </w:pPr>
            <w:r w:rsidRPr="00C309F4">
              <w:rPr>
                <w:rFonts w:ascii="Times New Roman" w:hAnsi="Times New Roman" w:cs="Times New Roman"/>
                <w:b/>
                <w:bCs/>
                <w:sz w:val="24"/>
                <w:szCs w:val="24"/>
              </w:rPr>
              <w:t>Employment &amp; Labour Dynamics</w:t>
            </w:r>
          </w:p>
        </w:tc>
        <w:tc>
          <w:tcPr>
            <w:tcW w:w="3747" w:type="dxa"/>
          </w:tcPr>
          <w:p w14:paraId="4A9AE3AD" w14:textId="1FC46C5A"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15%</w:t>
            </w:r>
          </w:p>
          <w:p w14:paraId="6D0880A8" w14:textId="75CCBDD1" w:rsidR="00876FB4" w:rsidRPr="00C309F4" w:rsidRDefault="00F331F0" w:rsidP="006F6E1F">
            <w:pPr>
              <w:jc w:val="both"/>
              <w:rPr>
                <w:rFonts w:ascii="Times New Roman" w:hAnsi="Times New Roman" w:cs="Times New Roman"/>
                <w:sz w:val="24"/>
                <w:szCs w:val="24"/>
              </w:rPr>
            </w:pPr>
            <w:r w:rsidRPr="00C309F4">
              <w:rPr>
                <w:rFonts w:ascii="Times New Roman" w:hAnsi="Times New Roman" w:cs="Times New Roman"/>
                <w:sz w:val="24"/>
                <w:szCs w:val="24"/>
              </w:rPr>
              <w:t>depend on family labour and community support, reducing external costs.</w:t>
            </w:r>
          </w:p>
        </w:tc>
        <w:tc>
          <w:tcPr>
            <w:tcW w:w="3006" w:type="dxa"/>
          </w:tcPr>
          <w:p w14:paraId="3CA3DFC8" w14:textId="4D7D76E3" w:rsidR="006F6E1F" w:rsidRPr="00C309F4" w:rsidRDefault="00F331F0" w:rsidP="006F6E1F">
            <w:pPr>
              <w:jc w:val="center"/>
              <w:rPr>
                <w:rFonts w:ascii="Times New Roman" w:hAnsi="Times New Roman" w:cs="Times New Roman"/>
                <w:sz w:val="24"/>
                <w:szCs w:val="24"/>
              </w:rPr>
            </w:pPr>
            <w:r w:rsidRPr="00C309F4">
              <w:rPr>
                <w:rFonts w:ascii="Times New Roman" w:hAnsi="Times New Roman" w:cs="Times New Roman"/>
                <w:sz w:val="24"/>
                <w:szCs w:val="24"/>
              </w:rPr>
              <w:t>14%</w:t>
            </w:r>
          </w:p>
          <w:p w14:paraId="7A3C8F8F" w14:textId="7290EB68" w:rsidR="00876FB4" w:rsidRPr="00C309F4" w:rsidRDefault="00F331F0" w:rsidP="00F331F0">
            <w:pPr>
              <w:jc w:val="both"/>
              <w:rPr>
                <w:rFonts w:ascii="Times New Roman" w:hAnsi="Times New Roman" w:cs="Times New Roman"/>
                <w:sz w:val="24"/>
                <w:szCs w:val="24"/>
              </w:rPr>
            </w:pPr>
            <w:r w:rsidRPr="00C309F4">
              <w:rPr>
                <w:rFonts w:ascii="Times New Roman" w:hAnsi="Times New Roman" w:cs="Times New Roman"/>
                <w:sz w:val="24"/>
                <w:szCs w:val="24"/>
              </w:rPr>
              <w:t>depend on seasonal labour; mechanization reduces long-term employment.</w:t>
            </w:r>
          </w:p>
        </w:tc>
      </w:tr>
    </w:tbl>
    <w:p w14:paraId="3BA69151" w14:textId="77777777" w:rsidR="005230B8" w:rsidRDefault="003466A2" w:rsidP="0039217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3B05792" w14:textId="5759A2AA" w:rsidR="0039217F" w:rsidRPr="00C309F4" w:rsidRDefault="005230B8" w:rsidP="0039217F">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3466A2">
        <w:rPr>
          <w:rFonts w:ascii="Times New Roman" w:hAnsi="Times New Roman" w:cs="Times New Roman"/>
          <w:b/>
          <w:bCs/>
          <w:sz w:val="24"/>
          <w:szCs w:val="24"/>
        </w:rPr>
        <w:t xml:space="preserve">  Fig.2</w:t>
      </w:r>
      <w:r>
        <w:rPr>
          <w:rFonts w:ascii="Times New Roman" w:hAnsi="Times New Roman" w:cs="Times New Roman"/>
          <w:b/>
          <w:bCs/>
          <w:sz w:val="24"/>
          <w:szCs w:val="24"/>
        </w:rPr>
        <w:t xml:space="preserve"> Comparison of Traditional and Industrial Agroforestry systems</w:t>
      </w:r>
    </w:p>
    <w:p w14:paraId="21331E4B" w14:textId="1BCF6B1C" w:rsidR="006F6E1F" w:rsidRPr="00C309F4" w:rsidRDefault="006F6E1F" w:rsidP="0039217F">
      <w:pPr>
        <w:spacing w:line="360" w:lineRule="auto"/>
        <w:ind w:firstLine="720"/>
        <w:jc w:val="both"/>
        <w:rPr>
          <w:rFonts w:ascii="Times New Roman" w:hAnsi="Times New Roman" w:cs="Times New Roman"/>
          <w:sz w:val="24"/>
          <w:szCs w:val="24"/>
        </w:rPr>
      </w:pPr>
      <w:r w:rsidRPr="00C309F4">
        <w:rPr>
          <w:rFonts w:ascii="Times New Roman" w:hAnsi="Times New Roman" w:cs="Times New Roman"/>
          <w:noProof/>
          <w:sz w:val="24"/>
          <w:szCs w:val="24"/>
        </w:rPr>
        <w:drawing>
          <wp:inline distT="0" distB="0" distL="0" distR="0" wp14:anchorId="099A1365" wp14:editId="32F6299D">
            <wp:extent cx="4871085" cy="2752090"/>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253"/>
                    <a:stretch/>
                  </pic:blipFill>
                  <pic:spPr bwMode="auto">
                    <a:xfrm>
                      <a:off x="0" y="0"/>
                      <a:ext cx="4871085" cy="2752090"/>
                    </a:xfrm>
                    <a:prstGeom prst="rect">
                      <a:avLst/>
                    </a:prstGeom>
                    <a:noFill/>
                    <a:ln>
                      <a:noFill/>
                    </a:ln>
                    <a:extLst>
                      <a:ext uri="{53640926-AAD7-44D8-BBD7-CCE9431645EC}">
                        <a14:shadowObscured xmlns:a14="http://schemas.microsoft.com/office/drawing/2010/main"/>
                      </a:ext>
                    </a:extLst>
                  </pic:spPr>
                </pic:pic>
              </a:graphicData>
            </a:graphic>
          </wp:inline>
        </w:drawing>
      </w:r>
    </w:p>
    <w:p w14:paraId="11AC3F22" w14:textId="14F4C784" w:rsidR="00ED66D4" w:rsidRDefault="00ED66D4" w:rsidP="00ED66D4">
      <w:pPr>
        <w:spacing w:line="360" w:lineRule="auto"/>
        <w:ind w:firstLine="720"/>
        <w:jc w:val="both"/>
        <w:rPr>
          <w:rFonts w:ascii="Times New Roman" w:hAnsi="Times New Roman" w:cs="Times New Roman"/>
          <w:sz w:val="24"/>
          <w:szCs w:val="24"/>
        </w:rPr>
      </w:pPr>
      <w:r w:rsidRPr="00ED66D4">
        <w:rPr>
          <w:rFonts w:ascii="Times New Roman" w:hAnsi="Times New Roman" w:cs="Times New Roman"/>
          <w:sz w:val="24"/>
          <w:szCs w:val="24"/>
        </w:rPr>
        <w:t xml:space="preserve">Higher proportion (56%) of farmers in industrial agroforestry depend on it as a primary income </w:t>
      </w:r>
      <w:proofErr w:type="gramStart"/>
      <w:r w:rsidRPr="00ED66D4">
        <w:rPr>
          <w:rFonts w:ascii="Times New Roman" w:hAnsi="Times New Roman" w:cs="Times New Roman"/>
          <w:sz w:val="24"/>
          <w:szCs w:val="24"/>
        </w:rPr>
        <w:t xml:space="preserve">source </w:t>
      </w:r>
      <w:r>
        <w:rPr>
          <w:rFonts w:ascii="Times New Roman" w:hAnsi="Times New Roman" w:cs="Times New Roman"/>
          <w:sz w:val="24"/>
          <w:szCs w:val="24"/>
        </w:rPr>
        <w:t xml:space="preserve"> followed</w:t>
      </w:r>
      <w:proofErr w:type="gramEnd"/>
      <w:r>
        <w:rPr>
          <w:rFonts w:ascii="Times New Roman" w:hAnsi="Times New Roman" w:cs="Times New Roman"/>
          <w:sz w:val="24"/>
          <w:szCs w:val="24"/>
        </w:rPr>
        <w:t xml:space="preserve"> by </w:t>
      </w:r>
      <w:r w:rsidRPr="00ED66D4">
        <w:rPr>
          <w:rFonts w:ascii="Times New Roman" w:hAnsi="Times New Roman" w:cs="Times New Roman"/>
          <w:sz w:val="24"/>
          <w:szCs w:val="24"/>
        </w:rPr>
        <w:t xml:space="preserve"> 43% in traditional systems. Industrial agroforestry provides quick monetary returns through contract-based arrangements but exposes farmers to market price </w:t>
      </w:r>
      <w:proofErr w:type="spellStart"/>
      <w:proofErr w:type="gramStart"/>
      <w:r w:rsidRPr="00ED66D4">
        <w:rPr>
          <w:rFonts w:ascii="Times New Roman" w:hAnsi="Times New Roman" w:cs="Times New Roman"/>
          <w:sz w:val="24"/>
          <w:szCs w:val="24"/>
        </w:rPr>
        <w:t>fluctuations.In</w:t>
      </w:r>
      <w:proofErr w:type="spellEnd"/>
      <w:proofErr w:type="gramEnd"/>
      <w:r w:rsidRPr="00ED66D4">
        <w:rPr>
          <w:rFonts w:ascii="Times New Roman" w:hAnsi="Times New Roman" w:cs="Times New Roman"/>
          <w:sz w:val="24"/>
          <w:szCs w:val="24"/>
        </w:rPr>
        <w:t xml:space="preserve"> contrast, traditional agroforestry ensures income stability and resilience, as it integrates multiple components (trees, crops, livestock).</w:t>
      </w:r>
    </w:p>
    <w:p w14:paraId="21AAFF80" w14:textId="2BDE9001" w:rsidR="00ED66D4" w:rsidRDefault="00ED66D4" w:rsidP="0039217F">
      <w:pPr>
        <w:spacing w:line="360" w:lineRule="auto"/>
        <w:ind w:firstLine="720"/>
        <w:jc w:val="both"/>
        <w:rPr>
          <w:rFonts w:ascii="Times New Roman" w:hAnsi="Times New Roman" w:cs="Times New Roman"/>
          <w:sz w:val="24"/>
          <w:szCs w:val="24"/>
        </w:rPr>
      </w:pPr>
      <w:r w:rsidRPr="00ED66D4">
        <w:rPr>
          <w:rFonts w:ascii="Times New Roman" w:hAnsi="Times New Roman" w:cs="Times New Roman"/>
          <w:sz w:val="24"/>
          <w:szCs w:val="24"/>
        </w:rPr>
        <w:lastRenderedPageBreak/>
        <w:t xml:space="preserve">About </w:t>
      </w:r>
      <w:r w:rsidRPr="00ED66D4">
        <w:rPr>
          <w:rStyle w:val="Strong"/>
          <w:rFonts w:ascii="Times New Roman" w:hAnsi="Times New Roman" w:cs="Times New Roman"/>
          <w:b w:val="0"/>
          <w:bCs w:val="0"/>
          <w:sz w:val="24"/>
          <w:szCs w:val="24"/>
        </w:rPr>
        <w:t>25% of traditional agroforestry farmers</w:t>
      </w:r>
      <w:r w:rsidRPr="00ED66D4">
        <w:rPr>
          <w:rFonts w:ascii="Times New Roman" w:hAnsi="Times New Roman" w:cs="Times New Roman"/>
          <w:sz w:val="24"/>
          <w:szCs w:val="24"/>
        </w:rPr>
        <w:t xml:space="preserve"> depend primarily on </w:t>
      </w:r>
      <w:r w:rsidRPr="00ED66D4">
        <w:rPr>
          <w:rStyle w:val="Strong"/>
          <w:rFonts w:ascii="Times New Roman" w:hAnsi="Times New Roman" w:cs="Times New Roman"/>
          <w:b w:val="0"/>
          <w:bCs w:val="0"/>
          <w:sz w:val="24"/>
          <w:szCs w:val="24"/>
        </w:rPr>
        <w:t>local markets</w:t>
      </w:r>
      <w:r w:rsidRPr="00ED66D4">
        <w:rPr>
          <w:rFonts w:ascii="Times New Roman" w:hAnsi="Times New Roman" w:cs="Times New Roman"/>
          <w:b/>
          <w:bCs/>
          <w:sz w:val="24"/>
          <w:szCs w:val="24"/>
        </w:rPr>
        <w:t xml:space="preserve">, </w:t>
      </w:r>
      <w:r w:rsidRPr="00ED66D4">
        <w:rPr>
          <w:rFonts w:ascii="Times New Roman" w:hAnsi="Times New Roman" w:cs="Times New Roman"/>
          <w:sz w:val="24"/>
          <w:szCs w:val="24"/>
        </w:rPr>
        <w:t xml:space="preserve">while </w:t>
      </w:r>
      <w:r w:rsidRPr="00ED66D4">
        <w:rPr>
          <w:rStyle w:val="Strong"/>
          <w:rFonts w:ascii="Times New Roman" w:hAnsi="Times New Roman" w:cs="Times New Roman"/>
          <w:b w:val="0"/>
          <w:bCs w:val="0"/>
          <w:sz w:val="24"/>
          <w:szCs w:val="24"/>
        </w:rPr>
        <w:t>20% of industrial agroforestry farmers</w:t>
      </w:r>
      <w:r w:rsidRPr="00ED66D4">
        <w:rPr>
          <w:rFonts w:ascii="Times New Roman" w:hAnsi="Times New Roman" w:cs="Times New Roman"/>
          <w:b/>
          <w:bCs/>
          <w:sz w:val="24"/>
          <w:szCs w:val="24"/>
        </w:rPr>
        <w:t xml:space="preserve"> </w:t>
      </w:r>
      <w:r w:rsidRPr="00ED66D4">
        <w:rPr>
          <w:rFonts w:ascii="Times New Roman" w:hAnsi="Times New Roman" w:cs="Times New Roman"/>
          <w:sz w:val="24"/>
          <w:szCs w:val="24"/>
        </w:rPr>
        <w:t xml:space="preserve">benefit from </w:t>
      </w:r>
      <w:r w:rsidRPr="00ED66D4">
        <w:rPr>
          <w:rStyle w:val="Strong"/>
          <w:rFonts w:ascii="Times New Roman" w:hAnsi="Times New Roman" w:cs="Times New Roman"/>
          <w:b w:val="0"/>
          <w:bCs w:val="0"/>
          <w:sz w:val="24"/>
          <w:szCs w:val="24"/>
        </w:rPr>
        <w:t>formal market linkages</w:t>
      </w:r>
      <w:r w:rsidRPr="00ED66D4">
        <w:rPr>
          <w:rFonts w:ascii="Times New Roman" w:hAnsi="Times New Roman" w:cs="Times New Roman"/>
          <w:sz w:val="24"/>
          <w:szCs w:val="24"/>
        </w:rPr>
        <w:t xml:space="preserve"> such as contract farming and organized buyer networks. Traditional systems often face challenges including </w:t>
      </w:r>
      <w:r w:rsidRPr="00CD2E18">
        <w:rPr>
          <w:rStyle w:val="Strong"/>
          <w:rFonts w:ascii="Times New Roman" w:hAnsi="Times New Roman" w:cs="Times New Roman"/>
          <w:b w:val="0"/>
          <w:bCs w:val="0"/>
          <w:sz w:val="24"/>
          <w:szCs w:val="24"/>
        </w:rPr>
        <w:t>limited access to large buyers</w:t>
      </w:r>
      <w:r w:rsidRPr="00CD2E18">
        <w:rPr>
          <w:rFonts w:ascii="Times New Roman" w:hAnsi="Times New Roman" w:cs="Times New Roman"/>
          <w:b/>
          <w:bCs/>
          <w:sz w:val="24"/>
          <w:szCs w:val="24"/>
        </w:rPr>
        <w:t xml:space="preserve">, </w:t>
      </w:r>
      <w:r w:rsidRPr="00CD2E18">
        <w:rPr>
          <w:rStyle w:val="Strong"/>
          <w:rFonts w:ascii="Times New Roman" w:hAnsi="Times New Roman" w:cs="Times New Roman"/>
          <w:b w:val="0"/>
          <w:bCs w:val="0"/>
          <w:sz w:val="24"/>
          <w:szCs w:val="24"/>
        </w:rPr>
        <w:t>lack of organized marketing</w:t>
      </w:r>
      <w:r w:rsidR="00CD2E18">
        <w:rPr>
          <w:rFonts w:ascii="Times New Roman" w:hAnsi="Times New Roman" w:cs="Times New Roman"/>
          <w:b/>
          <w:bCs/>
          <w:sz w:val="24"/>
          <w:szCs w:val="24"/>
        </w:rPr>
        <w:t xml:space="preserve"> </w:t>
      </w:r>
      <w:r w:rsidRPr="00CD2E18">
        <w:rPr>
          <w:rFonts w:ascii="Times New Roman" w:hAnsi="Times New Roman" w:cs="Times New Roman"/>
          <w:sz w:val="24"/>
          <w:szCs w:val="24"/>
        </w:rPr>
        <w:t>and</w:t>
      </w:r>
      <w:r w:rsidRPr="00CD2E18">
        <w:rPr>
          <w:rFonts w:ascii="Times New Roman" w:hAnsi="Times New Roman" w:cs="Times New Roman"/>
          <w:b/>
          <w:bCs/>
          <w:sz w:val="24"/>
          <w:szCs w:val="24"/>
        </w:rPr>
        <w:t xml:space="preserve"> </w:t>
      </w:r>
      <w:r w:rsidRPr="00CD2E18">
        <w:rPr>
          <w:rStyle w:val="Strong"/>
          <w:rFonts w:ascii="Times New Roman" w:hAnsi="Times New Roman" w:cs="Times New Roman"/>
          <w:b w:val="0"/>
          <w:bCs w:val="0"/>
          <w:sz w:val="24"/>
          <w:szCs w:val="24"/>
        </w:rPr>
        <w:t>price exploitation</w:t>
      </w:r>
      <w:r w:rsidRPr="00ED66D4">
        <w:rPr>
          <w:rFonts w:ascii="Times New Roman" w:hAnsi="Times New Roman" w:cs="Times New Roman"/>
          <w:sz w:val="24"/>
          <w:szCs w:val="24"/>
        </w:rPr>
        <w:t xml:space="preserve">, which collectively contribute to </w:t>
      </w:r>
      <w:r w:rsidRPr="00CD2E18">
        <w:rPr>
          <w:rStyle w:val="Strong"/>
          <w:rFonts w:ascii="Times New Roman" w:hAnsi="Times New Roman" w:cs="Times New Roman"/>
          <w:b w:val="0"/>
          <w:bCs w:val="0"/>
          <w:sz w:val="24"/>
          <w:szCs w:val="24"/>
        </w:rPr>
        <w:t>low profit margins</w:t>
      </w:r>
      <w:r w:rsidRPr="00ED66D4">
        <w:rPr>
          <w:rFonts w:ascii="Times New Roman" w:hAnsi="Times New Roman" w:cs="Times New Roman"/>
          <w:sz w:val="24"/>
          <w:szCs w:val="24"/>
        </w:rPr>
        <w:t xml:space="preserve"> (Nair, 2011; Pandey, 2019). In contrast, industrial agroforestry models, though better connected to commercial markets, remain </w:t>
      </w:r>
      <w:r w:rsidRPr="00CD2E18">
        <w:rPr>
          <w:rStyle w:val="Strong"/>
          <w:rFonts w:ascii="Times New Roman" w:hAnsi="Times New Roman" w:cs="Times New Roman"/>
          <w:b w:val="0"/>
          <w:bCs w:val="0"/>
          <w:sz w:val="24"/>
          <w:szCs w:val="24"/>
        </w:rPr>
        <w:t>vulnerable to</w:t>
      </w:r>
      <w:r w:rsidRPr="00ED66D4">
        <w:rPr>
          <w:rStyle w:val="Strong"/>
          <w:rFonts w:ascii="Times New Roman" w:hAnsi="Times New Roman" w:cs="Times New Roman"/>
          <w:sz w:val="24"/>
          <w:szCs w:val="24"/>
        </w:rPr>
        <w:t xml:space="preserve"> </w:t>
      </w:r>
      <w:r w:rsidRPr="00CD2E18">
        <w:rPr>
          <w:rStyle w:val="Strong"/>
          <w:rFonts w:ascii="Times New Roman" w:hAnsi="Times New Roman" w:cs="Times New Roman"/>
          <w:b w:val="0"/>
          <w:bCs w:val="0"/>
          <w:sz w:val="24"/>
          <w:szCs w:val="24"/>
        </w:rPr>
        <w:t>market price volatility, contract disputes, and buyer dependency</w:t>
      </w:r>
      <w:r w:rsidRPr="00ED66D4">
        <w:rPr>
          <w:rFonts w:ascii="Times New Roman" w:hAnsi="Times New Roman" w:cs="Times New Roman"/>
          <w:sz w:val="24"/>
          <w:szCs w:val="24"/>
        </w:rPr>
        <w:t xml:space="preserve">, making farmers’ income less stable in the long term (Kumar et al., 2015; Rahman &amp; </w:t>
      </w:r>
      <w:proofErr w:type="spellStart"/>
      <w:r w:rsidRPr="00ED66D4">
        <w:rPr>
          <w:rFonts w:ascii="Times New Roman" w:hAnsi="Times New Roman" w:cs="Times New Roman"/>
          <w:sz w:val="24"/>
          <w:szCs w:val="24"/>
        </w:rPr>
        <w:t>Saha</w:t>
      </w:r>
      <w:proofErr w:type="spellEnd"/>
      <w:r w:rsidRPr="00ED66D4">
        <w:rPr>
          <w:rFonts w:ascii="Times New Roman" w:hAnsi="Times New Roman" w:cs="Times New Roman"/>
          <w:sz w:val="24"/>
          <w:szCs w:val="24"/>
        </w:rPr>
        <w:t xml:space="preserve">, 2020). These observations highlight the need for </w:t>
      </w:r>
      <w:r w:rsidRPr="00CD2E18">
        <w:rPr>
          <w:rStyle w:val="Strong"/>
          <w:rFonts w:ascii="Times New Roman" w:hAnsi="Times New Roman" w:cs="Times New Roman"/>
          <w:b w:val="0"/>
          <w:bCs w:val="0"/>
          <w:sz w:val="24"/>
          <w:szCs w:val="24"/>
        </w:rPr>
        <w:t>inclusive market policies</w:t>
      </w:r>
      <w:r w:rsidRPr="00ED66D4">
        <w:rPr>
          <w:rFonts w:ascii="Times New Roman" w:hAnsi="Times New Roman" w:cs="Times New Roman"/>
          <w:sz w:val="24"/>
          <w:szCs w:val="24"/>
        </w:rPr>
        <w:t xml:space="preserve"> that enhance smallholder participation in value chains while ensuring </w:t>
      </w:r>
      <w:r w:rsidRPr="00CD2E18">
        <w:rPr>
          <w:rStyle w:val="Strong"/>
          <w:rFonts w:ascii="Times New Roman" w:hAnsi="Times New Roman" w:cs="Times New Roman"/>
          <w:b w:val="0"/>
          <w:bCs w:val="0"/>
          <w:sz w:val="24"/>
          <w:szCs w:val="24"/>
        </w:rPr>
        <w:t>contract transparency</w:t>
      </w:r>
      <w:r w:rsidRPr="00ED66D4">
        <w:rPr>
          <w:rFonts w:ascii="Times New Roman" w:hAnsi="Times New Roman" w:cs="Times New Roman"/>
          <w:sz w:val="24"/>
          <w:szCs w:val="24"/>
        </w:rPr>
        <w:t xml:space="preserve"> and </w:t>
      </w:r>
      <w:r w:rsidRPr="00CD2E18">
        <w:rPr>
          <w:rStyle w:val="Strong"/>
          <w:rFonts w:ascii="Times New Roman" w:hAnsi="Times New Roman" w:cs="Times New Roman"/>
          <w:b w:val="0"/>
          <w:bCs w:val="0"/>
          <w:sz w:val="24"/>
          <w:szCs w:val="24"/>
        </w:rPr>
        <w:t>price stability</w:t>
      </w:r>
      <w:r w:rsidRPr="00ED66D4">
        <w:rPr>
          <w:rFonts w:ascii="Times New Roman" w:hAnsi="Times New Roman" w:cs="Times New Roman"/>
          <w:sz w:val="24"/>
          <w:szCs w:val="24"/>
        </w:rPr>
        <w:t xml:space="preserve"> in industrial systems.</w:t>
      </w:r>
    </w:p>
    <w:p w14:paraId="736F1379" w14:textId="17D2626D" w:rsidR="00CD2E18" w:rsidRPr="00ED66D4" w:rsidRDefault="00CD2E18" w:rsidP="00CD2E18">
      <w:pPr>
        <w:spacing w:line="360" w:lineRule="auto"/>
        <w:ind w:firstLine="720"/>
        <w:jc w:val="both"/>
        <w:rPr>
          <w:rFonts w:ascii="Times New Roman" w:hAnsi="Times New Roman" w:cs="Times New Roman"/>
          <w:sz w:val="24"/>
          <w:szCs w:val="24"/>
        </w:rPr>
      </w:pPr>
      <w:r w:rsidRPr="00CD2E18">
        <w:rPr>
          <w:rFonts w:ascii="Times New Roman" w:hAnsi="Times New Roman" w:cs="Times New Roman"/>
          <w:sz w:val="24"/>
          <w:szCs w:val="24"/>
        </w:rPr>
        <w:t xml:space="preserve">Traditional agroforestry (17%) supports social cohesion, knowledge sharing, and family-based </w:t>
      </w:r>
      <w:proofErr w:type="spellStart"/>
      <w:r w:rsidRPr="00CD2E18">
        <w:rPr>
          <w:rFonts w:ascii="Times New Roman" w:hAnsi="Times New Roman" w:cs="Times New Roman"/>
          <w:sz w:val="24"/>
          <w:szCs w:val="24"/>
        </w:rPr>
        <w:t>labor</w:t>
      </w:r>
      <w:proofErr w:type="spellEnd"/>
      <w:r w:rsidRPr="00CD2E18">
        <w:rPr>
          <w:rFonts w:ascii="Times New Roman" w:hAnsi="Times New Roman" w:cs="Times New Roman"/>
          <w:sz w:val="24"/>
          <w:szCs w:val="24"/>
        </w:rPr>
        <w:t xml:space="preserve"> </w:t>
      </w:r>
      <w:proofErr w:type="spellStart"/>
      <w:proofErr w:type="gramStart"/>
      <w:r w:rsidRPr="00CD2E18">
        <w:rPr>
          <w:rFonts w:ascii="Times New Roman" w:hAnsi="Times New Roman" w:cs="Times New Roman"/>
          <w:sz w:val="24"/>
          <w:szCs w:val="24"/>
        </w:rPr>
        <w:t>utilization.Industrial</w:t>
      </w:r>
      <w:proofErr w:type="spellEnd"/>
      <w:proofErr w:type="gramEnd"/>
      <w:r w:rsidRPr="00CD2E18">
        <w:rPr>
          <w:rFonts w:ascii="Times New Roman" w:hAnsi="Times New Roman" w:cs="Times New Roman"/>
          <w:sz w:val="24"/>
          <w:szCs w:val="24"/>
        </w:rPr>
        <w:t xml:space="preserve"> systems (10%) tend to reduce community engagement due to mechanization and commercial focus.</w:t>
      </w:r>
      <w:r>
        <w:rPr>
          <w:rFonts w:ascii="Times New Roman" w:hAnsi="Times New Roman" w:cs="Times New Roman"/>
          <w:sz w:val="24"/>
          <w:szCs w:val="24"/>
        </w:rPr>
        <w:t xml:space="preserve"> </w:t>
      </w:r>
      <w:r w:rsidRPr="00CD2E18">
        <w:rPr>
          <w:rFonts w:ascii="Times New Roman" w:hAnsi="Times New Roman" w:cs="Times New Roman"/>
          <w:sz w:val="24"/>
          <w:szCs w:val="24"/>
        </w:rPr>
        <w:t>Traditional systems preserve cultural and indigenous knowledge, which industrial models often overloo</w:t>
      </w:r>
      <w:r>
        <w:rPr>
          <w:rFonts w:ascii="Times New Roman" w:hAnsi="Times New Roman" w:cs="Times New Roman"/>
          <w:sz w:val="24"/>
          <w:szCs w:val="24"/>
        </w:rPr>
        <w:t>k</w:t>
      </w:r>
    </w:p>
    <w:p w14:paraId="1FE03A6D" w14:textId="23BAC64B" w:rsidR="00ED66D4" w:rsidRDefault="00CD2E18" w:rsidP="00CD2E18">
      <w:pPr>
        <w:spacing w:line="360" w:lineRule="auto"/>
        <w:ind w:firstLine="720"/>
        <w:jc w:val="both"/>
        <w:rPr>
          <w:rFonts w:ascii="Times New Roman" w:hAnsi="Times New Roman" w:cs="Times New Roman"/>
          <w:sz w:val="24"/>
          <w:szCs w:val="24"/>
        </w:rPr>
      </w:pPr>
      <w:r w:rsidRPr="00CD2E18">
        <w:rPr>
          <w:rFonts w:ascii="Times New Roman" w:hAnsi="Times New Roman" w:cs="Times New Roman"/>
          <w:sz w:val="24"/>
          <w:szCs w:val="24"/>
        </w:rPr>
        <w:t xml:space="preserve">Both systems show limited labour engagement (15% vs. 14%), but traditional systems offer seasonal employment and use family labour </w:t>
      </w:r>
      <w:proofErr w:type="spellStart"/>
      <w:proofErr w:type="gramStart"/>
      <w:r w:rsidRPr="00CD2E18">
        <w:rPr>
          <w:rFonts w:ascii="Times New Roman" w:hAnsi="Times New Roman" w:cs="Times New Roman"/>
          <w:sz w:val="24"/>
          <w:szCs w:val="24"/>
        </w:rPr>
        <w:t>effectively.Industrial</w:t>
      </w:r>
      <w:proofErr w:type="spellEnd"/>
      <w:proofErr w:type="gramEnd"/>
      <w:r w:rsidRPr="00CD2E18">
        <w:rPr>
          <w:rFonts w:ascii="Times New Roman" w:hAnsi="Times New Roman" w:cs="Times New Roman"/>
          <w:sz w:val="24"/>
          <w:szCs w:val="24"/>
        </w:rPr>
        <w:t xml:space="preserve"> systems promote mechanization, which can improve efficiency but reduce rural employment opportunities.</w:t>
      </w:r>
    </w:p>
    <w:p w14:paraId="70721560" w14:textId="3818862D" w:rsidR="001447F7" w:rsidRPr="00C309F4" w:rsidRDefault="0039217F" w:rsidP="0039217F">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This analysis supports earlier findings that traditional systems maintain social equity and ecological resilience (Altieri, 2004; </w:t>
      </w:r>
      <w:proofErr w:type="spellStart"/>
      <w:r w:rsidRPr="00C309F4">
        <w:rPr>
          <w:rFonts w:ascii="Times New Roman" w:hAnsi="Times New Roman" w:cs="Times New Roman"/>
          <w:sz w:val="24"/>
          <w:szCs w:val="24"/>
        </w:rPr>
        <w:t>Meinzen</w:t>
      </w:r>
      <w:proofErr w:type="spellEnd"/>
      <w:r w:rsidRPr="00C309F4">
        <w:rPr>
          <w:rFonts w:ascii="Times New Roman" w:hAnsi="Times New Roman" w:cs="Times New Roman"/>
          <w:sz w:val="24"/>
          <w:szCs w:val="24"/>
        </w:rPr>
        <w:t xml:space="preserve">-Dick &amp; </w:t>
      </w:r>
      <w:proofErr w:type="spellStart"/>
      <w:r w:rsidRPr="00C309F4">
        <w:rPr>
          <w:rFonts w:ascii="Times New Roman" w:hAnsi="Times New Roman" w:cs="Times New Roman"/>
          <w:sz w:val="24"/>
          <w:szCs w:val="24"/>
        </w:rPr>
        <w:t>Quisumbing</w:t>
      </w:r>
      <w:proofErr w:type="spellEnd"/>
      <w:r w:rsidRPr="00C309F4">
        <w:rPr>
          <w:rFonts w:ascii="Times New Roman" w:hAnsi="Times New Roman" w:cs="Times New Roman"/>
          <w:sz w:val="24"/>
          <w:szCs w:val="24"/>
        </w:rPr>
        <w:t>, 2013), while industrial systems enhance commercial potential and short-term incomes (Arnold &amp; Dewees, 1997</w:t>
      </w:r>
      <w:r w:rsidR="00254532">
        <w:rPr>
          <w:rFonts w:ascii="Times New Roman" w:hAnsi="Times New Roman" w:cs="Times New Roman"/>
          <w:sz w:val="24"/>
          <w:szCs w:val="24"/>
        </w:rPr>
        <w:t xml:space="preserve"> </w:t>
      </w:r>
      <w:proofErr w:type="gramStart"/>
      <w:r w:rsidR="00254532">
        <w:rPr>
          <w:rFonts w:ascii="Times New Roman" w:hAnsi="Times New Roman" w:cs="Times New Roman"/>
          <w:sz w:val="24"/>
          <w:szCs w:val="24"/>
        </w:rPr>
        <w:t xml:space="preserve">and </w:t>
      </w:r>
      <w:r w:rsidRPr="00C309F4">
        <w:rPr>
          <w:rFonts w:ascii="Times New Roman" w:hAnsi="Times New Roman" w:cs="Times New Roman"/>
          <w:sz w:val="24"/>
          <w:szCs w:val="24"/>
        </w:rPr>
        <w:t xml:space="preserve"> Waldron</w:t>
      </w:r>
      <w:proofErr w:type="gramEnd"/>
      <w:r w:rsidRPr="00C309F4">
        <w:rPr>
          <w:rFonts w:ascii="Times New Roman" w:hAnsi="Times New Roman" w:cs="Times New Roman"/>
          <w:sz w:val="24"/>
          <w:szCs w:val="24"/>
        </w:rPr>
        <w:t xml:space="preserve"> et al., 2017</w:t>
      </w:r>
      <w:r w:rsidR="001447F7" w:rsidRPr="00C309F4">
        <w:rPr>
          <w:rFonts w:ascii="Times New Roman" w:hAnsi="Times New Roman" w:cs="Times New Roman"/>
          <w:sz w:val="24"/>
          <w:szCs w:val="24"/>
        </w:rPr>
        <w:t>). The</w:t>
      </w:r>
      <w:r w:rsidR="001C4889" w:rsidRPr="00C309F4">
        <w:rPr>
          <w:rFonts w:ascii="Times New Roman" w:hAnsi="Times New Roman" w:cs="Times New Roman"/>
          <w:sz w:val="24"/>
          <w:szCs w:val="24"/>
        </w:rPr>
        <w:t xml:space="preserve"> findings conformity with </w:t>
      </w:r>
      <w:r w:rsidR="001447F7" w:rsidRPr="00C309F4">
        <w:rPr>
          <w:rFonts w:ascii="Times New Roman" w:hAnsi="Times New Roman" w:cs="Times New Roman"/>
          <w:sz w:val="24"/>
          <w:szCs w:val="24"/>
        </w:rPr>
        <w:t>Chavan, et al. (2021)</w:t>
      </w:r>
      <w:r w:rsidR="002B3E9B">
        <w:rPr>
          <w:rFonts w:ascii="Times New Roman" w:hAnsi="Times New Roman" w:cs="Times New Roman"/>
          <w:sz w:val="24"/>
          <w:szCs w:val="24"/>
        </w:rPr>
        <w:t xml:space="preserve"> and </w:t>
      </w:r>
      <w:r w:rsidR="002B3E9B" w:rsidRPr="002B3E9B">
        <w:rPr>
          <w:rFonts w:ascii="Times New Roman" w:hAnsi="Times New Roman" w:cs="Times New Roman"/>
          <w:sz w:val="24"/>
          <w:szCs w:val="24"/>
        </w:rPr>
        <w:t>Similar to findings in teak-based systems of Indonesia where agroforestry supported both timber production and rural livelihoods (</w:t>
      </w:r>
      <w:proofErr w:type="spellStart"/>
      <w:r w:rsidR="002B3E9B" w:rsidRPr="002B3E9B">
        <w:rPr>
          <w:rFonts w:ascii="Times New Roman" w:hAnsi="Times New Roman" w:cs="Times New Roman"/>
          <w:sz w:val="24"/>
          <w:szCs w:val="24"/>
        </w:rPr>
        <w:t>Roshetko</w:t>
      </w:r>
      <w:proofErr w:type="spellEnd"/>
      <w:r w:rsidR="002B3E9B" w:rsidRPr="002B3E9B">
        <w:rPr>
          <w:rFonts w:ascii="Times New Roman" w:hAnsi="Times New Roman" w:cs="Times New Roman"/>
          <w:sz w:val="24"/>
          <w:szCs w:val="24"/>
        </w:rPr>
        <w:t xml:space="preserve"> et al., 2013)</w:t>
      </w:r>
      <w:r w:rsidR="00E51A9E">
        <w:rPr>
          <w:rFonts w:ascii="Times New Roman" w:hAnsi="Times New Roman" w:cs="Times New Roman"/>
          <w:sz w:val="24"/>
          <w:szCs w:val="24"/>
        </w:rPr>
        <w:t>.</w:t>
      </w:r>
      <w:r w:rsidR="002B3E9B" w:rsidRPr="002B3E9B">
        <w:rPr>
          <w:rFonts w:ascii="Times New Roman" w:hAnsi="Times New Roman" w:cs="Times New Roman"/>
          <w:sz w:val="24"/>
          <w:szCs w:val="24"/>
        </w:rPr>
        <w:t xml:space="preserve"> </w:t>
      </w:r>
    </w:p>
    <w:p w14:paraId="28AF7BDB" w14:textId="366AE8C6" w:rsidR="009C62A1" w:rsidRDefault="009C62A1" w:rsidP="009C62A1">
      <w:pPr>
        <w:pStyle w:val="Heading3"/>
        <w:rPr>
          <w:rFonts w:ascii="Times New Roman" w:eastAsia="Times New Roman" w:hAnsi="Times New Roman" w:cs="Times New Roman"/>
          <w:b/>
          <w:bCs/>
          <w:color w:val="auto"/>
          <w:lang w:eastAsia="en-IN"/>
        </w:rPr>
      </w:pPr>
      <w:r w:rsidRPr="00C309F4">
        <w:rPr>
          <w:rFonts w:ascii="Times New Roman" w:eastAsia="Times New Roman" w:hAnsi="Times New Roman" w:cs="Times New Roman"/>
          <w:b/>
          <w:bCs/>
          <w:color w:val="auto"/>
          <w:lang w:eastAsia="en-IN"/>
        </w:rPr>
        <w:t xml:space="preserve">Major Constraints Faced by Farmers </w:t>
      </w:r>
      <w:r w:rsidR="00DF0D62" w:rsidRPr="00C309F4">
        <w:rPr>
          <w:rFonts w:ascii="Times New Roman" w:eastAsia="Times New Roman" w:hAnsi="Times New Roman" w:cs="Times New Roman"/>
          <w:b/>
          <w:bCs/>
          <w:color w:val="auto"/>
          <w:lang w:eastAsia="en-IN"/>
        </w:rPr>
        <w:t xml:space="preserve">in </w:t>
      </w:r>
      <w:r w:rsidR="00DF0D62">
        <w:rPr>
          <w:rFonts w:ascii="Times New Roman" w:eastAsia="Times New Roman" w:hAnsi="Times New Roman" w:cs="Times New Roman"/>
          <w:b/>
          <w:bCs/>
          <w:color w:val="auto"/>
          <w:lang w:eastAsia="en-IN"/>
        </w:rPr>
        <w:t>the</w:t>
      </w:r>
      <w:r>
        <w:rPr>
          <w:rFonts w:ascii="Times New Roman" w:eastAsia="Times New Roman" w:hAnsi="Times New Roman" w:cs="Times New Roman"/>
          <w:b/>
          <w:bCs/>
          <w:color w:val="auto"/>
          <w:lang w:eastAsia="en-IN"/>
        </w:rPr>
        <w:t xml:space="preserve"> adoption of both </w:t>
      </w:r>
      <w:r w:rsidRPr="00C309F4">
        <w:rPr>
          <w:rFonts w:ascii="Times New Roman" w:eastAsia="Times New Roman" w:hAnsi="Times New Roman" w:cs="Times New Roman"/>
          <w:b/>
          <w:bCs/>
          <w:color w:val="auto"/>
          <w:lang w:eastAsia="en-IN"/>
        </w:rPr>
        <w:t>Agroforestry Systems</w:t>
      </w:r>
    </w:p>
    <w:p w14:paraId="7B939B25" w14:textId="77777777" w:rsidR="009C62A1" w:rsidRDefault="009C62A1" w:rsidP="009C62A1">
      <w:pPr>
        <w:pStyle w:val="Heading3"/>
        <w:jc w:val="both"/>
        <w:rPr>
          <w:rFonts w:ascii="Times New Roman" w:eastAsia="Times New Roman" w:hAnsi="Times New Roman" w:cs="Times New Roman"/>
          <w:color w:val="auto"/>
          <w:lang w:eastAsia="en-IN"/>
        </w:rPr>
      </w:pPr>
    </w:p>
    <w:p w14:paraId="142FD09D" w14:textId="16825A75" w:rsidR="009C62A1" w:rsidRPr="009C62A1" w:rsidRDefault="009C62A1" w:rsidP="00254532">
      <w:pPr>
        <w:pStyle w:val="Heading3"/>
        <w:spacing w:line="360" w:lineRule="auto"/>
        <w:ind w:firstLine="720"/>
        <w:jc w:val="both"/>
        <w:rPr>
          <w:rFonts w:ascii="Times New Roman" w:eastAsia="Times New Roman" w:hAnsi="Times New Roman" w:cs="Times New Roman"/>
          <w:color w:val="auto"/>
          <w:lang w:eastAsia="en-IN"/>
        </w:rPr>
      </w:pPr>
      <w:r w:rsidRPr="009C62A1">
        <w:rPr>
          <w:rFonts w:ascii="Times New Roman" w:eastAsia="Times New Roman" w:hAnsi="Times New Roman" w:cs="Times New Roman"/>
          <w:color w:val="auto"/>
          <w:lang w:eastAsia="en-IN"/>
        </w:rPr>
        <w:t>The selected farmers faced several challenges that limited the effective adoption and success of both traditional and industrial agroforestry systems. These constraints emerged from financial, institutional, market, environmental, and labour-related factors, which collectively influenced the overall performance and sustainability of agroforestry practices. The distribution of respondents based on these factors is presented in Table 2 as follows.</w:t>
      </w:r>
    </w:p>
    <w:p w14:paraId="1A882FAA" w14:textId="7599409B" w:rsidR="00CE6493" w:rsidRDefault="00CE6493" w:rsidP="00271707">
      <w:pPr>
        <w:pStyle w:val="Heading3"/>
        <w:jc w:val="center"/>
        <w:rPr>
          <w:rFonts w:ascii="Times New Roman" w:eastAsia="Times New Roman" w:hAnsi="Times New Roman" w:cs="Times New Roman"/>
          <w:b/>
          <w:bCs/>
          <w:color w:val="auto"/>
          <w:lang w:eastAsia="en-IN"/>
        </w:rPr>
      </w:pPr>
    </w:p>
    <w:p w14:paraId="13506ED3" w14:textId="77777777" w:rsidR="00CE6493" w:rsidRPr="00CE6493" w:rsidRDefault="00CE6493" w:rsidP="00CE6493">
      <w:pPr>
        <w:rPr>
          <w:lang w:eastAsia="en-IN"/>
        </w:rPr>
      </w:pPr>
    </w:p>
    <w:p w14:paraId="063635E8" w14:textId="265EB666" w:rsidR="009E5B20" w:rsidRPr="00C309F4" w:rsidRDefault="009E5B20" w:rsidP="00271707">
      <w:pPr>
        <w:pStyle w:val="Heading3"/>
        <w:jc w:val="center"/>
        <w:rPr>
          <w:rFonts w:ascii="Times New Roman" w:eastAsia="Times New Roman" w:hAnsi="Times New Roman" w:cs="Times New Roman"/>
          <w:b/>
          <w:bCs/>
          <w:color w:val="auto"/>
          <w:lang w:eastAsia="en-IN"/>
        </w:rPr>
      </w:pPr>
      <w:r w:rsidRPr="00C309F4">
        <w:rPr>
          <w:rFonts w:ascii="Times New Roman" w:eastAsia="Times New Roman" w:hAnsi="Times New Roman" w:cs="Times New Roman"/>
          <w:b/>
          <w:bCs/>
          <w:color w:val="auto"/>
          <w:lang w:eastAsia="en-IN"/>
        </w:rPr>
        <w:lastRenderedPageBreak/>
        <w:t xml:space="preserve">Table 2. </w:t>
      </w:r>
      <w:bookmarkStart w:id="2" w:name="_Hlk213768262"/>
      <w:r w:rsidRPr="00C309F4">
        <w:rPr>
          <w:rFonts w:ascii="Times New Roman" w:eastAsia="Times New Roman" w:hAnsi="Times New Roman" w:cs="Times New Roman"/>
          <w:b/>
          <w:bCs/>
          <w:color w:val="auto"/>
          <w:lang w:eastAsia="en-IN"/>
        </w:rPr>
        <w:t xml:space="preserve">Major Constraints </w:t>
      </w:r>
      <w:bookmarkEnd w:id="2"/>
      <w:r w:rsidRPr="00C309F4">
        <w:rPr>
          <w:rFonts w:ascii="Times New Roman" w:eastAsia="Times New Roman" w:hAnsi="Times New Roman" w:cs="Times New Roman"/>
          <w:b/>
          <w:bCs/>
          <w:color w:val="auto"/>
          <w:lang w:eastAsia="en-IN"/>
        </w:rPr>
        <w:t>Faced by Farmers in Agroforestry Systems</w:t>
      </w:r>
    </w:p>
    <w:p w14:paraId="6002397E" w14:textId="6ABA45C6" w:rsidR="009E5B20" w:rsidRPr="00E93297" w:rsidRDefault="00E93297" w:rsidP="00E93297">
      <w:pPr>
        <w:jc w:val="center"/>
        <w:rPr>
          <w:rFonts w:ascii="Times New Roman" w:hAnsi="Times New Roman" w:cs="Times New Roman"/>
          <w:b/>
          <w:bCs/>
          <w:sz w:val="24"/>
          <w:szCs w:val="24"/>
          <w:lang w:eastAsia="en-IN"/>
        </w:rPr>
      </w:pPr>
      <w:r>
        <w:rPr>
          <w:rFonts w:ascii="Times New Roman" w:hAnsi="Times New Roman" w:cs="Times New Roman"/>
          <w:sz w:val="24"/>
          <w:szCs w:val="24"/>
          <w:lang w:eastAsia="en-IN"/>
        </w:rPr>
        <w:t xml:space="preserve">                                                                                                                         </w:t>
      </w:r>
      <w:r w:rsidRPr="00E93297">
        <w:rPr>
          <w:rFonts w:ascii="Times New Roman" w:hAnsi="Times New Roman" w:cs="Times New Roman"/>
          <w:b/>
          <w:bCs/>
          <w:sz w:val="24"/>
          <w:szCs w:val="24"/>
          <w:lang w:eastAsia="en-IN"/>
        </w:rPr>
        <w:t>N</w:t>
      </w:r>
      <w:r>
        <w:rPr>
          <w:rFonts w:ascii="Times New Roman" w:hAnsi="Times New Roman" w:cs="Times New Roman"/>
          <w:b/>
          <w:bCs/>
          <w:sz w:val="24"/>
          <w:szCs w:val="24"/>
          <w:lang w:eastAsia="en-IN"/>
        </w:rPr>
        <w:t xml:space="preserve"> </w:t>
      </w:r>
      <w:r w:rsidRPr="00E93297">
        <w:rPr>
          <w:rFonts w:ascii="Times New Roman" w:hAnsi="Times New Roman" w:cs="Times New Roman"/>
          <w:b/>
          <w:bCs/>
          <w:sz w:val="24"/>
          <w:szCs w:val="24"/>
          <w:lang w:eastAsia="en-IN"/>
        </w:rPr>
        <w:t>30</w:t>
      </w:r>
    </w:p>
    <w:tbl>
      <w:tblPr>
        <w:tblStyle w:val="TableGrid"/>
        <w:tblW w:w="0" w:type="auto"/>
        <w:tblLook w:val="04A0" w:firstRow="1" w:lastRow="0" w:firstColumn="1" w:lastColumn="0" w:noHBand="0" w:noVBand="1"/>
      </w:tblPr>
      <w:tblGrid>
        <w:gridCol w:w="4390"/>
        <w:gridCol w:w="2268"/>
        <w:gridCol w:w="2358"/>
      </w:tblGrid>
      <w:tr w:rsidR="009E5B20" w:rsidRPr="00C309F4" w14:paraId="76C1D8C4" w14:textId="77777777" w:rsidTr="00B14A24">
        <w:tc>
          <w:tcPr>
            <w:tcW w:w="4390" w:type="dxa"/>
          </w:tcPr>
          <w:p w14:paraId="1503FBD9" w14:textId="4F469A93" w:rsidR="009E5B20" w:rsidRPr="00C309F4" w:rsidRDefault="00DF0D62" w:rsidP="00C1753B">
            <w:pPr>
              <w:jc w:val="center"/>
              <w:rPr>
                <w:rFonts w:ascii="Times New Roman" w:hAnsi="Times New Roman" w:cs="Times New Roman"/>
                <w:b/>
                <w:bCs/>
                <w:sz w:val="24"/>
                <w:szCs w:val="24"/>
                <w:lang w:eastAsia="en-IN"/>
              </w:rPr>
            </w:pPr>
            <w:r w:rsidRPr="00DF0D62">
              <w:rPr>
                <w:rFonts w:ascii="Times New Roman" w:hAnsi="Times New Roman" w:cs="Times New Roman"/>
                <w:b/>
                <w:bCs/>
                <w:sz w:val="24"/>
                <w:szCs w:val="24"/>
                <w:lang w:eastAsia="en-IN"/>
              </w:rPr>
              <w:t xml:space="preserve">Major Constraints </w:t>
            </w:r>
          </w:p>
        </w:tc>
        <w:tc>
          <w:tcPr>
            <w:tcW w:w="2268" w:type="dxa"/>
          </w:tcPr>
          <w:p w14:paraId="1088B8AA" w14:textId="2B0FB7AA" w:rsidR="009E5B20" w:rsidRDefault="009E5B20" w:rsidP="00C1753B">
            <w:pPr>
              <w:jc w:val="center"/>
              <w:rPr>
                <w:rFonts w:ascii="Times New Roman" w:hAnsi="Times New Roman" w:cs="Times New Roman"/>
                <w:b/>
                <w:bCs/>
                <w:sz w:val="24"/>
                <w:szCs w:val="24"/>
              </w:rPr>
            </w:pPr>
            <w:r w:rsidRPr="00C309F4">
              <w:rPr>
                <w:rFonts w:ascii="Times New Roman" w:hAnsi="Times New Roman" w:cs="Times New Roman"/>
                <w:b/>
                <w:bCs/>
                <w:sz w:val="24"/>
                <w:szCs w:val="24"/>
              </w:rPr>
              <w:t xml:space="preserve">Traditional Agroforestry </w:t>
            </w:r>
          </w:p>
          <w:p w14:paraId="54E17937" w14:textId="3FC9D82B" w:rsidR="00DF0D62" w:rsidRPr="00C309F4" w:rsidRDefault="00DF0D62" w:rsidP="00C1753B">
            <w:pPr>
              <w:jc w:val="center"/>
              <w:rPr>
                <w:rFonts w:ascii="Times New Roman" w:hAnsi="Times New Roman" w:cs="Times New Roman"/>
                <w:b/>
                <w:bCs/>
                <w:sz w:val="24"/>
                <w:szCs w:val="24"/>
                <w:lang w:eastAsia="en-IN"/>
              </w:rPr>
            </w:pPr>
            <w:r>
              <w:rPr>
                <w:rFonts w:ascii="Times New Roman" w:hAnsi="Times New Roman" w:cs="Times New Roman"/>
                <w:b/>
                <w:bCs/>
                <w:sz w:val="24"/>
                <w:szCs w:val="24"/>
              </w:rPr>
              <w:t>(n= 13)</w:t>
            </w:r>
          </w:p>
        </w:tc>
        <w:tc>
          <w:tcPr>
            <w:tcW w:w="2358" w:type="dxa"/>
          </w:tcPr>
          <w:p w14:paraId="1054F61F" w14:textId="2F0CCF5E" w:rsidR="009E5B20" w:rsidRDefault="009E5B20" w:rsidP="00C1753B">
            <w:pPr>
              <w:jc w:val="center"/>
              <w:rPr>
                <w:rFonts w:ascii="Times New Roman" w:hAnsi="Times New Roman" w:cs="Times New Roman"/>
                <w:b/>
                <w:bCs/>
                <w:sz w:val="24"/>
                <w:szCs w:val="24"/>
              </w:rPr>
            </w:pPr>
            <w:r w:rsidRPr="00C309F4">
              <w:rPr>
                <w:rFonts w:ascii="Times New Roman" w:hAnsi="Times New Roman" w:cs="Times New Roman"/>
                <w:b/>
                <w:bCs/>
                <w:sz w:val="24"/>
                <w:szCs w:val="24"/>
              </w:rPr>
              <w:t xml:space="preserve">Industrial Agroforestry </w:t>
            </w:r>
          </w:p>
          <w:p w14:paraId="68F41476" w14:textId="59EE4142" w:rsidR="00DF0D62" w:rsidRPr="00C309F4" w:rsidRDefault="00DF0D62" w:rsidP="00C1753B">
            <w:pPr>
              <w:jc w:val="center"/>
              <w:rPr>
                <w:rFonts w:ascii="Times New Roman" w:hAnsi="Times New Roman" w:cs="Times New Roman"/>
                <w:b/>
                <w:bCs/>
                <w:sz w:val="24"/>
                <w:szCs w:val="24"/>
                <w:lang w:eastAsia="en-IN"/>
              </w:rPr>
            </w:pPr>
            <w:r w:rsidRPr="00DF0D62">
              <w:rPr>
                <w:rFonts w:ascii="Times New Roman" w:eastAsia="Times New Roman" w:hAnsi="Times New Roman" w:cs="Times New Roman"/>
                <w:b/>
                <w:bCs/>
                <w:sz w:val="24"/>
                <w:szCs w:val="24"/>
                <w:lang w:eastAsia="en-IN"/>
              </w:rPr>
              <w:t>(n = 17)</w:t>
            </w:r>
          </w:p>
        </w:tc>
      </w:tr>
      <w:tr w:rsidR="009E5B20" w:rsidRPr="00C309F4" w14:paraId="10771DC5" w14:textId="77777777" w:rsidTr="00B14A24">
        <w:tc>
          <w:tcPr>
            <w:tcW w:w="4390" w:type="dxa"/>
            <w:vAlign w:val="center"/>
          </w:tcPr>
          <w:p w14:paraId="05A5D89C" w14:textId="1AEC7FD8" w:rsidR="009E5B20" w:rsidRPr="00C309F4" w:rsidRDefault="009E5B20" w:rsidP="00C1753B">
            <w:pP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Financial Constraints</w:t>
            </w:r>
          </w:p>
        </w:tc>
        <w:tc>
          <w:tcPr>
            <w:tcW w:w="2268" w:type="dxa"/>
            <w:vAlign w:val="center"/>
          </w:tcPr>
          <w:p w14:paraId="531D9A83" w14:textId="31BD7021" w:rsidR="00DF0D62" w:rsidRDefault="00DF0D62"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p w14:paraId="46738075" w14:textId="3A338B15" w:rsidR="009E5B20" w:rsidRPr="00C309F4" w:rsidRDefault="00DF0D62"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25.3</w:t>
            </w:r>
            <w:r w:rsidR="00B14A24">
              <w:rPr>
                <w:rFonts w:ascii="Times New Roman" w:eastAsia="Times New Roman" w:hAnsi="Times New Roman" w:cs="Times New Roman"/>
                <w:sz w:val="24"/>
                <w:szCs w:val="24"/>
                <w:lang w:eastAsia="en-IN"/>
              </w:rPr>
              <w:t>0 %)</w:t>
            </w:r>
          </w:p>
        </w:tc>
        <w:tc>
          <w:tcPr>
            <w:tcW w:w="2358" w:type="dxa"/>
            <w:vAlign w:val="center"/>
          </w:tcPr>
          <w:p w14:paraId="0A52924F" w14:textId="1CC3960D" w:rsidR="00DF0D62" w:rsidRDefault="00DF0D62"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9</w:t>
            </w:r>
          </w:p>
          <w:p w14:paraId="5813F3A6" w14:textId="666B81D6"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24.1</w:t>
            </w:r>
            <w:r>
              <w:rPr>
                <w:rFonts w:ascii="Times New Roman" w:eastAsia="Times New Roman" w:hAnsi="Times New Roman" w:cs="Times New Roman"/>
                <w:sz w:val="24"/>
                <w:szCs w:val="24"/>
                <w:lang w:eastAsia="en-IN"/>
              </w:rPr>
              <w:t>0 %)</w:t>
            </w:r>
          </w:p>
        </w:tc>
      </w:tr>
      <w:tr w:rsidR="009E5B20" w:rsidRPr="00C309F4" w14:paraId="06137FDD" w14:textId="77777777" w:rsidTr="00B14A24">
        <w:tc>
          <w:tcPr>
            <w:tcW w:w="4390" w:type="dxa"/>
            <w:vAlign w:val="center"/>
          </w:tcPr>
          <w:p w14:paraId="44BDC8B6" w14:textId="3BE96E1A" w:rsidR="009E5B20" w:rsidRPr="00C309F4" w:rsidRDefault="009E5B20" w:rsidP="00C1753B">
            <w:pP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Institutional &amp; Policy Barriers</w:t>
            </w:r>
          </w:p>
        </w:tc>
        <w:tc>
          <w:tcPr>
            <w:tcW w:w="2268" w:type="dxa"/>
            <w:vAlign w:val="center"/>
          </w:tcPr>
          <w:p w14:paraId="6EA4827C" w14:textId="382EBF11"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p w14:paraId="3FC9C629" w14:textId="3FC31619"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22.8</w:t>
            </w:r>
            <w:r>
              <w:rPr>
                <w:rFonts w:ascii="Times New Roman" w:eastAsia="Times New Roman" w:hAnsi="Times New Roman" w:cs="Times New Roman"/>
                <w:sz w:val="24"/>
                <w:szCs w:val="24"/>
                <w:lang w:eastAsia="en-IN"/>
              </w:rPr>
              <w:t>0 %)</w:t>
            </w:r>
          </w:p>
        </w:tc>
        <w:tc>
          <w:tcPr>
            <w:tcW w:w="2358" w:type="dxa"/>
            <w:vAlign w:val="center"/>
          </w:tcPr>
          <w:p w14:paraId="2490A36E" w14:textId="478A9A30"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8</w:t>
            </w:r>
          </w:p>
          <w:p w14:paraId="3AC3D6C8" w14:textId="4560ED72"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21.9</w:t>
            </w:r>
            <w:r>
              <w:rPr>
                <w:rFonts w:ascii="Times New Roman" w:eastAsia="Times New Roman" w:hAnsi="Times New Roman" w:cs="Times New Roman"/>
                <w:sz w:val="24"/>
                <w:szCs w:val="24"/>
                <w:lang w:eastAsia="en-IN"/>
              </w:rPr>
              <w:t>0 %)</w:t>
            </w:r>
          </w:p>
        </w:tc>
      </w:tr>
      <w:tr w:rsidR="009E5B20" w:rsidRPr="00C309F4" w14:paraId="6D559B76" w14:textId="77777777" w:rsidTr="00B14A24">
        <w:tc>
          <w:tcPr>
            <w:tcW w:w="4390" w:type="dxa"/>
            <w:vAlign w:val="center"/>
          </w:tcPr>
          <w:p w14:paraId="351D0685" w14:textId="0FCBE53F" w:rsidR="009E5B20" w:rsidRPr="00C309F4" w:rsidRDefault="009E5B20" w:rsidP="00C1753B">
            <w:pP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Market &amp; Price Risks</w:t>
            </w:r>
          </w:p>
        </w:tc>
        <w:tc>
          <w:tcPr>
            <w:tcW w:w="2268" w:type="dxa"/>
            <w:vAlign w:val="center"/>
          </w:tcPr>
          <w:p w14:paraId="63AC0A7C" w14:textId="5A1B1515"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p w14:paraId="358FEFDD" w14:textId="723D967C"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18.6</w:t>
            </w:r>
            <w:r>
              <w:rPr>
                <w:rFonts w:ascii="Times New Roman" w:eastAsia="Times New Roman" w:hAnsi="Times New Roman" w:cs="Times New Roman"/>
                <w:sz w:val="24"/>
                <w:szCs w:val="24"/>
                <w:lang w:eastAsia="en-IN"/>
              </w:rPr>
              <w:t>0 %)</w:t>
            </w:r>
          </w:p>
        </w:tc>
        <w:tc>
          <w:tcPr>
            <w:tcW w:w="2358" w:type="dxa"/>
            <w:vAlign w:val="center"/>
          </w:tcPr>
          <w:p w14:paraId="38508FFB" w14:textId="05B07364"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7</w:t>
            </w:r>
          </w:p>
          <w:p w14:paraId="6DF1B910" w14:textId="32820E2C"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23.7</w:t>
            </w:r>
            <w:r>
              <w:rPr>
                <w:rFonts w:ascii="Times New Roman" w:eastAsia="Times New Roman" w:hAnsi="Times New Roman" w:cs="Times New Roman"/>
                <w:sz w:val="24"/>
                <w:szCs w:val="24"/>
                <w:lang w:eastAsia="en-IN"/>
              </w:rPr>
              <w:t>0 %)</w:t>
            </w:r>
          </w:p>
        </w:tc>
      </w:tr>
      <w:tr w:rsidR="009E5B20" w:rsidRPr="00C309F4" w14:paraId="637C4B3C" w14:textId="77777777" w:rsidTr="00B14A24">
        <w:tc>
          <w:tcPr>
            <w:tcW w:w="4390" w:type="dxa"/>
            <w:vAlign w:val="center"/>
          </w:tcPr>
          <w:p w14:paraId="4704AD1B" w14:textId="440AE816" w:rsidR="009E5B20" w:rsidRPr="00C309F4" w:rsidRDefault="009E5B20" w:rsidP="00C1753B">
            <w:pP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Environmental &amp; Sustainability Issues</w:t>
            </w:r>
          </w:p>
        </w:tc>
        <w:tc>
          <w:tcPr>
            <w:tcW w:w="2268" w:type="dxa"/>
            <w:vAlign w:val="center"/>
          </w:tcPr>
          <w:p w14:paraId="0844EF12" w14:textId="57942CE0"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5</w:t>
            </w:r>
          </w:p>
          <w:p w14:paraId="1971B668" w14:textId="7A11A8FD"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15.8</w:t>
            </w:r>
            <w:r>
              <w:rPr>
                <w:rFonts w:ascii="Times New Roman" w:eastAsia="Times New Roman" w:hAnsi="Times New Roman" w:cs="Times New Roman"/>
                <w:sz w:val="24"/>
                <w:szCs w:val="24"/>
                <w:lang w:eastAsia="en-IN"/>
              </w:rPr>
              <w:t>0 %)</w:t>
            </w:r>
          </w:p>
        </w:tc>
        <w:tc>
          <w:tcPr>
            <w:tcW w:w="2358" w:type="dxa"/>
            <w:vAlign w:val="center"/>
          </w:tcPr>
          <w:p w14:paraId="5CBA42BA" w14:textId="709EB7D4"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6</w:t>
            </w:r>
          </w:p>
          <w:p w14:paraId="3A6F8634" w14:textId="42668D12"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19.5</w:t>
            </w:r>
            <w:r>
              <w:rPr>
                <w:rFonts w:ascii="Times New Roman" w:eastAsia="Times New Roman" w:hAnsi="Times New Roman" w:cs="Times New Roman"/>
                <w:sz w:val="24"/>
                <w:szCs w:val="24"/>
                <w:lang w:eastAsia="en-IN"/>
              </w:rPr>
              <w:t>0 %)</w:t>
            </w:r>
          </w:p>
        </w:tc>
      </w:tr>
      <w:tr w:rsidR="009E5B20" w:rsidRPr="00C309F4" w14:paraId="5F0B1F6F" w14:textId="77777777" w:rsidTr="00B14A24">
        <w:tc>
          <w:tcPr>
            <w:tcW w:w="4390" w:type="dxa"/>
            <w:vAlign w:val="center"/>
          </w:tcPr>
          <w:p w14:paraId="0428F578" w14:textId="40E38213" w:rsidR="009E5B20" w:rsidRPr="00C309F4" w:rsidRDefault="009E5B20" w:rsidP="00C1753B">
            <w:pPr>
              <w:rPr>
                <w:rFonts w:ascii="Times New Roman" w:hAnsi="Times New Roman" w:cs="Times New Roman"/>
                <w:sz w:val="24"/>
                <w:szCs w:val="24"/>
                <w:lang w:eastAsia="en-IN"/>
              </w:rPr>
            </w:pPr>
            <w:r w:rsidRPr="009E5B20">
              <w:rPr>
                <w:rFonts w:ascii="Times New Roman" w:eastAsia="Times New Roman" w:hAnsi="Times New Roman" w:cs="Times New Roman"/>
                <w:sz w:val="24"/>
                <w:szCs w:val="24"/>
                <w:lang w:eastAsia="en-IN"/>
              </w:rPr>
              <w:t>Labour Challenges</w:t>
            </w:r>
          </w:p>
        </w:tc>
        <w:tc>
          <w:tcPr>
            <w:tcW w:w="2268" w:type="dxa"/>
            <w:vAlign w:val="center"/>
          </w:tcPr>
          <w:p w14:paraId="5B0C1315" w14:textId="7944E4E4"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4</w:t>
            </w:r>
          </w:p>
          <w:p w14:paraId="325DBD7C" w14:textId="4749ECE3"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17.5</w:t>
            </w:r>
            <w:r>
              <w:rPr>
                <w:rFonts w:ascii="Times New Roman" w:eastAsia="Times New Roman" w:hAnsi="Times New Roman" w:cs="Times New Roman"/>
                <w:sz w:val="24"/>
                <w:szCs w:val="24"/>
                <w:lang w:eastAsia="en-IN"/>
              </w:rPr>
              <w:t>0 %)</w:t>
            </w:r>
          </w:p>
        </w:tc>
        <w:tc>
          <w:tcPr>
            <w:tcW w:w="2358" w:type="dxa"/>
            <w:vAlign w:val="center"/>
          </w:tcPr>
          <w:p w14:paraId="2AD56977" w14:textId="583BC78E" w:rsidR="00B14A24" w:rsidRDefault="00B14A24" w:rsidP="00C1753B">
            <w:pPr>
              <w:jc w:val="center"/>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3</w:t>
            </w:r>
          </w:p>
          <w:p w14:paraId="513AFD10" w14:textId="733EB245" w:rsidR="009E5B20" w:rsidRPr="00C309F4" w:rsidRDefault="00B14A24" w:rsidP="00C1753B">
            <w:pPr>
              <w:jc w:val="center"/>
              <w:rPr>
                <w:rFonts w:ascii="Times New Roman" w:hAnsi="Times New Roman" w:cs="Times New Roman"/>
                <w:sz w:val="24"/>
                <w:szCs w:val="24"/>
                <w:lang w:eastAsia="en-IN"/>
              </w:rPr>
            </w:pPr>
            <w:r>
              <w:rPr>
                <w:rFonts w:ascii="Times New Roman" w:eastAsia="Times New Roman" w:hAnsi="Times New Roman" w:cs="Times New Roman"/>
                <w:sz w:val="24"/>
                <w:szCs w:val="24"/>
                <w:lang w:eastAsia="en-IN"/>
              </w:rPr>
              <w:t>(</w:t>
            </w:r>
            <w:r w:rsidR="009E5B20" w:rsidRPr="009E5B20">
              <w:rPr>
                <w:rFonts w:ascii="Times New Roman" w:eastAsia="Times New Roman" w:hAnsi="Times New Roman" w:cs="Times New Roman"/>
                <w:sz w:val="24"/>
                <w:szCs w:val="24"/>
                <w:lang w:eastAsia="en-IN"/>
              </w:rPr>
              <w:t>10.7</w:t>
            </w:r>
            <w:r>
              <w:rPr>
                <w:rFonts w:ascii="Times New Roman" w:eastAsia="Times New Roman" w:hAnsi="Times New Roman" w:cs="Times New Roman"/>
                <w:sz w:val="24"/>
                <w:szCs w:val="24"/>
                <w:lang w:eastAsia="en-IN"/>
              </w:rPr>
              <w:t>0 %)</w:t>
            </w:r>
          </w:p>
        </w:tc>
      </w:tr>
    </w:tbl>
    <w:p w14:paraId="1EF1CC60" w14:textId="07A1CC09" w:rsidR="00DF0D62" w:rsidRDefault="00DF0D62" w:rsidP="00462DE3">
      <w:pPr>
        <w:rPr>
          <w:rFonts w:ascii="Times New Roman" w:hAnsi="Times New Roman" w:cs="Times New Roman"/>
          <w:b/>
          <w:bCs/>
          <w:sz w:val="24"/>
          <w:szCs w:val="24"/>
        </w:rPr>
      </w:pPr>
    </w:p>
    <w:p w14:paraId="55434002" w14:textId="0E7AFABD"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Financial Constraints</w:t>
      </w:r>
    </w:p>
    <w:p w14:paraId="1A271EB2" w14:textId="261D5DE0" w:rsidR="00462DE3" w:rsidRPr="00C309F4" w:rsidRDefault="00C74332" w:rsidP="00C1753B">
      <w:pPr>
        <w:spacing w:line="360" w:lineRule="auto"/>
        <w:ind w:firstLine="720"/>
        <w:jc w:val="both"/>
        <w:rPr>
          <w:rFonts w:ascii="Times New Roman" w:hAnsi="Times New Roman" w:cs="Times New Roman"/>
          <w:sz w:val="24"/>
          <w:szCs w:val="24"/>
        </w:rPr>
      </w:pPr>
      <w:r w:rsidRPr="00C74332">
        <w:rPr>
          <w:rFonts w:ascii="Times New Roman" w:hAnsi="Times New Roman" w:cs="Times New Roman"/>
          <w:sz w:val="24"/>
          <w:szCs w:val="24"/>
        </w:rPr>
        <w:t>Financial problems were the most frequently reported issue among farmers. Around 25.3% traditional and 24.1% industrial agroforestry farmers faced difficulties in obtaining funds for establishing and maintaining tree plantations. Limited access to bank loans, lack of collateral security, and high initial investment costs discouraged them from expanding agroforestry. Since trees take longer to yield income, farmers often struggled to manage short-term financial needs</w:t>
      </w:r>
      <w:r>
        <w:rPr>
          <w:rFonts w:ascii="Times New Roman" w:hAnsi="Times New Roman" w:cs="Times New Roman"/>
          <w:sz w:val="24"/>
          <w:szCs w:val="24"/>
        </w:rPr>
        <w:t xml:space="preserve"> </w:t>
      </w:r>
      <w:r w:rsidR="00462DE3" w:rsidRPr="00C309F4">
        <w:rPr>
          <w:rFonts w:ascii="Times New Roman" w:hAnsi="Times New Roman" w:cs="Times New Roman"/>
          <w:sz w:val="24"/>
          <w:szCs w:val="24"/>
        </w:rPr>
        <w:t>(</w:t>
      </w:r>
      <w:proofErr w:type="spellStart"/>
      <w:r w:rsidR="00462DE3" w:rsidRPr="00C309F4">
        <w:rPr>
          <w:rFonts w:ascii="Times New Roman" w:hAnsi="Times New Roman" w:cs="Times New Roman"/>
          <w:sz w:val="24"/>
          <w:szCs w:val="24"/>
        </w:rPr>
        <w:t>Murniati</w:t>
      </w:r>
      <w:proofErr w:type="spellEnd"/>
      <w:r w:rsidR="00462DE3" w:rsidRPr="00C309F4">
        <w:rPr>
          <w:rFonts w:ascii="Times New Roman" w:hAnsi="Times New Roman" w:cs="Times New Roman"/>
          <w:sz w:val="24"/>
          <w:szCs w:val="24"/>
        </w:rPr>
        <w:t xml:space="preserve"> et al., 2001).</w:t>
      </w:r>
    </w:p>
    <w:p w14:paraId="31D2E0F7" w14:textId="2A815F12" w:rsidR="009E5B20" w:rsidRPr="00C309F4" w:rsidRDefault="00462DE3" w:rsidP="00462DE3">
      <w:pPr>
        <w:rPr>
          <w:rFonts w:ascii="Times New Roman" w:hAnsi="Times New Roman" w:cs="Times New Roman"/>
          <w:sz w:val="24"/>
          <w:szCs w:val="24"/>
        </w:rPr>
      </w:pPr>
      <w:r w:rsidRPr="00C309F4">
        <w:rPr>
          <w:rFonts w:ascii="Times New Roman" w:hAnsi="Times New Roman" w:cs="Times New Roman"/>
          <w:b/>
          <w:bCs/>
          <w:sz w:val="24"/>
          <w:szCs w:val="24"/>
        </w:rPr>
        <w:t>Institutional and Policy Barriers</w:t>
      </w:r>
      <w:r w:rsidRPr="00C309F4">
        <w:rPr>
          <w:rFonts w:ascii="Times New Roman" w:hAnsi="Times New Roman" w:cs="Times New Roman"/>
          <w:sz w:val="24"/>
          <w:szCs w:val="24"/>
        </w:rPr>
        <w:t xml:space="preserve"> </w:t>
      </w:r>
    </w:p>
    <w:p w14:paraId="1F680321" w14:textId="7274CCFF" w:rsidR="00462DE3" w:rsidRPr="00C309F4" w:rsidRDefault="00C74332" w:rsidP="00C1753B">
      <w:pPr>
        <w:spacing w:line="360" w:lineRule="auto"/>
        <w:ind w:firstLine="720"/>
        <w:jc w:val="both"/>
        <w:rPr>
          <w:rFonts w:ascii="Times New Roman" w:hAnsi="Times New Roman" w:cs="Times New Roman"/>
          <w:sz w:val="24"/>
          <w:szCs w:val="24"/>
        </w:rPr>
      </w:pPr>
      <w:r w:rsidRPr="00C74332">
        <w:rPr>
          <w:rFonts w:ascii="Times New Roman" w:hAnsi="Times New Roman" w:cs="Times New Roman"/>
          <w:sz w:val="24"/>
          <w:szCs w:val="24"/>
        </w:rPr>
        <w:t xml:space="preserve">About 22.8% traditional and 21.9% industrial farmers </w:t>
      </w:r>
      <w:r w:rsidR="00DF4D0E">
        <w:rPr>
          <w:rFonts w:ascii="Times New Roman" w:hAnsi="Times New Roman" w:cs="Times New Roman"/>
          <w:sz w:val="24"/>
          <w:szCs w:val="24"/>
        </w:rPr>
        <w:t xml:space="preserve">expressed </w:t>
      </w:r>
      <w:r w:rsidR="00DF4D0E" w:rsidRPr="00C74332">
        <w:rPr>
          <w:rFonts w:ascii="Times New Roman" w:hAnsi="Times New Roman" w:cs="Times New Roman"/>
          <w:sz w:val="24"/>
          <w:szCs w:val="24"/>
        </w:rPr>
        <w:t>institutional</w:t>
      </w:r>
      <w:r w:rsidRPr="00C74332">
        <w:rPr>
          <w:rFonts w:ascii="Times New Roman" w:hAnsi="Times New Roman" w:cs="Times New Roman"/>
          <w:sz w:val="24"/>
          <w:szCs w:val="24"/>
        </w:rPr>
        <w:t xml:space="preserve"> and policy-related barriers. These included poor coordination between departments, limited extension support, and a lack of awareness about government subsidy schemes. Complicated felling and transport regulations also discouraged farmers from harvesting and marketing tree produce, creating frustration and reducing confidence in policy support</w:t>
      </w:r>
      <w:r>
        <w:rPr>
          <w:rFonts w:ascii="Times New Roman" w:hAnsi="Times New Roman" w:cs="Times New Roman"/>
          <w:sz w:val="24"/>
          <w:szCs w:val="24"/>
        </w:rPr>
        <w:t xml:space="preserve"> </w:t>
      </w:r>
      <w:r w:rsidR="00462DE3" w:rsidRPr="00C309F4">
        <w:rPr>
          <w:rFonts w:ascii="Times New Roman" w:hAnsi="Times New Roman" w:cs="Times New Roman"/>
          <w:sz w:val="24"/>
          <w:szCs w:val="24"/>
        </w:rPr>
        <w:t>(Agarwal, 2001).</w:t>
      </w:r>
    </w:p>
    <w:p w14:paraId="29E0FA29" w14:textId="5F277AB5"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 xml:space="preserve">Market and Price Risks </w:t>
      </w:r>
    </w:p>
    <w:p w14:paraId="3F3D2F06" w14:textId="0FB85984" w:rsidR="00462DE3" w:rsidRDefault="00C74332" w:rsidP="00C1753B">
      <w:pPr>
        <w:spacing w:line="360" w:lineRule="auto"/>
        <w:ind w:firstLine="720"/>
        <w:jc w:val="both"/>
        <w:rPr>
          <w:rFonts w:ascii="Times New Roman" w:hAnsi="Times New Roman" w:cs="Times New Roman"/>
          <w:sz w:val="24"/>
          <w:szCs w:val="24"/>
        </w:rPr>
      </w:pPr>
      <w:proofErr w:type="gramStart"/>
      <w:r w:rsidRPr="00C74332">
        <w:rPr>
          <w:rFonts w:ascii="Times New Roman" w:hAnsi="Times New Roman" w:cs="Times New Roman"/>
          <w:sz w:val="24"/>
          <w:szCs w:val="24"/>
        </w:rPr>
        <w:t>Nearly  18.6</w:t>
      </w:r>
      <w:proofErr w:type="gramEnd"/>
      <w:r w:rsidRPr="00C74332">
        <w:rPr>
          <w:rFonts w:ascii="Times New Roman" w:hAnsi="Times New Roman" w:cs="Times New Roman"/>
          <w:sz w:val="24"/>
          <w:szCs w:val="24"/>
        </w:rPr>
        <w:t>% traditional and 23.7% industrial agroforestry farmers</w:t>
      </w:r>
      <w:r>
        <w:rPr>
          <w:rFonts w:ascii="Times New Roman" w:hAnsi="Times New Roman" w:cs="Times New Roman"/>
          <w:sz w:val="24"/>
          <w:szCs w:val="24"/>
        </w:rPr>
        <w:t xml:space="preserve"> stated that </w:t>
      </w:r>
      <w:r w:rsidRPr="00C74332">
        <w:rPr>
          <w:rFonts w:ascii="Times New Roman" w:hAnsi="Times New Roman" w:cs="Times New Roman"/>
          <w:sz w:val="24"/>
          <w:szCs w:val="24"/>
        </w:rPr>
        <w:t xml:space="preserve"> concern over market and price instability. Industrial farmers, in particular, suffered from fluctuating timber and pulp prices, delayed payments, and dependency on middlemen. The absence of organized marketing facilities made it difficult for both groups to secure fair prices, especially for small-scale producers</w:t>
      </w:r>
      <w:r>
        <w:rPr>
          <w:rFonts w:ascii="Times New Roman" w:hAnsi="Times New Roman" w:cs="Times New Roman"/>
          <w:sz w:val="24"/>
          <w:szCs w:val="24"/>
        </w:rPr>
        <w:t xml:space="preserve"> (</w:t>
      </w:r>
      <w:r w:rsidR="00462DE3" w:rsidRPr="00C309F4">
        <w:rPr>
          <w:rFonts w:ascii="Times New Roman" w:hAnsi="Times New Roman" w:cs="Times New Roman"/>
          <w:sz w:val="24"/>
          <w:szCs w:val="24"/>
        </w:rPr>
        <w:t>Arnold &amp; Dewees (1997).</w:t>
      </w:r>
    </w:p>
    <w:p w14:paraId="2E4ECDA8" w14:textId="77777777" w:rsidR="00CE6493" w:rsidRPr="00C309F4" w:rsidRDefault="00CE6493" w:rsidP="00C1753B">
      <w:pPr>
        <w:spacing w:line="360" w:lineRule="auto"/>
        <w:ind w:firstLine="720"/>
        <w:jc w:val="both"/>
        <w:rPr>
          <w:rFonts w:ascii="Times New Roman" w:hAnsi="Times New Roman" w:cs="Times New Roman"/>
          <w:sz w:val="24"/>
          <w:szCs w:val="24"/>
        </w:rPr>
      </w:pPr>
    </w:p>
    <w:p w14:paraId="7A1D08E9" w14:textId="77777777" w:rsidR="009E5B20"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lastRenderedPageBreak/>
        <w:t xml:space="preserve">Environmental Issues </w:t>
      </w:r>
    </w:p>
    <w:p w14:paraId="5BF04802" w14:textId="04D5DCEA" w:rsidR="00462DE3" w:rsidRPr="00C309F4" w:rsidRDefault="009E5B20" w:rsidP="00C1753B">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 </w:t>
      </w:r>
      <w:r w:rsidR="00D56731" w:rsidRPr="00D56731">
        <w:rPr>
          <w:rFonts w:ascii="Times New Roman" w:hAnsi="Times New Roman" w:cs="Times New Roman"/>
          <w:sz w:val="24"/>
          <w:szCs w:val="24"/>
        </w:rPr>
        <w:t>Environmental challenges were reported by 15.8% traditional and 19.5% industrial farmers. Major problems included irregular rainfall, pest incidence, and soil fertility decline. In some industrial systems, continuous cultivation of eucalyptus and casuarina reduced soil moisture and biodiversity. Traditional systems were more sustainable but still faced yield reduction due to changing climate conditions</w:t>
      </w:r>
      <w:r w:rsidR="00462DE3" w:rsidRPr="00C309F4">
        <w:rPr>
          <w:rFonts w:ascii="Times New Roman" w:hAnsi="Times New Roman" w:cs="Times New Roman"/>
          <w:sz w:val="24"/>
          <w:szCs w:val="24"/>
        </w:rPr>
        <w:t xml:space="preserve"> (Mbow et al., 2014; Leakey, 2014).</w:t>
      </w:r>
    </w:p>
    <w:p w14:paraId="6760730F" w14:textId="77777777" w:rsidR="009E5B20" w:rsidRPr="00D56731" w:rsidRDefault="00462DE3" w:rsidP="00462DE3">
      <w:pPr>
        <w:rPr>
          <w:rFonts w:ascii="Times New Roman" w:hAnsi="Times New Roman" w:cs="Times New Roman"/>
          <w:b/>
          <w:bCs/>
          <w:sz w:val="24"/>
          <w:szCs w:val="24"/>
        </w:rPr>
      </w:pPr>
      <w:r w:rsidRPr="00D56731">
        <w:rPr>
          <w:rFonts w:ascii="Times New Roman" w:hAnsi="Times New Roman" w:cs="Times New Roman"/>
          <w:b/>
          <w:bCs/>
          <w:sz w:val="24"/>
          <w:szCs w:val="24"/>
        </w:rPr>
        <w:t>Labour Challenges</w:t>
      </w:r>
    </w:p>
    <w:p w14:paraId="2EABAA5E" w14:textId="3FEDA12E" w:rsidR="00462DE3" w:rsidRPr="00C309F4" w:rsidRDefault="00D56731" w:rsidP="00C1753B">
      <w:pPr>
        <w:spacing w:line="360" w:lineRule="auto"/>
        <w:ind w:firstLine="720"/>
        <w:jc w:val="both"/>
        <w:rPr>
          <w:rFonts w:ascii="Times New Roman" w:hAnsi="Times New Roman" w:cs="Times New Roman"/>
          <w:sz w:val="24"/>
          <w:szCs w:val="24"/>
        </w:rPr>
      </w:pPr>
      <w:r w:rsidRPr="00D56731">
        <w:rPr>
          <w:rFonts w:ascii="Times New Roman" w:hAnsi="Times New Roman" w:cs="Times New Roman"/>
          <w:sz w:val="24"/>
          <w:szCs w:val="24"/>
        </w:rPr>
        <w:t>Labour shortage was mentioned by 17.5</w:t>
      </w:r>
      <w:r w:rsidR="00336F65" w:rsidRPr="00D56731">
        <w:rPr>
          <w:rFonts w:ascii="Times New Roman" w:hAnsi="Times New Roman" w:cs="Times New Roman"/>
          <w:sz w:val="24"/>
          <w:szCs w:val="24"/>
        </w:rPr>
        <w:t>% traditional</w:t>
      </w:r>
      <w:r w:rsidRPr="00D56731">
        <w:rPr>
          <w:rFonts w:ascii="Times New Roman" w:hAnsi="Times New Roman" w:cs="Times New Roman"/>
          <w:sz w:val="24"/>
          <w:szCs w:val="24"/>
        </w:rPr>
        <w:t xml:space="preserve"> and 10.7</w:t>
      </w:r>
      <w:proofErr w:type="gramStart"/>
      <w:r w:rsidRPr="00D56731">
        <w:rPr>
          <w:rFonts w:ascii="Times New Roman" w:hAnsi="Times New Roman" w:cs="Times New Roman"/>
          <w:sz w:val="24"/>
          <w:szCs w:val="24"/>
        </w:rPr>
        <w:t>%  industrial</w:t>
      </w:r>
      <w:proofErr w:type="gramEnd"/>
      <w:r w:rsidRPr="00D56731">
        <w:rPr>
          <w:rFonts w:ascii="Times New Roman" w:hAnsi="Times New Roman" w:cs="Times New Roman"/>
          <w:sz w:val="24"/>
          <w:szCs w:val="24"/>
        </w:rPr>
        <w:t xml:space="preserve"> farmers. Seasonal demand for labour during planting and harvesting periods increased wages and production costs. Migration of rural youth to cities further worsened the availability of skilled farm workers, affecting timely operations in agroforestry management</w:t>
      </w:r>
      <w:r>
        <w:rPr>
          <w:rFonts w:ascii="Times New Roman" w:hAnsi="Times New Roman" w:cs="Times New Roman"/>
          <w:sz w:val="24"/>
          <w:szCs w:val="24"/>
        </w:rPr>
        <w:t xml:space="preserve"> </w:t>
      </w:r>
      <w:r w:rsidR="00462DE3" w:rsidRPr="00C309F4">
        <w:rPr>
          <w:rFonts w:ascii="Times New Roman" w:hAnsi="Times New Roman" w:cs="Times New Roman"/>
          <w:sz w:val="24"/>
          <w:szCs w:val="24"/>
        </w:rPr>
        <w:t>(</w:t>
      </w:r>
      <w:proofErr w:type="spellStart"/>
      <w:r w:rsidR="00462DE3" w:rsidRPr="00C309F4">
        <w:rPr>
          <w:rFonts w:ascii="Times New Roman" w:hAnsi="Times New Roman" w:cs="Times New Roman"/>
          <w:sz w:val="24"/>
          <w:szCs w:val="24"/>
        </w:rPr>
        <w:t>Jhariya</w:t>
      </w:r>
      <w:proofErr w:type="spellEnd"/>
      <w:r w:rsidR="00462DE3" w:rsidRPr="00C309F4">
        <w:rPr>
          <w:rFonts w:ascii="Times New Roman" w:hAnsi="Times New Roman" w:cs="Times New Roman"/>
          <w:sz w:val="24"/>
          <w:szCs w:val="24"/>
        </w:rPr>
        <w:t xml:space="preserve"> et al., 2015).</w:t>
      </w:r>
    </w:p>
    <w:p w14:paraId="28BA9FDD" w14:textId="1CD6AA25" w:rsidR="00462DE3" w:rsidRPr="00E17728" w:rsidRDefault="00462DE3" w:rsidP="00E17728">
      <w:pPr>
        <w:jc w:val="both"/>
        <w:rPr>
          <w:rFonts w:ascii="Times New Roman" w:hAnsi="Times New Roman" w:cs="Times New Roman"/>
          <w:b/>
          <w:bCs/>
          <w:sz w:val="24"/>
          <w:szCs w:val="24"/>
        </w:rPr>
      </w:pPr>
      <w:r w:rsidRPr="00E17728">
        <w:rPr>
          <w:rFonts w:ascii="Times New Roman" w:hAnsi="Times New Roman" w:cs="Times New Roman"/>
          <w:b/>
          <w:bCs/>
          <w:sz w:val="24"/>
          <w:szCs w:val="24"/>
        </w:rPr>
        <w:t>Strategies to Overcome Constraints</w:t>
      </w:r>
    </w:p>
    <w:p w14:paraId="573E6088" w14:textId="77777777" w:rsidR="00E17728" w:rsidRPr="00E17728" w:rsidRDefault="00E17728" w:rsidP="00E17728">
      <w:pPr>
        <w:jc w:val="both"/>
        <w:rPr>
          <w:rFonts w:ascii="Times New Roman" w:hAnsi="Times New Roman" w:cs="Times New Roman"/>
          <w:b/>
          <w:bCs/>
          <w:sz w:val="24"/>
          <w:szCs w:val="24"/>
        </w:rPr>
      </w:pPr>
      <w:r w:rsidRPr="00E17728">
        <w:rPr>
          <w:rFonts w:ascii="Times New Roman" w:hAnsi="Times New Roman" w:cs="Times New Roman"/>
          <w:b/>
          <w:bCs/>
          <w:sz w:val="24"/>
          <w:szCs w:val="24"/>
        </w:rPr>
        <w:t>1. Financial Support and Credit Accessibility</w:t>
      </w:r>
    </w:p>
    <w:p w14:paraId="0F0A3493" w14:textId="77777777" w:rsidR="00E17728" w:rsidRPr="00E17728" w:rsidRDefault="00E17728" w:rsidP="00C1753B">
      <w:pPr>
        <w:spacing w:line="360" w:lineRule="auto"/>
        <w:ind w:firstLine="720"/>
        <w:jc w:val="both"/>
        <w:rPr>
          <w:rFonts w:ascii="Times New Roman" w:hAnsi="Times New Roman" w:cs="Times New Roman"/>
          <w:sz w:val="24"/>
          <w:szCs w:val="24"/>
        </w:rPr>
      </w:pPr>
      <w:r w:rsidRPr="00E17728">
        <w:rPr>
          <w:rFonts w:ascii="Times New Roman" w:hAnsi="Times New Roman" w:cs="Times New Roman"/>
          <w:sz w:val="24"/>
          <w:szCs w:val="24"/>
        </w:rPr>
        <w:t>Adequate financial support is vital to promote the wider adoption of agroforestry systems. Easy access to institutional credit, subsidies, and low-interest loans can help small and marginal farmers meet the initial establishment and maintenance costs. Linking farmers with cooperative banks, self-help groups, and microcredit schemes will ensure continuous financial support for agroforestry activities.</w:t>
      </w:r>
    </w:p>
    <w:p w14:paraId="158FA5D9" w14:textId="1A4D34F5" w:rsidR="00E17728" w:rsidRPr="00E17728" w:rsidRDefault="00E17728" w:rsidP="00E17728">
      <w:pPr>
        <w:jc w:val="both"/>
        <w:rPr>
          <w:rFonts w:ascii="Times New Roman" w:hAnsi="Times New Roman" w:cs="Times New Roman"/>
          <w:b/>
          <w:bCs/>
          <w:sz w:val="24"/>
          <w:szCs w:val="24"/>
        </w:rPr>
      </w:pPr>
      <w:r w:rsidRPr="00E17728">
        <w:rPr>
          <w:rFonts w:ascii="Times New Roman" w:hAnsi="Times New Roman" w:cs="Times New Roman"/>
          <w:b/>
          <w:bCs/>
          <w:sz w:val="24"/>
          <w:szCs w:val="24"/>
        </w:rPr>
        <w:t>2. Labour Management and Skill Development</w:t>
      </w:r>
    </w:p>
    <w:p w14:paraId="42DA4362" w14:textId="77777777" w:rsidR="00E17728" w:rsidRPr="00E17728" w:rsidRDefault="00E17728" w:rsidP="00C1753B">
      <w:pPr>
        <w:spacing w:line="360" w:lineRule="auto"/>
        <w:ind w:firstLine="720"/>
        <w:jc w:val="both"/>
        <w:rPr>
          <w:rFonts w:ascii="Times New Roman" w:hAnsi="Times New Roman" w:cs="Times New Roman"/>
          <w:sz w:val="24"/>
          <w:szCs w:val="24"/>
        </w:rPr>
      </w:pPr>
      <w:r w:rsidRPr="00E17728">
        <w:rPr>
          <w:rFonts w:ascii="Times New Roman" w:hAnsi="Times New Roman" w:cs="Times New Roman"/>
          <w:sz w:val="24"/>
          <w:szCs w:val="24"/>
        </w:rPr>
        <w:t>To address labour shortages, farmers can adopt labour-saving tools and small-scale mechanization for pruning, planting, and harvesting. Organizing skill development and training programs for local youth and women can build a reliable workforce. Encouraging collective labour groups or farmer cooperatives can help share labour resources during peak seasons. Promoting agroforestry as a modern and profitable enterprise can also attract educated rural youth back into farming.</w:t>
      </w:r>
    </w:p>
    <w:p w14:paraId="4A57E05E" w14:textId="77777777" w:rsidR="00E17728" w:rsidRPr="00E17728" w:rsidRDefault="00E17728" w:rsidP="00E17728">
      <w:pPr>
        <w:jc w:val="both"/>
        <w:rPr>
          <w:rFonts w:ascii="Times New Roman" w:hAnsi="Times New Roman" w:cs="Times New Roman"/>
          <w:b/>
          <w:bCs/>
          <w:sz w:val="24"/>
          <w:szCs w:val="24"/>
        </w:rPr>
      </w:pPr>
      <w:r w:rsidRPr="00E17728">
        <w:rPr>
          <w:rFonts w:ascii="Times New Roman" w:hAnsi="Times New Roman" w:cs="Times New Roman"/>
          <w:b/>
          <w:bCs/>
          <w:sz w:val="24"/>
          <w:szCs w:val="24"/>
        </w:rPr>
        <w:t>3. Market Linkages and Price Stabilization</w:t>
      </w:r>
    </w:p>
    <w:p w14:paraId="284740DB" w14:textId="77777777" w:rsidR="00E17728" w:rsidRPr="00E17728" w:rsidRDefault="00E17728" w:rsidP="00387F3D">
      <w:pPr>
        <w:spacing w:line="360" w:lineRule="auto"/>
        <w:ind w:firstLine="720"/>
        <w:jc w:val="both"/>
        <w:rPr>
          <w:rFonts w:ascii="Times New Roman" w:hAnsi="Times New Roman" w:cs="Times New Roman"/>
          <w:sz w:val="24"/>
          <w:szCs w:val="24"/>
        </w:rPr>
      </w:pPr>
      <w:r w:rsidRPr="00E17728">
        <w:rPr>
          <w:rFonts w:ascii="Times New Roman" w:hAnsi="Times New Roman" w:cs="Times New Roman"/>
          <w:sz w:val="24"/>
          <w:szCs w:val="24"/>
        </w:rPr>
        <w:t xml:space="preserve">Developing strong and transparent market linkages is crucial for ensuring fair prices for tree and crop produce. Establishing farmer producer organizations (FPOs) and cooperatives can improve collective bargaining power. Setting up local timber depots and direct tie-ups with industries will reduce dependence on middlemen. Introducing minimum support prices for </w:t>
      </w:r>
      <w:r w:rsidRPr="00E17728">
        <w:rPr>
          <w:rFonts w:ascii="Times New Roman" w:hAnsi="Times New Roman" w:cs="Times New Roman"/>
          <w:sz w:val="24"/>
          <w:szCs w:val="24"/>
        </w:rPr>
        <w:lastRenderedPageBreak/>
        <w:t>important tree species and promoting value addition can stabilize incomes and minimize market risks.</w:t>
      </w:r>
    </w:p>
    <w:p w14:paraId="508FC8B5" w14:textId="00640321" w:rsidR="00E17728" w:rsidRPr="00E17728" w:rsidRDefault="00E17728" w:rsidP="00E17728">
      <w:pPr>
        <w:jc w:val="both"/>
        <w:rPr>
          <w:rFonts w:ascii="Times New Roman" w:hAnsi="Times New Roman" w:cs="Times New Roman"/>
          <w:b/>
          <w:bCs/>
          <w:sz w:val="24"/>
          <w:szCs w:val="24"/>
        </w:rPr>
      </w:pPr>
      <w:r w:rsidRPr="00E17728">
        <w:rPr>
          <w:rFonts w:ascii="Times New Roman" w:hAnsi="Times New Roman" w:cs="Times New Roman"/>
          <w:sz w:val="24"/>
          <w:szCs w:val="24"/>
        </w:rPr>
        <w:t>4</w:t>
      </w:r>
      <w:r w:rsidRPr="00E17728">
        <w:rPr>
          <w:rFonts w:ascii="Times New Roman" w:hAnsi="Times New Roman" w:cs="Times New Roman"/>
          <w:b/>
          <w:bCs/>
          <w:sz w:val="24"/>
          <w:szCs w:val="24"/>
        </w:rPr>
        <w:t>. Sustainable Environmental Practices</w:t>
      </w:r>
    </w:p>
    <w:p w14:paraId="3713959B" w14:textId="68BA7355" w:rsidR="00E17728" w:rsidRPr="00E17728" w:rsidRDefault="00E17728" w:rsidP="00387F3D">
      <w:pPr>
        <w:spacing w:line="360" w:lineRule="auto"/>
        <w:jc w:val="both"/>
        <w:rPr>
          <w:rFonts w:ascii="Times New Roman" w:hAnsi="Times New Roman" w:cs="Times New Roman"/>
          <w:sz w:val="24"/>
          <w:szCs w:val="24"/>
        </w:rPr>
      </w:pPr>
      <w:r w:rsidRPr="00E17728">
        <w:rPr>
          <w:rFonts w:ascii="Times New Roman" w:hAnsi="Times New Roman" w:cs="Times New Roman"/>
          <w:sz w:val="24"/>
          <w:szCs w:val="24"/>
        </w:rPr>
        <w:t xml:space="preserve"> </w:t>
      </w:r>
      <w:r w:rsidR="00362025">
        <w:rPr>
          <w:rFonts w:ascii="Times New Roman" w:hAnsi="Times New Roman" w:cs="Times New Roman"/>
          <w:sz w:val="24"/>
          <w:szCs w:val="24"/>
        </w:rPr>
        <w:tab/>
      </w:r>
      <w:r w:rsidRPr="00E17728">
        <w:rPr>
          <w:rFonts w:ascii="Times New Roman" w:hAnsi="Times New Roman" w:cs="Times New Roman"/>
          <w:sz w:val="24"/>
          <w:szCs w:val="24"/>
        </w:rPr>
        <w:t>Adopting eco-friendly and climate-resilient practices ensures the long-term sustainability of agroforestry systems. Farmers should choose drought-tolerant and native tree species suited to local conditions while following soil testing, organic manuring, and integrated pest management practices. Intercropping with legumes and maintaining on-farm biodiversity enhance ecological balance and resilience to climate change</w:t>
      </w:r>
    </w:p>
    <w:p w14:paraId="055F2A96" w14:textId="77777777" w:rsidR="00E17728" w:rsidRPr="00E17728" w:rsidRDefault="00E17728" w:rsidP="00E17728">
      <w:pPr>
        <w:jc w:val="both"/>
        <w:rPr>
          <w:rFonts w:ascii="Times New Roman" w:hAnsi="Times New Roman" w:cs="Times New Roman"/>
          <w:b/>
          <w:bCs/>
          <w:sz w:val="24"/>
          <w:szCs w:val="24"/>
        </w:rPr>
      </w:pPr>
      <w:r w:rsidRPr="00E17728">
        <w:rPr>
          <w:rFonts w:ascii="Times New Roman" w:hAnsi="Times New Roman" w:cs="Times New Roman"/>
          <w:b/>
          <w:bCs/>
          <w:sz w:val="24"/>
          <w:szCs w:val="24"/>
        </w:rPr>
        <w:t>5. Policy and Institutional Support</w:t>
      </w:r>
    </w:p>
    <w:p w14:paraId="14F89686" w14:textId="2EF176B6" w:rsidR="002F2A58" w:rsidRPr="00E17728" w:rsidRDefault="00E17728" w:rsidP="00387F3D">
      <w:pPr>
        <w:spacing w:line="360" w:lineRule="auto"/>
        <w:ind w:firstLine="720"/>
        <w:jc w:val="both"/>
        <w:rPr>
          <w:rFonts w:ascii="Times New Roman" w:hAnsi="Times New Roman" w:cs="Times New Roman"/>
          <w:sz w:val="24"/>
          <w:szCs w:val="24"/>
        </w:rPr>
      </w:pPr>
      <w:r w:rsidRPr="00E17728">
        <w:rPr>
          <w:rFonts w:ascii="Times New Roman" w:hAnsi="Times New Roman" w:cs="Times New Roman"/>
          <w:sz w:val="24"/>
          <w:szCs w:val="24"/>
        </w:rPr>
        <w:t>Strong policy and institutional support are crucial for promoting large-scale agroforestry adoption. Simplified regulations on tree felling and transport, along with effective extension and interdepartmental coordination, can enhance implementation and farmer participation. Increasing awareness of government schemes, subsidies, and incentives through training programs will further encourage active adoption of agroforestry practices.</w:t>
      </w:r>
    </w:p>
    <w:p w14:paraId="0F064BAD" w14:textId="77D3D754" w:rsidR="00462DE3" w:rsidRPr="00C309F4" w:rsidRDefault="00462DE3" w:rsidP="00462DE3">
      <w:pPr>
        <w:rPr>
          <w:rFonts w:ascii="Times New Roman" w:hAnsi="Times New Roman" w:cs="Times New Roman"/>
          <w:b/>
          <w:bCs/>
          <w:sz w:val="24"/>
          <w:szCs w:val="24"/>
        </w:rPr>
      </w:pPr>
      <w:r w:rsidRPr="00C309F4">
        <w:rPr>
          <w:rFonts w:ascii="Times New Roman" w:hAnsi="Times New Roman" w:cs="Times New Roman"/>
          <w:b/>
          <w:bCs/>
          <w:sz w:val="24"/>
          <w:szCs w:val="24"/>
        </w:rPr>
        <w:t xml:space="preserve"> </w:t>
      </w:r>
      <w:r w:rsidR="00710C0E" w:rsidRPr="00C309F4">
        <w:rPr>
          <w:rFonts w:ascii="Times New Roman" w:hAnsi="Times New Roman" w:cs="Times New Roman"/>
          <w:b/>
          <w:bCs/>
          <w:sz w:val="24"/>
          <w:szCs w:val="24"/>
        </w:rPr>
        <w:t>CONCLUSION</w:t>
      </w:r>
    </w:p>
    <w:p w14:paraId="5E4F5C86" w14:textId="1183297B" w:rsidR="002D2879" w:rsidRDefault="002D2879" w:rsidP="002E0806">
      <w:pPr>
        <w:spacing w:line="360" w:lineRule="auto"/>
        <w:ind w:firstLine="720"/>
        <w:jc w:val="both"/>
        <w:rPr>
          <w:rFonts w:ascii="Times New Roman" w:hAnsi="Times New Roman" w:cs="Times New Roman"/>
          <w:sz w:val="24"/>
          <w:szCs w:val="24"/>
        </w:rPr>
      </w:pPr>
      <w:r w:rsidRPr="00C309F4">
        <w:rPr>
          <w:rFonts w:ascii="Times New Roman" w:hAnsi="Times New Roman" w:cs="Times New Roman"/>
          <w:sz w:val="24"/>
          <w:szCs w:val="24"/>
        </w:rPr>
        <w:t xml:space="preserve">Both traditional and industrial agroforestry systems contribute uniquely to rural livelihoods in Coimbatore district. </w:t>
      </w:r>
      <w:r w:rsidRPr="002D2879">
        <w:rPr>
          <w:rFonts w:ascii="Times New Roman" w:hAnsi="Times New Roman" w:cs="Times New Roman"/>
          <w:sz w:val="24"/>
          <w:szCs w:val="24"/>
        </w:rPr>
        <w:t>The comparative analysis of traditional and industrial agroforestry systems in Coimbatore district highlights the need for an integrated approach that balances ecological sustainability with economic growth. Traditional systems preserve biodiversity and community stability, while industrial systems drive income generation and commercialization. A blended model that leverages the strengths of both can ensure long-term livelihood security and environmental health. Strengthening institutional frameworks, improving access to finance, enhancing farmer capacity, and building robust market linkages will be key strategies for promoting resilient and sustainable agroforestry development in Tamil Nadu.</w:t>
      </w:r>
    </w:p>
    <w:p w14:paraId="7CE30E6B" w14:textId="406C648B" w:rsidR="00462DE3" w:rsidRPr="00C309F4" w:rsidRDefault="002D2879" w:rsidP="00462DE3">
      <w:pPr>
        <w:rPr>
          <w:rFonts w:ascii="Times New Roman" w:hAnsi="Times New Roman" w:cs="Times New Roman"/>
          <w:b/>
          <w:bCs/>
          <w:sz w:val="24"/>
          <w:szCs w:val="24"/>
        </w:rPr>
      </w:pPr>
      <w:r w:rsidRPr="00C309F4">
        <w:rPr>
          <w:rFonts w:ascii="Times New Roman" w:hAnsi="Times New Roman" w:cs="Times New Roman"/>
          <w:b/>
          <w:bCs/>
          <w:sz w:val="24"/>
          <w:szCs w:val="24"/>
        </w:rPr>
        <w:t>REFERENCES</w:t>
      </w:r>
    </w:p>
    <w:p w14:paraId="042F6885"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Agarwal, B. (2001). Participatory exclusion, community forestry, and gender: An analysis for South Asia and a conceptual framework. World Development, 29(10), 1623–1648.</w:t>
      </w:r>
    </w:p>
    <w:p w14:paraId="30A70E81"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Altieri, M. A. (1995). Agroecology: The Science of Sustainable Agriculture. CRC Press, Boca Raton.</w:t>
      </w:r>
    </w:p>
    <w:p w14:paraId="33FC23CB"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lastRenderedPageBreak/>
        <w:t>Altieri, M. A. (2004). Agroecology: The Science of Sustainable Agriculture (2nd ed.). CRC Press, Boca Raton.</w:t>
      </w:r>
    </w:p>
    <w:p w14:paraId="77023987"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Arnold, J. E. M., &amp; Dewees, P. A. (1997). Farms, Trees, and Farmers: Responses to Agricultural Intensification. Earthscan Publications, London.</w:t>
      </w:r>
    </w:p>
    <w:p w14:paraId="7F09864A"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 xml:space="preserve">Chavan, S. B., Keerthika, A., Dhyani, S. K., Handa, A. K., &amp; </w:t>
      </w:r>
      <w:proofErr w:type="spellStart"/>
      <w:r w:rsidRPr="00CE6493">
        <w:rPr>
          <w:rFonts w:ascii="Times New Roman" w:hAnsi="Times New Roman" w:cs="Times New Roman"/>
          <w:sz w:val="24"/>
          <w:szCs w:val="24"/>
        </w:rPr>
        <w:t>Newaj</w:t>
      </w:r>
      <w:proofErr w:type="spellEnd"/>
      <w:r w:rsidRPr="00CE6493">
        <w:rPr>
          <w:rFonts w:ascii="Times New Roman" w:hAnsi="Times New Roman" w:cs="Times New Roman"/>
          <w:sz w:val="24"/>
          <w:szCs w:val="24"/>
        </w:rPr>
        <w:t>, R. (2021). Agroforestry for doubling farmers’ income: A review of pathways and strategies in Indian context. Agroforestry Systems, 95(5), 873–888.</w:t>
      </w:r>
    </w:p>
    <w:p w14:paraId="43BFF00D"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Goswami, S., Chaturvedi, O. P., &amp; Handa, A. K. (2023). Socio-economic and ecological assessment of agroforestry practices in southern India. Environment, Development and Sustainability, 25(7), 6781–6798.</w:t>
      </w:r>
    </w:p>
    <w:p w14:paraId="177194B4"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proofErr w:type="spellStart"/>
      <w:r w:rsidRPr="00CE6493">
        <w:rPr>
          <w:rFonts w:ascii="Times New Roman" w:hAnsi="Times New Roman" w:cs="Times New Roman"/>
          <w:sz w:val="24"/>
          <w:szCs w:val="24"/>
        </w:rPr>
        <w:t>Jambulingam</w:t>
      </w:r>
      <w:proofErr w:type="spellEnd"/>
      <w:r w:rsidRPr="00CE6493">
        <w:rPr>
          <w:rFonts w:ascii="Times New Roman" w:hAnsi="Times New Roman" w:cs="Times New Roman"/>
          <w:sz w:val="24"/>
          <w:szCs w:val="24"/>
        </w:rPr>
        <w:t>, R., &amp; Fernandes, E. C. M. (1986). Tree-crop interactions and soil fertility: The case of eucalyptus in India. Agroforestry Systems, 4(4), 29–38.</w:t>
      </w:r>
    </w:p>
    <w:p w14:paraId="0BF81628"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proofErr w:type="spellStart"/>
      <w:r w:rsidRPr="00CE6493">
        <w:rPr>
          <w:rFonts w:ascii="Times New Roman" w:hAnsi="Times New Roman" w:cs="Times New Roman"/>
          <w:sz w:val="24"/>
          <w:szCs w:val="24"/>
        </w:rPr>
        <w:t>Jhariya</w:t>
      </w:r>
      <w:proofErr w:type="spellEnd"/>
      <w:r w:rsidRPr="00CE6493">
        <w:rPr>
          <w:rFonts w:ascii="Times New Roman" w:hAnsi="Times New Roman" w:cs="Times New Roman"/>
          <w:sz w:val="24"/>
          <w:szCs w:val="24"/>
        </w:rPr>
        <w:t xml:space="preserve">, M. K., </w:t>
      </w:r>
      <w:proofErr w:type="spellStart"/>
      <w:r w:rsidRPr="00CE6493">
        <w:rPr>
          <w:rFonts w:ascii="Times New Roman" w:hAnsi="Times New Roman" w:cs="Times New Roman"/>
          <w:sz w:val="24"/>
          <w:szCs w:val="24"/>
        </w:rPr>
        <w:t>Bargali</w:t>
      </w:r>
      <w:proofErr w:type="spellEnd"/>
      <w:r w:rsidRPr="00CE6493">
        <w:rPr>
          <w:rFonts w:ascii="Times New Roman" w:hAnsi="Times New Roman" w:cs="Times New Roman"/>
          <w:sz w:val="24"/>
          <w:szCs w:val="24"/>
        </w:rPr>
        <w:t xml:space="preserve">, S. S., &amp; Raj, A. (2015). Possibilities and perspectives of agroforestry in Chhattisgarh. In K. Jose &amp; P. G. R. </w:t>
      </w:r>
      <w:proofErr w:type="spellStart"/>
      <w:r w:rsidRPr="00CE6493">
        <w:rPr>
          <w:rFonts w:ascii="Times New Roman" w:hAnsi="Times New Roman" w:cs="Times New Roman"/>
          <w:sz w:val="24"/>
          <w:szCs w:val="24"/>
        </w:rPr>
        <w:t>Chariar</w:t>
      </w:r>
      <w:proofErr w:type="spellEnd"/>
      <w:r w:rsidRPr="00CE6493">
        <w:rPr>
          <w:rFonts w:ascii="Times New Roman" w:hAnsi="Times New Roman" w:cs="Times New Roman"/>
          <w:sz w:val="24"/>
          <w:szCs w:val="24"/>
        </w:rPr>
        <w:t xml:space="preserve"> (Eds.), Agroforestry for Biodiversity and Ecosystem Services (pp. 237–257).</w:t>
      </w:r>
    </w:p>
    <w:p w14:paraId="3286E927"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Kumar, B. M., &amp; Nair, P. K. R. (2022). The role of agroforestry in achieving the Sustainable Development Goals (SDGs) in India. Current Science, 122(4), 445–454.</w:t>
      </w:r>
    </w:p>
    <w:p w14:paraId="54807609"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Kumar, B. M., Nair, P. K. R., &amp; Nair, V. D. (2015). Agroforestry as a strategy for climate change adaptation and mitigation in the tropics. Journal of Plant Interactions, 10(1), 1–12.</w:t>
      </w:r>
    </w:p>
    <w:p w14:paraId="45E5A3E9"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Leakey, R. R. B. (2014). Agroforestry: The future of global land use. In P. K. R. Nair &amp; D. Garrity (Eds.), Agroforestry: The Future of Global Land Use (pp. 1–11). Springer, Dordrecht.</w:t>
      </w:r>
    </w:p>
    <w:p w14:paraId="1B9FC56D"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 xml:space="preserve">Mbow, C., Smith, P., Skole, D., </w:t>
      </w:r>
      <w:proofErr w:type="spellStart"/>
      <w:r w:rsidRPr="00CE6493">
        <w:rPr>
          <w:rFonts w:ascii="Times New Roman" w:hAnsi="Times New Roman" w:cs="Times New Roman"/>
          <w:sz w:val="24"/>
          <w:szCs w:val="24"/>
        </w:rPr>
        <w:t>Duguma</w:t>
      </w:r>
      <w:proofErr w:type="spellEnd"/>
      <w:r w:rsidRPr="00CE6493">
        <w:rPr>
          <w:rFonts w:ascii="Times New Roman" w:hAnsi="Times New Roman" w:cs="Times New Roman"/>
          <w:sz w:val="24"/>
          <w:szCs w:val="24"/>
        </w:rPr>
        <w:t>, L., &amp; Bustamante, M. (2014). Achieving mitigation and adaptation to climate change through sustainable agroforestry practices in Africa. Current Opinion in Environmental Sustainability, 6, 8–14.</w:t>
      </w:r>
    </w:p>
    <w:p w14:paraId="666F7E92"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proofErr w:type="spellStart"/>
      <w:r w:rsidRPr="00CE6493">
        <w:rPr>
          <w:rFonts w:ascii="Times New Roman" w:hAnsi="Times New Roman" w:cs="Times New Roman"/>
          <w:sz w:val="24"/>
          <w:szCs w:val="24"/>
        </w:rPr>
        <w:t>Meinzen</w:t>
      </w:r>
      <w:proofErr w:type="spellEnd"/>
      <w:r w:rsidRPr="00CE6493">
        <w:rPr>
          <w:rFonts w:ascii="Times New Roman" w:hAnsi="Times New Roman" w:cs="Times New Roman"/>
          <w:sz w:val="24"/>
          <w:szCs w:val="24"/>
        </w:rPr>
        <w:t>-Dick, R. S., &amp; Quisumbing, A. R. (2013). Closing the knowledge gap: How agriculture can contribute to gender equality. IFPRI Discussion Paper.</w:t>
      </w:r>
    </w:p>
    <w:p w14:paraId="5E59C503"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Molnar, T., Kahn, P., Ford, T., &amp; Funk, C. (2013). Tree crops, a permanent agriculture: Concepts from the past for a sustainable future. Resources, 2(4), 457–488.</w:t>
      </w:r>
    </w:p>
    <w:p w14:paraId="40282EE4"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proofErr w:type="spellStart"/>
      <w:r w:rsidRPr="00CE6493">
        <w:rPr>
          <w:rFonts w:ascii="Times New Roman" w:hAnsi="Times New Roman" w:cs="Times New Roman"/>
          <w:sz w:val="24"/>
          <w:szCs w:val="24"/>
        </w:rPr>
        <w:t>Murniati</w:t>
      </w:r>
      <w:proofErr w:type="spellEnd"/>
      <w:r w:rsidRPr="00CE6493">
        <w:rPr>
          <w:rFonts w:ascii="Times New Roman" w:hAnsi="Times New Roman" w:cs="Times New Roman"/>
          <w:sz w:val="24"/>
          <w:szCs w:val="24"/>
        </w:rPr>
        <w:t xml:space="preserve">, Garrity, D. P., &amp; </w:t>
      </w:r>
      <w:proofErr w:type="spellStart"/>
      <w:r w:rsidRPr="00CE6493">
        <w:rPr>
          <w:rFonts w:ascii="Times New Roman" w:hAnsi="Times New Roman" w:cs="Times New Roman"/>
          <w:sz w:val="24"/>
          <w:szCs w:val="24"/>
        </w:rPr>
        <w:t>Gintings</w:t>
      </w:r>
      <w:proofErr w:type="spellEnd"/>
      <w:r w:rsidRPr="00CE6493">
        <w:rPr>
          <w:rFonts w:ascii="Times New Roman" w:hAnsi="Times New Roman" w:cs="Times New Roman"/>
          <w:sz w:val="24"/>
          <w:szCs w:val="24"/>
        </w:rPr>
        <w:t>, A. N. (2001). The contribution of agroforestry systems to reducing farmers' dependence on the resources of adjacent national parks: A case study from Sumatra, Indonesia. Agroforestry Systems, 52(3), 171–184.</w:t>
      </w:r>
    </w:p>
    <w:p w14:paraId="4E866420"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lastRenderedPageBreak/>
        <w:t>Nair, P. K. R. (1993). An Introduction to Agroforestry. Kluwer Academic Publishers, Dordrecht.</w:t>
      </w:r>
    </w:p>
    <w:p w14:paraId="09782641"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Nair, P. K. R. (2011). Agroforestry systems and environmental quality: Introduction. Journal of Environmental Quality, 40(3), 784–790.</w:t>
      </w:r>
    </w:p>
    <w:p w14:paraId="41FA02B4"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Pandey, D. N. (2019). Sustainability through traditional agroforestry systems: Revisiting Indian experience. Current Science, 116(3), 364–372.</w:t>
      </w:r>
    </w:p>
    <w:p w14:paraId="408263A8"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proofErr w:type="spellStart"/>
      <w:r w:rsidRPr="00CE6493">
        <w:rPr>
          <w:rFonts w:ascii="Times New Roman" w:hAnsi="Times New Roman" w:cs="Times New Roman"/>
          <w:sz w:val="24"/>
          <w:szCs w:val="24"/>
        </w:rPr>
        <w:t>Papanastasis</w:t>
      </w:r>
      <w:proofErr w:type="spellEnd"/>
      <w:r w:rsidRPr="00CE6493">
        <w:rPr>
          <w:rFonts w:ascii="Times New Roman" w:hAnsi="Times New Roman" w:cs="Times New Roman"/>
          <w:sz w:val="24"/>
          <w:szCs w:val="24"/>
        </w:rPr>
        <w:t xml:space="preserve">, V. P., </w:t>
      </w:r>
      <w:proofErr w:type="spellStart"/>
      <w:r w:rsidRPr="00CE6493">
        <w:rPr>
          <w:rFonts w:ascii="Times New Roman" w:hAnsi="Times New Roman" w:cs="Times New Roman"/>
          <w:sz w:val="24"/>
          <w:szCs w:val="24"/>
        </w:rPr>
        <w:t>Mantzanas</w:t>
      </w:r>
      <w:proofErr w:type="spellEnd"/>
      <w:r w:rsidRPr="00CE6493">
        <w:rPr>
          <w:rFonts w:ascii="Times New Roman" w:hAnsi="Times New Roman" w:cs="Times New Roman"/>
          <w:sz w:val="24"/>
          <w:szCs w:val="24"/>
        </w:rPr>
        <w:t>, K., Dini-</w:t>
      </w:r>
      <w:proofErr w:type="spellStart"/>
      <w:r w:rsidRPr="00CE6493">
        <w:rPr>
          <w:rFonts w:ascii="Times New Roman" w:hAnsi="Times New Roman" w:cs="Times New Roman"/>
          <w:sz w:val="24"/>
          <w:szCs w:val="24"/>
        </w:rPr>
        <w:t>Papanastasi</w:t>
      </w:r>
      <w:proofErr w:type="spellEnd"/>
      <w:r w:rsidRPr="00CE6493">
        <w:rPr>
          <w:rFonts w:ascii="Times New Roman" w:hAnsi="Times New Roman" w:cs="Times New Roman"/>
          <w:sz w:val="24"/>
          <w:szCs w:val="24"/>
        </w:rPr>
        <w:t xml:space="preserve">, O., &amp; </w:t>
      </w:r>
      <w:proofErr w:type="spellStart"/>
      <w:r w:rsidRPr="00CE6493">
        <w:rPr>
          <w:rFonts w:ascii="Times New Roman" w:hAnsi="Times New Roman" w:cs="Times New Roman"/>
          <w:sz w:val="24"/>
          <w:szCs w:val="24"/>
        </w:rPr>
        <w:t>Ispikoudis</w:t>
      </w:r>
      <w:proofErr w:type="spellEnd"/>
      <w:r w:rsidRPr="00CE6493">
        <w:rPr>
          <w:rFonts w:ascii="Times New Roman" w:hAnsi="Times New Roman" w:cs="Times New Roman"/>
          <w:sz w:val="24"/>
          <w:szCs w:val="24"/>
        </w:rPr>
        <w:t xml:space="preserve">, I. (2009). Traditional agroforestry systems and their evolution in Greece. In A. </w:t>
      </w:r>
      <w:proofErr w:type="spellStart"/>
      <w:r w:rsidRPr="00CE6493">
        <w:rPr>
          <w:rFonts w:ascii="Times New Roman" w:hAnsi="Times New Roman" w:cs="Times New Roman"/>
          <w:sz w:val="24"/>
          <w:szCs w:val="24"/>
        </w:rPr>
        <w:t>Rigueiro</w:t>
      </w:r>
      <w:proofErr w:type="spellEnd"/>
      <w:r w:rsidRPr="00CE6493">
        <w:rPr>
          <w:rFonts w:ascii="Times New Roman" w:hAnsi="Times New Roman" w:cs="Times New Roman"/>
          <w:sz w:val="24"/>
          <w:szCs w:val="24"/>
        </w:rPr>
        <w:t>-Rodríguez, J. McAdam, &amp; M. R. Mosquera-Losada (Eds.), Agroforestry in Europe: Current status and future prospects (pp. 89–109). Springer Netherlands. https://doi.org/10.1007/978-1-4020-8272-6_5</w:t>
      </w:r>
    </w:p>
    <w:p w14:paraId="64F15351"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 xml:space="preserve">Paudel, N. S., &amp; Pandey, S. S. (2013). Traditional agroforestry practices in the central mid-hills of Nepal: A case study from </w:t>
      </w:r>
      <w:proofErr w:type="spellStart"/>
      <w:r w:rsidRPr="00CE6493">
        <w:rPr>
          <w:rFonts w:ascii="Times New Roman" w:hAnsi="Times New Roman" w:cs="Times New Roman"/>
          <w:sz w:val="24"/>
          <w:szCs w:val="24"/>
        </w:rPr>
        <w:t>Gulmi</w:t>
      </w:r>
      <w:proofErr w:type="spellEnd"/>
      <w:r w:rsidRPr="00CE6493">
        <w:rPr>
          <w:rFonts w:ascii="Times New Roman" w:hAnsi="Times New Roman" w:cs="Times New Roman"/>
          <w:sz w:val="24"/>
          <w:szCs w:val="24"/>
        </w:rPr>
        <w:t xml:space="preserve"> District. Agroforestry Systems, 87(3), 539–554.</w:t>
      </w:r>
    </w:p>
    <w:p w14:paraId="05B2E5C1"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Pretty, J. (2003). Social capital and the collective management of resources. Science, 302(5652), 1912–1914.</w:t>
      </w:r>
    </w:p>
    <w:p w14:paraId="0C12DD2C" w14:textId="77777777" w:rsidR="00CE6493"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 xml:space="preserve">Rahman, M. M., &amp; </w:t>
      </w:r>
      <w:proofErr w:type="spellStart"/>
      <w:r w:rsidRPr="00CE6493">
        <w:rPr>
          <w:rFonts w:ascii="Times New Roman" w:hAnsi="Times New Roman" w:cs="Times New Roman"/>
          <w:sz w:val="24"/>
          <w:szCs w:val="24"/>
        </w:rPr>
        <w:t>Saha</w:t>
      </w:r>
      <w:proofErr w:type="spellEnd"/>
      <w:r w:rsidRPr="00CE6493">
        <w:rPr>
          <w:rFonts w:ascii="Times New Roman" w:hAnsi="Times New Roman" w:cs="Times New Roman"/>
          <w:sz w:val="24"/>
          <w:szCs w:val="24"/>
        </w:rPr>
        <w:t>, S. (2020). Contract farming and smallholder livelihoods: Challenges and prospects in developing economies. Agricultural Economics Research Review, 33(2), 221–230.</w:t>
      </w:r>
    </w:p>
    <w:p w14:paraId="69519E36" w14:textId="19E7BCC8" w:rsidR="009F57FD" w:rsidRPr="00CE6493" w:rsidRDefault="00CE6493" w:rsidP="00582D24">
      <w:pPr>
        <w:pStyle w:val="ListParagraph"/>
        <w:numPr>
          <w:ilvl w:val="0"/>
          <w:numId w:val="11"/>
        </w:numPr>
        <w:spacing w:line="360" w:lineRule="auto"/>
        <w:jc w:val="both"/>
        <w:rPr>
          <w:rFonts w:ascii="Times New Roman" w:hAnsi="Times New Roman" w:cs="Times New Roman"/>
          <w:sz w:val="24"/>
          <w:szCs w:val="24"/>
        </w:rPr>
      </w:pPr>
      <w:r w:rsidRPr="00CE6493">
        <w:rPr>
          <w:rFonts w:ascii="Times New Roman" w:hAnsi="Times New Roman" w:cs="Times New Roman"/>
          <w:sz w:val="24"/>
          <w:szCs w:val="24"/>
        </w:rPr>
        <w:t>Waldron, A., Justicia, R., Smith, L. E., &amp; Sanchez, M. V. (2017). Agroforestry can enhance food security while meeting other sustainable development goals. International Journal of Agricultural Sustainability, 15(3), 99–106.</w:t>
      </w:r>
    </w:p>
    <w:p w14:paraId="4692666A" w14:textId="796FD85B" w:rsidR="009F57FD" w:rsidRDefault="009F57FD" w:rsidP="009F57FD">
      <w:pPr>
        <w:spacing w:line="360" w:lineRule="auto"/>
        <w:jc w:val="both"/>
        <w:rPr>
          <w:rFonts w:ascii="Times New Roman" w:hAnsi="Times New Roman" w:cs="Times New Roman"/>
          <w:sz w:val="24"/>
          <w:szCs w:val="24"/>
        </w:rPr>
      </w:pPr>
    </w:p>
    <w:p w14:paraId="52CC11D2" w14:textId="79D47B61" w:rsidR="009F57FD" w:rsidRDefault="009F57FD" w:rsidP="009F57FD">
      <w:pPr>
        <w:spacing w:line="360" w:lineRule="auto"/>
        <w:jc w:val="both"/>
        <w:rPr>
          <w:rFonts w:ascii="Times New Roman" w:hAnsi="Times New Roman" w:cs="Times New Roman"/>
          <w:sz w:val="24"/>
          <w:szCs w:val="24"/>
        </w:rPr>
      </w:pPr>
    </w:p>
    <w:p w14:paraId="678E2D20" w14:textId="54660C40" w:rsidR="009F57FD" w:rsidRDefault="009F57FD" w:rsidP="009F57FD">
      <w:pPr>
        <w:spacing w:line="360" w:lineRule="auto"/>
        <w:jc w:val="both"/>
        <w:rPr>
          <w:rFonts w:ascii="Times New Roman" w:hAnsi="Times New Roman" w:cs="Times New Roman"/>
          <w:sz w:val="24"/>
          <w:szCs w:val="24"/>
        </w:rPr>
      </w:pPr>
    </w:p>
    <w:p w14:paraId="69F0D51B" w14:textId="572C4F30" w:rsidR="009F57FD" w:rsidRDefault="009F57FD" w:rsidP="009F57FD">
      <w:pPr>
        <w:spacing w:line="360" w:lineRule="auto"/>
        <w:jc w:val="both"/>
        <w:rPr>
          <w:rFonts w:ascii="Times New Roman" w:hAnsi="Times New Roman" w:cs="Times New Roman"/>
          <w:sz w:val="24"/>
          <w:szCs w:val="24"/>
        </w:rPr>
      </w:pPr>
    </w:p>
    <w:sectPr w:rsidR="009F57FD" w:rsidSect="003D7AB4">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6CA4781" w16cex:dateUtc="2025-11-08T17:55:00Z"/>
  <w16cex:commentExtensible w16cex:durableId="2CBDC4C4" w16cex:dateUtc="2025-11-11T08:50:00Z"/>
  <w16cex:commentExtensible w16cex:durableId="07E5500F" w16cex:dateUtc="2025-11-08T17:57:00Z"/>
  <w16cex:commentExtensible w16cex:durableId="2CBDC18B" w16cex:dateUtc="2025-11-11T08:37:00Z"/>
  <w16cex:commentExtensible w16cex:durableId="2CBDE242" w16cex:dateUtc="2025-11-11T10:56:00Z"/>
  <w16cex:commentExtensible w16cex:durableId="5600AF9C" w16cex:dateUtc="2025-11-08T17:59:00Z"/>
  <w16cex:commentExtensible w16cex:durableId="2CBDB0FF" w16cex:dateUtc="2025-11-11T07: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8E718" w14:textId="77777777" w:rsidR="008E6843" w:rsidRDefault="008E6843" w:rsidP="00B925D4">
      <w:pPr>
        <w:spacing w:after="0" w:line="240" w:lineRule="auto"/>
      </w:pPr>
      <w:r>
        <w:separator/>
      </w:r>
    </w:p>
  </w:endnote>
  <w:endnote w:type="continuationSeparator" w:id="0">
    <w:p w14:paraId="1E0B26AF" w14:textId="77777777" w:rsidR="008E6843" w:rsidRDefault="008E6843" w:rsidP="00B9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B2198" w14:textId="77777777" w:rsidR="00B925D4" w:rsidRDefault="00B92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79679A" w14:textId="77777777" w:rsidR="00B925D4" w:rsidRDefault="00B92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6A9A9" w14:textId="77777777" w:rsidR="00B925D4" w:rsidRDefault="00B92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3F4B2A" w14:textId="77777777" w:rsidR="008E6843" w:rsidRDefault="008E6843" w:rsidP="00B925D4">
      <w:pPr>
        <w:spacing w:after="0" w:line="240" w:lineRule="auto"/>
      </w:pPr>
      <w:r>
        <w:separator/>
      </w:r>
    </w:p>
  </w:footnote>
  <w:footnote w:type="continuationSeparator" w:id="0">
    <w:p w14:paraId="7FDC440C" w14:textId="77777777" w:rsidR="008E6843" w:rsidRDefault="008E6843" w:rsidP="00B92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14962" w14:textId="447200B4" w:rsidR="00B925D4" w:rsidRDefault="008E6843">
    <w:pPr>
      <w:pStyle w:val="Header"/>
    </w:pPr>
    <w:r>
      <w:rPr>
        <w:noProof/>
      </w:rPr>
      <w:pict w14:anchorId="641CEB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FC60F" w14:textId="741B1592" w:rsidR="00B925D4" w:rsidRDefault="008E6843">
    <w:pPr>
      <w:pStyle w:val="Header"/>
    </w:pPr>
    <w:r>
      <w:rPr>
        <w:noProof/>
      </w:rPr>
      <w:pict w14:anchorId="53B8D0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2A239" w14:textId="4B5A054A" w:rsidR="00B925D4" w:rsidRDefault="008E6843">
    <w:pPr>
      <w:pStyle w:val="Header"/>
    </w:pPr>
    <w:r>
      <w:rPr>
        <w:noProof/>
      </w:rPr>
      <w:pict w14:anchorId="529C25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382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59A"/>
    <w:multiLevelType w:val="multilevel"/>
    <w:tmpl w:val="8F08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B461B"/>
    <w:multiLevelType w:val="multilevel"/>
    <w:tmpl w:val="7664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2002BB"/>
    <w:multiLevelType w:val="multilevel"/>
    <w:tmpl w:val="BFCA5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58488F"/>
    <w:multiLevelType w:val="multilevel"/>
    <w:tmpl w:val="929A9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812C2D"/>
    <w:multiLevelType w:val="multilevel"/>
    <w:tmpl w:val="F9F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B1588"/>
    <w:multiLevelType w:val="hybridMultilevel"/>
    <w:tmpl w:val="5CEA0A3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A8366F6"/>
    <w:multiLevelType w:val="hybridMultilevel"/>
    <w:tmpl w:val="9392B0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4DCD6E20"/>
    <w:multiLevelType w:val="hybridMultilevel"/>
    <w:tmpl w:val="1752ED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69F2D4A"/>
    <w:multiLevelType w:val="multilevel"/>
    <w:tmpl w:val="64CEA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7760A"/>
    <w:multiLevelType w:val="multilevel"/>
    <w:tmpl w:val="50AA0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154708"/>
    <w:multiLevelType w:val="hybridMultilevel"/>
    <w:tmpl w:val="767048C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3"/>
  </w:num>
  <w:num w:numId="6">
    <w:abstractNumId w:val="0"/>
  </w:num>
  <w:num w:numId="7">
    <w:abstractNumId w:val="9"/>
  </w:num>
  <w:num w:numId="8">
    <w:abstractNumId w:val="6"/>
  </w:num>
  <w:num w:numId="9">
    <w:abstractNumId w:val="10"/>
  </w:num>
  <w:num w:numId="10">
    <w:abstractNumId w:val="5"/>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3B"/>
    <w:rsid w:val="00016F4D"/>
    <w:rsid w:val="000366E9"/>
    <w:rsid w:val="000423D0"/>
    <w:rsid w:val="00061C21"/>
    <w:rsid w:val="001153BE"/>
    <w:rsid w:val="001170A0"/>
    <w:rsid w:val="001447F7"/>
    <w:rsid w:val="00172904"/>
    <w:rsid w:val="001C4889"/>
    <w:rsid w:val="00230952"/>
    <w:rsid w:val="00250F49"/>
    <w:rsid w:val="00254532"/>
    <w:rsid w:val="00271707"/>
    <w:rsid w:val="0027616B"/>
    <w:rsid w:val="002B3E9B"/>
    <w:rsid w:val="002C4623"/>
    <w:rsid w:val="002D2879"/>
    <w:rsid w:val="002D28F2"/>
    <w:rsid w:val="002E0806"/>
    <w:rsid w:val="002F2A58"/>
    <w:rsid w:val="002F4F1E"/>
    <w:rsid w:val="00321D6A"/>
    <w:rsid w:val="0032646F"/>
    <w:rsid w:val="00333294"/>
    <w:rsid w:val="00335534"/>
    <w:rsid w:val="00336F65"/>
    <w:rsid w:val="003466A2"/>
    <w:rsid w:val="00362025"/>
    <w:rsid w:val="00384FD3"/>
    <w:rsid w:val="00387F3D"/>
    <w:rsid w:val="0039217F"/>
    <w:rsid w:val="00395D3B"/>
    <w:rsid w:val="00396AA3"/>
    <w:rsid w:val="003A520C"/>
    <w:rsid w:val="003B53C3"/>
    <w:rsid w:val="003D7AB4"/>
    <w:rsid w:val="00407B6E"/>
    <w:rsid w:val="00425643"/>
    <w:rsid w:val="00442BE9"/>
    <w:rsid w:val="00461860"/>
    <w:rsid w:val="00462DE3"/>
    <w:rsid w:val="004712EF"/>
    <w:rsid w:val="004C643C"/>
    <w:rsid w:val="004E6D14"/>
    <w:rsid w:val="004F0E59"/>
    <w:rsid w:val="0052204E"/>
    <w:rsid w:val="005230B8"/>
    <w:rsid w:val="00546B6B"/>
    <w:rsid w:val="00564548"/>
    <w:rsid w:val="0056621A"/>
    <w:rsid w:val="00582AEA"/>
    <w:rsid w:val="00582D24"/>
    <w:rsid w:val="005B19C1"/>
    <w:rsid w:val="006054FB"/>
    <w:rsid w:val="00683145"/>
    <w:rsid w:val="00692190"/>
    <w:rsid w:val="006B5632"/>
    <w:rsid w:val="006F6E1F"/>
    <w:rsid w:val="00710C0E"/>
    <w:rsid w:val="00744B8A"/>
    <w:rsid w:val="007867C7"/>
    <w:rsid w:val="007A4F82"/>
    <w:rsid w:val="007D73CC"/>
    <w:rsid w:val="008111C1"/>
    <w:rsid w:val="008245B2"/>
    <w:rsid w:val="008520DE"/>
    <w:rsid w:val="00876FB4"/>
    <w:rsid w:val="008C6D16"/>
    <w:rsid w:val="008D73C2"/>
    <w:rsid w:val="008E6843"/>
    <w:rsid w:val="00925CF4"/>
    <w:rsid w:val="00966712"/>
    <w:rsid w:val="009958F9"/>
    <w:rsid w:val="00997B10"/>
    <w:rsid w:val="009A6B3D"/>
    <w:rsid w:val="009C62A1"/>
    <w:rsid w:val="009E5B20"/>
    <w:rsid w:val="009F05D0"/>
    <w:rsid w:val="009F57FD"/>
    <w:rsid w:val="00A45D0B"/>
    <w:rsid w:val="00A80D9C"/>
    <w:rsid w:val="00A922C0"/>
    <w:rsid w:val="00AA3EAF"/>
    <w:rsid w:val="00AF73BF"/>
    <w:rsid w:val="00B14A24"/>
    <w:rsid w:val="00B51E0D"/>
    <w:rsid w:val="00B56AA5"/>
    <w:rsid w:val="00B925D4"/>
    <w:rsid w:val="00BA6D17"/>
    <w:rsid w:val="00C05CF7"/>
    <w:rsid w:val="00C1753B"/>
    <w:rsid w:val="00C309F4"/>
    <w:rsid w:val="00C652A3"/>
    <w:rsid w:val="00C70498"/>
    <w:rsid w:val="00C74332"/>
    <w:rsid w:val="00C96294"/>
    <w:rsid w:val="00CD2E18"/>
    <w:rsid w:val="00CE5B50"/>
    <w:rsid w:val="00CE6493"/>
    <w:rsid w:val="00D56731"/>
    <w:rsid w:val="00DA3FE8"/>
    <w:rsid w:val="00DD0DB4"/>
    <w:rsid w:val="00DE7885"/>
    <w:rsid w:val="00DF0D62"/>
    <w:rsid w:val="00DF4D0E"/>
    <w:rsid w:val="00E17728"/>
    <w:rsid w:val="00E37DDB"/>
    <w:rsid w:val="00E475C3"/>
    <w:rsid w:val="00E50666"/>
    <w:rsid w:val="00E51A9E"/>
    <w:rsid w:val="00E85CDA"/>
    <w:rsid w:val="00E93297"/>
    <w:rsid w:val="00EA7D36"/>
    <w:rsid w:val="00ED59B5"/>
    <w:rsid w:val="00ED66D4"/>
    <w:rsid w:val="00EF1FC1"/>
    <w:rsid w:val="00F331F0"/>
    <w:rsid w:val="00F86414"/>
    <w:rsid w:val="00F86569"/>
    <w:rsid w:val="00F929D5"/>
    <w:rsid w:val="00FA64E3"/>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D5A4EB"/>
  <w15:chartTrackingRefBased/>
  <w15:docId w15:val="{4B481FF1-C95D-42D2-B1A1-D2608AC1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ta-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Latha"/>
    </w:rPr>
  </w:style>
  <w:style w:type="paragraph" w:styleId="Heading3">
    <w:name w:val="heading 3"/>
    <w:basedOn w:val="Normal"/>
    <w:next w:val="Normal"/>
    <w:link w:val="Heading3Char"/>
    <w:uiPriority w:val="9"/>
    <w:semiHidden/>
    <w:unhideWhenUsed/>
    <w:qFormat/>
    <w:rsid w:val="009E5B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9E5B20"/>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3B53C3"/>
    <w:pPr>
      <w:ind w:left="720"/>
      <w:contextualSpacing/>
    </w:pPr>
  </w:style>
  <w:style w:type="character" w:styleId="Strong">
    <w:name w:val="Strong"/>
    <w:basedOn w:val="DefaultParagraphFont"/>
    <w:uiPriority w:val="22"/>
    <w:qFormat/>
    <w:rsid w:val="00333294"/>
    <w:rPr>
      <w:b/>
      <w:bCs/>
    </w:rPr>
  </w:style>
  <w:style w:type="character" w:styleId="Emphasis">
    <w:name w:val="Emphasis"/>
    <w:basedOn w:val="DefaultParagraphFont"/>
    <w:uiPriority w:val="20"/>
    <w:qFormat/>
    <w:rsid w:val="00333294"/>
    <w:rPr>
      <w:i/>
      <w:iCs/>
    </w:rPr>
  </w:style>
  <w:style w:type="paragraph" w:styleId="NormalWeb">
    <w:name w:val="Normal (Web)"/>
    <w:basedOn w:val="Normal"/>
    <w:uiPriority w:val="99"/>
    <w:semiHidden/>
    <w:unhideWhenUsed/>
    <w:rsid w:val="009F57F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8111C1"/>
    <w:rPr>
      <w:color w:val="0563C1" w:themeColor="hyperlink"/>
      <w:u w:val="single"/>
    </w:rPr>
  </w:style>
  <w:style w:type="character" w:styleId="UnresolvedMention">
    <w:name w:val="Unresolved Mention"/>
    <w:basedOn w:val="DefaultParagraphFont"/>
    <w:uiPriority w:val="99"/>
    <w:semiHidden/>
    <w:unhideWhenUsed/>
    <w:rsid w:val="008111C1"/>
    <w:rPr>
      <w:color w:val="605E5C"/>
      <w:shd w:val="clear" w:color="auto" w:fill="E1DFDD"/>
    </w:rPr>
  </w:style>
  <w:style w:type="paragraph" w:styleId="Header">
    <w:name w:val="header"/>
    <w:basedOn w:val="Normal"/>
    <w:link w:val="HeaderChar"/>
    <w:uiPriority w:val="99"/>
    <w:unhideWhenUsed/>
    <w:rsid w:val="00B92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25D4"/>
    <w:rPr>
      <w:rFonts w:cs="Latha"/>
    </w:rPr>
  </w:style>
  <w:style w:type="paragraph" w:styleId="Footer">
    <w:name w:val="footer"/>
    <w:basedOn w:val="Normal"/>
    <w:link w:val="FooterChar"/>
    <w:uiPriority w:val="99"/>
    <w:unhideWhenUsed/>
    <w:rsid w:val="00B925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25D4"/>
    <w:rPr>
      <w:rFonts w:cs="Latha"/>
    </w:rPr>
  </w:style>
  <w:style w:type="paragraph" w:styleId="EndnoteText">
    <w:name w:val="endnote text"/>
    <w:basedOn w:val="Normal"/>
    <w:link w:val="EndnoteTextChar"/>
    <w:uiPriority w:val="99"/>
    <w:semiHidden/>
    <w:unhideWhenUsed/>
    <w:rsid w:val="00C704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70498"/>
    <w:rPr>
      <w:rFonts w:cs="Latha"/>
      <w:sz w:val="20"/>
      <w:szCs w:val="20"/>
    </w:rPr>
  </w:style>
  <w:style w:type="character" w:styleId="EndnoteReference">
    <w:name w:val="endnote reference"/>
    <w:basedOn w:val="DefaultParagraphFont"/>
    <w:uiPriority w:val="99"/>
    <w:semiHidden/>
    <w:unhideWhenUsed/>
    <w:rsid w:val="00C70498"/>
    <w:rPr>
      <w:vertAlign w:val="superscript"/>
    </w:rPr>
  </w:style>
  <w:style w:type="character" w:styleId="CommentReference">
    <w:name w:val="annotation reference"/>
    <w:basedOn w:val="DefaultParagraphFont"/>
    <w:uiPriority w:val="99"/>
    <w:semiHidden/>
    <w:unhideWhenUsed/>
    <w:rsid w:val="00C70498"/>
    <w:rPr>
      <w:sz w:val="16"/>
      <w:szCs w:val="16"/>
    </w:rPr>
  </w:style>
  <w:style w:type="paragraph" w:styleId="CommentText">
    <w:name w:val="annotation text"/>
    <w:basedOn w:val="Normal"/>
    <w:link w:val="CommentTextChar"/>
    <w:uiPriority w:val="99"/>
    <w:unhideWhenUsed/>
    <w:rsid w:val="00C70498"/>
    <w:pPr>
      <w:spacing w:line="240" w:lineRule="auto"/>
    </w:pPr>
    <w:rPr>
      <w:sz w:val="20"/>
      <w:szCs w:val="20"/>
    </w:rPr>
  </w:style>
  <w:style w:type="character" w:customStyle="1" w:styleId="CommentTextChar">
    <w:name w:val="Comment Text Char"/>
    <w:basedOn w:val="DefaultParagraphFont"/>
    <w:link w:val="CommentText"/>
    <w:uiPriority w:val="99"/>
    <w:rsid w:val="00C70498"/>
    <w:rPr>
      <w:rFonts w:cs="Latha"/>
      <w:sz w:val="20"/>
      <w:szCs w:val="20"/>
    </w:rPr>
  </w:style>
  <w:style w:type="paragraph" w:styleId="CommentSubject">
    <w:name w:val="annotation subject"/>
    <w:basedOn w:val="CommentText"/>
    <w:next w:val="CommentText"/>
    <w:link w:val="CommentSubjectChar"/>
    <w:uiPriority w:val="99"/>
    <w:semiHidden/>
    <w:unhideWhenUsed/>
    <w:rsid w:val="00C70498"/>
    <w:rPr>
      <w:b/>
      <w:bCs/>
    </w:rPr>
  </w:style>
  <w:style w:type="character" w:customStyle="1" w:styleId="CommentSubjectChar">
    <w:name w:val="Comment Subject Char"/>
    <w:basedOn w:val="CommentTextChar"/>
    <w:link w:val="CommentSubject"/>
    <w:uiPriority w:val="99"/>
    <w:semiHidden/>
    <w:rsid w:val="00C70498"/>
    <w:rPr>
      <w:rFonts w:cs="Latha"/>
      <w:b/>
      <w:bCs/>
      <w:sz w:val="20"/>
      <w:szCs w:val="20"/>
    </w:rPr>
  </w:style>
  <w:style w:type="paragraph" w:styleId="BalloonText">
    <w:name w:val="Balloon Text"/>
    <w:basedOn w:val="Normal"/>
    <w:link w:val="BalloonTextChar"/>
    <w:uiPriority w:val="99"/>
    <w:semiHidden/>
    <w:unhideWhenUsed/>
    <w:rsid w:val="004F0E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464">
      <w:bodyDiv w:val="1"/>
      <w:marLeft w:val="0"/>
      <w:marRight w:val="0"/>
      <w:marTop w:val="0"/>
      <w:marBottom w:val="0"/>
      <w:divBdr>
        <w:top w:val="none" w:sz="0" w:space="0" w:color="auto"/>
        <w:left w:val="none" w:sz="0" w:space="0" w:color="auto"/>
        <w:bottom w:val="none" w:sz="0" w:space="0" w:color="auto"/>
        <w:right w:val="none" w:sz="0" w:space="0" w:color="auto"/>
      </w:divBdr>
      <w:divsChild>
        <w:div w:id="768351761">
          <w:marLeft w:val="0"/>
          <w:marRight w:val="0"/>
          <w:marTop w:val="0"/>
          <w:marBottom w:val="0"/>
          <w:divBdr>
            <w:top w:val="none" w:sz="0" w:space="0" w:color="auto"/>
            <w:left w:val="none" w:sz="0" w:space="0" w:color="auto"/>
            <w:bottom w:val="none" w:sz="0" w:space="0" w:color="auto"/>
            <w:right w:val="none" w:sz="0" w:space="0" w:color="auto"/>
          </w:divBdr>
          <w:divsChild>
            <w:div w:id="182539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440945">
      <w:bodyDiv w:val="1"/>
      <w:marLeft w:val="0"/>
      <w:marRight w:val="0"/>
      <w:marTop w:val="0"/>
      <w:marBottom w:val="0"/>
      <w:divBdr>
        <w:top w:val="none" w:sz="0" w:space="0" w:color="auto"/>
        <w:left w:val="none" w:sz="0" w:space="0" w:color="auto"/>
        <w:bottom w:val="none" w:sz="0" w:space="0" w:color="auto"/>
        <w:right w:val="none" w:sz="0" w:space="0" w:color="auto"/>
      </w:divBdr>
      <w:divsChild>
        <w:div w:id="1774277451">
          <w:marLeft w:val="0"/>
          <w:marRight w:val="0"/>
          <w:marTop w:val="0"/>
          <w:marBottom w:val="0"/>
          <w:divBdr>
            <w:top w:val="none" w:sz="0" w:space="0" w:color="auto"/>
            <w:left w:val="none" w:sz="0" w:space="0" w:color="auto"/>
            <w:bottom w:val="none" w:sz="0" w:space="0" w:color="auto"/>
            <w:right w:val="none" w:sz="0" w:space="0" w:color="auto"/>
          </w:divBdr>
          <w:divsChild>
            <w:div w:id="9093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04521">
      <w:bodyDiv w:val="1"/>
      <w:marLeft w:val="0"/>
      <w:marRight w:val="0"/>
      <w:marTop w:val="0"/>
      <w:marBottom w:val="0"/>
      <w:divBdr>
        <w:top w:val="none" w:sz="0" w:space="0" w:color="auto"/>
        <w:left w:val="none" w:sz="0" w:space="0" w:color="auto"/>
        <w:bottom w:val="none" w:sz="0" w:space="0" w:color="auto"/>
        <w:right w:val="none" w:sz="0" w:space="0" w:color="auto"/>
      </w:divBdr>
      <w:divsChild>
        <w:div w:id="378673274">
          <w:marLeft w:val="0"/>
          <w:marRight w:val="0"/>
          <w:marTop w:val="0"/>
          <w:marBottom w:val="0"/>
          <w:divBdr>
            <w:top w:val="none" w:sz="0" w:space="0" w:color="auto"/>
            <w:left w:val="none" w:sz="0" w:space="0" w:color="auto"/>
            <w:bottom w:val="none" w:sz="0" w:space="0" w:color="auto"/>
            <w:right w:val="none" w:sz="0" w:space="0" w:color="auto"/>
          </w:divBdr>
          <w:divsChild>
            <w:div w:id="6458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0083">
      <w:bodyDiv w:val="1"/>
      <w:marLeft w:val="0"/>
      <w:marRight w:val="0"/>
      <w:marTop w:val="0"/>
      <w:marBottom w:val="0"/>
      <w:divBdr>
        <w:top w:val="none" w:sz="0" w:space="0" w:color="auto"/>
        <w:left w:val="none" w:sz="0" w:space="0" w:color="auto"/>
        <w:bottom w:val="none" w:sz="0" w:space="0" w:color="auto"/>
        <w:right w:val="none" w:sz="0" w:space="0" w:color="auto"/>
      </w:divBdr>
      <w:divsChild>
        <w:div w:id="1708681072">
          <w:marLeft w:val="0"/>
          <w:marRight w:val="0"/>
          <w:marTop w:val="0"/>
          <w:marBottom w:val="0"/>
          <w:divBdr>
            <w:top w:val="none" w:sz="0" w:space="0" w:color="auto"/>
            <w:left w:val="none" w:sz="0" w:space="0" w:color="auto"/>
            <w:bottom w:val="none" w:sz="0" w:space="0" w:color="auto"/>
            <w:right w:val="none" w:sz="0" w:space="0" w:color="auto"/>
          </w:divBdr>
          <w:divsChild>
            <w:div w:id="747656264">
              <w:marLeft w:val="0"/>
              <w:marRight w:val="0"/>
              <w:marTop w:val="0"/>
              <w:marBottom w:val="0"/>
              <w:divBdr>
                <w:top w:val="none" w:sz="0" w:space="0" w:color="auto"/>
                <w:left w:val="none" w:sz="0" w:space="0" w:color="auto"/>
                <w:bottom w:val="none" w:sz="0" w:space="0" w:color="auto"/>
                <w:right w:val="none" w:sz="0" w:space="0" w:color="auto"/>
              </w:divBdr>
            </w:div>
          </w:divsChild>
        </w:div>
        <w:div w:id="1573853093">
          <w:marLeft w:val="0"/>
          <w:marRight w:val="0"/>
          <w:marTop w:val="0"/>
          <w:marBottom w:val="0"/>
          <w:divBdr>
            <w:top w:val="none" w:sz="0" w:space="0" w:color="auto"/>
            <w:left w:val="none" w:sz="0" w:space="0" w:color="auto"/>
            <w:bottom w:val="none" w:sz="0" w:space="0" w:color="auto"/>
            <w:right w:val="none" w:sz="0" w:space="0" w:color="auto"/>
          </w:divBdr>
          <w:divsChild>
            <w:div w:id="839737643">
              <w:marLeft w:val="0"/>
              <w:marRight w:val="0"/>
              <w:marTop w:val="0"/>
              <w:marBottom w:val="0"/>
              <w:divBdr>
                <w:top w:val="none" w:sz="0" w:space="0" w:color="auto"/>
                <w:left w:val="none" w:sz="0" w:space="0" w:color="auto"/>
                <w:bottom w:val="none" w:sz="0" w:space="0" w:color="auto"/>
                <w:right w:val="none" w:sz="0" w:space="0" w:color="auto"/>
              </w:divBdr>
              <w:divsChild>
                <w:div w:id="177408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568538">
      <w:bodyDiv w:val="1"/>
      <w:marLeft w:val="0"/>
      <w:marRight w:val="0"/>
      <w:marTop w:val="0"/>
      <w:marBottom w:val="0"/>
      <w:divBdr>
        <w:top w:val="none" w:sz="0" w:space="0" w:color="auto"/>
        <w:left w:val="none" w:sz="0" w:space="0" w:color="auto"/>
        <w:bottom w:val="none" w:sz="0" w:space="0" w:color="auto"/>
        <w:right w:val="none" w:sz="0" w:space="0" w:color="auto"/>
      </w:divBdr>
      <w:divsChild>
        <w:div w:id="592586623">
          <w:marLeft w:val="0"/>
          <w:marRight w:val="0"/>
          <w:marTop w:val="0"/>
          <w:marBottom w:val="0"/>
          <w:divBdr>
            <w:top w:val="none" w:sz="0" w:space="0" w:color="auto"/>
            <w:left w:val="none" w:sz="0" w:space="0" w:color="auto"/>
            <w:bottom w:val="none" w:sz="0" w:space="0" w:color="auto"/>
            <w:right w:val="none" w:sz="0" w:space="0" w:color="auto"/>
          </w:divBdr>
          <w:divsChild>
            <w:div w:id="23497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02009">
      <w:bodyDiv w:val="1"/>
      <w:marLeft w:val="0"/>
      <w:marRight w:val="0"/>
      <w:marTop w:val="0"/>
      <w:marBottom w:val="0"/>
      <w:divBdr>
        <w:top w:val="none" w:sz="0" w:space="0" w:color="auto"/>
        <w:left w:val="none" w:sz="0" w:space="0" w:color="auto"/>
        <w:bottom w:val="none" w:sz="0" w:space="0" w:color="auto"/>
        <w:right w:val="none" w:sz="0" w:space="0" w:color="auto"/>
      </w:divBdr>
    </w:div>
    <w:div w:id="1685204357">
      <w:bodyDiv w:val="1"/>
      <w:marLeft w:val="0"/>
      <w:marRight w:val="0"/>
      <w:marTop w:val="0"/>
      <w:marBottom w:val="0"/>
      <w:divBdr>
        <w:top w:val="none" w:sz="0" w:space="0" w:color="auto"/>
        <w:left w:val="none" w:sz="0" w:space="0" w:color="auto"/>
        <w:bottom w:val="none" w:sz="0" w:space="0" w:color="auto"/>
        <w:right w:val="none" w:sz="0" w:space="0" w:color="auto"/>
      </w:divBdr>
      <w:divsChild>
        <w:div w:id="304091843">
          <w:marLeft w:val="0"/>
          <w:marRight w:val="0"/>
          <w:marTop w:val="0"/>
          <w:marBottom w:val="0"/>
          <w:divBdr>
            <w:top w:val="none" w:sz="0" w:space="0" w:color="auto"/>
            <w:left w:val="none" w:sz="0" w:space="0" w:color="auto"/>
            <w:bottom w:val="none" w:sz="0" w:space="0" w:color="auto"/>
            <w:right w:val="none" w:sz="0" w:space="0" w:color="auto"/>
          </w:divBdr>
          <w:divsChild>
            <w:div w:id="1901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paiyu\Desktop\HC&amp;RI,%20Jeenur%20-%202025%20batch%20Students%20data%20base%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a:t>Fig 1.Agroforestry System Type </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extLst>
              <c:ext xmlns:c16="http://schemas.microsoft.com/office/drawing/2014/chart" uri="{C3380CC4-5D6E-409C-BE32-E72D297353CC}">
                <c16:uniqueId val="{00000001-4C1C-45C8-A92F-2477DD88172A}"/>
              </c:ext>
            </c:extLst>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extLst>
              <c:ext xmlns:c16="http://schemas.microsoft.com/office/drawing/2014/chart" uri="{C3380CC4-5D6E-409C-BE32-E72D297353CC}">
                <c16:uniqueId val="{00000003-4C1C-45C8-A92F-2477DD88172A}"/>
              </c:ext>
            </c:extLst>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extLst>
              <c:ext xmlns:c16="http://schemas.microsoft.com/office/drawing/2014/chart" uri="{C3380CC4-5D6E-409C-BE32-E72D297353CC}">
                <c16:uniqueId val="{00000005-4C1C-45C8-A92F-2477DD88172A}"/>
              </c:ext>
            </c:extLst>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extLst>
              <c:ext xmlns:c16="http://schemas.microsoft.com/office/drawing/2014/chart" uri="{C3380CC4-5D6E-409C-BE32-E72D297353CC}">
                <c16:uniqueId val="{00000007-4C1C-45C8-A92F-2477DD88172A}"/>
              </c:ext>
            </c:extLst>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extLst>
              <c:ext xmlns:c16="http://schemas.microsoft.com/office/drawing/2014/chart" uri="{C3380CC4-5D6E-409C-BE32-E72D297353CC}">
                <c16:uniqueId val="{00000009-4C1C-45C8-A92F-2477DD8817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tx2">
                      <a:lumMod val="35000"/>
                      <a:lumOff val="65000"/>
                    </a:schemeClr>
                  </a:solidFill>
                </a:ln>
                <a:effectLst/>
              </c:spPr>
            </c:leaderLines>
            <c:extLst>
              <c:ext xmlns:c15="http://schemas.microsoft.com/office/drawing/2012/chart" uri="{CE6537A1-D6FC-4f65-9D91-7224C49458BB}"/>
            </c:extLst>
          </c:dLbls>
          <c:cat>
            <c:strRef>
              <c:f>Sheet1!$K$65:$K$69</c:f>
              <c:strCache>
                <c:ptCount val="5"/>
                <c:pt idx="0">
                  <c:v>Industrial Agroforestry </c:v>
                </c:pt>
                <c:pt idx="1">
                  <c:v>– Commercial Timber Plantations (Teak, Eucalyptus, Casuarina)</c:v>
                </c:pt>
                <c:pt idx="2">
                  <c:v>– Contract Farming (Paper and Plywood Industries)</c:v>
                </c:pt>
                <c:pt idx="3">
                  <c:v>– Integrated Agroforestry with High-Value Crops (Banana, Guava)</c:v>
                </c:pt>
                <c:pt idx="4">
                  <c:v>Traditional Agroforestry </c:v>
                </c:pt>
              </c:strCache>
            </c:strRef>
          </c:cat>
          <c:val>
            <c:numRef>
              <c:f>Sheet1!$L$65:$L$69</c:f>
              <c:numCache>
                <c:formatCode>General</c:formatCode>
                <c:ptCount val="5"/>
                <c:pt idx="0">
                  <c:v>56.67</c:v>
                </c:pt>
                <c:pt idx="1">
                  <c:v>26.67</c:v>
                </c:pt>
                <c:pt idx="2">
                  <c:v>16.670000000000002</c:v>
                </c:pt>
                <c:pt idx="3">
                  <c:v>13.33</c:v>
                </c:pt>
                <c:pt idx="4">
                  <c:v>43.33</c:v>
                </c:pt>
              </c:numCache>
            </c:numRef>
          </c:val>
          <c:extLst>
            <c:ext xmlns:c16="http://schemas.microsoft.com/office/drawing/2014/chart" uri="{C3380CC4-5D6E-409C-BE32-E72D297353CC}">
              <c16:uniqueId val="{0000000A-4C1C-45C8-A92F-2477DD88172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egendEntry>
        <c:idx val="0"/>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legendEntry>
        <c:idx val="1"/>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legendEntry>
        <c:idx val="2"/>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legendEntry>
        <c:idx val="3"/>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E914D-88DB-4931-A389-E9726B398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11</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jansi rani</dc:creator>
  <cp:keywords/>
  <dc:description/>
  <cp:lastModifiedBy>Editor-11</cp:lastModifiedBy>
  <cp:revision>110</cp:revision>
  <dcterms:created xsi:type="dcterms:W3CDTF">2025-11-06T04:31:00Z</dcterms:created>
  <dcterms:modified xsi:type="dcterms:W3CDTF">2025-11-12T07:20:00Z</dcterms:modified>
</cp:coreProperties>
</file>