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F58F1" w14:textId="77777777" w:rsidR="00DF488D" w:rsidRPr="00DF488D" w:rsidRDefault="00DF488D" w:rsidP="00DF488D">
      <w:pPr>
        <w:jc w:val="right"/>
        <w:rPr>
          <w:rFonts w:ascii="Arial" w:hAnsi="Arial" w:cs="Arial"/>
          <w:b/>
          <w:bCs/>
          <w:i/>
          <w:iCs/>
          <w:sz w:val="36"/>
          <w:szCs w:val="36"/>
          <w:u w:val="single"/>
          <w:lang w:val="en-US"/>
        </w:rPr>
      </w:pPr>
      <w:bookmarkStart w:id="0" w:name="_Hlk212568104"/>
      <w:r w:rsidRPr="00DF488D">
        <w:rPr>
          <w:rFonts w:ascii="Arial" w:hAnsi="Arial" w:cs="Arial"/>
          <w:b/>
          <w:bCs/>
          <w:i/>
          <w:iCs/>
          <w:sz w:val="36"/>
          <w:szCs w:val="36"/>
          <w:u w:val="single"/>
          <w:lang w:val="en-US"/>
        </w:rPr>
        <w:t>Original Research Article</w:t>
      </w:r>
    </w:p>
    <w:p w14:paraId="0743F2EB" w14:textId="77777777" w:rsidR="00DF488D" w:rsidRDefault="00DF488D" w:rsidP="004107C5">
      <w:pPr>
        <w:jc w:val="right"/>
        <w:rPr>
          <w:rFonts w:ascii="Arial" w:hAnsi="Arial" w:cs="Arial"/>
          <w:b/>
          <w:sz w:val="36"/>
          <w:szCs w:val="36"/>
        </w:rPr>
      </w:pPr>
    </w:p>
    <w:p w14:paraId="54CAC662" w14:textId="2EAA1791" w:rsidR="00245566" w:rsidRPr="00771162" w:rsidRDefault="009C06FB" w:rsidP="004107C5">
      <w:pPr>
        <w:jc w:val="right"/>
        <w:rPr>
          <w:rFonts w:ascii="Arial" w:hAnsi="Arial" w:cs="Arial"/>
          <w:b/>
          <w:sz w:val="36"/>
          <w:szCs w:val="36"/>
        </w:rPr>
      </w:pPr>
      <w:r w:rsidRPr="00771162">
        <w:rPr>
          <w:rFonts w:ascii="Arial" w:hAnsi="Arial" w:cs="Arial"/>
          <w:b/>
          <w:sz w:val="36"/>
          <w:szCs w:val="36"/>
        </w:rPr>
        <w:t>In silico analysis of andrographolide</w:t>
      </w:r>
      <w:r w:rsidR="00EB7E4F" w:rsidRPr="00805DFB">
        <w:rPr>
          <w:rFonts w:ascii="Arial" w:hAnsi="Arial" w:cs="Arial"/>
          <w:b/>
          <w:sz w:val="36"/>
          <w:szCs w:val="36"/>
          <w:highlight w:val="yellow"/>
        </w:rPr>
        <w:t>,</w:t>
      </w:r>
      <w:r w:rsidR="00AD16C9" w:rsidRPr="00805DFB">
        <w:rPr>
          <w:rFonts w:ascii="Arial" w:hAnsi="Arial" w:cs="Arial"/>
          <w:b/>
          <w:sz w:val="36"/>
          <w:szCs w:val="36"/>
          <w:highlight w:val="yellow"/>
        </w:rPr>
        <w:t xml:space="preserve"> </w:t>
      </w:r>
      <w:r w:rsidR="00AD16C9" w:rsidRPr="00771162">
        <w:rPr>
          <w:rFonts w:ascii="Arial" w:hAnsi="Arial" w:cs="Arial"/>
          <w:b/>
          <w:sz w:val="36"/>
          <w:szCs w:val="36"/>
        </w:rPr>
        <w:t xml:space="preserve">a bioactive compound of </w:t>
      </w:r>
      <w:r w:rsidR="00AD16C9" w:rsidRPr="00771162">
        <w:rPr>
          <w:rStyle w:val="Emphasis"/>
          <w:rFonts w:ascii="Arial" w:hAnsi="Arial" w:cs="Arial"/>
          <w:b/>
          <w:sz w:val="36"/>
          <w:szCs w:val="36"/>
        </w:rPr>
        <w:t>Andrographis paniculata</w:t>
      </w:r>
      <w:r w:rsidR="00EB7E4F" w:rsidRPr="00805DFB">
        <w:rPr>
          <w:rStyle w:val="Emphasis"/>
          <w:rFonts w:ascii="Arial" w:hAnsi="Arial" w:cs="Arial"/>
          <w:b/>
          <w:sz w:val="36"/>
          <w:szCs w:val="36"/>
          <w:highlight w:val="yellow"/>
        </w:rPr>
        <w:t>,</w:t>
      </w:r>
      <w:r w:rsidR="00AD16C9" w:rsidRPr="00805DFB">
        <w:rPr>
          <w:rFonts w:ascii="Arial" w:hAnsi="Arial" w:cs="Arial"/>
          <w:b/>
          <w:sz w:val="36"/>
          <w:szCs w:val="36"/>
          <w:highlight w:val="yellow"/>
        </w:rPr>
        <w:t xml:space="preserve"> </w:t>
      </w:r>
      <w:r w:rsidRPr="00771162">
        <w:rPr>
          <w:rFonts w:ascii="Arial" w:hAnsi="Arial" w:cs="Arial"/>
          <w:b/>
          <w:sz w:val="36"/>
          <w:szCs w:val="36"/>
        </w:rPr>
        <w:t xml:space="preserve">against </w:t>
      </w:r>
      <w:r w:rsidR="00EB7E4F" w:rsidRPr="00805DFB">
        <w:rPr>
          <w:rFonts w:ascii="Arial" w:hAnsi="Arial" w:cs="Arial"/>
          <w:b/>
          <w:sz w:val="36"/>
          <w:szCs w:val="36"/>
          <w:highlight w:val="yellow"/>
        </w:rPr>
        <w:t xml:space="preserve">the </w:t>
      </w:r>
      <w:r w:rsidRPr="00771162">
        <w:rPr>
          <w:rFonts w:ascii="Arial" w:hAnsi="Arial" w:cs="Arial"/>
          <w:b/>
          <w:sz w:val="36"/>
          <w:szCs w:val="36"/>
        </w:rPr>
        <w:t>androgen receptor and Steroid 17-alpha-hydroxylase/17,20 lyase</w:t>
      </w:r>
      <w:r w:rsidR="00AD16C9" w:rsidRPr="00771162">
        <w:rPr>
          <w:rFonts w:ascii="Arial" w:hAnsi="Arial" w:cs="Arial"/>
          <w:b/>
          <w:sz w:val="36"/>
          <w:szCs w:val="36"/>
        </w:rPr>
        <w:t xml:space="preserve"> as </w:t>
      </w:r>
      <w:r w:rsidR="00805DFB">
        <w:rPr>
          <w:rFonts w:ascii="Arial" w:hAnsi="Arial" w:cs="Arial"/>
          <w:b/>
          <w:sz w:val="36"/>
          <w:szCs w:val="36"/>
        </w:rPr>
        <w:t>an</w:t>
      </w:r>
      <w:r w:rsidR="00AD16C9" w:rsidRPr="00771162">
        <w:rPr>
          <w:rFonts w:ascii="Arial" w:hAnsi="Arial" w:cs="Arial"/>
          <w:b/>
          <w:sz w:val="36"/>
          <w:szCs w:val="36"/>
        </w:rPr>
        <w:t xml:space="preserve"> </w:t>
      </w:r>
      <w:r w:rsidR="00EB7E4F" w:rsidRPr="00805DFB">
        <w:rPr>
          <w:rFonts w:ascii="Arial" w:hAnsi="Arial" w:cs="Arial"/>
          <w:b/>
          <w:sz w:val="36"/>
          <w:szCs w:val="36"/>
          <w:highlight w:val="yellow"/>
        </w:rPr>
        <w:t>anti-prostate</w:t>
      </w:r>
      <w:r w:rsidR="00640F53" w:rsidRPr="00805DFB">
        <w:rPr>
          <w:rFonts w:ascii="Arial" w:hAnsi="Arial" w:cs="Arial"/>
          <w:b/>
          <w:sz w:val="36"/>
          <w:szCs w:val="36"/>
          <w:highlight w:val="yellow"/>
        </w:rPr>
        <w:t xml:space="preserve"> </w:t>
      </w:r>
      <w:r w:rsidR="00640F53" w:rsidRPr="00771162">
        <w:rPr>
          <w:rFonts w:ascii="Arial" w:hAnsi="Arial" w:cs="Arial"/>
          <w:b/>
          <w:sz w:val="36"/>
          <w:szCs w:val="36"/>
        </w:rPr>
        <w:t>cancer</w:t>
      </w:r>
      <w:r w:rsidR="00AD16C9" w:rsidRPr="00771162">
        <w:rPr>
          <w:rFonts w:ascii="Arial" w:hAnsi="Arial" w:cs="Arial"/>
          <w:b/>
          <w:sz w:val="36"/>
          <w:szCs w:val="36"/>
        </w:rPr>
        <w:t xml:space="preserve"> agent</w:t>
      </w:r>
    </w:p>
    <w:bookmarkEnd w:id="0"/>
    <w:p w14:paraId="02299378" w14:textId="77777777" w:rsidR="000C05BB" w:rsidRPr="00771162" w:rsidRDefault="000C05BB" w:rsidP="00FE7F36">
      <w:pPr>
        <w:jc w:val="center"/>
        <w:rPr>
          <w:rFonts w:ascii="Arial" w:hAnsi="Arial" w:cs="Arial"/>
          <w:b/>
          <w:sz w:val="24"/>
          <w:szCs w:val="24"/>
        </w:rPr>
      </w:pPr>
    </w:p>
    <w:p w14:paraId="100B0B5C" w14:textId="77777777" w:rsidR="007F7F14" w:rsidRPr="00771162" w:rsidRDefault="007F7F14" w:rsidP="007F7F14">
      <w:pPr>
        <w:rPr>
          <w:rFonts w:ascii="Arial" w:hAnsi="Arial" w:cs="Arial"/>
          <w:b/>
          <w:sz w:val="24"/>
          <w:szCs w:val="24"/>
        </w:rPr>
      </w:pPr>
    </w:p>
    <w:p w14:paraId="12BF74B6" w14:textId="77777777" w:rsidR="007F7F14" w:rsidRPr="00771162" w:rsidRDefault="00244ECA" w:rsidP="007F7F14">
      <w:pPr>
        <w:rPr>
          <w:rFonts w:ascii="Arial" w:hAnsi="Arial" w:cs="Arial"/>
          <w:b/>
          <w:sz w:val="24"/>
          <w:szCs w:val="24"/>
        </w:rPr>
      </w:pPr>
      <w:r w:rsidRPr="00771162">
        <w:rPr>
          <w:rFonts w:ascii="Arial" w:hAnsi="Arial" w:cs="Arial"/>
          <w:b/>
          <w:sz w:val="24"/>
          <w:szCs w:val="24"/>
        </w:rPr>
        <w:t>Abstract</w:t>
      </w:r>
    </w:p>
    <w:p w14:paraId="55ED1BA5" w14:textId="7418D3AE" w:rsidR="00A07852" w:rsidRPr="00805DFB" w:rsidRDefault="00A16D9F" w:rsidP="00AC4EFD">
      <w:pPr>
        <w:jc w:val="both"/>
        <w:rPr>
          <w:rFonts w:ascii="Arial" w:hAnsi="Arial" w:cs="Arial"/>
          <w:i/>
          <w:iCs/>
          <w:sz w:val="20"/>
          <w:szCs w:val="20"/>
        </w:rPr>
      </w:pPr>
      <w:r w:rsidRPr="00771162">
        <w:rPr>
          <w:rFonts w:ascii="Arial" w:hAnsi="Arial" w:cs="Arial"/>
          <w:sz w:val="20"/>
          <w:szCs w:val="20"/>
        </w:rPr>
        <w:tab/>
      </w:r>
      <w:r w:rsidR="00D45B5F" w:rsidRPr="00771162">
        <w:rPr>
          <w:rFonts w:ascii="Arial" w:hAnsi="Arial" w:cs="Arial"/>
          <w:sz w:val="20"/>
          <w:szCs w:val="20"/>
        </w:rPr>
        <w:t xml:space="preserve">Prostate cancer incidence </w:t>
      </w:r>
      <w:r w:rsidR="00EB7E4F" w:rsidRPr="00805DFB">
        <w:rPr>
          <w:rFonts w:ascii="Arial" w:hAnsi="Arial" w:cs="Arial"/>
          <w:sz w:val="20"/>
          <w:szCs w:val="20"/>
          <w:highlight w:val="yellow"/>
        </w:rPr>
        <w:t xml:space="preserve">is </w:t>
      </w:r>
      <w:r w:rsidR="00D45B5F" w:rsidRPr="00771162">
        <w:rPr>
          <w:rFonts w:ascii="Arial" w:hAnsi="Arial" w:cs="Arial"/>
          <w:sz w:val="20"/>
          <w:szCs w:val="20"/>
        </w:rPr>
        <w:t xml:space="preserve">high in male </w:t>
      </w:r>
      <w:r w:rsidR="00EB7E4F" w:rsidRPr="00805DFB">
        <w:rPr>
          <w:rFonts w:ascii="Arial" w:hAnsi="Arial" w:cs="Arial"/>
          <w:sz w:val="20"/>
          <w:szCs w:val="20"/>
          <w:highlight w:val="yellow"/>
        </w:rPr>
        <w:t>humans</w:t>
      </w:r>
      <w:r w:rsidR="00EB7E4F" w:rsidRPr="00805DFB">
        <w:rPr>
          <w:rFonts w:ascii="Arial" w:hAnsi="Arial" w:cs="Arial"/>
          <w:sz w:val="20"/>
          <w:szCs w:val="20"/>
          <w:highlight w:val="yellow"/>
        </w:rPr>
        <w:t xml:space="preserve"> </w:t>
      </w:r>
      <w:r w:rsidR="00D45B5F" w:rsidRPr="00771162">
        <w:rPr>
          <w:rFonts w:ascii="Arial" w:hAnsi="Arial" w:cs="Arial"/>
          <w:sz w:val="20"/>
          <w:szCs w:val="20"/>
        </w:rPr>
        <w:t xml:space="preserve">and male dogs. Increased male sex </w:t>
      </w:r>
      <w:r w:rsidR="00EB7E4F" w:rsidRPr="00805DFB">
        <w:rPr>
          <w:rFonts w:ascii="Arial" w:hAnsi="Arial" w:cs="Arial"/>
          <w:sz w:val="20"/>
          <w:szCs w:val="20"/>
          <w:highlight w:val="yellow"/>
        </w:rPr>
        <w:t>hormones</w:t>
      </w:r>
      <w:r w:rsidR="00EB7E4F" w:rsidRPr="00805DFB">
        <w:rPr>
          <w:rFonts w:ascii="Arial" w:hAnsi="Arial" w:cs="Arial"/>
          <w:sz w:val="20"/>
          <w:szCs w:val="20"/>
          <w:highlight w:val="yellow"/>
        </w:rPr>
        <w:t xml:space="preserve"> </w:t>
      </w:r>
      <w:r w:rsidR="00D45B5F" w:rsidRPr="00771162">
        <w:rPr>
          <w:rFonts w:ascii="Arial" w:hAnsi="Arial" w:cs="Arial"/>
          <w:sz w:val="20"/>
          <w:szCs w:val="20"/>
        </w:rPr>
        <w:t xml:space="preserve">play a vital role in pathogenesis. The treatment for prostate hyperplasia and prostate cancer is </w:t>
      </w:r>
      <w:r w:rsidR="00EB7E4F" w:rsidRPr="00805DFB">
        <w:rPr>
          <w:rFonts w:ascii="Arial" w:hAnsi="Arial" w:cs="Arial"/>
          <w:sz w:val="20"/>
          <w:szCs w:val="20"/>
          <w:highlight w:val="yellow"/>
        </w:rPr>
        <w:t xml:space="preserve">an </w:t>
      </w:r>
      <w:r w:rsidR="00D45B5F" w:rsidRPr="00771162">
        <w:rPr>
          <w:rFonts w:ascii="Arial" w:hAnsi="Arial" w:cs="Arial"/>
          <w:sz w:val="20"/>
          <w:szCs w:val="20"/>
        </w:rPr>
        <w:t xml:space="preserve">androgen receptor inhibitor </w:t>
      </w:r>
      <w:r w:rsidR="00EB7E4F" w:rsidRPr="00805DFB">
        <w:rPr>
          <w:rFonts w:ascii="Arial" w:hAnsi="Arial" w:cs="Arial"/>
          <w:sz w:val="20"/>
          <w:szCs w:val="20"/>
          <w:highlight w:val="yellow"/>
        </w:rPr>
        <w:t>that</w:t>
      </w:r>
      <w:r w:rsidR="00EB7E4F" w:rsidRPr="00805DFB">
        <w:rPr>
          <w:rFonts w:ascii="Arial" w:hAnsi="Arial" w:cs="Arial"/>
          <w:sz w:val="20"/>
          <w:szCs w:val="20"/>
          <w:highlight w:val="yellow"/>
        </w:rPr>
        <w:t xml:space="preserve"> </w:t>
      </w:r>
      <w:r w:rsidR="00EB7E4F" w:rsidRPr="00805DFB">
        <w:rPr>
          <w:rFonts w:ascii="Arial" w:hAnsi="Arial" w:cs="Arial"/>
          <w:sz w:val="20"/>
          <w:szCs w:val="20"/>
          <w:highlight w:val="yellow"/>
        </w:rPr>
        <w:t>inhibits</w:t>
      </w:r>
      <w:r w:rsidR="00EB7E4F" w:rsidRPr="00805DFB">
        <w:rPr>
          <w:rFonts w:ascii="Arial" w:hAnsi="Arial" w:cs="Arial"/>
          <w:sz w:val="20"/>
          <w:szCs w:val="20"/>
          <w:highlight w:val="yellow"/>
        </w:rPr>
        <w:t xml:space="preserve"> </w:t>
      </w:r>
      <w:r w:rsidR="00D45B5F" w:rsidRPr="00771162">
        <w:rPr>
          <w:rFonts w:ascii="Arial" w:hAnsi="Arial" w:cs="Arial"/>
          <w:sz w:val="20"/>
          <w:szCs w:val="20"/>
        </w:rPr>
        <w:t>the synthesis of androgen by blocking the enzyme Steroid 17-alpha-hydroxylase/17,20 lyase.</w:t>
      </w:r>
      <w:r w:rsidR="00805DFB">
        <w:rPr>
          <w:rFonts w:ascii="Arial" w:hAnsi="Arial" w:cs="Arial"/>
          <w:sz w:val="20"/>
          <w:szCs w:val="20"/>
        </w:rPr>
        <w:t xml:space="preserve"> </w:t>
      </w:r>
      <w:r w:rsidR="00EB7E4F" w:rsidRPr="00805DFB">
        <w:rPr>
          <w:rFonts w:ascii="Arial" w:hAnsi="Arial" w:cs="Arial"/>
          <w:sz w:val="20"/>
          <w:szCs w:val="20"/>
          <w:highlight w:val="yellow"/>
        </w:rPr>
        <w:t>This study aims</w:t>
      </w:r>
      <w:r w:rsidR="00EB7E4F" w:rsidRPr="00805DFB">
        <w:rPr>
          <w:rFonts w:ascii="Arial" w:hAnsi="Arial" w:cs="Arial"/>
          <w:sz w:val="20"/>
          <w:szCs w:val="20"/>
          <w:highlight w:val="yellow"/>
        </w:rPr>
        <w:t xml:space="preserve"> to evaluate, using in silico approaches, the potential of andrographolide—a bioactive compound of Andrographis paniculata—to interact with the androgen receptor and steroid 17-alpha-hydroxylase/17,20-lyase, and to assess its potential as an anti-prostate cancer agent.</w:t>
      </w:r>
      <w:r w:rsidR="00EB7E4F">
        <w:rPr>
          <w:rFonts w:ascii="Arial" w:hAnsi="Arial" w:cs="Arial"/>
          <w:sz w:val="20"/>
          <w:szCs w:val="20"/>
        </w:rPr>
        <w:t xml:space="preserve"> </w:t>
      </w:r>
      <w:r w:rsidR="00D45B5F" w:rsidRPr="00771162">
        <w:rPr>
          <w:rFonts w:ascii="Arial" w:hAnsi="Arial" w:cs="Arial"/>
          <w:sz w:val="20"/>
          <w:szCs w:val="20"/>
        </w:rPr>
        <w:t xml:space="preserve">Medicinal plant is an integral part of human life to combat </w:t>
      </w:r>
      <w:r w:rsidR="00EB7E4F" w:rsidRPr="00805DFB">
        <w:rPr>
          <w:rFonts w:ascii="Arial" w:hAnsi="Arial" w:cs="Arial"/>
          <w:sz w:val="20"/>
          <w:szCs w:val="20"/>
          <w:highlight w:val="yellow"/>
        </w:rPr>
        <w:t>suffering</w:t>
      </w:r>
      <w:r w:rsidR="00EB7E4F">
        <w:rPr>
          <w:rFonts w:ascii="Arial" w:hAnsi="Arial" w:cs="Arial"/>
          <w:sz w:val="20"/>
          <w:szCs w:val="20"/>
        </w:rPr>
        <w:t>,</w:t>
      </w:r>
      <w:r w:rsidR="00EB7E4F" w:rsidRPr="00771162">
        <w:rPr>
          <w:rFonts w:ascii="Arial" w:hAnsi="Arial" w:cs="Arial"/>
          <w:sz w:val="20"/>
          <w:szCs w:val="20"/>
        </w:rPr>
        <w:t xml:space="preserve"> </w:t>
      </w:r>
      <w:r w:rsidR="00D45B5F" w:rsidRPr="00771162">
        <w:rPr>
          <w:rFonts w:ascii="Arial" w:hAnsi="Arial" w:cs="Arial"/>
          <w:sz w:val="20"/>
          <w:szCs w:val="20"/>
        </w:rPr>
        <w:t>and people depend either directly or indirectly on medicinal plants for the first line of treatment.</w:t>
      </w:r>
      <w:r w:rsidR="00D45B5F" w:rsidRPr="00771162">
        <w:rPr>
          <w:rFonts w:ascii="Arial" w:hAnsi="Arial" w:cs="Arial"/>
          <w:i/>
          <w:iCs/>
          <w:sz w:val="20"/>
          <w:szCs w:val="20"/>
        </w:rPr>
        <w:t xml:space="preserve"> Andrographis paniculata</w:t>
      </w:r>
      <w:r w:rsidR="00D45B5F" w:rsidRPr="00771162">
        <w:rPr>
          <w:rFonts w:ascii="Arial" w:hAnsi="Arial" w:cs="Arial"/>
          <w:sz w:val="20"/>
          <w:szCs w:val="20"/>
        </w:rPr>
        <w:t xml:space="preserve"> is an important medicinal plant and </w:t>
      </w:r>
      <w:r w:rsidR="00EB7E4F" w:rsidRPr="00805DFB">
        <w:rPr>
          <w:rFonts w:ascii="Arial" w:hAnsi="Arial" w:cs="Arial"/>
          <w:sz w:val="20"/>
          <w:szCs w:val="20"/>
          <w:highlight w:val="yellow"/>
        </w:rPr>
        <w:t>has</w:t>
      </w:r>
      <w:r w:rsidR="00EB7E4F" w:rsidRPr="00805DFB">
        <w:rPr>
          <w:rFonts w:ascii="Arial" w:hAnsi="Arial" w:cs="Arial"/>
          <w:sz w:val="20"/>
          <w:szCs w:val="20"/>
          <w:highlight w:val="yellow"/>
        </w:rPr>
        <w:t xml:space="preserve"> </w:t>
      </w:r>
      <w:r w:rsidR="00EB7E4F" w:rsidRPr="00805DFB">
        <w:rPr>
          <w:rFonts w:ascii="Arial" w:hAnsi="Arial" w:cs="Arial"/>
          <w:sz w:val="20"/>
          <w:szCs w:val="20"/>
          <w:highlight w:val="yellow"/>
        </w:rPr>
        <w:t>a</w:t>
      </w:r>
      <w:r w:rsidR="00EB7E4F">
        <w:rPr>
          <w:rFonts w:ascii="Arial" w:hAnsi="Arial" w:cs="Arial"/>
          <w:sz w:val="20"/>
          <w:szCs w:val="20"/>
        </w:rPr>
        <w:t xml:space="preserve"> </w:t>
      </w:r>
      <w:r w:rsidR="00D45B5F" w:rsidRPr="00771162">
        <w:rPr>
          <w:rFonts w:ascii="Arial" w:hAnsi="Arial" w:cs="Arial"/>
          <w:sz w:val="20"/>
          <w:szCs w:val="20"/>
        </w:rPr>
        <w:t>broad ran</w:t>
      </w:r>
      <w:r w:rsidR="00BF3128" w:rsidRPr="00771162">
        <w:rPr>
          <w:rFonts w:ascii="Arial" w:hAnsi="Arial" w:cs="Arial"/>
          <w:sz w:val="20"/>
          <w:szCs w:val="20"/>
        </w:rPr>
        <w:t>ge of pharmacological effects. T</w:t>
      </w:r>
      <w:r w:rsidR="00D45B5F" w:rsidRPr="00771162">
        <w:rPr>
          <w:rFonts w:ascii="Arial" w:hAnsi="Arial" w:cs="Arial"/>
          <w:sz w:val="20"/>
          <w:szCs w:val="20"/>
        </w:rPr>
        <w:t xml:space="preserve">he active principle Andrographolide </w:t>
      </w:r>
      <w:r w:rsidR="00EB7E4F" w:rsidRPr="00805DFB">
        <w:rPr>
          <w:rFonts w:ascii="Arial" w:hAnsi="Arial" w:cs="Arial"/>
          <w:sz w:val="20"/>
          <w:szCs w:val="20"/>
          <w:highlight w:val="yellow"/>
        </w:rPr>
        <w:t>belongs</w:t>
      </w:r>
      <w:r w:rsidR="00D45B5F" w:rsidRPr="00805DFB">
        <w:rPr>
          <w:rFonts w:ascii="Arial" w:hAnsi="Arial" w:cs="Arial"/>
          <w:sz w:val="20"/>
          <w:szCs w:val="20"/>
          <w:highlight w:val="yellow"/>
        </w:rPr>
        <w:t xml:space="preserve"> </w:t>
      </w:r>
      <w:r w:rsidR="00D45B5F" w:rsidRPr="00771162">
        <w:rPr>
          <w:rFonts w:ascii="Arial" w:hAnsi="Arial" w:cs="Arial"/>
          <w:sz w:val="20"/>
          <w:szCs w:val="20"/>
        </w:rPr>
        <w:t xml:space="preserve">to the class </w:t>
      </w:r>
      <w:r w:rsidR="00805DFB">
        <w:rPr>
          <w:rFonts w:ascii="Arial" w:hAnsi="Arial" w:cs="Arial"/>
          <w:sz w:val="20"/>
          <w:szCs w:val="20"/>
        </w:rPr>
        <w:t xml:space="preserve">of </w:t>
      </w:r>
      <w:r w:rsidR="00D45B5F" w:rsidRPr="00771162">
        <w:rPr>
          <w:rFonts w:ascii="Arial" w:hAnsi="Arial" w:cs="Arial"/>
          <w:sz w:val="20"/>
          <w:szCs w:val="20"/>
        </w:rPr>
        <w:t xml:space="preserve">diterpenoids. using </w:t>
      </w:r>
      <w:r w:rsidR="00EB7E4F" w:rsidRPr="00805DFB">
        <w:rPr>
          <w:rFonts w:ascii="Arial" w:hAnsi="Arial" w:cs="Arial"/>
          <w:sz w:val="20"/>
          <w:szCs w:val="20"/>
          <w:highlight w:val="yellow"/>
        </w:rPr>
        <w:t>Discover Studio</w:t>
      </w:r>
      <w:r w:rsidR="00D45B5F" w:rsidRPr="00805DFB">
        <w:rPr>
          <w:rFonts w:ascii="Arial" w:hAnsi="Arial" w:cs="Arial"/>
          <w:sz w:val="20"/>
          <w:szCs w:val="20"/>
          <w:highlight w:val="yellow"/>
        </w:rPr>
        <w:t xml:space="preserve"> </w:t>
      </w:r>
      <w:r w:rsidR="00D45B5F" w:rsidRPr="00771162">
        <w:rPr>
          <w:rFonts w:ascii="Arial" w:hAnsi="Arial" w:cs="Arial"/>
          <w:sz w:val="20"/>
          <w:szCs w:val="20"/>
        </w:rPr>
        <w:t xml:space="preserve">and </w:t>
      </w:r>
      <w:r w:rsidR="00EB7E4F" w:rsidRPr="00805DFB">
        <w:rPr>
          <w:rFonts w:ascii="Arial" w:hAnsi="Arial" w:cs="Arial"/>
          <w:sz w:val="20"/>
          <w:szCs w:val="20"/>
          <w:highlight w:val="yellow"/>
        </w:rPr>
        <w:t>Auto Dock</w:t>
      </w:r>
      <w:r w:rsidR="003A64E2" w:rsidRPr="00805DFB">
        <w:rPr>
          <w:rFonts w:ascii="Arial" w:hAnsi="Arial" w:cs="Arial"/>
          <w:sz w:val="20"/>
          <w:szCs w:val="20"/>
          <w:highlight w:val="yellow"/>
        </w:rPr>
        <w:t xml:space="preserve"> </w:t>
      </w:r>
      <w:r w:rsidR="003A64E2">
        <w:rPr>
          <w:rFonts w:ascii="Arial" w:hAnsi="Arial" w:cs="Arial"/>
          <w:sz w:val="20"/>
          <w:szCs w:val="20"/>
        </w:rPr>
        <w:t>version 4.2</w:t>
      </w:r>
      <w:r w:rsidR="00D45B5F" w:rsidRPr="00771162">
        <w:rPr>
          <w:rFonts w:ascii="Arial" w:hAnsi="Arial" w:cs="Arial"/>
          <w:sz w:val="20"/>
          <w:szCs w:val="20"/>
        </w:rPr>
        <w:t xml:space="preserve">, the docking score for the 30 </w:t>
      </w:r>
      <w:r w:rsidR="00805DFB">
        <w:rPr>
          <w:rFonts w:ascii="Arial" w:hAnsi="Arial" w:cs="Arial"/>
          <w:sz w:val="20"/>
          <w:szCs w:val="20"/>
        </w:rPr>
        <w:t>phytochemicals</w:t>
      </w:r>
      <w:r w:rsidR="00D45B5F" w:rsidRPr="00771162">
        <w:rPr>
          <w:rFonts w:ascii="Arial" w:hAnsi="Arial" w:cs="Arial"/>
          <w:sz w:val="20"/>
          <w:szCs w:val="20"/>
        </w:rPr>
        <w:t xml:space="preserve"> of  </w:t>
      </w:r>
      <w:r w:rsidR="00D45B5F" w:rsidRPr="00771162">
        <w:rPr>
          <w:rFonts w:ascii="Arial" w:hAnsi="Arial" w:cs="Arial"/>
          <w:i/>
          <w:sz w:val="20"/>
          <w:szCs w:val="20"/>
        </w:rPr>
        <w:t xml:space="preserve">A. paniculatus </w:t>
      </w:r>
      <w:r w:rsidR="00D45B5F" w:rsidRPr="00771162">
        <w:rPr>
          <w:rFonts w:ascii="Arial" w:hAnsi="Arial" w:cs="Arial"/>
          <w:sz w:val="20"/>
          <w:szCs w:val="20"/>
        </w:rPr>
        <w:t>is higher than -5. The docking fo</w:t>
      </w:r>
      <w:r w:rsidR="006A46BB">
        <w:rPr>
          <w:rFonts w:ascii="Arial" w:hAnsi="Arial" w:cs="Arial"/>
          <w:sz w:val="20"/>
          <w:szCs w:val="20"/>
        </w:rPr>
        <w:t xml:space="preserve">r andrographolide against the </w:t>
      </w:r>
      <w:r w:rsidR="00D45B5F" w:rsidRPr="00771162">
        <w:rPr>
          <w:rFonts w:ascii="Arial" w:hAnsi="Arial" w:cs="Arial"/>
          <w:sz w:val="20"/>
          <w:szCs w:val="20"/>
        </w:rPr>
        <w:t>target androgen receptor and Steroid 17-alpha-hydroxylase/17,20 lyase are -6.7 and -8.6</w:t>
      </w:r>
      <w:r w:rsidR="00EB7E4F">
        <w:rPr>
          <w:rFonts w:ascii="Arial" w:hAnsi="Arial" w:cs="Arial"/>
          <w:sz w:val="20"/>
          <w:szCs w:val="20"/>
        </w:rPr>
        <w:t>,</w:t>
      </w:r>
      <w:r w:rsidR="00D45B5F" w:rsidRPr="00771162">
        <w:rPr>
          <w:rFonts w:ascii="Arial" w:hAnsi="Arial" w:cs="Arial"/>
          <w:sz w:val="20"/>
          <w:szCs w:val="20"/>
        </w:rPr>
        <w:t xml:space="preserve"> respectively.</w:t>
      </w:r>
      <w:r w:rsidR="00C420D1" w:rsidRPr="00771162">
        <w:rPr>
          <w:rFonts w:ascii="Arial" w:hAnsi="Arial" w:cs="Arial"/>
          <w:sz w:val="20"/>
          <w:szCs w:val="20"/>
        </w:rPr>
        <w:t xml:space="preserve"> </w:t>
      </w:r>
      <w:r w:rsidR="002025BF" w:rsidRPr="002025BF">
        <w:rPr>
          <w:rFonts w:ascii="Arial" w:hAnsi="Arial" w:cs="Arial"/>
          <w:bCs/>
          <w:sz w:val="20"/>
          <w:szCs w:val="20"/>
        </w:rPr>
        <w:t xml:space="preserve">Andrographolide has been shown to comply with all aspects of Lipinski’s Rule of 5, indicating its </w:t>
      </w:r>
      <w:r w:rsidR="00EB7E4F" w:rsidRPr="00805DFB">
        <w:rPr>
          <w:rFonts w:ascii="Arial" w:hAnsi="Arial" w:cs="Arial"/>
          <w:bCs/>
          <w:sz w:val="20"/>
          <w:szCs w:val="20"/>
          <w:highlight w:val="yellow"/>
        </w:rPr>
        <w:t>drug-like</w:t>
      </w:r>
      <w:r w:rsidR="00EB7E4F" w:rsidRPr="00805DFB">
        <w:rPr>
          <w:rFonts w:ascii="Arial" w:hAnsi="Arial" w:cs="Arial"/>
          <w:bCs/>
          <w:sz w:val="20"/>
          <w:szCs w:val="20"/>
          <w:highlight w:val="yellow"/>
        </w:rPr>
        <w:t xml:space="preserve"> </w:t>
      </w:r>
      <w:r w:rsidR="00EB7E4F" w:rsidRPr="00805DFB">
        <w:rPr>
          <w:rFonts w:ascii="Arial" w:hAnsi="Arial" w:cs="Arial"/>
          <w:bCs/>
          <w:sz w:val="20"/>
          <w:szCs w:val="20"/>
          <w:highlight w:val="yellow"/>
        </w:rPr>
        <w:t>properties</w:t>
      </w:r>
      <w:r w:rsidR="00C420D1" w:rsidRPr="00771162">
        <w:rPr>
          <w:rFonts w:ascii="Arial" w:hAnsi="Arial" w:cs="Arial"/>
          <w:bCs/>
          <w:sz w:val="20"/>
          <w:szCs w:val="20"/>
        </w:rPr>
        <w:t>.</w:t>
      </w:r>
      <w:r w:rsidR="00EF02FF">
        <w:rPr>
          <w:rFonts w:ascii="Arial" w:hAnsi="Arial" w:cs="Arial"/>
          <w:sz w:val="20"/>
          <w:szCs w:val="20"/>
        </w:rPr>
        <w:t xml:space="preserve"> </w:t>
      </w:r>
      <w:r w:rsidR="003A64E2" w:rsidRPr="003A64E2">
        <w:rPr>
          <w:rFonts w:ascii="Arial" w:hAnsi="Arial" w:cs="Arial"/>
          <w:sz w:val="20"/>
          <w:szCs w:val="20"/>
        </w:rPr>
        <w:t>Consequently, it represents a promising lead compound for additional clinical investigations targeting prostate cancer</w:t>
      </w:r>
      <w:r w:rsidR="00D45B5F" w:rsidRPr="00771162">
        <w:rPr>
          <w:rFonts w:ascii="Arial" w:hAnsi="Arial" w:cs="Arial"/>
          <w:sz w:val="20"/>
          <w:szCs w:val="20"/>
        </w:rPr>
        <w:t>.</w:t>
      </w:r>
      <w:r w:rsidR="00EB7E4F">
        <w:rPr>
          <w:rFonts w:ascii="Arial" w:hAnsi="Arial" w:cs="Arial"/>
          <w:sz w:val="20"/>
          <w:szCs w:val="20"/>
        </w:rPr>
        <w:t xml:space="preserve"> </w:t>
      </w:r>
      <w:r w:rsidR="00EB7E4F" w:rsidRPr="00805DFB">
        <w:rPr>
          <w:rFonts w:ascii="Arial" w:hAnsi="Arial" w:cs="Arial"/>
          <w:sz w:val="20"/>
          <w:szCs w:val="20"/>
          <w:highlight w:val="yellow"/>
        </w:rPr>
        <w:t>Further in vitro and in vivo evaluations are warranted to confirm its efficacy, safety, and potential for development as a promising lead molecule for further preclinical studies aimed at developing novel anti-androgen therapies for prostate cancer.</w:t>
      </w:r>
    </w:p>
    <w:p w14:paraId="044A6542" w14:textId="3BD6FE9F" w:rsidR="00166FE6" w:rsidRPr="00771162" w:rsidRDefault="00166FE6" w:rsidP="007F78D4">
      <w:pPr>
        <w:jc w:val="both"/>
        <w:rPr>
          <w:rFonts w:ascii="Arial" w:hAnsi="Arial" w:cs="Arial"/>
          <w:b/>
          <w:sz w:val="20"/>
          <w:szCs w:val="20"/>
        </w:rPr>
      </w:pPr>
      <w:r w:rsidRPr="00166FE6">
        <w:rPr>
          <w:rFonts w:ascii="Arial" w:hAnsi="Arial" w:cs="Arial"/>
          <w:b/>
          <w:i/>
          <w:iCs/>
          <w:sz w:val="20"/>
          <w:szCs w:val="20"/>
        </w:rPr>
        <w:t>Keywords</w:t>
      </w:r>
      <w:r>
        <w:rPr>
          <w:rFonts w:ascii="Arial" w:hAnsi="Arial" w:cs="Arial"/>
          <w:b/>
          <w:i/>
          <w:iCs/>
          <w:sz w:val="20"/>
          <w:szCs w:val="20"/>
        </w:rPr>
        <w:t xml:space="preserve">: </w:t>
      </w:r>
      <w:r w:rsidRPr="00166FE6">
        <w:rPr>
          <w:rFonts w:ascii="Arial" w:hAnsi="Arial" w:cs="Arial"/>
          <w:bCs/>
          <w:i/>
          <w:iCs/>
          <w:sz w:val="20"/>
          <w:szCs w:val="20"/>
        </w:rPr>
        <w:t xml:space="preserve">Andrographolide, Androgen receptor, </w:t>
      </w:r>
      <w:r w:rsidR="00EB7E4F" w:rsidRPr="00805DFB">
        <w:rPr>
          <w:rFonts w:ascii="Arial" w:hAnsi="Arial" w:cs="Arial"/>
          <w:bCs/>
          <w:i/>
          <w:iCs/>
          <w:sz w:val="20"/>
          <w:szCs w:val="20"/>
          <w:highlight w:val="yellow"/>
        </w:rPr>
        <w:t>Medicinal plant</w:t>
      </w:r>
      <w:r w:rsidR="00EB7E4F" w:rsidRPr="00EB7E4F">
        <w:rPr>
          <w:rFonts w:ascii="Arial" w:hAnsi="Arial" w:cs="Arial"/>
          <w:bCs/>
          <w:i/>
          <w:iCs/>
          <w:sz w:val="20"/>
          <w:szCs w:val="20"/>
        </w:rPr>
        <w:t xml:space="preserve"> </w:t>
      </w:r>
      <w:r w:rsidRPr="00166FE6">
        <w:rPr>
          <w:rFonts w:ascii="Arial" w:hAnsi="Arial" w:cs="Arial"/>
          <w:bCs/>
          <w:i/>
          <w:iCs/>
          <w:sz w:val="20"/>
          <w:szCs w:val="20"/>
        </w:rPr>
        <w:t>,20 lyase</w:t>
      </w:r>
      <w:r>
        <w:rPr>
          <w:rFonts w:ascii="Arial" w:hAnsi="Arial" w:cs="Arial"/>
          <w:sz w:val="20"/>
          <w:szCs w:val="20"/>
        </w:rPr>
        <w:t xml:space="preserve">, </w:t>
      </w:r>
      <w:r w:rsidR="000757E1" w:rsidRPr="000757E1">
        <w:rPr>
          <w:rFonts w:ascii="Arial" w:hAnsi="Arial" w:cs="Arial"/>
          <w:i/>
          <w:iCs/>
          <w:sz w:val="20"/>
          <w:szCs w:val="20"/>
        </w:rPr>
        <w:t>prostate</w:t>
      </w:r>
      <w:r>
        <w:rPr>
          <w:rFonts w:ascii="Arial" w:hAnsi="Arial" w:cs="Arial"/>
          <w:sz w:val="20"/>
          <w:szCs w:val="20"/>
        </w:rPr>
        <w:t xml:space="preserve"> </w:t>
      </w:r>
      <w:r w:rsidRPr="000757E1">
        <w:rPr>
          <w:rFonts w:ascii="Arial" w:hAnsi="Arial" w:cs="Arial"/>
          <w:i/>
          <w:iCs/>
          <w:sz w:val="20"/>
          <w:szCs w:val="20"/>
        </w:rPr>
        <w:t>cancer</w:t>
      </w:r>
      <w:r>
        <w:rPr>
          <w:rFonts w:ascii="Arial" w:hAnsi="Arial" w:cs="Arial"/>
          <w:sz w:val="20"/>
          <w:szCs w:val="20"/>
        </w:rPr>
        <w:t xml:space="preserve"> </w:t>
      </w:r>
    </w:p>
    <w:p w14:paraId="351B4010" w14:textId="77777777" w:rsidR="00EC585F" w:rsidRPr="00771162" w:rsidRDefault="00EC585F" w:rsidP="00245566">
      <w:pPr>
        <w:autoSpaceDE w:val="0"/>
        <w:autoSpaceDN w:val="0"/>
        <w:adjustRightInd w:val="0"/>
        <w:spacing w:after="0" w:line="360" w:lineRule="auto"/>
        <w:jc w:val="both"/>
        <w:rPr>
          <w:rFonts w:ascii="Arial" w:hAnsi="Arial" w:cs="Arial"/>
          <w:b/>
        </w:rPr>
      </w:pPr>
    </w:p>
    <w:p w14:paraId="71756A4B" w14:textId="77777777" w:rsidR="00245566" w:rsidRPr="00771162" w:rsidRDefault="00A16D9F" w:rsidP="00245566">
      <w:pPr>
        <w:autoSpaceDE w:val="0"/>
        <w:autoSpaceDN w:val="0"/>
        <w:adjustRightInd w:val="0"/>
        <w:spacing w:after="0" w:line="360" w:lineRule="auto"/>
        <w:jc w:val="both"/>
        <w:rPr>
          <w:rFonts w:ascii="Arial" w:hAnsi="Arial" w:cs="Arial"/>
          <w:b/>
        </w:rPr>
      </w:pPr>
      <w:r w:rsidRPr="00771162">
        <w:rPr>
          <w:rFonts w:ascii="Arial" w:hAnsi="Arial" w:cs="Arial"/>
          <w:b/>
        </w:rPr>
        <w:t xml:space="preserve">1. </w:t>
      </w:r>
      <w:r w:rsidR="00245566" w:rsidRPr="00771162">
        <w:rPr>
          <w:rFonts w:ascii="Arial" w:hAnsi="Arial" w:cs="Arial"/>
          <w:b/>
        </w:rPr>
        <w:t>INTRODUCTION</w:t>
      </w:r>
    </w:p>
    <w:p w14:paraId="407BC033" w14:textId="7A590191" w:rsidR="00245566" w:rsidRPr="003A64E2" w:rsidRDefault="00245566" w:rsidP="007F78D4">
      <w:pPr>
        <w:jc w:val="both"/>
        <w:rPr>
          <w:rFonts w:ascii="Arial" w:hAnsi="Arial" w:cs="Arial"/>
          <w:sz w:val="20"/>
          <w:szCs w:val="20"/>
        </w:rPr>
      </w:pPr>
      <w:r w:rsidRPr="00771162">
        <w:rPr>
          <w:rFonts w:ascii="Arial" w:hAnsi="Arial" w:cs="Arial"/>
          <w:sz w:val="20"/>
          <w:szCs w:val="20"/>
        </w:rPr>
        <w:tab/>
      </w:r>
      <w:r w:rsidR="003A64E2" w:rsidRPr="003A64E2">
        <w:rPr>
          <w:rFonts w:ascii="Arial" w:hAnsi="Arial" w:cs="Arial"/>
          <w:sz w:val="20"/>
          <w:szCs w:val="20"/>
        </w:rPr>
        <w:t>Prostate cancer (PC) ranks as the second most frequently diagnosed cancer and is the fifth leading cause of cancer-related mortality among men globally</w:t>
      </w:r>
      <w:r w:rsidR="00F121F3" w:rsidRPr="00771162">
        <w:rPr>
          <w:rFonts w:ascii="Arial" w:hAnsi="Arial" w:cs="Arial"/>
          <w:sz w:val="20"/>
          <w:szCs w:val="20"/>
        </w:rPr>
        <w:t xml:space="preserve">, with more than </w:t>
      </w:r>
      <w:r w:rsidR="00F304CD" w:rsidRPr="00805DFB">
        <w:rPr>
          <w:rFonts w:ascii="Arial" w:hAnsi="Arial" w:cs="Arial"/>
          <w:sz w:val="20"/>
          <w:szCs w:val="20"/>
          <w:highlight w:val="yellow"/>
        </w:rPr>
        <w:t>1,460,000</w:t>
      </w:r>
      <w:r w:rsidR="00F121F3" w:rsidRPr="00805DFB">
        <w:rPr>
          <w:rFonts w:ascii="Arial" w:hAnsi="Arial" w:cs="Arial"/>
          <w:sz w:val="20"/>
          <w:szCs w:val="20"/>
          <w:highlight w:val="yellow"/>
        </w:rPr>
        <w:t xml:space="preserve"> </w:t>
      </w:r>
      <w:r w:rsidR="00F121F3" w:rsidRPr="00771162">
        <w:rPr>
          <w:rFonts w:ascii="Arial" w:hAnsi="Arial" w:cs="Arial"/>
          <w:sz w:val="20"/>
          <w:szCs w:val="20"/>
        </w:rPr>
        <w:t xml:space="preserve">estimated cases and </w:t>
      </w:r>
      <w:r w:rsidR="00F304CD" w:rsidRPr="00805DFB">
        <w:rPr>
          <w:rFonts w:ascii="Arial" w:hAnsi="Arial" w:cs="Arial"/>
          <w:sz w:val="20"/>
          <w:szCs w:val="20"/>
          <w:highlight w:val="yellow"/>
        </w:rPr>
        <w:t>396,000</w:t>
      </w:r>
      <w:r w:rsidR="00F121F3" w:rsidRPr="00805DFB">
        <w:rPr>
          <w:rFonts w:ascii="Arial" w:hAnsi="Arial" w:cs="Arial"/>
          <w:sz w:val="20"/>
          <w:szCs w:val="20"/>
          <w:highlight w:val="yellow"/>
        </w:rPr>
        <w:t xml:space="preserve"> </w:t>
      </w:r>
      <w:r w:rsidR="00F121F3" w:rsidRPr="00771162">
        <w:rPr>
          <w:rFonts w:ascii="Arial" w:hAnsi="Arial" w:cs="Arial"/>
          <w:sz w:val="20"/>
          <w:szCs w:val="20"/>
        </w:rPr>
        <w:t>deaths in 2022 </w:t>
      </w:r>
      <w:bookmarkStart w:id="1" w:name="bb0005"/>
      <w:r w:rsidR="00511F1F" w:rsidRPr="00771162">
        <w:rPr>
          <w:rFonts w:ascii="Arial" w:hAnsi="Arial" w:cs="Arial"/>
          <w:sz w:val="20"/>
          <w:szCs w:val="20"/>
        </w:rPr>
        <w:t xml:space="preserve"> (Ferlay </w:t>
      </w:r>
      <w:r w:rsidR="00511F1F" w:rsidRPr="00CE36D5">
        <w:rPr>
          <w:rFonts w:ascii="Arial" w:hAnsi="Arial" w:cs="Arial"/>
          <w:i/>
          <w:iCs/>
          <w:sz w:val="20"/>
          <w:szCs w:val="20"/>
        </w:rPr>
        <w:t>et al</w:t>
      </w:r>
      <w:r w:rsidR="00511F1F" w:rsidRPr="00771162">
        <w:rPr>
          <w:rFonts w:ascii="Arial" w:hAnsi="Arial" w:cs="Arial"/>
          <w:sz w:val="20"/>
          <w:szCs w:val="20"/>
        </w:rPr>
        <w:t>., 202</w:t>
      </w:r>
      <w:bookmarkEnd w:id="1"/>
      <w:r w:rsidR="00511F1F" w:rsidRPr="00771162">
        <w:rPr>
          <w:rFonts w:ascii="Arial" w:hAnsi="Arial" w:cs="Arial"/>
          <w:sz w:val="20"/>
          <w:szCs w:val="20"/>
        </w:rPr>
        <w:t>0)</w:t>
      </w:r>
      <w:r w:rsidR="00F121F3" w:rsidRPr="00771162">
        <w:rPr>
          <w:rFonts w:ascii="Arial" w:hAnsi="Arial" w:cs="Arial"/>
          <w:sz w:val="20"/>
          <w:szCs w:val="20"/>
        </w:rPr>
        <w:t xml:space="preserve">. It is predicted that by 2040, the PC burden will have increased to approximately 2.4 million cases and </w:t>
      </w:r>
      <w:r w:rsidR="00F304CD" w:rsidRPr="00805DFB">
        <w:rPr>
          <w:rFonts w:ascii="Arial" w:hAnsi="Arial" w:cs="Arial"/>
          <w:sz w:val="20"/>
          <w:szCs w:val="20"/>
          <w:highlight w:val="yellow"/>
        </w:rPr>
        <w:t>712,000</w:t>
      </w:r>
      <w:r w:rsidR="00F121F3" w:rsidRPr="00805DFB">
        <w:rPr>
          <w:rFonts w:ascii="Arial" w:hAnsi="Arial" w:cs="Arial"/>
          <w:sz w:val="20"/>
          <w:szCs w:val="20"/>
          <w:highlight w:val="yellow"/>
        </w:rPr>
        <w:t xml:space="preserve"> </w:t>
      </w:r>
      <w:r w:rsidR="00F121F3" w:rsidRPr="00771162">
        <w:rPr>
          <w:rFonts w:ascii="Arial" w:hAnsi="Arial" w:cs="Arial"/>
          <w:sz w:val="20"/>
          <w:szCs w:val="20"/>
        </w:rPr>
        <w:t xml:space="preserve">deaths solely because of the </w:t>
      </w:r>
      <w:r w:rsidR="00F304CD" w:rsidRPr="00805DFB">
        <w:rPr>
          <w:rFonts w:ascii="Arial" w:hAnsi="Arial" w:cs="Arial"/>
          <w:sz w:val="20"/>
          <w:szCs w:val="20"/>
          <w:highlight w:val="yellow"/>
        </w:rPr>
        <w:t>ageing</w:t>
      </w:r>
      <w:r w:rsidR="00F304CD" w:rsidRPr="00805DFB">
        <w:rPr>
          <w:rFonts w:ascii="Arial" w:hAnsi="Arial" w:cs="Arial"/>
          <w:sz w:val="20"/>
          <w:szCs w:val="20"/>
          <w:highlight w:val="yellow"/>
        </w:rPr>
        <w:t xml:space="preserve"> </w:t>
      </w:r>
      <w:r w:rsidR="00F121F3" w:rsidRPr="00771162">
        <w:rPr>
          <w:rFonts w:ascii="Arial" w:hAnsi="Arial" w:cs="Arial"/>
          <w:sz w:val="20"/>
          <w:szCs w:val="20"/>
        </w:rPr>
        <w:t>and growing global population </w:t>
      </w:r>
      <w:bookmarkStart w:id="2" w:name="bb0010"/>
      <w:r w:rsidR="00511F1F" w:rsidRPr="00771162">
        <w:rPr>
          <w:rFonts w:ascii="Arial" w:hAnsi="Arial" w:cs="Arial"/>
          <w:sz w:val="20"/>
          <w:szCs w:val="20"/>
        </w:rPr>
        <w:t>(Sung</w:t>
      </w:r>
      <w:bookmarkEnd w:id="2"/>
      <w:r w:rsidR="00511F1F" w:rsidRPr="00771162">
        <w:rPr>
          <w:rFonts w:ascii="Arial" w:hAnsi="Arial" w:cs="Arial"/>
          <w:sz w:val="20"/>
          <w:szCs w:val="20"/>
        </w:rPr>
        <w:t xml:space="preserve"> </w:t>
      </w:r>
      <w:r w:rsidR="00511F1F" w:rsidRPr="00CE36D5">
        <w:rPr>
          <w:rFonts w:ascii="Arial" w:hAnsi="Arial" w:cs="Arial"/>
          <w:i/>
          <w:iCs/>
          <w:sz w:val="20"/>
          <w:szCs w:val="20"/>
        </w:rPr>
        <w:t>et al</w:t>
      </w:r>
      <w:r w:rsidR="00511F1F" w:rsidRPr="00771162">
        <w:rPr>
          <w:rFonts w:ascii="Arial" w:hAnsi="Arial" w:cs="Arial"/>
          <w:sz w:val="20"/>
          <w:szCs w:val="20"/>
        </w:rPr>
        <w:t>., 2021)</w:t>
      </w:r>
      <w:r w:rsidR="00F121F3" w:rsidRPr="00771162">
        <w:rPr>
          <w:rFonts w:ascii="Arial" w:hAnsi="Arial" w:cs="Arial"/>
          <w:sz w:val="20"/>
          <w:szCs w:val="20"/>
        </w:rPr>
        <w:t>.</w:t>
      </w:r>
      <w:r w:rsidR="00FC791F" w:rsidRPr="00771162">
        <w:rPr>
          <w:rFonts w:ascii="Arial" w:hAnsi="Arial" w:cs="Arial"/>
          <w:sz w:val="20"/>
          <w:szCs w:val="20"/>
        </w:rPr>
        <w:t xml:space="preserve"> </w:t>
      </w:r>
      <w:r w:rsidR="00B71230" w:rsidRPr="00805DFB">
        <w:rPr>
          <w:rFonts w:ascii="Arial" w:hAnsi="Arial" w:cs="Arial"/>
          <w:sz w:val="20"/>
          <w:szCs w:val="20"/>
          <w:highlight w:val="yellow"/>
        </w:rPr>
        <w:t xml:space="preserve">The estimation by GLOBOCAN data shows 1,276,000 cases of prostate cancer worldwide in 2018, which is </w:t>
      </w:r>
      <w:r w:rsidR="00B71230" w:rsidRPr="00805DFB">
        <w:rPr>
          <w:rFonts w:ascii="Arial" w:hAnsi="Arial" w:cs="Arial"/>
          <w:sz w:val="20"/>
          <w:szCs w:val="20"/>
          <w:highlight w:val="yellow"/>
        </w:rPr>
        <w:t xml:space="preserve">the </w:t>
      </w:r>
      <w:r w:rsidR="00B71230" w:rsidRPr="00805DFB">
        <w:rPr>
          <w:rFonts w:ascii="Arial" w:hAnsi="Arial" w:cs="Arial"/>
          <w:sz w:val="20"/>
          <w:szCs w:val="20"/>
          <w:highlight w:val="yellow"/>
        </w:rPr>
        <w:t xml:space="preserve">same as an incidence rate of 29.3/100,000 men, and </w:t>
      </w:r>
      <w:r w:rsidR="00B71230" w:rsidRPr="00805DFB">
        <w:rPr>
          <w:rFonts w:ascii="Arial" w:hAnsi="Arial" w:cs="Arial"/>
          <w:sz w:val="20"/>
          <w:szCs w:val="20"/>
          <w:highlight w:val="yellow"/>
        </w:rPr>
        <w:t>accounts</w:t>
      </w:r>
      <w:r w:rsidR="00B71230" w:rsidRPr="00805DFB">
        <w:rPr>
          <w:rFonts w:ascii="Arial" w:hAnsi="Arial" w:cs="Arial"/>
          <w:sz w:val="20"/>
          <w:szCs w:val="20"/>
          <w:highlight w:val="yellow"/>
        </w:rPr>
        <w:t xml:space="preserve"> </w:t>
      </w:r>
      <w:r w:rsidR="00B71230" w:rsidRPr="00805DFB">
        <w:rPr>
          <w:rFonts w:ascii="Arial" w:hAnsi="Arial" w:cs="Arial"/>
          <w:sz w:val="20"/>
          <w:szCs w:val="20"/>
          <w:highlight w:val="yellow"/>
        </w:rPr>
        <w:t>for</w:t>
      </w:r>
      <w:r w:rsidR="00B71230" w:rsidRPr="00805DFB">
        <w:rPr>
          <w:rFonts w:ascii="Arial" w:hAnsi="Arial" w:cs="Arial"/>
          <w:sz w:val="20"/>
          <w:szCs w:val="20"/>
          <w:highlight w:val="yellow"/>
        </w:rPr>
        <w:t xml:space="preserve"> 7.1% prostate cancer cases when </w:t>
      </w:r>
      <w:r w:rsidR="00B71230" w:rsidRPr="00805DFB">
        <w:rPr>
          <w:rFonts w:ascii="Arial" w:hAnsi="Arial" w:cs="Arial"/>
          <w:sz w:val="20"/>
          <w:szCs w:val="20"/>
          <w:highlight w:val="yellow"/>
        </w:rPr>
        <w:t>compared</w:t>
      </w:r>
      <w:r w:rsidR="00B71230" w:rsidRPr="00805DFB">
        <w:rPr>
          <w:rFonts w:ascii="Arial" w:hAnsi="Arial" w:cs="Arial"/>
          <w:sz w:val="20"/>
          <w:szCs w:val="20"/>
          <w:highlight w:val="yellow"/>
        </w:rPr>
        <w:t xml:space="preserve"> to all other cancer diagnoses</w:t>
      </w:r>
      <w:r w:rsidR="00F304CD" w:rsidRPr="00805DFB">
        <w:rPr>
          <w:rFonts w:ascii="Arial" w:hAnsi="Arial" w:cs="Arial"/>
          <w:sz w:val="20"/>
          <w:szCs w:val="20"/>
          <w:highlight w:val="yellow"/>
        </w:rPr>
        <w:t xml:space="preserve"> </w:t>
      </w:r>
      <w:r w:rsidR="00F304CD" w:rsidRPr="00805DFB">
        <w:rPr>
          <w:rFonts w:ascii="Arial" w:hAnsi="Arial" w:cs="Arial"/>
          <w:sz w:val="20"/>
          <w:szCs w:val="20"/>
          <w:highlight w:val="yellow"/>
        </w:rPr>
        <w:t xml:space="preserve">(Nancy Jenifer </w:t>
      </w:r>
      <w:r w:rsidR="00F304CD" w:rsidRPr="00805DFB">
        <w:rPr>
          <w:rFonts w:ascii="Arial" w:hAnsi="Arial" w:cs="Arial"/>
          <w:i/>
          <w:iCs/>
          <w:sz w:val="20"/>
          <w:szCs w:val="20"/>
          <w:highlight w:val="yellow"/>
        </w:rPr>
        <w:t>et al</w:t>
      </w:r>
      <w:r w:rsidR="00F304CD" w:rsidRPr="00805DFB">
        <w:rPr>
          <w:rFonts w:ascii="Arial" w:hAnsi="Arial" w:cs="Arial"/>
          <w:sz w:val="20"/>
          <w:szCs w:val="20"/>
          <w:highlight w:val="yellow"/>
        </w:rPr>
        <w:t>., 2023)</w:t>
      </w:r>
      <w:r w:rsidR="00B71230" w:rsidRPr="00805DFB">
        <w:rPr>
          <w:rFonts w:ascii="Arial" w:hAnsi="Arial" w:cs="Arial"/>
          <w:sz w:val="20"/>
          <w:szCs w:val="20"/>
          <w:highlight w:val="yellow"/>
        </w:rPr>
        <w:t>.</w:t>
      </w:r>
      <w:r w:rsidR="00B71230">
        <w:rPr>
          <w:rFonts w:ascii="Arial" w:hAnsi="Arial" w:cs="Arial"/>
          <w:sz w:val="20"/>
          <w:szCs w:val="20"/>
        </w:rPr>
        <w:t xml:space="preserve"> </w:t>
      </w:r>
      <w:r w:rsidR="002025BF" w:rsidRPr="002025BF">
        <w:rPr>
          <w:rFonts w:ascii="Arial" w:hAnsi="Arial" w:cs="Arial"/>
          <w:sz w:val="20"/>
          <w:szCs w:val="20"/>
        </w:rPr>
        <w:t xml:space="preserve">The androgen hormones, along with their corresponding </w:t>
      </w:r>
      <w:r w:rsidR="002025BF" w:rsidRPr="002025BF">
        <w:rPr>
          <w:rFonts w:ascii="Arial" w:hAnsi="Arial" w:cs="Arial"/>
          <w:sz w:val="20"/>
          <w:szCs w:val="20"/>
        </w:rPr>
        <w:lastRenderedPageBreak/>
        <w:t xml:space="preserve">androgen receptors, are </w:t>
      </w:r>
      <w:r w:rsidR="00F304CD" w:rsidRPr="00805DFB">
        <w:rPr>
          <w:rFonts w:ascii="Arial" w:hAnsi="Arial" w:cs="Arial"/>
          <w:sz w:val="20"/>
          <w:szCs w:val="20"/>
          <w:highlight w:val="yellow"/>
        </w:rPr>
        <w:t>recognised</w:t>
      </w:r>
      <w:r w:rsidR="00F304CD" w:rsidRPr="00805DFB">
        <w:rPr>
          <w:rFonts w:ascii="Arial" w:hAnsi="Arial" w:cs="Arial"/>
          <w:sz w:val="20"/>
          <w:szCs w:val="20"/>
          <w:highlight w:val="yellow"/>
        </w:rPr>
        <w:t xml:space="preserve"> </w:t>
      </w:r>
      <w:r w:rsidR="002025BF" w:rsidRPr="002025BF">
        <w:rPr>
          <w:rFonts w:ascii="Arial" w:hAnsi="Arial" w:cs="Arial"/>
          <w:sz w:val="20"/>
          <w:szCs w:val="20"/>
        </w:rPr>
        <w:t>for their significant roles in the initiation and</w:t>
      </w:r>
      <w:r w:rsidR="002025BF">
        <w:rPr>
          <w:rFonts w:ascii="Arial" w:hAnsi="Arial" w:cs="Arial"/>
          <w:sz w:val="20"/>
          <w:szCs w:val="20"/>
        </w:rPr>
        <w:t xml:space="preserve"> advancement of prostate cancer</w:t>
      </w:r>
      <w:r w:rsidRPr="00771162">
        <w:rPr>
          <w:rFonts w:ascii="Arial" w:hAnsi="Arial" w:cs="Arial"/>
          <w:sz w:val="20"/>
          <w:szCs w:val="20"/>
        </w:rPr>
        <w:t xml:space="preserve">. </w:t>
      </w:r>
      <w:r w:rsidR="003A64E2" w:rsidRPr="003A64E2">
        <w:rPr>
          <w:rFonts w:ascii="Arial" w:hAnsi="Arial" w:cs="Arial"/>
          <w:sz w:val="20"/>
          <w:szCs w:val="20"/>
        </w:rPr>
        <w:t xml:space="preserve">The link between prostate cancer and androgens was initially established in 1941 by Huggins and his team, who demonstrated that lowering serum androgen levels through orchiectomy or the administration of exogenous oestrogen resulted in </w:t>
      </w:r>
      <w:r w:rsidR="00F304CD" w:rsidRPr="00805DFB">
        <w:rPr>
          <w:rFonts w:ascii="Arial" w:hAnsi="Arial" w:cs="Arial"/>
          <w:sz w:val="20"/>
          <w:szCs w:val="20"/>
          <w:highlight w:val="yellow"/>
        </w:rPr>
        <w:t>tumour</w:t>
      </w:r>
      <w:r w:rsidR="00F304CD" w:rsidRPr="00805DFB">
        <w:rPr>
          <w:rFonts w:ascii="Arial" w:hAnsi="Arial" w:cs="Arial"/>
          <w:sz w:val="20"/>
          <w:szCs w:val="20"/>
          <w:highlight w:val="yellow"/>
        </w:rPr>
        <w:t xml:space="preserve"> </w:t>
      </w:r>
      <w:r w:rsidR="003A64E2" w:rsidRPr="003A64E2">
        <w:rPr>
          <w:rFonts w:ascii="Arial" w:hAnsi="Arial" w:cs="Arial"/>
          <w:sz w:val="20"/>
          <w:szCs w:val="20"/>
        </w:rPr>
        <w:t>regression and symptom relief, a breakthrough that earned Huggins a Nobel Prize. Since that time, the depletion of gonadal androgens has been the cornerstone of treatment for advanced prostate cancer. Nevertheless, while many patients show an initial positive response to androgen deprivation therapy, they almost always experience a relapse and develop resistance, leading to a transition of the disease into a castration-</w:t>
      </w:r>
      <w:r w:rsidR="003A64E2">
        <w:rPr>
          <w:rFonts w:ascii="Arial" w:hAnsi="Arial" w:cs="Arial"/>
          <w:sz w:val="20"/>
          <w:szCs w:val="20"/>
        </w:rPr>
        <w:t>resistant form</w:t>
      </w:r>
      <w:r w:rsidRPr="00771162">
        <w:rPr>
          <w:rFonts w:ascii="Arial" w:hAnsi="Arial" w:cs="Arial"/>
          <w:sz w:val="20"/>
          <w:szCs w:val="20"/>
        </w:rPr>
        <w:t xml:space="preserve">. Androgen-refractory </w:t>
      </w:r>
      <w:r w:rsidR="00EB7E4F">
        <w:rPr>
          <w:rFonts w:ascii="Arial" w:hAnsi="Arial" w:cs="Arial"/>
          <w:sz w:val="20"/>
          <w:szCs w:val="20"/>
        </w:rPr>
        <w:t>tumours</w:t>
      </w:r>
      <w:r w:rsidR="00EB7E4F" w:rsidRPr="00771162">
        <w:rPr>
          <w:rFonts w:ascii="Arial" w:hAnsi="Arial" w:cs="Arial"/>
          <w:sz w:val="20"/>
          <w:szCs w:val="20"/>
        </w:rPr>
        <w:t xml:space="preserve"> </w:t>
      </w:r>
      <w:r w:rsidR="00EB7E4F" w:rsidRPr="00805DFB">
        <w:rPr>
          <w:rFonts w:ascii="Arial" w:hAnsi="Arial" w:cs="Arial"/>
          <w:sz w:val="20"/>
          <w:szCs w:val="20"/>
          <w:highlight w:val="yellow"/>
        </w:rPr>
        <w:t>show</w:t>
      </w:r>
      <w:r w:rsidR="00EB7E4F" w:rsidRPr="00805DFB">
        <w:rPr>
          <w:rFonts w:ascii="Arial" w:hAnsi="Arial" w:cs="Arial"/>
          <w:sz w:val="20"/>
          <w:szCs w:val="20"/>
          <w:highlight w:val="yellow"/>
        </w:rPr>
        <w:t xml:space="preserve"> </w:t>
      </w:r>
      <w:r w:rsidRPr="00771162">
        <w:rPr>
          <w:rFonts w:ascii="Arial" w:hAnsi="Arial" w:cs="Arial"/>
          <w:sz w:val="20"/>
          <w:szCs w:val="20"/>
        </w:rPr>
        <w:t>increased intratumor synthesis of androgen and contain mutations in the androgen-receptor gene. These mutations increase the number of ligands t</w:t>
      </w:r>
      <w:r w:rsidR="00B8369E" w:rsidRPr="00771162">
        <w:rPr>
          <w:rFonts w:ascii="Arial" w:hAnsi="Arial" w:cs="Arial"/>
          <w:sz w:val="20"/>
          <w:szCs w:val="20"/>
        </w:rPr>
        <w:t>hat can activate the receptor. T</w:t>
      </w:r>
      <w:r w:rsidRPr="00771162">
        <w:rPr>
          <w:rFonts w:ascii="Arial" w:hAnsi="Arial" w:cs="Arial"/>
          <w:sz w:val="20"/>
          <w:szCs w:val="20"/>
        </w:rPr>
        <w:t>hus</w:t>
      </w:r>
      <w:r w:rsidR="00EB7E4F">
        <w:rPr>
          <w:rFonts w:ascii="Arial" w:hAnsi="Arial" w:cs="Arial"/>
          <w:sz w:val="20"/>
          <w:szCs w:val="20"/>
        </w:rPr>
        <w:t>,</w:t>
      </w:r>
      <w:r w:rsidRPr="00771162">
        <w:rPr>
          <w:rFonts w:ascii="Arial" w:hAnsi="Arial" w:cs="Arial"/>
          <w:sz w:val="20"/>
          <w:szCs w:val="20"/>
        </w:rPr>
        <w:t xml:space="preserve"> over the year, androgen receptor and enzymes for androgen synthesis </w:t>
      </w:r>
      <w:r w:rsidR="00EB7E4F" w:rsidRPr="00805DFB">
        <w:rPr>
          <w:rFonts w:ascii="Arial" w:hAnsi="Arial" w:cs="Arial"/>
          <w:sz w:val="20"/>
          <w:szCs w:val="20"/>
          <w:highlight w:val="yellow"/>
        </w:rPr>
        <w:t>have</w:t>
      </w:r>
      <w:r w:rsidR="00EB7E4F" w:rsidRPr="00805DFB">
        <w:rPr>
          <w:rFonts w:ascii="Arial" w:hAnsi="Arial" w:cs="Arial"/>
          <w:sz w:val="20"/>
          <w:szCs w:val="20"/>
          <w:highlight w:val="yellow"/>
        </w:rPr>
        <w:t xml:space="preserve"> </w:t>
      </w:r>
      <w:r w:rsidRPr="00771162">
        <w:rPr>
          <w:rFonts w:ascii="Arial" w:hAnsi="Arial" w:cs="Arial"/>
          <w:sz w:val="20"/>
          <w:szCs w:val="20"/>
        </w:rPr>
        <w:t>emerged as a potential and attractive target for Prostate cancer therapy</w:t>
      </w:r>
      <w:r w:rsidR="00511F1F" w:rsidRPr="00771162">
        <w:rPr>
          <w:rFonts w:ascii="Arial" w:hAnsi="Arial" w:cs="Arial"/>
          <w:sz w:val="20"/>
          <w:szCs w:val="20"/>
        </w:rPr>
        <w:t xml:space="preserve"> (</w:t>
      </w:r>
      <w:r w:rsidR="00511F1F" w:rsidRPr="00771162">
        <w:rPr>
          <w:rFonts w:ascii="Arial" w:hAnsi="Arial" w:cs="Arial"/>
          <w:iCs/>
          <w:sz w:val="20"/>
          <w:szCs w:val="20"/>
        </w:rPr>
        <w:t xml:space="preserve">Messner </w:t>
      </w:r>
      <w:r w:rsidR="00511F1F" w:rsidRPr="00CE36D5">
        <w:rPr>
          <w:rFonts w:ascii="Arial" w:hAnsi="Arial" w:cs="Arial"/>
          <w:i/>
          <w:sz w:val="20"/>
          <w:szCs w:val="20"/>
        </w:rPr>
        <w:t>et al</w:t>
      </w:r>
      <w:r w:rsidR="00511F1F" w:rsidRPr="00771162">
        <w:rPr>
          <w:rFonts w:ascii="Arial" w:hAnsi="Arial" w:cs="Arial"/>
          <w:iCs/>
          <w:sz w:val="20"/>
          <w:szCs w:val="20"/>
        </w:rPr>
        <w:t>., 20</w:t>
      </w:r>
      <w:r w:rsidR="00511F1F" w:rsidRPr="00771162">
        <w:rPr>
          <w:rFonts w:ascii="Arial" w:hAnsi="Arial" w:cs="Arial"/>
          <w:sz w:val="20"/>
          <w:szCs w:val="20"/>
        </w:rPr>
        <w:t>20)</w:t>
      </w:r>
      <w:r w:rsidR="00753DBC" w:rsidRPr="00771162">
        <w:rPr>
          <w:rFonts w:ascii="Arial" w:hAnsi="Arial" w:cs="Arial"/>
          <w:sz w:val="20"/>
          <w:szCs w:val="20"/>
        </w:rPr>
        <w:t xml:space="preserve">. </w:t>
      </w:r>
      <w:r w:rsidRPr="00771162">
        <w:rPr>
          <w:rFonts w:ascii="Arial" w:hAnsi="Arial" w:cs="Arial"/>
          <w:sz w:val="20"/>
          <w:szCs w:val="20"/>
        </w:rPr>
        <w:t xml:space="preserve">The drugs used against prostate cancer </w:t>
      </w:r>
      <w:r w:rsidR="00EB7E4F" w:rsidRPr="00805DFB">
        <w:rPr>
          <w:rFonts w:ascii="Arial" w:hAnsi="Arial" w:cs="Arial"/>
          <w:sz w:val="20"/>
          <w:szCs w:val="20"/>
          <w:highlight w:val="yellow"/>
        </w:rPr>
        <w:t>are</w:t>
      </w:r>
      <w:r w:rsidR="00EB7E4F" w:rsidRPr="00805DFB">
        <w:rPr>
          <w:rFonts w:ascii="Arial" w:hAnsi="Arial" w:cs="Arial"/>
          <w:sz w:val="20"/>
          <w:szCs w:val="20"/>
          <w:highlight w:val="yellow"/>
        </w:rPr>
        <w:t xml:space="preserve"> </w:t>
      </w:r>
      <w:r w:rsidRPr="00771162">
        <w:rPr>
          <w:rFonts w:ascii="Arial" w:hAnsi="Arial" w:cs="Arial"/>
          <w:sz w:val="20"/>
          <w:szCs w:val="20"/>
        </w:rPr>
        <w:t>getting resistance</w:t>
      </w:r>
      <w:r w:rsidR="00EB7E4F">
        <w:rPr>
          <w:rFonts w:ascii="Arial" w:hAnsi="Arial" w:cs="Arial"/>
          <w:sz w:val="20"/>
          <w:szCs w:val="20"/>
        </w:rPr>
        <w:t>,</w:t>
      </w:r>
      <w:r w:rsidRPr="00771162">
        <w:rPr>
          <w:rFonts w:ascii="Arial" w:hAnsi="Arial" w:cs="Arial"/>
          <w:sz w:val="20"/>
          <w:szCs w:val="20"/>
        </w:rPr>
        <w:t xml:space="preserve"> so screening of herbs against prostate cancer is necessary.  </w:t>
      </w:r>
      <w:r w:rsidR="002025BF" w:rsidRPr="002025BF">
        <w:rPr>
          <w:rFonts w:ascii="Arial" w:hAnsi="Arial" w:cs="Arial"/>
          <w:sz w:val="20"/>
          <w:szCs w:val="20"/>
        </w:rPr>
        <w:t xml:space="preserve">Structure-based virtual screening and subsequent analysis are emerging tasks in the realm of computer-aided drug discovery. Combining these two approaches to significantly </w:t>
      </w:r>
      <w:r w:rsidR="00EB7E4F" w:rsidRPr="00805DFB">
        <w:rPr>
          <w:rFonts w:ascii="Arial" w:hAnsi="Arial" w:cs="Arial"/>
          <w:sz w:val="20"/>
          <w:szCs w:val="20"/>
          <w:highlight w:val="yellow"/>
        </w:rPr>
        <w:t>minimise</w:t>
      </w:r>
      <w:r w:rsidR="00EB7E4F" w:rsidRPr="00805DFB">
        <w:rPr>
          <w:rFonts w:ascii="Arial" w:hAnsi="Arial" w:cs="Arial"/>
          <w:sz w:val="20"/>
          <w:szCs w:val="20"/>
          <w:highlight w:val="yellow"/>
        </w:rPr>
        <w:t xml:space="preserve"> </w:t>
      </w:r>
      <w:r w:rsidR="002025BF" w:rsidRPr="002025BF">
        <w:rPr>
          <w:rFonts w:ascii="Arial" w:hAnsi="Arial" w:cs="Arial"/>
          <w:sz w:val="20"/>
          <w:szCs w:val="20"/>
        </w:rPr>
        <w:t>false positives from an extensive compound database is regarded as a crucial step in identifying lead compounds.</w:t>
      </w:r>
      <w:r w:rsidRPr="00771162">
        <w:rPr>
          <w:rFonts w:ascii="Arial" w:hAnsi="Arial" w:cs="Arial"/>
          <w:sz w:val="20"/>
          <w:szCs w:val="20"/>
        </w:rPr>
        <w:t xml:space="preserve"> </w:t>
      </w:r>
      <w:r w:rsidR="00B8369E" w:rsidRPr="00771162">
        <w:rPr>
          <w:rStyle w:val="Emphasis"/>
          <w:rFonts w:ascii="Arial" w:hAnsi="Arial" w:cs="Arial"/>
          <w:sz w:val="20"/>
          <w:szCs w:val="20"/>
        </w:rPr>
        <w:t>Andrographis paniculata</w:t>
      </w:r>
      <w:r w:rsidR="00EB7E4F">
        <w:rPr>
          <w:rFonts w:ascii="Arial" w:hAnsi="Arial" w:cs="Arial"/>
          <w:sz w:val="20"/>
          <w:szCs w:val="20"/>
        </w:rPr>
        <w:t xml:space="preserve">, </w:t>
      </w:r>
      <w:r w:rsidR="00B8369E" w:rsidRPr="00771162">
        <w:rPr>
          <w:rFonts w:ascii="Arial" w:hAnsi="Arial" w:cs="Arial"/>
          <w:sz w:val="20"/>
          <w:szCs w:val="20"/>
        </w:rPr>
        <w:t>commonly known as the "King of Bitterness," belongs to the Acanthaceae family. studies have identified 187 chemical constitue</w:t>
      </w:r>
      <w:bookmarkStart w:id="3" w:name="bbib17"/>
      <w:r w:rsidR="002025BF">
        <w:rPr>
          <w:rFonts w:ascii="Arial" w:hAnsi="Arial" w:cs="Arial"/>
          <w:sz w:val="20"/>
          <w:szCs w:val="20"/>
        </w:rPr>
        <w:t>nts in Andrographis paniculata</w:t>
      </w:r>
      <w:r w:rsidR="002025BF" w:rsidRPr="002025BF">
        <w:rPr>
          <w:rFonts w:ascii="Arial" w:hAnsi="Arial" w:cs="Arial"/>
          <w:sz w:val="20"/>
          <w:szCs w:val="20"/>
        </w:rPr>
        <w:t xml:space="preserve"> has been documented to exhibit a diverse array of pharmacological effects, including</w:t>
      </w:r>
      <w:r w:rsidR="002025BF">
        <w:rPr>
          <w:rFonts w:ascii="Arial" w:hAnsi="Arial" w:cs="Arial"/>
          <w:sz w:val="20"/>
          <w:szCs w:val="20"/>
        </w:rPr>
        <w:t xml:space="preserve"> </w:t>
      </w:r>
      <w:r w:rsidR="002025BF" w:rsidRPr="002025BF">
        <w:rPr>
          <w:rFonts w:ascii="Arial" w:hAnsi="Arial" w:cs="Arial"/>
          <w:sz w:val="20"/>
          <w:szCs w:val="20"/>
        </w:rPr>
        <w:t>antiretroviral</w:t>
      </w:r>
      <w:r w:rsidR="002025BF">
        <w:rPr>
          <w:rFonts w:ascii="Arial" w:hAnsi="Arial" w:cs="Arial"/>
          <w:sz w:val="20"/>
          <w:szCs w:val="20"/>
        </w:rPr>
        <w:t>,</w:t>
      </w:r>
      <w:r w:rsidR="002025BF" w:rsidRPr="002025BF">
        <w:rPr>
          <w:rFonts w:ascii="Arial" w:hAnsi="Arial" w:cs="Arial"/>
          <w:sz w:val="20"/>
          <w:szCs w:val="20"/>
        </w:rPr>
        <w:t xml:space="preserve"> immunomodulatory</w:t>
      </w:r>
      <w:r w:rsidR="002025BF">
        <w:rPr>
          <w:rFonts w:ascii="Arial" w:hAnsi="Arial" w:cs="Arial"/>
          <w:sz w:val="20"/>
          <w:szCs w:val="20"/>
        </w:rPr>
        <w:t>,</w:t>
      </w:r>
      <w:r w:rsidR="002025BF" w:rsidRPr="002025BF">
        <w:rPr>
          <w:rFonts w:ascii="Arial" w:hAnsi="Arial" w:cs="Arial"/>
          <w:sz w:val="20"/>
          <w:szCs w:val="20"/>
        </w:rPr>
        <w:t xml:space="preserve"> analgesic, antimalarial</w:t>
      </w:r>
      <w:r w:rsidR="002025BF">
        <w:rPr>
          <w:rFonts w:ascii="Arial" w:hAnsi="Arial" w:cs="Arial"/>
          <w:sz w:val="20"/>
          <w:szCs w:val="20"/>
        </w:rPr>
        <w:t xml:space="preserve">, </w:t>
      </w:r>
      <w:r w:rsidR="002025BF" w:rsidRPr="002025BF">
        <w:rPr>
          <w:rFonts w:ascii="Arial" w:hAnsi="Arial" w:cs="Arial"/>
          <w:sz w:val="20"/>
          <w:szCs w:val="20"/>
        </w:rPr>
        <w:t>anticancer, antipyretic</w:t>
      </w:r>
      <w:r w:rsidR="002025BF">
        <w:rPr>
          <w:rFonts w:ascii="Arial" w:hAnsi="Arial" w:cs="Arial"/>
          <w:sz w:val="20"/>
          <w:szCs w:val="20"/>
        </w:rPr>
        <w:t xml:space="preserve">, </w:t>
      </w:r>
      <w:r w:rsidR="002025BF" w:rsidRPr="002025BF">
        <w:rPr>
          <w:rFonts w:ascii="Arial" w:hAnsi="Arial" w:cs="Arial"/>
          <w:sz w:val="20"/>
          <w:szCs w:val="20"/>
        </w:rPr>
        <w:t>hepatoprotective, antifertility,</w:t>
      </w:r>
      <w:r w:rsidR="002025BF">
        <w:rPr>
          <w:rFonts w:ascii="Arial" w:hAnsi="Arial" w:cs="Arial"/>
          <w:sz w:val="20"/>
          <w:szCs w:val="20"/>
        </w:rPr>
        <w:t xml:space="preserve"> </w:t>
      </w:r>
      <w:r w:rsidR="002025BF" w:rsidRPr="002025BF">
        <w:rPr>
          <w:rFonts w:ascii="Arial" w:hAnsi="Arial" w:cs="Arial"/>
          <w:sz w:val="20"/>
          <w:szCs w:val="20"/>
        </w:rPr>
        <w:t>antimicrobial</w:t>
      </w:r>
      <w:r w:rsidR="002025BF">
        <w:rPr>
          <w:rFonts w:ascii="Arial" w:hAnsi="Arial" w:cs="Arial"/>
          <w:sz w:val="20"/>
          <w:szCs w:val="20"/>
        </w:rPr>
        <w:t>, anti-inflammatory</w:t>
      </w:r>
      <w:r w:rsidR="002025BF" w:rsidRPr="002025BF">
        <w:rPr>
          <w:rFonts w:ascii="Arial" w:hAnsi="Arial" w:cs="Arial"/>
          <w:sz w:val="20"/>
          <w:szCs w:val="20"/>
        </w:rPr>
        <w:t xml:space="preserve">,  antivenom, antioxidant </w:t>
      </w:r>
      <w:r w:rsidR="002025BF">
        <w:rPr>
          <w:rFonts w:ascii="Arial" w:hAnsi="Arial" w:cs="Arial"/>
          <w:sz w:val="20"/>
          <w:szCs w:val="20"/>
        </w:rPr>
        <w:t xml:space="preserve">, </w:t>
      </w:r>
      <w:r w:rsidR="002025BF" w:rsidRPr="002025BF">
        <w:rPr>
          <w:rFonts w:ascii="Arial" w:hAnsi="Arial" w:cs="Arial"/>
          <w:sz w:val="20"/>
          <w:szCs w:val="20"/>
        </w:rPr>
        <w:t>cardioprotective, antidiabetic</w:t>
      </w:r>
      <w:r w:rsidR="002025BF">
        <w:rPr>
          <w:rFonts w:ascii="Arial" w:hAnsi="Arial" w:cs="Arial"/>
          <w:sz w:val="20"/>
          <w:szCs w:val="20"/>
        </w:rPr>
        <w:t xml:space="preserve"> </w:t>
      </w:r>
      <w:r w:rsidR="002025BF" w:rsidRPr="002025BF">
        <w:rPr>
          <w:rFonts w:ascii="Arial" w:hAnsi="Arial" w:cs="Arial"/>
          <w:sz w:val="20"/>
          <w:szCs w:val="20"/>
        </w:rPr>
        <w:t>properties</w:t>
      </w:r>
      <w:r w:rsidR="007757A5" w:rsidRPr="00771162">
        <w:rPr>
          <w:rFonts w:ascii="Arial" w:hAnsi="Arial" w:cs="Arial"/>
          <w:sz w:val="20"/>
          <w:szCs w:val="20"/>
        </w:rPr>
        <w:t xml:space="preserve"> (Singha </w:t>
      </w:r>
      <w:r w:rsidR="007757A5" w:rsidRPr="00CE36D5">
        <w:rPr>
          <w:rFonts w:ascii="Arial" w:hAnsi="Arial" w:cs="Arial"/>
          <w:i/>
          <w:iCs/>
          <w:sz w:val="20"/>
          <w:szCs w:val="20"/>
        </w:rPr>
        <w:t>et al</w:t>
      </w:r>
      <w:r w:rsidR="007757A5" w:rsidRPr="00771162">
        <w:rPr>
          <w:rFonts w:ascii="Arial" w:hAnsi="Arial" w:cs="Arial"/>
          <w:sz w:val="20"/>
          <w:szCs w:val="20"/>
        </w:rPr>
        <w:t xml:space="preserve">., 2003; Dai </w:t>
      </w:r>
      <w:r w:rsidR="007757A5" w:rsidRPr="00CE36D5">
        <w:rPr>
          <w:rFonts w:ascii="Arial" w:hAnsi="Arial" w:cs="Arial"/>
          <w:i/>
          <w:iCs/>
          <w:sz w:val="20"/>
          <w:szCs w:val="20"/>
        </w:rPr>
        <w:t>et al</w:t>
      </w:r>
      <w:r w:rsidR="007757A5" w:rsidRPr="00771162">
        <w:rPr>
          <w:rFonts w:ascii="Arial" w:hAnsi="Arial" w:cs="Arial"/>
          <w:sz w:val="20"/>
          <w:szCs w:val="20"/>
        </w:rPr>
        <w:t xml:space="preserve">., 2019; Kaushik </w:t>
      </w:r>
      <w:r w:rsidR="007757A5" w:rsidRPr="00CE36D5">
        <w:rPr>
          <w:rFonts w:ascii="Arial" w:hAnsi="Arial" w:cs="Arial"/>
          <w:i/>
          <w:iCs/>
          <w:sz w:val="20"/>
          <w:szCs w:val="20"/>
        </w:rPr>
        <w:t>et al</w:t>
      </w:r>
      <w:r w:rsidR="007757A5" w:rsidRPr="00771162">
        <w:rPr>
          <w:rFonts w:ascii="Arial" w:hAnsi="Arial" w:cs="Arial"/>
          <w:sz w:val="20"/>
          <w:szCs w:val="20"/>
        </w:rPr>
        <w:t>., 2020).</w:t>
      </w:r>
      <w:bookmarkEnd w:id="3"/>
      <w:r w:rsidRPr="00771162">
        <w:rPr>
          <w:rFonts w:ascii="Arial" w:hAnsi="Arial" w:cs="Arial"/>
          <w:sz w:val="20"/>
          <w:szCs w:val="20"/>
        </w:rPr>
        <w:t xml:space="preserve"> </w:t>
      </w:r>
      <w:r w:rsidR="00A5055E" w:rsidRPr="00805DFB">
        <w:rPr>
          <w:rFonts w:ascii="Arial" w:hAnsi="Arial" w:cs="Arial"/>
          <w:sz w:val="20"/>
          <w:szCs w:val="20"/>
          <w:highlight w:val="yellow"/>
        </w:rPr>
        <w:t xml:space="preserve">Extracts of </w:t>
      </w:r>
      <w:r w:rsidR="00A5055E" w:rsidRPr="00805DFB">
        <w:rPr>
          <w:rFonts w:ascii="Arial" w:hAnsi="Arial" w:cs="Arial"/>
          <w:i/>
          <w:iCs/>
          <w:sz w:val="20"/>
          <w:szCs w:val="20"/>
          <w:highlight w:val="yellow"/>
        </w:rPr>
        <w:t>Andrographis</w:t>
      </w:r>
      <w:r w:rsidR="00A5055E" w:rsidRPr="00805DFB">
        <w:rPr>
          <w:rFonts w:ascii="Arial" w:hAnsi="Arial" w:cs="Arial"/>
          <w:sz w:val="20"/>
          <w:szCs w:val="20"/>
          <w:highlight w:val="yellow"/>
        </w:rPr>
        <w:t xml:space="preserve"> effectively treat various ailments, as well as cancer. The most active molecule in </w:t>
      </w:r>
      <w:r w:rsidR="00A5055E" w:rsidRPr="00805DFB">
        <w:rPr>
          <w:rFonts w:ascii="Arial" w:hAnsi="Arial" w:cs="Arial"/>
          <w:i/>
          <w:iCs/>
          <w:sz w:val="20"/>
          <w:szCs w:val="20"/>
          <w:highlight w:val="yellow"/>
        </w:rPr>
        <w:t>Andrographis paniculata</w:t>
      </w:r>
      <w:r w:rsidR="00A5055E" w:rsidRPr="00805DFB">
        <w:rPr>
          <w:rFonts w:ascii="Arial" w:hAnsi="Arial" w:cs="Arial"/>
          <w:sz w:val="20"/>
          <w:szCs w:val="20"/>
          <w:highlight w:val="yellow"/>
        </w:rPr>
        <w:t xml:space="preserve"> is </w:t>
      </w:r>
      <w:r w:rsidR="00A5055E" w:rsidRPr="00805DFB">
        <w:rPr>
          <w:rFonts w:ascii="Arial" w:hAnsi="Arial" w:cs="Arial"/>
          <w:i/>
          <w:iCs/>
          <w:sz w:val="20"/>
          <w:szCs w:val="20"/>
          <w:highlight w:val="yellow"/>
        </w:rPr>
        <w:t>andrographolide</w:t>
      </w:r>
      <w:r w:rsidR="00A5055E" w:rsidRPr="00805DFB">
        <w:rPr>
          <w:rFonts w:ascii="Arial" w:hAnsi="Arial" w:cs="Arial"/>
          <w:i/>
          <w:iCs/>
          <w:sz w:val="20"/>
          <w:szCs w:val="20"/>
          <w:highlight w:val="yellow"/>
        </w:rPr>
        <w:t>,</w:t>
      </w:r>
      <w:r w:rsidR="00A5055E" w:rsidRPr="00805DFB">
        <w:rPr>
          <w:rFonts w:ascii="Arial" w:hAnsi="Arial" w:cs="Arial"/>
          <w:sz w:val="20"/>
          <w:szCs w:val="20"/>
          <w:highlight w:val="yellow"/>
        </w:rPr>
        <w:t xml:space="preserve"> a diterpene and lactone. </w:t>
      </w:r>
      <w:r w:rsidR="00A5055E" w:rsidRPr="00805DFB">
        <w:rPr>
          <w:rFonts w:ascii="Arial" w:hAnsi="Arial" w:cs="Arial"/>
          <w:i/>
          <w:iCs/>
          <w:sz w:val="20"/>
          <w:szCs w:val="20"/>
          <w:highlight w:val="yellow"/>
        </w:rPr>
        <w:t>Andrographis paniculata</w:t>
      </w:r>
      <w:r w:rsidR="00A5055E" w:rsidRPr="00805DFB">
        <w:rPr>
          <w:rFonts w:ascii="Arial" w:hAnsi="Arial" w:cs="Arial"/>
          <w:sz w:val="20"/>
          <w:szCs w:val="20"/>
          <w:highlight w:val="yellow"/>
        </w:rPr>
        <w:t xml:space="preserve"> and its derivatives have long been used to treat various ailments</w:t>
      </w:r>
      <w:r w:rsidR="00EB7E4F" w:rsidRPr="00805DFB">
        <w:rPr>
          <w:rFonts w:ascii="Arial" w:hAnsi="Arial" w:cs="Arial"/>
          <w:sz w:val="20"/>
          <w:szCs w:val="20"/>
          <w:highlight w:val="yellow"/>
        </w:rPr>
        <w:t xml:space="preserve"> </w:t>
      </w:r>
      <w:r w:rsidR="00EB7E4F" w:rsidRPr="00805DFB">
        <w:rPr>
          <w:rFonts w:ascii="Arial" w:hAnsi="Arial" w:cs="Arial"/>
          <w:sz w:val="20"/>
          <w:szCs w:val="20"/>
          <w:highlight w:val="yellow"/>
        </w:rPr>
        <w:t xml:space="preserve">(Deshmukh </w:t>
      </w:r>
      <w:r w:rsidR="00EB7E4F" w:rsidRPr="00805DFB">
        <w:rPr>
          <w:rFonts w:ascii="Arial" w:hAnsi="Arial" w:cs="Arial"/>
          <w:i/>
          <w:iCs/>
          <w:sz w:val="20"/>
          <w:szCs w:val="20"/>
          <w:highlight w:val="yellow"/>
        </w:rPr>
        <w:t>et al</w:t>
      </w:r>
      <w:r w:rsidR="00EB7E4F" w:rsidRPr="00805DFB">
        <w:rPr>
          <w:rFonts w:ascii="Arial" w:hAnsi="Arial" w:cs="Arial"/>
          <w:sz w:val="20"/>
          <w:szCs w:val="20"/>
          <w:highlight w:val="yellow"/>
        </w:rPr>
        <w:t>., 2024</w:t>
      </w:r>
      <w:r w:rsidR="00EB7E4F" w:rsidRPr="00805DFB">
        <w:rPr>
          <w:rFonts w:ascii="Arial" w:hAnsi="Arial" w:cs="Arial"/>
          <w:sz w:val="20"/>
          <w:szCs w:val="20"/>
          <w:highlight w:val="yellow"/>
        </w:rPr>
        <w:t xml:space="preserve">; </w:t>
      </w:r>
      <w:r w:rsidR="00EB7E4F" w:rsidRPr="00805DFB">
        <w:rPr>
          <w:rFonts w:ascii="Arial" w:hAnsi="Arial" w:cs="Arial"/>
          <w:sz w:val="20"/>
          <w:szCs w:val="20"/>
          <w:highlight w:val="yellow"/>
        </w:rPr>
        <w:t>Vetvicka &amp; Vannucci, 2021)</w:t>
      </w:r>
      <w:r w:rsidR="00A5055E" w:rsidRPr="00805DFB">
        <w:rPr>
          <w:rFonts w:ascii="Arial" w:hAnsi="Arial" w:cs="Arial"/>
          <w:sz w:val="20"/>
          <w:szCs w:val="20"/>
          <w:highlight w:val="yellow"/>
        </w:rPr>
        <w:t>.</w:t>
      </w:r>
      <w:r w:rsidR="00A5055E" w:rsidRPr="00A5055E">
        <w:rPr>
          <w:rFonts w:ascii="Arial" w:hAnsi="Arial" w:cs="Arial"/>
          <w:sz w:val="20"/>
          <w:szCs w:val="20"/>
        </w:rPr>
        <w:t xml:space="preserve"> </w:t>
      </w:r>
      <w:r w:rsidRPr="00771162">
        <w:rPr>
          <w:rFonts w:ascii="Arial" w:hAnsi="Arial" w:cs="Arial"/>
          <w:sz w:val="20"/>
          <w:szCs w:val="20"/>
        </w:rPr>
        <w:t xml:space="preserve">The present study focused on </w:t>
      </w:r>
      <w:r w:rsidRPr="00771162">
        <w:rPr>
          <w:rFonts w:ascii="Arial" w:hAnsi="Arial" w:cs="Arial"/>
          <w:i/>
          <w:iCs/>
          <w:sz w:val="20"/>
          <w:szCs w:val="20"/>
        </w:rPr>
        <w:t xml:space="preserve">In-Silico </w:t>
      </w:r>
      <w:r w:rsidRPr="00771162">
        <w:rPr>
          <w:rFonts w:ascii="Arial" w:hAnsi="Arial" w:cs="Arial"/>
          <w:sz w:val="20"/>
          <w:szCs w:val="20"/>
        </w:rPr>
        <w:t>analysis of andrographolide</w:t>
      </w:r>
      <w:r w:rsidR="002717BB" w:rsidRPr="00771162">
        <w:rPr>
          <w:rFonts w:ascii="Arial" w:hAnsi="Arial" w:cs="Arial"/>
          <w:sz w:val="20"/>
          <w:szCs w:val="20"/>
        </w:rPr>
        <w:t xml:space="preserve"> with </w:t>
      </w:r>
      <w:r w:rsidR="00A5055E">
        <w:rPr>
          <w:rFonts w:ascii="Arial" w:hAnsi="Arial" w:cs="Arial"/>
          <w:sz w:val="20"/>
          <w:szCs w:val="20"/>
        </w:rPr>
        <w:t xml:space="preserve">the </w:t>
      </w:r>
      <w:r w:rsidR="002717BB" w:rsidRPr="00771162">
        <w:rPr>
          <w:rFonts w:ascii="Arial" w:hAnsi="Arial" w:cs="Arial"/>
          <w:sz w:val="20"/>
          <w:szCs w:val="20"/>
        </w:rPr>
        <w:t>androgen receptor</w:t>
      </w:r>
      <w:r w:rsidRPr="00771162">
        <w:rPr>
          <w:rFonts w:ascii="Arial" w:hAnsi="Arial" w:cs="Arial"/>
          <w:sz w:val="20"/>
          <w:szCs w:val="20"/>
        </w:rPr>
        <w:t xml:space="preserve"> </w:t>
      </w:r>
      <w:r w:rsidR="00C656DF" w:rsidRPr="00771162">
        <w:rPr>
          <w:rFonts w:ascii="Arial" w:hAnsi="Arial" w:cs="Arial"/>
          <w:sz w:val="20"/>
          <w:szCs w:val="20"/>
        </w:rPr>
        <w:t xml:space="preserve">and enzyme for androgen synthesis </w:t>
      </w:r>
      <w:r w:rsidRPr="00771162">
        <w:rPr>
          <w:rFonts w:ascii="Arial" w:hAnsi="Arial" w:cs="Arial"/>
          <w:sz w:val="20"/>
          <w:szCs w:val="20"/>
        </w:rPr>
        <w:t>against prostate cancer.</w:t>
      </w:r>
      <w:r w:rsidRPr="00771162">
        <w:rPr>
          <w:rFonts w:ascii="Arial" w:hAnsi="Arial" w:cs="Arial"/>
          <w:iCs/>
          <w:sz w:val="20"/>
          <w:szCs w:val="20"/>
        </w:rPr>
        <w:tab/>
      </w:r>
    </w:p>
    <w:p w14:paraId="66892F3B" w14:textId="77777777" w:rsidR="00245566" w:rsidRPr="00771162" w:rsidRDefault="00A16D9F" w:rsidP="00245566">
      <w:pPr>
        <w:autoSpaceDE w:val="0"/>
        <w:autoSpaceDN w:val="0"/>
        <w:adjustRightInd w:val="0"/>
        <w:spacing w:after="0" w:line="360" w:lineRule="auto"/>
        <w:rPr>
          <w:rFonts w:ascii="Arial" w:hAnsi="Arial" w:cs="Arial"/>
          <w:b/>
          <w:bCs/>
        </w:rPr>
      </w:pPr>
      <w:r w:rsidRPr="00771162">
        <w:rPr>
          <w:rFonts w:ascii="Arial" w:hAnsi="Arial" w:cs="Arial"/>
          <w:b/>
          <w:bCs/>
        </w:rPr>
        <w:t>2.</w:t>
      </w:r>
      <w:r w:rsidR="00245566" w:rsidRPr="00771162">
        <w:rPr>
          <w:rFonts w:ascii="Arial" w:hAnsi="Arial" w:cs="Arial"/>
          <w:b/>
          <w:bCs/>
        </w:rPr>
        <w:t xml:space="preserve"> MATERIALS AND METHODS</w:t>
      </w:r>
    </w:p>
    <w:p w14:paraId="37E5C7F2" w14:textId="77777777" w:rsidR="00245566" w:rsidRPr="00771162" w:rsidRDefault="00245566" w:rsidP="00245566">
      <w:pPr>
        <w:autoSpaceDE w:val="0"/>
        <w:autoSpaceDN w:val="0"/>
        <w:adjustRightInd w:val="0"/>
        <w:spacing w:after="0" w:line="480" w:lineRule="auto"/>
        <w:rPr>
          <w:rFonts w:ascii="Arial" w:hAnsi="Arial" w:cs="Arial"/>
          <w:b/>
        </w:rPr>
      </w:pPr>
      <w:r w:rsidRPr="00771162">
        <w:rPr>
          <w:rFonts w:ascii="Arial" w:hAnsi="Arial" w:cs="Arial"/>
          <w:b/>
        </w:rPr>
        <w:t xml:space="preserve">   </w:t>
      </w:r>
      <w:r w:rsidR="00A16D9F" w:rsidRPr="00771162">
        <w:rPr>
          <w:rFonts w:ascii="Arial" w:hAnsi="Arial" w:cs="Arial"/>
          <w:b/>
        </w:rPr>
        <w:t>2.1</w:t>
      </w:r>
      <w:r w:rsidRPr="00771162">
        <w:rPr>
          <w:rFonts w:ascii="Arial" w:hAnsi="Arial" w:cs="Arial"/>
          <w:b/>
        </w:rPr>
        <w:t xml:space="preserve"> Protein Preparation</w:t>
      </w:r>
    </w:p>
    <w:p w14:paraId="05345CC5" w14:textId="46B8B220" w:rsidR="00245566" w:rsidRPr="00771162" w:rsidRDefault="00245566" w:rsidP="007F78D4">
      <w:pPr>
        <w:autoSpaceDE w:val="0"/>
        <w:autoSpaceDN w:val="0"/>
        <w:adjustRightInd w:val="0"/>
        <w:spacing w:after="0"/>
        <w:jc w:val="both"/>
        <w:rPr>
          <w:rFonts w:ascii="Arial" w:hAnsi="Arial" w:cs="Arial"/>
          <w:sz w:val="20"/>
          <w:szCs w:val="20"/>
        </w:rPr>
      </w:pPr>
      <w:r w:rsidRPr="00771162">
        <w:rPr>
          <w:rFonts w:ascii="Arial" w:hAnsi="Arial" w:cs="Arial"/>
          <w:b/>
          <w:sz w:val="20"/>
          <w:szCs w:val="20"/>
        </w:rPr>
        <w:tab/>
      </w:r>
      <w:r w:rsidRPr="00771162">
        <w:rPr>
          <w:rFonts w:ascii="Arial" w:hAnsi="Arial" w:cs="Arial"/>
          <w:sz w:val="20"/>
          <w:szCs w:val="20"/>
        </w:rPr>
        <w:t>The 3 Dimensional structures of the target proteins  Androgen Receptor (</w:t>
      </w:r>
      <w:r w:rsidR="004107C5">
        <w:rPr>
          <w:rFonts w:ascii="Arial" w:hAnsi="Arial" w:cs="Arial"/>
          <w:sz w:val="20"/>
          <w:szCs w:val="20"/>
        </w:rPr>
        <w:t xml:space="preserve">AR; </w:t>
      </w:r>
      <w:r w:rsidRPr="00771162">
        <w:rPr>
          <w:rFonts w:ascii="Arial" w:hAnsi="Arial" w:cs="Arial"/>
          <w:sz w:val="20"/>
          <w:szCs w:val="20"/>
        </w:rPr>
        <w:t>PDB ID-4OH6)</w:t>
      </w:r>
      <w:r w:rsidR="00430515" w:rsidRPr="00771162">
        <w:rPr>
          <w:rFonts w:ascii="Arial" w:hAnsi="Arial" w:cs="Arial"/>
          <w:sz w:val="20"/>
          <w:szCs w:val="20"/>
        </w:rPr>
        <w:t xml:space="preserve"> (fig 1)</w:t>
      </w:r>
      <w:r w:rsidRPr="00771162">
        <w:rPr>
          <w:rFonts w:ascii="Arial" w:hAnsi="Arial" w:cs="Arial"/>
          <w:sz w:val="20"/>
          <w:szCs w:val="20"/>
        </w:rPr>
        <w:t xml:space="preserve"> and Steroid 17-alpha-hydroxylase/17,20 lyase (</w:t>
      </w:r>
      <w:r w:rsidR="004107C5">
        <w:rPr>
          <w:rFonts w:ascii="Arial" w:hAnsi="Arial" w:cs="Arial"/>
          <w:sz w:val="20"/>
          <w:szCs w:val="20"/>
        </w:rPr>
        <w:t>CYP17A1;</w:t>
      </w:r>
      <w:r w:rsidR="004107C5" w:rsidRPr="00771162">
        <w:rPr>
          <w:rFonts w:ascii="Arial" w:hAnsi="Arial" w:cs="Arial"/>
          <w:sz w:val="20"/>
          <w:szCs w:val="20"/>
        </w:rPr>
        <w:t xml:space="preserve"> </w:t>
      </w:r>
      <w:r w:rsidRPr="00771162">
        <w:rPr>
          <w:rFonts w:ascii="Arial" w:hAnsi="Arial" w:cs="Arial"/>
          <w:sz w:val="20"/>
          <w:szCs w:val="20"/>
        </w:rPr>
        <w:t xml:space="preserve">PDB </w:t>
      </w:r>
      <w:r w:rsidR="00EB7E4F" w:rsidRPr="00805DFB">
        <w:rPr>
          <w:rFonts w:ascii="Arial" w:hAnsi="Arial" w:cs="Arial"/>
          <w:sz w:val="20"/>
          <w:szCs w:val="20"/>
          <w:highlight w:val="yellow"/>
        </w:rPr>
        <w:t>ID-5IRV</w:t>
      </w:r>
      <w:r w:rsidRPr="00771162">
        <w:rPr>
          <w:rFonts w:ascii="Arial" w:hAnsi="Arial" w:cs="Arial"/>
          <w:sz w:val="20"/>
          <w:szCs w:val="20"/>
        </w:rPr>
        <w:t>)</w:t>
      </w:r>
      <w:r w:rsidR="00430515" w:rsidRPr="00771162">
        <w:rPr>
          <w:rFonts w:ascii="Arial" w:hAnsi="Arial" w:cs="Arial"/>
          <w:sz w:val="20"/>
          <w:szCs w:val="20"/>
        </w:rPr>
        <w:t xml:space="preserve"> (fig 2)</w:t>
      </w:r>
      <w:r w:rsidR="00CB19A7">
        <w:rPr>
          <w:rFonts w:ascii="Arial" w:hAnsi="Arial" w:cs="Arial"/>
          <w:sz w:val="20"/>
          <w:szCs w:val="20"/>
        </w:rPr>
        <w:t xml:space="preserve"> were </w:t>
      </w:r>
      <w:r w:rsidR="00CB19A7" w:rsidRPr="00CB19A7">
        <w:rPr>
          <w:rFonts w:ascii="Arial" w:hAnsi="Arial" w:cs="Arial"/>
          <w:sz w:val="20"/>
          <w:szCs w:val="20"/>
        </w:rPr>
        <w:t>sourced from the Protein Data Bank (PDB), an online repository for protein structures. The structures were resolved using the X-ray Diffraction technique and included ligands associated with the binding</w:t>
      </w:r>
      <w:r w:rsidRPr="00771162">
        <w:rPr>
          <w:rFonts w:ascii="Arial" w:hAnsi="Arial" w:cs="Arial"/>
          <w:sz w:val="20"/>
          <w:szCs w:val="20"/>
        </w:rPr>
        <w:t>. The protein was subsequently cleaned by removing the bound complex molecule, the non-essential water molecules and all the heteroatoms.</w:t>
      </w:r>
    </w:p>
    <w:p w14:paraId="44D79A7A" w14:textId="77777777" w:rsidR="004107C5" w:rsidRDefault="004107C5" w:rsidP="00245566">
      <w:pPr>
        <w:autoSpaceDE w:val="0"/>
        <w:autoSpaceDN w:val="0"/>
        <w:adjustRightInd w:val="0"/>
        <w:spacing w:after="0" w:line="480" w:lineRule="auto"/>
        <w:jc w:val="both"/>
        <w:rPr>
          <w:rFonts w:ascii="Arial" w:hAnsi="Arial" w:cs="Arial"/>
          <w:b/>
          <w:bCs/>
        </w:rPr>
      </w:pPr>
    </w:p>
    <w:p w14:paraId="1E4E1AE8" w14:textId="77777777" w:rsidR="00245566" w:rsidRPr="00771162" w:rsidRDefault="00A16D9F" w:rsidP="00245566">
      <w:pPr>
        <w:autoSpaceDE w:val="0"/>
        <w:autoSpaceDN w:val="0"/>
        <w:adjustRightInd w:val="0"/>
        <w:spacing w:after="0" w:line="480" w:lineRule="auto"/>
        <w:jc w:val="both"/>
        <w:rPr>
          <w:rFonts w:ascii="Arial" w:hAnsi="Arial" w:cs="Arial"/>
          <w:b/>
          <w:bCs/>
        </w:rPr>
      </w:pPr>
      <w:r w:rsidRPr="00771162">
        <w:rPr>
          <w:rFonts w:ascii="Arial" w:hAnsi="Arial" w:cs="Arial"/>
          <w:b/>
          <w:bCs/>
        </w:rPr>
        <w:t xml:space="preserve">  2.2 </w:t>
      </w:r>
      <w:r w:rsidR="00245566" w:rsidRPr="00771162">
        <w:rPr>
          <w:rFonts w:ascii="Arial" w:hAnsi="Arial" w:cs="Arial"/>
          <w:b/>
          <w:bCs/>
        </w:rPr>
        <w:t>Preparation of ligand</w:t>
      </w:r>
    </w:p>
    <w:p w14:paraId="356AEEEE" w14:textId="36964AF8" w:rsidR="00245566" w:rsidRPr="00771162" w:rsidRDefault="00245566" w:rsidP="007F78D4">
      <w:pPr>
        <w:autoSpaceDE w:val="0"/>
        <w:autoSpaceDN w:val="0"/>
        <w:adjustRightInd w:val="0"/>
        <w:spacing w:after="0"/>
        <w:jc w:val="both"/>
        <w:rPr>
          <w:rFonts w:ascii="Arial" w:hAnsi="Arial" w:cs="Arial"/>
          <w:sz w:val="20"/>
          <w:szCs w:val="20"/>
        </w:rPr>
      </w:pPr>
      <w:r w:rsidRPr="00771162">
        <w:rPr>
          <w:rFonts w:ascii="Arial" w:hAnsi="Arial" w:cs="Arial"/>
          <w:bCs/>
          <w:sz w:val="20"/>
          <w:szCs w:val="20"/>
        </w:rPr>
        <w:t xml:space="preserve"> </w:t>
      </w:r>
      <w:r w:rsidRPr="00771162">
        <w:rPr>
          <w:rFonts w:ascii="Arial" w:hAnsi="Arial" w:cs="Arial"/>
          <w:bCs/>
          <w:sz w:val="20"/>
          <w:szCs w:val="20"/>
        </w:rPr>
        <w:tab/>
      </w:r>
      <w:r w:rsidR="00CB19A7" w:rsidRPr="00CB19A7">
        <w:rPr>
          <w:rFonts w:ascii="Arial" w:hAnsi="Arial" w:cs="Arial"/>
          <w:bCs/>
          <w:sz w:val="20"/>
          <w:szCs w:val="20"/>
        </w:rPr>
        <w:t>The structures of andrographolide (</w:t>
      </w:r>
      <w:r w:rsidR="00EB7E4F" w:rsidRPr="00805DFB">
        <w:rPr>
          <w:rFonts w:ascii="Arial" w:hAnsi="Arial" w:cs="Arial"/>
          <w:bCs/>
          <w:sz w:val="20"/>
          <w:szCs w:val="20"/>
          <w:highlight w:val="yellow"/>
        </w:rPr>
        <w:t>Fig</w:t>
      </w:r>
      <w:r w:rsidR="00EB7E4F">
        <w:rPr>
          <w:rFonts w:ascii="Arial" w:hAnsi="Arial" w:cs="Arial"/>
          <w:bCs/>
          <w:sz w:val="20"/>
          <w:szCs w:val="20"/>
        </w:rPr>
        <w:t>.</w:t>
      </w:r>
      <w:r w:rsidR="00EB7E4F" w:rsidRPr="00CB19A7">
        <w:rPr>
          <w:rFonts w:ascii="Arial" w:hAnsi="Arial" w:cs="Arial"/>
          <w:bCs/>
          <w:sz w:val="20"/>
          <w:szCs w:val="20"/>
        </w:rPr>
        <w:t xml:space="preserve"> </w:t>
      </w:r>
      <w:r w:rsidR="00CB19A7" w:rsidRPr="00CB19A7">
        <w:rPr>
          <w:rFonts w:ascii="Arial" w:hAnsi="Arial" w:cs="Arial"/>
          <w:bCs/>
          <w:sz w:val="20"/>
          <w:szCs w:val="20"/>
        </w:rPr>
        <w:t>3, 4) were retrieved from Pubchem in SDF format and transformed into PDB format through the Online SMILES Translator and Structure File Generator provided by the NCI/CADD Group (https://cactus.nci.nih.gov/translate). These structures were subsequently used for molecular docking analysis.</w:t>
      </w:r>
      <w:r w:rsidRPr="00771162">
        <w:rPr>
          <w:rFonts w:ascii="Arial" w:hAnsi="Arial" w:cs="Arial"/>
          <w:sz w:val="20"/>
          <w:szCs w:val="20"/>
        </w:rPr>
        <w:t xml:space="preserve"> </w:t>
      </w:r>
    </w:p>
    <w:p w14:paraId="625CE039" w14:textId="77777777" w:rsidR="004107C5" w:rsidRDefault="00A16D9F" w:rsidP="00245566">
      <w:pPr>
        <w:autoSpaceDE w:val="0"/>
        <w:autoSpaceDN w:val="0"/>
        <w:adjustRightInd w:val="0"/>
        <w:spacing w:after="0" w:line="480" w:lineRule="auto"/>
        <w:jc w:val="both"/>
        <w:rPr>
          <w:rFonts w:ascii="Arial" w:hAnsi="Arial" w:cs="Arial"/>
          <w:b/>
          <w:bCs/>
        </w:rPr>
      </w:pPr>
      <w:r w:rsidRPr="00771162">
        <w:rPr>
          <w:rFonts w:ascii="Arial" w:hAnsi="Arial" w:cs="Arial"/>
          <w:b/>
          <w:bCs/>
        </w:rPr>
        <w:t xml:space="preserve"> </w:t>
      </w:r>
    </w:p>
    <w:p w14:paraId="2012DAA7" w14:textId="77777777" w:rsidR="00245566" w:rsidRPr="00771162" w:rsidRDefault="00A16D9F" w:rsidP="00245566">
      <w:pPr>
        <w:autoSpaceDE w:val="0"/>
        <w:autoSpaceDN w:val="0"/>
        <w:adjustRightInd w:val="0"/>
        <w:spacing w:after="0" w:line="480" w:lineRule="auto"/>
        <w:jc w:val="both"/>
        <w:rPr>
          <w:rFonts w:ascii="Arial" w:hAnsi="Arial" w:cs="Arial"/>
          <w:b/>
          <w:bCs/>
        </w:rPr>
      </w:pPr>
      <w:r w:rsidRPr="00771162">
        <w:rPr>
          <w:rFonts w:ascii="Arial" w:hAnsi="Arial" w:cs="Arial"/>
          <w:b/>
          <w:bCs/>
        </w:rPr>
        <w:t xml:space="preserve"> 2.3 </w:t>
      </w:r>
      <w:r w:rsidR="00245566" w:rsidRPr="00771162">
        <w:rPr>
          <w:rFonts w:ascii="Arial" w:hAnsi="Arial" w:cs="Arial"/>
          <w:b/>
          <w:bCs/>
        </w:rPr>
        <w:t>Molecular Docking</w:t>
      </w:r>
    </w:p>
    <w:p w14:paraId="0E5AFA62" w14:textId="3EC6E1AA" w:rsidR="00245566" w:rsidRPr="00771162" w:rsidRDefault="00245566" w:rsidP="00697192">
      <w:pPr>
        <w:autoSpaceDE w:val="0"/>
        <w:autoSpaceDN w:val="0"/>
        <w:adjustRightInd w:val="0"/>
        <w:spacing w:after="0"/>
        <w:jc w:val="both"/>
        <w:rPr>
          <w:rFonts w:ascii="Arial" w:hAnsi="Arial" w:cs="Arial"/>
          <w:bCs/>
          <w:sz w:val="20"/>
          <w:szCs w:val="20"/>
        </w:rPr>
      </w:pPr>
      <w:r w:rsidRPr="00771162">
        <w:rPr>
          <w:rFonts w:ascii="Arial" w:hAnsi="Arial" w:cs="Arial"/>
          <w:bCs/>
          <w:sz w:val="20"/>
          <w:szCs w:val="20"/>
        </w:rPr>
        <w:tab/>
      </w:r>
      <w:r w:rsidR="00697192" w:rsidRPr="00697192">
        <w:rPr>
          <w:rFonts w:ascii="Arial" w:hAnsi="Arial" w:cs="Arial"/>
          <w:bCs/>
          <w:sz w:val="20"/>
          <w:szCs w:val="20"/>
        </w:rPr>
        <w:t>Following the preparation of the receptor and ligand, molecular docking analysis was conducted using AutoDock Version 4.2, which employs the Lamarckian Genetic Algorithm and an empirical free energy scoring function to assess hydrogen bond interactions and binding affinities. The AutoDock calculations</w:t>
      </w:r>
      <w:r w:rsidR="00697192">
        <w:rPr>
          <w:rFonts w:ascii="Arial" w:hAnsi="Arial" w:cs="Arial"/>
          <w:bCs/>
          <w:sz w:val="20"/>
          <w:szCs w:val="20"/>
        </w:rPr>
        <w:t xml:space="preserve"> are executed in several phases: </w:t>
      </w:r>
      <w:r w:rsidR="00697192" w:rsidRPr="00697192">
        <w:rPr>
          <w:rFonts w:ascii="Arial" w:hAnsi="Arial" w:cs="Arial"/>
          <w:bCs/>
          <w:sz w:val="20"/>
          <w:szCs w:val="20"/>
        </w:rPr>
        <w:t xml:space="preserve">1) the preparation of coordinate files via </w:t>
      </w:r>
      <w:r w:rsidR="00697192" w:rsidRPr="00697192">
        <w:rPr>
          <w:rFonts w:ascii="Arial" w:hAnsi="Arial" w:cs="Arial"/>
          <w:bCs/>
          <w:sz w:val="20"/>
          <w:szCs w:val="20"/>
        </w:rPr>
        <w:lastRenderedPageBreak/>
        <w:t xml:space="preserve">AutoDockTools. These files are formatted in a specific AutoDock coordinate file format known as PDBQT, which entails adding polar hydrogen atoms, incorporating Kollman charges, assigning partial charges, defining atom types for proteins, and identifying the root for ligands. 2) The precalculation of atomic affinities is performed using AutoGrid, 3) ligands are docked using AutoDock, and 4) the results are </w:t>
      </w:r>
      <w:r w:rsidR="00EB7E4F" w:rsidRPr="00805DFB">
        <w:rPr>
          <w:rFonts w:ascii="Arial" w:hAnsi="Arial" w:cs="Arial"/>
          <w:bCs/>
          <w:sz w:val="20"/>
          <w:szCs w:val="20"/>
          <w:highlight w:val="yellow"/>
        </w:rPr>
        <w:t>analysed</w:t>
      </w:r>
      <w:r w:rsidR="00EB7E4F" w:rsidRPr="00805DFB">
        <w:rPr>
          <w:rFonts w:ascii="Arial" w:hAnsi="Arial" w:cs="Arial"/>
          <w:bCs/>
          <w:sz w:val="20"/>
          <w:szCs w:val="20"/>
          <w:highlight w:val="yellow"/>
        </w:rPr>
        <w:t xml:space="preserve"> </w:t>
      </w:r>
      <w:r w:rsidR="00697192" w:rsidRPr="00697192">
        <w:rPr>
          <w:rFonts w:ascii="Arial" w:hAnsi="Arial" w:cs="Arial"/>
          <w:bCs/>
          <w:sz w:val="20"/>
          <w:szCs w:val="20"/>
        </w:rPr>
        <w:t>with AutoDockTools.</w:t>
      </w:r>
      <w:r w:rsidR="00697192">
        <w:rPr>
          <w:rFonts w:ascii="Arial" w:hAnsi="Arial" w:cs="Arial"/>
          <w:bCs/>
          <w:sz w:val="20"/>
          <w:szCs w:val="20"/>
        </w:rPr>
        <w:t xml:space="preserve"> </w:t>
      </w:r>
      <w:r w:rsidRPr="00771162">
        <w:rPr>
          <w:rFonts w:ascii="Arial" w:hAnsi="Arial" w:cs="Arial"/>
          <w:bCs/>
          <w:sz w:val="20"/>
          <w:szCs w:val="20"/>
        </w:rPr>
        <w:t xml:space="preserve"> After the minimisation process, the grid box resolution was set at 60× 60 × 60 Å along the x, y and z axes</w:t>
      </w:r>
      <w:r w:rsidR="00EB7E4F">
        <w:rPr>
          <w:rFonts w:ascii="Arial" w:hAnsi="Arial" w:cs="Arial"/>
          <w:bCs/>
          <w:sz w:val="20"/>
          <w:szCs w:val="20"/>
        </w:rPr>
        <w:t>,</w:t>
      </w:r>
      <w:r w:rsidRPr="00771162">
        <w:rPr>
          <w:rFonts w:ascii="Arial" w:hAnsi="Arial" w:cs="Arial"/>
          <w:bCs/>
          <w:sz w:val="20"/>
          <w:szCs w:val="20"/>
        </w:rPr>
        <w:t xml:space="preserve"> respectively</w:t>
      </w:r>
      <w:r w:rsidR="00EB7E4F">
        <w:rPr>
          <w:rFonts w:ascii="Arial" w:hAnsi="Arial" w:cs="Arial"/>
          <w:bCs/>
          <w:sz w:val="20"/>
          <w:szCs w:val="20"/>
        </w:rPr>
        <w:t>,</w:t>
      </w:r>
      <w:r w:rsidRPr="00771162">
        <w:rPr>
          <w:rFonts w:ascii="Arial" w:hAnsi="Arial" w:cs="Arial"/>
          <w:bCs/>
          <w:sz w:val="20"/>
          <w:szCs w:val="20"/>
        </w:rPr>
        <w:t xml:space="preserve"> at </w:t>
      </w:r>
      <w:r w:rsidR="00EB7E4F" w:rsidRPr="00805DFB">
        <w:rPr>
          <w:rFonts w:ascii="Arial" w:hAnsi="Arial" w:cs="Arial"/>
          <w:bCs/>
          <w:sz w:val="20"/>
          <w:szCs w:val="20"/>
          <w:highlight w:val="yellow"/>
        </w:rPr>
        <w:t xml:space="preserve">a </w:t>
      </w:r>
      <w:r w:rsidRPr="00771162">
        <w:rPr>
          <w:rFonts w:ascii="Arial" w:hAnsi="Arial" w:cs="Arial"/>
          <w:bCs/>
          <w:sz w:val="20"/>
          <w:szCs w:val="20"/>
        </w:rPr>
        <w:t xml:space="preserve">grid resolution of 0.375 Å to define the binding site. </w:t>
      </w:r>
    </w:p>
    <w:p w14:paraId="5344408A" w14:textId="77777777" w:rsidR="00A16D9F" w:rsidRPr="00771162" w:rsidRDefault="00A16D9F" w:rsidP="00245566">
      <w:pPr>
        <w:autoSpaceDE w:val="0"/>
        <w:autoSpaceDN w:val="0"/>
        <w:adjustRightInd w:val="0"/>
        <w:spacing w:after="0" w:line="480" w:lineRule="auto"/>
        <w:jc w:val="both"/>
        <w:rPr>
          <w:rFonts w:ascii="Arial" w:hAnsi="Arial" w:cs="Arial"/>
          <w:b/>
          <w:bCs/>
        </w:rPr>
      </w:pPr>
    </w:p>
    <w:p w14:paraId="7C6CDE26" w14:textId="6ECBFADD" w:rsidR="00245566" w:rsidRPr="00771162" w:rsidRDefault="00A16D9F" w:rsidP="00245566">
      <w:pPr>
        <w:autoSpaceDE w:val="0"/>
        <w:autoSpaceDN w:val="0"/>
        <w:adjustRightInd w:val="0"/>
        <w:spacing w:after="0" w:line="480" w:lineRule="auto"/>
        <w:jc w:val="both"/>
        <w:rPr>
          <w:rFonts w:ascii="Arial" w:hAnsi="Arial" w:cs="Arial"/>
          <w:b/>
          <w:bCs/>
          <w:sz w:val="20"/>
          <w:szCs w:val="20"/>
        </w:rPr>
      </w:pPr>
      <w:r w:rsidRPr="00771162">
        <w:rPr>
          <w:rFonts w:ascii="Arial" w:hAnsi="Arial" w:cs="Arial"/>
          <w:b/>
          <w:bCs/>
        </w:rPr>
        <w:t xml:space="preserve">  2.4 </w:t>
      </w:r>
      <w:r w:rsidR="00245566" w:rsidRPr="00771162">
        <w:rPr>
          <w:rFonts w:ascii="Arial" w:hAnsi="Arial" w:cs="Arial"/>
          <w:b/>
          <w:bCs/>
        </w:rPr>
        <w:t xml:space="preserve">Drug </w:t>
      </w:r>
      <w:r w:rsidR="00EB7E4F" w:rsidRPr="00805DFB">
        <w:rPr>
          <w:rFonts w:ascii="Arial" w:hAnsi="Arial" w:cs="Arial"/>
          <w:b/>
          <w:bCs/>
          <w:highlight w:val="yellow"/>
        </w:rPr>
        <w:t>Likelihood</w:t>
      </w:r>
      <w:r w:rsidR="00EB7E4F" w:rsidRPr="00805DFB">
        <w:rPr>
          <w:rFonts w:ascii="Arial" w:hAnsi="Arial" w:cs="Arial"/>
          <w:b/>
          <w:bCs/>
          <w:highlight w:val="yellow"/>
        </w:rPr>
        <w:t xml:space="preserve"> </w:t>
      </w:r>
      <w:r w:rsidR="00245566" w:rsidRPr="00771162">
        <w:rPr>
          <w:rFonts w:ascii="Arial" w:hAnsi="Arial" w:cs="Arial"/>
          <w:b/>
          <w:bCs/>
        </w:rPr>
        <w:t>and Bioavailability</w:t>
      </w:r>
    </w:p>
    <w:p w14:paraId="779346D8" w14:textId="2263F4C3" w:rsidR="00245566" w:rsidRPr="00742A34" w:rsidRDefault="00245566" w:rsidP="00742A34">
      <w:pPr>
        <w:autoSpaceDE w:val="0"/>
        <w:autoSpaceDN w:val="0"/>
        <w:adjustRightInd w:val="0"/>
        <w:spacing w:after="0"/>
        <w:jc w:val="both"/>
        <w:rPr>
          <w:rFonts w:ascii="Arial" w:hAnsi="Arial" w:cs="Arial"/>
          <w:sz w:val="20"/>
          <w:szCs w:val="20"/>
        </w:rPr>
      </w:pPr>
      <w:r w:rsidRPr="00771162">
        <w:rPr>
          <w:rFonts w:ascii="Arial" w:hAnsi="Arial" w:cs="Arial"/>
          <w:b/>
          <w:bCs/>
          <w:sz w:val="20"/>
          <w:szCs w:val="20"/>
        </w:rPr>
        <w:tab/>
      </w:r>
      <w:r w:rsidR="0037442E" w:rsidRPr="0037442E">
        <w:rPr>
          <w:rFonts w:ascii="Arial" w:hAnsi="Arial" w:cs="Arial"/>
          <w:sz w:val="20"/>
          <w:szCs w:val="20"/>
        </w:rPr>
        <w:t>It is crucial for any compound to adhere to Lipinski's Rule of Five (Yang and Chen, 2004) to be developed as a pharmaceutical agent. The parameters of Absorption, Distribution, Metabolism, Elimination, and Toxicity (ADMET) are highly significant for a drug's availability within the system.</w:t>
      </w:r>
      <w:r w:rsidR="00742A34" w:rsidRPr="00742A34">
        <w:rPr>
          <w:rFonts w:ascii="Arial" w:hAnsi="Arial" w:cs="Arial"/>
          <w:sz w:val="20"/>
          <w:szCs w:val="20"/>
        </w:rPr>
        <w:t xml:space="preserve"> </w:t>
      </w:r>
      <w:r w:rsidR="0083192B" w:rsidRPr="0083192B">
        <w:rPr>
          <w:rFonts w:ascii="Arial" w:hAnsi="Arial" w:cs="Arial"/>
          <w:sz w:val="20"/>
          <w:szCs w:val="20"/>
        </w:rPr>
        <w:t>To ascertain whether the phytochemicals meet the requirements for </w:t>
      </w:r>
      <w:r w:rsidR="0083192B">
        <w:rPr>
          <w:rFonts w:ascii="Arial" w:hAnsi="Arial" w:cs="Arial"/>
          <w:sz w:val="20"/>
          <w:szCs w:val="20"/>
        </w:rPr>
        <w:t>drug</w:t>
      </w:r>
      <w:r w:rsidR="0083192B" w:rsidRPr="0083192B">
        <w:rPr>
          <w:rFonts w:ascii="Arial" w:hAnsi="Arial" w:cs="Arial"/>
          <w:sz w:val="20"/>
          <w:szCs w:val="20"/>
        </w:rPr>
        <w:t>likeness, drug scans were performed.</w:t>
      </w:r>
      <w:r w:rsidR="00EB7E4F">
        <w:rPr>
          <w:rFonts w:ascii="Arial" w:hAnsi="Arial" w:cs="Arial"/>
          <w:sz w:val="20"/>
          <w:szCs w:val="20"/>
        </w:rPr>
        <w:t xml:space="preserve"> </w:t>
      </w:r>
      <w:r w:rsidR="0083192B" w:rsidRPr="0083192B">
        <w:rPr>
          <w:rFonts w:ascii="Arial" w:hAnsi="Arial" w:cs="Arial"/>
          <w:sz w:val="20"/>
          <w:szCs w:val="20"/>
        </w:rPr>
        <w:t xml:space="preserve">Drug likeness characteristics such as the number of hydrogen acceptors (which should not exceed 10) and hydrogen donors (which should not exceed 5), the molecular weight (which should exceed 500 daltons), and the partition coefficient log P (which should not fall below 5) were examined using Lipinski's filters. </w:t>
      </w:r>
      <w:r w:rsidR="00EB7E4F" w:rsidRPr="00805DFB">
        <w:rPr>
          <w:rFonts w:ascii="Arial" w:hAnsi="Arial" w:cs="Arial"/>
          <w:sz w:val="20"/>
          <w:szCs w:val="20"/>
          <w:highlight w:val="yellow"/>
        </w:rPr>
        <w:t>Drug</w:t>
      </w:r>
      <w:r w:rsidR="00EB7E4F" w:rsidRPr="00805DFB">
        <w:rPr>
          <w:rFonts w:ascii="Arial" w:hAnsi="Arial" w:cs="Arial"/>
          <w:sz w:val="20"/>
          <w:szCs w:val="20"/>
          <w:highlight w:val="yellow"/>
        </w:rPr>
        <w:t xml:space="preserve"> </w:t>
      </w:r>
      <w:r w:rsidRPr="00742A34">
        <w:rPr>
          <w:rFonts w:ascii="Arial" w:hAnsi="Arial" w:cs="Arial"/>
          <w:sz w:val="20"/>
          <w:szCs w:val="20"/>
        </w:rPr>
        <w:t>scans were ca</w:t>
      </w:r>
      <w:r w:rsidRPr="00771162">
        <w:rPr>
          <w:rFonts w:ascii="Arial" w:hAnsi="Arial" w:cs="Arial"/>
          <w:bCs/>
          <w:sz w:val="20"/>
          <w:szCs w:val="20"/>
        </w:rPr>
        <w:t>rried out to determine whether the phytochemicals fulfil the drug-likeness conditions. Lipinski’s filters were applied for examining drug likeness attributes as including quantity of hydrogen acceptors (should not be more than 10), quantity of hydrogen donors (should not be more than 5), molecular weight (mass should be more than</w:t>
      </w:r>
      <w:r w:rsidR="00166FB4" w:rsidRPr="00771162">
        <w:rPr>
          <w:rFonts w:ascii="Arial" w:hAnsi="Arial" w:cs="Arial"/>
          <w:bCs/>
          <w:sz w:val="20"/>
          <w:szCs w:val="20"/>
        </w:rPr>
        <w:t xml:space="preserve"> </w:t>
      </w:r>
      <w:r w:rsidRPr="00771162">
        <w:rPr>
          <w:rFonts w:ascii="Arial" w:hAnsi="Arial" w:cs="Arial"/>
          <w:bCs/>
          <w:sz w:val="20"/>
          <w:szCs w:val="20"/>
        </w:rPr>
        <w:t>500 daltons) and partition coefficient log P (should not be less than 5).</w:t>
      </w:r>
    </w:p>
    <w:p w14:paraId="6811D429" w14:textId="77777777" w:rsidR="00166FB4" w:rsidRPr="00771162" w:rsidRDefault="00166FB4" w:rsidP="00245566">
      <w:pPr>
        <w:autoSpaceDE w:val="0"/>
        <w:autoSpaceDN w:val="0"/>
        <w:adjustRightInd w:val="0"/>
        <w:spacing w:after="0" w:line="360" w:lineRule="auto"/>
        <w:jc w:val="both"/>
        <w:rPr>
          <w:rFonts w:ascii="Arial" w:hAnsi="Arial" w:cs="Arial"/>
          <w:b/>
        </w:rPr>
      </w:pPr>
    </w:p>
    <w:p w14:paraId="0F05274D" w14:textId="77777777" w:rsidR="00245566" w:rsidRPr="00771162" w:rsidRDefault="00A16D9F" w:rsidP="00245566">
      <w:pPr>
        <w:autoSpaceDE w:val="0"/>
        <w:autoSpaceDN w:val="0"/>
        <w:adjustRightInd w:val="0"/>
        <w:spacing w:after="0" w:line="360" w:lineRule="auto"/>
        <w:jc w:val="both"/>
        <w:rPr>
          <w:rFonts w:ascii="Arial" w:hAnsi="Arial" w:cs="Arial"/>
          <w:b/>
        </w:rPr>
      </w:pPr>
      <w:r w:rsidRPr="00771162">
        <w:rPr>
          <w:rFonts w:ascii="Arial" w:hAnsi="Arial" w:cs="Arial"/>
          <w:b/>
        </w:rPr>
        <w:t xml:space="preserve">3. </w:t>
      </w:r>
      <w:r w:rsidR="00245566" w:rsidRPr="00771162">
        <w:rPr>
          <w:rFonts w:ascii="Arial" w:hAnsi="Arial" w:cs="Arial"/>
          <w:b/>
        </w:rPr>
        <w:t>RESULT AND DISCUSSION</w:t>
      </w:r>
    </w:p>
    <w:p w14:paraId="53C178DB" w14:textId="77777777" w:rsidR="00430515" w:rsidRPr="00771162" w:rsidRDefault="00430515" w:rsidP="00245566">
      <w:pPr>
        <w:autoSpaceDE w:val="0"/>
        <w:autoSpaceDN w:val="0"/>
        <w:adjustRightInd w:val="0"/>
        <w:spacing w:after="0" w:line="360" w:lineRule="auto"/>
        <w:jc w:val="both"/>
        <w:rPr>
          <w:rFonts w:ascii="Arial" w:hAnsi="Arial" w:cs="Arial"/>
          <w:b/>
        </w:rPr>
      </w:pPr>
      <w:r w:rsidRPr="00771162">
        <w:rPr>
          <w:rFonts w:ascii="Arial" w:hAnsi="Arial" w:cs="Arial"/>
          <w:b/>
        </w:rPr>
        <w:t>Docking score</w:t>
      </w:r>
    </w:p>
    <w:p w14:paraId="40465921" w14:textId="0AC93BCA" w:rsidR="00D96273" w:rsidRPr="00DF3B57" w:rsidRDefault="00D96273" w:rsidP="002D403C">
      <w:pPr>
        <w:shd w:val="clear" w:color="auto" w:fill="FFFFFF"/>
        <w:spacing w:after="0"/>
        <w:jc w:val="both"/>
        <w:outlineLvl w:val="2"/>
        <w:rPr>
          <w:rFonts w:ascii="Arial" w:eastAsia="Times New Roman" w:hAnsi="Arial" w:cs="Arial"/>
          <w:color w:val="000000"/>
          <w:sz w:val="20"/>
          <w:szCs w:val="20"/>
          <w:lang w:bidi="ta-IN"/>
        </w:rPr>
      </w:pPr>
      <w:r>
        <w:rPr>
          <w:rFonts w:ascii="Arial" w:eastAsia="Times New Roman" w:hAnsi="Arial" w:cs="Arial"/>
          <w:color w:val="000000"/>
          <w:sz w:val="20"/>
          <w:szCs w:val="20"/>
          <w:lang w:bidi="ta-IN"/>
        </w:rPr>
        <w:tab/>
      </w:r>
      <w:r w:rsidRPr="00DF3B57">
        <w:rPr>
          <w:rFonts w:ascii="Arial" w:eastAsia="Times New Roman" w:hAnsi="Arial" w:cs="Arial"/>
          <w:color w:val="000000"/>
          <w:sz w:val="20"/>
          <w:szCs w:val="20"/>
          <w:lang w:bidi="ta-IN"/>
        </w:rPr>
        <w:t>In the present </w:t>
      </w:r>
      <w:r w:rsidRPr="00DF3B57">
        <w:rPr>
          <w:rFonts w:ascii="Arial" w:eastAsia="Times New Roman" w:hAnsi="Arial" w:cs="Arial"/>
          <w:i/>
          <w:iCs/>
          <w:color w:val="000000"/>
          <w:sz w:val="20"/>
          <w:szCs w:val="20"/>
          <w:lang w:bidi="ta-IN"/>
        </w:rPr>
        <w:t>in silico</w:t>
      </w:r>
      <w:r w:rsidRPr="00DF3B57">
        <w:rPr>
          <w:rFonts w:ascii="Arial" w:eastAsia="Times New Roman" w:hAnsi="Arial" w:cs="Arial"/>
          <w:color w:val="000000"/>
          <w:sz w:val="20"/>
          <w:szCs w:val="20"/>
          <w:lang w:bidi="ta-IN"/>
        </w:rPr>
        <w:t xml:space="preserve"> study, the docking interactions of andrographolide with the target proteins, androgen receptor (AR; PDB ID: 4OH6) and </w:t>
      </w:r>
      <w:r w:rsidRPr="00256F01">
        <w:rPr>
          <w:rFonts w:ascii="Arial" w:hAnsi="Arial" w:cs="Arial"/>
          <w:sz w:val="20"/>
          <w:szCs w:val="20"/>
        </w:rPr>
        <w:t>CYP17A1 </w:t>
      </w:r>
      <w:r w:rsidRPr="00DF3B57">
        <w:rPr>
          <w:rFonts w:ascii="Arial" w:eastAsia="Times New Roman" w:hAnsi="Arial" w:cs="Arial"/>
          <w:color w:val="000000"/>
          <w:sz w:val="20"/>
          <w:szCs w:val="20"/>
          <w:lang w:bidi="ta-IN"/>
        </w:rPr>
        <w:t>(</w:t>
      </w:r>
      <w:r w:rsidR="004107C5" w:rsidRPr="00771162">
        <w:rPr>
          <w:rFonts w:ascii="Arial" w:hAnsi="Arial" w:cs="Arial"/>
          <w:sz w:val="20"/>
          <w:szCs w:val="20"/>
        </w:rPr>
        <w:t xml:space="preserve">Steroid </w:t>
      </w:r>
      <w:r w:rsidRPr="00DF3B57">
        <w:rPr>
          <w:rFonts w:ascii="Arial" w:eastAsia="Times New Roman" w:hAnsi="Arial" w:cs="Arial"/>
          <w:color w:val="000000"/>
          <w:sz w:val="20"/>
          <w:szCs w:val="20"/>
          <w:lang w:bidi="ta-IN"/>
        </w:rPr>
        <w:t xml:space="preserve">17α-hydroxylase/17,20-lyase; PDB ID: 5IRV), were </w:t>
      </w:r>
      <w:r w:rsidR="00EB7E4F" w:rsidRPr="00805DFB">
        <w:rPr>
          <w:rFonts w:ascii="Arial" w:eastAsia="Times New Roman" w:hAnsi="Arial" w:cs="Arial"/>
          <w:color w:val="000000"/>
          <w:sz w:val="20"/>
          <w:szCs w:val="20"/>
          <w:highlight w:val="yellow"/>
          <w:lang w:bidi="ta-IN"/>
        </w:rPr>
        <w:t>analysed</w:t>
      </w:r>
      <w:r w:rsidRPr="00DF3B57">
        <w:rPr>
          <w:rFonts w:ascii="Arial" w:eastAsia="Times New Roman" w:hAnsi="Arial" w:cs="Arial"/>
          <w:color w:val="000000"/>
          <w:sz w:val="20"/>
          <w:szCs w:val="20"/>
          <w:lang w:bidi="ta-IN"/>
        </w:rPr>
        <w:t xml:space="preserve">. The docking score (ΔG) of the ligand–protein complex is a key indicator of binding affinity; values below 5 kcal/mol generally denote stable and potent interactions. The compound andrographolide exhibited binding energies of –6.7 kcal/mol and –8.6 kcal/mol with AR and </w:t>
      </w:r>
      <w:r w:rsidRPr="00256F01">
        <w:rPr>
          <w:rFonts w:ascii="Arial" w:hAnsi="Arial" w:cs="Arial"/>
          <w:sz w:val="20"/>
          <w:szCs w:val="20"/>
        </w:rPr>
        <w:t>CYP17A1</w:t>
      </w:r>
      <w:r w:rsidRPr="00DF3B57">
        <w:rPr>
          <w:rFonts w:ascii="Arial" w:eastAsia="Times New Roman" w:hAnsi="Arial" w:cs="Arial"/>
          <w:color w:val="000000"/>
          <w:sz w:val="20"/>
          <w:szCs w:val="20"/>
          <w:lang w:bidi="ta-IN"/>
        </w:rPr>
        <w:t xml:space="preserve">, respectively (Fig. </w:t>
      </w:r>
      <w:r w:rsidR="00320064">
        <w:rPr>
          <w:rFonts w:ascii="Arial" w:eastAsia="Times New Roman" w:hAnsi="Arial" w:cs="Arial"/>
          <w:color w:val="000000"/>
          <w:sz w:val="20"/>
          <w:szCs w:val="20"/>
          <w:lang w:bidi="ta-IN"/>
        </w:rPr>
        <w:t>5</w:t>
      </w:r>
      <w:r w:rsidR="0021530E">
        <w:rPr>
          <w:rFonts w:ascii="Arial" w:eastAsia="Times New Roman" w:hAnsi="Arial" w:cs="Arial"/>
          <w:color w:val="000000"/>
          <w:sz w:val="20"/>
          <w:szCs w:val="20"/>
          <w:lang w:bidi="ta-IN"/>
        </w:rPr>
        <w:t>,</w:t>
      </w:r>
      <w:r w:rsidR="00320064">
        <w:rPr>
          <w:rFonts w:ascii="Arial" w:eastAsia="Times New Roman" w:hAnsi="Arial" w:cs="Arial"/>
          <w:color w:val="000000"/>
          <w:sz w:val="20"/>
          <w:szCs w:val="20"/>
          <w:lang w:bidi="ta-IN"/>
        </w:rPr>
        <w:t>6</w:t>
      </w:r>
      <w:r w:rsidRPr="00DF3B57">
        <w:rPr>
          <w:rFonts w:ascii="Arial" w:eastAsia="Times New Roman" w:hAnsi="Arial" w:cs="Arial"/>
          <w:color w:val="000000"/>
          <w:sz w:val="20"/>
          <w:szCs w:val="20"/>
          <w:lang w:bidi="ta-IN"/>
        </w:rPr>
        <w:t>). These negative binding energies indicate strong interactions with both target proteins and reflect a high probability of receptor–ligand stability.</w:t>
      </w:r>
      <w:r>
        <w:rPr>
          <w:rFonts w:ascii="Arial" w:eastAsia="Times New Roman" w:hAnsi="Arial" w:cs="Arial"/>
          <w:color w:val="000000"/>
          <w:sz w:val="20"/>
          <w:szCs w:val="20"/>
          <w:lang w:bidi="ta-IN"/>
        </w:rPr>
        <w:t xml:space="preserve"> </w:t>
      </w:r>
      <w:r w:rsidRPr="00DF3B57">
        <w:rPr>
          <w:rFonts w:ascii="Arial" w:eastAsia="Times New Roman" w:hAnsi="Arial" w:cs="Arial"/>
          <w:color w:val="000000"/>
          <w:sz w:val="20"/>
          <w:szCs w:val="20"/>
          <w:lang w:bidi="ta-IN"/>
        </w:rPr>
        <w:t xml:space="preserve">When compared </w:t>
      </w:r>
      <w:r w:rsidR="00A04182">
        <w:rPr>
          <w:rFonts w:ascii="Arial" w:eastAsia="Times New Roman" w:hAnsi="Arial" w:cs="Arial"/>
          <w:color w:val="000000"/>
          <w:sz w:val="20"/>
          <w:szCs w:val="20"/>
          <w:lang w:bidi="ta-IN"/>
        </w:rPr>
        <w:t xml:space="preserve">with standard inhibitors (Fig. </w:t>
      </w:r>
      <w:r w:rsidR="00320064">
        <w:rPr>
          <w:rFonts w:ascii="Arial" w:eastAsia="Times New Roman" w:hAnsi="Arial" w:cs="Arial"/>
          <w:color w:val="000000"/>
          <w:sz w:val="20"/>
          <w:szCs w:val="20"/>
          <w:lang w:bidi="ta-IN"/>
        </w:rPr>
        <w:t>7</w:t>
      </w:r>
      <w:r w:rsidRPr="00DF3B57">
        <w:rPr>
          <w:rFonts w:ascii="Arial" w:eastAsia="Times New Roman" w:hAnsi="Arial" w:cs="Arial"/>
          <w:color w:val="000000"/>
          <w:sz w:val="20"/>
          <w:szCs w:val="20"/>
          <w:lang w:bidi="ta-IN"/>
        </w:rPr>
        <w:t xml:space="preserve">, </w:t>
      </w:r>
      <w:r w:rsidR="00320064">
        <w:rPr>
          <w:rFonts w:ascii="Arial" w:eastAsia="Times New Roman" w:hAnsi="Arial" w:cs="Arial"/>
          <w:color w:val="000000"/>
          <w:sz w:val="20"/>
          <w:szCs w:val="20"/>
          <w:lang w:bidi="ta-IN"/>
        </w:rPr>
        <w:t>8</w:t>
      </w:r>
      <w:r w:rsidRPr="00DF3B57">
        <w:rPr>
          <w:rFonts w:ascii="Arial" w:eastAsia="Times New Roman" w:hAnsi="Arial" w:cs="Arial"/>
          <w:color w:val="000000"/>
          <w:sz w:val="20"/>
          <w:szCs w:val="20"/>
          <w:lang w:bidi="ta-IN"/>
        </w:rPr>
        <w:t>)</w:t>
      </w:r>
      <w:r w:rsidR="00EB7E4F">
        <w:rPr>
          <w:rFonts w:ascii="Arial" w:eastAsia="Times New Roman" w:hAnsi="Arial" w:cs="Arial"/>
          <w:color w:val="000000"/>
          <w:sz w:val="20"/>
          <w:szCs w:val="20"/>
          <w:lang w:bidi="ta-IN"/>
        </w:rPr>
        <w:t>,</w:t>
      </w:r>
      <w:r w:rsidRPr="00DF3B57">
        <w:rPr>
          <w:rFonts w:ascii="Arial" w:eastAsia="Times New Roman" w:hAnsi="Arial" w:cs="Arial"/>
          <w:color w:val="000000"/>
          <w:sz w:val="20"/>
          <w:szCs w:val="20"/>
          <w:lang w:bidi="ta-IN"/>
        </w:rPr>
        <w:t xml:space="preserve"> andrographolide showed comparable binding affinities, suggesting its potential as a competitive ligand for both targets. Molecular interaction analysis revealed that andrographolide fits snugly within the ligand-binding domains of AR and </w:t>
      </w:r>
      <w:r w:rsidRPr="00256F01">
        <w:rPr>
          <w:rFonts w:ascii="Arial" w:hAnsi="Arial" w:cs="Arial"/>
          <w:sz w:val="20"/>
          <w:szCs w:val="20"/>
        </w:rPr>
        <w:t>CYP17A1</w:t>
      </w:r>
      <w:r w:rsidRPr="00DF3B57">
        <w:rPr>
          <w:rFonts w:ascii="Arial" w:eastAsia="Times New Roman" w:hAnsi="Arial" w:cs="Arial"/>
          <w:color w:val="000000"/>
          <w:sz w:val="20"/>
          <w:szCs w:val="20"/>
          <w:lang w:bidi="ta-IN"/>
        </w:rPr>
        <w:t xml:space="preserve">, forming multiple hydrogen bonds and hydrophobic interactions with functionally important amino acid residues. The binding energy of –8.6 kcal/mol with </w:t>
      </w:r>
      <w:r w:rsidRPr="00256F01">
        <w:rPr>
          <w:rFonts w:ascii="Arial" w:hAnsi="Arial" w:cs="Arial"/>
          <w:sz w:val="20"/>
          <w:szCs w:val="20"/>
        </w:rPr>
        <w:t>CYP17A1</w:t>
      </w:r>
      <w:r w:rsidRPr="00DF3B57">
        <w:rPr>
          <w:rFonts w:ascii="Arial" w:eastAsia="Times New Roman" w:hAnsi="Arial" w:cs="Arial"/>
          <w:color w:val="000000"/>
          <w:sz w:val="20"/>
          <w:szCs w:val="20"/>
          <w:lang w:bidi="ta-IN"/>
        </w:rPr>
        <w:t>suggests a particularly strong potential for interaction, which coul</w:t>
      </w:r>
      <w:r w:rsidR="00A04182">
        <w:rPr>
          <w:rFonts w:ascii="Arial" w:eastAsia="Times New Roman" w:hAnsi="Arial" w:cs="Arial"/>
          <w:color w:val="000000"/>
          <w:sz w:val="20"/>
          <w:szCs w:val="20"/>
          <w:lang w:bidi="ta-IN"/>
        </w:rPr>
        <w:t>d inhibit androgen biosynthesis</w:t>
      </w:r>
      <w:r w:rsidR="00EB7E4F">
        <w:rPr>
          <w:rFonts w:ascii="Arial" w:eastAsia="Times New Roman" w:hAnsi="Arial" w:cs="Arial"/>
          <w:color w:val="000000"/>
          <w:sz w:val="20"/>
          <w:szCs w:val="20"/>
          <w:lang w:bidi="ta-IN"/>
        </w:rPr>
        <w:t>,</w:t>
      </w:r>
      <w:r w:rsidR="00A04182">
        <w:rPr>
          <w:rFonts w:ascii="Arial" w:eastAsia="Times New Roman" w:hAnsi="Arial" w:cs="Arial"/>
          <w:color w:val="000000"/>
          <w:sz w:val="20"/>
          <w:szCs w:val="20"/>
          <w:lang w:bidi="ta-IN"/>
        </w:rPr>
        <w:t xml:space="preserve"> </w:t>
      </w:r>
      <w:r w:rsidRPr="00DF3B57">
        <w:rPr>
          <w:rFonts w:ascii="Arial" w:eastAsia="Times New Roman" w:hAnsi="Arial" w:cs="Arial"/>
          <w:color w:val="000000"/>
          <w:sz w:val="20"/>
          <w:szCs w:val="20"/>
          <w:lang w:bidi="ta-IN"/>
        </w:rPr>
        <w:t xml:space="preserve">an essential </w:t>
      </w:r>
      <w:r w:rsidR="00C34501" w:rsidRPr="00C34501">
        <w:rPr>
          <w:rFonts w:ascii="Arial" w:eastAsia="Times New Roman" w:hAnsi="Arial" w:cs="Arial"/>
          <w:color w:val="000000"/>
          <w:sz w:val="20"/>
          <w:szCs w:val="20"/>
          <w:lang w:bidi="ta-IN"/>
        </w:rPr>
        <w:t>procedure in the development of prostate cancer.</w:t>
      </w:r>
      <w:r w:rsidR="00EB7E4F">
        <w:rPr>
          <w:rFonts w:ascii="Arial" w:eastAsia="Times New Roman" w:hAnsi="Arial" w:cs="Arial"/>
          <w:color w:val="000000"/>
          <w:sz w:val="20"/>
          <w:szCs w:val="20"/>
          <w:lang w:bidi="ta-IN"/>
        </w:rPr>
        <w:t xml:space="preserve"> </w:t>
      </w:r>
      <w:r w:rsidR="00C34501" w:rsidRPr="00C34501">
        <w:rPr>
          <w:rFonts w:ascii="Arial" w:eastAsia="Times New Roman" w:hAnsi="Arial" w:cs="Arial"/>
          <w:color w:val="000000"/>
          <w:sz w:val="20"/>
          <w:szCs w:val="20"/>
          <w:lang w:bidi="ta-IN"/>
        </w:rPr>
        <w:t>These results are in line with past research showing that andrographolide inhibits the production of AR and the growth of prostate cancer cells (Rajagopal et al., 2003).</w:t>
      </w:r>
      <w:r w:rsidR="00EB7E4F">
        <w:rPr>
          <w:rFonts w:ascii="Arial" w:eastAsia="Times New Roman" w:hAnsi="Arial" w:cs="Arial"/>
          <w:color w:val="000000"/>
          <w:sz w:val="20"/>
          <w:szCs w:val="20"/>
          <w:lang w:bidi="ta-IN"/>
        </w:rPr>
        <w:t xml:space="preserve"> </w:t>
      </w:r>
      <w:r w:rsidR="00C34501" w:rsidRPr="00C34501">
        <w:rPr>
          <w:rFonts w:ascii="Arial" w:eastAsia="Times New Roman" w:hAnsi="Arial" w:cs="Arial"/>
          <w:color w:val="000000"/>
          <w:sz w:val="20"/>
          <w:szCs w:val="20"/>
          <w:lang w:bidi="ta-IN"/>
        </w:rPr>
        <w:t>The medicinal potential of andrographolide is still supported by recent research as a</w:t>
      </w:r>
      <w:r w:rsidR="00C34501">
        <w:rPr>
          <w:rFonts w:ascii="Arial" w:eastAsia="Times New Roman" w:hAnsi="Arial" w:cs="Arial"/>
          <w:color w:val="000000"/>
          <w:sz w:val="20"/>
          <w:szCs w:val="20"/>
          <w:lang w:bidi="ta-IN"/>
        </w:rPr>
        <w:t xml:space="preserve"> </w:t>
      </w:r>
      <w:r w:rsidRPr="00DF3B57">
        <w:rPr>
          <w:rFonts w:ascii="Arial" w:eastAsia="Times New Roman" w:hAnsi="Arial" w:cs="Arial"/>
          <w:color w:val="000000"/>
          <w:sz w:val="20"/>
          <w:szCs w:val="20"/>
          <w:lang w:bidi="ta-IN"/>
        </w:rPr>
        <w:t>natural inhibitor of signalling pathways implicated in tumorigenesis (Banerjee </w:t>
      </w:r>
      <w:r w:rsidRPr="00DF3B57">
        <w:rPr>
          <w:rFonts w:ascii="Arial" w:eastAsia="Times New Roman" w:hAnsi="Arial" w:cs="Arial"/>
          <w:i/>
          <w:iCs/>
          <w:color w:val="000000"/>
          <w:sz w:val="20"/>
          <w:szCs w:val="20"/>
          <w:lang w:bidi="ta-IN"/>
        </w:rPr>
        <w:t>et al.</w:t>
      </w:r>
      <w:r w:rsidR="00540335">
        <w:rPr>
          <w:rFonts w:ascii="Arial" w:eastAsia="Times New Roman" w:hAnsi="Arial" w:cs="Arial"/>
          <w:color w:val="000000"/>
          <w:sz w:val="20"/>
          <w:szCs w:val="20"/>
          <w:lang w:bidi="ta-IN"/>
        </w:rPr>
        <w:t>, 2016</w:t>
      </w:r>
      <w:r w:rsidRPr="00DF3B57">
        <w:rPr>
          <w:rFonts w:ascii="Arial" w:eastAsia="Times New Roman" w:hAnsi="Arial" w:cs="Arial"/>
          <w:color w:val="000000"/>
          <w:sz w:val="20"/>
          <w:szCs w:val="20"/>
          <w:lang w:bidi="ta-IN"/>
        </w:rPr>
        <w:t>).</w:t>
      </w:r>
    </w:p>
    <w:p w14:paraId="65D60C38" w14:textId="77777777" w:rsidR="00C34501" w:rsidRDefault="00C34501" w:rsidP="00A16D9F">
      <w:pPr>
        <w:autoSpaceDE w:val="0"/>
        <w:autoSpaceDN w:val="0"/>
        <w:adjustRightInd w:val="0"/>
        <w:spacing w:after="0" w:line="480" w:lineRule="auto"/>
        <w:jc w:val="both"/>
        <w:rPr>
          <w:rFonts w:ascii="Arial" w:hAnsi="Arial" w:cs="Arial"/>
          <w:b/>
          <w:bCs/>
        </w:rPr>
      </w:pPr>
    </w:p>
    <w:p w14:paraId="5F9FBA40" w14:textId="650771BF" w:rsidR="00A16D9F" w:rsidRPr="00771162" w:rsidRDefault="00A16D9F" w:rsidP="00A16D9F">
      <w:pPr>
        <w:autoSpaceDE w:val="0"/>
        <w:autoSpaceDN w:val="0"/>
        <w:adjustRightInd w:val="0"/>
        <w:spacing w:after="0" w:line="480" w:lineRule="auto"/>
        <w:jc w:val="both"/>
        <w:rPr>
          <w:rFonts w:ascii="Arial" w:hAnsi="Arial" w:cs="Arial"/>
          <w:b/>
          <w:bCs/>
        </w:rPr>
      </w:pPr>
      <w:r w:rsidRPr="00771162">
        <w:rPr>
          <w:rFonts w:ascii="Arial" w:hAnsi="Arial" w:cs="Arial"/>
          <w:b/>
          <w:bCs/>
        </w:rPr>
        <w:t xml:space="preserve">Drug </w:t>
      </w:r>
      <w:r w:rsidR="00EB7E4F" w:rsidRPr="00805DFB">
        <w:rPr>
          <w:rFonts w:ascii="Arial" w:hAnsi="Arial" w:cs="Arial"/>
          <w:b/>
          <w:bCs/>
          <w:highlight w:val="yellow"/>
        </w:rPr>
        <w:t>likeness</w:t>
      </w:r>
      <w:r w:rsidR="00EB7E4F" w:rsidRPr="00805DFB">
        <w:rPr>
          <w:rFonts w:ascii="Arial" w:hAnsi="Arial" w:cs="Arial"/>
          <w:b/>
          <w:bCs/>
          <w:highlight w:val="yellow"/>
        </w:rPr>
        <w:t xml:space="preserve"> </w:t>
      </w:r>
      <w:r w:rsidRPr="00771162">
        <w:rPr>
          <w:rFonts w:ascii="Arial" w:hAnsi="Arial" w:cs="Arial"/>
          <w:b/>
          <w:bCs/>
        </w:rPr>
        <w:t>and ADMET prediction</w:t>
      </w:r>
    </w:p>
    <w:p w14:paraId="0DB91766" w14:textId="36237DAA" w:rsidR="00D96273" w:rsidRPr="00DF3B57" w:rsidRDefault="00A16D9F" w:rsidP="002D403C">
      <w:pPr>
        <w:shd w:val="clear" w:color="auto" w:fill="FFFFFF"/>
        <w:spacing w:after="0"/>
        <w:jc w:val="both"/>
        <w:outlineLvl w:val="2"/>
        <w:rPr>
          <w:rFonts w:ascii="Arial" w:eastAsia="Times New Roman" w:hAnsi="Arial" w:cs="Arial"/>
          <w:color w:val="000000"/>
          <w:sz w:val="20"/>
          <w:szCs w:val="20"/>
          <w:lang w:bidi="ta-IN"/>
        </w:rPr>
      </w:pPr>
      <w:r w:rsidRPr="00771162">
        <w:rPr>
          <w:rFonts w:ascii="Arial" w:hAnsi="Arial" w:cs="Arial"/>
          <w:bCs/>
          <w:sz w:val="20"/>
          <w:szCs w:val="20"/>
        </w:rPr>
        <w:tab/>
      </w:r>
      <w:r w:rsidR="00C34501" w:rsidRPr="00C34501">
        <w:rPr>
          <w:rFonts w:ascii="Arial" w:eastAsia="Times New Roman" w:hAnsi="Arial" w:cs="Arial"/>
          <w:color w:val="000000"/>
          <w:sz w:val="20"/>
          <w:szCs w:val="20"/>
          <w:lang w:bidi="ta-IN"/>
        </w:rPr>
        <w:t xml:space="preserve">Drug </w:t>
      </w:r>
      <w:r w:rsidR="00EB7E4F" w:rsidRPr="00805DFB">
        <w:rPr>
          <w:rFonts w:ascii="Arial" w:eastAsia="Times New Roman" w:hAnsi="Arial" w:cs="Arial"/>
          <w:color w:val="000000"/>
          <w:sz w:val="20"/>
          <w:szCs w:val="20"/>
          <w:highlight w:val="yellow"/>
          <w:lang w:bidi="ta-IN"/>
        </w:rPr>
        <w:t>likeness</w:t>
      </w:r>
      <w:r w:rsidR="00EB7E4F" w:rsidRPr="00805DFB">
        <w:rPr>
          <w:rFonts w:ascii="Arial" w:eastAsia="Times New Roman" w:hAnsi="Arial" w:cs="Arial"/>
          <w:color w:val="000000"/>
          <w:sz w:val="20"/>
          <w:szCs w:val="20"/>
          <w:highlight w:val="yellow"/>
          <w:lang w:bidi="ta-IN"/>
        </w:rPr>
        <w:t xml:space="preserve"> </w:t>
      </w:r>
      <w:r w:rsidR="00C34501" w:rsidRPr="00C34501">
        <w:rPr>
          <w:rFonts w:ascii="Arial" w:eastAsia="Times New Roman" w:hAnsi="Arial" w:cs="Arial"/>
          <w:color w:val="000000"/>
          <w:sz w:val="20"/>
          <w:szCs w:val="20"/>
          <w:lang w:bidi="ta-IN"/>
        </w:rPr>
        <w:t>and ADMET forecasting</w:t>
      </w:r>
      <w:r w:rsidR="00EB7E4F">
        <w:rPr>
          <w:rFonts w:ascii="Arial" w:eastAsia="Times New Roman" w:hAnsi="Arial" w:cs="Arial"/>
          <w:color w:val="000000"/>
          <w:sz w:val="20"/>
          <w:szCs w:val="20"/>
          <w:lang w:bidi="ta-IN"/>
        </w:rPr>
        <w:t>.</w:t>
      </w:r>
      <w:r w:rsidR="00C34501" w:rsidRPr="00C34501">
        <w:rPr>
          <w:rFonts w:ascii="Arial" w:eastAsia="Times New Roman" w:hAnsi="Arial" w:cs="Arial"/>
          <w:color w:val="000000"/>
          <w:sz w:val="20"/>
          <w:szCs w:val="20"/>
          <w:lang w:bidi="ta-IN"/>
        </w:rPr>
        <w:t xml:space="preserve"> In line with Lipinski’s Rule of Five, a compound is deemed drug-like if its molecular weight is under 500 Da, the log P value is 5, hydrogen bond donors </w:t>
      </w:r>
      <w:r w:rsidR="00C34501" w:rsidRPr="00C34501">
        <w:rPr>
          <w:rFonts w:ascii="Arial" w:eastAsia="Times New Roman" w:hAnsi="Arial" w:cs="Arial"/>
          <w:color w:val="000000"/>
          <w:sz w:val="20"/>
          <w:szCs w:val="20"/>
          <w:lang w:bidi="ta-IN"/>
        </w:rPr>
        <w:lastRenderedPageBreak/>
        <w:t>are ≤ 5, and hydrogen bond acceptors are ≤ 10. According to Table 3, andrographolide has a molecular weight of 350.458 Da, a log P of 1.801, three hydrogen bond donors, and five hydrogen bond acceptors. Furthermore, the substance possesses a</w:t>
      </w:r>
      <w:r w:rsidR="00C34501">
        <w:rPr>
          <w:rFonts w:ascii="Arial" w:eastAsia="Times New Roman" w:hAnsi="Arial" w:cs="Arial"/>
          <w:color w:val="000000"/>
          <w:sz w:val="20"/>
          <w:szCs w:val="20"/>
          <w:lang w:bidi="ta-IN"/>
        </w:rPr>
        <w:t xml:space="preserve"> </w:t>
      </w:r>
      <w:r w:rsidR="00D96273" w:rsidRPr="00DF3B57">
        <w:rPr>
          <w:rFonts w:ascii="Arial" w:eastAsia="Times New Roman" w:hAnsi="Arial" w:cs="Arial"/>
          <w:color w:val="000000"/>
          <w:sz w:val="20"/>
          <w:szCs w:val="20"/>
          <w:lang w:bidi="ta-IN"/>
        </w:rPr>
        <w:t xml:space="preserve"> Topological Polar Surface Area (TPSA) of 86.99 Å².</w:t>
      </w:r>
      <w:r w:rsidR="00A04182">
        <w:rPr>
          <w:rFonts w:ascii="Arial" w:eastAsia="Times New Roman" w:hAnsi="Arial" w:cs="Arial"/>
          <w:color w:val="000000"/>
          <w:sz w:val="20"/>
          <w:szCs w:val="20"/>
          <w:lang w:bidi="ta-IN"/>
        </w:rPr>
        <w:t xml:space="preserve"> </w:t>
      </w:r>
      <w:r w:rsidR="00D96273" w:rsidRPr="00DF3B57">
        <w:rPr>
          <w:rFonts w:ascii="Arial" w:eastAsia="Times New Roman" w:hAnsi="Arial" w:cs="Arial"/>
          <w:color w:val="000000"/>
          <w:sz w:val="20"/>
          <w:szCs w:val="20"/>
          <w:lang w:bidi="ta-IN"/>
        </w:rPr>
        <w:t>These values indicate that andrographolide satisfies all the physicochemical requirements for oral bioavailability and membrane permeability. Compounds following these criteria generally exhibit favourable pharmacokinetic behaviour. As poor absorption and bioavailability often hinder the success of nat</w:t>
      </w:r>
      <w:r w:rsidR="00A04182">
        <w:rPr>
          <w:rFonts w:ascii="Arial" w:eastAsia="Times New Roman" w:hAnsi="Arial" w:cs="Arial"/>
          <w:color w:val="000000"/>
          <w:sz w:val="20"/>
          <w:szCs w:val="20"/>
          <w:lang w:bidi="ta-IN"/>
        </w:rPr>
        <w:t xml:space="preserve">ural products, </w:t>
      </w:r>
      <w:r w:rsidR="00EB7E4F" w:rsidRPr="00805DFB">
        <w:rPr>
          <w:rFonts w:ascii="Arial" w:eastAsia="Times New Roman" w:hAnsi="Arial" w:cs="Arial"/>
          <w:color w:val="000000"/>
          <w:sz w:val="20"/>
          <w:szCs w:val="20"/>
          <w:highlight w:val="yellow"/>
          <w:lang w:bidi="ta-IN"/>
        </w:rPr>
        <w:t>andrographolide's</w:t>
      </w:r>
      <w:r w:rsidR="00EB7E4F" w:rsidRPr="00805DFB">
        <w:rPr>
          <w:rFonts w:ascii="Arial" w:eastAsia="Times New Roman" w:hAnsi="Arial" w:cs="Arial"/>
          <w:color w:val="000000"/>
          <w:sz w:val="20"/>
          <w:szCs w:val="20"/>
          <w:highlight w:val="yellow"/>
          <w:lang w:bidi="ta-IN"/>
        </w:rPr>
        <w:t xml:space="preserve"> </w:t>
      </w:r>
      <w:r w:rsidR="00D96273" w:rsidRPr="00DF3B57">
        <w:rPr>
          <w:rFonts w:ascii="Arial" w:eastAsia="Times New Roman" w:hAnsi="Arial" w:cs="Arial"/>
          <w:color w:val="000000"/>
          <w:sz w:val="20"/>
          <w:szCs w:val="20"/>
          <w:lang w:bidi="ta-IN"/>
        </w:rPr>
        <w:t>compliance with Lipinski’s parameters supports its suitability as a drug-like molecule.</w:t>
      </w:r>
    </w:p>
    <w:p w14:paraId="10C357FC" w14:textId="77777777" w:rsidR="00A16D9F" w:rsidRPr="00771162" w:rsidRDefault="00A16D9F" w:rsidP="00F83FE4">
      <w:pPr>
        <w:autoSpaceDE w:val="0"/>
        <w:autoSpaceDN w:val="0"/>
        <w:adjustRightInd w:val="0"/>
        <w:spacing w:after="0"/>
        <w:jc w:val="both"/>
        <w:rPr>
          <w:rFonts w:ascii="Arial" w:hAnsi="Arial" w:cs="Arial"/>
          <w:bCs/>
          <w:sz w:val="20"/>
          <w:szCs w:val="20"/>
        </w:rPr>
      </w:pPr>
    </w:p>
    <w:p w14:paraId="31130D4E" w14:textId="77777777" w:rsidR="00D96273" w:rsidRPr="00D96273" w:rsidRDefault="00D96273" w:rsidP="00D96273">
      <w:pPr>
        <w:autoSpaceDE w:val="0"/>
        <w:autoSpaceDN w:val="0"/>
        <w:adjustRightInd w:val="0"/>
        <w:spacing w:after="0"/>
        <w:jc w:val="both"/>
        <w:rPr>
          <w:rFonts w:ascii="Arial" w:hAnsi="Arial" w:cs="Arial"/>
          <w:b/>
          <w:sz w:val="20"/>
          <w:szCs w:val="20"/>
        </w:rPr>
      </w:pPr>
      <w:r w:rsidRPr="00D96273">
        <w:rPr>
          <w:rFonts w:ascii="Arial" w:hAnsi="Arial" w:cs="Arial"/>
          <w:b/>
          <w:sz w:val="20"/>
          <w:szCs w:val="20"/>
        </w:rPr>
        <w:t>Comparative and Functional Implications</w:t>
      </w:r>
    </w:p>
    <w:p w14:paraId="42F22A00" w14:textId="0A98AA05" w:rsidR="00D96273" w:rsidRDefault="00D96273" w:rsidP="002D403C">
      <w:pPr>
        <w:autoSpaceDE w:val="0"/>
        <w:autoSpaceDN w:val="0"/>
        <w:adjustRightInd w:val="0"/>
        <w:spacing w:after="0"/>
        <w:jc w:val="both"/>
        <w:rPr>
          <w:rFonts w:ascii="Arial" w:hAnsi="Arial" w:cs="Arial"/>
          <w:bCs/>
          <w:sz w:val="20"/>
          <w:szCs w:val="20"/>
        </w:rPr>
      </w:pPr>
      <w:r>
        <w:rPr>
          <w:rFonts w:ascii="Arial" w:hAnsi="Arial" w:cs="Arial"/>
          <w:bCs/>
          <w:sz w:val="20"/>
          <w:szCs w:val="20"/>
        </w:rPr>
        <w:tab/>
      </w:r>
      <w:r w:rsidRPr="00D96273">
        <w:rPr>
          <w:rFonts w:ascii="Arial" w:hAnsi="Arial" w:cs="Arial"/>
          <w:bCs/>
          <w:sz w:val="20"/>
          <w:szCs w:val="20"/>
        </w:rPr>
        <w:t>The docking analysis dem</w:t>
      </w:r>
      <w:r w:rsidR="00A04182">
        <w:rPr>
          <w:rFonts w:ascii="Arial" w:hAnsi="Arial" w:cs="Arial"/>
          <w:bCs/>
          <w:sz w:val="20"/>
          <w:szCs w:val="20"/>
        </w:rPr>
        <w:t>onstrated that andrographolide</w:t>
      </w:r>
      <w:r w:rsidRPr="00D96273">
        <w:rPr>
          <w:rFonts w:ascii="Arial" w:hAnsi="Arial" w:cs="Arial"/>
          <w:bCs/>
          <w:sz w:val="20"/>
          <w:szCs w:val="20"/>
        </w:rPr>
        <w:t xml:space="preserve"> binding affinities were comparable to those of clinically relevant</w:t>
      </w:r>
      <w:r w:rsidR="00320064">
        <w:rPr>
          <w:rFonts w:ascii="Arial" w:hAnsi="Arial" w:cs="Arial"/>
          <w:bCs/>
          <w:sz w:val="20"/>
          <w:szCs w:val="20"/>
        </w:rPr>
        <w:t xml:space="preserve"> AR and CYP17A1inhibitors (Tab 1&amp;2</w:t>
      </w:r>
      <w:r w:rsidRPr="00D96273">
        <w:rPr>
          <w:rFonts w:ascii="Arial" w:hAnsi="Arial" w:cs="Arial"/>
          <w:bCs/>
          <w:sz w:val="20"/>
          <w:szCs w:val="20"/>
        </w:rPr>
        <w:t>). The ability of andrographolide to interact with both the androgen receptor and the enzyme responsible for androgen biosynthesis suggests a dual-target mechanism. This mechanism is therapeutically advantageous, as it could simultaneously suppress androgen production and receptor activation, thereby inhibiting prostate cancer progression through two converging pathways.</w:t>
      </w:r>
      <w:r>
        <w:rPr>
          <w:rFonts w:ascii="Arial" w:hAnsi="Arial" w:cs="Arial"/>
          <w:bCs/>
          <w:sz w:val="20"/>
          <w:szCs w:val="20"/>
        </w:rPr>
        <w:t xml:space="preserve"> </w:t>
      </w:r>
      <w:r w:rsidRPr="00D96273">
        <w:rPr>
          <w:rFonts w:ascii="Arial" w:hAnsi="Arial" w:cs="Arial"/>
          <w:bCs/>
          <w:sz w:val="20"/>
          <w:szCs w:val="20"/>
        </w:rPr>
        <w:t xml:space="preserve">Recent reports </w:t>
      </w:r>
      <w:r w:rsidR="00EB7E4F" w:rsidRPr="00805DFB">
        <w:rPr>
          <w:rFonts w:ascii="Arial" w:hAnsi="Arial" w:cs="Arial"/>
          <w:bCs/>
          <w:sz w:val="20"/>
          <w:szCs w:val="20"/>
          <w:highlight w:val="yellow"/>
        </w:rPr>
        <w:t>emphasise</w:t>
      </w:r>
      <w:r w:rsidR="00EB7E4F" w:rsidRPr="00805DFB">
        <w:rPr>
          <w:rFonts w:ascii="Arial" w:hAnsi="Arial" w:cs="Arial"/>
          <w:bCs/>
          <w:sz w:val="20"/>
          <w:szCs w:val="20"/>
          <w:highlight w:val="yellow"/>
        </w:rPr>
        <w:t xml:space="preserve"> </w:t>
      </w:r>
      <w:r w:rsidRPr="00D96273">
        <w:rPr>
          <w:rFonts w:ascii="Arial" w:hAnsi="Arial" w:cs="Arial"/>
          <w:bCs/>
          <w:sz w:val="20"/>
          <w:szCs w:val="20"/>
        </w:rPr>
        <w:t>the potential of plant-derived terpenoids, including andrographolide, in modulating key cancer-related processes such as proliferation, apoptosis, and and</w:t>
      </w:r>
      <w:r w:rsidR="00891920">
        <w:rPr>
          <w:rFonts w:ascii="Arial" w:hAnsi="Arial" w:cs="Arial"/>
          <w:bCs/>
          <w:sz w:val="20"/>
          <w:szCs w:val="20"/>
        </w:rPr>
        <w:t>rogen signalling (Che</w:t>
      </w:r>
      <w:r w:rsidRPr="00D96273">
        <w:rPr>
          <w:rFonts w:ascii="Arial" w:hAnsi="Arial" w:cs="Arial"/>
          <w:bCs/>
          <w:sz w:val="20"/>
          <w:szCs w:val="20"/>
        </w:rPr>
        <w:t>ng </w:t>
      </w:r>
      <w:r w:rsidRPr="00D96273">
        <w:rPr>
          <w:rFonts w:ascii="Arial" w:hAnsi="Arial" w:cs="Arial"/>
          <w:bCs/>
          <w:i/>
          <w:iCs/>
          <w:sz w:val="20"/>
          <w:szCs w:val="20"/>
        </w:rPr>
        <w:t>et al.</w:t>
      </w:r>
      <w:r w:rsidRPr="00D96273">
        <w:rPr>
          <w:rFonts w:ascii="Arial" w:hAnsi="Arial" w:cs="Arial"/>
          <w:bCs/>
          <w:sz w:val="20"/>
          <w:szCs w:val="20"/>
        </w:rPr>
        <w:t>, 2024; Dai </w:t>
      </w:r>
      <w:r w:rsidRPr="00D96273">
        <w:rPr>
          <w:rFonts w:ascii="Arial" w:hAnsi="Arial" w:cs="Arial"/>
          <w:bCs/>
          <w:i/>
          <w:iCs/>
          <w:sz w:val="20"/>
          <w:szCs w:val="20"/>
        </w:rPr>
        <w:t>et al.</w:t>
      </w:r>
      <w:r w:rsidRPr="00D96273">
        <w:rPr>
          <w:rFonts w:ascii="Arial" w:hAnsi="Arial" w:cs="Arial"/>
          <w:bCs/>
          <w:sz w:val="20"/>
          <w:szCs w:val="20"/>
        </w:rPr>
        <w:t>, 2019). The results of the present study corroborate these findings, revealing energetically favourable interactions within both receptor and enzyme active sites. Pharmacokinetic predictions further reinforce its potential as a promising bioactive compound with oral bioavailability.</w:t>
      </w:r>
    </w:p>
    <w:p w14:paraId="5F421279" w14:textId="77777777" w:rsidR="00D96273" w:rsidRDefault="00D96273" w:rsidP="00D96273">
      <w:pPr>
        <w:autoSpaceDE w:val="0"/>
        <w:autoSpaceDN w:val="0"/>
        <w:adjustRightInd w:val="0"/>
        <w:spacing w:after="0"/>
        <w:jc w:val="both"/>
        <w:rPr>
          <w:rFonts w:ascii="Arial" w:hAnsi="Arial" w:cs="Arial"/>
          <w:bCs/>
          <w:sz w:val="20"/>
          <w:szCs w:val="20"/>
        </w:rPr>
      </w:pPr>
    </w:p>
    <w:p w14:paraId="04CB88F2" w14:textId="77777777" w:rsidR="00D96273" w:rsidRPr="00DF3B57" w:rsidRDefault="00D96273" w:rsidP="00D96273">
      <w:pPr>
        <w:shd w:val="clear" w:color="auto" w:fill="FFFFFF"/>
        <w:spacing w:after="0" w:line="240" w:lineRule="auto"/>
        <w:jc w:val="both"/>
        <w:outlineLvl w:val="2"/>
        <w:rPr>
          <w:rFonts w:ascii="Arial" w:eastAsia="Times New Roman" w:hAnsi="Arial" w:cs="Arial"/>
          <w:b/>
          <w:bCs/>
          <w:color w:val="000000"/>
          <w:sz w:val="20"/>
          <w:szCs w:val="20"/>
          <w:lang w:bidi="ta-IN"/>
        </w:rPr>
      </w:pPr>
      <w:r w:rsidRPr="00DF3B57">
        <w:rPr>
          <w:rFonts w:ascii="Arial" w:eastAsia="Times New Roman" w:hAnsi="Arial" w:cs="Arial"/>
          <w:b/>
          <w:bCs/>
          <w:color w:val="000000"/>
          <w:sz w:val="20"/>
          <w:szCs w:val="20"/>
          <w:lang w:bidi="ta-IN"/>
        </w:rPr>
        <w:t>Limitations and Future Directions</w:t>
      </w:r>
    </w:p>
    <w:p w14:paraId="0F516F5A" w14:textId="4AADC04D" w:rsidR="00D96273" w:rsidRPr="00D96273" w:rsidRDefault="00D96273" w:rsidP="00C34501">
      <w:pPr>
        <w:shd w:val="clear" w:color="auto" w:fill="FFFFFF"/>
        <w:spacing w:after="0"/>
        <w:jc w:val="both"/>
        <w:outlineLvl w:val="2"/>
        <w:rPr>
          <w:rFonts w:ascii="Arial" w:hAnsi="Arial" w:cs="Arial"/>
          <w:bCs/>
          <w:sz w:val="20"/>
          <w:szCs w:val="20"/>
        </w:rPr>
      </w:pPr>
      <w:r>
        <w:rPr>
          <w:rFonts w:ascii="Arial" w:eastAsia="Times New Roman" w:hAnsi="Arial" w:cs="Arial"/>
          <w:color w:val="000000"/>
          <w:sz w:val="20"/>
          <w:szCs w:val="20"/>
          <w:lang w:bidi="ta-IN"/>
        </w:rPr>
        <w:tab/>
      </w:r>
      <w:r w:rsidRPr="00DF3B57">
        <w:rPr>
          <w:rFonts w:ascii="Arial" w:eastAsia="Times New Roman" w:hAnsi="Arial" w:cs="Arial"/>
          <w:color w:val="000000"/>
          <w:sz w:val="20"/>
          <w:szCs w:val="20"/>
          <w:lang w:bidi="ta-IN"/>
        </w:rPr>
        <w:t>While the docking scores suggest potent inhibitory potential, </w:t>
      </w:r>
      <w:r w:rsidRPr="00DF3B57">
        <w:rPr>
          <w:rFonts w:ascii="Arial" w:eastAsia="Times New Roman" w:hAnsi="Arial" w:cs="Arial"/>
          <w:i/>
          <w:iCs/>
          <w:color w:val="000000"/>
          <w:sz w:val="20"/>
          <w:szCs w:val="20"/>
          <w:lang w:bidi="ta-IN"/>
        </w:rPr>
        <w:t>in silico</w:t>
      </w:r>
      <w:r w:rsidRPr="00DF3B57">
        <w:rPr>
          <w:rFonts w:ascii="Arial" w:eastAsia="Times New Roman" w:hAnsi="Arial" w:cs="Arial"/>
          <w:color w:val="000000"/>
          <w:sz w:val="20"/>
          <w:szCs w:val="20"/>
          <w:lang w:bidi="ta-IN"/>
        </w:rPr>
        <w:t> results alone cannot confirm biological efficacy. The actual therapeutic performance of andrographolide depends on receptor occupancy in the cellular environment, compound stability, and its ability to penetrate tumour tissues. Resistance to AR-targeted therapies is often mediated by receptor splice variants lacking the ligand-binding domain and by androgen synthesis bypass mechanisms (</w:t>
      </w:r>
      <w:r w:rsidR="009275FE" w:rsidRPr="00891920">
        <w:rPr>
          <w:rFonts w:ascii="Arial" w:hAnsi="Arial" w:cs="Arial"/>
          <w:iCs/>
          <w:sz w:val="20"/>
          <w:szCs w:val="20"/>
        </w:rPr>
        <w:t xml:space="preserve">Daniels </w:t>
      </w:r>
      <w:r w:rsidR="009275FE" w:rsidRPr="009275FE">
        <w:rPr>
          <w:rFonts w:ascii="Arial" w:hAnsi="Arial" w:cs="Arial"/>
          <w:i/>
          <w:sz w:val="20"/>
          <w:szCs w:val="20"/>
        </w:rPr>
        <w:t>et al</w:t>
      </w:r>
      <w:r w:rsidR="009275FE">
        <w:rPr>
          <w:rFonts w:ascii="Arial" w:hAnsi="Arial" w:cs="Arial"/>
          <w:iCs/>
          <w:sz w:val="20"/>
          <w:szCs w:val="20"/>
        </w:rPr>
        <w:t>.</w:t>
      </w:r>
      <w:r w:rsidRPr="00DF3B57">
        <w:rPr>
          <w:rFonts w:ascii="Arial" w:eastAsia="Times New Roman" w:hAnsi="Arial" w:cs="Arial"/>
          <w:color w:val="000000"/>
          <w:sz w:val="20"/>
          <w:szCs w:val="20"/>
          <w:lang w:bidi="ta-IN"/>
        </w:rPr>
        <w:t xml:space="preserve">, 2024). The dual-target inhibition of both AR and </w:t>
      </w:r>
      <w:r w:rsidRPr="00256F01">
        <w:rPr>
          <w:rFonts w:ascii="Arial" w:hAnsi="Arial" w:cs="Arial"/>
          <w:sz w:val="20"/>
          <w:szCs w:val="20"/>
        </w:rPr>
        <w:t>CYP17A1</w:t>
      </w:r>
      <w:r w:rsidRPr="00DF3B57">
        <w:rPr>
          <w:rFonts w:ascii="Arial" w:eastAsia="Times New Roman" w:hAnsi="Arial" w:cs="Arial"/>
          <w:color w:val="000000"/>
          <w:sz w:val="20"/>
          <w:szCs w:val="20"/>
          <w:lang w:bidi="ta-IN"/>
        </w:rPr>
        <w:t>observed in this study may therefore help overcome such resistance mechanisms.</w:t>
      </w:r>
      <w:r>
        <w:rPr>
          <w:rFonts w:ascii="Arial" w:eastAsia="Times New Roman" w:hAnsi="Arial" w:cs="Arial"/>
          <w:color w:val="000000"/>
          <w:sz w:val="20"/>
          <w:szCs w:val="20"/>
          <w:lang w:bidi="ta-IN"/>
        </w:rPr>
        <w:t xml:space="preserve"> </w:t>
      </w:r>
      <w:r w:rsidRPr="00DF3B57">
        <w:rPr>
          <w:rFonts w:ascii="Arial" w:eastAsia="Times New Roman" w:hAnsi="Arial" w:cs="Arial"/>
          <w:color w:val="000000"/>
          <w:sz w:val="20"/>
          <w:szCs w:val="20"/>
          <w:lang w:bidi="ta-IN"/>
        </w:rPr>
        <w:t xml:space="preserve">For </w:t>
      </w:r>
      <w:r w:rsidRPr="00256F01">
        <w:rPr>
          <w:rFonts w:ascii="Arial" w:hAnsi="Arial" w:cs="Arial"/>
          <w:sz w:val="20"/>
          <w:szCs w:val="20"/>
        </w:rPr>
        <w:t>CYP17A1</w:t>
      </w:r>
      <w:r w:rsidRPr="00DF3B57">
        <w:rPr>
          <w:rFonts w:ascii="Arial" w:eastAsia="Times New Roman" w:hAnsi="Arial" w:cs="Arial"/>
          <w:color w:val="000000"/>
          <w:sz w:val="20"/>
          <w:szCs w:val="20"/>
          <w:lang w:bidi="ta-IN"/>
        </w:rPr>
        <w:t>inhibition, abiraterone remains a clinically validated inhibitor; however, it is associated with adverse effects such as adrenal suppression and compensatory up-regulation of steroidogenic pathways (</w:t>
      </w:r>
      <w:r w:rsidR="00134DC6" w:rsidRPr="00134DC6">
        <w:rPr>
          <w:rFonts w:ascii="Arial" w:hAnsi="Arial" w:cs="Arial"/>
          <w:iCs/>
          <w:sz w:val="20"/>
          <w:szCs w:val="20"/>
        </w:rPr>
        <w:t>Attard</w:t>
      </w:r>
      <w:r w:rsidR="00134DC6" w:rsidRPr="00DF3B57">
        <w:rPr>
          <w:rFonts w:ascii="Arial" w:eastAsia="Times New Roman" w:hAnsi="Arial" w:cs="Arial"/>
          <w:color w:val="000000"/>
          <w:sz w:val="20"/>
          <w:szCs w:val="20"/>
          <w:lang w:bidi="ta-IN"/>
        </w:rPr>
        <w:t xml:space="preserve"> </w:t>
      </w:r>
      <w:r w:rsidR="00134DC6" w:rsidRPr="00134DC6">
        <w:rPr>
          <w:rFonts w:ascii="Arial" w:eastAsia="Times New Roman" w:hAnsi="Arial" w:cs="Arial"/>
          <w:i/>
          <w:iCs/>
          <w:color w:val="000000"/>
          <w:sz w:val="20"/>
          <w:szCs w:val="20"/>
          <w:lang w:bidi="ta-IN"/>
        </w:rPr>
        <w:t>et al</w:t>
      </w:r>
      <w:r w:rsidR="00134DC6">
        <w:rPr>
          <w:rFonts w:ascii="Arial" w:eastAsia="Times New Roman" w:hAnsi="Arial" w:cs="Arial"/>
          <w:color w:val="000000"/>
          <w:sz w:val="20"/>
          <w:szCs w:val="20"/>
          <w:lang w:bidi="ta-IN"/>
        </w:rPr>
        <w:t>. 2011</w:t>
      </w:r>
      <w:r w:rsidRPr="00DF3B57">
        <w:rPr>
          <w:rFonts w:ascii="Arial" w:eastAsia="Times New Roman" w:hAnsi="Arial" w:cs="Arial"/>
          <w:color w:val="000000"/>
          <w:sz w:val="20"/>
          <w:szCs w:val="20"/>
          <w:lang w:bidi="ta-IN"/>
        </w:rPr>
        <w:t xml:space="preserve">). Andrographolide’s strong affinity for </w:t>
      </w:r>
      <w:r w:rsidRPr="00256F01">
        <w:rPr>
          <w:rFonts w:ascii="Arial" w:hAnsi="Arial" w:cs="Arial"/>
          <w:sz w:val="20"/>
          <w:szCs w:val="20"/>
        </w:rPr>
        <w:t>CYP17A1</w:t>
      </w:r>
      <w:r w:rsidRPr="00DF3B57">
        <w:rPr>
          <w:rFonts w:ascii="Arial" w:eastAsia="Times New Roman" w:hAnsi="Arial" w:cs="Arial"/>
          <w:color w:val="000000"/>
          <w:sz w:val="20"/>
          <w:szCs w:val="20"/>
          <w:lang w:bidi="ta-IN"/>
        </w:rPr>
        <w:t>suggests that it may serve as a natural alternative with potentially lower toxicity, though this hypothesis requires validation through </w:t>
      </w:r>
      <w:r w:rsidR="00C34501" w:rsidRPr="00BF555D">
        <w:rPr>
          <w:rFonts w:ascii="Arial" w:eastAsia="Times New Roman" w:hAnsi="Arial" w:cs="Arial"/>
          <w:i/>
          <w:iCs/>
          <w:color w:val="000000"/>
          <w:sz w:val="20"/>
          <w:szCs w:val="20"/>
          <w:lang w:bidi="ta-IN"/>
        </w:rPr>
        <w:t>in vitro</w:t>
      </w:r>
      <w:r w:rsidR="00C34501" w:rsidRPr="00C34501">
        <w:rPr>
          <w:rFonts w:ascii="Arial" w:eastAsia="Times New Roman" w:hAnsi="Arial" w:cs="Arial"/>
          <w:color w:val="000000"/>
          <w:sz w:val="20"/>
          <w:szCs w:val="20"/>
          <w:lang w:bidi="ta-IN"/>
        </w:rPr>
        <w:t xml:space="preserve"> and </w:t>
      </w:r>
      <w:r w:rsidR="00C34501" w:rsidRPr="00BF555D">
        <w:rPr>
          <w:rFonts w:ascii="Arial" w:eastAsia="Times New Roman" w:hAnsi="Arial" w:cs="Arial"/>
          <w:i/>
          <w:iCs/>
          <w:color w:val="000000"/>
          <w:sz w:val="20"/>
          <w:szCs w:val="20"/>
          <w:lang w:bidi="ta-IN"/>
        </w:rPr>
        <w:t>in vivo</w:t>
      </w:r>
      <w:r w:rsidR="00C34501" w:rsidRPr="00C34501">
        <w:rPr>
          <w:rFonts w:ascii="Arial" w:eastAsia="Times New Roman" w:hAnsi="Arial" w:cs="Arial"/>
          <w:color w:val="000000"/>
          <w:sz w:val="20"/>
          <w:szCs w:val="20"/>
          <w:lang w:bidi="ta-IN"/>
        </w:rPr>
        <w:t xml:space="preserve"> research. Additional investigations should concentrate on enzyme inhibition tests, receptor-binding assays, cytotoxicity evaluations on prostate cancer cell lines, and animal studies to define andrographolide’s pharmacodynamic and pharmacokinetic characteristics. </w:t>
      </w:r>
      <w:r w:rsidR="00EB7E4F" w:rsidRPr="00805DFB">
        <w:rPr>
          <w:rFonts w:ascii="Arial" w:eastAsia="Times New Roman" w:hAnsi="Arial" w:cs="Arial"/>
          <w:color w:val="000000"/>
          <w:sz w:val="20"/>
          <w:szCs w:val="20"/>
          <w:highlight w:val="yellow"/>
          <w:lang w:bidi="ta-IN"/>
        </w:rPr>
        <w:t>Optimising</w:t>
      </w:r>
      <w:r w:rsidR="00EB7E4F" w:rsidRPr="00C34501">
        <w:rPr>
          <w:rFonts w:ascii="Arial" w:eastAsia="Times New Roman" w:hAnsi="Arial" w:cs="Arial"/>
          <w:color w:val="000000"/>
          <w:sz w:val="20"/>
          <w:szCs w:val="20"/>
          <w:lang w:bidi="ta-IN"/>
        </w:rPr>
        <w:t xml:space="preserve"> </w:t>
      </w:r>
      <w:r w:rsidR="00C34501" w:rsidRPr="00C34501">
        <w:rPr>
          <w:rFonts w:ascii="Arial" w:eastAsia="Times New Roman" w:hAnsi="Arial" w:cs="Arial"/>
          <w:color w:val="000000"/>
          <w:sz w:val="20"/>
          <w:szCs w:val="20"/>
          <w:lang w:bidi="ta-IN"/>
        </w:rPr>
        <w:t xml:space="preserve">the structure-activity relationship (SAR) may enhance its selectivity, stability, and potency. </w:t>
      </w:r>
    </w:p>
    <w:p w14:paraId="42299574" w14:textId="77777777" w:rsidR="00F83FE4" w:rsidRPr="00771162" w:rsidRDefault="00F83FE4" w:rsidP="00F83FE4">
      <w:pPr>
        <w:autoSpaceDE w:val="0"/>
        <w:autoSpaceDN w:val="0"/>
        <w:adjustRightInd w:val="0"/>
        <w:spacing w:after="0"/>
        <w:jc w:val="both"/>
        <w:rPr>
          <w:rFonts w:ascii="Arial" w:hAnsi="Arial" w:cs="Arial"/>
          <w:bCs/>
          <w:sz w:val="20"/>
          <w:szCs w:val="20"/>
        </w:rPr>
      </w:pPr>
    </w:p>
    <w:p w14:paraId="5057611A" w14:textId="77777777" w:rsidR="00A16D9F" w:rsidRDefault="00A16D9F" w:rsidP="00F83FE4">
      <w:pPr>
        <w:autoSpaceDE w:val="0"/>
        <w:autoSpaceDN w:val="0"/>
        <w:adjustRightInd w:val="0"/>
        <w:spacing w:after="0"/>
        <w:jc w:val="both"/>
        <w:rPr>
          <w:rFonts w:ascii="Arial" w:hAnsi="Arial" w:cs="Arial"/>
          <w:bCs/>
          <w:sz w:val="20"/>
          <w:szCs w:val="20"/>
        </w:rPr>
      </w:pPr>
    </w:p>
    <w:p w14:paraId="4334F3BE" w14:textId="77777777" w:rsidR="00EC1E26" w:rsidRDefault="00EC1E26" w:rsidP="00F83FE4">
      <w:pPr>
        <w:autoSpaceDE w:val="0"/>
        <w:autoSpaceDN w:val="0"/>
        <w:adjustRightInd w:val="0"/>
        <w:spacing w:after="0"/>
        <w:jc w:val="both"/>
        <w:rPr>
          <w:rFonts w:ascii="Arial" w:hAnsi="Arial" w:cs="Arial"/>
          <w:bCs/>
          <w:sz w:val="20"/>
          <w:szCs w:val="20"/>
        </w:rPr>
      </w:pPr>
    </w:p>
    <w:p w14:paraId="61779CEF" w14:textId="77777777" w:rsidR="00EC1E26" w:rsidRDefault="00EC1E26" w:rsidP="00F83FE4">
      <w:pPr>
        <w:autoSpaceDE w:val="0"/>
        <w:autoSpaceDN w:val="0"/>
        <w:adjustRightInd w:val="0"/>
        <w:spacing w:after="0"/>
        <w:jc w:val="both"/>
        <w:rPr>
          <w:rFonts w:ascii="Arial" w:hAnsi="Arial" w:cs="Arial"/>
          <w:bCs/>
          <w:sz w:val="20"/>
          <w:szCs w:val="20"/>
        </w:rPr>
      </w:pPr>
    </w:p>
    <w:p w14:paraId="44CC5FA8" w14:textId="77777777" w:rsidR="00EC1E26" w:rsidRDefault="00EC1E26" w:rsidP="00F83FE4">
      <w:pPr>
        <w:autoSpaceDE w:val="0"/>
        <w:autoSpaceDN w:val="0"/>
        <w:adjustRightInd w:val="0"/>
        <w:spacing w:after="0"/>
        <w:jc w:val="both"/>
        <w:rPr>
          <w:rFonts w:ascii="Arial" w:hAnsi="Arial" w:cs="Arial"/>
          <w:bCs/>
          <w:sz w:val="20"/>
          <w:szCs w:val="20"/>
        </w:rPr>
      </w:pPr>
    </w:p>
    <w:p w14:paraId="6F7E79E8" w14:textId="77777777" w:rsidR="00EC1E26" w:rsidRDefault="00EC1E26" w:rsidP="00F83FE4">
      <w:pPr>
        <w:autoSpaceDE w:val="0"/>
        <w:autoSpaceDN w:val="0"/>
        <w:adjustRightInd w:val="0"/>
        <w:spacing w:after="0"/>
        <w:jc w:val="both"/>
        <w:rPr>
          <w:rFonts w:ascii="Arial" w:hAnsi="Arial" w:cs="Arial"/>
          <w:bCs/>
          <w:sz w:val="20"/>
          <w:szCs w:val="20"/>
        </w:rPr>
      </w:pPr>
    </w:p>
    <w:p w14:paraId="6217BD3A" w14:textId="77777777" w:rsidR="00EC1E26" w:rsidRDefault="00EC1E26" w:rsidP="00F83FE4">
      <w:pPr>
        <w:autoSpaceDE w:val="0"/>
        <w:autoSpaceDN w:val="0"/>
        <w:adjustRightInd w:val="0"/>
        <w:spacing w:after="0"/>
        <w:jc w:val="both"/>
        <w:rPr>
          <w:rFonts w:ascii="Arial" w:hAnsi="Arial" w:cs="Arial"/>
          <w:bCs/>
          <w:sz w:val="20"/>
          <w:szCs w:val="20"/>
        </w:rPr>
      </w:pPr>
    </w:p>
    <w:p w14:paraId="43C35554" w14:textId="77777777" w:rsidR="00EC1E26" w:rsidRDefault="00EC1E26" w:rsidP="00F83FE4">
      <w:pPr>
        <w:autoSpaceDE w:val="0"/>
        <w:autoSpaceDN w:val="0"/>
        <w:adjustRightInd w:val="0"/>
        <w:spacing w:after="0"/>
        <w:jc w:val="both"/>
        <w:rPr>
          <w:rFonts w:ascii="Arial" w:hAnsi="Arial" w:cs="Arial"/>
          <w:bCs/>
          <w:sz w:val="20"/>
          <w:szCs w:val="20"/>
        </w:rPr>
      </w:pPr>
    </w:p>
    <w:p w14:paraId="37AD49A3" w14:textId="77777777" w:rsidR="00EC1E26" w:rsidRDefault="00EC1E26" w:rsidP="00F83FE4">
      <w:pPr>
        <w:autoSpaceDE w:val="0"/>
        <w:autoSpaceDN w:val="0"/>
        <w:adjustRightInd w:val="0"/>
        <w:spacing w:after="0"/>
        <w:jc w:val="both"/>
        <w:rPr>
          <w:rFonts w:ascii="Arial" w:hAnsi="Arial" w:cs="Arial"/>
          <w:bCs/>
          <w:sz w:val="20"/>
          <w:szCs w:val="20"/>
        </w:rPr>
      </w:pPr>
    </w:p>
    <w:p w14:paraId="0DEECF0E" w14:textId="77777777" w:rsidR="00B8214A" w:rsidRDefault="00B8214A" w:rsidP="00F83FE4">
      <w:pPr>
        <w:autoSpaceDE w:val="0"/>
        <w:autoSpaceDN w:val="0"/>
        <w:adjustRightInd w:val="0"/>
        <w:spacing w:after="0"/>
        <w:jc w:val="both"/>
        <w:rPr>
          <w:rFonts w:ascii="Arial" w:hAnsi="Arial" w:cs="Arial"/>
          <w:bCs/>
          <w:sz w:val="20"/>
          <w:szCs w:val="20"/>
        </w:rPr>
      </w:pPr>
    </w:p>
    <w:p w14:paraId="1D8A0196" w14:textId="77777777" w:rsidR="00B8214A" w:rsidRDefault="00B8214A" w:rsidP="00F83FE4">
      <w:pPr>
        <w:autoSpaceDE w:val="0"/>
        <w:autoSpaceDN w:val="0"/>
        <w:adjustRightInd w:val="0"/>
        <w:spacing w:after="0"/>
        <w:jc w:val="both"/>
        <w:rPr>
          <w:rFonts w:ascii="Arial" w:hAnsi="Arial" w:cs="Arial"/>
          <w:bCs/>
          <w:sz w:val="20"/>
          <w:szCs w:val="20"/>
        </w:rPr>
      </w:pPr>
    </w:p>
    <w:p w14:paraId="526BA57E" w14:textId="77777777" w:rsidR="00B8214A" w:rsidRDefault="00B8214A" w:rsidP="00F83FE4">
      <w:pPr>
        <w:autoSpaceDE w:val="0"/>
        <w:autoSpaceDN w:val="0"/>
        <w:adjustRightInd w:val="0"/>
        <w:spacing w:after="0"/>
        <w:jc w:val="both"/>
        <w:rPr>
          <w:rFonts w:ascii="Arial" w:hAnsi="Arial" w:cs="Arial"/>
          <w:bCs/>
          <w:sz w:val="20"/>
          <w:szCs w:val="20"/>
        </w:rPr>
      </w:pPr>
    </w:p>
    <w:p w14:paraId="06B8AFFD" w14:textId="77777777" w:rsidR="00B8214A" w:rsidRDefault="00B8214A" w:rsidP="00F83FE4">
      <w:pPr>
        <w:autoSpaceDE w:val="0"/>
        <w:autoSpaceDN w:val="0"/>
        <w:adjustRightInd w:val="0"/>
        <w:spacing w:after="0"/>
        <w:jc w:val="both"/>
        <w:rPr>
          <w:rFonts w:ascii="Arial" w:hAnsi="Arial" w:cs="Arial"/>
          <w:bCs/>
          <w:sz w:val="20"/>
          <w:szCs w:val="20"/>
        </w:rPr>
      </w:pPr>
    </w:p>
    <w:p w14:paraId="76442EE2" w14:textId="77777777" w:rsidR="00B8214A" w:rsidRDefault="00B8214A" w:rsidP="00F83FE4">
      <w:pPr>
        <w:autoSpaceDE w:val="0"/>
        <w:autoSpaceDN w:val="0"/>
        <w:adjustRightInd w:val="0"/>
        <w:spacing w:after="0"/>
        <w:jc w:val="both"/>
        <w:rPr>
          <w:rFonts w:ascii="Arial" w:hAnsi="Arial" w:cs="Arial"/>
          <w:bCs/>
          <w:sz w:val="20"/>
          <w:szCs w:val="20"/>
        </w:rPr>
      </w:pPr>
    </w:p>
    <w:p w14:paraId="30C79A39" w14:textId="77777777" w:rsidR="00B8214A" w:rsidRDefault="00B8214A" w:rsidP="00F83FE4">
      <w:pPr>
        <w:autoSpaceDE w:val="0"/>
        <w:autoSpaceDN w:val="0"/>
        <w:adjustRightInd w:val="0"/>
        <w:spacing w:after="0"/>
        <w:jc w:val="both"/>
        <w:rPr>
          <w:rFonts w:ascii="Arial" w:hAnsi="Arial" w:cs="Arial"/>
          <w:bCs/>
          <w:sz w:val="20"/>
          <w:szCs w:val="20"/>
        </w:rPr>
      </w:pPr>
    </w:p>
    <w:p w14:paraId="74745BF0" w14:textId="77777777" w:rsidR="00B8214A" w:rsidRDefault="00B8214A" w:rsidP="00F83FE4">
      <w:pPr>
        <w:autoSpaceDE w:val="0"/>
        <w:autoSpaceDN w:val="0"/>
        <w:adjustRightInd w:val="0"/>
        <w:spacing w:after="0"/>
        <w:jc w:val="both"/>
        <w:rPr>
          <w:rFonts w:ascii="Arial" w:hAnsi="Arial" w:cs="Arial"/>
          <w:bCs/>
          <w:sz w:val="20"/>
          <w:szCs w:val="20"/>
        </w:rPr>
      </w:pPr>
    </w:p>
    <w:p w14:paraId="2EF80139" w14:textId="77777777" w:rsidR="00B8214A" w:rsidRDefault="00B8214A" w:rsidP="00F83FE4">
      <w:pPr>
        <w:autoSpaceDE w:val="0"/>
        <w:autoSpaceDN w:val="0"/>
        <w:adjustRightInd w:val="0"/>
        <w:spacing w:after="0"/>
        <w:jc w:val="both"/>
        <w:rPr>
          <w:rFonts w:ascii="Arial" w:hAnsi="Arial" w:cs="Arial"/>
          <w:bCs/>
          <w:sz w:val="20"/>
          <w:szCs w:val="20"/>
        </w:rPr>
      </w:pPr>
    </w:p>
    <w:p w14:paraId="7B53A512" w14:textId="77777777" w:rsidR="00B8214A" w:rsidRDefault="00B8214A" w:rsidP="00F83FE4">
      <w:pPr>
        <w:autoSpaceDE w:val="0"/>
        <w:autoSpaceDN w:val="0"/>
        <w:adjustRightInd w:val="0"/>
        <w:spacing w:after="0"/>
        <w:jc w:val="both"/>
        <w:rPr>
          <w:rFonts w:ascii="Arial" w:hAnsi="Arial" w:cs="Arial"/>
          <w:bCs/>
          <w:sz w:val="20"/>
          <w:szCs w:val="20"/>
        </w:rPr>
      </w:pPr>
    </w:p>
    <w:p w14:paraId="52F09AAD" w14:textId="77777777" w:rsidR="00B8214A" w:rsidRDefault="00B8214A" w:rsidP="00F83FE4">
      <w:pPr>
        <w:autoSpaceDE w:val="0"/>
        <w:autoSpaceDN w:val="0"/>
        <w:adjustRightInd w:val="0"/>
        <w:spacing w:after="0"/>
        <w:jc w:val="both"/>
        <w:rPr>
          <w:rFonts w:ascii="Arial" w:hAnsi="Arial" w:cs="Arial"/>
          <w:bCs/>
          <w:sz w:val="20"/>
          <w:szCs w:val="20"/>
        </w:rPr>
      </w:pPr>
    </w:p>
    <w:p w14:paraId="736AB17E" w14:textId="77777777" w:rsidR="00B8214A" w:rsidRDefault="00B8214A" w:rsidP="00F83FE4">
      <w:pPr>
        <w:autoSpaceDE w:val="0"/>
        <w:autoSpaceDN w:val="0"/>
        <w:adjustRightInd w:val="0"/>
        <w:spacing w:after="0"/>
        <w:jc w:val="both"/>
        <w:rPr>
          <w:rFonts w:ascii="Arial" w:hAnsi="Arial" w:cs="Arial"/>
          <w:bCs/>
          <w:sz w:val="20"/>
          <w:szCs w:val="20"/>
        </w:rPr>
      </w:pPr>
    </w:p>
    <w:p w14:paraId="5F281606" w14:textId="77777777" w:rsidR="00B8214A" w:rsidRDefault="00B8214A" w:rsidP="00F83FE4">
      <w:pPr>
        <w:autoSpaceDE w:val="0"/>
        <w:autoSpaceDN w:val="0"/>
        <w:adjustRightInd w:val="0"/>
        <w:spacing w:after="0"/>
        <w:jc w:val="both"/>
        <w:rPr>
          <w:rFonts w:ascii="Arial" w:hAnsi="Arial" w:cs="Arial"/>
          <w:bCs/>
          <w:sz w:val="20"/>
          <w:szCs w:val="20"/>
        </w:rPr>
      </w:pPr>
    </w:p>
    <w:p w14:paraId="1FE1C9B6" w14:textId="77777777" w:rsidR="00B8214A" w:rsidRDefault="00B8214A" w:rsidP="00F83FE4">
      <w:pPr>
        <w:autoSpaceDE w:val="0"/>
        <w:autoSpaceDN w:val="0"/>
        <w:adjustRightInd w:val="0"/>
        <w:spacing w:after="0"/>
        <w:jc w:val="both"/>
        <w:rPr>
          <w:rFonts w:ascii="Arial" w:hAnsi="Arial" w:cs="Arial"/>
          <w:bCs/>
          <w:sz w:val="20"/>
          <w:szCs w:val="20"/>
        </w:rPr>
      </w:pPr>
    </w:p>
    <w:p w14:paraId="34040351" w14:textId="77777777" w:rsidR="00B8214A" w:rsidRDefault="00B8214A" w:rsidP="00F83FE4">
      <w:pPr>
        <w:autoSpaceDE w:val="0"/>
        <w:autoSpaceDN w:val="0"/>
        <w:adjustRightInd w:val="0"/>
        <w:spacing w:after="0"/>
        <w:jc w:val="both"/>
        <w:rPr>
          <w:rFonts w:ascii="Arial" w:hAnsi="Arial" w:cs="Arial"/>
          <w:bCs/>
          <w:sz w:val="20"/>
          <w:szCs w:val="20"/>
        </w:rPr>
      </w:pPr>
    </w:p>
    <w:p w14:paraId="18FFF6BF" w14:textId="77777777" w:rsidR="00B8214A" w:rsidRDefault="00B8214A" w:rsidP="00F83FE4">
      <w:pPr>
        <w:autoSpaceDE w:val="0"/>
        <w:autoSpaceDN w:val="0"/>
        <w:adjustRightInd w:val="0"/>
        <w:spacing w:after="0"/>
        <w:jc w:val="both"/>
        <w:rPr>
          <w:rFonts w:ascii="Arial" w:hAnsi="Arial" w:cs="Arial"/>
          <w:bCs/>
          <w:sz w:val="20"/>
          <w:szCs w:val="20"/>
        </w:rPr>
      </w:pPr>
    </w:p>
    <w:p w14:paraId="2EA9B955" w14:textId="77777777" w:rsidR="00B8214A" w:rsidRDefault="00B8214A" w:rsidP="00F83FE4">
      <w:pPr>
        <w:autoSpaceDE w:val="0"/>
        <w:autoSpaceDN w:val="0"/>
        <w:adjustRightInd w:val="0"/>
        <w:spacing w:after="0"/>
        <w:jc w:val="both"/>
        <w:rPr>
          <w:rFonts w:ascii="Arial" w:hAnsi="Arial" w:cs="Arial"/>
          <w:bCs/>
          <w:sz w:val="20"/>
          <w:szCs w:val="20"/>
        </w:rPr>
      </w:pPr>
    </w:p>
    <w:p w14:paraId="4037B158" w14:textId="77777777" w:rsidR="00B8214A" w:rsidRDefault="00B8214A" w:rsidP="00F83FE4">
      <w:pPr>
        <w:autoSpaceDE w:val="0"/>
        <w:autoSpaceDN w:val="0"/>
        <w:adjustRightInd w:val="0"/>
        <w:spacing w:after="0"/>
        <w:jc w:val="both"/>
        <w:rPr>
          <w:rFonts w:ascii="Arial" w:hAnsi="Arial" w:cs="Arial"/>
          <w:bCs/>
          <w:sz w:val="20"/>
          <w:szCs w:val="20"/>
        </w:rPr>
      </w:pPr>
    </w:p>
    <w:p w14:paraId="339B510A" w14:textId="77777777" w:rsidR="00B8214A" w:rsidRDefault="00B8214A" w:rsidP="00F83FE4">
      <w:pPr>
        <w:autoSpaceDE w:val="0"/>
        <w:autoSpaceDN w:val="0"/>
        <w:adjustRightInd w:val="0"/>
        <w:spacing w:after="0"/>
        <w:jc w:val="both"/>
        <w:rPr>
          <w:rFonts w:ascii="Arial" w:hAnsi="Arial" w:cs="Arial"/>
          <w:bCs/>
          <w:sz w:val="20"/>
          <w:szCs w:val="20"/>
        </w:rPr>
      </w:pPr>
    </w:p>
    <w:p w14:paraId="6880BED4" w14:textId="77777777" w:rsidR="00EC1E26" w:rsidRDefault="00EC1E26" w:rsidP="00F83FE4">
      <w:pPr>
        <w:autoSpaceDE w:val="0"/>
        <w:autoSpaceDN w:val="0"/>
        <w:adjustRightInd w:val="0"/>
        <w:spacing w:after="0"/>
        <w:jc w:val="both"/>
        <w:rPr>
          <w:rFonts w:ascii="Arial" w:hAnsi="Arial" w:cs="Arial"/>
          <w:bCs/>
          <w:sz w:val="20"/>
          <w:szCs w:val="20"/>
        </w:rPr>
      </w:pPr>
    </w:p>
    <w:p w14:paraId="2E25AED2" w14:textId="77777777" w:rsidR="00EC1E26" w:rsidRDefault="00EC1E26" w:rsidP="00F83FE4">
      <w:pPr>
        <w:autoSpaceDE w:val="0"/>
        <w:autoSpaceDN w:val="0"/>
        <w:adjustRightInd w:val="0"/>
        <w:spacing w:after="0"/>
        <w:jc w:val="both"/>
        <w:rPr>
          <w:rFonts w:ascii="Arial" w:hAnsi="Arial" w:cs="Arial"/>
          <w:bCs/>
          <w:sz w:val="20"/>
          <w:szCs w:val="20"/>
        </w:rPr>
      </w:pPr>
    </w:p>
    <w:p w14:paraId="76B08607" w14:textId="77777777" w:rsidR="00EC1E26" w:rsidRDefault="00EC1E26" w:rsidP="00F83FE4">
      <w:pPr>
        <w:autoSpaceDE w:val="0"/>
        <w:autoSpaceDN w:val="0"/>
        <w:adjustRightInd w:val="0"/>
        <w:spacing w:after="0"/>
        <w:jc w:val="both"/>
        <w:rPr>
          <w:rFonts w:ascii="Arial" w:hAnsi="Arial" w:cs="Arial"/>
          <w:bCs/>
          <w:sz w:val="20"/>
          <w:szCs w:val="20"/>
        </w:rPr>
      </w:pPr>
    </w:p>
    <w:p w14:paraId="6D12AF47" w14:textId="77777777" w:rsidR="00EC1E26" w:rsidRDefault="00EC1E26" w:rsidP="00F83FE4">
      <w:pPr>
        <w:autoSpaceDE w:val="0"/>
        <w:autoSpaceDN w:val="0"/>
        <w:adjustRightInd w:val="0"/>
        <w:spacing w:after="0"/>
        <w:jc w:val="both"/>
        <w:rPr>
          <w:rFonts w:ascii="Arial" w:hAnsi="Arial" w:cs="Arial"/>
          <w:bCs/>
          <w:sz w:val="20"/>
          <w:szCs w:val="20"/>
        </w:rPr>
      </w:pPr>
    </w:p>
    <w:p w14:paraId="00DB3700" w14:textId="77777777" w:rsidR="00EC1E26" w:rsidRPr="00771162" w:rsidRDefault="00EC1E26" w:rsidP="00F83FE4">
      <w:pPr>
        <w:autoSpaceDE w:val="0"/>
        <w:autoSpaceDN w:val="0"/>
        <w:adjustRightInd w:val="0"/>
        <w:spacing w:after="0"/>
        <w:jc w:val="both"/>
        <w:rPr>
          <w:rFonts w:ascii="Arial" w:hAnsi="Arial" w:cs="Arial"/>
          <w:bCs/>
          <w:sz w:val="20"/>
          <w:szCs w:val="20"/>
        </w:rPr>
      </w:pPr>
    </w:p>
    <w:p w14:paraId="74D9A661" w14:textId="77777777" w:rsidR="00A16D9F" w:rsidRPr="00771162" w:rsidRDefault="00A16D9F" w:rsidP="00F83FE4">
      <w:pPr>
        <w:autoSpaceDE w:val="0"/>
        <w:autoSpaceDN w:val="0"/>
        <w:adjustRightInd w:val="0"/>
        <w:spacing w:after="0"/>
        <w:jc w:val="both"/>
        <w:rPr>
          <w:rFonts w:ascii="Arial" w:hAnsi="Arial" w:cs="Arial"/>
          <w:bCs/>
          <w:sz w:val="20"/>
          <w:szCs w:val="20"/>
        </w:rPr>
      </w:pPr>
    </w:p>
    <w:p w14:paraId="5CD0DDF6" w14:textId="77777777" w:rsidR="00166FB4" w:rsidRDefault="00245566" w:rsidP="00F83FE4">
      <w:pPr>
        <w:autoSpaceDE w:val="0"/>
        <w:autoSpaceDN w:val="0"/>
        <w:adjustRightInd w:val="0"/>
        <w:spacing w:after="0"/>
        <w:jc w:val="both"/>
        <w:rPr>
          <w:rFonts w:ascii="Arial" w:hAnsi="Arial" w:cs="Arial"/>
          <w:b/>
          <w:bCs/>
          <w:sz w:val="20"/>
          <w:szCs w:val="20"/>
        </w:rPr>
      </w:pPr>
      <w:r w:rsidRPr="00771162">
        <w:rPr>
          <w:rFonts w:ascii="Arial" w:hAnsi="Arial" w:cs="Arial"/>
          <w:b/>
          <w:bCs/>
          <w:sz w:val="20"/>
          <w:szCs w:val="20"/>
        </w:rPr>
        <w:t xml:space="preserve">Table 1: </w:t>
      </w:r>
      <w:r w:rsidR="00B64CCE" w:rsidRPr="00771162">
        <w:rPr>
          <w:rFonts w:ascii="Arial" w:hAnsi="Arial" w:cs="Arial"/>
          <w:b/>
          <w:bCs/>
          <w:sz w:val="20"/>
          <w:szCs w:val="20"/>
        </w:rPr>
        <w:t xml:space="preserve">Docking score of </w:t>
      </w:r>
      <w:r w:rsidR="00062C8A">
        <w:rPr>
          <w:rFonts w:ascii="Arial" w:hAnsi="Arial" w:cs="Arial"/>
          <w:b/>
          <w:bCs/>
          <w:sz w:val="20"/>
          <w:szCs w:val="20"/>
        </w:rPr>
        <w:t>androgen r</w:t>
      </w:r>
      <w:r w:rsidR="00C656DF" w:rsidRPr="00771162">
        <w:rPr>
          <w:rFonts w:ascii="Arial" w:hAnsi="Arial" w:cs="Arial"/>
          <w:b/>
          <w:bCs/>
          <w:sz w:val="20"/>
          <w:szCs w:val="20"/>
        </w:rPr>
        <w:t>eceptor</w:t>
      </w:r>
      <w:r w:rsidR="00321C70" w:rsidRPr="00771162">
        <w:rPr>
          <w:rFonts w:ascii="Arial" w:hAnsi="Arial" w:cs="Arial"/>
          <w:b/>
          <w:bCs/>
          <w:sz w:val="20"/>
          <w:szCs w:val="20"/>
        </w:rPr>
        <w:t xml:space="preserve"> (</w:t>
      </w:r>
      <w:r w:rsidR="00EC1E26">
        <w:rPr>
          <w:rFonts w:ascii="Arial" w:hAnsi="Arial" w:cs="Arial"/>
          <w:b/>
          <w:bCs/>
          <w:sz w:val="20"/>
          <w:szCs w:val="20"/>
        </w:rPr>
        <w:t>AR; PDB ID:</w:t>
      </w:r>
      <w:r w:rsidR="00321C70" w:rsidRPr="00771162">
        <w:rPr>
          <w:rFonts w:ascii="Arial" w:hAnsi="Arial" w:cs="Arial"/>
          <w:b/>
          <w:bCs/>
          <w:sz w:val="20"/>
          <w:szCs w:val="20"/>
        </w:rPr>
        <w:t>4OH6)</w:t>
      </w:r>
      <w:r w:rsidR="00B64CCE" w:rsidRPr="00771162">
        <w:rPr>
          <w:rFonts w:ascii="Arial" w:hAnsi="Arial" w:cs="Arial"/>
          <w:b/>
          <w:bCs/>
          <w:sz w:val="20"/>
          <w:szCs w:val="20"/>
        </w:rPr>
        <w:t xml:space="preserve"> </w:t>
      </w:r>
      <w:r w:rsidR="00443630" w:rsidRPr="00771162">
        <w:rPr>
          <w:rFonts w:ascii="Arial" w:hAnsi="Arial" w:cs="Arial"/>
          <w:b/>
          <w:bCs/>
          <w:sz w:val="20"/>
          <w:szCs w:val="20"/>
        </w:rPr>
        <w:t xml:space="preserve">against </w:t>
      </w:r>
      <w:r w:rsidR="00EC1E26" w:rsidRPr="00771162">
        <w:rPr>
          <w:rFonts w:ascii="Arial" w:hAnsi="Arial" w:cs="Arial"/>
          <w:b/>
          <w:bCs/>
          <w:sz w:val="20"/>
          <w:szCs w:val="20"/>
        </w:rPr>
        <w:t>andrographolide</w:t>
      </w:r>
      <w:r w:rsidR="00443630" w:rsidRPr="00771162">
        <w:rPr>
          <w:rFonts w:ascii="Arial" w:hAnsi="Arial" w:cs="Arial"/>
          <w:b/>
          <w:bCs/>
          <w:sz w:val="20"/>
          <w:szCs w:val="20"/>
        </w:rPr>
        <w:t xml:space="preserve"> and bicalutamide</w:t>
      </w:r>
    </w:p>
    <w:p w14:paraId="53DFFC02" w14:textId="77777777" w:rsidR="00A16D9F" w:rsidRPr="00771162" w:rsidRDefault="00A16D9F" w:rsidP="00F83FE4">
      <w:pPr>
        <w:autoSpaceDE w:val="0"/>
        <w:autoSpaceDN w:val="0"/>
        <w:adjustRightInd w:val="0"/>
        <w:spacing w:after="0"/>
        <w:jc w:val="both"/>
        <w:rPr>
          <w:rFonts w:ascii="Arial" w:hAnsi="Arial" w:cs="Arial"/>
          <w:b/>
          <w:sz w:val="20"/>
          <w:szCs w:val="20"/>
        </w:rPr>
      </w:pPr>
    </w:p>
    <w:tbl>
      <w:tblPr>
        <w:tblStyle w:val="TableGrid"/>
        <w:tblW w:w="0" w:type="auto"/>
        <w:tblLook w:val="04A0" w:firstRow="1" w:lastRow="0" w:firstColumn="1" w:lastColumn="0" w:noHBand="0" w:noVBand="1"/>
      </w:tblPr>
      <w:tblGrid>
        <w:gridCol w:w="3510"/>
        <w:gridCol w:w="2552"/>
        <w:gridCol w:w="2977"/>
      </w:tblGrid>
      <w:tr w:rsidR="00C656DF" w:rsidRPr="00771162" w14:paraId="603AB04D" w14:textId="77777777" w:rsidTr="000F5EF0">
        <w:trPr>
          <w:trHeight w:val="911"/>
        </w:trPr>
        <w:tc>
          <w:tcPr>
            <w:tcW w:w="3510" w:type="dxa"/>
            <w:vAlign w:val="center"/>
          </w:tcPr>
          <w:p w14:paraId="52D3CA2B" w14:textId="77777777" w:rsidR="00C656DF" w:rsidRPr="00771162" w:rsidRDefault="00C656DF"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LIGAND</w:t>
            </w:r>
          </w:p>
        </w:tc>
        <w:tc>
          <w:tcPr>
            <w:tcW w:w="2552" w:type="dxa"/>
            <w:vAlign w:val="center"/>
          </w:tcPr>
          <w:p w14:paraId="21FFAD9D" w14:textId="77777777" w:rsidR="00C656DF" w:rsidRPr="00771162" w:rsidRDefault="00C656DF" w:rsidP="008D0503">
            <w:pPr>
              <w:keepNext/>
              <w:autoSpaceDE w:val="0"/>
              <w:autoSpaceDN w:val="0"/>
              <w:adjustRightInd w:val="0"/>
              <w:jc w:val="center"/>
              <w:rPr>
                <w:rFonts w:ascii="Arial" w:hAnsi="Arial" w:cs="Arial"/>
                <w:b/>
                <w:bCs/>
                <w:sz w:val="20"/>
                <w:szCs w:val="20"/>
              </w:rPr>
            </w:pPr>
            <w:r w:rsidRPr="00771162">
              <w:rPr>
                <w:rFonts w:ascii="Arial" w:hAnsi="Arial" w:cs="Arial"/>
                <w:b/>
                <w:bCs/>
                <w:sz w:val="20"/>
                <w:szCs w:val="20"/>
              </w:rPr>
              <w:t>Binding affinity energy (kcal/mol)</w:t>
            </w:r>
          </w:p>
        </w:tc>
        <w:tc>
          <w:tcPr>
            <w:tcW w:w="2977" w:type="dxa"/>
            <w:vAlign w:val="center"/>
          </w:tcPr>
          <w:p w14:paraId="68B41947" w14:textId="77777777" w:rsidR="00C656DF" w:rsidRPr="00771162" w:rsidRDefault="00C656DF" w:rsidP="008D0503">
            <w:pPr>
              <w:keepNext/>
              <w:autoSpaceDE w:val="0"/>
              <w:autoSpaceDN w:val="0"/>
              <w:adjustRightInd w:val="0"/>
              <w:jc w:val="center"/>
              <w:rPr>
                <w:rFonts w:ascii="Arial" w:hAnsi="Arial" w:cs="Arial"/>
                <w:b/>
                <w:bCs/>
                <w:sz w:val="20"/>
                <w:szCs w:val="20"/>
              </w:rPr>
            </w:pPr>
            <w:r w:rsidRPr="00771162">
              <w:rPr>
                <w:rFonts w:ascii="Arial" w:hAnsi="Arial" w:cs="Arial"/>
                <w:b/>
                <w:bCs/>
                <w:sz w:val="20"/>
                <w:szCs w:val="20"/>
              </w:rPr>
              <w:t>Intermolecular H bonds Distance (Å)</w:t>
            </w:r>
          </w:p>
        </w:tc>
      </w:tr>
      <w:tr w:rsidR="00245566" w:rsidRPr="00771162" w14:paraId="57325914" w14:textId="77777777" w:rsidTr="008D0503">
        <w:trPr>
          <w:trHeight w:val="309"/>
        </w:trPr>
        <w:tc>
          <w:tcPr>
            <w:tcW w:w="3510" w:type="dxa"/>
            <w:vAlign w:val="center"/>
          </w:tcPr>
          <w:p w14:paraId="468A6F4F"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bCs/>
                <w:sz w:val="20"/>
                <w:szCs w:val="20"/>
              </w:rPr>
              <w:t>Phytochemical-andrographolide</w:t>
            </w:r>
          </w:p>
        </w:tc>
        <w:tc>
          <w:tcPr>
            <w:tcW w:w="2552" w:type="dxa"/>
            <w:vAlign w:val="center"/>
          </w:tcPr>
          <w:p w14:paraId="47DD14C6"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-6.7</w:t>
            </w:r>
          </w:p>
        </w:tc>
        <w:tc>
          <w:tcPr>
            <w:tcW w:w="2977" w:type="dxa"/>
            <w:vAlign w:val="center"/>
          </w:tcPr>
          <w:p w14:paraId="0772B910"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2.74</w:t>
            </w:r>
          </w:p>
        </w:tc>
      </w:tr>
      <w:tr w:rsidR="00245566" w:rsidRPr="00771162" w14:paraId="269F2440" w14:textId="77777777" w:rsidTr="008D0503">
        <w:tc>
          <w:tcPr>
            <w:tcW w:w="3510" w:type="dxa"/>
            <w:vAlign w:val="center"/>
          </w:tcPr>
          <w:p w14:paraId="41902BEF"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Drug-Bicalutamide</w:t>
            </w:r>
          </w:p>
        </w:tc>
        <w:tc>
          <w:tcPr>
            <w:tcW w:w="2552" w:type="dxa"/>
            <w:vAlign w:val="center"/>
          </w:tcPr>
          <w:p w14:paraId="52F2373B"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-6.5</w:t>
            </w:r>
          </w:p>
        </w:tc>
        <w:tc>
          <w:tcPr>
            <w:tcW w:w="2977" w:type="dxa"/>
            <w:vAlign w:val="center"/>
          </w:tcPr>
          <w:p w14:paraId="313DB03F"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1.81,1.97,2.17,2.43,2.59</w:t>
            </w:r>
          </w:p>
        </w:tc>
      </w:tr>
    </w:tbl>
    <w:p w14:paraId="423E6A0A" w14:textId="77777777" w:rsidR="00245566" w:rsidRPr="00771162" w:rsidRDefault="00245566" w:rsidP="00245566">
      <w:pPr>
        <w:keepNext/>
        <w:autoSpaceDE w:val="0"/>
        <w:autoSpaceDN w:val="0"/>
        <w:adjustRightInd w:val="0"/>
        <w:spacing w:after="0" w:line="480" w:lineRule="auto"/>
        <w:jc w:val="both"/>
        <w:rPr>
          <w:rFonts w:ascii="Arial" w:hAnsi="Arial" w:cs="Arial"/>
          <w:bCs/>
          <w:sz w:val="20"/>
          <w:szCs w:val="20"/>
        </w:rPr>
      </w:pPr>
    </w:p>
    <w:p w14:paraId="6F76E3B6" w14:textId="77777777" w:rsidR="00245566" w:rsidRPr="00771162" w:rsidRDefault="00245566" w:rsidP="00166FB4">
      <w:pPr>
        <w:keepNext/>
        <w:autoSpaceDE w:val="0"/>
        <w:autoSpaceDN w:val="0"/>
        <w:adjustRightInd w:val="0"/>
        <w:spacing w:after="0"/>
        <w:jc w:val="both"/>
        <w:rPr>
          <w:rFonts w:ascii="Arial" w:hAnsi="Arial" w:cs="Arial"/>
          <w:b/>
          <w:bCs/>
          <w:sz w:val="20"/>
          <w:szCs w:val="20"/>
        </w:rPr>
      </w:pPr>
      <w:r w:rsidRPr="00771162">
        <w:rPr>
          <w:rFonts w:ascii="Arial" w:hAnsi="Arial" w:cs="Arial"/>
          <w:b/>
          <w:bCs/>
          <w:sz w:val="20"/>
          <w:szCs w:val="20"/>
        </w:rPr>
        <w:t>Table 2:</w:t>
      </w:r>
      <w:r w:rsidR="00443630" w:rsidRPr="00771162">
        <w:rPr>
          <w:rFonts w:ascii="Arial" w:hAnsi="Arial" w:cs="Arial"/>
          <w:b/>
          <w:bCs/>
          <w:sz w:val="20"/>
          <w:szCs w:val="20"/>
        </w:rPr>
        <w:t xml:space="preserve"> Docking score of </w:t>
      </w:r>
      <w:r w:rsidR="00062C8A">
        <w:rPr>
          <w:rFonts w:ascii="Arial" w:hAnsi="Arial" w:cs="Arial"/>
          <w:b/>
          <w:bCs/>
          <w:sz w:val="20"/>
          <w:szCs w:val="20"/>
        </w:rPr>
        <w:t>s</w:t>
      </w:r>
      <w:r w:rsidR="00443630" w:rsidRPr="00771162">
        <w:rPr>
          <w:rFonts w:ascii="Arial" w:hAnsi="Arial" w:cs="Arial"/>
          <w:b/>
          <w:bCs/>
          <w:sz w:val="20"/>
          <w:szCs w:val="20"/>
        </w:rPr>
        <w:t>teroid17-alpha hydroxylase/17, 20 lyase (</w:t>
      </w:r>
      <w:r w:rsidR="00EC1E26" w:rsidRPr="00EC1E26">
        <w:rPr>
          <w:rFonts w:ascii="Arial" w:hAnsi="Arial" w:cs="Arial"/>
          <w:b/>
          <w:bCs/>
          <w:sz w:val="20"/>
          <w:szCs w:val="20"/>
        </w:rPr>
        <w:t>CYP17A1</w:t>
      </w:r>
      <w:r w:rsidR="00EC1E26">
        <w:rPr>
          <w:rFonts w:ascii="Arial" w:hAnsi="Arial" w:cs="Arial"/>
          <w:b/>
          <w:bCs/>
          <w:sz w:val="20"/>
          <w:szCs w:val="20"/>
        </w:rPr>
        <w:t>;</w:t>
      </w:r>
      <w:r w:rsidR="00EC1E26" w:rsidRPr="00EC1E26">
        <w:rPr>
          <w:rFonts w:ascii="Arial" w:hAnsi="Arial" w:cs="Arial"/>
          <w:b/>
          <w:bCs/>
          <w:sz w:val="20"/>
          <w:szCs w:val="20"/>
        </w:rPr>
        <w:t xml:space="preserve"> </w:t>
      </w:r>
      <w:r w:rsidR="00EC1E26">
        <w:rPr>
          <w:rFonts w:ascii="Arial" w:hAnsi="Arial" w:cs="Arial"/>
          <w:b/>
          <w:bCs/>
          <w:sz w:val="20"/>
          <w:szCs w:val="20"/>
        </w:rPr>
        <w:t>PDB ID:</w:t>
      </w:r>
      <w:r w:rsidR="00443630" w:rsidRPr="00771162">
        <w:rPr>
          <w:rFonts w:ascii="Arial" w:hAnsi="Arial" w:cs="Arial"/>
          <w:b/>
          <w:bCs/>
          <w:sz w:val="20"/>
          <w:szCs w:val="20"/>
        </w:rPr>
        <w:t xml:space="preserve"> 5IRV)  against </w:t>
      </w:r>
      <w:r w:rsidR="00EC1E26" w:rsidRPr="00771162">
        <w:rPr>
          <w:rFonts w:ascii="Arial" w:hAnsi="Arial" w:cs="Arial"/>
          <w:b/>
          <w:bCs/>
          <w:sz w:val="20"/>
          <w:szCs w:val="20"/>
        </w:rPr>
        <w:t>andrographolide</w:t>
      </w:r>
      <w:r w:rsidR="00062C8A">
        <w:rPr>
          <w:rFonts w:ascii="Arial" w:hAnsi="Arial" w:cs="Arial"/>
          <w:b/>
          <w:bCs/>
          <w:sz w:val="20"/>
          <w:szCs w:val="20"/>
        </w:rPr>
        <w:t xml:space="preserve"> and abiraterone a</w:t>
      </w:r>
      <w:r w:rsidR="00443630" w:rsidRPr="00771162">
        <w:rPr>
          <w:rFonts w:ascii="Arial" w:hAnsi="Arial" w:cs="Arial"/>
          <w:b/>
          <w:bCs/>
          <w:sz w:val="20"/>
          <w:szCs w:val="20"/>
        </w:rPr>
        <w:t>cetate</w:t>
      </w:r>
    </w:p>
    <w:p w14:paraId="3F0AB467" w14:textId="77777777" w:rsidR="00166FB4" w:rsidRPr="00771162" w:rsidRDefault="00166FB4" w:rsidP="00166FB4">
      <w:pPr>
        <w:keepNext/>
        <w:autoSpaceDE w:val="0"/>
        <w:autoSpaceDN w:val="0"/>
        <w:adjustRightInd w:val="0"/>
        <w:spacing w:after="0"/>
        <w:jc w:val="both"/>
        <w:rPr>
          <w:rFonts w:ascii="Arial" w:hAnsi="Arial" w:cs="Arial"/>
          <w:sz w:val="20"/>
          <w:szCs w:val="20"/>
        </w:rPr>
      </w:pPr>
    </w:p>
    <w:tbl>
      <w:tblPr>
        <w:tblStyle w:val="TableGrid"/>
        <w:tblW w:w="0" w:type="auto"/>
        <w:tblLook w:val="04A0" w:firstRow="1" w:lastRow="0" w:firstColumn="1" w:lastColumn="0" w:noHBand="0" w:noVBand="1"/>
      </w:tblPr>
      <w:tblGrid>
        <w:gridCol w:w="3510"/>
        <w:gridCol w:w="2651"/>
        <w:gridCol w:w="2878"/>
      </w:tblGrid>
      <w:tr w:rsidR="00245566" w:rsidRPr="00771162" w14:paraId="58C0BFBB" w14:textId="77777777" w:rsidTr="008D0503">
        <w:trPr>
          <w:trHeight w:val="666"/>
        </w:trPr>
        <w:tc>
          <w:tcPr>
            <w:tcW w:w="3510" w:type="dxa"/>
            <w:vAlign w:val="center"/>
          </w:tcPr>
          <w:p w14:paraId="18B7B3DA" w14:textId="77777777" w:rsidR="00245566" w:rsidRPr="00771162" w:rsidRDefault="00245566"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LIGAND</w:t>
            </w:r>
          </w:p>
        </w:tc>
        <w:tc>
          <w:tcPr>
            <w:tcW w:w="2651" w:type="dxa"/>
            <w:vAlign w:val="center"/>
          </w:tcPr>
          <w:p w14:paraId="5A7B8344" w14:textId="77777777" w:rsidR="00245566" w:rsidRPr="00771162" w:rsidRDefault="00C656DF"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Binding affinity energy (kcal/mol)</w:t>
            </w:r>
          </w:p>
        </w:tc>
        <w:tc>
          <w:tcPr>
            <w:tcW w:w="2878" w:type="dxa"/>
            <w:vAlign w:val="center"/>
          </w:tcPr>
          <w:p w14:paraId="4F67B612" w14:textId="77777777" w:rsidR="00245566" w:rsidRPr="00771162" w:rsidRDefault="00C656DF"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 xml:space="preserve">Intermolecular H bonds </w:t>
            </w:r>
            <w:r w:rsidR="00245566" w:rsidRPr="00771162">
              <w:rPr>
                <w:rFonts w:ascii="Arial" w:hAnsi="Arial" w:cs="Arial"/>
                <w:b/>
                <w:sz w:val="20"/>
                <w:szCs w:val="20"/>
              </w:rPr>
              <w:t>Distance (Å)</w:t>
            </w:r>
          </w:p>
        </w:tc>
      </w:tr>
      <w:tr w:rsidR="00245566" w:rsidRPr="00771162" w14:paraId="0FE1F2CC" w14:textId="77777777" w:rsidTr="008D0503">
        <w:trPr>
          <w:trHeight w:val="265"/>
        </w:trPr>
        <w:tc>
          <w:tcPr>
            <w:tcW w:w="3510" w:type="dxa"/>
            <w:vAlign w:val="center"/>
          </w:tcPr>
          <w:p w14:paraId="7588580D"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bCs/>
                <w:sz w:val="20"/>
                <w:szCs w:val="20"/>
              </w:rPr>
              <w:t>Phytochemical-andrographolide</w:t>
            </w:r>
          </w:p>
        </w:tc>
        <w:tc>
          <w:tcPr>
            <w:tcW w:w="2651" w:type="dxa"/>
            <w:vAlign w:val="center"/>
          </w:tcPr>
          <w:p w14:paraId="0AA6D2E0"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-8.6</w:t>
            </w:r>
          </w:p>
        </w:tc>
        <w:tc>
          <w:tcPr>
            <w:tcW w:w="2878" w:type="dxa"/>
            <w:vAlign w:val="center"/>
          </w:tcPr>
          <w:p w14:paraId="3CF4A16F"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1.99,2.44,2.47,2.75</w:t>
            </w:r>
          </w:p>
        </w:tc>
      </w:tr>
      <w:tr w:rsidR="00245566" w:rsidRPr="00771162" w14:paraId="79E91D9E" w14:textId="77777777" w:rsidTr="00166FB4">
        <w:tc>
          <w:tcPr>
            <w:tcW w:w="3510" w:type="dxa"/>
            <w:vAlign w:val="center"/>
          </w:tcPr>
          <w:p w14:paraId="6A2C3CEC"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Drug-Abiraterone Acetate</w:t>
            </w:r>
          </w:p>
        </w:tc>
        <w:tc>
          <w:tcPr>
            <w:tcW w:w="2651" w:type="dxa"/>
            <w:vAlign w:val="center"/>
          </w:tcPr>
          <w:p w14:paraId="3E2A0825"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-10.5</w:t>
            </w:r>
          </w:p>
        </w:tc>
        <w:tc>
          <w:tcPr>
            <w:tcW w:w="2878" w:type="dxa"/>
            <w:vAlign w:val="center"/>
          </w:tcPr>
          <w:p w14:paraId="6D87482F"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2.69,3.05</w:t>
            </w:r>
          </w:p>
        </w:tc>
      </w:tr>
    </w:tbl>
    <w:p w14:paraId="7F2241FC" w14:textId="77777777" w:rsidR="00245566" w:rsidRPr="00771162" w:rsidRDefault="00166FB4" w:rsidP="00166FB4">
      <w:pPr>
        <w:tabs>
          <w:tab w:val="left" w:pos="1795"/>
        </w:tabs>
        <w:autoSpaceDE w:val="0"/>
        <w:autoSpaceDN w:val="0"/>
        <w:adjustRightInd w:val="0"/>
        <w:spacing w:after="0" w:line="480" w:lineRule="auto"/>
        <w:jc w:val="both"/>
        <w:rPr>
          <w:rFonts w:ascii="Arial" w:hAnsi="Arial" w:cs="Arial"/>
          <w:b/>
          <w:bCs/>
          <w:sz w:val="20"/>
          <w:szCs w:val="20"/>
        </w:rPr>
      </w:pPr>
      <w:r w:rsidRPr="00771162">
        <w:rPr>
          <w:rFonts w:ascii="Arial" w:hAnsi="Arial" w:cs="Arial"/>
          <w:b/>
          <w:bCs/>
          <w:sz w:val="20"/>
          <w:szCs w:val="20"/>
        </w:rPr>
        <w:tab/>
      </w:r>
    </w:p>
    <w:p w14:paraId="604A7008" w14:textId="77777777" w:rsidR="00245566" w:rsidRPr="00771162" w:rsidRDefault="00245566" w:rsidP="00245566">
      <w:pPr>
        <w:keepNext/>
        <w:autoSpaceDE w:val="0"/>
        <w:autoSpaceDN w:val="0"/>
        <w:adjustRightInd w:val="0"/>
        <w:spacing w:after="0" w:line="480" w:lineRule="auto"/>
        <w:jc w:val="both"/>
        <w:rPr>
          <w:rFonts w:ascii="Arial" w:hAnsi="Arial" w:cs="Arial"/>
          <w:b/>
          <w:sz w:val="20"/>
          <w:szCs w:val="20"/>
        </w:rPr>
      </w:pPr>
      <w:r w:rsidRPr="00771162">
        <w:rPr>
          <w:rFonts w:ascii="Arial" w:hAnsi="Arial" w:cs="Arial"/>
          <w:b/>
          <w:sz w:val="20"/>
          <w:szCs w:val="20"/>
        </w:rPr>
        <w:t xml:space="preserve">Table </w:t>
      </w:r>
      <w:r w:rsidR="00A16D9F" w:rsidRPr="00771162">
        <w:rPr>
          <w:rFonts w:ascii="Arial" w:hAnsi="Arial" w:cs="Arial"/>
          <w:b/>
          <w:sz w:val="20"/>
          <w:szCs w:val="20"/>
        </w:rPr>
        <w:t>3</w:t>
      </w:r>
      <w:r w:rsidRPr="00771162">
        <w:rPr>
          <w:rFonts w:ascii="Arial" w:hAnsi="Arial" w:cs="Arial"/>
          <w:b/>
          <w:sz w:val="20"/>
          <w:szCs w:val="20"/>
        </w:rPr>
        <w:t>: The drug- like parameters of Andrographolide</w:t>
      </w:r>
    </w:p>
    <w:tbl>
      <w:tblPr>
        <w:tblStyle w:val="TableGrid"/>
        <w:tblW w:w="0" w:type="auto"/>
        <w:tblLook w:val="04A0" w:firstRow="1" w:lastRow="0" w:firstColumn="1" w:lastColumn="0" w:noHBand="0" w:noVBand="1"/>
      </w:tblPr>
      <w:tblGrid>
        <w:gridCol w:w="817"/>
        <w:gridCol w:w="4820"/>
        <w:gridCol w:w="3402"/>
      </w:tblGrid>
      <w:tr w:rsidR="00245566" w:rsidRPr="00771162" w14:paraId="6D727AEC" w14:textId="77777777" w:rsidTr="00166FB4">
        <w:tc>
          <w:tcPr>
            <w:tcW w:w="817" w:type="dxa"/>
            <w:vAlign w:val="center"/>
          </w:tcPr>
          <w:p w14:paraId="22B8DD1E" w14:textId="77777777" w:rsidR="00245566" w:rsidRPr="00771162" w:rsidRDefault="00245566" w:rsidP="00166FB4">
            <w:pPr>
              <w:autoSpaceDE w:val="0"/>
              <w:autoSpaceDN w:val="0"/>
              <w:adjustRightInd w:val="0"/>
              <w:spacing w:line="480" w:lineRule="auto"/>
              <w:contextualSpacing/>
              <w:jc w:val="center"/>
              <w:rPr>
                <w:rFonts w:ascii="Arial" w:hAnsi="Arial" w:cs="Arial"/>
                <w:b/>
                <w:bCs/>
                <w:sz w:val="20"/>
                <w:szCs w:val="20"/>
              </w:rPr>
            </w:pPr>
            <w:r w:rsidRPr="00771162">
              <w:rPr>
                <w:rFonts w:ascii="Arial" w:hAnsi="Arial" w:cs="Arial"/>
                <w:b/>
                <w:bCs/>
                <w:sz w:val="20"/>
                <w:szCs w:val="20"/>
              </w:rPr>
              <w:t>S. No</w:t>
            </w:r>
          </w:p>
        </w:tc>
        <w:tc>
          <w:tcPr>
            <w:tcW w:w="4820" w:type="dxa"/>
            <w:vAlign w:val="center"/>
          </w:tcPr>
          <w:p w14:paraId="29078531"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b/>
                <w:bCs/>
                <w:sz w:val="20"/>
                <w:szCs w:val="20"/>
              </w:rPr>
              <w:t>Properties</w:t>
            </w:r>
          </w:p>
        </w:tc>
        <w:tc>
          <w:tcPr>
            <w:tcW w:w="3402" w:type="dxa"/>
            <w:vAlign w:val="center"/>
          </w:tcPr>
          <w:p w14:paraId="208D729B"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b/>
                <w:bCs/>
                <w:sz w:val="20"/>
                <w:szCs w:val="20"/>
              </w:rPr>
              <w:t>Value</w:t>
            </w:r>
          </w:p>
        </w:tc>
      </w:tr>
      <w:tr w:rsidR="00245566" w:rsidRPr="00771162" w14:paraId="4490D2BF" w14:textId="77777777" w:rsidTr="00166FB4">
        <w:tc>
          <w:tcPr>
            <w:tcW w:w="817" w:type="dxa"/>
            <w:vAlign w:val="center"/>
          </w:tcPr>
          <w:p w14:paraId="5BE2AF09" w14:textId="77777777" w:rsidR="00245566" w:rsidRPr="00771162" w:rsidRDefault="00245566" w:rsidP="00166FB4">
            <w:pPr>
              <w:spacing w:line="480" w:lineRule="auto"/>
              <w:contextualSpacing/>
              <w:jc w:val="center"/>
              <w:rPr>
                <w:rFonts w:ascii="Arial" w:hAnsi="Arial" w:cs="Arial"/>
                <w:sz w:val="20"/>
                <w:szCs w:val="20"/>
              </w:rPr>
            </w:pPr>
            <w:r w:rsidRPr="00771162">
              <w:rPr>
                <w:rFonts w:ascii="Arial" w:hAnsi="Arial" w:cs="Arial"/>
                <w:sz w:val="20"/>
                <w:szCs w:val="20"/>
              </w:rPr>
              <w:t>1</w:t>
            </w:r>
          </w:p>
        </w:tc>
        <w:tc>
          <w:tcPr>
            <w:tcW w:w="4820" w:type="dxa"/>
            <w:vAlign w:val="center"/>
          </w:tcPr>
          <w:p w14:paraId="2261DD7D"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Slog P</w:t>
            </w:r>
          </w:p>
        </w:tc>
        <w:tc>
          <w:tcPr>
            <w:tcW w:w="3402" w:type="dxa"/>
            <w:vAlign w:val="center"/>
          </w:tcPr>
          <w:p w14:paraId="1F7AC97F"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1.699</w:t>
            </w:r>
          </w:p>
        </w:tc>
      </w:tr>
      <w:tr w:rsidR="00245566" w:rsidRPr="00771162" w14:paraId="362C682D" w14:textId="77777777" w:rsidTr="00166FB4">
        <w:tc>
          <w:tcPr>
            <w:tcW w:w="817" w:type="dxa"/>
            <w:vAlign w:val="center"/>
          </w:tcPr>
          <w:p w14:paraId="02F1B96A"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2</w:t>
            </w:r>
          </w:p>
        </w:tc>
        <w:tc>
          <w:tcPr>
            <w:tcW w:w="4820" w:type="dxa"/>
            <w:vAlign w:val="center"/>
          </w:tcPr>
          <w:p w14:paraId="0E62CAB0"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Slog</w:t>
            </w:r>
            <w:r w:rsidR="00BF3128" w:rsidRPr="00771162">
              <w:rPr>
                <w:rFonts w:ascii="Arial" w:hAnsi="Arial" w:cs="Arial"/>
                <w:sz w:val="20"/>
                <w:szCs w:val="20"/>
              </w:rPr>
              <w:t xml:space="preserve"> </w:t>
            </w:r>
            <w:r w:rsidRPr="00771162">
              <w:rPr>
                <w:rFonts w:ascii="Arial" w:hAnsi="Arial" w:cs="Arial"/>
                <w:sz w:val="20"/>
                <w:szCs w:val="20"/>
              </w:rPr>
              <w:t>D</w:t>
            </w:r>
          </w:p>
        </w:tc>
        <w:tc>
          <w:tcPr>
            <w:tcW w:w="3402" w:type="dxa"/>
            <w:vAlign w:val="center"/>
          </w:tcPr>
          <w:p w14:paraId="7F0677BC"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1.699</w:t>
            </w:r>
          </w:p>
        </w:tc>
      </w:tr>
      <w:tr w:rsidR="00245566" w:rsidRPr="00771162" w14:paraId="23E0E085" w14:textId="77777777" w:rsidTr="00166FB4">
        <w:tc>
          <w:tcPr>
            <w:tcW w:w="817" w:type="dxa"/>
            <w:vAlign w:val="center"/>
          </w:tcPr>
          <w:p w14:paraId="60A54A02" w14:textId="77777777" w:rsidR="00245566" w:rsidRPr="00771162" w:rsidRDefault="00245566" w:rsidP="00166FB4">
            <w:pPr>
              <w:spacing w:line="480" w:lineRule="auto"/>
              <w:contextualSpacing/>
              <w:jc w:val="center"/>
              <w:rPr>
                <w:rFonts w:ascii="Arial" w:hAnsi="Arial" w:cs="Arial"/>
                <w:sz w:val="20"/>
                <w:szCs w:val="20"/>
              </w:rPr>
            </w:pPr>
            <w:r w:rsidRPr="00771162">
              <w:rPr>
                <w:rFonts w:ascii="Arial" w:hAnsi="Arial" w:cs="Arial"/>
                <w:sz w:val="20"/>
                <w:szCs w:val="20"/>
              </w:rPr>
              <w:t>3</w:t>
            </w:r>
          </w:p>
        </w:tc>
        <w:tc>
          <w:tcPr>
            <w:tcW w:w="4820" w:type="dxa"/>
            <w:vAlign w:val="center"/>
          </w:tcPr>
          <w:p w14:paraId="40150964" w14:textId="77777777" w:rsidR="00245566" w:rsidRPr="00771162" w:rsidRDefault="00BF3128"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M</w:t>
            </w:r>
            <w:r w:rsidR="00245566" w:rsidRPr="00771162">
              <w:rPr>
                <w:rFonts w:ascii="Arial" w:hAnsi="Arial" w:cs="Arial"/>
                <w:sz w:val="20"/>
                <w:szCs w:val="20"/>
              </w:rPr>
              <w:t>log</w:t>
            </w:r>
            <w:r w:rsidRPr="00771162">
              <w:rPr>
                <w:rFonts w:ascii="Arial" w:hAnsi="Arial" w:cs="Arial"/>
                <w:sz w:val="20"/>
                <w:szCs w:val="20"/>
              </w:rPr>
              <w:t xml:space="preserve"> </w:t>
            </w:r>
            <w:r w:rsidR="00245566" w:rsidRPr="00771162">
              <w:rPr>
                <w:rFonts w:ascii="Arial" w:hAnsi="Arial" w:cs="Arial"/>
                <w:sz w:val="20"/>
                <w:szCs w:val="20"/>
              </w:rPr>
              <w:t>P</w:t>
            </w:r>
          </w:p>
        </w:tc>
        <w:tc>
          <w:tcPr>
            <w:tcW w:w="3402" w:type="dxa"/>
            <w:vAlign w:val="center"/>
          </w:tcPr>
          <w:p w14:paraId="021612EE"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1.801</w:t>
            </w:r>
          </w:p>
        </w:tc>
      </w:tr>
      <w:tr w:rsidR="00245566" w:rsidRPr="00771162" w14:paraId="0C80EC8B" w14:textId="77777777" w:rsidTr="00166FB4">
        <w:tc>
          <w:tcPr>
            <w:tcW w:w="817" w:type="dxa"/>
            <w:vAlign w:val="center"/>
          </w:tcPr>
          <w:p w14:paraId="051220AB"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4</w:t>
            </w:r>
          </w:p>
        </w:tc>
        <w:tc>
          <w:tcPr>
            <w:tcW w:w="4820" w:type="dxa"/>
            <w:vAlign w:val="center"/>
          </w:tcPr>
          <w:p w14:paraId="237BFC24"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Molecular weight</w:t>
            </w:r>
          </w:p>
        </w:tc>
        <w:tc>
          <w:tcPr>
            <w:tcW w:w="3402" w:type="dxa"/>
            <w:vAlign w:val="center"/>
          </w:tcPr>
          <w:p w14:paraId="6684B782"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350.458</w:t>
            </w:r>
          </w:p>
        </w:tc>
      </w:tr>
      <w:tr w:rsidR="00245566" w:rsidRPr="00771162" w14:paraId="2294B3CD" w14:textId="77777777" w:rsidTr="00166FB4">
        <w:tc>
          <w:tcPr>
            <w:tcW w:w="817" w:type="dxa"/>
            <w:vAlign w:val="center"/>
          </w:tcPr>
          <w:p w14:paraId="48FF3CB4"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lastRenderedPageBreak/>
              <w:t>5</w:t>
            </w:r>
          </w:p>
        </w:tc>
        <w:tc>
          <w:tcPr>
            <w:tcW w:w="4820" w:type="dxa"/>
            <w:vAlign w:val="center"/>
          </w:tcPr>
          <w:p w14:paraId="02C8A5AD"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Hydrogen Bond Donor</w:t>
            </w:r>
          </w:p>
        </w:tc>
        <w:tc>
          <w:tcPr>
            <w:tcW w:w="3402" w:type="dxa"/>
            <w:vAlign w:val="center"/>
          </w:tcPr>
          <w:p w14:paraId="6688A0FB"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3.000</w:t>
            </w:r>
          </w:p>
        </w:tc>
      </w:tr>
      <w:tr w:rsidR="00245566" w:rsidRPr="00771162" w14:paraId="7DEE4089" w14:textId="77777777" w:rsidTr="00166FB4">
        <w:tc>
          <w:tcPr>
            <w:tcW w:w="817" w:type="dxa"/>
            <w:vAlign w:val="center"/>
          </w:tcPr>
          <w:p w14:paraId="3DC27832"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6</w:t>
            </w:r>
          </w:p>
        </w:tc>
        <w:tc>
          <w:tcPr>
            <w:tcW w:w="4820" w:type="dxa"/>
            <w:vAlign w:val="center"/>
          </w:tcPr>
          <w:p w14:paraId="6889DCE5" w14:textId="77777777" w:rsidR="00245566" w:rsidRPr="00771162" w:rsidRDefault="00A04182" w:rsidP="00166FB4">
            <w:pPr>
              <w:keepNext/>
              <w:autoSpaceDE w:val="0"/>
              <w:autoSpaceDN w:val="0"/>
              <w:adjustRightInd w:val="0"/>
              <w:spacing w:line="480" w:lineRule="auto"/>
              <w:contextualSpacing/>
              <w:jc w:val="center"/>
              <w:rPr>
                <w:rFonts w:ascii="Arial" w:hAnsi="Arial" w:cs="Arial"/>
                <w:sz w:val="20"/>
                <w:szCs w:val="20"/>
              </w:rPr>
            </w:pPr>
            <w:r>
              <w:rPr>
                <w:rFonts w:ascii="Arial" w:hAnsi="Arial" w:cs="Arial"/>
                <w:sz w:val="20"/>
                <w:szCs w:val="20"/>
              </w:rPr>
              <w:t>Hydrogen Bond Donor (M</w:t>
            </w:r>
            <w:r w:rsidR="00245566" w:rsidRPr="00771162">
              <w:rPr>
                <w:rFonts w:ascii="Arial" w:hAnsi="Arial" w:cs="Arial"/>
                <w:sz w:val="20"/>
                <w:szCs w:val="20"/>
              </w:rPr>
              <w:t>No)</w:t>
            </w:r>
          </w:p>
        </w:tc>
        <w:tc>
          <w:tcPr>
            <w:tcW w:w="3402" w:type="dxa"/>
            <w:vAlign w:val="center"/>
          </w:tcPr>
          <w:p w14:paraId="0BEC2904"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5.000</w:t>
            </w:r>
          </w:p>
        </w:tc>
      </w:tr>
      <w:tr w:rsidR="00245566" w:rsidRPr="00771162" w14:paraId="456C4AD9" w14:textId="77777777" w:rsidTr="00166FB4">
        <w:tc>
          <w:tcPr>
            <w:tcW w:w="817" w:type="dxa"/>
            <w:vAlign w:val="center"/>
          </w:tcPr>
          <w:p w14:paraId="382ECFEA" w14:textId="77777777" w:rsidR="00245566" w:rsidRPr="00771162" w:rsidRDefault="00245566" w:rsidP="00166FB4">
            <w:pPr>
              <w:spacing w:line="480" w:lineRule="auto"/>
              <w:contextualSpacing/>
              <w:jc w:val="center"/>
              <w:rPr>
                <w:rFonts w:ascii="Arial" w:hAnsi="Arial" w:cs="Arial"/>
                <w:sz w:val="20"/>
                <w:szCs w:val="20"/>
              </w:rPr>
            </w:pPr>
            <w:r w:rsidRPr="00771162">
              <w:rPr>
                <w:rFonts w:ascii="Arial" w:hAnsi="Arial" w:cs="Arial"/>
                <w:sz w:val="20"/>
                <w:szCs w:val="20"/>
              </w:rPr>
              <w:t>7</w:t>
            </w:r>
          </w:p>
        </w:tc>
        <w:tc>
          <w:tcPr>
            <w:tcW w:w="4820" w:type="dxa"/>
            <w:vAlign w:val="center"/>
          </w:tcPr>
          <w:p w14:paraId="76EB1F7E" w14:textId="77777777" w:rsidR="00245566" w:rsidRPr="00771162" w:rsidRDefault="00245566" w:rsidP="00A04182">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Topological polar Surface Area (TPSA)</w:t>
            </w:r>
          </w:p>
        </w:tc>
        <w:tc>
          <w:tcPr>
            <w:tcW w:w="3402" w:type="dxa"/>
            <w:vAlign w:val="center"/>
          </w:tcPr>
          <w:p w14:paraId="35241CA9"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86.990</w:t>
            </w:r>
          </w:p>
        </w:tc>
      </w:tr>
      <w:tr w:rsidR="00245566" w:rsidRPr="00771162" w14:paraId="528EC5D6" w14:textId="77777777" w:rsidTr="00166FB4">
        <w:tc>
          <w:tcPr>
            <w:tcW w:w="817" w:type="dxa"/>
            <w:vAlign w:val="center"/>
          </w:tcPr>
          <w:p w14:paraId="66803D4C"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8</w:t>
            </w:r>
          </w:p>
        </w:tc>
        <w:tc>
          <w:tcPr>
            <w:tcW w:w="4820" w:type="dxa"/>
            <w:vAlign w:val="center"/>
          </w:tcPr>
          <w:p w14:paraId="60BC7DF9"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Rule of 5</w:t>
            </w:r>
          </w:p>
        </w:tc>
        <w:tc>
          <w:tcPr>
            <w:tcW w:w="3402" w:type="dxa"/>
            <w:vAlign w:val="center"/>
          </w:tcPr>
          <w:p w14:paraId="3A39B2D7"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0</w:t>
            </w:r>
          </w:p>
        </w:tc>
      </w:tr>
      <w:tr w:rsidR="00245566" w:rsidRPr="00771162" w14:paraId="06A929FB" w14:textId="77777777" w:rsidTr="00166FB4">
        <w:tc>
          <w:tcPr>
            <w:tcW w:w="817" w:type="dxa"/>
            <w:vAlign w:val="center"/>
          </w:tcPr>
          <w:p w14:paraId="4A487384"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9</w:t>
            </w:r>
          </w:p>
        </w:tc>
        <w:tc>
          <w:tcPr>
            <w:tcW w:w="4820" w:type="dxa"/>
            <w:vAlign w:val="center"/>
          </w:tcPr>
          <w:p w14:paraId="58846173"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Violation of Rule of 5</w:t>
            </w:r>
          </w:p>
        </w:tc>
        <w:tc>
          <w:tcPr>
            <w:tcW w:w="3402" w:type="dxa"/>
            <w:vAlign w:val="center"/>
          </w:tcPr>
          <w:p w14:paraId="699B5217"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Nil</w:t>
            </w:r>
          </w:p>
        </w:tc>
      </w:tr>
    </w:tbl>
    <w:p w14:paraId="22BC2BB2" w14:textId="77777777" w:rsidR="00245566" w:rsidRPr="00771162" w:rsidRDefault="00245566" w:rsidP="00245566">
      <w:pPr>
        <w:autoSpaceDE w:val="0"/>
        <w:autoSpaceDN w:val="0"/>
        <w:adjustRightInd w:val="0"/>
        <w:spacing w:after="0" w:line="480" w:lineRule="auto"/>
        <w:jc w:val="both"/>
        <w:rPr>
          <w:rFonts w:ascii="Arial" w:hAnsi="Arial" w:cs="Arial"/>
          <w:b/>
          <w:bCs/>
          <w:sz w:val="20"/>
          <w:szCs w:val="20"/>
        </w:rPr>
      </w:pPr>
    </w:p>
    <w:p w14:paraId="27E51745" w14:textId="77777777" w:rsidR="00166FB4" w:rsidRPr="00771162" w:rsidRDefault="00166FB4" w:rsidP="00166FB4">
      <w:pPr>
        <w:autoSpaceDE w:val="0"/>
        <w:autoSpaceDN w:val="0"/>
        <w:adjustRightInd w:val="0"/>
        <w:spacing w:after="0"/>
        <w:jc w:val="both"/>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245566" w:rsidRPr="00771162" w14:paraId="094B934F" w14:textId="77777777" w:rsidTr="00166FB4">
        <w:trPr>
          <w:trHeight w:val="3818"/>
        </w:trPr>
        <w:tc>
          <w:tcPr>
            <w:tcW w:w="4644" w:type="dxa"/>
          </w:tcPr>
          <w:p w14:paraId="1ABA701C" w14:textId="77777777" w:rsidR="00245566" w:rsidRPr="00771162" w:rsidRDefault="00245566" w:rsidP="00B16B3A">
            <w:pPr>
              <w:keepNext/>
              <w:autoSpaceDE w:val="0"/>
              <w:autoSpaceDN w:val="0"/>
              <w:adjustRightInd w:val="0"/>
              <w:jc w:val="center"/>
              <w:rPr>
                <w:rFonts w:ascii="Arial" w:hAnsi="Arial" w:cs="Arial"/>
                <w:sz w:val="20"/>
                <w:szCs w:val="20"/>
              </w:rPr>
            </w:pPr>
            <w:r w:rsidRPr="00771162">
              <w:rPr>
                <w:rFonts w:ascii="Arial" w:hAnsi="Arial" w:cs="Arial"/>
                <w:bCs/>
                <w:noProof/>
                <w:sz w:val="20"/>
                <w:szCs w:val="20"/>
                <w:lang w:bidi="ta-IN"/>
              </w:rPr>
              <w:drawing>
                <wp:inline distT="0" distB="0" distL="0" distR="0" wp14:anchorId="3F8B95C3" wp14:editId="68FD1DA6">
                  <wp:extent cx="2587242" cy="2030681"/>
                  <wp:effectExtent l="19050" t="0" r="3558" b="0"/>
                  <wp:docPr id="27" name="Picture 1" descr="C:\Users\sasiacvet\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iacvet\Desktop\Picture1.jpg"/>
                          <pic:cNvPicPr>
                            <a:picLocks noChangeAspect="1" noChangeArrowheads="1"/>
                          </pic:cNvPicPr>
                        </pic:nvPicPr>
                        <pic:blipFill>
                          <a:blip r:embed="rId8" cstate="print"/>
                          <a:srcRect/>
                          <a:stretch>
                            <a:fillRect/>
                          </a:stretch>
                        </pic:blipFill>
                        <pic:spPr bwMode="auto">
                          <a:xfrm>
                            <a:off x="0" y="0"/>
                            <a:ext cx="2600318" cy="2040944"/>
                          </a:xfrm>
                          <a:prstGeom prst="rect">
                            <a:avLst/>
                          </a:prstGeom>
                          <a:noFill/>
                          <a:ln w="9525">
                            <a:noFill/>
                            <a:miter lim="800000"/>
                            <a:headEnd/>
                            <a:tailEnd/>
                          </a:ln>
                        </pic:spPr>
                      </pic:pic>
                    </a:graphicData>
                  </a:graphic>
                </wp:inline>
              </w:drawing>
            </w:r>
          </w:p>
          <w:p w14:paraId="7D6BA4EE" w14:textId="77777777" w:rsidR="00E0360B" w:rsidRPr="00771162" w:rsidRDefault="00E0360B" w:rsidP="00B16B3A">
            <w:pPr>
              <w:pStyle w:val="Caption"/>
              <w:jc w:val="center"/>
              <w:rPr>
                <w:rFonts w:ascii="Arial" w:hAnsi="Arial" w:cs="Arial"/>
                <w:color w:val="auto"/>
                <w:sz w:val="20"/>
                <w:szCs w:val="20"/>
              </w:rPr>
            </w:pPr>
          </w:p>
          <w:p w14:paraId="25A33899" w14:textId="77777777" w:rsidR="00E0360B" w:rsidRPr="00771162" w:rsidRDefault="00E0360B" w:rsidP="00B16B3A">
            <w:pPr>
              <w:pStyle w:val="Caption"/>
              <w:jc w:val="center"/>
              <w:rPr>
                <w:rFonts w:ascii="Arial" w:hAnsi="Arial" w:cs="Arial"/>
                <w:color w:val="auto"/>
                <w:sz w:val="20"/>
                <w:szCs w:val="20"/>
              </w:rPr>
            </w:pPr>
          </w:p>
          <w:p w14:paraId="01BEFC0F" w14:textId="77777777" w:rsidR="00E0360B" w:rsidRPr="00771162" w:rsidRDefault="00E0360B" w:rsidP="00B16B3A">
            <w:pPr>
              <w:pStyle w:val="Caption"/>
              <w:jc w:val="center"/>
              <w:rPr>
                <w:rFonts w:ascii="Arial" w:hAnsi="Arial" w:cs="Arial"/>
                <w:color w:val="auto"/>
                <w:sz w:val="20"/>
                <w:szCs w:val="20"/>
              </w:rPr>
            </w:pPr>
          </w:p>
          <w:p w14:paraId="16D880F3" w14:textId="77777777" w:rsidR="00245566" w:rsidRPr="00771162" w:rsidRDefault="00245566" w:rsidP="004107C5">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9251F5"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9251F5" w:rsidRPr="00771162">
              <w:rPr>
                <w:rFonts w:ascii="Arial" w:hAnsi="Arial" w:cs="Arial"/>
                <w:color w:val="auto"/>
                <w:sz w:val="20"/>
                <w:szCs w:val="20"/>
              </w:rPr>
              <w:fldChar w:fldCharType="separate"/>
            </w:r>
            <w:r w:rsidRPr="00771162">
              <w:rPr>
                <w:rFonts w:ascii="Arial" w:hAnsi="Arial" w:cs="Arial"/>
                <w:noProof/>
                <w:color w:val="auto"/>
                <w:sz w:val="20"/>
                <w:szCs w:val="20"/>
              </w:rPr>
              <w:t>1</w:t>
            </w:r>
            <w:r w:rsidR="009251F5" w:rsidRPr="00771162">
              <w:rPr>
                <w:rFonts w:ascii="Arial" w:hAnsi="Arial" w:cs="Arial"/>
                <w:color w:val="auto"/>
                <w:sz w:val="20"/>
                <w:szCs w:val="20"/>
              </w:rPr>
              <w:fldChar w:fldCharType="end"/>
            </w:r>
            <w:r w:rsidRPr="00771162">
              <w:rPr>
                <w:rFonts w:ascii="Arial" w:hAnsi="Arial" w:cs="Arial"/>
                <w:color w:val="auto"/>
                <w:sz w:val="20"/>
                <w:szCs w:val="20"/>
              </w:rPr>
              <w:t xml:space="preserve">:The crystal structure of the targets </w:t>
            </w:r>
            <w:r w:rsidR="004107C5" w:rsidRPr="004107C5">
              <w:rPr>
                <w:rFonts w:ascii="Arial" w:hAnsi="Arial" w:cs="Arial"/>
                <w:color w:val="auto"/>
                <w:sz w:val="20"/>
                <w:szCs w:val="20"/>
              </w:rPr>
              <w:t xml:space="preserve">androgen receptor (AR; PDB ID: 4OH6) and </w:t>
            </w:r>
          </w:p>
        </w:tc>
        <w:tc>
          <w:tcPr>
            <w:tcW w:w="4598" w:type="dxa"/>
          </w:tcPr>
          <w:p w14:paraId="0AD7B849" w14:textId="77777777" w:rsidR="00245566" w:rsidRPr="00771162" w:rsidRDefault="00245566" w:rsidP="00B16B3A">
            <w:pPr>
              <w:keepNext/>
              <w:autoSpaceDE w:val="0"/>
              <w:autoSpaceDN w:val="0"/>
              <w:adjustRightInd w:val="0"/>
              <w:jc w:val="center"/>
              <w:rPr>
                <w:rFonts w:ascii="Arial" w:hAnsi="Arial" w:cs="Arial"/>
                <w:sz w:val="20"/>
                <w:szCs w:val="20"/>
              </w:rPr>
            </w:pPr>
            <w:r w:rsidRPr="00771162">
              <w:rPr>
                <w:rFonts w:ascii="Arial" w:hAnsi="Arial" w:cs="Arial"/>
                <w:bCs/>
                <w:noProof/>
                <w:sz w:val="20"/>
                <w:szCs w:val="20"/>
                <w:lang w:bidi="ta-IN"/>
              </w:rPr>
              <w:drawing>
                <wp:inline distT="0" distB="0" distL="0" distR="0" wp14:anchorId="516751E7" wp14:editId="03BDFAA4">
                  <wp:extent cx="2429106" cy="2030681"/>
                  <wp:effectExtent l="19050" t="0" r="9294" b="0"/>
                  <wp:docPr id="28" name="Picture 2" descr="C:\Users\sasiacvet\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iacvet\Desktop\Picture2.jpg"/>
                          <pic:cNvPicPr>
                            <a:picLocks noChangeAspect="1" noChangeArrowheads="1"/>
                          </pic:cNvPicPr>
                        </pic:nvPicPr>
                        <pic:blipFill>
                          <a:blip r:embed="rId9" cstate="print"/>
                          <a:srcRect/>
                          <a:stretch>
                            <a:fillRect/>
                          </a:stretch>
                        </pic:blipFill>
                        <pic:spPr bwMode="auto">
                          <a:xfrm>
                            <a:off x="0" y="0"/>
                            <a:ext cx="2434302" cy="2035025"/>
                          </a:xfrm>
                          <a:prstGeom prst="rect">
                            <a:avLst/>
                          </a:prstGeom>
                          <a:noFill/>
                          <a:ln w="9525">
                            <a:noFill/>
                            <a:miter lim="800000"/>
                            <a:headEnd/>
                            <a:tailEnd/>
                          </a:ln>
                        </pic:spPr>
                      </pic:pic>
                    </a:graphicData>
                  </a:graphic>
                </wp:inline>
              </w:drawing>
            </w:r>
          </w:p>
          <w:p w14:paraId="10C57003" w14:textId="77777777" w:rsidR="00E0360B" w:rsidRPr="00771162" w:rsidRDefault="00E0360B" w:rsidP="00B16B3A">
            <w:pPr>
              <w:pStyle w:val="Caption"/>
              <w:jc w:val="center"/>
              <w:rPr>
                <w:rFonts w:ascii="Arial" w:hAnsi="Arial" w:cs="Arial"/>
                <w:color w:val="auto"/>
                <w:sz w:val="20"/>
                <w:szCs w:val="20"/>
              </w:rPr>
            </w:pPr>
          </w:p>
          <w:p w14:paraId="0166CC01" w14:textId="77777777" w:rsidR="00E0360B" w:rsidRPr="00771162" w:rsidRDefault="00E0360B" w:rsidP="00B16B3A">
            <w:pPr>
              <w:pStyle w:val="Caption"/>
              <w:jc w:val="center"/>
              <w:rPr>
                <w:rFonts w:ascii="Arial" w:hAnsi="Arial" w:cs="Arial"/>
                <w:color w:val="auto"/>
                <w:sz w:val="20"/>
                <w:szCs w:val="20"/>
              </w:rPr>
            </w:pPr>
          </w:p>
          <w:p w14:paraId="5FACFC95" w14:textId="77777777" w:rsidR="00E0360B" w:rsidRPr="00771162" w:rsidRDefault="00E0360B" w:rsidP="00B16B3A">
            <w:pPr>
              <w:pStyle w:val="Caption"/>
              <w:jc w:val="center"/>
              <w:rPr>
                <w:rFonts w:ascii="Arial" w:hAnsi="Arial" w:cs="Arial"/>
                <w:color w:val="auto"/>
                <w:sz w:val="20"/>
                <w:szCs w:val="20"/>
              </w:rPr>
            </w:pPr>
          </w:p>
          <w:p w14:paraId="0A62BF25" w14:textId="77777777" w:rsidR="00245566" w:rsidRPr="00771162" w:rsidRDefault="00245566" w:rsidP="00B16B3A">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9251F5"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9251F5" w:rsidRPr="00771162">
              <w:rPr>
                <w:rFonts w:ascii="Arial" w:hAnsi="Arial" w:cs="Arial"/>
                <w:color w:val="auto"/>
                <w:sz w:val="20"/>
                <w:szCs w:val="20"/>
              </w:rPr>
              <w:fldChar w:fldCharType="separate"/>
            </w:r>
            <w:r w:rsidRPr="00771162">
              <w:rPr>
                <w:rFonts w:ascii="Arial" w:hAnsi="Arial" w:cs="Arial"/>
                <w:noProof/>
                <w:color w:val="auto"/>
                <w:sz w:val="20"/>
                <w:szCs w:val="20"/>
              </w:rPr>
              <w:t>2</w:t>
            </w:r>
            <w:r w:rsidR="009251F5" w:rsidRPr="00771162">
              <w:rPr>
                <w:rFonts w:ascii="Arial" w:hAnsi="Arial" w:cs="Arial"/>
                <w:color w:val="auto"/>
                <w:sz w:val="20"/>
                <w:szCs w:val="20"/>
              </w:rPr>
              <w:fldChar w:fldCharType="end"/>
            </w:r>
            <w:r w:rsidRPr="00771162">
              <w:rPr>
                <w:rFonts w:ascii="Arial" w:hAnsi="Arial" w:cs="Arial"/>
                <w:color w:val="auto"/>
                <w:sz w:val="20"/>
                <w:szCs w:val="20"/>
              </w:rPr>
              <w:t xml:space="preserve">:The Crystal structure of the targets </w:t>
            </w:r>
            <w:r w:rsidR="004107C5" w:rsidRPr="004107C5">
              <w:rPr>
                <w:rFonts w:ascii="Arial" w:hAnsi="Arial" w:cs="Arial"/>
                <w:color w:val="auto"/>
                <w:sz w:val="20"/>
                <w:szCs w:val="20"/>
              </w:rPr>
              <w:t>CYP17A1 (Steroid 17α-hydroxylase/17,20-lyase; PDB ID: 5IRV)</w:t>
            </w:r>
          </w:p>
        </w:tc>
      </w:tr>
      <w:tr w:rsidR="00245566" w:rsidRPr="00771162" w14:paraId="5A2F2B87" w14:textId="77777777" w:rsidTr="00166FB4">
        <w:tc>
          <w:tcPr>
            <w:tcW w:w="4644" w:type="dxa"/>
          </w:tcPr>
          <w:p w14:paraId="335EFF43" w14:textId="77777777" w:rsidR="00E0360B" w:rsidRPr="00771162" w:rsidRDefault="00E0360B" w:rsidP="00E0360B">
            <w:pPr>
              <w:keepNext/>
              <w:tabs>
                <w:tab w:val="left" w:pos="480"/>
                <w:tab w:val="center" w:pos="2214"/>
              </w:tabs>
              <w:autoSpaceDE w:val="0"/>
              <w:autoSpaceDN w:val="0"/>
              <w:adjustRightInd w:val="0"/>
              <w:rPr>
                <w:rFonts w:ascii="Arial" w:hAnsi="Arial" w:cs="Arial"/>
                <w:sz w:val="20"/>
                <w:szCs w:val="20"/>
              </w:rPr>
            </w:pPr>
            <w:r w:rsidRPr="00771162">
              <w:rPr>
                <w:rFonts w:ascii="Arial" w:hAnsi="Arial" w:cs="Arial"/>
                <w:sz w:val="20"/>
                <w:szCs w:val="20"/>
              </w:rPr>
              <w:tab/>
            </w:r>
          </w:p>
          <w:p w14:paraId="5E7384B4" w14:textId="77777777" w:rsidR="00E0360B" w:rsidRPr="00771162" w:rsidRDefault="00E0360B" w:rsidP="00E0360B">
            <w:pPr>
              <w:keepNext/>
              <w:tabs>
                <w:tab w:val="left" w:pos="480"/>
                <w:tab w:val="center" w:pos="2214"/>
              </w:tabs>
              <w:autoSpaceDE w:val="0"/>
              <w:autoSpaceDN w:val="0"/>
              <w:adjustRightInd w:val="0"/>
              <w:rPr>
                <w:rFonts w:ascii="Arial" w:hAnsi="Arial" w:cs="Arial"/>
                <w:sz w:val="20"/>
                <w:szCs w:val="20"/>
              </w:rPr>
            </w:pPr>
          </w:p>
          <w:p w14:paraId="10B6E5A7" w14:textId="77777777" w:rsidR="00245566" w:rsidRPr="00771162" w:rsidRDefault="00E0360B" w:rsidP="00E0360B">
            <w:pPr>
              <w:keepNext/>
              <w:tabs>
                <w:tab w:val="left" w:pos="480"/>
                <w:tab w:val="center" w:pos="2214"/>
              </w:tabs>
              <w:autoSpaceDE w:val="0"/>
              <w:autoSpaceDN w:val="0"/>
              <w:adjustRightInd w:val="0"/>
              <w:rPr>
                <w:rFonts w:ascii="Arial" w:hAnsi="Arial" w:cs="Arial"/>
                <w:sz w:val="20"/>
                <w:szCs w:val="20"/>
              </w:rPr>
            </w:pPr>
            <w:r w:rsidRPr="00771162">
              <w:rPr>
                <w:rFonts w:ascii="Arial" w:hAnsi="Arial" w:cs="Arial"/>
                <w:sz w:val="20"/>
                <w:szCs w:val="20"/>
              </w:rPr>
              <w:tab/>
            </w:r>
            <w:r w:rsidR="00245566" w:rsidRPr="00771162">
              <w:rPr>
                <w:rFonts w:ascii="Arial" w:hAnsi="Arial" w:cs="Arial"/>
                <w:bCs/>
                <w:noProof/>
                <w:sz w:val="20"/>
                <w:szCs w:val="20"/>
                <w:lang w:bidi="ta-IN"/>
              </w:rPr>
              <w:drawing>
                <wp:inline distT="0" distB="0" distL="0" distR="0" wp14:anchorId="2A451263" wp14:editId="36DF2B45">
                  <wp:extent cx="2356015" cy="1930191"/>
                  <wp:effectExtent l="19050" t="0" r="6185" b="0"/>
                  <wp:docPr id="29" name="Picture 16" descr="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rographolide.png"/>
                          <pic:cNvPicPr>
                            <a:picLocks noChangeAspect="1" noChangeArrowheads="1"/>
                          </pic:cNvPicPr>
                        </pic:nvPicPr>
                        <pic:blipFill>
                          <a:blip r:embed="rId10" cstate="print"/>
                          <a:srcRect/>
                          <a:stretch>
                            <a:fillRect/>
                          </a:stretch>
                        </pic:blipFill>
                        <pic:spPr bwMode="auto">
                          <a:xfrm>
                            <a:off x="0" y="0"/>
                            <a:ext cx="2359725" cy="1933231"/>
                          </a:xfrm>
                          <a:prstGeom prst="rect">
                            <a:avLst/>
                          </a:prstGeom>
                          <a:noFill/>
                          <a:ln w="9525">
                            <a:noFill/>
                            <a:miter lim="800000"/>
                            <a:headEnd/>
                            <a:tailEnd/>
                          </a:ln>
                        </pic:spPr>
                      </pic:pic>
                    </a:graphicData>
                  </a:graphic>
                </wp:inline>
              </w:drawing>
            </w:r>
          </w:p>
          <w:p w14:paraId="5394FF99" w14:textId="77777777" w:rsidR="00E0360B" w:rsidRPr="00771162" w:rsidRDefault="00E0360B" w:rsidP="00B16B3A">
            <w:pPr>
              <w:pStyle w:val="Caption"/>
              <w:jc w:val="center"/>
              <w:rPr>
                <w:rFonts w:ascii="Arial" w:hAnsi="Arial" w:cs="Arial"/>
                <w:color w:val="auto"/>
                <w:sz w:val="20"/>
                <w:szCs w:val="20"/>
              </w:rPr>
            </w:pPr>
          </w:p>
          <w:p w14:paraId="161E78CF" w14:textId="77777777" w:rsidR="00245566" w:rsidRPr="00771162" w:rsidRDefault="00245566" w:rsidP="00B16B3A">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9251F5"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9251F5" w:rsidRPr="00771162">
              <w:rPr>
                <w:rFonts w:ascii="Arial" w:hAnsi="Arial" w:cs="Arial"/>
                <w:color w:val="auto"/>
                <w:sz w:val="20"/>
                <w:szCs w:val="20"/>
              </w:rPr>
              <w:fldChar w:fldCharType="separate"/>
            </w:r>
            <w:r w:rsidRPr="00771162">
              <w:rPr>
                <w:rFonts w:ascii="Arial" w:hAnsi="Arial" w:cs="Arial"/>
                <w:noProof/>
                <w:color w:val="auto"/>
                <w:sz w:val="20"/>
                <w:szCs w:val="20"/>
              </w:rPr>
              <w:t>3</w:t>
            </w:r>
            <w:r w:rsidR="009251F5" w:rsidRPr="00771162">
              <w:rPr>
                <w:rFonts w:ascii="Arial" w:hAnsi="Arial" w:cs="Arial"/>
                <w:color w:val="auto"/>
                <w:sz w:val="20"/>
                <w:szCs w:val="20"/>
              </w:rPr>
              <w:fldChar w:fldCharType="end"/>
            </w:r>
            <w:r w:rsidR="00702607">
              <w:rPr>
                <w:rFonts w:ascii="Arial" w:hAnsi="Arial" w:cs="Arial"/>
                <w:color w:val="auto"/>
                <w:sz w:val="20"/>
                <w:szCs w:val="20"/>
              </w:rPr>
              <w:t>:2D structure of a</w:t>
            </w:r>
            <w:r w:rsidRPr="00771162">
              <w:rPr>
                <w:rFonts w:ascii="Arial" w:hAnsi="Arial" w:cs="Arial"/>
                <w:color w:val="auto"/>
                <w:sz w:val="20"/>
                <w:szCs w:val="20"/>
              </w:rPr>
              <w:t>ndrographolide</w:t>
            </w:r>
          </w:p>
          <w:p w14:paraId="2A0D6A14" w14:textId="77777777" w:rsidR="00245566" w:rsidRPr="00771162" w:rsidRDefault="00245566" w:rsidP="00E0360B">
            <w:pPr>
              <w:tabs>
                <w:tab w:val="left" w:pos="2880"/>
              </w:tabs>
              <w:autoSpaceDE w:val="0"/>
              <w:autoSpaceDN w:val="0"/>
              <w:adjustRightInd w:val="0"/>
              <w:rPr>
                <w:rFonts w:ascii="Arial" w:hAnsi="Arial" w:cs="Arial"/>
                <w:bCs/>
                <w:sz w:val="20"/>
                <w:szCs w:val="20"/>
              </w:rPr>
            </w:pPr>
          </w:p>
        </w:tc>
        <w:tc>
          <w:tcPr>
            <w:tcW w:w="4598" w:type="dxa"/>
          </w:tcPr>
          <w:p w14:paraId="5FAB42AD" w14:textId="77777777" w:rsidR="00E0360B" w:rsidRPr="00771162" w:rsidRDefault="00E0360B" w:rsidP="00B16B3A">
            <w:pPr>
              <w:keepNext/>
              <w:autoSpaceDE w:val="0"/>
              <w:autoSpaceDN w:val="0"/>
              <w:adjustRightInd w:val="0"/>
              <w:jc w:val="center"/>
              <w:rPr>
                <w:rFonts w:ascii="Arial" w:hAnsi="Arial" w:cs="Arial"/>
                <w:sz w:val="20"/>
                <w:szCs w:val="20"/>
              </w:rPr>
            </w:pPr>
          </w:p>
          <w:p w14:paraId="4829D6A4" w14:textId="77777777" w:rsidR="00E0360B" w:rsidRPr="00771162" w:rsidRDefault="00E0360B" w:rsidP="00B16B3A">
            <w:pPr>
              <w:keepNext/>
              <w:autoSpaceDE w:val="0"/>
              <w:autoSpaceDN w:val="0"/>
              <w:adjustRightInd w:val="0"/>
              <w:jc w:val="center"/>
              <w:rPr>
                <w:rFonts w:ascii="Arial" w:hAnsi="Arial" w:cs="Arial"/>
                <w:sz w:val="20"/>
                <w:szCs w:val="20"/>
              </w:rPr>
            </w:pPr>
          </w:p>
          <w:p w14:paraId="081C2BB8" w14:textId="77777777" w:rsidR="00245566" w:rsidRPr="00771162" w:rsidRDefault="00245566" w:rsidP="00B16B3A">
            <w:pPr>
              <w:keepNext/>
              <w:autoSpaceDE w:val="0"/>
              <w:autoSpaceDN w:val="0"/>
              <w:adjustRightInd w:val="0"/>
              <w:jc w:val="center"/>
              <w:rPr>
                <w:rFonts w:ascii="Arial" w:hAnsi="Arial" w:cs="Arial"/>
                <w:sz w:val="20"/>
                <w:szCs w:val="20"/>
              </w:rPr>
            </w:pPr>
            <w:r w:rsidRPr="00771162">
              <w:rPr>
                <w:rFonts w:ascii="Arial" w:hAnsi="Arial" w:cs="Arial"/>
                <w:bCs/>
                <w:noProof/>
                <w:sz w:val="20"/>
                <w:szCs w:val="20"/>
                <w:lang w:bidi="ta-IN"/>
              </w:rPr>
              <w:drawing>
                <wp:inline distT="0" distB="0" distL="0" distR="0" wp14:anchorId="2A8BBE99" wp14:editId="4E1BC6D4">
                  <wp:extent cx="2510394" cy="1847987"/>
                  <wp:effectExtent l="19050" t="0" r="4206"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28668" cy="1861439"/>
                          </a:xfrm>
                          <a:prstGeom prst="rect">
                            <a:avLst/>
                          </a:prstGeom>
                          <a:noFill/>
                          <a:ln w="9525">
                            <a:noFill/>
                            <a:miter lim="800000"/>
                            <a:headEnd/>
                            <a:tailEnd/>
                          </a:ln>
                        </pic:spPr>
                      </pic:pic>
                    </a:graphicData>
                  </a:graphic>
                </wp:inline>
              </w:drawing>
            </w:r>
          </w:p>
          <w:p w14:paraId="3BC5F907" w14:textId="77777777" w:rsidR="00E0360B" w:rsidRPr="00771162" w:rsidRDefault="00E0360B" w:rsidP="00B16B3A">
            <w:pPr>
              <w:pStyle w:val="Caption"/>
              <w:jc w:val="center"/>
              <w:rPr>
                <w:rFonts w:ascii="Arial" w:hAnsi="Arial" w:cs="Arial"/>
                <w:color w:val="auto"/>
                <w:sz w:val="20"/>
                <w:szCs w:val="20"/>
              </w:rPr>
            </w:pPr>
          </w:p>
          <w:p w14:paraId="34EF4A73" w14:textId="77777777" w:rsidR="00E0360B" w:rsidRPr="00771162" w:rsidRDefault="00E0360B" w:rsidP="00E0360B">
            <w:pPr>
              <w:pStyle w:val="Caption"/>
              <w:jc w:val="center"/>
              <w:rPr>
                <w:rFonts w:ascii="Arial" w:hAnsi="Arial" w:cs="Arial"/>
                <w:color w:val="auto"/>
                <w:sz w:val="20"/>
                <w:szCs w:val="20"/>
              </w:rPr>
            </w:pPr>
          </w:p>
          <w:p w14:paraId="5B07ED80" w14:textId="77777777" w:rsidR="00245566" w:rsidRPr="00771162" w:rsidRDefault="00245566" w:rsidP="00E0360B">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9251F5"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9251F5" w:rsidRPr="00771162">
              <w:rPr>
                <w:rFonts w:ascii="Arial" w:hAnsi="Arial" w:cs="Arial"/>
                <w:color w:val="auto"/>
                <w:sz w:val="20"/>
                <w:szCs w:val="20"/>
              </w:rPr>
              <w:fldChar w:fldCharType="separate"/>
            </w:r>
            <w:r w:rsidRPr="00771162">
              <w:rPr>
                <w:rFonts w:ascii="Arial" w:hAnsi="Arial" w:cs="Arial"/>
                <w:noProof/>
                <w:color w:val="auto"/>
                <w:sz w:val="20"/>
                <w:szCs w:val="20"/>
              </w:rPr>
              <w:t>4</w:t>
            </w:r>
            <w:r w:rsidR="009251F5" w:rsidRPr="00771162">
              <w:rPr>
                <w:rFonts w:ascii="Arial" w:hAnsi="Arial" w:cs="Arial"/>
                <w:color w:val="auto"/>
                <w:sz w:val="20"/>
                <w:szCs w:val="20"/>
              </w:rPr>
              <w:fldChar w:fldCharType="end"/>
            </w:r>
            <w:r w:rsidR="00702607">
              <w:rPr>
                <w:rFonts w:ascii="Arial" w:hAnsi="Arial" w:cs="Arial"/>
                <w:color w:val="auto"/>
                <w:sz w:val="20"/>
                <w:szCs w:val="20"/>
              </w:rPr>
              <w:t>:3D structure of a</w:t>
            </w:r>
            <w:r w:rsidRPr="00771162">
              <w:rPr>
                <w:rFonts w:ascii="Arial" w:hAnsi="Arial" w:cs="Arial"/>
                <w:color w:val="auto"/>
                <w:sz w:val="20"/>
                <w:szCs w:val="20"/>
              </w:rPr>
              <w:t>ndrographolide</w:t>
            </w:r>
          </w:p>
        </w:tc>
      </w:tr>
    </w:tbl>
    <w:p w14:paraId="5EA5C6B0" w14:textId="77777777" w:rsidR="00245566" w:rsidRPr="00771162" w:rsidRDefault="00245566" w:rsidP="00245566">
      <w:pPr>
        <w:autoSpaceDE w:val="0"/>
        <w:autoSpaceDN w:val="0"/>
        <w:adjustRightInd w:val="0"/>
        <w:spacing w:after="0" w:line="480" w:lineRule="auto"/>
        <w:jc w:val="both"/>
        <w:rPr>
          <w:rFonts w:ascii="Arial" w:hAnsi="Arial" w:cs="Arial"/>
          <w:bCs/>
          <w:sz w:val="20"/>
          <w:szCs w:val="20"/>
        </w:rPr>
      </w:pPr>
    </w:p>
    <w:p w14:paraId="18C43651"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456"/>
      </w:tblGrid>
      <w:tr w:rsidR="00245566" w:rsidRPr="00771162" w14:paraId="45EBA016" w14:textId="77777777" w:rsidTr="00B16B3A">
        <w:trPr>
          <w:trHeight w:val="5954"/>
        </w:trPr>
        <w:tc>
          <w:tcPr>
            <w:tcW w:w="4786" w:type="dxa"/>
          </w:tcPr>
          <w:p w14:paraId="3A6475E0"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3B0AF1E9"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1AA7854A" wp14:editId="27B12C4B">
                  <wp:extent cx="2691837" cy="3289111"/>
                  <wp:effectExtent l="19050" t="0" r="0" b="0"/>
                  <wp:docPr id="6" name="Picture 2" descr="H:\1\structure\androgen 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structure\androgen andrographolide.png"/>
                          <pic:cNvPicPr>
                            <a:picLocks noChangeAspect="1" noChangeArrowheads="1"/>
                          </pic:cNvPicPr>
                        </pic:nvPicPr>
                        <pic:blipFill>
                          <a:blip r:embed="rId12" cstate="print"/>
                          <a:srcRect/>
                          <a:stretch>
                            <a:fillRect/>
                          </a:stretch>
                        </pic:blipFill>
                        <pic:spPr bwMode="auto">
                          <a:xfrm>
                            <a:off x="0" y="0"/>
                            <a:ext cx="2698593" cy="3297366"/>
                          </a:xfrm>
                          <a:prstGeom prst="rect">
                            <a:avLst/>
                          </a:prstGeom>
                          <a:noFill/>
                          <a:ln w="9525">
                            <a:noFill/>
                            <a:miter lim="800000"/>
                            <a:headEnd/>
                            <a:tailEnd/>
                          </a:ln>
                        </pic:spPr>
                      </pic:pic>
                    </a:graphicData>
                  </a:graphic>
                </wp:inline>
              </w:drawing>
            </w:r>
          </w:p>
        </w:tc>
        <w:tc>
          <w:tcPr>
            <w:tcW w:w="4456" w:type="dxa"/>
          </w:tcPr>
          <w:p w14:paraId="2DEF41D3"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4EBD0EBF"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52FD0CDE" wp14:editId="50E36F66">
                  <wp:extent cx="2566120" cy="3289111"/>
                  <wp:effectExtent l="19050" t="0" r="5630" b="0"/>
                  <wp:docPr id="7" name="Picture 4" descr="H:\1\structure\androgen- 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structure\androgen- andrographolide.png"/>
                          <pic:cNvPicPr>
                            <a:picLocks noChangeAspect="1" noChangeArrowheads="1"/>
                          </pic:cNvPicPr>
                        </pic:nvPicPr>
                        <pic:blipFill>
                          <a:blip r:embed="rId13" cstate="print"/>
                          <a:srcRect/>
                          <a:stretch>
                            <a:fillRect/>
                          </a:stretch>
                        </pic:blipFill>
                        <pic:spPr bwMode="auto">
                          <a:xfrm>
                            <a:off x="0" y="0"/>
                            <a:ext cx="2571082" cy="3295471"/>
                          </a:xfrm>
                          <a:prstGeom prst="rect">
                            <a:avLst/>
                          </a:prstGeom>
                          <a:noFill/>
                          <a:ln w="9525">
                            <a:noFill/>
                            <a:miter lim="800000"/>
                            <a:headEnd/>
                            <a:tailEnd/>
                          </a:ln>
                        </pic:spPr>
                      </pic:pic>
                    </a:graphicData>
                  </a:graphic>
                </wp:inline>
              </w:drawing>
            </w:r>
          </w:p>
        </w:tc>
      </w:tr>
    </w:tbl>
    <w:p w14:paraId="7B6938A4" w14:textId="77777777" w:rsidR="00245566" w:rsidRPr="00771162" w:rsidRDefault="004107C5" w:rsidP="00245566">
      <w:pPr>
        <w:keepNext/>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Figure 5</w:t>
      </w:r>
      <w:r w:rsidR="00245566" w:rsidRPr="00771162">
        <w:rPr>
          <w:rFonts w:ascii="Arial" w:hAnsi="Arial" w:cs="Arial"/>
          <w:b/>
          <w:sz w:val="20"/>
          <w:szCs w:val="20"/>
        </w:rPr>
        <w:t xml:space="preserve">:Interaction of andrographolide and androgen receptor  </w:t>
      </w:r>
    </w:p>
    <w:p w14:paraId="0EAEE4D1"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456"/>
      </w:tblGrid>
      <w:tr w:rsidR="00245566" w:rsidRPr="00771162" w14:paraId="2683EB46" w14:textId="77777777" w:rsidTr="00B16B3A">
        <w:trPr>
          <w:trHeight w:val="5094"/>
        </w:trPr>
        <w:tc>
          <w:tcPr>
            <w:tcW w:w="4786" w:type="dxa"/>
          </w:tcPr>
          <w:p w14:paraId="668CD581"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43E79CD1"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40357239" wp14:editId="5D6BCA33">
                  <wp:extent cx="2704272" cy="2832652"/>
                  <wp:effectExtent l="19050" t="0" r="828" b="0"/>
                  <wp:docPr id="8" name="Picture 7" descr="H:\1\structure\steroi 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structure\steroi andrographolide.png"/>
                          <pic:cNvPicPr>
                            <a:picLocks noChangeAspect="1" noChangeArrowheads="1"/>
                          </pic:cNvPicPr>
                        </pic:nvPicPr>
                        <pic:blipFill>
                          <a:blip r:embed="rId14" cstate="print"/>
                          <a:srcRect/>
                          <a:stretch>
                            <a:fillRect/>
                          </a:stretch>
                        </pic:blipFill>
                        <pic:spPr bwMode="auto">
                          <a:xfrm>
                            <a:off x="0" y="0"/>
                            <a:ext cx="2705341" cy="2833772"/>
                          </a:xfrm>
                          <a:prstGeom prst="rect">
                            <a:avLst/>
                          </a:prstGeom>
                          <a:noFill/>
                          <a:ln w="9525">
                            <a:noFill/>
                            <a:miter lim="800000"/>
                            <a:headEnd/>
                            <a:tailEnd/>
                          </a:ln>
                        </pic:spPr>
                      </pic:pic>
                    </a:graphicData>
                  </a:graphic>
                </wp:inline>
              </w:drawing>
            </w:r>
          </w:p>
          <w:p w14:paraId="2777C76F"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tc>
        <w:tc>
          <w:tcPr>
            <w:tcW w:w="4456" w:type="dxa"/>
          </w:tcPr>
          <w:p w14:paraId="392AA812"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347E7D9A"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0B38EA09" wp14:editId="21771724">
                  <wp:extent cx="2602654" cy="3071192"/>
                  <wp:effectExtent l="19050" t="0" r="7196" b="0"/>
                  <wp:docPr id="9" name="Picture 8" descr="H:\1\structure\steroid and andr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structure\steroid and andrgrapholide.png"/>
                          <pic:cNvPicPr>
                            <a:picLocks noChangeAspect="1" noChangeArrowheads="1"/>
                          </pic:cNvPicPr>
                        </pic:nvPicPr>
                        <pic:blipFill>
                          <a:blip r:embed="rId15" cstate="print"/>
                          <a:srcRect/>
                          <a:stretch>
                            <a:fillRect/>
                          </a:stretch>
                        </pic:blipFill>
                        <pic:spPr bwMode="auto">
                          <a:xfrm>
                            <a:off x="0" y="0"/>
                            <a:ext cx="2611588" cy="3081735"/>
                          </a:xfrm>
                          <a:prstGeom prst="rect">
                            <a:avLst/>
                          </a:prstGeom>
                          <a:noFill/>
                          <a:ln w="9525">
                            <a:noFill/>
                            <a:miter lim="800000"/>
                            <a:headEnd/>
                            <a:tailEnd/>
                          </a:ln>
                        </pic:spPr>
                      </pic:pic>
                    </a:graphicData>
                  </a:graphic>
                </wp:inline>
              </w:drawing>
            </w:r>
          </w:p>
          <w:p w14:paraId="73A54639" w14:textId="77777777" w:rsidR="00245566" w:rsidRPr="00771162" w:rsidRDefault="00245566" w:rsidP="00B16B3A">
            <w:pPr>
              <w:pStyle w:val="Caption"/>
              <w:jc w:val="both"/>
              <w:rPr>
                <w:rFonts w:ascii="Arial" w:hAnsi="Arial" w:cs="Arial"/>
                <w:color w:val="auto"/>
                <w:sz w:val="20"/>
                <w:szCs w:val="20"/>
              </w:rPr>
            </w:pPr>
          </w:p>
        </w:tc>
      </w:tr>
    </w:tbl>
    <w:p w14:paraId="2DE5ABEE" w14:textId="77777777" w:rsidR="00245566" w:rsidRPr="00771162" w:rsidRDefault="004107C5" w:rsidP="00245566">
      <w:pPr>
        <w:keepNext/>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Figure 6</w:t>
      </w:r>
      <w:r w:rsidR="00245566" w:rsidRPr="00771162">
        <w:rPr>
          <w:rFonts w:ascii="Arial" w:hAnsi="Arial" w:cs="Arial"/>
          <w:b/>
          <w:sz w:val="20"/>
          <w:szCs w:val="20"/>
        </w:rPr>
        <w:t>:Inte</w:t>
      </w:r>
      <w:r w:rsidR="00702607">
        <w:rPr>
          <w:rFonts w:ascii="Arial" w:hAnsi="Arial" w:cs="Arial"/>
          <w:b/>
          <w:sz w:val="20"/>
          <w:szCs w:val="20"/>
        </w:rPr>
        <w:t>raction of andrographolide and s</w:t>
      </w:r>
      <w:r w:rsidR="00245566" w:rsidRPr="00771162">
        <w:rPr>
          <w:rFonts w:ascii="Arial" w:hAnsi="Arial" w:cs="Arial"/>
          <w:b/>
          <w:sz w:val="20"/>
          <w:szCs w:val="20"/>
        </w:rPr>
        <w:t>teroid 17-alpha-hydroxylase/17,20 lyase</w:t>
      </w:r>
    </w:p>
    <w:p w14:paraId="5F019895"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245566" w:rsidRPr="00771162" w14:paraId="34389D97" w14:textId="77777777" w:rsidTr="00B16B3A">
        <w:trPr>
          <w:trHeight w:val="5094"/>
        </w:trPr>
        <w:tc>
          <w:tcPr>
            <w:tcW w:w="4644" w:type="dxa"/>
          </w:tcPr>
          <w:p w14:paraId="5B478523"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61CB76F7"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70BF7892" wp14:editId="7C817797">
                  <wp:extent cx="2686050" cy="3230616"/>
                  <wp:effectExtent l="19050" t="0" r="0" b="0"/>
                  <wp:docPr id="11" name="Picture 9" descr="H:\1\sasi\drug\Bicalutamide &amp; androgen\2d b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sasi\drug\Bicalutamide &amp; androgen\2d bical.png"/>
                          <pic:cNvPicPr>
                            <a:picLocks noChangeAspect="1" noChangeArrowheads="1"/>
                          </pic:cNvPicPr>
                        </pic:nvPicPr>
                        <pic:blipFill>
                          <a:blip r:embed="rId16" cstate="print"/>
                          <a:srcRect/>
                          <a:stretch>
                            <a:fillRect/>
                          </a:stretch>
                        </pic:blipFill>
                        <pic:spPr bwMode="auto">
                          <a:xfrm>
                            <a:off x="0" y="0"/>
                            <a:ext cx="2685049" cy="3229412"/>
                          </a:xfrm>
                          <a:prstGeom prst="rect">
                            <a:avLst/>
                          </a:prstGeom>
                          <a:noFill/>
                          <a:ln w="9525">
                            <a:noFill/>
                            <a:miter lim="800000"/>
                            <a:headEnd/>
                            <a:tailEnd/>
                          </a:ln>
                        </pic:spPr>
                      </pic:pic>
                    </a:graphicData>
                  </a:graphic>
                </wp:inline>
              </w:drawing>
            </w:r>
          </w:p>
          <w:p w14:paraId="559FC71C"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tc>
        <w:tc>
          <w:tcPr>
            <w:tcW w:w="4598" w:type="dxa"/>
          </w:tcPr>
          <w:p w14:paraId="6DA64DCB"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20034FAC"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0DD5D41E" wp14:editId="5F374AE7">
                  <wp:extent cx="2634698" cy="3319669"/>
                  <wp:effectExtent l="19050" t="0" r="0" b="0"/>
                  <wp:docPr id="12" name="Picture 10" descr="H:\1\sasi\drug\Bicalutamide &amp; androgen\Bicalutamid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sasi\drug\Bicalutamide &amp; androgen\Bicalutamide .png"/>
                          <pic:cNvPicPr>
                            <a:picLocks noChangeAspect="1" noChangeArrowheads="1"/>
                          </pic:cNvPicPr>
                        </pic:nvPicPr>
                        <pic:blipFill>
                          <a:blip r:embed="rId17" cstate="print"/>
                          <a:srcRect/>
                          <a:stretch>
                            <a:fillRect/>
                          </a:stretch>
                        </pic:blipFill>
                        <pic:spPr bwMode="auto">
                          <a:xfrm>
                            <a:off x="0" y="0"/>
                            <a:ext cx="2634646" cy="3319604"/>
                          </a:xfrm>
                          <a:prstGeom prst="rect">
                            <a:avLst/>
                          </a:prstGeom>
                          <a:noFill/>
                          <a:ln w="9525">
                            <a:noFill/>
                            <a:miter lim="800000"/>
                            <a:headEnd/>
                            <a:tailEnd/>
                          </a:ln>
                        </pic:spPr>
                      </pic:pic>
                    </a:graphicData>
                  </a:graphic>
                </wp:inline>
              </w:drawing>
            </w:r>
          </w:p>
          <w:p w14:paraId="3A1434C1" w14:textId="77777777" w:rsidR="00245566" w:rsidRPr="00771162" w:rsidRDefault="00245566" w:rsidP="00B16B3A">
            <w:pPr>
              <w:pStyle w:val="Caption"/>
              <w:jc w:val="both"/>
              <w:rPr>
                <w:rFonts w:ascii="Arial" w:hAnsi="Arial" w:cs="Arial"/>
                <w:color w:val="auto"/>
                <w:sz w:val="20"/>
                <w:szCs w:val="20"/>
              </w:rPr>
            </w:pPr>
          </w:p>
        </w:tc>
      </w:tr>
    </w:tbl>
    <w:p w14:paraId="7B027CA6" w14:textId="77777777" w:rsidR="00245566" w:rsidRPr="00771162" w:rsidRDefault="00245566" w:rsidP="00245566">
      <w:pPr>
        <w:keepNext/>
        <w:autoSpaceDE w:val="0"/>
        <w:autoSpaceDN w:val="0"/>
        <w:adjustRightInd w:val="0"/>
        <w:spacing w:after="0" w:line="360" w:lineRule="auto"/>
        <w:jc w:val="both"/>
        <w:rPr>
          <w:rFonts w:ascii="Arial" w:hAnsi="Arial" w:cs="Arial"/>
          <w:b/>
          <w:sz w:val="20"/>
          <w:szCs w:val="20"/>
        </w:rPr>
      </w:pPr>
      <w:r w:rsidRPr="00771162">
        <w:rPr>
          <w:rFonts w:ascii="Arial" w:hAnsi="Arial" w:cs="Arial"/>
          <w:b/>
          <w:sz w:val="20"/>
          <w:szCs w:val="20"/>
        </w:rPr>
        <w:t xml:space="preserve">Figure </w:t>
      </w:r>
      <w:r w:rsidR="004107C5">
        <w:rPr>
          <w:rFonts w:ascii="Arial" w:hAnsi="Arial" w:cs="Arial"/>
          <w:b/>
          <w:sz w:val="20"/>
          <w:szCs w:val="20"/>
        </w:rPr>
        <w:t>7</w:t>
      </w:r>
      <w:r w:rsidRPr="00771162">
        <w:rPr>
          <w:rFonts w:ascii="Arial" w:hAnsi="Arial" w:cs="Arial"/>
          <w:b/>
          <w:sz w:val="20"/>
          <w:szCs w:val="20"/>
        </w:rPr>
        <w:t>:Interaction of Bicalutamide and androgen receptor</w:t>
      </w:r>
    </w:p>
    <w:p w14:paraId="2974E17F"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245566" w:rsidRPr="00771162" w14:paraId="4E836660" w14:textId="77777777" w:rsidTr="00B16B3A">
        <w:trPr>
          <w:trHeight w:val="5094"/>
        </w:trPr>
        <w:tc>
          <w:tcPr>
            <w:tcW w:w="4644" w:type="dxa"/>
          </w:tcPr>
          <w:p w14:paraId="03FB7BEA"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61CD6B04"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67416F1C" wp14:editId="5450744A">
                  <wp:extent cx="2552700" cy="2750681"/>
                  <wp:effectExtent l="19050" t="0" r="0" b="0"/>
                  <wp:docPr id="13" name="Picture 11" descr="H:\1\sasi\drug\Abiraterone Acetate\2d 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1\sasi\drug\Abiraterone Acetate\2d aa.png"/>
                          <pic:cNvPicPr>
                            <a:picLocks noChangeAspect="1" noChangeArrowheads="1"/>
                          </pic:cNvPicPr>
                        </pic:nvPicPr>
                        <pic:blipFill>
                          <a:blip r:embed="rId18" cstate="print"/>
                          <a:srcRect/>
                          <a:stretch>
                            <a:fillRect/>
                          </a:stretch>
                        </pic:blipFill>
                        <pic:spPr bwMode="auto">
                          <a:xfrm>
                            <a:off x="0" y="0"/>
                            <a:ext cx="2564202" cy="2763075"/>
                          </a:xfrm>
                          <a:prstGeom prst="rect">
                            <a:avLst/>
                          </a:prstGeom>
                          <a:noFill/>
                          <a:ln w="9525">
                            <a:noFill/>
                            <a:miter lim="800000"/>
                            <a:headEnd/>
                            <a:tailEnd/>
                          </a:ln>
                        </pic:spPr>
                      </pic:pic>
                    </a:graphicData>
                  </a:graphic>
                </wp:inline>
              </w:drawing>
            </w:r>
          </w:p>
          <w:p w14:paraId="208F5C56"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tc>
        <w:tc>
          <w:tcPr>
            <w:tcW w:w="4598" w:type="dxa"/>
          </w:tcPr>
          <w:p w14:paraId="36D60797"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4BEDF61C"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2D8A2309" wp14:editId="276ED62E">
                  <wp:extent cx="2657537" cy="2920620"/>
                  <wp:effectExtent l="19050" t="0" r="9463" b="0"/>
                  <wp:docPr id="21" name="Picture 12" descr="H:\1\sasi\drug\Abiraterone Acetat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sasi\drug\Abiraterone Acetate\aa.png"/>
                          <pic:cNvPicPr>
                            <a:picLocks noChangeAspect="1" noChangeArrowheads="1"/>
                          </pic:cNvPicPr>
                        </pic:nvPicPr>
                        <pic:blipFill>
                          <a:blip r:embed="rId19" cstate="print"/>
                          <a:srcRect/>
                          <a:stretch>
                            <a:fillRect/>
                          </a:stretch>
                        </pic:blipFill>
                        <pic:spPr bwMode="auto">
                          <a:xfrm>
                            <a:off x="0" y="0"/>
                            <a:ext cx="2665017" cy="2928840"/>
                          </a:xfrm>
                          <a:prstGeom prst="rect">
                            <a:avLst/>
                          </a:prstGeom>
                          <a:noFill/>
                          <a:ln w="9525">
                            <a:noFill/>
                            <a:miter lim="800000"/>
                            <a:headEnd/>
                            <a:tailEnd/>
                          </a:ln>
                        </pic:spPr>
                      </pic:pic>
                    </a:graphicData>
                  </a:graphic>
                </wp:inline>
              </w:drawing>
            </w:r>
          </w:p>
          <w:p w14:paraId="03076A3D" w14:textId="77777777" w:rsidR="00245566" w:rsidRPr="00771162" w:rsidRDefault="00245566" w:rsidP="00B16B3A">
            <w:pPr>
              <w:pStyle w:val="Caption"/>
              <w:jc w:val="both"/>
              <w:rPr>
                <w:rFonts w:ascii="Arial" w:hAnsi="Arial" w:cs="Arial"/>
                <w:color w:val="auto"/>
                <w:sz w:val="20"/>
                <w:szCs w:val="20"/>
              </w:rPr>
            </w:pPr>
          </w:p>
        </w:tc>
      </w:tr>
    </w:tbl>
    <w:p w14:paraId="21FB3DE8" w14:textId="77777777" w:rsidR="00245566" w:rsidRPr="00771162" w:rsidRDefault="00245566" w:rsidP="00245566">
      <w:pPr>
        <w:keepNext/>
        <w:autoSpaceDE w:val="0"/>
        <w:autoSpaceDN w:val="0"/>
        <w:adjustRightInd w:val="0"/>
        <w:spacing w:after="0" w:line="360" w:lineRule="auto"/>
        <w:jc w:val="both"/>
        <w:rPr>
          <w:rFonts w:ascii="Arial" w:hAnsi="Arial" w:cs="Arial"/>
          <w:b/>
          <w:sz w:val="20"/>
          <w:szCs w:val="20"/>
        </w:rPr>
      </w:pPr>
      <w:r w:rsidRPr="00771162">
        <w:rPr>
          <w:rFonts w:ascii="Arial" w:hAnsi="Arial" w:cs="Arial"/>
          <w:b/>
          <w:sz w:val="20"/>
          <w:szCs w:val="20"/>
        </w:rPr>
        <w:t xml:space="preserve">Figure </w:t>
      </w:r>
      <w:r w:rsidR="004107C5">
        <w:rPr>
          <w:rFonts w:ascii="Arial" w:hAnsi="Arial" w:cs="Arial"/>
          <w:b/>
          <w:sz w:val="20"/>
          <w:szCs w:val="20"/>
        </w:rPr>
        <w:t>8</w:t>
      </w:r>
      <w:r w:rsidR="00702607">
        <w:rPr>
          <w:rFonts w:ascii="Arial" w:hAnsi="Arial" w:cs="Arial"/>
          <w:b/>
          <w:sz w:val="20"/>
          <w:szCs w:val="20"/>
        </w:rPr>
        <w:t>:Interaction of abiraterone acetate and s</w:t>
      </w:r>
      <w:r w:rsidRPr="00771162">
        <w:rPr>
          <w:rFonts w:ascii="Arial" w:hAnsi="Arial" w:cs="Arial"/>
          <w:b/>
          <w:sz w:val="20"/>
          <w:szCs w:val="20"/>
        </w:rPr>
        <w:t>teroid 17-alpha-hydroxylase/17,20 lyase</w:t>
      </w:r>
    </w:p>
    <w:p w14:paraId="3E82AD45" w14:textId="77777777" w:rsidR="001819F1" w:rsidRPr="00771162" w:rsidRDefault="001819F1" w:rsidP="00245566">
      <w:pPr>
        <w:autoSpaceDE w:val="0"/>
        <w:adjustRightInd w:val="0"/>
        <w:spacing w:line="480" w:lineRule="auto"/>
        <w:jc w:val="both"/>
        <w:rPr>
          <w:rFonts w:ascii="Arial" w:eastAsia="Times New Roman" w:hAnsi="Arial" w:cs="Arial"/>
          <w:b/>
          <w:sz w:val="20"/>
          <w:szCs w:val="20"/>
        </w:rPr>
      </w:pPr>
    </w:p>
    <w:p w14:paraId="363E0E8D" w14:textId="77777777" w:rsidR="001819F1" w:rsidRPr="00771162" w:rsidRDefault="001819F1" w:rsidP="00245566">
      <w:pPr>
        <w:autoSpaceDE w:val="0"/>
        <w:adjustRightInd w:val="0"/>
        <w:spacing w:line="480" w:lineRule="auto"/>
        <w:jc w:val="both"/>
        <w:rPr>
          <w:rFonts w:ascii="Arial" w:eastAsia="Times New Roman" w:hAnsi="Arial" w:cs="Arial"/>
          <w:b/>
          <w:sz w:val="20"/>
          <w:szCs w:val="20"/>
        </w:rPr>
      </w:pPr>
    </w:p>
    <w:p w14:paraId="05C112F0" w14:textId="77777777" w:rsidR="001819F1" w:rsidRPr="00771162" w:rsidRDefault="001819F1" w:rsidP="00245566">
      <w:pPr>
        <w:autoSpaceDE w:val="0"/>
        <w:adjustRightInd w:val="0"/>
        <w:spacing w:line="480" w:lineRule="auto"/>
        <w:jc w:val="both"/>
        <w:rPr>
          <w:rFonts w:ascii="Arial" w:eastAsia="Times New Roman" w:hAnsi="Arial" w:cs="Arial"/>
          <w:b/>
          <w:sz w:val="20"/>
          <w:szCs w:val="20"/>
        </w:rPr>
      </w:pPr>
    </w:p>
    <w:p w14:paraId="5B004140" w14:textId="77777777" w:rsidR="00245566" w:rsidRPr="00771162" w:rsidRDefault="00245566" w:rsidP="00245566">
      <w:pPr>
        <w:autoSpaceDE w:val="0"/>
        <w:adjustRightInd w:val="0"/>
        <w:spacing w:line="480" w:lineRule="auto"/>
        <w:jc w:val="both"/>
        <w:rPr>
          <w:rFonts w:ascii="Arial" w:eastAsia="Times New Roman" w:hAnsi="Arial" w:cs="Arial"/>
          <w:b/>
        </w:rPr>
      </w:pPr>
      <w:r w:rsidRPr="00771162">
        <w:rPr>
          <w:rFonts w:ascii="Arial" w:eastAsia="Times New Roman" w:hAnsi="Arial" w:cs="Arial"/>
          <w:b/>
        </w:rPr>
        <w:lastRenderedPageBreak/>
        <w:t>CONCLUSION</w:t>
      </w:r>
    </w:p>
    <w:p w14:paraId="33D419B4" w14:textId="77777777" w:rsidR="0052276C" w:rsidRDefault="00245566" w:rsidP="00166FB4">
      <w:pPr>
        <w:keepNext/>
        <w:autoSpaceDE w:val="0"/>
        <w:autoSpaceDN w:val="0"/>
        <w:adjustRightInd w:val="0"/>
        <w:spacing w:after="0"/>
        <w:jc w:val="both"/>
        <w:rPr>
          <w:rFonts w:ascii="Arial" w:hAnsi="Arial" w:cs="Arial"/>
          <w:sz w:val="20"/>
          <w:szCs w:val="20"/>
        </w:rPr>
      </w:pPr>
      <w:r w:rsidRPr="00771162">
        <w:rPr>
          <w:rFonts w:ascii="Arial" w:eastAsia="Times New Roman" w:hAnsi="Arial" w:cs="Arial"/>
          <w:sz w:val="20"/>
          <w:szCs w:val="20"/>
        </w:rPr>
        <w:tab/>
      </w:r>
      <w:r w:rsidR="00D96273" w:rsidRPr="00D96273">
        <w:rPr>
          <w:rFonts w:ascii="Arial" w:hAnsi="Arial" w:cs="Arial"/>
          <w:sz w:val="20"/>
          <w:szCs w:val="20"/>
        </w:rPr>
        <w:t>The present </w:t>
      </w:r>
      <w:r w:rsidR="00D96273" w:rsidRPr="00D96273">
        <w:rPr>
          <w:rFonts w:ascii="Arial" w:hAnsi="Arial" w:cs="Arial"/>
          <w:i/>
          <w:iCs/>
          <w:sz w:val="20"/>
          <w:szCs w:val="20"/>
        </w:rPr>
        <w:t>in silico</w:t>
      </w:r>
      <w:r w:rsidR="00D96273" w:rsidRPr="00D96273">
        <w:rPr>
          <w:rFonts w:ascii="Arial" w:hAnsi="Arial" w:cs="Arial"/>
          <w:sz w:val="20"/>
          <w:szCs w:val="20"/>
        </w:rPr>
        <w:t> investigation demonstrates that andrographolide exhibits strong and energetically favourable interactions with both the androgen receptor and CYP17A1enzyme, with binding energies exceeding the threshold for potent inhibition. Its compliance with Lipinski’s Rule of Five and favourable physicochemical properties support its classification as a drug-like molecule. These findings indicate that andrographolide possesses significant potential as a natural dual-target inhibitor in androgen-dependent prostate cancer. Further </w:t>
      </w:r>
      <w:r w:rsidR="00D96273" w:rsidRPr="00D96273">
        <w:rPr>
          <w:rFonts w:ascii="Arial" w:hAnsi="Arial" w:cs="Arial"/>
          <w:i/>
          <w:iCs/>
          <w:sz w:val="20"/>
          <w:szCs w:val="20"/>
        </w:rPr>
        <w:t>in vitro</w:t>
      </w:r>
      <w:r w:rsidR="00D96273" w:rsidRPr="00D96273">
        <w:rPr>
          <w:rFonts w:ascii="Arial" w:hAnsi="Arial" w:cs="Arial"/>
          <w:sz w:val="20"/>
          <w:szCs w:val="20"/>
        </w:rPr>
        <w:t> and </w:t>
      </w:r>
      <w:r w:rsidR="00D96273" w:rsidRPr="00D96273">
        <w:rPr>
          <w:rFonts w:ascii="Arial" w:hAnsi="Arial" w:cs="Arial"/>
          <w:i/>
          <w:iCs/>
          <w:sz w:val="20"/>
          <w:szCs w:val="20"/>
        </w:rPr>
        <w:t>in vivo</w:t>
      </w:r>
      <w:r w:rsidR="00D96273" w:rsidRPr="00D96273">
        <w:rPr>
          <w:rFonts w:ascii="Arial" w:hAnsi="Arial" w:cs="Arial"/>
          <w:sz w:val="20"/>
          <w:szCs w:val="20"/>
        </w:rPr>
        <w:t> evaluations are warranted to confirm its efficacy, safety, and</w:t>
      </w:r>
      <w:r w:rsidR="00AC2F62">
        <w:rPr>
          <w:rFonts w:ascii="Arial" w:hAnsi="Arial" w:cs="Arial"/>
          <w:sz w:val="20"/>
          <w:szCs w:val="20"/>
        </w:rPr>
        <w:t xml:space="preserve"> potential for development as a</w:t>
      </w:r>
      <w:r w:rsidR="00AC2F62" w:rsidRPr="00771162">
        <w:rPr>
          <w:rFonts w:ascii="Arial" w:hAnsi="Arial" w:cs="Arial"/>
          <w:sz w:val="20"/>
          <w:szCs w:val="20"/>
        </w:rPr>
        <w:t xml:space="preserve"> promising lead molecule for further preclinical studies aimed at developing novel anti-androg</w:t>
      </w:r>
      <w:r w:rsidR="00AC2F62">
        <w:rPr>
          <w:rFonts w:ascii="Arial" w:hAnsi="Arial" w:cs="Arial"/>
          <w:sz w:val="20"/>
          <w:szCs w:val="20"/>
        </w:rPr>
        <w:t>en therapies for prostate cancer.</w:t>
      </w:r>
    </w:p>
    <w:p w14:paraId="6AEAE5FB" w14:textId="77777777" w:rsidR="00F67F7B" w:rsidRPr="003105CC" w:rsidRDefault="00F67F7B" w:rsidP="00F67F7B">
      <w:r w:rsidRPr="003105CC">
        <w:t>Disclaimer (Artificial intelligence)</w:t>
      </w:r>
    </w:p>
    <w:p w14:paraId="5085B4FC" w14:textId="77777777" w:rsidR="00F67F7B" w:rsidRPr="003105CC" w:rsidRDefault="00F67F7B" w:rsidP="00F67F7B">
      <w:r w:rsidRPr="003105CC">
        <w:t xml:space="preserve">Author(s) hereby declare that NO generative AI technologies such as Large Language Models (ChatGPT, COPILOT, etc.) and text-to-image generators have been used during the writing or editing of this manuscript. </w:t>
      </w:r>
    </w:p>
    <w:p w14:paraId="347D097B" w14:textId="77777777" w:rsidR="00245566" w:rsidRPr="00771162" w:rsidRDefault="00245566" w:rsidP="00245566">
      <w:pPr>
        <w:autoSpaceDE w:val="0"/>
        <w:autoSpaceDN w:val="0"/>
        <w:adjustRightInd w:val="0"/>
        <w:spacing w:after="120" w:line="360" w:lineRule="auto"/>
        <w:jc w:val="both"/>
        <w:rPr>
          <w:rFonts w:ascii="Arial" w:hAnsi="Arial" w:cs="Arial"/>
          <w:b/>
          <w:sz w:val="20"/>
          <w:szCs w:val="20"/>
        </w:rPr>
      </w:pPr>
      <w:r w:rsidRPr="00771162">
        <w:rPr>
          <w:rFonts w:ascii="Arial" w:hAnsi="Arial" w:cs="Arial"/>
          <w:b/>
          <w:sz w:val="20"/>
          <w:szCs w:val="20"/>
        </w:rPr>
        <w:t>REFERENCES</w:t>
      </w:r>
    </w:p>
    <w:p w14:paraId="3BE176AC" w14:textId="77777777" w:rsidR="006F1607" w:rsidRPr="00771162" w:rsidRDefault="006F1607" w:rsidP="00935435">
      <w:pPr>
        <w:autoSpaceDE w:val="0"/>
        <w:autoSpaceDN w:val="0"/>
        <w:adjustRightInd w:val="0"/>
        <w:spacing w:after="120"/>
        <w:jc w:val="both"/>
        <w:rPr>
          <w:rFonts w:ascii="Arial" w:hAnsi="Arial" w:cs="Arial"/>
          <w:iCs/>
          <w:sz w:val="20"/>
          <w:szCs w:val="20"/>
        </w:rPr>
      </w:pPr>
      <w:r w:rsidRPr="00134DC6">
        <w:rPr>
          <w:rFonts w:ascii="Arial" w:hAnsi="Arial" w:cs="Arial"/>
          <w:iCs/>
          <w:sz w:val="20"/>
          <w:szCs w:val="20"/>
        </w:rPr>
        <w:t>Attard</w:t>
      </w:r>
      <w:r w:rsidR="00B27C4B">
        <w:rPr>
          <w:rFonts w:ascii="Arial" w:hAnsi="Arial" w:cs="Arial"/>
          <w:iCs/>
          <w:sz w:val="20"/>
          <w:szCs w:val="20"/>
        </w:rPr>
        <w:t>.</w:t>
      </w:r>
      <w:r w:rsidRPr="00134DC6">
        <w:rPr>
          <w:rFonts w:ascii="Arial" w:hAnsi="Arial" w:cs="Arial"/>
          <w:iCs/>
          <w:sz w:val="20"/>
          <w:szCs w:val="20"/>
        </w:rPr>
        <w:t>, Gerhardt</w:t>
      </w:r>
      <w:r w:rsidR="00B27C4B">
        <w:rPr>
          <w:rFonts w:ascii="Arial" w:hAnsi="Arial" w:cs="Arial"/>
          <w:iCs/>
          <w:sz w:val="20"/>
          <w:szCs w:val="20"/>
        </w:rPr>
        <w:t>.</w:t>
      </w:r>
      <w:r w:rsidRPr="00134DC6">
        <w:rPr>
          <w:rFonts w:ascii="Arial" w:hAnsi="Arial" w:cs="Arial"/>
          <w:iCs/>
          <w:sz w:val="20"/>
          <w:szCs w:val="20"/>
        </w:rPr>
        <w:t>, Alison HM Reid</w:t>
      </w:r>
      <w:r w:rsidR="00B27C4B">
        <w:rPr>
          <w:rFonts w:ascii="Arial" w:hAnsi="Arial" w:cs="Arial"/>
          <w:iCs/>
          <w:sz w:val="20"/>
          <w:szCs w:val="20"/>
        </w:rPr>
        <w:t>.</w:t>
      </w:r>
      <w:r w:rsidRPr="00134DC6">
        <w:rPr>
          <w:rFonts w:ascii="Arial" w:hAnsi="Arial" w:cs="Arial"/>
          <w:iCs/>
          <w:sz w:val="20"/>
          <w:szCs w:val="20"/>
        </w:rPr>
        <w:t>, Richard J.</w:t>
      </w:r>
      <w:r w:rsidR="00B27C4B">
        <w:rPr>
          <w:rFonts w:ascii="Arial" w:hAnsi="Arial" w:cs="Arial"/>
          <w:iCs/>
          <w:sz w:val="20"/>
          <w:szCs w:val="20"/>
        </w:rPr>
        <w:t>,</w:t>
      </w:r>
      <w:r w:rsidRPr="00134DC6">
        <w:rPr>
          <w:rFonts w:ascii="Arial" w:hAnsi="Arial" w:cs="Arial"/>
          <w:iCs/>
          <w:sz w:val="20"/>
          <w:szCs w:val="20"/>
        </w:rPr>
        <w:t xml:space="preserve"> Auchus, Beverly A. Hughes, Amy Mulick Cassidy, Emilda Thompson, Nikhil Babu Oommen et al.</w:t>
      </w:r>
      <w:r w:rsidR="00B27C4B">
        <w:rPr>
          <w:rFonts w:ascii="Arial" w:hAnsi="Arial" w:cs="Arial"/>
          <w:iCs/>
          <w:sz w:val="20"/>
          <w:szCs w:val="20"/>
        </w:rPr>
        <w:t>(2012).</w:t>
      </w:r>
      <w:r w:rsidRPr="00134DC6">
        <w:rPr>
          <w:rFonts w:ascii="Arial" w:hAnsi="Arial" w:cs="Arial"/>
          <w:iCs/>
          <w:sz w:val="20"/>
          <w:szCs w:val="20"/>
        </w:rPr>
        <w:t xml:space="preserve"> </w:t>
      </w:r>
      <w:r w:rsidR="00B27C4B">
        <w:rPr>
          <w:rFonts w:ascii="Arial" w:hAnsi="Arial" w:cs="Arial"/>
          <w:iCs/>
          <w:sz w:val="20"/>
          <w:szCs w:val="20"/>
        </w:rPr>
        <w:t>c</w:t>
      </w:r>
      <w:r w:rsidRPr="00134DC6">
        <w:rPr>
          <w:rFonts w:ascii="Arial" w:hAnsi="Arial" w:cs="Arial"/>
          <w:iCs/>
          <w:sz w:val="20"/>
          <w:szCs w:val="20"/>
        </w:rPr>
        <w:t>linical and biochemical consequences of CYP17A1 inhibition with abiraterone given with and without exogenous glucocorticoids in castrate men with advanced prostate cancer.</w:t>
      </w:r>
      <w:r w:rsidR="00B27C4B">
        <w:rPr>
          <w:rFonts w:ascii="Arial" w:hAnsi="Arial" w:cs="Arial"/>
          <w:iCs/>
          <w:sz w:val="20"/>
          <w:szCs w:val="20"/>
        </w:rPr>
        <w:t xml:space="preserve"> </w:t>
      </w:r>
      <w:r w:rsidRPr="00134DC6">
        <w:rPr>
          <w:rFonts w:ascii="Arial" w:hAnsi="Arial" w:cs="Arial"/>
          <w:i/>
          <w:iCs/>
          <w:sz w:val="20"/>
          <w:szCs w:val="20"/>
        </w:rPr>
        <w:t>The Journal of Clinical Endocrinology &amp; Metabolism</w:t>
      </w:r>
      <w:r w:rsidR="00B27C4B">
        <w:rPr>
          <w:rFonts w:ascii="Arial" w:hAnsi="Arial" w:cs="Arial"/>
          <w:iCs/>
          <w:sz w:val="20"/>
          <w:szCs w:val="20"/>
        </w:rPr>
        <w:t> 97(2)</w:t>
      </w:r>
      <w:r w:rsidRPr="00134DC6">
        <w:rPr>
          <w:rFonts w:ascii="Arial" w:hAnsi="Arial" w:cs="Arial"/>
          <w:iCs/>
          <w:sz w:val="20"/>
          <w:szCs w:val="20"/>
        </w:rPr>
        <w:t>: 507-516.</w:t>
      </w:r>
    </w:p>
    <w:p w14:paraId="539266CC" w14:textId="77777777" w:rsidR="006F1607" w:rsidRDefault="00B27C4B" w:rsidP="00935435">
      <w:pPr>
        <w:autoSpaceDE w:val="0"/>
        <w:autoSpaceDN w:val="0"/>
        <w:adjustRightInd w:val="0"/>
        <w:spacing w:after="120"/>
        <w:jc w:val="both"/>
        <w:rPr>
          <w:rFonts w:ascii="Arial" w:hAnsi="Arial" w:cs="Arial"/>
          <w:iCs/>
          <w:sz w:val="20"/>
          <w:szCs w:val="20"/>
        </w:rPr>
      </w:pPr>
      <w:r>
        <w:rPr>
          <w:rFonts w:ascii="Arial" w:hAnsi="Arial" w:cs="Arial"/>
          <w:iCs/>
          <w:sz w:val="20"/>
          <w:szCs w:val="20"/>
        </w:rPr>
        <w:t>Banerjee, M., Chattopadhyay, S., Choudhuri, T.,  Bera, R., Kumar, S., Chakraborty, B.,</w:t>
      </w:r>
      <w:r w:rsidR="006F1607" w:rsidRPr="00840212">
        <w:rPr>
          <w:rFonts w:ascii="Arial" w:hAnsi="Arial" w:cs="Arial"/>
          <w:iCs/>
          <w:sz w:val="20"/>
          <w:szCs w:val="20"/>
        </w:rPr>
        <w:t xml:space="preserve"> Mukherjee, S.K.</w:t>
      </w:r>
      <w:r>
        <w:rPr>
          <w:rFonts w:ascii="Arial" w:hAnsi="Arial" w:cs="Arial"/>
          <w:iCs/>
          <w:sz w:val="20"/>
          <w:szCs w:val="20"/>
        </w:rPr>
        <w:t xml:space="preserve"> (</w:t>
      </w:r>
      <w:r w:rsidRPr="00840212">
        <w:rPr>
          <w:rFonts w:ascii="Arial" w:hAnsi="Arial" w:cs="Arial"/>
          <w:iCs/>
          <w:sz w:val="20"/>
          <w:szCs w:val="20"/>
        </w:rPr>
        <w:t>2016</w:t>
      </w:r>
      <w:r>
        <w:rPr>
          <w:rFonts w:ascii="Arial" w:hAnsi="Arial" w:cs="Arial"/>
          <w:iCs/>
          <w:sz w:val="20"/>
          <w:szCs w:val="20"/>
        </w:rPr>
        <w:t xml:space="preserve">). </w:t>
      </w:r>
      <w:r w:rsidR="006F1607" w:rsidRPr="00840212">
        <w:rPr>
          <w:rFonts w:ascii="Arial" w:hAnsi="Arial" w:cs="Arial"/>
          <w:iCs/>
          <w:sz w:val="20"/>
          <w:szCs w:val="20"/>
        </w:rPr>
        <w:t xml:space="preserve"> Cytotoxicity and cell cycle arrest induced by andrographolide lead to programmed cell death of MDA-MB-231 breast cancer cell line. </w:t>
      </w:r>
      <w:r w:rsidR="006F1607" w:rsidRPr="00840212">
        <w:rPr>
          <w:rFonts w:ascii="Arial" w:hAnsi="Arial" w:cs="Arial"/>
          <w:i/>
          <w:iCs/>
          <w:sz w:val="20"/>
          <w:szCs w:val="20"/>
        </w:rPr>
        <w:t>J. Biomed. Sci.</w:t>
      </w:r>
      <w:r w:rsidR="006F1607" w:rsidRPr="00840212">
        <w:rPr>
          <w:rFonts w:ascii="Arial" w:hAnsi="Arial" w:cs="Arial"/>
          <w:iCs/>
          <w:sz w:val="20"/>
          <w:szCs w:val="20"/>
        </w:rPr>
        <w:t> </w:t>
      </w:r>
      <w:r>
        <w:rPr>
          <w:rFonts w:ascii="Arial" w:hAnsi="Arial" w:cs="Arial"/>
          <w:iCs/>
          <w:sz w:val="20"/>
          <w:szCs w:val="20"/>
        </w:rPr>
        <w:t>16;23:40</w:t>
      </w:r>
    </w:p>
    <w:p w14:paraId="327E706F" w14:textId="77777777" w:rsidR="006F1607" w:rsidRDefault="006F1607" w:rsidP="00935435">
      <w:pPr>
        <w:autoSpaceDE w:val="0"/>
        <w:autoSpaceDN w:val="0"/>
        <w:adjustRightInd w:val="0"/>
        <w:spacing w:after="120"/>
        <w:jc w:val="both"/>
        <w:rPr>
          <w:rFonts w:ascii="Arial" w:hAnsi="Arial" w:cs="Arial"/>
          <w:iCs/>
          <w:sz w:val="20"/>
          <w:szCs w:val="20"/>
        </w:rPr>
      </w:pPr>
      <w:r w:rsidRPr="00891920">
        <w:rPr>
          <w:rFonts w:ascii="Arial" w:hAnsi="Arial" w:cs="Arial"/>
          <w:iCs/>
          <w:sz w:val="20"/>
          <w:szCs w:val="20"/>
        </w:rPr>
        <w:t>Cheng</w:t>
      </w:r>
      <w:r>
        <w:rPr>
          <w:rFonts w:ascii="Arial" w:hAnsi="Arial" w:cs="Arial"/>
          <w:iCs/>
          <w:sz w:val="20"/>
          <w:szCs w:val="20"/>
        </w:rPr>
        <w:t>,</w:t>
      </w:r>
      <w:r w:rsidRPr="00891920">
        <w:rPr>
          <w:rFonts w:ascii="Arial" w:hAnsi="Arial" w:cs="Arial"/>
          <w:iCs/>
          <w:sz w:val="20"/>
          <w:szCs w:val="20"/>
        </w:rPr>
        <w:t xml:space="preserve"> C</w:t>
      </w:r>
      <w:r>
        <w:rPr>
          <w:rFonts w:ascii="Arial" w:hAnsi="Arial" w:cs="Arial"/>
          <w:iCs/>
          <w:sz w:val="20"/>
          <w:szCs w:val="20"/>
        </w:rPr>
        <w:t>.</w:t>
      </w:r>
      <w:r w:rsidRPr="00891920">
        <w:rPr>
          <w:rFonts w:ascii="Arial" w:hAnsi="Arial" w:cs="Arial"/>
          <w:iCs/>
          <w:sz w:val="20"/>
          <w:szCs w:val="20"/>
        </w:rPr>
        <w:t>R</w:t>
      </w:r>
      <w:r w:rsidR="00B27C4B">
        <w:rPr>
          <w:rFonts w:ascii="Arial" w:hAnsi="Arial" w:cs="Arial"/>
          <w:iCs/>
          <w:sz w:val="20"/>
          <w:szCs w:val="20"/>
        </w:rPr>
        <w:t>.</w:t>
      </w:r>
      <w:r w:rsidRPr="00891920">
        <w:rPr>
          <w:rFonts w:ascii="Arial" w:hAnsi="Arial" w:cs="Arial"/>
          <w:iCs/>
          <w:sz w:val="20"/>
          <w:szCs w:val="20"/>
        </w:rPr>
        <w:t>, Zheng</w:t>
      </w:r>
      <w:r>
        <w:rPr>
          <w:rFonts w:ascii="Arial" w:hAnsi="Arial" w:cs="Arial"/>
          <w:iCs/>
          <w:sz w:val="20"/>
          <w:szCs w:val="20"/>
        </w:rPr>
        <w:t>,</w:t>
      </w:r>
      <w:r w:rsidRPr="00891920">
        <w:rPr>
          <w:rFonts w:ascii="Arial" w:hAnsi="Arial" w:cs="Arial"/>
          <w:iCs/>
          <w:sz w:val="20"/>
          <w:szCs w:val="20"/>
        </w:rPr>
        <w:t xml:space="preserve"> Z</w:t>
      </w:r>
      <w:r w:rsidR="00B27C4B">
        <w:rPr>
          <w:rFonts w:ascii="Arial" w:hAnsi="Arial" w:cs="Arial"/>
          <w:iCs/>
          <w:sz w:val="20"/>
          <w:szCs w:val="20"/>
        </w:rPr>
        <w:t>.</w:t>
      </w:r>
      <w:r w:rsidRPr="00891920">
        <w:rPr>
          <w:rFonts w:ascii="Arial" w:hAnsi="Arial" w:cs="Arial"/>
          <w:iCs/>
          <w:sz w:val="20"/>
          <w:szCs w:val="20"/>
        </w:rPr>
        <w:t>, Liang</w:t>
      </w:r>
      <w:r w:rsidR="00B27C4B">
        <w:rPr>
          <w:rFonts w:ascii="Arial" w:hAnsi="Arial" w:cs="Arial"/>
          <w:iCs/>
          <w:sz w:val="20"/>
          <w:szCs w:val="20"/>
        </w:rPr>
        <w:t>,</w:t>
      </w:r>
      <w:r w:rsidRPr="00891920">
        <w:rPr>
          <w:rFonts w:ascii="Arial" w:hAnsi="Arial" w:cs="Arial"/>
          <w:iCs/>
          <w:sz w:val="20"/>
          <w:szCs w:val="20"/>
        </w:rPr>
        <w:t xml:space="preserve"> R</w:t>
      </w:r>
      <w:r w:rsidR="00B27C4B">
        <w:rPr>
          <w:rFonts w:ascii="Arial" w:hAnsi="Arial" w:cs="Arial"/>
          <w:iCs/>
          <w:sz w:val="20"/>
          <w:szCs w:val="20"/>
        </w:rPr>
        <w:t>.</w:t>
      </w:r>
      <w:r w:rsidRPr="00891920">
        <w:rPr>
          <w:rFonts w:ascii="Arial" w:hAnsi="Arial" w:cs="Arial"/>
          <w:iCs/>
          <w:sz w:val="20"/>
          <w:szCs w:val="20"/>
        </w:rPr>
        <w:t>M</w:t>
      </w:r>
      <w:r w:rsidR="00B27C4B">
        <w:rPr>
          <w:rFonts w:ascii="Arial" w:hAnsi="Arial" w:cs="Arial"/>
          <w:iCs/>
          <w:sz w:val="20"/>
          <w:szCs w:val="20"/>
        </w:rPr>
        <w:t>.</w:t>
      </w:r>
      <w:r w:rsidRPr="00891920">
        <w:rPr>
          <w:rFonts w:ascii="Arial" w:hAnsi="Arial" w:cs="Arial"/>
          <w:iCs/>
          <w:sz w:val="20"/>
          <w:szCs w:val="20"/>
        </w:rPr>
        <w:t>, Li</w:t>
      </w:r>
      <w:r w:rsidR="00B27C4B">
        <w:rPr>
          <w:rFonts w:ascii="Arial" w:hAnsi="Arial" w:cs="Arial"/>
          <w:iCs/>
          <w:sz w:val="20"/>
          <w:szCs w:val="20"/>
        </w:rPr>
        <w:t>,</w:t>
      </w:r>
      <w:r w:rsidRPr="00891920">
        <w:rPr>
          <w:rFonts w:ascii="Arial" w:hAnsi="Arial" w:cs="Arial"/>
          <w:iCs/>
          <w:sz w:val="20"/>
          <w:szCs w:val="20"/>
        </w:rPr>
        <w:t xml:space="preserve"> X</w:t>
      </w:r>
      <w:r w:rsidR="00B27C4B">
        <w:rPr>
          <w:rFonts w:ascii="Arial" w:hAnsi="Arial" w:cs="Arial"/>
          <w:iCs/>
          <w:sz w:val="20"/>
          <w:szCs w:val="20"/>
        </w:rPr>
        <w:t>.</w:t>
      </w:r>
      <w:r w:rsidRPr="00891920">
        <w:rPr>
          <w:rFonts w:ascii="Arial" w:hAnsi="Arial" w:cs="Arial"/>
          <w:iCs/>
          <w:sz w:val="20"/>
          <w:szCs w:val="20"/>
        </w:rPr>
        <w:t>F</w:t>
      </w:r>
      <w:r w:rsidR="00B27C4B">
        <w:rPr>
          <w:rFonts w:ascii="Arial" w:hAnsi="Arial" w:cs="Arial"/>
          <w:iCs/>
          <w:sz w:val="20"/>
          <w:szCs w:val="20"/>
        </w:rPr>
        <w:t>.</w:t>
      </w:r>
      <w:r w:rsidRPr="00891920">
        <w:rPr>
          <w:rFonts w:ascii="Arial" w:hAnsi="Arial" w:cs="Arial"/>
          <w:iCs/>
          <w:sz w:val="20"/>
          <w:szCs w:val="20"/>
        </w:rPr>
        <w:t>, Jiang</w:t>
      </w:r>
      <w:r w:rsidR="00B27C4B">
        <w:rPr>
          <w:rFonts w:ascii="Arial" w:hAnsi="Arial" w:cs="Arial"/>
          <w:iCs/>
          <w:sz w:val="20"/>
          <w:szCs w:val="20"/>
        </w:rPr>
        <w:t>,</w:t>
      </w:r>
      <w:r w:rsidRPr="00891920">
        <w:rPr>
          <w:rFonts w:ascii="Arial" w:hAnsi="Arial" w:cs="Arial"/>
          <w:iCs/>
          <w:sz w:val="20"/>
          <w:szCs w:val="20"/>
        </w:rPr>
        <w:t xml:space="preserve"> Q</w:t>
      </w:r>
      <w:r w:rsidR="00B27C4B">
        <w:rPr>
          <w:rFonts w:ascii="Arial" w:hAnsi="Arial" w:cs="Arial"/>
          <w:iCs/>
          <w:sz w:val="20"/>
          <w:szCs w:val="20"/>
        </w:rPr>
        <w:t>.</w:t>
      </w:r>
      <w:r w:rsidRPr="00891920">
        <w:rPr>
          <w:rFonts w:ascii="Arial" w:hAnsi="Arial" w:cs="Arial"/>
          <w:iCs/>
          <w:sz w:val="20"/>
          <w:szCs w:val="20"/>
        </w:rPr>
        <w:t>Q</w:t>
      </w:r>
      <w:r w:rsidR="00B27C4B">
        <w:rPr>
          <w:rFonts w:ascii="Arial" w:hAnsi="Arial" w:cs="Arial"/>
          <w:iCs/>
          <w:sz w:val="20"/>
          <w:szCs w:val="20"/>
        </w:rPr>
        <w:t>.</w:t>
      </w:r>
      <w:r w:rsidRPr="00891920">
        <w:rPr>
          <w:rFonts w:ascii="Arial" w:hAnsi="Arial" w:cs="Arial"/>
          <w:iCs/>
          <w:sz w:val="20"/>
          <w:szCs w:val="20"/>
        </w:rPr>
        <w:t>, Yue</w:t>
      </w:r>
      <w:r w:rsidR="00B27C4B">
        <w:rPr>
          <w:rFonts w:ascii="Arial" w:hAnsi="Arial" w:cs="Arial"/>
          <w:iCs/>
          <w:sz w:val="20"/>
          <w:szCs w:val="20"/>
        </w:rPr>
        <w:t>,</w:t>
      </w:r>
      <w:r w:rsidRPr="00891920">
        <w:rPr>
          <w:rFonts w:ascii="Arial" w:hAnsi="Arial" w:cs="Arial"/>
          <w:iCs/>
          <w:sz w:val="20"/>
          <w:szCs w:val="20"/>
        </w:rPr>
        <w:t xml:space="preserve"> L</w:t>
      </w:r>
      <w:r w:rsidR="00B27C4B">
        <w:rPr>
          <w:rFonts w:ascii="Arial" w:hAnsi="Arial" w:cs="Arial"/>
          <w:iCs/>
          <w:sz w:val="20"/>
          <w:szCs w:val="20"/>
        </w:rPr>
        <w:t>.</w:t>
      </w:r>
      <w:r w:rsidRPr="00891920">
        <w:rPr>
          <w:rFonts w:ascii="Arial" w:hAnsi="Arial" w:cs="Arial"/>
          <w:iCs/>
          <w:sz w:val="20"/>
          <w:szCs w:val="20"/>
        </w:rPr>
        <w:t>, Wang</w:t>
      </w:r>
      <w:r>
        <w:rPr>
          <w:rFonts w:ascii="Arial" w:hAnsi="Arial" w:cs="Arial"/>
          <w:iCs/>
          <w:sz w:val="20"/>
          <w:szCs w:val="20"/>
        </w:rPr>
        <w:t>,</w:t>
      </w:r>
      <w:r w:rsidRPr="00891920">
        <w:rPr>
          <w:rFonts w:ascii="Arial" w:hAnsi="Arial" w:cs="Arial"/>
          <w:iCs/>
          <w:sz w:val="20"/>
          <w:szCs w:val="20"/>
        </w:rPr>
        <w:t xml:space="preserve"> Q</w:t>
      </w:r>
      <w:r w:rsidR="00B27C4B">
        <w:rPr>
          <w:rFonts w:ascii="Arial" w:hAnsi="Arial" w:cs="Arial"/>
          <w:iCs/>
          <w:sz w:val="20"/>
          <w:szCs w:val="20"/>
        </w:rPr>
        <w:t>.</w:t>
      </w:r>
      <w:r w:rsidRPr="00891920">
        <w:rPr>
          <w:rFonts w:ascii="Arial" w:hAnsi="Arial" w:cs="Arial"/>
          <w:iCs/>
          <w:sz w:val="20"/>
          <w:szCs w:val="20"/>
        </w:rPr>
        <w:t>, Ding</w:t>
      </w:r>
      <w:r>
        <w:rPr>
          <w:rFonts w:ascii="Arial" w:hAnsi="Arial" w:cs="Arial"/>
          <w:iCs/>
          <w:sz w:val="20"/>
          <w:szCs w:val="20"/>
        </w:rPr>
        <w:t>,</w:t>
      </w:r>
      <w:r w:rsidRPr="00891920">
        <w:rPr>
          <w:rFonts w:ascii="Arial" w:hAnsi="Arial" w:cs="Arial"/>
          <w:iCs/>
          <w:sz w:val="20"/>
          <w:szCs w:val="20"/>
        </w:rPr>
        <w:t xml:space="preserve"> J</w:t>
      </w:r>
      <w:r w:rsidR="00B27C4B">
        <w:rPr>
          <w:rFonts w:ascii="Arial" w:hAnsi="Arial" w:cs="Arial"/>
          <w:iCs/>
          <w:sz w:val="20"/>
          <w:szCs w:val="20"/>
        </w:rPr>
        <w:t>.,</w:t>
      </w:r>
      <w:r w:rsidRPr="00891920">
        <w:rPr>
          <w:rFonts w:ascii="Arial" w:hAnsi="Arial" w:cs="Arial"/>
          <w:iCs/>
          <w:sz w:val="20"/>
          <w:szCs w:val="20"/>
        </w:rPr>
        <w:t xml:space="preserve"> and Liu</w:t>
      </w:r>
      <w:r w:rsidR="00B27C4B">
        <w:rPr>
          <w:rFonts w:ascii="Arial" w:hAnsi="Arial" w:cs="Arial"/>
          <w:iCs/>
          <w:sz w:val="20"/>
          <w:szCs w:val="20"/>
        </w:rPr>
        <w:t>,</w:t>
      </w:r>
      <w:r w:rsidRPr="00891920">
        <w:rPr>
          <w:rFonts w:ascii="Arial" w:hAnsi="Arial" w:cs="Arial"/>
          <w:iCs/>
          <w:sz w:val="20"/>
          <w:szCs w:val="20"/>
        </w:rPr>
        <w:t xml:space="preserve"> Y</w:t>
      </w:r>
      <w:r w:rsidR="00B27C4B">
        <w:rPr>
          <w:rFonts w:ascii="Arial" w:hAnsi="Arial" w:cs="Arial"/>
          <w:iCs/>
          <w:sz w:val="20"/>
          <w:szCs w:val="20"/>
        </w:rPr>
        <w:t>. (</w:t>
      </w:r>
      <w:r w:rsidR="00B27C4B" w:rsidRPr="00891920">
        <w:rPr>
          <w:rFonts w:ascii="Arial" w:hAnsi="Arial" w:cs="Arial"/>
          <w:iCs/>
          <w:sz w:val="20"/>
          <w:szCs w:val="20"/>
        </w:rPr>
        <w:t>2020</w:t>
      </w:r>
      <w:r w:rsidR="00B27C4B">
        <w:rPr>
          <w:rFonts w:ascii="Arial" w:hAnsi="Arial" w:cs="Arial"/>
          <w:iCs/>
          <w:sz w:val="20"/>
          <w:szCs w:val="20"/>
        </w:rPr>
        <w:t>)</w:t>
      </w:r>
      <w:r w:rsidR="00737DF7">
        <w:rPr>
          <w:rFonts w:ascii="Arial" w:hAnsi="Arial" w:cs="Arial"/>
          <w:iCs/>
          <w:sz w:val="20"/>
          <w:szCs w:val="20"/>
        </w:rPr>
        <w:t>.</w:t>
      </w:r>
      <w:r w:rsidRPr="00891920">
        <w:rPr>
          <w:rFonts w:ascii="Arial" w:hAnsi="Arial" w:cs="Arial"/>
          <w:iCs/>
          <w:sz w:val="20"/>
          <w:szCs w:val="20"/>
        </w:rPr>
        <w:t xml:space="preserve"> Preparation and cytotoxic Activity of 3,19-analogues of 12-thioether andrographolide. Chem Nat Compd. 56:264–269.</w:t>
      </w:r>
    </w:p>
    <w:p w14:paraId="37AC2160" w14:textId="77777777" w:rsidR="006F1607" w:rsidRDefault="006F1607" w:rsidP="00935435">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 xml:space="preserve">Dai, Y., Chen, S.R., Chai, L., Zhao, J., Wang, Y., &amp; Wang, Y., (2019). Overview of pharmacological activities of </w:t>
      </w:r>
      <w:r w:rsidRPr="00771162">
        <w:rPr>
          <w:rFonts w:ascii="Arial" w:hAnsi="Arial" w:cs="Arial"/>
          <w:i/>
          <w:iCs/>
          <w:sz w:val="20"/>
          <w:szCs w:val="20"/>
        </w:rPr>
        <w:t xml:space="preserve">Andrographis paniculata </w:t>
      </w:r>
      <w:r w:rsidRPr="00771162">
        <w:rPr>
          <w:rFonts w:ascii="Arial" w:hAnsi="Arial" w:cs="Arial"/>
          <w:iCs/>
          <w:sz w:val="20"/>
          <w:szCs w:val="20"/>
        </w:rPr>
        <w:t xml:space="preserve">and its major compound andrographolide. Crit. Rev. Food Sci. Nutr. 59:17-29. </w:t>
      </w:r>
    </w:p>
    <w:p w14:paraId="61892B8D" w14:textId="77777777" w:rsidR="006F1607" w:rsidRPr="00891920" w:rsidRDefault="006F1607" w:rsidP="00891920">
      <w:pPr>
        <w:autoSpaceDE w:val="0"/>
        <w:autoSpaceDN w:val="0"/>
        <w:adjustRightInd w:val="0"/>
        <w:spacing w:after="120"/>
        <w:jc w:val="both"/>
        <w:rPr>
          <w:rFonts w:ascii="Arial" w:hAnsi="Arial" w:cs="Arial"/>
          <w:iCs/>
          <w:sz w:val="20"/>
          <w:szCs w:val="20"/>
        </w:rPr>
      </w:pPr>
      <w:r w:rsidRPr="00891920">
        <w:rPr>
          <w:rFonts w:ascii="Arial" w:hAnsi="Arial" w:cs="Arial"/>
          <w:iCs/>
          <w:sz w:val="20"/>
          <w:szCs w:val="20"/>
        </w:rPr>
        <w:t>Daniels</w:t>
      </w:r>
      <w:r w:rsidR="00B27C4B">
        <w:rPr>
          <w:rFonts w:ascii="Arial" w:hAnsi="Arial" w:cs="Arial"/>
          <w:iCs/>
          <w:sz w:val="20"/>
          <w:szCs w:val="20"/>
        </w:rPr>
        <w:t>,</w:t>
      </w:r>
      <w:r w:rsidRPr="00891920">
        <w:rPr>
          <w:rFonts w:ascii="Arial" w:hAnsi="Arial" w:cs="Arial"/>
          <w:iCs/>
          <w:sz w:val="20"/>
          <w:szCs w:val="20"/>
        </w:rPr>
        <w:t xml:space="preserve"> V</w:t>
      </w:r>
      <w:r>
        <w:rPr>
          <w:rFonts w:ascii="Arial" w:hAnsi="Arial" w:cs="Arial"/>
          <w:iCs/>
          <w:sz w:val="20"/>
          <w:szCs w:val="20"/>
        </w:rPr>
        <w:t>,</w:t>
      </w:r>
      <w:r w:rsidRPr="00891920">
        <w:rPr>
          <w:rFonts w:ascii="Arial" w:hAnsi="Arial" w:cs="Arial"/>
          <w:iCs/>
          <w:sz w:val="20"/>
          <w:szCs w:val="20"/>
        </w:rPr>
        <w:t>A</w:t>
      </w:r>
      <w:r>
        <w:rPr>
          <w:rFonts w:ascii="Arial" w:hAnsi="Arial" w:cs="Arial"/>
          <w:iCs/>
          <w:sz w:val="20"/>
          <w:szCs w:val="20"/>
        </w:rPr>
        <w:t>.</w:t>
      </w:r>
      <w:r w:rsidRPr="00891920">
        <w:rPr>
          <w:rFonts w:ascii="Arial" w:hAnsi="Arial" w:cs="Arial"/>
          <w:iCs/>
          <w:sz w:val="20"/>
          <w:szCs w:val="20"/>
        </w:rPr>
        <w:t>, Luo</w:t>
      </w:r>
      <w:r w:rsidR="00B27C4B">
        <w:rPr>
          <w:rFonts w:ascii="Arial" w:hAnsi="Arial" w:cs="Arial"/>
          <w:iCs/>
          <w:sz w:val="20"/>
          <w:szCs w:val="20"/>
        </w:rPr>
        <w:t>,</w:t>
      </w:r>
      <w:r w:rsidRPr="00891920">
        <w:rPr>
          <w:rFonts w:ascii="Arial" w:hAnsi="Arial" w:cs="Arial"/>
          <w:iCs/>
          <w:sz w:val="20"/>
          <w:szCs w:val="20"/>
        </w:rPr>
        <w:t xml:space="preserve"> J</w:t>
      </w:r>
      <w:r w:rsidR="00B27C4B">
        <w:rPr>
          <w:rFonts w:ascii="Arial" w:hAnsi="Arial" w:cs="Arial"/>
          <w:iCs/>
          <w:sz w:val="20"/>
          <w:szCs w:val="20"/>
        </w:rPr>
        <w:t>.</w:t>
      </w:r>
      <w:r w:rsidRPr="00891920">
        <w:rPr>
          <w:rFonts w:ascii="Arial" w:hAnsi="Arial" w:cs="Arial"/>
          <w:iCs/>
          <w:sz w:val="20"/>
          <w:szCs w:val="20"/>
        </w:rPr>
        <w:t>, Paller</w:t>
      </w:r>
      <w:r w:rsidR="00B27C4B">
        <w:rPr>
          <w:rFonts w:ascii="Arial" w:hAnsi="Arial" w:cs="Arial"/>
          <w:iCs/>
          <w:sz w:val="20"/>
          <w:szCs w:val="20"/>
        </w:rPr>
        <w:t>,</w:t>
      </w:r>
      <w:r w:rsidRPr="00891920">
        <w:rPr>
          <w:rFonts w:ascii="Arial" w:hAnsi="Arial" w:cs="Arial"/>
          <w:iCs/>
          <w:sz w:val="20"/>
          <w:szCs w:val="20"/>
        </w:rPr>
        <w:t xml:space="preserve"> C</w:t>
      </w:r>
      <w:r>
        <w:rPr>
          <w:rFonts w:ascii="Arial" w:hAnsi="Arial" w:cs="Arial"/>
          <w:iCs/>
          <w:sz w:val="20"/>
          <w:szCs w:val="20"/>
        </w:rPr>
        <w:t>,</w:t>
      </w:r>
      <w:r w:rsidRPr="00891920">
        <w:rPr>
          <w:rFonts w:ascii="Arial" w:hAnsi="Arial" w:cs="Arial"/>
          <w:iCs/>
          <w:sz w:val="20"/>
          <w:szCs w:val="20"/>
        </w:rPr>
        <w:t>J</w:t>
      </w:r>
      <w:r w:rsidR="00B27C4B">
        <w:rPr>
          <w:rFonts w:ascii="Arial" w:hAnsi="Arial" w:cs="Arial"/>
          <w:iCs/>
          <w:sz w:val="20"/>
          <w:szCs w:val="20"/>
        </w:rPr>
        <w:t>.</w:t>
      </w:r>
      <w:r w:rsidRPr="00891920">
        <w:rPr>
          <w:rFonts w:ascii="Arial" w:hAnsi="Arial" w:cs="Arial"/>
          <w:iCs/>
          <w:sz w:val="20"/>
          <w:szCs w:val="20"/>
        </w:rPr>
        <w:t>, Kanayama</w:t>
      </w:r>
      <w:r w:rsidR="00B27C4B">
        <w:rPr>
          <w:rFonts w:ascii="Arial" w:hAnsi="Arial" w:cs="Arial"/>
          <w:iCs/>
          <w:sz w:val="20"/>
          <w:szCs w:val="20"/>
        </w:rPr>
        <w:t>,</w:t>
      </w:r>
      <w:r w:rsidRPr="00891920">
        <w:rPr>
          <w:rFonts w:ascii="Arial" w:hAnsi="Arial" w:cs="Arial"/>
          <w:iCs/>
          <w:sz w:val="20"/>
          <w:szCs w:val="20"/>
        </w:rPr>
        <w:t xml:space="preserve"> M.</w:t>
      </w:r>
      <w:r w:rsidR="00B27C4B">
        <w:rPr>
          <w:rFonts w:ascii="Arial" w:hAnsi="Arial" w:cs="Arial"/>
          <w:iCs/>
          <w:sz w:val="20"/>
          <w:szCs w:val="20"/>
        </w:rPr>
        <w:t xml:space="preserve"> (</w:t>
      </w:r>
      <w:r>
        <w:rPr>
          <w:rFonts w:ascii="Arial" w:hAnsi="Arial" w:cs="Arial"/>
          <w:iCs/>
          <w:sz w:val="20"/>
          <w:szCs w:val="20"/>
        </w:rPr>
        <w:t>2024</w:t>
      </w:r>
      <w:r w:rsidR="00B27C4B">
        <w:rPr>
          <w:rFonts w:ascii="Arial" w:hAnsi="Arial" w:cs="Arial"/>
          <w:iCs/>
          <w:sz w:val="20"/>
          <w:szCs w:val="20"/>
        </w:rPr>
        <w:t>)</w:t>
      </w:r>
      <w:r>
        <w:rPr>
          <w:rFonts w:ascii="Arial" w:hAnsi="Arial" w:cs="Arial"/>
          <w:iCs/>
          <w:sz w:val="20"/>
          <w:szCs w:val="20"/>
        </w:rPr>
        <w:t>.</w:t>
      </w:r>
      <w:r w:rsidRPr="00891920">
        <w:rPr>
          <w:rFonts w:ascii="Arial" w:hAnsi="Arial" w:cs="Arial"/>
          <w:iCs/>
          <w:sz w:val="20"/>
          <w:szCs w:val="20"/>
        </w:rPr>
        <w:t xml:space="preserve"> Therapeutic Approaches to Targeting Androgen Recept</w:t>
      </w:r>
      <w:r>
        <w:rPr>
          <w:rFonts w:ascii="Arial" w:hAnsi="Arial" w:cs="Arial"/>
          <w:iCs/>
          <w:sz w:val="20"/>
          <w:szCs w:val="20"/>
        </w:rPr>
        <w:t xml:space="preserve">or Splice Variants. Cells. </w:t>
      </w:r>
      <w:r w:rsidRPr="00891920">
        <w:rPr>
          <w:rFonts w:ascii="Arial" w:hAnsi="Arial" w:cs="Arial"/>
          <w:iCs/>
          <w:sz w:val="20"/>
          <w:szCs w:val="20"/>
        </w:rPr>
        <w:t xml:space="preserve"> 4;13(1):104. doi: 10.3390/cells</w:t>
      </w:r>
      <w:r>
        <w:rPr>
          <w:rFonts w:ascii="Arial" w:hAnsi="Arial" w:cs="Arial"/>
          <w:iCs/>
          <w:sz w:val="20"/>
          <w:szCs w:val="20"/>
        </w:rPr>
        <w:t>13010104.</w:t>
      </w:r>
    </w:p>
    <w:p w14:paraId="6658AB98" w14:textId="77777777" w:rsidR="006F1607" w:rsidRPr="00771162" w:rsidRDefault="006F1607" w:rsidP="00935435">
      <w:pPr>
        <w:autoSpaceDE w:val="0"/>
        <w:autoSpaceDN w:val="0"/>
        <w:adjustRightInd w:val="0"/>
        <w:spacing w:after="120"/>
        <w:jc w:val="both"/>
        <w:rPr>
          <w:rFonts w:ascii="Arial" w:hAnsi="Arial" w:cs="Arial"/>
          <w:sz w:val="20"/>
          <w:szCs w:val="20"/>
        </w:rPr>
      </w:pPr>
      <w:r w:rsidRPr="00771162">
        <w:rPr>
          <w:rFonts w:ascii="Arial" w:hAnsi="Arial" w:cs="Arial"/>
          <w:sz w:val="20"/>
          <w:szCs w:val="20"/>
        </w:rPr>
        <w:t>Ferlay, J., Ervik, M., Lam, F., Colombet, M., Mery, L., Piñeros, M., Znaor, A., Soerjomataram, I. &amp; Bray, F. (2020). Global cancer observatory: cancer today. </w:t>
      </w:r>
      <w:r w:rsidRPr="00771162">
        <w:rPr>
          <w:rFonts w:ascii="Arial" w:hAnsi="Arial" w:cs="Arial"/>
          <w:i/>
          <w:iCs/>
          <w:sz w:val="20"/>
          <w:szCs w:val="20"/>
        </w:rPr>
        <w:t xml:space="preserve">Lyon: </w:t>
      </w:r>
      <w:r w:rsidRPr="00771162">
        <w:rPr>
          <w:rFonts w:ascii="Arial" w:hAnsi="Arial" w:cs="Arial"/>
          <w:i/>
          <w:iCs/>
          <w:sz w:val="20"/>
          <w:szCs w:val="20"/>
        </w:rPr>
        <w:tab/>
        <w:t>International agency for research on cancer</w:t>
      </w:r>
      <w:r w:rsidRPr="00771162">
        <w:rPr>
          <w:rFonts w:ascii="Arial" w:hAnsi="Arial" w:cs="Arial"/>
          <w:sz w:val="20"/>
          <w:szCs w:val="20"/>
        </w:rPr>
        <w:t>, </w:t>
      </w:r>
      <w:r w:rsidRPr="00771162">
        <w:rPr>
          <w:rFonts w:ascii="Arial" w:hAnsi="Arial" w:cs="Arial"/>
          <w:i/>
          <w:iCs/>
          <w:sz w:val="20"/>
          <w:szCs w:val="20"/>
        </w:rPr>
        <w:t>2018-2020</w:t>
      </w:r>
      <w:r w:rsidRPr="00771162">
        <w:rPr>
          <w:rFonts w:ascii="Arial" w:hAnsi="Arial" w:cs="Arial"/>
          <w:sz w:val="20"/>
          <w:szCs w:val="20"/>
        </w:rPr>
        <w:t>.</w:t>
      </w:r>
    </w:p>
    <w:p w14:paraId="72BBCB38" w14:textId="77777777" w:rsidR="006F1607" w:rsidRPr="00771162" w:rsidRDefault="006F1607" w:rsidP="00D525CA">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Hu</w:t>
      </w:r>
      <w:r w:rsidR="00B27C4B">
        <w:rPr>
          <w:rFonts w:ascii="Arial" w:hAnsi="Arial" w:cs="Arial"/>
          <w:iCs/>
          <w:sz w:val="20"/>
          <w:szCs w:val="20"/>
        </w:rPr>
        <w:t>,</w:t>
      </w:r>
      <w:r w:rsidRPr="00771162">
        <w:rPr>
          <w:rFonts w:ascii="Arial" w:hAnsi="Arial" w:cs="Arial"/>
          <w:iCs/>
          <w:sz w:val="20"/>
          <w:szCs w:val="20"/>
        </w:rPr>
        <w:t xml:space="preserve"> J</w:t>
      </w:r>
      <w:r w:rsidR="00B27C4B">
        <w:rPr>
          <w:rFonts w:ascii="Arial" w:hAnsi="Arial" w:cs="Arial"/>
          <w:iCs/>
          <w:sz w:val="20"/>
          <w:szCs w:val="20"/>
        </w:rPr>
        <w:t>.</w:t>
      </w:r>
      <w:r w:rsidRPr="00771162">
        <w:rPr>
          <w:rFonts w:ascii="Arial" w:hAnsi="Arial" w:cs="Arial"/>
          <w:iCs/>
          <w:sz w:val="20"/>
          <w:szCs w:val="20"/>
        </w:rPr>
        <w:t>, Li</w:t>
      </w:r>
      <w:r w:rsidR="00B27C4B">
        <w:rPr>
          <w:rFonts w:ascii="Arial" w:hAnsi="Arial" w:cs="Arial"/>
          <w:iCs/>
          <w:sz w:val="20"/>
          <w:szCs w:val="20"/>
        </w:rPr>
        <w:t>,</w:t>
      </w:r>
      <w:r w:rsidRPr="00771162">
        <w:rPr>
          <w:rFonts w:ascii="Arial" w:hAnsi="Arial" w:cs="Arial"/>
          <w:iCs/>
          <w:sz w:val="20"/>
          <w:szCs w:val="20"/>
        </w:rPr>
        <w:t xml:space="preserve"> Y</w:t>
      </w:r>
      <w:r w:rsidR="00B27C4B">
        <w:rPr>
          <w:rFonts w:ascii="Arial" w:hAnsi="Arial" w:cs="Arial"/>
          <w:iCs/>
          <w:sz w:val="20"/>
          <w:szCs w:val="20"/>
        </w:rPr>
        <w:t>.</w:t>
      </w:r>
      <w:r w:rsidRPr="00771162">
        <w:rPr>
          <w:rFonts w:ascii="Arial" w:hAnsi="Arial" w:cs="Arial"/>
          <w:iCs/>
          <w:sz w:val="20"/>
          <w:szCs w:val="20"/>
        </w:rPr>
        <w:t>, Xie</w:t>
      </w:r>
      <w:r w:rsidR="00B27C4B">
        <w:rPr>
          <w:rFonts w:ascii="Arial" w:hAnsi="Arial" w:cs="Arial"/>
          <w:iCs/>
          <w:sz w:val="20"/>
          <w:szCs w:val="20"/>
        </w:rPr>
        <w:t>, X.,</w:t>
      </w:r>
      <w:r w:rsidRPr="00771162">
        <w:rPr>
          <w:rFonts w:ascii="Arial" w:hAnsi="Arial" w:cs="Arial"/>
          <w:iCs/>
          <w:sz w:val="20"/>
          <w:szCs w:val="20"/>
        </w:rPr>
        <w:t xml:space="preserve"> Song</w:t>
      </w:r>
      <w:r w:rsidR="00B27C4B">
        <w:rPr>
          <w:rFonts w:ascii="Arial" w:hAnsi="Arial" w:cs="Arial"/>
          <w:iCs/>
          <w:sz w:val="20"/>
          <w:szCs w:val="20"/>
        </w:rPr>
        <w:t>,</w:t>
      </w:r>
      <w:r w:rsidRPr="00771162">
        <w:rPr>
          <w:rFonts w:ascii="Arial" w:hAnsi="Arial" w:cs="Arial"/>
          <w:iCs/>
          <w:sz w:val="20"/>
          <w:szCs w:val="20"/>
        </w:rPr>
        <w:t xml:space="preserve"> Y</w:t>
      </w:r>
      <w:r w:rsidR="00B27C4B">
        <w:rPr>
          <w:rFonts w:ascii="Arial" w:hAnsi="Arial" w:cs="Arial"/>
          <w:iCs/>
          <w:sz w:val="20"/>
          <w:szCs w:val="20"/>
        </w:rPr>
        <w:t>.</w:t>
      </w:r>
      <w:r w:rsidRPr="00771162">
        <w:rPr>
          <w:rFonts w:ascii="Arial" w:hAnsi="Arial" w:cs="Arial"/>
          <w:iCs/>
          <w:sz w:val="20"/>
          <w:szCs w:val="20"/>
        </w:rPr>
        <w:t>, Yan</w:t>
      </w:r>
      <w:r w:rsidR="00B27C4B">
        <w:rPr>
          <w:rFonts w:ascii="Arial" w:hAnsi="Arial" w:cs="Arial"/>
          <w:iCs/>
          <w:sz w:val="20"/>
          <w:szCs w:val="20"/>
        </w:rPr>
        <w:t>,</w:t>
      </w:r>
      <w:r w:rsidRPr="00771162">
        <w:rPr>
          <w:rFonts w:ascii="Arial" w:hAnsi="Arial" w:cs="Arial"/>
          <w:iCs/>
          <w:sz w:val="20"/>
          <w:szCs w:val="20"/>
        </w:rPr>
        <w:t xml:space="preserve"> W</w:t>
      </w:r>
      <w:r w:rsidR="00B27C4B">
        <w:rPr>
          <w:rFonts w:ascii="Arial" w:hAnsi="Arial" w:cs="Arial"/>
          <w:iCs/>
          <w:sz w:val="20"/>
          <w:szCs w:val="20"/>
        </w:rPr>
        <w:t>.</w:t>
      </w:r>
      <w:r w:rsidRPr="00771162">
        <w:rPr>
          <w:rFonts w:ascii="Arial" w:hAnsi="Arial" w:cs="Arial"/>
          <w:iCs/>
          <w:sz w:val="20"/>
          <w:szCs w:val="20"/>
        </w:rPr>
        <w:t>, Luo</w:t>
      </w:r>
      <w:r w:rsidR="00B27C4B">
        <w:rPr>
          <w:rFonts w:ascii="Arial" w:hAnsi="Arial" w:cs="Arial"/>
          <w:iCs/>
          <w:sz w:val="20"/>
          <w:szCs w:val="20"/>
        </w:rPr>
        <w:t>,</w:t>
      </w:r>
      <w:r w:rsidRPr="00771162">
        <w:rPr>
          <w:rFonts w:ascii="Arial" w:hAnsi="Arial" w:cs="Arial"/>
          <w:iCs/>
          <w:sz w:val="20"/>
          <w:szCs w:val="20"/>
        </w:rPr>
        <w:t xml:space="preserve"> Y</w:t>
      </w:r>
      <w:r w:rsidR="00B27C4B">
        <w:rPr>
          <w:rFonts w:ascii="Arial" w:hAnsi="Arial" w:cs="Arial"/>
          <w:iCs/>
          <w:sz w:val="20"/>
          <w:szCs w:val="20"/>
        </w:rPr>
        <w:t>.,</w:t>
      </w:r>
      <w:r w:rsidRPr="00771162">
        <w:rPr>
          <w:rFonts w:ascii="Arial" w:hAnsi="Arial" w:cs="Arial"/>
          <w:iCs/>
          <w:sz w:val="20"/>
          <w:szCs w:val="20"/>
        </w:rPr>
        <w:t xml:space="preserve"> &amp; Jiang</w:t>
      </w:r>
      <w:r w:rsidR="00B27C4B">
        <w:rPr>
          <w:rFonts w:ascii="Arial" w:hAnsi="Arial" w:cs="Arial"/>
          <w:iCs/>
          <w:sz w:val="20"/>
          <w:szCs w:val="20"/>
        </w:rPr>
        <w:t>,</w:t>
      </w:r>
      <w:r w:rsidRPr="00771162">
        <w:rPr>
          <w:rFonts w:ascii="Arial" w:hAnsi="Arial" w:cs="Arial"/>
          <w:iCs/>
          <w:sz w:val="20"/>
          <w:szCs w:val="20"/>
        </w:rPr>
        <w:t xml:space="preserve"> Y. (2024). The therapeutic potential of andrographolide in cancer treatment. </w:t>
      </w:r>
      <w:r w:rsidRPr="00771162">
        <w:rPr>
          <w:rFonts w:ascii="Arial" w:hAnsi="Arial" w:cs="Arial"/>
          <w:i/>
          <w:sz w:val="20"/>
          <w:szCs w:val="20"/>
        </w:rPr>
        <w:t xml:space="preserve">Biomedicine &amp; Pharmacotherapy </w:t>
      </w:r>
      <w:r w:rsidR="00737DF7">
        <w:rPr>
          <w:rFonts w:ascii="Arial" w:hAnsi="Arial" w:cs="Arial"/>
          <w:iCs/>
          <w:sz w:val="20"/>
          <w:szCs w:val="20"/>
        </w:rPr>
        <w:t>180</w:t>
      </w:r>
      <w:r w:rsidRPr="00771162">
        <w:rPr>
          <w:rFonts w:ascii="Arial" w:hAnsi="Arial" w:cs="Arial"/>
          <w:iCs/>
          <w:sz w:val="20"/>
          <w:szCs w:val="20"/>
        </w:rPr>
        <w:t>: 1174382024.</w:t>
      </w:r>
    </w:p>
    <w:p w14:paraId="29701DDA" w14:textId="77777777" w:rsidR="006F1607" w:rsidRPr="00771162" w:rsidRDefault="006F1607" w:rsidP="00D525CA">
      <w:pPr>
        <w:autoSpaceDE w:val="0"/>
        <w:autoSpaceDN w:val="0"/>
        <w:adjustRightInd w:val="0"/>
        <w:spacing w:after="120"/>
        <w:jc w:val="both"/>
        <w:rPr>
          <w:rFonts w:ascii="Arial" w:eastAsiaTheme="minorHAnsi" w:hAnsi="Arial" w:cs="Arial"/>
          <w:sz w:val="20"/>
          <w:szCs w:val="20"/>
          <w:lang w:eastAsia="en-US"/>
        </w:rPr>
      </w:pPr>
      <w:r w:rsidRPr="00771162">
        <w:rPr>
          <w:rFonts w:ascii="Arial" w:hAnsi="Arial" w:cs="Arial"/>
          <w:sz w:val="20"/>
          <w:szCs w:val="20"/>
        </w:rPr>
        <w:t>Huggins, C., Stephens</w:t>
      </w:r>
      <w:r w:rsidR="00B27C4B">
        <w:rPr>
          <w:rFonts w:ascii="Arial" w:hAnsi="Arial" w:cs="Arial"/>
          <w:sz w:val="20"/>
          <w:szCs w:val="20"/>
        </w:rPr>
        <w:t>,</w:t>
      </w:r>
      <w:r w:rsidR="00B27C4B" w:rsidRPr="00B27C4B">
        <w:rPr>
          <w:rFonts w:ascii="Arial" w:hAnsi="Arial" w:cs="Arial"/>
          <w:sz w:val="20"/>
          <w:szCs w:val="20"/>
        </w:rPr>
        <w:t xml:space="preserve"> </w:t>
      </w:r>
      <w:r w:rsidR="00B27C4B" w:rsidRPr="00771162">
        <w:rPr>
          <w:rFonts w:ascii="Arial" w:hAnsi="Arial" w:cs="Arial"/>
          <w:sz w:val="20"/>
          <w:szCs w:val="20"/>
        </w:rPr>
        <w:t>R.E.</w:t>
      </w:r>
      <w:r w:rsidR="00B27C4B">
        <w:rPr>
          <w:rFonts w:ascii="Arial" w:hAnsi="Arial" w:cs="Arial"/>
          <w:sz w:val="20"/>
          <w:szCs w:val="20"/>
        </w:rPr>
        <w:t>,</w:t>
      </w:r>
      <w:r w:rsidRPr="00771162">
        <w:rPr>
          <w:rFonts w:ascii="Arial" w:hAnsi="Arial" w:cs="Arial"/>
          <w:sz w:val="20"/>
          <w:szCs w:val="20"/>
        </w:rPr>
        <w:t xml:space="preserve"> &amp; Hodges</w:t>
      </w:r>
      <w:r w:rsidR="00B27C4B">
        <w:rPr>
          <w:rFonts w:ascii="Arial" w:hAnsi="Arial" w:cs="Arial"/>
          <w:sz w:val="20"/>
          <w:szCs w:val="20"/>
        </w:rPr>
        <w:t>,</w:t>
      </w:r>
      <w:r w:rsidR="00737DF7">
        <w:rPr>
          <w:rFonts w:ascii="Arial" w:hAnsi="Arial" w:cs="Arial"/>
          <w:sz w:val="20"/>
          <w:szCs w:val="20"/>
        </w:rPr>
        <w:t xml:space="preserve"> </w:t>
      </w:r>
      <w:r w:rsidR="00737DF7" w:rsidRPr="00771162">
        <w:rPr>
          <w:rFonts w:ascii="Arial" w:hAnsi="Arial" w:cs="Arial"/>
          <w:sz w:val="20"/>
          <w:szCs w:val="20"/>
        </w:rPr>
        <w:t>C.V.</w:t>
      </w:r>
      <w:r w:rsidRPr="00771162">
        <w:rPr>
          <w:rFonts w:ascii="Arial" w:hAnsi="Arial" w:cs="Arial"/>
          <w:sz w:val="20"/>
          <w:szCs w:val="20"/>
        </w:rPr>
        <w:t xml:space="preserve"> (1941). Studies on prostate cancer II. The effects </w:t>
      </w:r>
      <w:r w:rsidRPr="00771162">
        <w:rPr>
          <w:rFonts w:ascii="Arial" w:hAnsi="Arial" w:cs="Arial"/>
          <w:sz w:val="20"/>
          <w:szCs w:val="20"/>
        </w:rPr>
        <w:tab/>
        <w:t xml:space="preserve">of castration on advanced carcinoma of the prostate. </w:t>
      </w:r>
      <w:r w:rsidRPr="00771162">
        <w:rPr>
          <w:rFonts w:ascii="Arial" w:hAnsi="Arial" w:cs="Arial"/>
          <w:i/>
          <w:iCs/>
          <w:sz w:val="20"/>
          <w:szCs w:val="20"/>
        </w:rPr>
        <w:t xml:space="preserve">Arch. Surg. </w:t>
      </w:r>
      <w:r w:rsidRPr="00771162">
        <w:rPr>
          <w:rFonts w:ascii="Arial" w:hAnsi="Arial" w:cs="Arial"/>
          <w:bCs/>
          <w:sz w:val="20"/>
          <w:szCs w:val="20"/>
        </w:rPr>
        <w:t>43</w:t>
      </w:r>
      <w:r w:rsidRPr="00771162">
        <w:rPr>
          <w:rFonts w:ascii="Arial" w:hAnsi="Arial" w:cs="Arial"/>
          <w:sz w:val="20"/>
          <w:szCs w:val="20"/>
        </w:rPr>
        <w:t>: 209-223.</w:t>
      </w:r>
    </w:p>
    <w:p w14:paraId="4D360D6F" w14:textId="77777777" w:rsidR="006F1607" w:rsidRPr="00771162" w:rsidRDefault="006F1607" w:rsidP="00D525CA">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Kaushik, S., Dar, L., Kaushik, S</w:t>
      </w:r>
      <w:r w:rsidR="00737DF7">
        <w:rPr>
          <w:rFonts w:ascii="Arial" w:hAnsi="Arial" w:cs="Arial"/>
          <w:iCs/>
          <w:sz w:val="20"/>
          <w:szCs w:val="20"/>
        </w:rPr>
        <w:t>.,</w:t>
      </w:r>
      <w:r w:rsidRPr="00771162">
        <w:rPr>
          <w:rFonts w:ascii="Arial" w:hAnsi="Arial" w:cs="Arial"/>
          <w:iCs/>
          <w:sz w:val="20"/>
          <w:szCs w:val="20"/>
        </w:rPr>
        <w:t xml:space="preserve"> &amp; Yadav, J.P (2020). Identification and characterization of new  potent  inhibitors of dengue virus NS5 proteinase from </w:t>
      </w:r>
      <w:r w:rsidRPr="00771162">
        <w:rPr>
          <w:rFonts w:ascii="Arial" w:hAnsi="Arial" w:cs="Arial"/>
          <w:i/>
          <w:iCs/>
          <w:sz w:val="20"/>
          <w:szCs w:val="20"/>
        </w:rPr>
        <w:t>Andrographis paniculata</w:t>
      </w:r>
      <w:r w:rsidRPr="00771162">
        <w:rPr>
          <w:rFonts w:ascii="Arial" w:hAnsi="Arial" w:cs="Arial"/>
          <w:iCs/>
          <w:sz w:val="20"/>
          <w:szCs w:val="20"/>
        </w:rPr>
        <w:t xml:space="preserve"> supercritical     extracts on in animal cell culture and in silico approaches. J. Ethnopharmacol. https://doi.org/10.1016/j.jep.2020.113541.</w:t>
      </w:r>
    </w:p>
    <w:p w14:paraId="2DAE41FA" w14:textId="77777777" w:rsidR="006F1607" w:rsidRPr="00771162" w:rsidRDefault="006F1607" w:rsidP="00D525CA">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Messner, Elisabeth A., Thomas M. Steele, Maria Malvina Tsamouri, Nazila Hejazi, Allen C. Gao, Maria Mudryj, &amp; Paramita M. Ghosh (2020). The Androgen Receptor in Prostate Cancer: Effect of Structure, Ligands and Spliced Variants on Therapy. </w:t>
      </w:r>
      <w:r w:rsidRPr="00771162">
        <w:rPr>
          <w:rFonts w:ascii="Arial" w:hAnsi="Arial" w:cs="Arial"/>
          <w:i/>
          <w:iCs/>
          <w:sz w:val="20"/>
          <w:szCs w:val="20"/>
        </w:rPr>
        <w:t>Biomedicines</w:t>
      </w:r>
      <w:r w:rsidRPr="00771162">
        <w:rPr>
          <w:rFonts w:ascii="Arial" w:hAnsi="Arial" w:cs="Arial"/>
          <w:iCs/>
          <w:sz w:val="20"/>
          <w:szCs w:val="20"/>
        </w:rPr>
        <w:t> 8(10): 422.</w:t>
      </w:r>
    </w:p>
    <w:p w14:paraId="1125E7D1" w14:textId="77777777" w:rsidR="006F1607" w:rsidRDefault="006F1607" w:rsidP="00935435">
      <w:pPr>
        <w:autoSpaceDE w:val="0"/>
        <w:autoSpaceDN w:val="0"/>
        <w:adjustRightInd w:val="0"/>
        <w:spacing w:after="120"/>
        <w:jc w:val="both"/>
        <w:rPr>
          <w:rFonts w:ascii="Arial" w:hAnsi="Arial" w:cs="Arial"/>
          <w:iCs/>
          <w:sz w:val="20"/>
          <w:szCs w:val="20"/>
        </w:rPr>
      </w:pPr>
      <w:r w:rsidRPr="00840212">
        <w:rPr>
          <w:rFonts w:ascii="Arial" w:hAnsi="Arial" w:cs="Arial"/>
          <w:iCs/>
          <w:sz w:val="20"/>
          <w:szCs w:val="20"/>
        </w:rPr>
        <w:lastRenderedPageBreak/>
        <w:t>Rajagopal, S., Kumar, R.A., Deevi, D.S., Satyanarayana, C.</w:t>
      </w:r>
      <w:r w:rsidR="00737DF7">
        <w:rPr>
          <w:rFonts w:ascii="Arial" w:hAnsi="Arial" w:cs="Arial"/>
          <w:iCs/>
          <w:sz w:val="20"/>
          <w:szCs w:val="20"/>
        </w:rPr>
        <w:t>,</w:t>
      </w:r>
      <w:r w:rsidRPr="00840212">
        <w:rPr>
          <w:rFonts w:ascii="Arial" w:hAnsi="Arial" w:cs="Arial"/>
          <w:iCs/>
          <w:sz w:val="20"/>
          <w:szCs w:val="20"/>
        </w:rPr>
        <w:t xml:space="preserve"> and Rajagopalan, R., </w:t>
      </w:r>
      <w:r w:rsidR="00737DF7">
        <w:rPr>
          <w:rFonts w:ascii="Arial" w:hAnsi="Arial" w:cs="Arial"/>
          <w:iCs/>
          <w:sz w:val="20"/>
          <w:szCs w:val="20"/>
        </w:rPr>
        <w:t>(</w:t>
      </w:r>
      <w:r w:rsidRPr="00840212">
        <w:rPr>
          <w:rFonts w:ascii="Arial" w:hAnsi="Arial" w:cs="Arial"/>
          <w:iCs/>
          <w:sz w:val="20"/>
          <w:szCs w:val="20"/>
        </w:rPr>
        <w:t>2003</w:t>
      </w:r>
      <w:r w:rsidR="00737DF7">
        <w:rPr>
          <w:rFonts w:ascii="Arial" w:hAnsi="Arial" w:cs="Arial"/>
          <w:iCs/>
          <w:sz w:val="20"/>
          <w:szCs w:val="20"/>
        </w:rPr>
        <w:t>)</w:t>
      </w:r>
      <w:r w:rsidRPr="00840212">
        <w:rPr>
          <w:rFonts w:ascii="Arial" w:hAnsi="Arial" w:cs="Arial"/>
          <w:iCs/>
          <w:sz w:val="20"/>
          <w:szCs w:val="20"/>
        </w:rPr>
        <w:t>. Andrographolide, a potential cancer therapeutic agent isolated from Andrographis paniculata. </w:t>
      </w:r>
      <w:r w:rsidRPr="00840212">
        <w:rPr>
          <w:rFonts w:ascii="Arial" w:hAnsi="Arial" w:cs="Arial"/>
          <w:i/>
          <w:iCs/>
          <w:sz w:val="20"/>
          <w:szCs w:val="20"/>
        </w:rPr>
        <w:t>Journal of Experimental therapeutics and Oncology</w:t>
      </w:r>
      <w:r w:rsidRPr="00840212">
        <w:rPr>
          <w:rFonts w:ascii="Arial" w:hAnsi="Arial" w:cs="Arial"/>
          <w:iCs/>
          <w:sz w:val="20"/>
          <w:szCs w:val="20"/>
        </w:rPr>
        <w:t>, </w:t>
      </w:r>
      <w:r w:rsidRPr="00840212">
        <w:rPr>
          <w:rFonts w:ascii="Arial" w:hAnsi="Arial" w:cs="Arial"/>
          <w:i/>
          <w:iCs/>
          <w:sz w:val="20"/>
          <w:szCs w:val="20"/>
        </w:rPr>
        <w:t>3</w:t>
      </w:r>
      <w:r w:rsidRPr="00840212">
        <w:rPr>
          <w:rFonts w:ascii="Arial" w:hAnsi="Arial" w:cs="Arial"/>
          <w:iCs/>
          <w:sz w:val="20"/>
          <w:szCs w:val="20"/>
        </w:rPr>
        <w:t>(3), pp.147-158.</w:t>
      </w:r>
    </w:p>
    <w:p w14:paraId="763B0827" w14:textId="77777777" w:rsidR="006F1607" w:rsidRPr="00771162" w:rsidRDefault="006F1607" w:rsidP="003D125B">
      <w:pPr>
        <w:autoSpaceDE w:val="0"/>
        <w:autoSpaceDN w:val="0"/>
        <w:adjustRightInd w:val="0"/>
        <w:spacing w:after="120" w:line="360" w:lineRule="auto"/>
        <w:jc w:val="both"/>
        <w:rPr>
          <w:rFonts w:ascii="Arial" w:hAnsi="Arial" w:cs="Arial"/>
          <w:iCs/>
          <w:sz w:val="20"/>
          <w:szCs w:val="20"/>
        </w:rPr>
      </w:pPr>
      <w:r w:rsidRPr="00771162">
        <w:rPr>
          <w:rFonts w:ascii="Arial" w:hAnsi="Arial" w:cs="Arial"/>
          <w:iCs/>
          <w:sz w:val="20"/>
          <w:szCs w:val="20"/>
        </w:rPr>
        <w:t>Singha, P.K., Roy, S</w:t>
      </w:r>
      <w:r w:rsidR="00981CBC">
        <w:rPr>
          <w:rFonts w:ascii="Arial" w:hAnsi="Arial" w:cs="Arial"/>
          <w:iCs/>
          <w:sz w:val="20"/>
          <w:szCs w:val="20"/>
        </w:rPr>
        <w:t>.,</w:t>
      </w:r>
      <w:r w:rsidRPr="00771162">
        <w:rPr>
          <w:rFonts w:ascii="Arial" w:hAnsi="Arial" w:cs="Arial"/>
          <w:iCs/>
          <w:sz w:val="20"/>
          <w:szCs w:val="20"/>
        </w:rPr>
        <w:t xml:space="preserve"> &amp; Dey, S</w:t>
      </w:r>
      <w:r w:rsidR="00981CBC">
        <w:rPr>
          <w:rFonts w:ascii="Arial" w:hAnsi="Arial" w:cs="Arial"/>
          <w:iCs/>
          <w:sz w:val="20"/>
          <w:szCs w:val="20"/>
        </w:rPr>
        <w:t>.</w:t>
      </w:r>
      <w:r w:rsidRPr="00771162">
        <w:rPr>
          <w:rFonts w:ascii="Arial" w:hAnsi="Arial" w:cs="Arial"/>
          <w:iCs/>
          <w:sz w:val="20"/>
          <w:szCs w:val="20"/>
        </w:rPr>
        <w:t xml:space="preserve"> (2003). Antimicrobial activity of </w:t>
      </w:r>
      <w:r w:rsidRPr="00771162">
        <w:rPr>
          <w:rFonts w:ascii="Arial" w:hAnsi="Arial" w:cs="Arial"/>
          <w:i/>
          <w:iCs/>
          <w:sz w:val="20"/>
          <w:szCs w:val="20"/>
        </w:rPr>
        <w:t>Andrographis paniculata</w:t>
      </w:r>
      <w:r w:rsidRPr="00771162">
        <w:rPr>
          <w:rFonts w:ascii="Arial" w:hAnsi="Arial" w:cs="Arial"/>
          <w:iCs/>
          <w:sz w:val="20"/>
          <w:szCs w:val="20"/>
        </w:rPr>
        <w:t>.  Fitoterapia 74: 692-694.</w:t>
      </w:r>
    </w:p>
    <w:p w14:paraId="51B4A818" w14:textId="77777777" w:rsidR="006F1607" w:rsidRPr="00771162" w:rsidRDefault="006F1607" w:rsidP="00D525CA">
      <w:pPr>
        <w:autoSpaceDE w:val="0"/>
        <w:autoSpaceDN w:val="0"/>
        <w:adjustRightInd w:val="0"/>
        <w:spacing w:after="120"/>
        <w:jc w:val="both"/>
        <w:rPr>
          <w:rFonts w:ascii="Arial" w:hAnsi="Arial" w:cs="Arial"/>
          <w:sz w:val="20"/>
          <w:szCs w:val="20"/>
        </w:rPr>
      </w:pPr>
      <w:r w:rsidRPr="00771162">
        <w:rPr>
          <w:rFonts w:ascii="Arial" w:hAnsi="Arial" w:cs="Arial"/>
          <w:sz w:val="20"/>
          <w:szCs w:val="20"/>
        </w:rPr>
        <w:t xml:space="preserve">Sung, H., Ferlay, J., Siegel, R.L., Laversanne, M., Soerjomataram, I., Jemal, A. &amp; Bray, F. (2021). Global cancer statistics 2020: GLOBOCAN estimates of incidence and </w:t>
      </w:r>
      <w:r w:rsidRPr="00771162">
        <w:rPr>
          <w:rFonts w:ascii="Arial" w:hAnsi="Arial" w:cs="Arial"/>
          <w:sz w:val="20"/>
          <w:szCs w:val="20"/>
        </w:rPr>
        <w:tab/>
        <w:t>mortality worldwide for 36 cancers in 185 countries. </w:t>
      </w:r>
      <w:r w:rsidRPr="00771162">
        <w:rPr>
          <w:rFonts w:ascii="Arial" w:hAnsi="Arial" w:cs="Arial"/>
          <w:i/>
          <w:iCs/>
          <w:sz w:val="20"/>
          <w:szCs w:val="20"/>
        </w:rPr>
        <w:t>CA: a cancer journal for clinicians</w:t>
      </w:r>
      <w:r w:rsidRPr="00771162">
        <w:rPr>
          <w:rFonts w:ascii="Arial" w:hAnsi="Arial" w:cs="Arial"/>
          <w:sz w:val="20"/>
          <w:szCs w:val="20"/>
        </w:rPr>
        <w:t>, </w:t>
      </w:r>
      <w:r w:rsidRPr="00771162">
        <w:rPr>
          <w:rFonts w:ascii="Arial" w:hAnsi="Arial" w:cs="Arial"/>
          <w:i/>
          <w:iCs/>
          <w:sz w:val="20"/>
          <w:szCs w:val="20"/>
        </w:rPr>
        <w:t>71</w:t>
      </w:r>
      <w:r w:rsidRPr="00771162">
        <w:rPr>
          <w:rFonts w:ascii="Arial" w:hAnsi="Arial" w:cs="Arial"/>
          <w:sz w:val="20"/>
          <w:szCs w:val="20"/>
        </w:rPr>
        <w:t>(3):209-249.</w:t>
      </w:r>
    </w:p>
    <w:p w14:paraId="1AA1782A" w14:textId="77777777" w:rsidR="006F1607" w:rsidRDefault="006F1607" w:rsidP="00742A34">
      <w:pPr>
        <w:autoSpaceDE w:val="0"/>
        <w:autoSpaceDN w:val="0"/>
        <w:adjustRightInd w:val="0"/>
        <w:spacing w:after="120"/>
        <w:jc w:val="both"/>
        <w:rPr>
          <w:rFonts w:ascii="Arial" w:hAnsi="Arial" w:cs="Arial"/>
          <w:iCs/>
          <w:sz w:val="20"/>
          <w:szCs w:val="20"/>
        </w:rPr>
      </w:pPr>
      <w:r w:rsidRPr="00742A34">
        <w:rPr>
          <w:rFonts w:ascii="Arial" w:hAnsi="Arial" w:cs="Arial"/>
          <w:iCs/>
          <w:sz w:val="20"/>
          <w:szCs w:val="20"/>
        </w:rPr>
        <w:t>Yang J</w:t>
      </w:r>
      <w:r>
        <w:rPr>
          <w:rFonts w:ascii="Arial" w:hAnsi="Arial" w:cs="Arial"/>
          <w:iCs/>
          <w:sz w:val="20"/>
          <w:szCs w:val="20"/>
        </w:rPr>
        <w:t>.</w:t>
      </w:r>
      <w:r w:rsidRPr="00742A34">
        <w:rPr>
          <w:rFonts w:ascii="Arial" w:hAnsi="Arial" w:cs="Arial"/>
          <w:iCs/>
          <w:sz w:val="20"/>
          <w:szCs w:val="20"/>
        </w:rPr>
        <w:t>M</w:t>
      </w:r>
      <w:r>
        <w:rPr>
          <w:rFonts w:ascii="Arial" w:hAnsi="Arial" w:cs="Arial"/>
          <w:iCs/>
          <w:sz w:val="20"/>
          <w:szCs w:val="20"/>
        </w:rPr>
        <w:t xml:space="preserve"> and </w:t>
      </w:r>
      <w:r w:rsidRPr="00742A34">
        <w:rPr>
          <w:rFonts w:ascii="Arial" w:hAnsi="Arial" w:cs="Arial"/>
          <w:iCs/>
          <w:sz w:val="20"/>
          <w:szCs w:val="20"/>
        </w:rPr>
        <w:t>Chen C</w:t>
      </w:r>
      <w:r>
        <w:rPr>
          <w:rFonts w:ascii="Arial" w:hAnsi="Arial" w:cs="Arial"/>
          <w:iCs/>
          <w:sz w:val="20"/>
          <w:szCs w:val="20"/>
        </w:rPr>
        <w:t>.</w:t>
      </w:r>
      <w:r w:rsidRPr="00742A34">
        <w:rPr>
          <w:rFonts w:ascii="Arial" w:hAnsi="Arial" w:cs="Arial"/>
          <w:iCs/>
          <w:sz w:val="20"/>
          <w:szCs w:val="20"/>
        </w:rPr>
        <w:t xml:space="preserve">C. </w:t>
      </w:r>
      <w:r w:rsidR="00981CBC">
        <w:rPr>
          <w:rFonts w:ascii="Arial" w:hAnsi="Arial" w:cs="Arial"/>
          <w:iCs/>
          <w:sz w:val="20"/>
          <w:szCs w:val="20"/>
        </w:rPr>
        <w:t>(</w:t>
      </w:r>
      <w:r w:rsidR="00981CBC" w:rsidRPr="00742A34">
        <w:rPr>
          <w:rFonts w:ascii="Arial" w:hAnsi="Arial" w:cs="Arial"/>
          <w:iCs/>
          <w:sz w:val="20"/>
          <w:szCs w:val="20"/>
        </w:rPr>
        <w:t>2004</w:t>
      </w:r>
      <w:r w:rsidR="00981CBC">
        <w:rPr>
          <w:rFonts w:ascii="Arial" w:hAnsi="Arial" w:cs="Arial"/>
          <w:iCs/>
          <w:sz w:val="20"/>
          <w:szCs w:val="20"/>
        </w:rPr>
        <w:t xml:space="preserve">). </w:t>
      </w:r>
      <w:r w:rsidRPr="00742A34">
        <w:rPr>
          <w:rFonts w:ascii="Arial" w:hAnsi="Arial" w:cs="Arial"/>
          <w:iCs/>
          <w:sz w:val="20"/>
          <w:szCs w:val="20"/>
        </w:rPr>
        <w:t>GEMDOCK: A generic evolutionary method</w:t>
      </w:r>
      <w:r>
        <w:rPr>
          <w:rFonts w:ascii="Arial" w:hAnsi="Arial" w:cs="Arial"/>
          <w:iCs/>
          <w:sz w:val="20"/>
          <w:szCs w:val="20"/>
        </w:rPr>
        <w:t xml:space="preserve"> </w:t>
      </w:r>
      <w:r w:rsidRPr="00742A34">
        <w:rPr>
          <w:rFonts w:ascii="Arial" w:hAnsi="Arial" w:cs="Arial"/>
          <w:iCs/>
          <w:sz w:val="20"/>
          <w:szCs w:val="20"/>
        </w:rPr>
        <w:t>for molecular docking. Proteins: Structure, Function and</w:t>
      </w:r>
      <w:r>
        <w:rPr>
          <w:rFonts w:ascii="Arial" w:hAnsi="Arial" w:cs="Arial"/>
          <w:iCs/>
          <w:sz w:val="20"/>
          <w:szCs w:val="20"/>
        </w:rPr>
        <w:t xml:space="preserve"> </w:t>
      </w:r>
      <w:r w:rsidRPr="00742A34">
        <w:rPr>
          <w:rFonts w:ascii="Arial" w:hAnsi="Arial" w:cs="Arial"/>
          <w:iCs/>
          <w:sz w:val="20"/>
          <w:szCs w:val="20"/>
        </w:rPr>
        <w:t>Bioinformatics.  ; 55:288-304.</w:t>
      </w:r>
    </w:p>
    <w:p w14:paraId="1FA40A3B" w14:textId="6BF3AA62" w:rsidR="00F304CD" w:rsidRDefault="00F304CD" w:rsidP="00742A34">
      <w:pPr>
        <w:autoSpaceDE w:val="0"/>
        <w:autoSpaceDN w:val="0"/>
        <w:adjustRightInd w:val="0"/>
        <w:spacing w:after="120"/>
        <w:jc w:val="both"/>
        <w:rPr>
          <w:rFonts w:ascii="Arial" w:hAnsi="Arial" w:cs="Arial"/>
          <w:iCs/>
          <w:sz w:val="20"/>
          <w:szCs w:val="20"/>
        </w:rPr>
      </w:pPr>
      <w:r w:rsidRPr="00805DFB">
        <w:rPr>
          <w:rFonts w:ascii="Arial" w:hAnsi="Arial" w:cs="Arial"/>
          <w:iCs/>
          <w:sz w:val="20"/>
          <w:szCs w:val="20"/>
          <w:highlight w:val="yellow"/>
        </w:rPr>
        <w:t>Nancy Jenifer, S. E., Evelyn Rainy, J. W., &amp; Janaki Velmurugan. (2023). Role of nanotrace elements in prostate cancer: An update. Journal of Cancer and Tumor International, 13(4), 33–54.</w:t>
      </w:r>
      <w:r>
        <w:rPr>
          <w:rFonts w:ascii="Arial" w:hAnsi="Arial" w:cs="Arial"/>
          <w:iCs/>
          <w:sz w:val="20"/>
          <w:szCs w:val="20"/>
        </w:rPr>
        <w:t xml:space="preserve">  </w:t>
      </w:r>
    </w:p>
    <w:p w14:paraId="7B10638F" w14:textId="77777777" w:rsidR="00EB7E4F" w:rsidRDefault="00EB7E4F" w:rsidP="00742A34">
      <w:pPr>
        <w:autoSpaceDE w:val="0"/>
        <w:autoSpaceDN w:val="0"/>
        <w:adjustRightInd w:val="0"/>
        <w:spacing w:after="120"/>
        <w:jc w:val="both"/>
        <w:rPr>
          <w:rFonts w:ascii="Arial" w:hAnsi="Arial" w:cs="Arial"/>
          <w:iCs/>
          <w:sz w:val="20"/>
          <w:szCs w:val="20"/>
        </w:rPr>
      </w:pPr>
    </w:p>
    <w:p w14:paraId="173C8E7D" w14:textId="6C0FD479" w:rsidR="00EB7E4F" w:rsidRDefault="00EB7E4F" w:rsidP="00742A34">
      <w:pPr>
        <w:autoSpaceDE w:val="0"/>
        <w:autoSpaceDN w:val="0"/>
        <w:adjustRightInd w:val="0"/>
        <w:spacing w:after="120"/>
        <w:jc w:val="both"/>
        <w:rPr>
          <w:rFonts w:ascii="Arial" w:hAnsi="Arial" w:cs="Arial"/>
          <w:iCs/>
          <w:sz w:val="20"/>
          <w:szCs w:val="20"/>
        </w:rPr>
      </w:pPr>
      <w:r w:rsidRPr="00805DFB">
        <w:rPr>
          <w:rFonts w:ascii="Arial" w:hAnsi="Arial" w:cs="Arial"/>
          <w:iCs/>
          <w:sz w:val="20"/>
          <w:szCs w:val="20"/>
          <w:highlight w:val="yellow"/>
        </w:rPr>
        <w:t>Deshmukh, R., Jain, A. K., Singh, R., Paul, S. D., &amp; Harwansh, R. K. (2024). Andrographis paniculata and andrographolide-a snapshot on recent advances in nano drug delivery systems against cancer. Current drug delivery, 21(5), 631-644.</w:t>
      </w:r>
      <w:r>
        <w:rPr>
          <w:rFonts w:ascii="Arial" w:hAnsi="Arial" w:cs="Arial"/>
          <w:iCs/>
          <w:sz w:val="20"/>
          <w:szCs w:val="20"/>
        </w:rPr>
        <w:t xml:space="preserve">   </w:t>
      </w:r>
    </w:p>
    <w:p w14:paraId="6A8224B2" w14:textId="77777777" w:rsidR="00EB7E4F" w:rsidRDefault="00EB7E4F" w:rsidP="00742A34">
      <w:pPr>
        <w:autoSpaceDE w:val="0"/>
        <w:autoSpaceDN w:val="0"/>
        <w:adjustRightInd w:val="0"/>
        <w:spacing w:after="120"/>
        <w:jc w:val="both"/>
        <w:rPr>
          <w:rFonts w:ascii="Arial" w:hAnsi="Arial" w:cs="Arial"/>
          <w:iCs/>
          <w:sz w:val="20"/>
          <w:szCs w:val="20"/>
        </w:rPr>
      </w:pPr>
    </w:p>
    <w:p w14:paraId="6CB14E05" w14:textId="5352AD3D" w:rsidR="00EB7E4F" w:rsidRPr="00771162" w:rsidRDefault="00EB7E4F" w:rsidP="00742A34">
      <w:pPr>
        <w:autoSpaceDE w:val="0"/>
        <w:autoSpaceDN w:val="0"/>
        <w:adjustRightInd w:val="0"/>
        <w:spacing w:after="120"/>
        <w:jc w:val="both"/>
        <w:rPr>
          <w:rFonts w:ascii="Arial" w:hAnsi="Arial" w:cs="Arial"/>
          <w:iCs/>
          <w:sz w:val="20"/>
          <w:szCs w:val="20"/>
        </w:rPr>
      </w:pPr>
      <w:r w:rsidRPr="00805DFB">
        <w:rPr>
          <w:rFonts w:ascii="Arial" w:hAnsi="Arial" w:cs="Arial"/>
          <w:iCs/>
          <w:sz w:val="20"/>
          <w:szCs w:val="20"/>
          <w:highlight w:val="yellow"/>
        </w:rPr>
        <w:t>Vetvicka, V., &amp; Vannucci, L. (2021). Biological properties of andrographolide, an active ingredient of Andrographis Paniculata: A narrative review. Annals of translational medicine, 9(14), 1186.</w:t>
      </w:r>
      <w:r>
        <w:rPr>
          <w:rFonts w:ascii="Arial" w:hAnsi="Arial" w:cs="Arial"/>
          <w:iCs/>
          <w:sz w:val="20"/>
          <w:szCs w:val="20"/>
        </w:rPr>
        <w:t xml:space="preserve">   </w:t>
      </w:r>
    </w:p>
    <w:sectPr w:rsidR="00EB7E4F" w:rsidRPr="00771162" w:rsidSect="00586C7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5C36E" w14:textId="77777777" w:rsidR="008910D4" w:rsidRDefault="008910D4" w:rsidP="00245566">
      <w:pPr>
        <w:spacing w:after="0" w:line="240" w:lineRule="auto"/>
      </w:pPr>
      <w:r>
        <w:separator/>
      </w:r>
    </w:p>
  </w:endnote>
  <w:endnote w:type="continuationSeparator" w:id="0">
    <w:p w14:paraId="2DC3AFA7" w14:textId="77777777" w:rsidR="008910D4" w:rsidRDefault="008910D4" w:rsidP="00245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Liberation Sans">
    <w:charset w:val="00"/>
    <w:family w:val="swiss"/>
    <w:pitch w:val="variable"/>
  </w:font>
  <w:font w:name="Noto Sans CJK SC Regular">
    <w:altName w:val="Times New Roman"/>
    <w:charset w:val="00"/>
    <w:family w:val="auto"/>
    <w:pitch w:val="variable"/>
  </w:font>
  <w:font w:name="FreeSans">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0994" w14:textId="77777777" w:rsidR="00B8214A" w:rsidRDefault="00B821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1D1E" w14:textId="77777777" w:rsidR="00A07852" w:rsidRPr="00DF488D" w:rsidRDefault="00A07852" w:rsidP="00DF4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A8A4" w14:textId="77777777" w:rsidR="00B8214A" w:rsidRDefault="00B82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FB4D7" w14:textId="77777777" w:rsidR="008910D4" w:rsidRDefault="008910D4" w:rsidP="00245566">
      <w:pPr>
        <w:spacing w:after="0" w:line="240" w:lineRule="auto"/>
      </w:pPr>
      <w:r>
        <w:separator/>
      </w:r>
    </w:p>
  </w:footnote>
  <w:footnote w:type="continuationSeparator" w:id="0">
    <w:p w14:paraId="2978248E" w14:textId="77777777" w:rsidR="008910D4" w:rsidRDefault="008910D4" w:rsidP="00245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B57B7" w14:textId="77777777" w:rsidR="00B8214A" w:rsidRDefault="00000000">
    <w:pPr>
      <w:pStyle w:val="Header"/>
    </w:pPr>
    <w:r>
      <w:rPr>
        <w:noProof/>
      </w:rPr>
      <w:pict w14:anchorId="771F2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5103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A270" w14:textId="77777777" w:rsidR="00FB4D73" w:rsidRDefault="00000000">
    <w:pPr>
      <w:pStyle w:val="Header"/>
    </w:pPr>
    <w:r>
      <w:rPr>
        <w:noProof/>
      </w:rPr>
      <w:pict w14:anchorId="003ED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51033"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15866CD" w14:textId="77777777" w:rsidR="00FB4D73" w:rsidRDefault="00FB4D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23AA" w14:textId="77777777" w:rsidR="00B8214A" w:rsidRDefault="00000000">
    <w:pPr>
      <w:pStyle w:val="Header"/>
    </w:pPr>
    <w:r>
      <w:rPr>
        <w:noProof/>
      </w:rPr>
      <w:pict w14:anchorId="06960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5103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115051"/>
    <w:multiLevelType w:val="hybridMultilevel"/>
    <w:tmpl w:val="EAF6A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18469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c2tDA0NDMwMTO0NDFR0lEKTi0uzszPAykwrAUA32OiyiwAAAA="/>
  </w:docVars>
  <w:rsids>
    <w:rsidRoot w:val="00245566"/>
    <w:rsid w:val="00062C8A"/>
    <w:rsid w:val="000757E1"/>
    <w:rsid w:val="000824E6"/>
    <w:rsid w:val="000C05BB"/>
    <w:rsid w:val="000F5EF0"/>
    <w:rsid w:val="001050AE"/>
    <w:rsid w:val="001078E3"/>
    <w:rsid w:val="00134DC6"/>
    <w:rsid w:val="001351B1"/>
    <w:rsid w:val="00166FB4"/>
    <w:rsid w:val="00166FE6"/>
    <w:rsid w:val="001819F1"/>
    <w:rsid w:val="001D5987"/>
    <w:rsid w:val="001E359E"/>
    <w:rsid w:val="001F3D3A"/>
    <w:rsid w:val="002025BF"/>
    <w:rsid w:val="0021530E"/>
    <w:rsid w:val="00225FF3"/>
    <w:rsid w:val="002323A8"/>
    <w:rsid w:val="00244ECA"/>
    <w:rsid w:val="00245566"/>
    <w:rsid w:val="00247AB6"/>
    <w:rsid w:val="0027144A"/>
    <w:rsid w:val="00271566"/>
    <w:rsid w:val="002717BB"/>
    <w:rsid w:val="002A474A"/>
    <w:rsid w:val="002C4949"/>
    <w:rsid w:val="002D403C"/>
    <w:rsid w:val="0030526C"/>
    <w:rsid w:val="003105CC"/>
    <w:rsid w:val="00320064"/>
    <w:rsid w:val="00321C70"/>
    <w:rsid w:val="0037442E"/>
    <w:rsid w:val="003A64E2"/>
    <w:rsid w:val="003D125B"/>
    <w:rsid w:val="004004DB"/>
    <w:rsid w:val="004107C5"/>
    <w:rsid w:val="0042691F"/>
    <w:rsid w:val="00430515"/>
    <w:rsid w:val="00433D20"/>
    <w:rsid w:val="00443630"/>
    <w:rsid w:val="00463D5D"/>
    <w:rsid w:val="004A5051"/>
    <w:rsid w:val="00511F1F"/>
    <w:rsid w:val="00522391"/>
    <w:rsid w:val="0052276C"/>
    <w:rsid w:val="00540335"/>
    <w:rsid w:val="005530AD"/>
    <w:rsid w:val="00576862"/>
    <w:rsid w:val="00584371"/>
    <w:rsid w:val="00596C4C"/>
    <w:rsid w:val="00620F19"/>
    <w:rsid w:val="00640F53"/>
    <w:rsid w:val="006628FE"/>
    <w:rsid w:val="00697192"/>
    <w:rsid w:val="006A46BB"/>
    <w:rsid w:val="006E661D"/>
    <w:rsid w:val="006F1607"/>
    <w:rsid w:val="00702607"/>
    <w:rsid w:val="00737DF7"/>
    <w:rsid w:val="00742A34"/>
    <w:rsid w:val="00753DBC"/>
    <w:rsid w:val="00771162"/>
    <w:rsid w:val="007757A5"/>
    <w:rsid w:val="007C0FB2"/>
    <w:rsid w:val="007F78D4"/>
    <w:rsid w:val="007F7F14"/>
    <w:rsid w:val="00805DFB"/>
    <w:rsid w:val="0083192B"/>
    <w:rsid w:val="00840212"/>
    <w:rsid w:val="008910D4"/>
    <w:rsid w:val="00891920"/>
    <w:rsid w:val="008A70F6"/>
    <w:rsid w:val="008B2CE5"/>
    <w:rsid w:val="008D0503"/>
    <w:rsid w:val="008D5491"/>
    <w:rsid w:val="008F2C51"/>
    <w:rsid w:val="008F5B31"/>
    <w:rsid w:val="00904E3D"/>
    <w:rsid w:val="009251F5"/>
    <w:rsid w:val="009275FE"/>
    <w:rsid w:val="00930171"/>
    <w:rsid w:val="00934592"/>
    <w:rsid w:val="00935435"/>
    <w:rsid w:val="00962D12"/>
    <w:rsid w:val="00981CBC"/>
    <w:rsid w:val="009C06FB"/>
    <w:rsid w:val="009D4564"/>
    <w:rsid w:val="009F1B9F"/>
    <w:rsid w:val="009F6EB4"/>
    <w:rsid w:val="00A04182"/>
    <w:rsid w:val="00A07852"/>
    <w:rsid w:val="00A11F04"/>
    <w:rsid w:val="00A16D9F"/>
    <w:rsid w:val="00A30D54"/>
    <w:rsid w:val="00A5055E"/>
    <w:rsid w:val="00A67CF2"/>
    <w:rsid w:val="00A700D6"/>
    <w:rsid w:val="00AB10A1"/>
    <w:rsid w:val="00AC2F62"/>
    <w:rsid w:val="00AC4EFD"/>
    <w:rsid w:val="00AD16C9"/>
    <w:rsid w:val="00AD4BC9"/>
    <w:rsid w:val="00B00577"/>
    <w:rsid w:val="00B27C4B"/>
    <w:rsid w:val="00B31394"/>
    <w:rsid w:val="00B541C8"/>
    <w:rsid w:val="00B64CCE"/>
    <w:rsid w:val="00B71230"/>
    <w:rsid w:val="00B8214A"/>
    <w:rsid w:val="00B8369E"/>
    <w:rsid w:val="00BD1450"/>
    <w:rsid w:val="00BF3128"/>
    <w:rsid w:val="00BF555D"/>
    <w:rsid w:val="00BF7C99"/>
    <w:rsid w:val="00C34501"/>
    <w:rsid w:val="00C420D1"/>
    <w:rsid w:val="00C6086C"/>
    <w:rsid w:val="00C656DF"/>
    <w:rsid w:val="00CB19A7"/>
    <w:rsid w:val="00CB6182"/>
    <w:rsid w:val="00CB74BE"/>
    <w:rsid w:val="00CE36D5"/>
    <w:rsid w:val="00D047B3"/>
    <w:rsid w:val="00D45B5F"/>
    <w:rsid w:val="00D525CA"/>
    <w:rsid w:val="00D77A2C"/>
    <w:rsid w:val="00D96273"/>
    <w:rsid w:val="00DB776F"/>
    <w:rsid w:val="00DD1417"/>
    <w:rsid w:val="00DD5D89"/>
    <w:rsid w:val="00DD6844"/>
    <w:rsid w:val="00DF488D"/>
    <w:rsid w:val="00DF600A"/>
    <w:rsid w:val="00E01A97"/>
    <w:rsid w:val="00E0360B"/>
    <w:rsid w:val="00E31B1F"/>
    <w:rsid w:val="00E64B4F"/>
    <w:rsid w:val="00E80A4E"/>
    <w:rsid w:val="00E959A4"/>
    <w:rsid w:val="00EB7E4F"/>
    <w:rsid w:val="00EC02BB"/>
    <w:rsid w:val="00EC1E26"/>
    <w:rsid w:val="00EC585F"/>
    <w:rsid w:val="00EC62AF"/>
    <w:rsid w:val="00ED0CB6"/>
    <w:rsid w:val="00EF02FF"/>
    <w:rsid w:val="00F121F3"/>
    <w:rsid w:val="00F304CD"/>
    <w:rsid w:val="00F443D4"/>
    <w:rsid w:val="00F525BB"/>
    <w:rsid w:val="00F67F7B"/>
    <w:rsid w:val="00F73150"/>
    <w:rsid w:val="00F83FE4"/>
    <w:rsid w:val="00FA2D99"/>
    <w:rsid w:val="00FB4D73"/>
    <w:rsid w:val="00FC791F"/>
    <w:rsid w:val="00FE7F3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FE867"/>
  <w15:docId w15:val="{28C59DA9-A6DC-4F88-8BFF-0A4E31F4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566"/>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245566"/>
    <w:pPr>
      <w:keepNext/>
      <w:suppressAutoHyphens/>
      <w:autoSpaceDN w:val="0"/>
      <w:spacing w:before="60" w:after="120" w:line="240" w:lineRule="auto"/>
      <w:jc w:val="center"/>
      <w:textAlignment w:val="baseline"/>
    </w:pPr>
    <w:rPr>
      <w:rFonts w:ascii="Liberation Sans" w:eastAsia="Noto Sans CJK SC Regular" w:hAnsi="Liberation Sans" w:cs="FreeSans"/>
      <w:kern w:val="3"/>
      <w:sz w:val="36"/>
      <w:szCs w:val="36"/>
      <w:lang w:val="en-US" w:eastAsia="en-US"/>
    </w:rPr>
  </w:style>
  <w:style w:type="character" w:customStyle="1" w:styleId="SubtitleChar">
    <w:name w:val="Subtitle Char"/>
    <w:basedOn w:val="DefaultParagraphFont"/>
    <w:link w:val="Subtitle"/>
    <w:rsid w:val="00245566"/>
    <w:rPr>
      <w:rFonts w:ascii="Liberation Sans" w:eastAsia="Noto Sans CJK SC Regular" w:hAnsi="Liberation Sans" w:cs="FreeSans"/>
      <w:kern w:val="3"/>
      <w:sz w:val="36"/>
      <w:szCs w:val="36"/>
      <w:lang w:val="en-US"/>
    </w:rPr>
  </w:style>
  <w:style w:type="paragraph" w:styleId="ListParagraph">
    <w:name w:val="List Paragraph"/>
    <w:basedOn w:val="Normal"/>
    <w:uiPriority w:val="34"/>
    <w:qFormat/>
    <w:rsid w:val="00245566"/>
    <w:pPr>
      <w:ind w:left="720"/>
      <w:contextualSpacing/>
    </w:pPr>
    <w:rPr>
      <w:rFonts w:eastAsiaTheme="minorHAnsi"/>
      <w:lang w:eastAsia="en-US"/>
    </w:rPr>
  </w:style>
  <w:style w:type="table" w:styleId="TableGrid">
    <w:name w:val="Table Grid"/>
    <w:basedOn w:val="TableNormal"/>
    <w:uiPriority w:val="59"/>
    <w:rsid w:val="00245566"/>
    <w:pPr>
      <w:spacing w:after="0" w:line="240" w:lineRule="auto"/>
    </w:pPr>
    <w:rPr>
      <w:rFonts w:eastAsiaTheme="minorEastAsia"/>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45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566"/>
    <w:rPr>
      <w:rFonts w:eastAsiaTheme="minorEastAsia"/>
      <w:lang w:eastAsia="en-IN"/>
    </w:rPr>
  </w:style>
  <w:style w:type="character" w:styleId="Hyperlink">
    <w:name w:val="Hyperlink"/>
    <w:basedOn w:val="DefaultParagraphFont"/>
    <w:uiPriority w:val="99"/>
    <w:unhideWhenUsed/>
    <w:rsid w:val="00245566"/>
    <w:rPr>
      <w:color w:val="0000FF" w:themeColor="hyperlink"/>
      <w:u w:val="single"/>
    </w:rPr>
  </w:style>
  <w:style w:type="paragraph" w:styleId="Caption">
    <w:name w:val="caption"/>
    <w:basedOn w:val="Normal"/>
    <w:next w:val="Normal"/>
    <w:uiPriority w:val="35"/>
    <w:unhideWhenUsed/>
    <w:qFormat/>
    <w:rsid w:val="00245566"/>
    <w:pPr>
      <w:spacing w:line="240" w:lineRule="auto"/>
    </w:pPr>
    <w:rPr>
      <w:rFonts w:eastAsiaTheme="minorHAnsi"/>
      <w:b/>
      <w:bCs/>
      <w:color w:val="4F81BD" w:themeColor="accent1"/>
      <w:sz w:val="18"/>
      <w:szCs w:val="18"/>
      <w:lang w:eastAsia="en-US"/>
    </w:rPr>
  </w:style>
  <w:style w:type="paragraph" w:styleId="BalloonText">
    <w:name w:val="Balloon Text"/>
    <w:basedOn w:val="Normal"/>
    <w:link w:val="BalloonTextChar"/>
    <w:uiPriority w:val="99"/>
    <w:semiHidden/>
    <w:unhideWhenUsed/>
    <w:rsid w:val="00245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66"/>
    <w:rPr>
      <w:rFonts w:ascii="Tahoma" w:eastAsiaTheme="minorEastAsia" w:hAnsi="Tahoma" w:cs="Tahoma"/>
      <w:sz w:val="16"/>
      <w:szCs w:val="16"/>
      <w:lang w:eastAsia="en-IN"/>
    </w:rPr>
  </w:style>
  <w:style w:type="paragraph" w:styleId="Footer">
    <w:name w:val="footer"/>
    <w:basedOn w:val="Normal"/>
    <w:link w:val="FooterChar"/>
    <w:uiPriority w:val="99"/>
    <w:unhideWhenUsed/>
    <w:rsid w:val="00245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566"/>
    <w:rPr>
      <w:rFonts w:eastAsiaTheme="minorEastAsia"/>
      <w:lang w:eastAsia="en-IN"/>
    </w:rPr>
  </w:style>
  <w:style w:type="character" w:styleId="Emphasis">
    <w:name w:val="Emphasis"/>
    <w:basedOn w:val="DefaultParagraphFont"/>
    <w:uiPriority w:val="20"/>
    <w:qFormat/>
    <w:rsid w:val="00B8369E"/>
    <w:rPr>
      <w:i/>
      <w:iCs/>
    </w:rPr>
  </w:style>
  <w:style w:type="character" w:customStyle="1" w:styleId="anchor-text">
    <w:name w:val="anchor-text"/>
    <w:basedOn w:val="DefaultParagraphFont"/>
    <w:rsid w:val="00B8369E"/>
  </w:style>
  <w:style w:type="paragraph" w:customStyle="1" w:styleId="AcknHead">
    <w:name w:val="Ackn Head"/>
    <w:basedOn w:val="Normal"/>
    <w:rsid w:val="00576862"/>
    <w:pPr>
      <w:keepNext/>
      <w:spacing w:after="240" w:line="240" w:lineRule="auto"/>
    </w:pPr>
    <w:rPr>
      <w:rFonts w:ascii="Helvetica" w:eastAsia="Times New Roman" w:hAnsi="Helvetica" w:cs="Times New Roman"/>
      <w:b/>
      <w:caps/>
      <w:szCs w:val="20"/>
      <w:lang w:val="en-US" w:eastAsia="en-US"/>
    </w:rPr>
  </w:style>
  <w:style w:type="paragraph" w:customStyle="1" w:styleId="ReferHead">
    <w:name w:val="Refer Head"/>
    <w:basedOn w:val="Normal"/>
    <w:rsid w:val="004A5051"/>
    <w:pPr>
      <w:keepNext/>
      <w:spacing w:after="240" w:line="240" w:lineRule="auto"/>
    </w:pPr>
    <w:rPr>
      <w:rFonts w:ascii="Helvetica" w:eastAsia="Times New Roman" w:hAnsi="Helvetica" w:cs="Times New Roman"/>
      <w:b/>
      <w:caps/>
      <w:szCs w:val="20"/>
      <w:lang w:val="en-US" w:eastAsia="en-US"/>
    </w:rPr>
  </w:style>
  <w:style w:type="character" w:customStyle="1" w:styleId="UnresolvedMention1">
    <w:name w:val="Unresolved Mention1"/>
    <w:basedOn w:val="DefaultParagraphFont"/>
    <w:uiPriority w:val="99"/>
    <w:semiHidden/>
    <w:unhideWhenUsed/>
    <w:rsid w:val="00DF488D"/>
    <w:rPr>
      <w:color w:val="605E5C"/>
      <w:shd w:val="clear" w:color="auto" w:fill="E1DFDD"/>
    </w:rPr>
  </w:style>
  <w:style w:type="paragraph" w:styleId="Revision">
    <w:name w:val="Revision"/>
    <w:hidden/>
    <w:uiPriority w:val="99"/>
    <w:semiHidden/>
    <w:rsid w:val="00B71230"/>
    <w:pPr>
      <w:spacing w:after="0" w:line="240" w:lineRule="auto"/>
    </w:pPr>
    <w:rPr>
      <w:rFonts w:eastAsiaTheme="minorEastAsia"/>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76477">
      <w:bodyDiv w:val="1"/>
      <w:marLeft w:val="0"/>
      <w:marRight w:val="0"/>
      <w:marTop w:val="0"/>
      <w:marBottom w:val="0"/>
      <w:divBdr>
        <w:top w:val="none" w:sz="0" w:space="0" w:color="auto"/>
        <w:left w:val="none" w:sz="0" w:space="0" w:color="auto"/>
        <w:bottom w:val="none" w:sz="0" w:space="0" w:color="auto"/>
        <w:right w:val="none" w:sz="0" w:space="0" w:color="auto"/>
      </w:divBdr>
      <w:divsChild>
        <w:div w:id="1104762476">
          <w:marLeft w:val="0"/>
          <w:marRight w:val="0"/>
          <w:marTop w:val="0"/>
          <w:marBottom w:val="0"/>
          <w:divBdr>
            <w:top w:val="none" w:sz="0" w:space="0" w:color="auto"/>
            <w:left w:val="none" w:sz="0" w:space="0" w:color="auto"/>
            <w:bottom w:val="none" w:sz="0" w:space="0" w:color="auto"/>
            <w:right w:val="none" w:sz="0" w:space="0" w:color="auto"/>
          </w:divBdr>
          <w:divsChild>
            <w:div w:id="11301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7618">
      <w:bodyDiv w:val="1"/>
      <w:marLeft w:val="0"/>
      <w:marRight w:val="0"/>
      <w:marTop w:val="0"/>
      <w:marBottom w:val="0"/>
      <w:divBdr>
        <w:top w:val="none" w:sz="0" w:space="0" w:color="auto"/>
        <w:left w:val="none" w:sz="0" w:space="0" w:color="auto"/>
        <w:bottom w:val="none" w:sz="0" w:space="0" w:color="auto"/>
        <w:right w:val="none" w:sz="0" w:space="0" w:color="auto"/>
      </w:divBdr>
      <w:divsChild>
        <w:div w:id="714932454">
          <w:marLeft w:val="0"/>
          <w:marRight w:val="0"/>
          <w:marTop w:val="0"/>
          <w:marBottom w:val="0"/>
          <w:divBdr>
            <w:top w:val="none" w:sz="0" w:space="0" w:color="auto"/>
            <w:left w:val="none" w:sz="0" w:space="0" w:color="auto"/>
            <w:bottom w:val="none" w:sz="0" w:space="0" w:color="auto"/>
            <w:right w:val="none" w:sz="0" w:space="0" w:color="auto"/>
          </w:divBdr>
          <w:divsChild>
            <w:div w:id="11309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3137">
      <w:bodyDiv w:val="1"/>
      <w:marLeft w:val="0"/>
      <w:marRight w:val="0"/>
      <w:marTop w:val="0"/>
      <w:marBottom w:val="0"/>
      <w:divBdr>
        <w:top w:val="none" w:sz="0" w:space="0" w:color="auto"/>
        <w:left w:val="none" w:sz="0" w:space="0" w:color="auto"/>
        <w:bottom w:val="none" w:sz="0" w:space="0" w:color="auto"/>
        <w:right w:val="none" w:sz="0" w:space="0" w:color="auto"/>
      </w:divBdr>
    </w:div>
    <w:div w:id="197011188">
      <w:bodyDiv w:val="1"/>
      <w:marLeft w:val="0"/>
      <w:marRight w:val="0"/>
      <w:marTop w:val="0"/>
      <w:marBottom w:val="0"/>
      <w:divBdr>
        <w:top w:val="none" w:sz="0" w:space="0" w:color="auto"/>
        <w:left w:val="none" w:sz="0" w:space="0" w:color="auto"/>
        <w:bottom w:val="none" w:sz="0" w:space="0" w:color="auto"/>
        <w:right w:val="none" w:sz="0" w:space="0" w:color="auto"/>
      </w:divBdr>
      <w:divsChild>
        <w:div w:id="1348559682">
          <w:marLeft w:val="0"/>
          <w:marRight w:val="0"/>
          <w:marTop w:val="0"/>
          <w:marBottom w:val="0"/>
          <w:divBdr>
            <w:top w:val="none" w:sz="0" w:space="0" w:color="auto"/>
            <w:left w:val="none" w:sz="0" w:space="0" w:color="auto"/>
            <w:bottom w:val="none" w:sz="0" w:space="0" w:color="auto"/>
            <w:right w:val="none" w:sz="0" w:space="0" w:color="auto"/>
          </w:divBdr>
          <w:divsChild>
            <w:div w:id="10203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8029">
      <w:bodyDiv w:val="1"/>
      <w:marLeft w:val="0"/>
      <w:marRight w:val="0"/>
      <w:marTop w:val="0"/>
      <w:marBottom w:val="0"/>
      <w:divBdr>
        <w:top w:val="none" w:sz="0" w:space="0" w:color="auto"/>
        <w:left w:val="none" w:sz="0" w:space="0" w:color="auto"/>
        <w:bottom w:val="none" w:sz="0" w:space="0" w:color="auto"/>
        <w:right w:val="none" w:sz="0" w:space="0" w:color="auto"/>
      </w:divBdr>
      <w:divsChild>
        <w:div w:id="203672807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59064859">
      <w:bodyDiv w:val="1"/>
      <w:marLeft w:val="0"/>
      <w:marRight w:val="0"/>
      <w:marTop w:val="0"/>
      <w:marBottom w:val="0"/>
      <w:divBdr>
        <w:top w:val="none" w:sz="0" w:space="0" w:color="auto"/>
        <w:left w:val="none" w:sz="0" w:space="0" w:color="auto"/>
        <w:bottom w:val="none" w:sz="0" w:space="0" w:color="auto"/>
        <w:right w:val="none" w:sz="0" w:space="0" w:color="auto"/>
      </w:divBdr>
      <w:divsChild>
        <w:div w:id="1631981392">
          <w:marLeft w:val="0"/>
          <w:marRight w:val="0"/>
          <w:marTop w:val="0"/>
          <w:marBottom w:val="0"/>
          <w:divBdr>
            <w:top w:val="none" w:sz="0" w:space="0" w:color="auto"/>
            <w:left w:val="none" w:sz="0" w:space="0" w:color="auto"/>
            <w:bottom w:val="none" w:sz="0" w:space="0" w:color="auto"/>
            <w:right w:val="none" w:sz="0" w:space="0" w:color="auto"/>
          </w:divBdr>
          <w:divsChild>
            <w:div w:id="19107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7561">
      <w:bodyDiv w:val="1"/>
      <w:marLeft w:val="0"/>
      <w:marRight w:val="0"/>
      <w:marTop w:val="0"/>
      <w:marBottom w:val="0"/>
      <w:divBdr>
        <w:top w:val="none" w:sz="0" w:space="0" w:color="auto"/>
        <w:left w:val="none" w:sz="0" w:space="0" w:color="auto"/>
        <w:bottom w:val="none" w:sz="0" w:space="0" w:color="auto"/>
        <w:right w:val="none" w:sz="0" w:space="0" w:color="auto"/>
      </w:divBdr>
      <w:divsChild>
        <w:div w:id="1570115272">
          <w:marLeft w:val="0"/>
          <w:marRight w:val="0"/>
          <w:marTop w:val="0"/>
          <w:marBottom w:val="0"/>
          <w:divBdr>
            <w:top w:val="none" w:sz="0" w:space="0" w:color="auto"/>
            <w:left w:val="none" w:sz="0" w:space="0" w:color="auto"/>
            <w:bottom w:val="none" w:sz="0" w:space="0" w:color="auto"/>
            <w:right w:val="none" w:sz="0" w:space="0" w:color="auto"/>
          </w:divBdr>
          <w:divsChild>
            <w:div w:id="12159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7404">
      <w:bodyDiv w:val="1"/>
      <w:marLeft w:val="0"/>
      <w:marRight w:val="0"/>
      <w:marTop w:val="0"/>
      <w:marBottom w:val="0"/>
      <w:divBdr>
        <w:top w:val="none" w:sz="0" w:space="0" w:color="auto"/>
        <w:left w:val="none" w:sz="0" w:space="0" w:color="auto"/>
        <w:bottom w:val="none" w:sz="0" w:space="0" w:color="auto"/>
        <w:right w:val="none" w:sz="0" w:space="0" w:color="auto"/>
      </w:divBdr>
      <w:divsChild>
        <w:div w:id="1400709410">
          <w:marLeft w:val="0"/>
          <w:marRight w:val="0"/>
          <w:marTop w:val="0"/>
          <w:marBottom w:val="0"/>
          <w:divBdr>
            <w:top w:val="none" w:sz="0" w:space="0" w:color="auto"/>
            <w:left w:val="none" w:sz="0" w:space="0" w:color="auto"/>
            <w:bottom w:val="none" w:sz="0" w:space="0" w:color="auto"/>
            <w:right w:val="none" w:sz="0" w:space="0" w:color="auto"/>
          </w:divBdr>
          <w:divsChild>
            <w:div w:id="1270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525">
      <w:bodyDiv w:val="1"/>
      <w:marLeft w:val="0"/>
      <w:marRight w:val="0"/>
      <w:marTop w:val="0"/>
      <w:marBottom w:val="0"/>
      <w:divBdr>
        <w:top w:val="none" w:sz="0" w:space="0" w:color="auto"/>
        <w:left w:val="none" w:sz="0" w:space="0" w:color="auto"/>
        <w:bottom w:val="none" w:sz="0" w:space="0" w:color="auto"/>
        <w:right w:val="none" w:sz="0" w:space="0" w:color="auto"/>
      </w:divBdr>
      <w:divsChild>
        <w:div w:id="1947539021">
          <w:marLeft w:val="0"/>
          <w:marRight w:val="0"/>
          <w:marTop w:val="0"/>
          <w:marBottom w:val="0"/>
          <w:divBdr>
            <w:top w:val="none" w:sz="0" w:space="0" w:color="auto"/>
            <w:left w:val="none" w:sz="0" w:space="0" w:color="auto"/>
            <w:bottom w:val="none" w:sz="0" w:space="0" w:color="auto"/>
            <w:right w:val="none" w:sz="0" w:space="0" w:color="auto"/>
          </w:divBdr>
          <w:divsChild>
            <w:div w:id="20479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6119">
      <w:bodyDiv w:val="1"/>
      <w:marLeft w:val="0"/>
      <w:marRight w:val="0"/>
      <w:marTop w:val="0"/>
      <w:marBottom w:val="0"/>
      <w:divBdr>
        <w:top w:val="none" w:sz="0" w:space="0" w:color="auto"/>
        <w:left w:val="none" w:sz="0" w:space="0" w:color="auto"/>
        <w:bottom w:val="none" w:sz="0" w:space="0" w:color="auto"/>
        <w:right w:val="none" w:sz="0" w:space="0" w:color="auto"/>
      </w:divBdr>
    </w:div>
    <w:div w:id="739792745">
      <w:bodyDiv w:val="1"/>
      <w:marLeft w:val="0"/>
      <w:marRight w:val="0"/>
      <w:marTop w:val="0"/>
      <w:marBottom w:val="0"/>
      <w:divBdr>
        <w:top w:val="none" w:sz="0" w:space="0" w:color="auto"/>
        <w:left w:val="none" w:sz="0" w:space="0" w:color="auto"/>
        <w:bottom w:val="none" w:sz="0" w:space="0" w:color="auto"/>
        <w:right w:val="none" w:sz="0" w:space="0" w:color="auto"/>
      </w:divBdr>
      <w:divsChild>
        <w:div w:id="1110008273">
          <w:marLeft w:val="0"/>
          <w:marRight w:val="0"/>
          <w:marTop w:val="0"/>
          <w:marBottom w:val="0"/>
          <w:divBdr>
            <w:top w:val="none" w:sz="0" w:space="0" w:color="auto"/>
            <w:left w:val="none" w:sz="0" w:space="0" w:color="auto"/>
            <w:bottom w:val="none" w:sz="0" w:space="0" w:color="auto"/>
            <w:right w:val="none" w:sz="0" w:space="0" w:color="auto"/>
          </w:divBdr>
          <w:divsChild>
            <w:div w:id="17104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7527">
      <w:bodyDiv w:val="1"/>
      <w:marLeft w:val="0"/>
      <w:marRight w:val="0"/>
      <w:marTop w:val="0"/>
      <w:marBottom w:val="0"/>
      <w:divBdr>
        <w:top w:val="none" w:sz="0" w:space="0" w:color="auto"/>
        <w:left w:val="none" w:sz="0" w:space="0" w:color="auto"/>
        <w:bottom w:val="none" w:sz="0" w:space="0" w:color="auto"/>
        <w:right w:val="none" w:sz="0" w:space="0" w:color="auto"/>
      </w:divBdr>
      <w:divsChild>
        <w:div w:id="98180242">
          <w:marLeft w:val="0"/>
          <w:marRight w:val="0"/>
          <w:marTop w:val="0"/>
          <w:marBottom w:val="0"/>
          <w:divBdr>
            <w:top w:val="none" w:sz="0" w:space="0" w:color="auto"/>
            <w:left w:val="none" w:sz="0" w:space="0" w:color="auto"/>
            <w:bottom w:val="none" w:sz="0" w:space="0" w:color="auto"/>
            <w:right w:val="none" w:sz="0" w:space="0" w:color="auto"/>
          </w:divBdr>
        </w:div>
      </w:divsChild>
    </w:div>
    <w:div w:id="843860185">
      <w:bodyDiv w:val="1"/>
      <w:marLeft w:val="0"/>
      <w:marRight w:val="0"/>
      <w:marTop w:val="0"/>
      <w:marBottom w:val="0"/>
      <w:divBdr>
        <w:top w:val="none" w:sz="0" w:space="0" w:color="auto"/>
        <w:left w:val="none" w:sz="0" w:space="0" w:color="auto"/>
        <w:bottom w:val="none" w:sz="0" w:space="0" w:color="auto"/>
        <w:right w:val="none" w:sz="0" w:space="0" w:color="auto"/>
      </w:divBdr>
      <w:divsChild>
        <w:div w:id="964431954">
          <w:marLeft w:val="0"/>
          <w:marRight w:val="0"/>
          <w:marTop w:val="0"/>
          <w:marBottom w:val="0"/>
          <w:divBdr>
            <w:top w:val="none" w:sz="0" w:space="0" w:color="auto"/>
            <w:left w:val="none" w:sz="0" w:space="0" w:color="auto"/>
            <w:bottom w:val="none" w:sz="0" w:space="0" w:color="auto"/>
            <w:right w:val="none" w:sz="0" w:space="0" w:color="auto"/>
          </w:divBdr>
          <w:divsChild>
            <w:div w:id="3087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92481">
      <w:bodyDiv w:val="1"/>
      <w:marLeft w:val="0"/>
      <w:marRight w:val="0"/>
      <w:marTop w:val="0"/>
      <w:marBottom w:val="0"/>
      <w:divBdr>
        <w:top w:val="none" w:sz="0" w:space="0" w:color="auto"/>
        <w:left w:val="none" w:sz="0" w:space="0" w:color="auto"/>
        <w:bottom w:val="none" w:sz="0" w:space="0" w:color="auto"/>
        <w:right w:val="none" w:sz="0" w:space="0" w:color="auto"/>
      </w:divBdr>
      <w:divsChild>
        <w:div w:id="123373692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170213510">
      <w:bodyDiv w:val="1"/>
      <w:marLeft w:val="0"/>
      <w:marRight w:val="0"/>
      <w:marTop w:val="0"/>
      <w:marBottom w:val="0"/>
      <w:divBdr>
        <w:top w:val="none" w:sz="0" w:space="0" w:color="auto"/>
        <w:left w:val="none" w:sz="0" w:space="0" w:color="auto"/>
        <w:bottom w:val="none" w:sz="0" w:space="0" w:color="auto"/>
        <w:right w:val="none" w:sz="0" w:space="0" w:color="auto"/>
      </w:divBdr>
      <w:divsChild>
        <w:div w:id="1745106186">
          <w:marLeft w:val="0"/>
          <w:marRight w:val="0"/>
          <w:marTop w:val="0"/>
          <w:marBottom w:val="0"/>
          <w:divBdr>
            <w:top w:val="none" w:sz="0" w:space="0" w:color="auto"/>
            <w:left w:val="none" w:sz="0" w:space="0" w:color="auto"/>
            <w:bottom w:val="none" w:sz="0" w:space="0" w:color="auto"/>
            <w:right w:val="none" w:sz="0" w:space="0" w:color="auto"/>
          </w:divBdr>
          <w:divsChild>
            <w:div w:id="9451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9716">
      <w:bodyDiv w:val="1"/>
      <w:marLeft w:val="0"/>
      <w:marRight w:val="0"/>
      <w:marTop w:val="0"/>
      <w:marBottom w:val="0"/>
      <w:divBdr>
        <w:top w:val="none" w:sz="0" w:space="0" w:color="auto"/>
        <w:left w:val="none" w:sz="0" w:space="0" w:color="auto"/>
        <w:bottom w:val="none" w:sz="0" w:space="0" w:color="auto"/>
        <w:right w:val="none" w:sz="0" w:space="0" w:color="auto"/>
      </w:divBdr>
      <w:divsChild>
        <w:div w:id="3882382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46693974">
      <w:bodyDiv w:val="1"/>
      <w:marLeft w:val="0"/>
      <w:marRight w:val="0"/>
      <w:marTop w:val="0"/>
      <w:marBottom w:val="0"/>
      <w:divBdr>
        <w:top w:val="none" w:sz="0" w:space="0" w:color="auto"/>
        <w:left w:val="none" w:sz="0" w:space="0" w:color="auto"/>
        <w:bottom w:val="none" w:sz="0" w:space="0" w:color="auto"/>
        <w:right w:val="none" w:sz="0" w:space="0" w:color="auto"/>
      </w:divBdr>
      <w:divsChild>
        <w:div w:id="501548918">
          <w:marLeft w:val="0"/>
          <w:marRight w:val="0"/>
          <w:marTop w:val="0"/>
          <w:marBottom w:val="0"/>
          <w:divBdr>
            <w:top w:val="none" w:sz="0" w:space="0" w:color="auto"/>
            <w:left w:val="none" w:sz="0" w:space="0" w:color="auto"/>
            <w:bottom w:val="none" w:sz="0" w:space="0" w:color="auto"/>
            <w:right w:val="none" w:sz="0" w:space="0" w:color="auto"/>
          </w:divBdr>
          <w:divsChild>
            <w:div w:id="10597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825">
      <w:bodyDiv w:val="1"/>
      <w:marLeft w:val="0"/>
      <w:marRight w:val="0"/>
      <w:marTop w:val="0"/>
      <w:marBottom w:val="0"/>
      <w:divBdr>
        <w:top w:val="none" w:sz="0" w:space="0" w:color="auto"/>
        <w:left w:val="none" w:sz="0" w:space="0" w:color="auto"/>
        <w:bottom w:val="none" w:sz="0" w:space="0" w:color="auto"/>
        <w:right w:val="none" w:sz="0" w:space="0" w:color="auto"/>
      </w:divBdr>
      <w:divsChild>
        <w:div w:id="246623167">
          <w:marLeft w:val="0"/>
          <w:marRight w:val="0"/>
          <w:marTop w:val="0"/>
          <w:marBottom w:val="0"/>
          <w:divBdr>
            <w:top w:val="none" w:sz="0" w:space="0" w:color="auto"/>
            <w:left w:val="none" w:sz="0" w:space="0" w:color="auto"/>
            <w:bottom w:val="none" w:sz="0" w:space="0" w:color="auto"/>
            <w:right w:val="none" w:sz="0" w:space="0" w:color="auto"/>
          </w:divBdr>
          <w:divsChild>
            <w:div w:id="2157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2169">
      <w:bodyDiv w:val="1"/>
      <w:marLeft w:val="0"/>
      <w:marRight w:val="0"/>
      <w:marTop w:val="0"/>
      <w:marBottom w:val="0"/>
      <w:divBdr>
        <w:top w:val="none" w:sz="0" w:space="0" w:color="auto"/>
        <w:left w:val="none" w:sz="0" w:space="0" w:color="auto"/>
        <w:bottom w:val="none" w:sz="0" w:space="0" w:color="auto"/>
        <w:right w:val="none" w:sz="0" w:space="0" w:color="auto"/>
      </w:divBdr>
      <w:divsChild>
        <w:div w:id="173149884">
          <w:marLeft w:val="0"/>
          <w:marRight w:val="0"/>
          <w:marTop w:val="0"/>
          <w:marBottom w:val="0"/>
          <w:divBdr>
            <w:top w:val="none" w:sz="0" w:space="0" w:color="auto"/>
            <w:left w:val="none" w:sz="0" w:space="0" w:color="auto"/>
            <w:bottom w:val="none" w:sz="0" w:space="0" w:color="auto"/>
            <w:right w:val="none" w:sz="0" w:space="0" w:color="auto"/>
          </w:divBdr>
          <w:divsChild>
            <w:div w:id="16505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7693">
      <w:bodyDiv w:val="1"/>
      <w:marLeft w:val="0"/>
      <w:marRight w:val="0"/>
      <w:marTop w:val="0"/>
      <w:marBottom w:val="0"/>
      <w:divBdr>
        <w:top w:val="none" w:sz="0" w:space="0" w:color="auto"/>
        <w:left w:val="none" w:sz="0" w:space="0" w:color="auto"/>
        <w:bottom w:val="none" w:sz="0" w:space="0" w:color="auto"/>
        <w:right w:val="none" w:sz="0" w:space="0" w:color="auto"/>
      </w:divBdr>
    </w:div>
    <w:div w:id="1671058019">
      <w:bodyDiv w:val="1"/>
      <w:marLeft w:val="0"/>
      <w:marRight w:val="0"/>
      <w:marTop w:val="0"/>
      <w:marBottom w:val="0"/>
      <w:divBdr>
        <w:top w:val="none" w:sz="0" w:space="0" w:color="auto"/>
        <w:left w:val="none" w:sz="0" w:space="0" w:color="auto"/>
        <w:bottom w:val="none" w:sz="0" w:space="0" w:color="auto"/>
        <w:right w:val="none" w:sz="0" w:space="0" w:color="auto"/>
      </w:divBdr>
      <w:divsChild>
        <w:div w:id="1593972543">
          <w:marLeft w:val="0"/>
          <w:marRight w:val="0"/>
          <w:marTop w:val="0"/>
          <w:marBottom w:val="0"/>
          <w:divBdr>
            <w:top w:val="none" w:sz="0" w:space="0" w:color="auto"/>
            <w:left w:val="none" w:sz="0" w:space="0" w:color="auto"/>
            <w:bottom w:val="none" w:sz="0" w:space="0" w:color="auto"/>
            <w:right w:val="none" w:sz="0" w:space="0" w:color="auto"/>
          </w:divBdr>
          <w:divsChild>
            <w:div w:id="18610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251">
      <w:bodyDiv w:val="1"/>
      <w:marLeft w:val="0"/>
      <w:marRight w:val="0"/>
      <w:marTop w:val="0"/>
      <w:marBottom w:val="0"/>
      <w:divBdr>
        <w:top w:val="none" w:sz="0" w:space="0" w:color="auto"/>
        <w:left w:val="none" w:sz="0" w:space="0" w:color="auto"/>
        <w:bottom w:val="none" w:sz="0" w:space="0" w:color="auto"/>
        <w:right w:val="none" w:sz="0" w:space="0" w:color="auto"/>
      </w:divBdr>
      <w:divsChild>
        <w:div w:id="9641150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66072194">
      <w:bodyDiv w:val="1"/>
      <w:marLeft w:val="0"/>
      <w:marRight w:val="0"/>
      <w:marTop w:val="0"/>
      <w:marBottom w:val="0"/>
      <w:divBdr>
        <w:top w:val="none" w:sz="0" w:space="0" w:color="auto"/>
        <w:left w:val="none" w:sz="0" w:space="0" w:color="auto"/>
        <w:bottom w:val="none" w:sz="0" w:space="0" w:color="auto"/>
        <w:right w:val="none" w:sz="0" w:space="0" w:color="auto"/>
      </w:divBdr>
      <w:divsChild>
        <w:div w:id="193664508">
          <w:marLeft w:val="0"/>
          <w:marRight w:val="0"/>
          <w:marTop w:val="0"/>
          <w:marBottom w:val="0"/>
          <w:divBdr>
            <w:top w:val="none" w:sz="0" w:space="0" w:color="auto"/>
            <w:left w:val="none" w:sz="0" w:space="0" w:color="auto"/>
            <w:bottom w:val="none" w:sz="0" w:space="0" w:color="auto"/>
            <w:right w:val="none" w:sz="0" w:space="0" w:color="auto"/>
          </w:divBdr>
        </w:div>
      </w:divsChild>
    </w:div>
    <w:div w:id="1769353105">
      <w:bodyDiv w:val="1"/>
      <w:marLeft w:val="0"/>
      <w:marRight w:val="0"/>
      <w:marTop w:val="0"/>
      <w:marBottom w:val="0"/>
      <w:divBdr>
        <w:top w:val="none" w:sz="0" w:space="0" w:color="auto"/>
        <w:left w:val="none" w:sz="0" w:space="0" w:color="auto"/>
        <w:bottom w:val="none" w:sz="0" w:space="0" w:color="auto"/>
        <w:right w:val="none" w:sz="0" w:space="0" w:color="auto"/>
      </w:divBdr>
      <w:divsChild>
        <w:div w:id="688334917">
          <w:marLeft w:val="0"/>
          <w:marRight w:val="0"/>
          <w:marTop w:val="0"/>
          <w:marBottom w:val="0"/>
          <w:divBdr>
            <w:top w:val="none" w:sz="0" w:space="0" w:color="auto"/>
            <w:left w:val="none" w:sz="0" w:space="0" w:color="auto"/>
            <w:bottom w:val="none" w:sz="0" w:space="0" w:color="auto"/>
            <w:right w:val="none" w:sz="0" w:space="0" w:color="auto"/>
          </w:divBdr>
        </w:div>
      </w:divsChild>
    </w:div>
    <w:div w:id="1774937212">
      <w:bodyDiv w:val="1"/>
      <w:marLeft w:val="0"/>
      <w:marRight w:val="0"/>
      <w:marTop w:val="0"/>
      <w:marBottom w:val="0"/>
      <w:divBdr>
        <w:top w:val="none" w:sz="0" w:space="0" w:color="auto"/>
        <w:left w:val="none" w:sz="0" w:space="0" w:color="auto"/>
        <w:bottom w:val="none" w:sz="0" w:space="0" w:color="auto"/>
        <w:right w:val="none" w:sz="0" w:space="0" w:color="auto"/>
      </w:divBdr>
      <w:divsChild>
        <w:div w:id="167255815">
          <w:marLeft w:val="0"/>
          <w:marRight w:val="0"/>
          <w:marTop w:val="0"/>
          <w:marBottom w:val="0"/>
          <w:divBdr>
            <w:top w:val="none" w:sz="0" w:space="0" w:color="auto"/>
            <w:left w:val="none" w:sz="0" w:space="0" w:color="auto"/>
            <w:bottom w:val="none" w:sz="0" w:space="0" w:color="auto"/>
            <w:right w:val="none" w:sz="0" w:space="0" w:color="auto"/>
          </w:divBdr>
        </w:div>
      </w:divsChild>
    </w:div>
    <w:div w:id="1817987107">
      <w:bodyDiv w:val="1"/>
      <w:marLeft w:val="0"/>
      <w:marRight w:val="0"/>
      <w:marTop w:val="0"/>
      <w:marBottom w:val="0"/>
      <w:divBdr>
        <w:top w:val="none" w:sz="0" w:space="0" w:color="auto"/>
        <w:left w:val="none" w:sz="0" w:space="0" w:color="auto"/>
        <w:bottom w:val="none" w:sz="0" w:space="0" w:color="auto"/>
        <w:right w:val="none" w:sz="0" w:space="0" w:color="auto"/>
      </w:divBdr>
      <w:divsChild>
        <w:div w:id="914121744">
          <w:marLeft w:val="0"/>
          <w:marRight w:val="0"/>
          <w:marTop w:val="0"/>
          <w:marBottom w:val="0"/>
          <w:divBdr>
            <w:top w:val="none" w:sz="0" w:space="0" w:color="auto"/>
            <w:left w:val="none" w:sz="0" w:space="0" w:color="auto"/>
            <w:bottom w:val="none" w:sz="0" w:space="0" w:color="auto"/>
            <w:right w:val="none" w:sz="0" w:space="0" w:color="auto"/>
          </w:divBdr>
        </w:div>
      </w:divsChild>
    </w:div>
    <w:div w:id="1819607772">
      <w:bodyDiv w:val="1"/>
      <w:marLeft w:val="0"/>
      <w:marRight w:val="0"/>
      <w:marTop w:val="0"/>
      <w:marBottom w:val="0"/>
      <w:divBdr>
        <w:top w:val="none" w:sz="0" w:space="0" w:color="auto"/>
        <w:left w:val="none" w:sz="0" w:space="0" w:color="auto"/>
        <w:bottom w:val="none" w:sz="0" w:space="0" w:color="auto"/>
        <w:right w:val="none" w:sz="0" w:space="0" w:color="auto"/>
      </w:divBdr>
      <w:divsChild>
        <w:div w:id="1586769309">
          <w:marLeft w:val="0"/>
          <w:marRight w:val="0"/>
          <w:marTop w:val="0"/>
          <w:marBottom w:val="0"/>
          <w:divBdr>
            <w:top w:val="none" w:sz="0" w:space="0" w:color="auto"/>
            <w:left w:val="none" w:sz="0" w:space="0" w:color="auto"/>
            <w:bottom w:val="none" w:sz="0" w:space="0" w:color="auto"/>
            <w:right w:val="none" w:sz="0" w:space="0" w:color="auto"/>
          </w:divBdr>
          <w:divsChild>
            <w:div w:id="1101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8302">
      <w:bodyDiv w:val="1"/>
      <w:marLeft w:val="0"/>
      <w:marRight w:val="0"/>
      <w:marTop w:val="0"/>
      <w:marBottom w:val="0"/>
      <w:divBdr>
        <w:top w:val="none" w:sz="0" w:space="0" w:color="auto"/>
        <w:left w:val="none" w:sz="0" w:space="0" w:color="auto"/>
        <w:bottom w:val="none" w:sz="0" w:space="0" w:color="auto"/>
        <w:right w:val="none" w:sz="0" w:space="0" w:color="auto"/>
      </w:divBdr>
      <w:divsChild>
        <w:div w:id="990400313">
          <w:marLeft w:val="0"/>
          <w:marRight w:val="0"/>
          <w:marTop w:val="0"/>
          <w:marBottom w:val="0"/>
          <w:divBdr>
            <w:top w:val="none" w:sz="0" w:space="0" w:color="auto"/>
            <w:left w:val="none" w:sz="0" w:space="0" w:color="auto"/>
            <w:bottom w:val="none" w:sz="0" w:space="0" w:color="auto"/>
            <w:right w:val="none" w:sz="0" w:space="0" w:color="auto"/>
          </w:divBdr>
        </w:div>
      </w:divsChild>
    </w:div>
    <w:div w:id="2036081678">
      <w:bodyDiv w:val="1"/>
      <w:marLeft w:val="0"/>
      <w:marRight w:val="0"/>
      <w:marTop w:val="0"/>
      <w:marBottom w:val="0"/>
      <w:divBdr>
        <w:top w:val="none" w:sz="0" w:space="0" w:color="auto"/>
        <w:left w:val="none" w:sz="0" w:space="0" w:color="auto"/>
        <w:bottom w:val="none" w:sz="0" w:space="0" w:color="auto"/>
        <w:right w:val="none" w:sz="0" w:space="0" w:color="auto"/>
      </w:divBdr>
      <w:divsChild>
        <w:div w:id="931863243">
          <w:marLeft w:val="0"/>
          <w:marRight w:val="0"/>
          <w:marTop w:val="0"/>
          <w:marBottom w:val="0"/>
          <w:divBdr>
            <w:top w:val="none" w:sz="0" w:space="0" w:color="auto"/>
            <w:left w:val="none" w:sz="0" w:space="0" w:color="auto"/>
            <w:bottom w:val="none" w:sz="0" w:space="0" w:color="auto"/>
            <w:right w:val="none" w:sz="0" w:space="0" w:color="auto"/>
          </w:divBdr>
          <w:divsChild>
            <w:div w:id="18932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4765">
      <w:bodyDiv w:val="1"/>
      <w:marLeft w:val="0"/>
      <w:marRight w:val="0"/>
      <w:marTop w:val="0"/>
      <w:marBottom w:val="0"/>
      <w:divBdr>
        <w:top w:val="none" w:sz="0" w:space="0" w:color="auto"/>
        <w:left w:val="none" w:sz="0" w:space="0" w:color="auto"/>
        <w:bottom w:val="none" w:sz="0" w:space="0" w:color="auto"/>
        <w:right w:val="none" w:sz="0" w:space="0" w:color="auto"/>
      </w:divBdr>
      <w:divsChild>
        <w:div w:id="520317215">
          <w:marLeft w:val="0"/>
          <w:marRight w:val="0"/>
          <w:marTop w:val="0"/>
          <w:marBottom w:val="0"/>
          <w:divBdr>
            <w:top w:val="none" w:sz="0" w:space="0" w:color="auto"/>
            <w:left w:val="none" w:sz="0" w:space="0" w:color="auto"/>
            <w:bottom w:val="none" w:sz="0" w:space="0" w:color="auto"/>
            <w:right w:val="none" w:sz="0" w:space="0" w:color="auto"/>
          </w:divBdr>
          <w:divsChild>
            <w:div w:id="13897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2877">
      <w:bodyDiv w:val="1"/>
      <w:marLeft w:val="0"/>
      <w:marRight w:val="0"/>
      <w:marTop w:val="0"/>
      <w:marBottom w:val="0"/>
      <w:divBdr>
        <w:top w:val="none" w:sz="0" w:space="0" w:color="auto"/>
        <w:left w:val="none" w:sz="0" w:space="0" w:color="auto"/>
        <w:bottom w:val="none" w:sz="0" w:space="0" w:color="auto"/>
        <w:right w:val="none" w:sz="0" w:space="0" w:color="auto"/>
      </w:divBdr>
      <w:divsChild>
        <w:div w:id="1233392334">
          <w:marLeft w:val="0"/>
          <w:marRight w:val="0"/>
          <w:marTop w:val="0"/>
          <w:marBottom w:val="0"/>
          <w:divBdr>
            <w:top w:val="none" w:sz="0" w:space="0" w:color="auto"/>
            <w:left w:val="none" w:sz="0" w:space="0" w:color="auto"/>
            <w:bottom w:val="none" w:sz="0" w:space="0" w:color="auto"/>
            <w:right w:val="none" w:sz="0" w:space="0" w:color="auto"/>
          </w:divBdr>
          <w:divsChild>
            <w:div w:id="3117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2C98F-E7F7-47D9-AEA8-2C1C4F674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10</Pages>
  <Words>2816</Words>
  <Characters>17548</Characters>
  <Application>Microsoft Office Word</Application>
  <DocSecurity>0</DocSecurity>
  <Lines>398</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sasiacvet</dc:creator>
  <cp:keywords/>
  <dc:description/>
  <cp:lastModifiedBy>Editor Acc 101</cp:lastModifiedBy>
  <cp:revision>100</cp:revision>
  <dcterms:created xsi:type="dcterms:W3CDTF">2023-02-16T09:53:00Z</dcterms:created>
  <dcterms:modified xsi:type="dcterms:W3CDTF">2025-11-11T07:54:00Z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b9eebe1d-aba1-4461-8b17-edfff19c3a3e</vt:lpwstr>
  </property>
</Properties>
</file>