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82AE9" w14:textId="1DF67C87" w:rsidR="00D1076A" w:rsidRDefault="00AE5B02" w:rsidP="00AE5B02">
      <w:pPr>
        <w:spacing w:line="360" w:lineRule="auto"/>
        <w:jc w:val="center"/>
        <w:rPr>
          <w:rFonts w:ascii="Times New Roman" w:hAnsi="Times New Roman" w:cs="Times New Roman"/>
          <w:b/>
          <w:sz w:val="24"/>
          <w:szCs w:val="24"/>
          <w:lang w:val="en-ZA"/>
        </w:rPr>
      </w:pPr>
      <w:r w:rsidRPr="00AE5B02">
        <w:rPr>
          <w:rFonts w:ascii="Times New Roman" w:eastAsia="Times New Roman" w:hAnsi="Times New Roman" w:cs="Times New Roman"/>
          <w:b/>
          <w:bCs/>
          <w:sz w:val="24"/>
          <w:szCs w:val="24"/>
          <w:lang w:val="en-ZA" w:eastAsia="fr-FR"/>
        </w:rPr>
        <w:t>Impact of Traditional Processing Methods on Total and Soluble Oxalate Levels in Five Hibiscus Species from Kwilu Province, DR Congo</w:t>
      </w:r>
    </w:p>
    <w:p w14:paraId="54B29273" w14:textId="3F51C67B" w:rsidR="00D969EB" w:rsidRDefault="007510DF">
      <w:pPr>
        <w:spacing w:line="360" w:lineRule="auto"/>
        <w:jc w:val="both"/>
        <w:rPr>
          <w:rFonts w:ascii="Times New Roman" w:hAnsi="Times New Roman" w:cs="Times New Roman"/>
          <w:b/>
          <w:sz w:val="24"/>
          <w:szCs w:val="24"/>
          <w:lang w:val="en-ZA"/>
        </w:rPr>
      </w:pPr>
      <w:r>
        <w:rPr>
          <w:rFonts w:ascii="Times New Roman" w:hAnsi="Times New Roman" w:cs="Times New Roman"/>
          <w:b/>
          <w:sz w:val="24"/>
          <w:szCs w:val="24"/>
          <w:lang w:val="en-ZA"/>
        </w:rPr>
        <w:t>ABSTRACT</w:t>
      </w:r>
    </w:p>
    <w:p w14:paraId="61A93917" w14:textId="61044854" w:rsidR="00D969EB"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b/>
          <w:sz w:val="24"/>
          <w:szCs w:val="24"/>
          <w:lang w:val="en-ZA"/>
        </w:rPr>
        <w:t>Aims</w:t>
      </w:r>
      <w:r>
        <w:rPr>
          <w:rFonts w:ascii="Times New Roman" w:hAnsi="Times New Roman" w:cs="Times New Roman"/>
          <w:sz w:val="24"/>
          <w:szCs w:val="24"/>
          <w:lang w:val="en-ZA"/>
        </w:rPr>
        <w:t xml:space="preserve">: </w:t>
      </w:r>
      <w:r w:rsidR="00F859DF" w:rsidRPr="00F859DF">
        <w:rPr>
          <w:rFonts w:ascii="Times New Roman" w:hAnsi="Times New Roman" w:cs="Times New Roman"/>
          <w:sz w:val="24"/>
          <w:szCs w:val="24"/>
          <w:lang w:val="en-ZA"/>
        </w:rPr>
        <w:t xml:space="preserve">Hibiscus species are widely recognised for their rich nutritional profile, which includes essential micronutrients such as iron, calcium, </w:t>
      </w:r>
      <w:bookmarkStart w:id="0" w:name="_GoBack"/>
      <w:bookmarkEnd w:id="0"/>
      <w:r w:rsidR="00F859DF" w:rsidRPr="00F859DF">
        <w:rPr>
          <w:rFonts w:ascii="Times New Roman" w:hAnsi="Times New Roman" w:cs="Times New Roman"/>
          <w:sz w:val="24"/>
          <w:szCs w:val="24"/>
          <w:lang w:val="en-ZA"/>
        </w:rPr>
        <w:t xml:space="preserve">magnesium, and vitamins A and C. They also contain a range of compounds classified as anti-nutritional factors, including oxalates, </w:t>
      </w:r>
      <w:r w:rsidR="00861944" w:rsidRPr="00861944">
        <w:rPr>
          <w:rFonts w:ascii="Times New Roman" w:hAnsi="Times New Roman" w:cs="Times New Roman"/>
          <w:sz w:val="24"/>
          <w:szCs w:val="24"/>
          <w:lang w:val="en-ZA"/>
        </w:rPr>
        <w:t>cyanogenic glycosides</w:t>
      </w:r>
      <w:r w:rsidR="00F859DF" w:rsidRPr="00F859DF">
        <w:rPr>
          <w:rFonts w:ascii="Times New Roman" w:hAnsi="Times New Roman" w:cs="Times New Roman"/>
          <w:sz w:val="24"/>
          <w:szCs w:val="24"/>
          <w:lang w:val="en-ZA"/>
        </w:rPr>
        <w:t xml:space="preserve">, </w:t>
      </w:r>
      <w:r w:rsidR="00861944" w:rsidRPr="00F859DF">
        <w:rPr>
          <w:rFonts w:ascii="Times New Roman" w:hAnsi="Times New Roman" w:cs="Times New Roman"/>
          <w:sz w:val="24"/>
          <w:szCs w:val="24"/>
          <w:lang w:val="en-ZA"/>
        </w:rPr>
        <w:t>tannins</w:t>
      </w:r>
      <w:r w:rsidR="00861944">
        <w:rPr>
          <w:rFonts w:ascii="Times New Roman" w:hAnsi="Times New Roman" w:cs="Times New Roman"/>
          <w:sz w:val="24"/>
          <w:szCs w:val="24"/>
          <w:lang w:val="en-ZA"/>
        </w:rPr>
        <w:t xml:space="preserve"> and others</w:t>
      </w:r>
      <w:r w:rsidR="00F859DF" w:rsidRPr="00F859DF">
        <w:rPr>
          <w:rFonts w:ascii="Times New Roman" w:hAnsi="Times New Roman" w:cs="Times New Roman"/>
          <w:sz w:val="24"/>
          <w:szCs w:val="24"/>
          <w:lang w:val="en-ZA"/>
        </w:rPr>
        <w:t xml:space="preserve">, which can interfere with the bioavailability and absorption of key nutrients.  </w:t>
      </w:r>
      <w:r w:rsidR="00F859DF">
        <w:rPr>
          <w:rFonts w:ascii="Times New Roman" w:hAnsi="Times New Roman" w:cs="Times New Roman"/>
          <w:sz w:val="24"/>
          <w:szCs w:val="24"/>
          <w:lang w:val="en-ZA"/>
        </w:rPr>
        <w:t xml:space="preserve"> </w:t>
      </w:r>
    </w:p>
    <w:p w14:paraId="3400161A" w14:textId="77777777" w:rsidR="00D969EB" w:rsidRDefault="00D969EB">
      <w:pPr>
        <w:spacing w:after="0" w:line="360" w:lineRule="auto"/>
        <w:jc w:val="both"/>
        <w:rPr>
          <w:rFonts w:ascii="Arial" w:eastAsia="Times New Roman" w:hAnsi="Arial" w:cs="Arial"/>
          <w:color w:val="000000"/>
          <w:sz w:val="20"/>
          <w:szCs w:val="20"/>
          <w:lang w:val="en-ZA" w:eastAsia="fr-FR"/>
        </w:rPr>
      </w:pPr>
    </w:p>
    <w:p w14:paraId="025CA8C2" w14:textId="3ECD4595" w:rsidR="00D969EB" w:rsidRDefault="007510DF">
      <w:pPr>
        <w:spacing w:line="360" w:lineRule="auto"/>
        <w:jc w:val="both"/>
        <w:rPr>
          <w:rFonts w:ascii="Times New Roman" w:hAnsi="Times New Roman" w:cs="Times New Roman"/>
          <w:sz w:val="24"/>
          <w:szCs w:val="24"/>
          <w:lang w:val="en-ZA"/>
        </w:rPr>
      </w:pPr>
      <w:r>
        <w:rPr>
          <w:rFonts w:ascii="Times New Roman" w:hAnsi="Times New Roman" w:cs="Times New Roman"/>
          <w:b/>
          <w:sz w:val="24"/>
          <w:szCs w:val="24"/>
          <w:lang w:val="en-ZA"/>
        </w:rPr>
        <w:t>Study Design:</w:t>
      </w:r>
      <w:r>
        <w:rPr>
          <w:rFonts w:ascii="Times New Roman" w:hAnsi="Times New Roman" w:cs="Times New Roman"/>
          <w:sz w:val="24"/>
          <w:szCs w:val="24"/>
          <w:lang w:val="en-ZA"/>
        </w:rPr>
        <w:t xml:space="preserve">  </w:t>
      </w:r>
      <w:r w:rsidR="00DC74FD" w:rsidRPr="00DC74FD">
        <w:rPr>
          <w:rFonts w:ascii="Times New Roman" w:hAnsi="Times New Roman" w:cs="Times New Roman"/>
          <w:sz w:val="24"/>
          <w:szCs w:val="24"/>
          <w:lang w:val="en-ZA"/>
        </w:rPr>
        <w:t>In this experimental study we investigated the oxalate content across five Hibiscus species subjected to traditional processing methods. Treatments included sun drying, soaking, and the application of artisanal potash. Quantitative analyses were conducted to evaluate the impact of each practice on total and soluble oxalate levels, with species and provenance as variables.</w:t>
      </w:r>
    </w:p>
    <w:p w14:paraId="37C2CEA1" w14:textId="0CC626E5" w:rsidR="00D969EB"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b/>
          <w:sz w:val="24"/>
          <w:szCs w:val="24"/>
          <w:lang w:val="en-ZA"/>
        </w:rPr>
        <w:t>Place and Duration of Study</w:t>
      </w:r>
      <w:r>
        <w:rPr>
          <w:rFonts w:ascii="Times New Roman" w:hAnsi="Times New Roman" w:cs="Times New Roman"/>
          <w:sz w:val="24"/>
          <w:szCs w:val="24"/>
          <w:lang w:val="en-ZA"/>
        </w:rPr>
        <w:t xml:space="preserve">: </w:t>
      </w:r>
      <w:r w:rsidR="00360DC4" w:rsidRPr="00360DC4">
        <w:rPr>
          <w:rFonts w:ascii="Times New Roman" w:hAnsi="Times New Roman" w:cs="Times New Roman"/>
          <w:i/>
          <w:sz w:val="24"/>
          <w:szCs w:val="24"/>
          <w:lang w:val="en-ZA"/>
        </w:rPr>
        <w:t>Hibiscus samples were collected from Kikwit and Idiofa cities across Kwilu Province, Democratic Republic of Congo (DRC). Laboratory analyses were subsequently performed at the Department of Chemistry, Higher Institute of Education (ISP), Kikwit, Kwilu Province, DRC.</w:t>
      </w:r>
    </w:p>
    <w:p w14:paraId="477DBA27" w14:textId="77777777" w:rsidR="00D969EB" w:rsidRDefault="00D969EB">
      <w:pPr>
        <w:spacing w:after="0" w:line="360" w:lineRule="auto"/>
        <w:rPr>
          <w:rFonts w:ascii="Arial" w:eastAsia="Times New Roman" w:hAnsi="Arial" w:cs="Arial"/>
          <w:color w:val="000000"/>
          <w:sz w:val="20"/>
          <w:szCs w:val="20"/>
          <w:lang w:val="en-ZA" w:eastAsia="fr-FR"/>
        </w:rPr>
      </w:pPr>
    </w:p>
    <w:p w14:paraId="6F1F2B7C" w14:textId="2B3395DF" w:rsidR="00D969EB" w:rsidRDefault="007510DF" w:rsidP="001A3FF3">
      <w:pPr>
        <w:spacing w:after="0" w:line="360" w:lineRule="auto"/>
        <w:jc w:val="both"/>
        <w:rPr>
          <w:rFonts w:ascii="Arial" w:eastAsia="Times New Roman" w:hAnsi="Arial" w:cs="Arial"/>
          <w:color w:val="000000"/>
          <w:sz w:val="20"/>
          <w:szCs w:val="20"/>
          <w:lang w:val="en-ZA" w:eastAsia="fr-FR"/>
        </w:rPr>
      </w:pPr>
      <w:r>
        <w:rPr>
          <w:rFonts w:ascii="Times New Roman" w:hAnsi="Times New Roman" w:cs="Times New Roman"/>
          <w:b/>
          <w:sz w:val="24"/>
          <w:szCs w:val="24"/>
          <w:lang w:val="en-ZA"/>
        </w:rPr>
        <w:t>Methodology</w:t>
      </w:r>
      <w:r>
        <w:rPr>
          <w:rFonts w:ascii="Times New Roman" w:hAnsi="Times New Roman" w:cs="Times New Roman"/>
          <w:sz w:val="24"/>
          <w:szCs w:val="24"/>
          <w:lang w:val="en-ZA"/>
        </w:rPr>
        <w:t xml:space="preserve">: </w:t>
      </w:r>
      <w:r w:rsidR="001A3FF3" w:rsidRPr="001A3FF3">
        <w:rPr>
          <w:rFonts w:ascii="Times New Roman" w:hAnsi="Times New Roman" w:cs="Times New Roman"/>
          <w:sz w:val="24"/>
          <w:szCs w:val="24"/>
          <w:lang w:val="en-ZA"/>
        </w:rPr>
        <w:t>Hibiscus species were collected from Kikwit and Idiofa (Kwilu State, DRC), and their total and soluble oxalate contents were determined before and after traditional treatments using volumetric titration with a standard potassium permanganate solution.</w:t>
      </w:r>
      <w:r w:rsidR="001A3FF3">
        <w:rPr>
          <w:rFonts w:ascii="Times New Roman" w:hAnsi="Times New Roman" w:cs="Times New Roman"/>
          <w:sz w:val="24"/>
          <w:szCs w:val="24"/>
          <w:lang w:val="en-ZA"/>
        </w:rPr>
        <w:t xml:space="preserve"> </w:t>
      </w:r>
      <w:r w:rsidR="006F799F">
        <w:rPr>
          <w:rFonts w:ascii="Times New Roman" w:hAnsi="Times New Roman" w:cs="Times New Roman"/>
          <w:sz w:val="24"/>
          <w:szCs w:val="24"/>
          <w:lang w:val="en-ZA"/>
        </w:rPr>
        <w:t xml:space="preserve">   </w:t>
      </w:r>
    </w:p>
    <w:p w14:paraId="19D42DA8" w14:textId="737F236E" w:rsidR="00D969EB" w:rsidRDefault="007510DF">
      <w:pPr>
        <w:spacing w:after="0" w:line="360" w:lineRule="auto"/>
        <w:jc w:val="both"/>
        <w:rPr>
          <w:rFonts w:ascii="Times New Roman" w:hAnsi="Times New Roman" w:cs="Times New Roman"/>
          <w:sz w:val="24"/>
          <w:szCs w:val="24"/>
          <w:lang w:val="en-ZA"/>
        </w:rPr>
      </w:pPr>
      <w:r>
        <w:rPr>
          <w:rFonts w:ascii="Arial Bold" w:eastAsia="Times New Roman" w:hAnsi="Arial Bold" w:cs="Times New Roman"/>
          <w:b/>
          <w:bCs/>
          <w:color w:val="000000"/>
          <w:sz w:val="20"/>
          <w:szCs w:val="20"/>
          <w:lang w:val="en-ZA" w:eastAsia="fr-FR"/>
        </w:rPr>
        <w:t>R</w:t>
      </w:r>
      <w:r>
        <w:rPr>
          <w:rFonts w:ascii="Times New Roman" w:hAnsi="Times New Roman" w:cs="Times New Roman"/>
          <w:b/>
          <w:sz w:val="24"/>
          <w:szCs w:val="24"/>
          <w:lang w:val="en-ZA"/>
        </w:rPr>
        <w:t>esults</w:t>
      </w:r>
      <w:r>
        <w:rPr>
          <w:rFonts w:ascii="Times New Roman" w:hAnsi="Times New Roman" w:cs="Times New Roman"/>
          <w:sz w:val="24"/>
          <w:szCs w:val="24"/>
          <w:lang w:val="en-ZA"/>
        </w:rPr>
        <w:t xml:space="preserve">: </w:t>
      </w:r>
      <w:r w:rsidR="00E74653">
        <w:rPr>
          <w:rFonts w:ascii="Times New Roman" w:hAnsi="Times New Roman" w:cs="Times New Roman"/>
          <w:sz w:val="24"/>
          <w:szCs w:val="24"/>
          <w:lang w:val="en-ZA"/>
        </w:rPr>
        <w:t>A</w:t>
      </w:r>
      <w:r w:rsidR="005B1D8C" w:rsidRPr="005B1D8C">
        <w:rPr>
          <w:rFonts w:ascii="Times New Roman" w:hAnsi="Times New Roman" w:cs="Times New Roman"/>
          <w:sz w:val="24"/>
          <w:szCs w:val="24"/>
          <w:lang w:val="en-ZA"/>
        </w:rPr>
        <w:t>nalysis revealed that traditional processing practices exert variable effects on the oxalic acid content of Hibiscus leaves, with oxalate levels differing by species and provenance. Sun drying significantly influenced oxalate concentrations in sorrel (</w:t>
      </w:r>
      <w:r w:rsidR="005B1D8C" w:rsidRPr="001D104C">
        <w:rPr>
          <w:rFonts w:ascii="Times New Roman" w:hAnsi="Times New Roman" w:cs="Times New Roman"/>
          <w:i/>
          <w:iCs/>
          <w:sz w:val="24"/>
          <w:szCs w:val="24"/>
          <w:lang w:val="en-ZA"/>
        </w:rPr>
        <w:t>H. sabdariffa</w:t>
      </w:r>
      <w:r w:rsidR="005B1D8C" w:rsidRPr="005B1D8C">
        <w:rPr>
          <w:rFonts w:ascii="Times New Roman" w:hAnsi="Times New Roman" w:cs="Times New Roman"/>
          <w:sz w:val="24"/>
          <w:szCs w:val="24"/>
          <w:lang w:val="en-ZA"/>
        </w:rPr>
        <w:t>), resulting in a reduction of total oxalate by 1</w:t>
      </w:r>
      <w:r w:rsidR="001D104C">
        <w:rPr>
          <w:rFonts w:ascii="Times New Roman" w:hAnsi="Times New Roman" w:cs="Times New Roman"/>
          <w:sz w:val="24"/>
          <w:szCs w:val="24"/>
          <w:lang w:val="en-ZA"/>
        </w:rPr>
        <w:t>-</w:t>
      </w:r>
      <w:r w:rsidR="005B1D8C" w:rsidRPr="005B1D8C">
        <w:rPr>
          <w:rFonts w:ascii="Times New Roman" w:hAnsi="Times New Roman" w:cs="Times New Roman"/>
          <w:sz w:val="24"/>
          <w:szCs w:val="24"/>
          <w:lang w:val="en-ZA"/>
        </w:rPr>
        <w:t xml:space="preserve">31% and soluble oxalate by 51–91.4%. Notably, </w:t>
      </w:r>
      <w:r w:rsidR="005B1D8C" w:rsidRPr="00295B50">
        <w:rPr>
          <w:rFonts w:ascii="Times New Roman" w:hAnsi="Times New Roman" w:cs="Times New Roman"/>
          <w:i/>
          <w:iCs/>
          <w:sz w:val="24"/>
          <w:szCs w:val="24"/>
          <w:lang w:val="en-ZA"/>
        </w:rPr>
        <w:t>H. sabdariffa var. sabdariffa</w:t>
      </w:r>
      <w:r w:rsidR="005B1D8C" w:rsidRPr="005B1D8C">
        <w:rPr>
          <w:rFonts w:ascii="Times New Roman" w:hAnsi="Times New Roman" w:cs="Times New Roman"/>
          <w:sz w:val="24"/>
          <w:szCs w:val="24"/>
          <w:lang w:val="en-ZA"/>
        </w:rPr>
        <w:t xml:space="preserve"> exhibited an unexpected increase of approximately 50.5% in total oxalate following sun drying. The application of indigenous potash (Kompos) also impacted oxalate levels: total oxalate decreased by 3</w:t>
      </w:r>
      <w:r w:rsidR="00D96716">
        <w:rPr>
          <w:rFonts w:ascii="Times New Roman" w:hAnsi="Times New Roman" w:cs="Times New Roman"/>
          <w:sz w:val="24"/>
          <w:szCs w:val="24"/>
          <w:lang w:val="en-ZA"/>
        </w:rPr>
        <w:t>-</w:t>
      </w:r>
      <w:r w:rsidR="005B1D8C" w:rsidRPr="005B1D8C">
        <w:rPr>
          <w:rFonts w:ascii="Times New Roman" w:hAnsi="Times New Roman" w:cs="Times New Roman"/>
          <w:sz w:val="24"/>
          <w:szCs w:val="24"/>
          <w:lang w:val="en-ZA"/>
        </w:rPr>
        <w:t>29%, while soluble oxalate increased across all samples, ranging from 56</w:t>
      </w:r>
      <w:r w:rsidR="00D96716">
        <w:rPr>
          <w:rFonts w:ascii="Times New Roman" w:hAnsi="Times New Roman" w:cs="Times New Roman"/>
          <w:sz w:val="24"/>
          <w:szCs w:val="24"/>
          <w:lang w:val="en-ZA"/>
        </w:rPr>
        <w:t>-</w:t>
      </w:r>
      <w:r w:rsidR="005B1D8C" w:rsidRPr="005B1D8C">
        <w:rPr>
          <w:rFonts w:ascii="Times New Roman" w:hAnsi="Times New Roman" w:cs="Times New Roman"/>
          <w:sz w:val="24"/>
          <w:szCs w:val="24"/>
          <w:lang w:val="en-ZA"/>
        </w:rPr>
        <w:t>87%. Furthermore, soaking dried sorrel leaves in water led to a marked reduction in oxalate content, with total oxalate decreasing by 3.5</w:t>
      </w:r>
      <w:r w:rsidR="00D96716">
        <w:rPr>
          <w:rFonts w:ascii="Times New Roman" w:hAnsi="Times New Roman" w:cs="Times New Roman"/>
          <w:sz w:val="24"/>
          <w:szCs w:val="24"/>
          <w:lang w:val="en-ZA"/>
        </w:rPr>
        <w:t>-</w:t>
      </w:r>
      <w:r w:rsidR="005B1D8C" w:rsidRPr="005B1D8C">
        <w:rPr>
          <w:rFonts w:ascii="Times New Roman" w:hAnsi="Times New Roman" w:cs="Times New Roman"/>
          <w:sz w:val="24"/>
          <w:szCs w:val="24"/>
          <w:lang w:val="en-ZA"/>
        </w:rPr>
        <w:t>32.4% and soluble oxalate by 35.5</w:t>
      </w:r>
      <w:r w:rsidR="00D96716">
        <w:rPr>
          <w:rFonts w:ascii="Times New Roman" w:hAnsi="Times New Roman" w:cs="Times New Roman"/>
          <w:sz w:val="24"/>
          <w:szCs w:val="24"/>
          <w:lang w:val="en-ZA"/>
        </w:rPr>
        <w:t>-</w:t>
      </w:r>
      <w:r w:rsidR="005B1D8C" w:rsidRPr="005B1D8C">
        <w:rPr>
          <w:rFonts w:ascii="Times New Roman" w:hAnsi="Times New Roman" w:cs="Times New Roman"/>
          <w:sz w:val="24"/>
          <w:szCs w:val="24"/>
          <w:lang w:val="en-ZA"/>
        </w:rPr>
        <w:t xml:space="preserve">55.9%, </w:t>
      </w:r>
      <w:r w:rsidR="00F64B0B">
        <w:rPr>
          <w:rFonts w:ascii="Times New Roman" w:hAnsi="Times New Roman" w:cs="Times New Roman"/>
          <w:sz w:val="24"/>
          <w:szCs w:val="24"/>
          <w:lang w:val="en-ZA"/>
        </w:rPr>
        <w:t>compared</w:t>
      </w:r>
      <w:r w:rsidR="005B1D8C" w:rsidRPr="005B1D8C">
        <w:rPr>
          <w:rFonts w:ascii="Times New Roman" w:hAnsi="Times New Roman" w:cs="Times New Roman"/>
          <w:sz w:val="24"/>
          <w:szCs w:val="24"/>
          <w:lang w:val="en-ZA"/>
        </w:rPr>
        <w:t xml:space="preserve"> to untreated controls</w:t>
      </w:r>
      <w:r>
        <w:rPr>
          <w:rFonts w:ascii="Times New Roman" w:hAnsi="Times New Roman" w:cs="Times New Roman"/>
          <w:sz w:val="24"/>
          <w:szCs w:val="24"/>
          <w:lang w:val="en-ZA"/>
        </w:rPr>
        <w:t>.</w:t>
      </w:r>
    </w:p>
    <w:p w14:paraId="7BE85860" w14:textId="77777777" w:rsidR="00D969EB" w:rsidRDefault="00D969EB">
      <w:pPr>
        <w:spacing w:after="0" w:line="360" w:lineRule="auto"/>
        <w:rPr>
          <w:rFonts w:ascii="Arial" w:eastAsia="Times New Roman" w:hAnsi="Arial" w:cs="Arial"/>
          <w:color w:val="000000"/>
          <w:sz w:val="20"/>
          <w:szCs w:val="20"/>
          <w:lang w:val="en-ZA" w:eastAsia="fr-FR"/>
        </w:rPr>
      </w:pPr>
    </w:p>
    <w:p w14:paraId="1B934C9E" w14:textId="2B74849C" w:rsidR="00D969EB" w:rsidRDefault="007510DF">
      <w:pPr>
        <w:spacing w:line="360" w:lineRule="auto"/>
        <w:jc w:val="both"/>
        <w:rPr>
          <w:rFonts w:ascii="Times New Roman" w:hAnsi="Times New Roman" w:cs="Times New Roman"/>
          <w:sz w:val="24"/>
          <w:szCs w:val="24"/>
          <w:lang w:val="en-ZA"/>
        </w:rPr>
      </w:pPr>
      <w:r>
        <w:rPr>
          <w:rFonts w:ascii="Times New Roman" w:hAnsi="Times New Roman" w:cs="Times New Roman"/>
          <w:b/>
          <w:sz w:val="24"/>
          <w:szCs w:val="24"/>
          <w:lang w:val="en-ZA"/>
        </w:rPr>
        <w:lastRenderedPageBreak/>
        <w:t xml:space="preserve">Conclusion: </w:t>
      </w:r>
      <w:r w:rsidR="00B04DA5">
        <w:rPr>
          <w:rFonts w:ascii="Times New Roman" w:hAnsi="Times New Roman" w:cs="Times New Roman"/>
          <w:sz w:val="24"/>
          <w:szCs w:val="24"/>
          <w:lang w:val="en-ZA"/>
        </w:rPr>
        <w:t>F</w:t>
      </w:r>
      <w:r w:rsidR="00596FA9" w:rsidRPr="00596FA9">
        <w:rPr>
          <w:rFonts w:ascii="Times New Roman" w:hAnsi="Times New Roman" w:cs="Times New Roman"/>
          <w:sz w:val="24"/>
          <w:szCs w:val="24"/>
          <w:lang w:val="en-ZA"/>
        </w:rPr>
        <w:t xml:space="preserve">ive Hibiscus species analyzed </w:t>
      </w:r>
      <w:r w:rsidR="00596FA9">
        <w:rPr>
          <w:rFonts w:ascii="Times New Roman" w:hAnsi="Times New Roman" w:cs="Times New Roman"/>
          <w:sz w:val="24"/>
          <w:szCs w:val="24"/>
          <w:lang w:val="en-ZA"/>
        </w:rPr>
        <w:t xml:space="preserve">in this study </w:t>
      </w:r>
      <w:r w:rsidR="00596FA9" w:rsidRPr="00596FA9">
        <w:rPr>
          <w:rFonts w:ascii="Times New Roman" w:hAnsi="Times New Roman" w:cs="Times New Roman"/>
          <w:sz w:val="24"/>
          <w:szCs w:val="24"/>
          <w:lang w:val="en-ZA"/>
        </w:rPr>
        <w:t>exhibited significant oxalate levels, shaped by their geographic origin. Traditional processing</w:t>
      </w:r>
      <w:r w:rsidR="00B04DA5">
        <w:rPr>
          <w:rFonts w:ascii="Times New Roman" w:hAnsi="Times New Roman" w:cs="Times New Roman"/>
          <w:sz w:val="24"/>
          <w:szCs w:val="24"/>
          <w:lang w:val="en-ZA"/>
        </w:rPr>
        <w:t xml:space="preserve">, </w:t>
      </w:r>
      <w:r w:rsidR="00596FA9" w:rsidRPr="00596FA9">
        <w:rPr>
          <w:rFonts w:ascii="Times New Roman" w:hAnsi="Times New Roman" w:cs="Times New Roman"/>
          <w:sz w:val="24"/>
          <w:szCs w:val="24"/>
          <w:lang w:val="en-ZA"/>
        </w:rPr>
        <w:t>specifically sun drying and soaking</w:t>
      </w:r>
      <w:r w:rsidR="00B04DA5">
        <w:rPr>
          <w:rFonts w:ascii="Times New Roman" w:hAnsi="Times New Roman" w:cs="Times New Roman"/>
          <w:sz w:val="24"/>
          <w:szCs w:val="24"/>
          <w:lang w:val="en-ZA"/>
        </w:rPr>
        <w:t xml:space="preserve">, </w:t>
      </w:r>
      <w:r w:rsidR="00596FA9" w:rsidRPr="00596FA9">
        <w:rPr>
          <w:rFonts w:ascii="Times New Roman" w:hAnsi="Times New Roman" w:cs="Times New Roman"/>
          <w:sz w:val="24"/>
          <w:szCs w:val="24"/>
          <w:lang w:val="en-ZA"/>
        </w:rPr>
        <w:t>reduced soluble oxalate concentrations by 51</w:t>
      </w:r>
      <w:r w:rsidR="00F63773">
        <w:rPr>
          <w:rFonts w:ascii="Times New Roman" w:hAnsi="Times New Roman" w:cs="Times New Roman"/>
          <w:sz w:val="24"/>
          <w:szCs w:val="24"/>
          <w:lang w:val="en-ZA"/>
        </w:rPr>
        <w:t>-</w:t>
      </w:r>
      <w:r w:rsidR="00596FA9" w:rsidRPr="00596FA9">
        <w:rPr>
          <w:rFonts w:ascii="Times New Roman" w:hAnsi="Times New Roman" w:cs="Times New Roman"/>
          <w:sz w:val="24"/>
          <w:szCs w:val="24"/>
          <w:lang w:val="en-ZA"/>
        </w:rPr>
        <w:t>92%. While treatment with local potash decreased total oxalate, it simultaneously elevated soluble oxalate, likely through the transformation of insoluble forms mediated by bicarbonate and hydroxide ions</w:t>
      </w:r>
      <w:r>
        <w:rPr>
          <w:rFonts w:ascii="Times New Roman" w:hAnsi="Times New Roman" w:cs="Times New Roman"/>
          <w:sz w:val="24"/>
          <w:szCs w:val="24"/>
          <w:lang w:val="en-ZA"/>
        </w:rPr>
        <w:t xml:space="preserve">. </w:t>
      </w:r>
    </w:p>
    <w:p w14:paraId="7CEF190B" w14:textId="708A29A1" w:rsidR="00D969EB" w:rsidRDefault="00107114">
      <w:pPr>
        <w:spacing w:line="360" w:lineRule="auto"/>
        <w:jc w:val="both"/>
        <w:rPr>
          <w:rFonts w:ascii="Times New Roman" w:hAnsi="Times New Roman" w:cs="Times New Roman"/>
          <w:b/>
          <w:sz w:val="24"/>
          <w:szCs w:val="24"/>
          <w:lang w:val="en-ZA"/>
        </w:rPr>
      </w:pPr>
      <w:r>
        <w:rPr>
          <w:rFonts w:ascii="Times New Roman" w:hAnsi="Times New Roman" w:cs="Times New Roman"/>
          <w:b/>
          <w:sz w:val="24"/>
          <w:szCs w:val="24"/>
          <w:lang w:val="en-ZA"/>
        </w:rPr>
        <w:t>Keywords</w:t>
      </w:r>
      <w:r w:rsidR="007510DF">
        <w:rPr>
          <w:rFonts w:ascii="Times New Roman" w:hAnsi="Times New Roman" w:cs="Times New Roman"/>
          <w:b/>
          <w:sz w:val="24"/>
          <w:szCs w:val="24"/>
          <w:lang w:val="en-ZA"/>
        </w:rPr>
        <w:t>: Hibiscus, Oxalate, Sun drying, traditional potash, soaking</w:t>
      </w:r>
    </w:p>
    <w:p w14:paraId="7BA0BE6B" w14:textId="77777777" w:rsidR="00D969EB" w:rsidRDefault="007510DF">
      <w:pPr>
        <w:spacing w:line="360" w:lineRule="auto"/>
        <w:jc w:val="both"/>
        <w:rPr>
          <w:rFonts w:ascii="Times New Roman" w:hAnsi="Times New Roman" w:cs="Times New Roman"/>
          <w:b/>
          <w:sz w:val="24"/>
          <w:szCs w:val="24"/>
          <w:lang w:val="en-ZA"/>
        </w:rPr>
      </w:pPr>
      <w:r>
        <w:rPr>
          <w:rFonts w:ascii="Times New Roman" w:hAnsi="Times New Roman" w:cs="Times New Roman"/>
          <w:b/>
          <w:sz w:val="24"/>
          <w:szCs w:val="24"/>
          <w:lang w:val="en-ZA"/>
        </w:rPr>
        <w:t>1. INTRODUCTION</w:t>
      </w:r>
    </w:p>
    <w:p w14:paraId="11F641C5" w14:textId="661BCE21" w:rsidR="004759EE" w:rsidRDefault="004759EE">
      <w:pPr>
        <w:spacing w:line="360" w:lineRule="auto"/>
        <w:jc w:val="both"/>
        <w:rPr>
          <w:rFonts w:ascii="Times New Roman" w:hAnsi="Times New Roman" w:cs="Times New Roman"/>
          <w:sz w:val="24"/>
          <w:szCs w:val="24"/>
          <w:lang w:val="en-ZA"/>
        </w:rPr>
      </w:pPr>
      <w:r w:rsidRPr="004759EE">
        <w:rPr>
          <w:rFonts w:ascii="Times New Roman" w:hAnsi="Times New Roman" w:cs="Times New Roman"/>
          <w:sz w:val="24"/>
          <w:szCs w:val="24"/>
          <w:lang w:val="en-ZA"/>
        </w:rPr>
        <w:t>Kwilu Province, located in the southwestern region of the Democratic Republic of Congo (DRC), is renowned for its extensive history of cultivating and ingesting a variety of Hibiscus species. The dietary practices of communities throughout the province include this botanical genus, which is locally recognized for its nutritional and medicinal properties</w:t>
      </w:r>
      <w:r w:rsidRPr="00390576">
        <w:rPr>
          <w:rFonts w:ascii="Times New Roman" w:hAnsi="Times New Roman" w:cs="Times New Roman"/>
          <w:sz w:val="24"/>
          <w:szCs w:val="24"/>
          <w:lang w:val="en-ZA"/>
        </w:rPr>
        <w:t xml:space="preserve">. </w:t>
      </w:r>
      <w:r w:rsidRPr="004759EE">
        <w:rPr>
          <w:rFonts w:ascii="Times New Roman" w:hAnsi="Times New Roman" w:cs="Times New Roman"/>
          <w:sz w:val="24"/>
          <w:szCs w:val="24"/>
          <w:lang w:val="en-ZA"/>
        </w:rPr>
        <w:t xml:space="preserve">Some of the most frequently ingested Hibiscus species in urban centers like Kikwit and Idiofa are Hibiscus sabdariffa and Hibiscus acetosella. These leaves are typically dried and preserved for use during the dry season, which is indicative of both practical food preservation strategies and cultural </w:t>
      </w:r>
      <w:r w:rsidRPr="00390576">
        <w:rPr>
          <w:rFonts w:ascii="Times New Roman" w:hAnsi="Times New Roman" w:cs="Times New Roman"/>
          <w:sz w:val="24"/>
          <w:szCs w:val="24"/>
          <w:lang w:val="en-ZA"/>
        </w:rPr>
        <w:t>preference</w:t>
      </w:r>
      <w:r w:rsidR="001A4657" w:rsidRPr="00390576">
        <w:rPr>
          <w:rFonts w:ascii="Times New Roman" w:hAnsi="Times New Roman" w:cs="Times New Roman"/>
          <w:sz w:val="24"/>
          <w:szCs w:val="24"/>
          <w:lang w:val="en-ZA"/>
        </w:rPr>
        <w:t xml:space="preserve"> </w:t>
      </w:r>
      <w:r w:rsidR="000D50FD" w:rsidRPr="00390576">
        <w:rPr>
          <w:rFonts w:ascii="Times New Roman" w:hAnsi="Times New Roman" w:cs="Times New Roman"/>
          <w:b/>
          <w:bCs/>
          <w:sz w:val="24"/>
          <w:szCs w:val="24"/>
          <w:lang w:val="en-ZA"/>
        </w:rPr>
        <w:t>[</w:t>
      </w:r>
      <w:r w:rsidR="00CE4219">
        <w:rPr>
          <w:rFonts w:ascii="Times New Roman" w:hAnsi="Times New Roman" w:cs="Times New Roman"/>
          <w:b/>
          <w:bCs/>
          <w:sz w:val="24"/>
          <w:szCs w:val="24"/>
          <w:lang w:val="en-ZA"/>
        </w:rPr>
        <w:t>1</w:t>
      </w:r>
      <w:r w:rsidR="006D2DAA" w:rsidRPr="00390576">
        <w:rPr>
          <w:rFonts w:ascii="Times New Roman" w:hAnsi="Times New Roman" w:cs="Times New Roman"/>
          <w:b/>
          <w:bCs/>
          <w:sz w:val="24"/>
          <w:szCs w:val="24"/>
          <w:lang w:val="en-ZA"/>
        </w:rPr>
        <w:t>-</w:t>
      </w:r>
      <w:r w:rsidR="00CE4219">
        <w:rPr>
          <w:rFonts w:ascii="Times New Roman" w:hAnsi="Times New Roman" w:cs="Times New Roman"/>
          <w:b/>
          <w:bCs/>
          <w:sz w:val="24"/>
          <w:szCs w:val="24"/>
          <w:lang w:val="en-ZA"/>
        </w:rPr>
        <w:t>2</w:t>
      </w:r>
      <w:r w:rsidR="000D50FD" w:rsidRPr="00390576">
        <w:rPr>
          <w:rFonts w:ascii="Times New Roman" w:hAnsi="Times New Roman" w:cs="Times New Roman"/>
          <w:b/>
          <w:bCs/>
          <w:sz w:val="24"/>
          <w:szCs w:val="24"/>
          <w:lang w:val="en-ZA"/>
        </w:rPr>
        <w:t>]</w:t>
      </w:r>
      <w:r w:rsidRPr="00390576">
        <w:rPr>
          <w:rFonts w:ascii="Times New Roman" w:hAnsi="Times New Roman" w:cs="Times New Roman"/>
          <w:sz w:val="24"/>
          <w:szCs w:val="24"/>
          <w:lang w:val="en-ZA"/>
        </w:rPr>
        <w:t>.</w:t>
      </w:r>
    </w:p>
    <w:p w14:paraId="5E0EDC5B" w14:textId="59EBD6D2" w:rsidR="00DF6689" w:rsidRPr="00390576" w:rsidRDefault="008C6496" w:rsidP="000E123F">
      <w:pPr>
        <w:spacing w:line="360" w:lineRule="auto"/>
        <w:jc w:val="both"/>
        <w:rPr>
          <w:rFonts w:ascii="Times New Roman" w:hAnsi="Times New Roman" w:cs="Times New Roman"/>
          <w:sz w:val="24"/>
          <w:szCs w:val="24"/>
          <w:lang w:val="en-ZA"/>
        </w:rPr>
      </w:pPr>
      <w:r w:rsidRPr="008C6496">
        <w:rPr>
          <w:rFonts w:ascii="Times New Roman" w:hAnsi="Times New Roman" w:cs="Times New Roman"/>
          <w:sz w:val="24"/>
          <w:szCs w:val="24"/>
          <w:lang w:val="en-ZA"/>
        </w:rPr>
        <w:t>Although Hibiscus species are widely recognized for their rich nutritional profile</w:t>
      </w:r>
      <w:r>
        <w:rPr>
          <w:rFonts w:ascii="Times New Roman" w:hAnsi="Times New Roman" w:cs="Times New Roman"/>
          <w:sz w:val="24"/>
          <w:szCs w:val="24"/>
          <w:lang w:val="en-ZA"/>
        </w:rPr>
        <w:t xml:space="preserve">, which </w:t>
      </w:r>
      <w:r w:rsidRPr="008C6496">
        <w:rPr>
          <w:rFonts w:ascii="Times New Roman" w:hAnsi="Times New Roman" w:cs="Times New Roman"/>
          <w:sz w:val="24"/>
          <w:szCs w:val="24"/>
          <w:lang w:val="en-ZA"/>
        </w:rPr>
        <w:t>includ</w:t>
      </w:r>
      <w:r w:rsidR="00817869">
        <w:rPr>
          <w:rFonts w:ascii="Times New Roman" w:hAnsi="Times New Roman" w:cs="Times New Roman"/>
          <w:sz w:val="24"/>
          <w:szCs w:val="24"/>
          <w:lang w:val="en-ZA"/>
        </w:rPr>
        <w:t>e</w:t>
      </w:r>
      <w:r w:rsidRPr="008C6496">
        <w:rPr>
          <w:rFonts w:ascii="Times New Roman" w:hAnsi="Times New Roman" w:cs="Times New Roman"/>
          <w:sz w:val="24"/>
          <w:szCs w:val="24"/>
          <w:lang w:val="en-ZA"/>
        </w:rPr>
        <w:t xml:space="preserve"> essential micronutrients such as iron, calcium, magnesium, and vitamins A and C, which</w:t>
      </w:r>
      <w:r w:rsidR="00957AD9">
        <w:rPr>
          <w:rFonts w:ascii="Times New Roman" w:hAnsi="Times New Roman" w:cs="Times New Roman"/>
          <w:sz w:val="24"/>
          <w:szCs w:val="24"/>
          <w:lang w:val="en-ZA"/>
        </w:rPr>
        <w:t xml:space="preserve"> are</w:t>
      </w:r>
      <w:r w:rsidR="00437258">
        <w:rPr>
          <w:rFonts w:ascii="Times New Roman" w:hAnsi="Times New Roman" w:cs="Times New Roman"/>
          <w:sz w:val="24"/>
          <w:szCs w:val="24"/>
          <w:lang w:val="en-ZA"/>
        </w:rPr>
        <w:t xml:space="preserve"> </w:t>
      </w:r>
      <w:r w:rsidR="00950B9A">
        <w:rPr>
          <w:rFonts w:ascii="Times New Roman" w:hAnsi="Times New Roman" w:cs="Times New Roman"/>
          <w:sz w:val="24"/>
          <w:szCs w:val="24"/>
          <w:lang w:val="en-ZA"/>
        </w:rPr>
        <w:t>playing keys roles</w:t>
      </w:r>
      <w:r w:rsidRPr="008C6496">
        <w:rPr>
          <w:rFonts w:ascii="Times New Roman" w:hAnsi="Times New Roman" w:cs="Times New Roman"/>
          <w:sz w:val="24"/>
          <w:szCs w:val="24"/>
          <w:lang w:val="en-ZA"/>
        </w:rPr>
        <w:t xml:space="preserve"> to immune function, cellular metabolism, and overall physiological health</w:t>
      </w:r>
      <w:r w:rsidR="00B856A6">
        <w:rPr>
          <w:rFonts w:ascii="Times New Roman" w:hAnsi="Times New Roman" w:cs="Times New Roman"/>
          <w:sz w:val="24"/>
          <w:szCs w:val="24"/>
          <w:lang w:val="en-ZA"/>
        </w:rPr>
        <w:t xml:space="preserve"> </w:t>
      </w:r>
      <w:r w:rsidR="00B856A6" w:rsidRPr="00390576">
        <w:rPr>
          <w:rFonts w:ascii="Times New Roman" w:hAnsi="Times New Roman" w:cs="Times New Roman"/>
          <w:b/>
          <w:bCs/>
          <w:sz w:val="24"/>
          <w:szCs w:val="24"/>
          <w:lang w:val="en-ZA"/>
        </w:rPr>
        <w:t>[</w:t>
      </w:r>
      <w:r w:rsidR="00CE4219">
        <w:rPr>
          <w:rFonts w:ascii="Times New Roman" w:hAnsi="Times New Roman" w:cs="Times New Roman"/>
          <w:b/>
          <w:bCs/>
          <w:sz w:val="24"/>
          <w:szCs w:val="24"/>
          <w:lang w:val="en-ZA"/>
        </w:rPr>
        <w:t>3</w:t>
      </w:r>
      <w:r w:rsidR="00566F26" w:rsidRPr="00390576">
        <w:rPr>
          <w:rFonts w:ascii="Times New Roman" w:hAnsi="Times New Roman" w:cs="Times New Roman"/>
          <w:b/>
          <w:bCs/>
          <w:sz w:val="24"/>
          <w:szCs w:val="24"/>
          <w:lang w:val="en-ZA"/>
        </w:rPr>
        <w:t>-</w:t>
      </w:r>
      <w:r w:rsidR="00CE4219">
        <w:rPr>
          <w:rFonts w:ascii="Times New Roman" w:hAnsi="Times New Roman" w:cs="Times New Roman"/>
          <w:b/>
          <w:bCs/>
          <w:sz w:val="24"/>
          <w:szCs w:val="24"/>
          <w:lang w:val="en-ZA"/>
        </w:rPr>
        <w:t>4</w:t>
      </w:r>
      <w:r w:rsidR="00B856A6" w:rsidRPr="00390576">
        <w:rPr>
          <w:rFonts w:ascii="Times New Roman" w:hAnsi="Times New Roman" w:cs="Times New Roman"/>
          <w:b/>
          <w:bCs/>
          <w:sz w:val="24"/>
          <w:szCs w:val="24"/>
          <w:lang w:val="en-ZA"/>
        </w:rPr>
        <w:t>]</w:t>
      </w:r>
      <w:r w:rsidR="00427CA3" w:rsidRPr="00390576">
        <w:rPr>
          <w:rFonts w:ascii="Times New Roman" w:hAnsi="Times New Roman" w:cs="Times New Roman"/>
          <w:sz w:val="24"/>
          <w:szCs w:val="24"/>
          <w:lang w:val="en-ZA"/>
        </w:rPr>
        <w:t xml:space="preserve">. </w:t>
      </w:r>
      <w:r w:rsidR="00427CA3">
        <w:rPr>
          <w:rFonts w:ascii="Times New Roman" w:hAnsi="Times New Roman" w:cs="Times New Roman"/>
          <w:sz w:val="24"/>
          <w:szCs w:val="24"/>
          <w:lang w:val="en-ZA"/>
        </w:rPr>
        <w:t>T</w:t>
      </w:r>
      <w:r w:rsidRPr="008C6496">
        <w:rPr>
          <w:rFonts w:ascii="Times New Roman" w:hAnsi="Times New Roman" w:cs="Times New Roman"/>
          <w:sz w:val="24"/>
          <w:szCs w:val="24"/>
          <w:lang w:val="en-ZA"/>
        </w:rPr>
        <w:t>hey also contain a range of compounds classified as anti-nutritional factors (ANFs)</w:t>
      </w:r>
      <w:r w:rsidR="00004081">
        <w:rPr>
          <w:rFonts w:ascii="Times New Roman" w:hAnsi="Times New Roman" w:cs="Times New Roman"/>
          <w:sz w:val="24"/>
          <w:szCs w:val="24"/>
          <w:lang w:val="en-ZA"/>
        </w:rPr>
        <w:t>,</w:t>
      </w:r>
      <w:r w:rsidR="009D512C">
        <w:rPr>
          <w:rFonts w:ascii="Times New Roman" w:hAnsi="Times New Roman" w:cs="Times New Roman"/>
          <w:sz w:val="24"/>
          <w:szCs w:val="24"/>
          <w:lang w:val="en-ZA"/>
        </w:rPr>
        <w:t xml:space="preserve"> t</w:t>
      </w:r>
      <w:r w:rsidRPr="008C6496">
        <w:rPr>
          <w:rFonts w:ascii="Times New Roman" w:hAnsi="Times New Roman" w:cs="Times New Roman"/>
          <w:sz w:val="24"/>
          <w:szCs w:val="24"/>
          <w:lang w:val="en-ZA"/>
        </w:rPr>
        <w:t xml:space="preserve">hese include oxalates, phytates, tannins, and cyanogenic glycosides, which can interfere with the bioavailability and absorption of key </w:t>
      </w:r>
      <w:r w:rsidRPr="00390576">
        <w:rPr>
          <w:rFonts w:ascii="Times New Roman" w:hAnsi="Times New Roman" w:cs="Times New Roman"/>
          <w:sz w:val="24"/>
          <w:szCs w:val="24"/>
          <w:lang w:val="en-ZA"/>
        </w:rPr>
        <w:t>nutrients</w:t>
      </w:r>
      <w:r w:rsidR="00576D45" w:rsidRPr="00390576">
        <w:rPr>
          <w:rFonts w:ascii="Times New Roman" w:hAnsi="Times New Roman" w:cs="Times New Roman"/>
          <w:sz w:val="24"/>
          <w:szCs w:val="24"/>
          <w:lang w:val="en-ZA"/>
        </w:rPr>
        <w:t xml:space="preserve"> </w:t>
      </w:r>
      <w:r w:rsidR="00576D45" w:rsidRPr="00390576">
        <w:rPr>
          <w:rFonts w:ascii="Times New Roman" w:hAnsi="Times New Roman" w:cs="Times New Roman"/>
          <w:b/>
          <w:bCs/>
          <w:sz w:val="24"/>
          <w:szCs w:val="24"/>
          <w:lang w:val="en-ZA"/>
        </w:rPr>
        <w:t>[</w:t>
      </w:r>
      <w:r w:rsidR="00062C71">
        <w:rPr>
          <w:rFonts w:ascii="Times New Roman" w:hAnsi="Times New Roman" w:cs="Times New Roman"/>
          <w:b/>
          <w:bCs/>
          <w:sz w:val="24"/>
          <w:szCs w:val="24"/>
          <w:lang w:val="en-ZA"/>
        </w:rPr>
        <w:t>4</w:t>
      </w:r>
      <w:r w:rsidR="00233155">
        <w:rPr>
          <w:rFonts w:ascii="Times New Roman" w:hAnsi="Times New Roman" w:cs="Times New Roman"/>
          <w:b/>
          <w:bCs/>
          <w:sz w:val="24"/>
          <w:szCs w:val="24"/>
          <w:lang w:val="en-ZA"/>
        </w:rPr>
        <w:t>-</w:t>
      </w:r>
      <w:r w:rsidR="00062C71">
        <w:rPr>
          <w:rFonts w:ascii="Times New Roman" w:hAnsi="Times New Roman" w:cs="Times New Roman"/>
          <w:b/>
          <w:bCs/>
          <w:sz w:val="24"/>
          <w:szCs w:val="24"/>
          <w:lang w:val="en-ZA"/>
        </w:rPr>
        <w:t>5</w:t>
      </w:r>
      <w:r w:rsidR="00576D45" w:rsidRPr="00390576">
        <w:rPr>
          <w:rFonts w:ascii="Times New Roman" w:hAnsi="Times New Roman" w:cs="Times New Roman"/>
          <w:b/>
          <w:bCs/>
          <w:sz w:val="24"/>
          <w:szCs w:val="24"/>
          <w:lang w:val="en-ZA"/>
        </w:rPr>
        <w:t>]</w:t>
      </w:r>
      <w:r w:rsidRPr="00390576">
        <w:rPr>
          <w:rFonts w:ascii="Times New Roman" w:hAnsi="Times New Roman" w:cs="Times New Roman"/>
          <w:sz w:val="24"/>
          <w:szCs w:val="24"/>
          <w:lang w:val="en-ZA"/>
        </w:rPr>
        <w:t xml:space="preserve">. For instance, oxalates are known to chelate calcium and magnesium, forming insoluble complexes that reduce intestinal uptake, while phytates can bind iron and zinc, limiting their absorption and contributing to micronutrient deficiencies in populations reliant on plant-based diets </w:t>
      </w:r>
      <w:r w:rsidR="007F5854" w:rsidRPr="00390576">
        <w:rPr>
          <w:rFonts w:ascii="Times New Roman" w:hAnsi="Times New Roman" w:cs="Times New Roman"/>
          <w:b/>
          <w:bCs/>
          <w:sz w:val="24"/>
          <w:szCs w:val="24"/>
          <w:lang w:val="en-ZA"/>
        </w:rPr>
        <w:t>[</w:t>
      </w:r>
      <w:r w:rsidR="00062C71">
        <w:rPr>
          <w:rFonts w:ascii="Times New Roman" w:hAnsi="Times New Roman" w:cs="Times New Roman"/>
          <w:b/>
          <w:bCs/>
          <w:sz w:val="24"/>
          <w:szCs w:val="24"/>
          <w:lang w:val="en-ZA"/>
        </w:rPr>
        <w:t>6</w:t>
      </w:r>
      <w:r w:rsidR="00FB5110" w:rsidRPr="00390576">
        <w:rPr>
          <w:rFonts w:ascii="Times New Roman" w:hAnsi="Times New Roman" w:cs="Times New Roman"/>
          <w:b/>
          <w:bCs/>
          <w:sz w:val="24"/>
          <w:szCs w:val="24"/>
          <w:lang w:val="en-ZA"/>
        </w:rPr>
        <w:t>-</w:t>
      </w:r>
      <w:r w:rsidR="00062C71">
        <w:rPr>
          <w:rFonts w:ascii="Times New Roman" w:hAnsi="Times New Roman" w:cs="Times New Roman"/>
          <w:b/>
          <w:bCs/>
          <w:sz w:val="24"/>
          <w:szCs w:val="24"/>
          <w:lang w:val="en-ZA"/>
        </w:rPr>
        <w:t>7</w:t>
      </w:r>
      <w:r w:rsidR="007F5854" w:rsidRPr="00390576">
        <w:rPr>
          <w:rFonts w:ascii="Times New Roman" w:hAnsi="Times New Roman" w:cs="Times New Roman"/>
          <w:b/>
          <w:bCs/>
          <w:sz w:val="24"/>
          <w:szCs w:val="24"/>
          <w:lang w:val="en-ZA"/>
        </w:rPr>
        <w:t>]</w:t>
      </w:r>
      <w:r w:rsidR="000E123F" w:rsidRPr="00390576">
        <w:rPr>
          <w:rFonts w:ascii="Times New Roman" w:hAnsi="Times New Roman" w:cs="Times New Roman"/>
          <w:sz w:val="24"/>
          <w:szCs w:val="24"/>
          <w:lang w:val="en-ZA"/>
        </w:rPr>
        <w:t>.</w:t>
      </w:r>
      <w:r w:rsidR="009E7E8A" w:rsidRPr="00390576">
        <w:rPr>
          <w:rFonts w:ascii="Times New Roman" w:hAnsi="Times New Roman" w:cs="Times New Roman"/>
          <w:sz w:val="24"/>
          <w:szCs w:val="24"/>
          <w:lang w:val="en-ZA"/>
        </w:rPr>
        <w:t xml:space="preserve"> </w:t>
      </w:r>
      <w:r w:rsidR="00CD7FE8" w:rsidRPr="00390576">
        <w:rPr>
          <w:rFonts w:ascii="Times New Roman" w:hAnsi="Times New Roman" w:cs="Times New Roman"/>
          <w:sz w:val="24"/>
          <w:szCs w:val="24"/>
          <w:lang w:val="en-ZA"/>
        </w:rPr>
        <w:t xml:space="preserve"> </w:t>
      </w:r>
    </w:p>
    <w:p w14:paraId="290E092E" w14:textId="16BD6A3F" w:rsidR="004759EE" w:rsidRPr="00A45FC3" w:rsidRDefault="00341521">
      <w:pPr>
        <w:spacing w:line="360" w:lineRule="auto"/>
        <w:jc w:val="both"/>
        <w:rPr>
          <w:rFonts w:ascii="Times New Roman" w:hAnsi="Times New Roman" w:cs="Times New Roman"/>
          <w:sz w:val="24"/>
          <w:szCs w:val="24"/>
          <w:lang w:val="en-US"/>
        </w:rPr>
      </w:pPr>
      <w:r w:rsidRPr="00341521">
        <w:rPr>
          <w:rFonts w:ascii="Times New Roman" w:hAnsi="Times New Roman" w:cs="Times New Roman"/>
          <w:sz w:val="24"/>
          <w:szCs w:val="24"/>
          <w:lang w:val="en-US"/>
        </w:rPr>
        <w:t xml:space="preserve">The dual nutritional and anti-nutritional characteristics of Hibiscus species have attracted heightened scientific </w:t>
      </w:r>
      <w:r>
        <w:rPr>
          <w:rFonts w:ascii="Times New Roman" w:hAnsi="Times New Roman" w:cs="Times New Roman"/>
          <w:sz w:val="24"/>
          <w:szCs w:val="24"/>
          <w:lang w:val="en-US"/>
        </w:rPr>
        <w:t>interest</w:t>
      </w:r>
      <w:r w:rsidRPr="00341521">
        <w:rPr>
          <w:rFonts w:ascii="Times New Roman" w:hAnsi="Times New Roman" w:cs="Times New Roman"/>
          <w:sz w:val="24"/>
          <w:szCs w:val="24"/>
          <w:lang w:val="en-US"/>
        </w:rPr>
        <w:t xml:space="preserve">, especially in the domains of food, </w:t>
      </w:r>
      <w:r w:rsidR="00BD5772">
        <w:rPr>
          <w:rFonts w:ascii="Times New Roman" w:hAnsi="Times New Roman" w:cs="Times New Roman"/>
          <w:sz w:val="24"/>
          <w:szCs w:val="24"/>
          <w:lang w:val="en-US"/>
        </w:rPr>
        <w:t xml:space="preserve">chemistry, </w:t>
      </w:r>
      <w:r w:rsidRPr="00341521">
        <w:rPr>
          <w:rFonts w:ascii="Times New Roman" w:hAnsi="Times New Roman" w:cs="Times New Roman"/>
          <w:sz w:val="24"/>
          <w:szCs w:val="24"/>
          <w:lang w:val="en-US"/>
        </w:rPr>
        <w:t xml:space="preserve">ethnobotany, and nutritional </w:t>
      </w:r>
      <w:r w:rsidRPr="00390576">
        <w:rPr>
          <w:rFonts w:ascii="Times New Roman" w:hAnsi="Times New Roman" w:cs="Times New Roman"/>
          <w:sz w:val="24"/>
          <w:szCs w:val="24"/>
          <w:lang w:val="en-US"/>
        </w:rPr>
        <w:t>epidemiology</w:t>
      </w:r>
      <w:r w:rsidR="00CD7FE8" w:rsidRPr="00390576">
        <w:rPr>
          <w:rFonts w:ascii="Times New Roman" w:hAnsi="Times New Roman" w:cs="Times New Roman"/>
          <w:sz w:val="24"/>
          <w:szCs w:val="24"/>
          <w:lang w:val="en-US"/>
        </w:rPr>
        <w:t xml:space="preserve"> </w:t>
      </w:r>
      <w:r w:rsidR="00CD7FE8" w:rsidRPr="00390576">
        <w:rPr>
          <w:rFonts w:ascii="Times New Roman" w:hAnsi="Times New Roman" w:cs="Times New Roman"/>
          <w:b/>
          <w:bCs/>
          <w:sz w:val="24"/>
          <w:szCs w:val="24"/>
          <w:lang w:val="en-ZA"/>
        </w:rPr>
        <w:t>[</w:t>
      </w:r>
      <w:r w:rsidR="00B47183">
        <w:rPr>
          <w:rFonts w:ascii="Times New Roman" w:hAnsi="Times New Roman" w:cs="Times New Roman"/>
          <w:b/>
          <w:bCs/>
          <w:sz w:val="24"/>
          <w:szCs w:val="24"/>
          <w:lang w:val="en-ZA"/>
        </w:rPr>
        <w:t>8</w:t>
      </w:r>
      <w:r w:rsidR="00CD7FE8" w:rsidRPr="00390576">
        <w:rPr>
          <w:rFonts w:ascii="Times New Roman" w:hAnsi="Times New Roman" w:cs="Times New Roman"/>
          <w:b/>
          <w:bCs/>
          <w:sz w:val="24"/>
          <w:szCs w:val="24"/>
          <w:lang w:val="en-ZA"/>
        </w:rPr>
        <w:t>-1</w:t>
      </w:r>
      <w:r w:rsidR="00B47183">
        <w:rPr>
          <w:rFonts w:ascii="Times New Roman" w:hAnsi="Times New Roman" w:cs="Times New Roman"/>
          <w:b/>
          <w:bCs/>
          <w:sz w:val="24"/>
          <w:szCs w:val="24"/>
          <w:lang w:val="en-ZA"/>
        </w:rPr>
        <w:t>1</w:t>
      </w:r>
      <w:r w:rsidR="00CD7FE8" w:rsidRPr="00390576">
        <w:rPr>
          <w:rFonts w:ascii="Times New Roman" w:hAnsi="Times New Roman" w:cs="Times New Roman"/>
          <w:b/>
          <w:bCs/>
          <w:sz w:val="24"/>
          <w:szCs w:val="24"/>
          <w:lang w:val="en-ZA"/>
        </w:rPr>
        <w:t>]</w:t>
      </w:r>
      <w:r w:rsidRPr="00390576">
        <w:rPr>
          <w:rFonts w:ascii="Times New Roman" w:hAnsi="Times New Roman" w:cs="Times New Roman"/>
          <w:sz w:val="24"/>
          <w:szCs w:val="24"/>
          <w:lang w:val="en-US"/>
        </w:rPr>
        <w:t xml:space="preserve">. </w:t>
      </w:r>
      <w:r w:rsidR="00C0617B" w:rsidRPr="00C0617B">
        <w:rPr>
          <w:rFonts w:ascii="Times New Roman" w:hAnsi="Times New Roman" w:cs="Times New Roman"/>
          <w:sz w:val="24"/>
          <w:szCs w:val="24"/>
          <w:lang w:val="en-US"/>
        </w:rPr>
        <w:t xml:space="preserve">A previous study on the oxalate content of different Hibiscus species grown in and around Kikwit, Democratic </w:t>
      </w:r>
      <w:r w:rsidR="00C0617B" w:rsidRPr="001F5471">
        <w:rPr>
          <w:rFonts w:ascii="Times New Roman" w:hAnsi="Times New Roman" w:cs="Times New Roman"/>
          <w:sz w:val="24"/>
          <w:szCs w:val="24"/>
          <w:lang w:val="en-US"/>
        </w:rPr>
        <w:t xml:space="preserve">Republic of Congo, found that many cultivars contained high levels of both soluble and insoluble oxalates </w:t>
      </w:r>
      <w:r w:rsidR="00C0617B" w:rsidRPr="001F5471">
        <w:rPr>
          <w:rFonts w:ascii="Times New Roman" w:hAnsi="Times New Roman" w:cs="Times New Roman"/>
          <w:b/>
          <w:bCs/>
          <w:sz w:val="24"/>
          <w:szCs w:val="24"/>
          <w:lang w:val="en-US"/>
        </w:rPr>
        <w:t>[12]</w:t>
      </w:r>
      <w:r w:rsidR="00C0617B" w:rsidRPr="001F5471">
        <w:rPr>
          <w:rFonts w:ascii="Times New Roman" w:hAnsi="Times New Roman" w:cs="Times New Roman"/>
          <w:sz w:val="24"/>
          <w:szCs w:val="24"/>
          <w:lang w:val="en-US"/>
        </w:rPr>
        <w:t xml:space="preserve">. </w:t>
      </w:r>
      <w:r w:rsidR="00C20AB0" w:rsidRPr="001F5471">
        <w:rPr>
          <w:rFonts w:ascii="Times New Roman" w:hAnsi="Times New Roman" w:cs="Times New Roman"/>
          <w:sz w:val="24"/>
          <w:szCs w:val="24"/>
          <w:lang w:val="en-US"/>
        </w:rPr>
        <w:t xml:space="preserve"> These variations raise important nutritional and toxicological concerns, particularly given the widespread consumption of Hibiscus leaves as a staple vegetable in Kwilu Province, Democratic Republic </w:t>
      </w:r>
      <w:r w:rsidR="00C20AB0" w:rsidRPr="001F5471">
        <w:rPr>
          <w:rFonts w:ascii="Times New Roman" w:hAnsi="Times New Roman" w:cs="Times New Roman"/>
          <w:sz w:val="24"/>
          <w:szCs w:val="24"/>
          <w:lang w:val="en-US"/>
        </w:rPr>
        <w:lastRenderedPageBreak/>
        <w:t>of Congo. Consequently, it became essential to investigate the culturally embedded food preparation practices in this region to better understand their impact on oxalate levels and potential health implications.</w:t>
      </w:r>
      <w:r w:rsidRPr="001F5471">
        <w:rPr>
          <w:rFonts w:ascii="Times New Roman" w:hAnsi="Times New Roman" w:cs="Times New Roman"/>
          <w:sz w:val="24"/>
          <w:szCs w:val="24"/>
          <w:lang w:val="en-US"/>
        </w:rPr>
        <w:t xml:space="preserve"> </w:t>
      </w:r>
      <w:r w:rsidR="009B1CC7" w:rsidRPr="001F5471">
        <w:rPr>
          <w:rFonts w:ascii="Times New Roman" w:hAnsi="Times New Roman" w:cs="Times New Roman"/>
          <w:sz w:val="24"/>
          <w:szCs w:val="24"/>
          <w:lang w:val="en-US"/>
        </w:rPr>
        <w:t>To tackle this issue, th</w:t>
      </w:r>
      <w:r w:rsidR="0001503C" w:rsidRPr="001F5471">
        <w:rPr>
          <w:rFonts w:ascii="Times New Roman" w:hAnsi="Times New Roman" w:cs="Times New Roman"/>
          <w:sz w:val="24"/>
          <w:szCs w:val="24"/>
          <w:lang w:val="en-US"/>
        </w:rPr>
        <w:t>e aim is to</w:t>
      </w:r>
      <w:r w:rsidR="009B1CC7" w:rsidRPr="001F5471">
        <w:rPr>
          <w:rFonts w:ascii="Times New Roman" w:hAnsi="Times New Roman" w:cs="Times New Roman"/>
          <w:sz w:val="24"/>
          <w:szCs w:val="24"/>
          <w:lang w:val="en-US"/>
        </w:rPr>
        <w:t xml:space="preserve"> study the influence </w:t>
      </w:r>
      <w:r w:rsidR="009B1CC7" w:rsidRPr="009B1CC7">
        <w:rPr>
          <w:rFonts w:ascii="Times New Roman" w:hAnsi="Times New Roman" w:cs="Times New Roman"/>
          <w:sz w:val="24"/>
          <w:szCs w:val="24"/>
          <w:lang w:val="en-US"/>
        </w:rPr>
        <w:t>of traditional processing techniques on oxalate levels</w:t>
      </w:r>
      <w:r w:rsidRPr="00341521">
        <w:rPr>
          <w:rFonts w:ascii="Times New Roman" w:hAnsi="Times New Roman" w:cs="Times New Roman"/>
          <w:sz w:val="24"/>
          <w:szCs w:val="24"/>
          <w:lang w:val="en-US"/>
        </w:rPr>
        <w:t xml:space="preserve">. </w:t>
      </w:r>
      <w:r w:rsidR="00957FEC">
        <w:rPr>
          <w:rFonts w:ascii="Times New Roman" w:hAnsi="Times New Roman" w:cs="Times New Roman"/>
          <w:sz w:val="24"/>
          <w:szCs w:val="24"/>
          <w:lang w:val="en-US"/>
        </w:rPr>
        <w:t xml:space="preserve">This </w:t>
      </w:r>
      <w:r w:rsidR="00BE5C6B">
        <w:rPr>
          <w:rFonts w:ascii="Times New Roman" w:hAnsi="Times New Roman" w:cs="Times New Roman"/>
          <w:sz w:val="24"/>
          <w:szCs w:val="24"/>
          <w:lang w:val="en-US"/>
        </w:rPr>
        <w:t>includes</w:t>
      </w:r>
      <w:r w:rsidR="00794825">
        <w:rPr>
          <w:rFonts w:ascii="Times New Roman" w:hAnsi="Times New Roman" w:cs="Times New Roman"/>
          <w:sz w:val="24"/>
          <w:szCs w:val="24"/>
          <w:lang w:val="en-US"/>
        </w:rPr>
        <w:t xml:space="preserve"> the </w:t>
      </w:r>
      <w:r w:rsidRPr="00341521">
        <w:rPr>
          <w:rFonts w:ascii="Times New Roman" w:hAnsi="Times New Roman" w:cs="Times New Roman"/>
          <w:sz w:val="24"/>
          <w:szCs w:val="24"/>
          <w:lang w:val="en-US"/>
        </w:rPr>
        <w:t xml:space="preserve">impacts of sun drying, artisanal potash treatment, soaking of dried leaves, and varietal provenance </w:t>
      </w:r>
      <w:r w:rsidR="009322F3">
        <w:rPr>
          <w:rFonts w:ascii="Times New Roman" w:hAnsi="Times New Roman" w:cs="Times New Roman"/>
          <w:sz w:val="24"/>
          <w:szCs w:val="24"/>
          <w:lang w:val="en-US"/>
        </w:rPr>
        <w:t xml:space="preserve">within Kwilu state </w:t>
      </w:r>
      <w:r w:rsidR="00397364">
        <w:rPr>
          <w:rFonts w:ascii="Times New Roman" w:hAnsi="Times New Roman" w:cs="Times New Roman"/>
          <w:sz w:val="24"/>
          <w:szCs w:val="24"/>
          <w:lang w:val="en-US"/>
        </w:rPr>
        <w:t xml:space="preserve">on </w:t>
      </w:r>
      <w:r w:rsidRPr="00341521">
        <w:rPr>
          <w:rFonts w:ascii="Times New Roman" w:hAnsi="Times New Roman" w:cs="Times New Roman"/>
          <w:sz w:val="24"/>
          <w:szCs w:val="24"/>
          <w:lang w:val="en-US"/>
        </w:rPr>
        <w:t>oxalate concentrations in five distinct Hibiscus varieties</w:t>
      </w:r>
      <w:r w:rsidR="00171F19">
        <w:rPr>
          <w:rFonts w:ascii="Times New Roman" w:hAnsi="Times New Roman" w:cs="Times New Roman"/>
          <w:sz w:val="24"/>
          <w:szCs w:val="24"/>
          <w:lang w:val="en-US"/>
        </w:rPr>
        <w:t xml:space="preserve"> widely f</w:t>
      </w:r>
      <w:r w:rsidR="004A1B8A">
        <w:rPr>
          <w:rFonts w:ascii="Times New Roman" w:hAnsi="Times New Roman" w:cs="Times New Roman"/>
          <w:sz w:val="24"/>
          <w:szCs w:val="24"/>
          <w:lang w:val="en-US"/>
        </w:rPr>
        <w:t>ou</w:t>
      </w:r>
      <w:r w:rsidR="00171F19">
        <w:rPr>
          <w:rFonts w:ascii="Times New Roman" w:hAnsi="Times New Roman" w:cs="Times New Roman"/>
          <w:sz w:val="24"/>
          <w:szCs w:val="24"/>
          <w:lang w:val="en-US"/>
        </w:rPr>
        <w:t>nd in this region</w:t>
      </w:r>
      <w:r w:rsidRPr="0034152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13A1DF80" w14:textId="77777777" w:rsidR="00D969EB" w:rsidRDefault="007510DF">
      <w:pPr>
        <w:spacing w:line="360" w:lineRule="auto"/>
        <w:jc w:val="both"/>
        <w:rPr>
          <w:rFonts w:ascii="Times New Roman" w:hAnsi="Times New Roman" w:cs="Times New Roman"/>
          <w:b/>
          <w:sz w:val="24"/>
          <w:szCs w:val="24"/>
          <w:lang w:val="en-ZA"/>
        </w:rPr>
      </w:pPr>
      <w:r>
        <w:rPr>
          <w:rFonts w:ascii="Times New Roman" w:hAnsi="Times New Roman" w:cs="Times New Roman"/>
          <w:b/>
          <w:sz w:val="24"/>
          <w:szCs w:val="24"/>
          <w:lang w:val="en-ZA"/>
        </w:rPr>
        <w:t>2. MATERIAL AND METHODS</w:t>
      </w:r>
    </w:p>
    <w:p w14:paraId="4407F336" w14:textId="0C9D08AA" w:rsidR="00D969EB"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Five different species of Hibiscus, </w:t>
      </w:r>
      <w:r>
        <w:rPr>
          <w:rFonts w:ascii="Times New Roman" w:hAnsi="Times New Roman" w:cs="Times New Roman"/>
          <w:i/>
          <w:color w:val="000000"/>
          <w:sz w:val="24"/>
          <w:szCs w:val="24"/>
          <w:lang w:val="en-ZA"/>
        </w:rPr>
        <w:t xml:space="preserve">H. sabdariffa var sabdariffa (HSS) H. sabdariffa var altisima (HSA),  H. acetosella red shied </w:t>
      </w:r>
      <w:r>
        <w:rPr>
          <w:rFonts w:ascii="Times New Roman" w:hAnsi="Times New Roman" w:cs="Times New Roman"/>
          <w:color w:val="000000"/>
          <w:sz w:val="24"/>
          <w:szCs w:val="24"/>
          <w:lang w:val="en-ZA"/>
        </w:rPr>
        <w:t>(HARS)</w:t>
      </w:r>
      <w:r>
        <w:rPr>
          <w:rFonts w:ascii="Times New Roman" w:hAnsi="Times New Roman" w:cs="Times New Roman"/>
          <w:i/>
          <w:color w:val="000000"/>
          <w:sz w:val="24"/>
          <w:szCs w:val="24"/>
          <w:lang w:val="en-ZA"/>
        </w:rPr>
        <w:t xml:space="preserve">, H. acetosella cranberry </w:t>
      </w:r>
      <w:r>
        <w:rPr>
          <w:rFonts w:ascii="Times New Roman" w:hAnsi="Times New Roman" w:cs="Times New Roman"/>
          <w:color w:val="000000"/>
          <w:sz w:val="24"/>
          <w:szCs w:val="24"/>
          <w:lang w:val="en-ZA"/>
        </w:rPr>
        <w:t>(HAC)</w:t>
      </w:r>
      <w:r w:rsidR="00702300">
        <w:rPr>
          <w:rFonts w:ascii="Times New Roman" w:hAnsi="Times New Roman" w:cs="Times New Roman"/>
          <w:color w:val="000000"/>
          <w:sz w:val="24"/>
          <w:szCs w:val="24"/>
          <w:lang w:val="en-ZA"/>
        </w:rPr>
        <w:t>,</w:t>
      </w:r>
      <w:r>
        <w:rPr>
          <w:rFonts w:ascii="Times New Roman" w:hAnsi="Times New Roman" w:cs="Times New Roman"/>
          <w:color w:val="000000"/>
          <w:sz w:val="24"/>
          <w:szCs w:val="24"/>
          <w:lang w:val="en-ZA"/>
        </w:rPr>
        <w:t xml:space="preserve"> </w:t>
      </w:r>
      <w:r>
        <w:rPr>
          <w:rFonts w:ascii="Times New Roman" w:hAnsi="Times New Roman" w:cs="Times New Roman"/>
          <w:i/>
          <w:color w:val="000000"/>
          <w:sz w:val="24"/>
          <w:szCs w:val="24"/>
          <w:lang w:val="en-ZA"/>
        </w:rPr>
        <w:t>and H. canabinus</w:t>
      </w:r>
      <w:r>
        <w:rPr>
          <w:rFonts w:ascii="Times New Roman" w:hAnsi="Times New Roman" w:cs="Times New Roman"/>
          <w:sz w:val="24"/>
          <w:szCs w:val="24"/>
          <w:lang w:val="en-ZA"/>
        </w:rPr>
        <w:t xml:space="preserve"> (HC) were collected in Kikwit and Idiofa gardens around houses. Leaves were placed in airtight containers and taken to the ISP-Kikwit chemical laboratory for analysis. They were washed, dried</w:t>
      </w:r>
      <w:r w:rsidR="00702300">
        <w:rPr>
          <w:rFonts w:ascii="Times New Roman" w:hAnsi="Times New Roman" w:cs="Times New Roman"/>
          <w:sz w:val="24"/>
          <w:szCs w:val="24"/>
          <w:lang w:val="en-ZA"/>
        </w:rPr>
        <w:t>,</w:t>
      </w:r>
      <w:r>
        <w:rPr>
          <w:rFonts w:ascii="Times New Roman" w:hAnsi="Times New Roman" w:cs="Times New Roman"/>
          <w:sz w:val="24"/>
          <w:szCs w:val="24"/>
          <w:lang w:val="en-ZA"/>
        </w:rPr>
        <w:t xml:space="preserve"> and ground to obtain powders used for analysis.</w:t>
      </w:r>
    </w:p>
    <w:p w14:paraId="000A43ED" w14:textId="77777777" w:rsidR="00D969EB" w:rsidRDefault="00D969EB">
      <w:pPr>
        <w:spacing w:after="0" w:line="360" w:lineRule="auto"/>
        <w:jc w:val="both"/>
        <w:rPr>
          <w:rFonts w:ascii="Times New Roman" w:hAnsi="Times New Roman" w:cs="Times New Roman"/>
          <w:sz w:val="24"/>
          <w:szCs w:val="24"/>
          <w:lang w:val="en-ZA"/>
        </w:rPr>
      </w:pPr>
    </w:p>
    <w:p w14:paraId="24DC7E64" w14:textId="77777777" w:rsidR="00D969EB" w:rsidRPr="00390576"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Sun-drying was carried out by imitating the traditional technique of exposing fresh leaves, previously washed with drinking water, to the sun for 4 days. Other leaves were oven-dried at 60°C for 48 hours to compare results with </w:t>
      </w:r>
      <w:r w:rsidRPr="00390576">
        <w:rPr>
          <w:rFonts w:ascii="Times New Roman" w:hAnsi="Times New Roman" w:cs="Times New Roman"/>
          <w:sz w:val="24"/>
          <w:szCs w:val="24"/>
          <w:lang w:val="en-ZA"/>
        </w:rPr>
        <w:t>those obtained using the traditional technique.</w:t>
      </w:r>
    </w:p>
    <w:p w14:paraId="39E98B03" w14:textId="6D1502C1" w:rsidR="00D969EB" w:rsidRDefault="007510DF">
      <w:pPr>
        <w:spacing w:after="0" w:line="360" w:lineRule="auto"/>
        <w:jc w:val="both"/>
        <w:rPr>
          <w:rFonts w:ascii="Times New Roman" w:hAnsi="Times New Roman" w:cs="Times New Roman"/>
          <w:sz w:val="24"/>
          <w:szCs w:val="24"/>
          <w:lang w:val="en-ZA"/>
        </w:rPr>
      </w:pPr>
      <w:r w:rsidRPr="00390576">
        <w:rPr>
          <w:rFonts w:ascii="Times New Roman" w:hAnsi="Times New Roman" w:cs="Times New Roman"/>
          <w:sz w:val="24"/>
          <w:szCs w:val="24"/>
          <w:lang w:val="en-ZA"/>
        </w:rPr>
        <w:t xml:space="preserve">The same applies to traditional potash, which was also obtained using the traditional technique </w:t>
      </w:r>
      <w:r w:rsidR="00421142" w:rsidRPr="00390576">
        <w:rPr>
          <w:rFonts w:ascii="Times New Roman" w:hAnsi="Times New Roman" w:cs="Times New Roman"/>
          <w:sz w:val="24"/>
          <w:szCs w:val="24"/>
          <w:lang w:val="en-ZA"/>
        </w:rPr>
        <w:t xml:space="preserve">as reported </w:t>
      </w:r>
      <w:r w:rsidR="001E7D17" w:rsidRPr="00390576">
        <w:rPr>
          <w:rFonts w:ascii="Times New Roman" w:hAnsi="Times New Roman" w:cs="Times New Roman"/>
          <w:sz w:val="24"/>
          <w:szCs w:val="24"/>
          <w:lang w:val="en-ZA"/>
        </w:rPr>
        <w:t xml:space="preserve">in 2010 </w:t>
      </w:r>
      <w:r w:rsidR="00421142" w:rsidRPr="00390576">
        <w:rPr>
          <w:rFonts w:ascii="Times New Roman" w:hAnsi="Times New Roman" w:cs="Times New Roman"/>
          <w:sz w:val="24"/>
          <w:szCs w:val="24"/>
          <w:lang w:val="en-ZA"/>
        </w:rPr>
        <w:t>by Babayemi et al.</w:t>
      </w:r>
      <w:r w:rsidRPr="00390576">
        <w:rPr>
          <w:rFonts w:ascii="Times New Roman" w:hAnsi="Times New Roman" w:cs="Times New Roman"/>
          <w:sz w:val="24"/>
          <w:szCs w:val="24"/>
          <w:lang w:val="en-ZA"/>
        </w:rPr>
        <w:t xml:space="preserve"> </w:t>
      </w:r>
      <w:r w:rsidRPr="00390576">
        <w:rPr>
          <w:rFonts w:ascii="Times New Roman" w:hAnsi="Times New Roman" w:cs="Times New Roman"/>
          <w:b/>
          <w:bCs/>
          <w:sz w:val="24"/>
          <w:szCs w:val="24"/>
          <w:lang w:val="en-ZA"/>
        </w:rPr>
        <w:t>[</w:t>
      </w:r>
      <w:r w:rsidR="001B260E" w:rsidRPr="00390576">
        <w:rPr>
          <w:rFonts w:ascii="Times New Roman" w:hAnsi="Times New Roman" w:cs="Times New Roman"/>
          <w:b/>
          <w:bCs/>
          <w:sz w:val="24"/>
          <w:szCs w:val="24"/>
          <w:lang w:val="en-ZA"/>
        </w:rPr>
        <w:t>1</w:t>
      </w:r>
      <w:r w:rsidR="00B47183">
        <w:rPr>
          <w:rFonts w:ascii="Times New Roman" w:hAnsi="Times New Roman" w:cs="Times New Roman"/>
          <w:b/>
          <w:bCs/>
          <w:sz w:val="24"/>
          <w:szCs w:val="24"/>
          <w:lang w:val="en-ZA"/>
        </w:rPr>
        <w:t>3</w:t>
      </w:r>
      <w:r w:rsidR="00702300" w:rsidRPr="00390576">
        <w:rPr>
          <w:rFonts w:ascii="Times New Roman" w:hAnsi="Times New Roman" w:cs="Times New Roman"/>
          <w:b/>
          <w:bCs/>
          <w:sz w:val="24"/>
          <w:szCs w:val="24"/>
          <w:lang w:val="en-ZA"/>
        </w:rPr>
        <w:t>]</w:t>
      </w:r>
      <w:r w:rsidR="00702300" w:rsidRPr="00390576">
        <w:rPr>
          <w:rFonts w:ascii="Times New Roman" w:hAnsi="Times New Roman" w:cs="Times New Roman"/>
          <w:sz w:val="24"/>
          <w:szCs w:val="24"/>
          <w:lang w:val="en-ZA"/>
        </w:rPr>
        <w:t xml:space="preserve">, </w:t>
      </w:r>
      <w:r w:rsidRPr="00390576">
        <w:rPr>
          <w:rFonts w:ascii="Times New Roman" w:hAnsi="Times New Roman" w:cs="Times New Roman"/>
          <w:sz w:val="24"/>
          <w:szCs w:val="24"/>
          <w:lang w:val="en-ZA"/>
        </w:rPr>
        <w:t>which involved drying oil palm inflorescences at 80°C for 72 hours to remove water. After drying</w:t>
      </w:r>
      <w:r>
        <w:rPr>
          <w:rFonts w:ascii="Times New Roman" w:hAnsi="Times New Roman" w:cs="Times New Roman"/>
          <w:sz w:val="24"/>
          <w:szCs w:val="24"/>
          <w:lang w:val="en-ZA"/>
        </w:rPr>
        <w:t>, they were incinerated in a muffle furnace at 550° C for five hours until the ash was grey, light</w:t>
      </w:r>
      <w:r w:rsidR="00702300">
        <w:rPr>
          <w:rFonts w:ascii="Times New Roman" w:hAnsi="Times New Roman" w:cs="Times New Roman"/>
          <w:sz w:val="24"/>
          <w:szCs w:val="24"/>
          <w:lang w:val="en-ZA"/>
        </w:rPr>
        <w:t>,</w:t>
      </w:r>
      <w:r>
        <w:rPr>
          <w:rFonts w:ascii="Times New Roman" w:hAnsi="Times New Roman" w:cs="Times New Roman"/>
          <w:sz w:val="24"/>
          <w:szCs w:val="24"/>
          <w:lang w:val="en-ZA"/>
        </w:rPr>
        <w:t xml:space="preserve"> or whitish in colour. After cooling, </w:t>
      </w:r>
      <w:r w:rsidR="00702300">
        <w:rPr>
          <w:rFonts w:ascii="Times New Roman" w:hAnsi="Times New Roman" w:cs="Times New Roman"/>
          <w:sz w:val="24"/>
          <w:szCs w:val="24"/>
          <w:lang w:val="en-ZA"/>
        </w:rPr>
        <w:t xml:space="preserve">a </w:t>
      </w:r>
      <w:r>
        <w:rPr>
          <w:rFonts w:ascii="Times New Roman" w:hAnsi="Times New Roman" w:cs="Times New Roman"/>
          <w:sz w:val="24"/>
          <w:szCs w:val="24"/>
          <w:lang w:val="en-ZA"/>
        </w:rPr>
        <w:t xml:space="preserve">5 g aliquot of the ash </w:t>
      </w:r>
      <w:r w:rsidR="00702300">
        <w:rPr>
          <w:rFonts w:ascii="Times New Roman" w:hAnsi="Times New Roman" w:cs="Times New Roman"/>
          <w:sz w:val="24"/>
          <w:szCs w:val="24"/>
          <w:lang w:val="en-ZA"/>
        </w:rPr>
        <w:t xml:space="preserve">was </w:t>
      </w:r>
      <w:r>
        <w:rPr>
          <w:rFonts w:ascii="Times New Roman" w:hAnsi="Times New Roman" w:cs="Times New Roman"/>
          <w:sz w:val="24"/>
          <w:szCs w:val="24"/>
          <w:lang w:val="en-ZA"/>
        </w:rPr>
        <w:t>dissolved in 40 ml of distilled water and homogeni</w:t>
      </w:r>
      <w:r w:rsidR="004A1B8A">
        <w:rPr>
          <w:rFonts w:ascii="Times New Roman" w:hAnsi="Times New Roman" w:cs="Times New Roman"/>
          <w:sz w:val="24"/>
          <w:szCs w:val="24"/>
          <w:lang w:val="en-ZA"/>
        </w:rPr>
        <w:t>s</w:t>
      </w:r>
      <w:r>
        <w:rPr>
          <w:rFonts w:ascii="Times New Roman" w:hAnsi="Times New Roman" w:cs="Times New Roman"/>
          <w:sz w:val="24"/>
          <w:szCs w:val="24"/>
          <w:lang w:val="en-ZA"/>
        </w:rPr>
        <w:t>ed for 20 min using a magnetic stirrer. After homogenization, the suspension is centrifuged at 5000 rpm for 15 min. The supernatant is collected</w:t>
      </w:r>
      <w:r w:rsidR="00702300">
        <w:rPr>
          <w:rFonts w:ascii="Times New Roman" w:hAnsi="Times New Roman" w:cs="Times New Roman"/>
          <w:sz w:val="24"/>
          <w:szCs w:val="24"/>
          <w:lang w:val="en-ZA"/>
        </w:rPr>
        <w:t>,</w:t>
      </w:r>
      <w:r>
        <w:rPr>
          <w:rFonts w:ascii="Times New Roman" w:hAnsi="Times New Roman" w:cs="Times New Roman"/>
          <w:sz w:val="24"/>
          <w:szCs w:val="24"/>
          <w:lang w:val="en-ZA"/>
        </w:rPr>
        <w:t xml:space="preserve"> and the pellet </w:t>
      </w:r>
      <w:r w:rsidR="00702300">
        <w:rPr>
          <w:rFonts w:ascii="Times New Roman" w:hAnsi="Times New Roman" w:cs="Times New Roman"/>
          <w:sz w:val="24"/>
          <w:szCs w:val="24"/>
          <w:lang w:val="en-ZA"/>
        </w:rPr>
        <w:t xml:space="preserve">is </w:t>
      </w:r>
      <w:r>
        <w:rPr>
          <w:rFonts w:ascii="Times New Roman" w:hAnsi="Times New Roman" w:cs="Times New Roman"/>
          <w:sz w:val="24"/>
          <w:szCs w:val="24"/>
          <w:lang w:val="en-ZA"/>
        </w:rPr>
        <w:t xml:space="preserve">discarded. The supernatant is filtered through filter paper, and the filtrate </w:t>
      </w:r>
      <w:r w:rsidR="00702300">
        <w:rPr>
          <w:rFonts w:ascii="Times New Roman" w:hAnsi="Times New Roman" w:cs="Times New Roman"/>
          <w:sz w:val="24"/>
          <w:szCs w:val="24"/>
          <w:lang w:val="en-ZA"/>
        </w:rPr>
        <w:t xml:space="preserve">is </w:t>
      </w:r>
      <w:r>
        <w:rPr>
          <w:rFonts w:ascii="Times New Roman" w:hAnsi="Times New Roman" w:cs="Times New Roman"/>
          <w:sz w:val="24"/>
          <w:szCs w:val="24"/>
          <w:lang w:val="en-ZA"/>
        </w:rPr>
        <w:t>used as traditional potash.</w:t>
      </w:r>
    </w:p>
    <w:p w14:paraId="4F86BA8B" w14:textId="77777777" w:rsidR="00D969EB" w:rsidRDefault="00D969EB">
      <w:pPr>
        <w:spacing w:after="0" w:line="360" w:lineRule="auto"/>
        <w:jc w:val="both"/>
        <w:rPr>
          <w:rFonts w:ascii="Times New Roman" w:hAnsi="Times New Roman" w:cs="Times New Roman"/>
          <w:sz w:val="24"/>
          <w:szCs w:val="24"/>
          <w:lang w:val="en-ZA"/>
        </w:rPr>
      </w:pPr>
    </w:p>
    <w:p w14:paraId="7EAF5922" w14:textId="7E235653" w:rsidR="00D969EB" w:rsidRPr="001F5471"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The effect of soaking was studied by placing 100g of dried leaves in 300 mL of distilled water for 30 minutes and measuring oxalate afterwards. The influence of traditional potash was assessed by adding 10 mL of potash to 100g </w:t>
      </w:r>
      <w:r w:rsidR="00702300">
        <w:rPr>
          <w:rFonts w:ascii="Times New Roman" w:hAnsi="Times New Roman" w:cs="Times New Roman"/>
          <w:sz w:val="24"/>
          <w:szCs w:val="24"/>
          <w:lang w:val="en-ZA"/>
        </w:rPr>
        <w:t xml:space="preserve">of </w:t>
      </w:r>
      <w:r>
        <w:rPr>
          <w:rFonts w:ascii="Times New Roman" w:hAnsi="Times New Roman" w:cs="Times New Roman"/>
          <w:sz w:val="24"/>
          <w:szCs w:val="24"/>
          <w:lang w:val="en-ZA"/>
        </w:rPr>
        <w:t xml:space="preserve">the leaves during </w:t>
      </w:r>
      <w:r w:rsidRPr="001F5471">
        <w:rPr>
          <w:rFonts w:ascii="Times New Roman" w:hAnsi="Times New Roman" w:cs="Times New Roman"/>
          <w:sz w:val="24"/>
          <w:szCs w:val="24"/>
          <w:lang w:val="en-ZA"/>
        </w:rPr>
        <w:t xml:space="preserve">cooking. </w:t>
      </w:r>
    </w:p>
    <w:p w14:paraId="171E6132" w14:textId="56B0BDD9" w:rsidR="009B2267" w:rsidRPr="001F5471" w:rsidRDefault="00203E1A">
      <w:pPr>
        <w:spacing w:before="100" w:beforeAutospacing="1" w:after="100" w:afterAutospacing="1" w:line="360" w:lineRule="auto"/>
        <w:jc w:val="both"/>
        <w:rPr>
          <w:rFonts w:ascii="Times New Roman" w:hAnsi="Times New Roman" w:cs="Times New Roman"/>
          <w:sz w:val="24"/>
          <w:szCs w:val="24"/>
          <w:lang w:val="en-ZA"/>
        </w:rPr>
      </w:pPr>
      <w:r w:rsidRPr="001F5471">
        <w:rPr>
          <w:rFonts w:ascii="Times New Roman" w:hAnsi="Times New Roman" w:cs="Times New Roman"/>
          <w:sz w:val="24"/>
          <w:szCs w:val="24"/>
          <w:lang w:val="en-ZA"/>
        </w:rPr>
        <w:t xml:space="preserve">Several analytical methods have been reported for the determination of oxalate content. In this study, permanganometric titration was employed, as described in previous reports </w:t>
      </w:r>
      <w:r w:rsidR="005F185F" w:rsidRPr="001F5471">
        <w:rPr>
          <w:rFonts w:ascii="Times New Roman" w:hAnsi="Times New Roman" w:cs="Times New Roman"/>
          <w:b/>
          <w:bCs/>
          <w:sz w:val="24"/>
          <w:szCs w:val="24"/>
          <w:lang w:val="en-ZA"/>
        </w:rPr>
        <w:t>[</w:t>
      </w:r>
      <w:r w:rsidR="00CD01D1" w:rsidRPr="001F5471">
        <w:rPr>
          <w:rFonts w:ascii="Times New Roman" w:hAnsi="Times New Roman" w:cs="Times New Roman"/>
          <w:b/>
          <w:bCs/>
          <w:sz w:val="24"/>
          <w:szCs w:val="24"/>
          <w:lang w:val="en-ZA"/>
        </w:rPr>
        <w:t>1</w:t>
      </w:r>
      <w:r w:rsidR="00B47183" w:rsidRPr="001F5471">
        <w:rPr>
          <w:rFonts w:ascii="Times New Roman" w:hAnsi="Times New Roman" w:cs="Times New Roman"/>
          <w:b/>
          <w:bCs/>
          <w:sz w:val="24"/>
          <w:szCs w:val="24"/>
          <w:lang w:val="en-ZA"/>
        </w:rPr>
        <w:t>2</w:t>
      </w:r>
      <w:r w:rsidR="007D6E3F" w:rsidRPr="001F5471">
        <w:rPr>
          <w:rFonts w:ascii="Times New Roman" w:hAnsi="Times New Roman" w:cs="Times New Roman"/>
          <w:b/>
          <w:bCs/>
          <w:sz w:val="24"/>
          <w:szCs w:val="24"/>
          <w:lang w:val="en-ZA"/>
        </w:rPr>
        <w:t>, 14</w:t>
      </w:r>
      <w:r w:rsidR="004F2481" w:rsidRPr="001F5471">
        <w:rPr>
          <w:rFonts w:ascii="Times New Roman" w:hAnsi="Times New Roman" w:cs="Times New Roman"/>
          <w:b/>
          <w:bCs/>
          <w:sz w:val="24"/>
          <w:szCs w:val="24"/>
          <w:lang w:val="en-ZA"/>
        </w:rPr>
        <w:t>-15</w:t>
      </w:r>
      <w:r w:rsidR="005F185F" w:rsidRPr="001F5471">
        <w:rPr>
          <w:rFonts w:ascii="Times New Roman" w:hAnsi="Times New Roman" w:cs="Times New Roman"/>
          <w:b/>
          <w:bCs/>
          <w:sz w:val="24"/>
          <w:szCs w:val="24"/>
          <w:lang w:val="en-ZA"/>
        </w:rPr>
        <w:t>]</w:t>
      </w:r>
      <w:r w:rsidR="009B2267" w:rsidRPr="001F5471">
        <w:rPr>
          <w:rFonts w:ascii="Times New Roman" w:hAnsi="Times New Roman" w:cs="Times New Roman"/>
          <w:sz w:val="24"/>
          <w:szCs w:val="24"/>
          <w:lang w:val="en-ZA"/>
        </w:rPr>
        <w:t xml:space="preserve">. </w:t>
      </w:r>
    </w:p>
    <w:p w14:paraId="3BE8211A" w14:textId="6ABBCB11" w:rsidR="00AC0F01" w:rsidRDefault="00AC0F01">
      <w:pPr>
        <w:spacing w:before="100" w:beforeAutospacing="1" w:after="100" w:afterAutospacing="1" w:line="360" w:lineRule="auto"/>
        <w:jc w:val="both"/>
        <w:rPr>
          <w:rFonts w:ascii="Times New Roman" w:hAnsi="Times New Roman" w:cs="Times New Roman"/>
          <w:sz w:val="24"/>
          <w:szCs w:val="24"/>
          <w:lang w:val="en-ZA"/>
        </w:rPr>
      </w:pPr>
      <w:r w:rsidRPr="00AC0F01">
        <w:rPr>
          <w:rFonts w:ascii="Times New Roman" w:hAnsi="Times New Roman" w:cs="Times New Roman"/>
          <w:sz w:val="24"/>
          <w:szCs w:val="24"/>
          <w:lang w:val="en-ZA"/>
        </w:rPr>
        <w:lastRenderedPageBreak/>
        <w:t>Statistical significance was assessed using analysis of variance (ANOVA), followed by Tukey’s pairwise comparison of means at a 5% significance level</w:t>
      </w:r>
      <w:r w:rsidR="00A22755">
        <w:rPr>
          <w:rFonts w:ascii="Times New Roman" w:hAnsi="Times New Roman" w:cs="Times New Roman"/>
          <w:sz w:val="24"/>
          <w:szCs w:val="24"/>
          <w:lang w:val="en-ZA"/>
        </w:rPr>
        <w:t xml:space="preserve"> </w:t>
      </w:r>
      <w:r w:rsidR="00A22755" w:rsidRPr="00A22755">
        <w:rPr>
          <w:rFonts w:ascii="Times New Roman" w:hAnsi="Times New Roman" w:cs="Times New Roman"/>
          <w:sz w:val="24"/>
          <w:szCs w:val="24"/>
          <w:lang w:val="en-ZA"/>
        </w:rPr>
        <w:t>(P = 0.05)</w:t>
      </w:r>
      <w:r w:rsidRPr="00AC0F01">
        <w:rPr>
          <w:rFonts w:ascii="Times New Roman" w:hAnsi="Times New Roman" w:cs="Times New Roman"/>
          <w:sz w:val="24"/>
          <w:szCs w:val="24"/>
          <w:lang w:val="en-ZA"/>
        </w:rPr>
        <w:t>. All computations were performed using Origin 2024b (OriginLab, Northampton, MA, USA).</w:t>
      </w:r>
    </w:p>
    <w:p w14:paraId="3BA2A9BF" w14:textId="77777777" w:rsidR="00D969EB" w:rsidRDefault="007510DF">
      <w:pPr>
        <w:spacing w:before="100" w:beforeAutospacing="1" w:after="100" w:afterAutospacing="1" w:line="360" w:lineRule="auto"/>
        <w:jc w:val="both"/>
        <w:rPr>
          <w:rFonts w:ascii="Times New Roman" w:hAnsi="Times New Roman" w:cs="Times New Roman"/>
          <w:b/>
          <w:sz w:val="24"/>
          <w:szCs w:val="24"/>
          <w:lang w:val="en-ZA"/>
        </w:rPr>
      </w:pPr>
      <w:r>
        <w:rPr>
          <w:rFonts w:ascii="Times New Roman" w:hAnsi="Times New Roman" w:cs="Times New Roman"/>
          <w:b/>
          <w:sz w:val="24"/>
          <w:szCs w:val="24"/>
          <w:lang w:val="en-ZA"/>
        </w:rPr>
        <w:t>3. RESULTS AND DISCUSSION</w:t>
      </w:r>
    </w:p>
    <w:p w14:paraId="6A56DCF3" w14:textId="3D1FED0C" w:rsidR="00D969EB" w:rsidRPr="00D36719" w:rsidRDefault="007510DF">
      <w:pPr>
        <w:spacing w:after="0" w:line="360" w:lineRule="auto"/>
        <w:jc w:val="both"/>
        <w:rPr>
          <w:rFonts w:ascii="Times New Roman" w:hAnsi="Times New Roman" w:cs="Times New Roman"/>
          <w:b/>
          <w:bCs/>
          <w:i/>
          <w:iCs/>
          <w:sz w:val="24"/>
          <w:szCs w:val="24"/>
          <w:lang w:val="en-GB"/>
        </w:rPr>
      </w:pPr>
      <w:r w:rsidRPr="00D36719">
        <w:rPr>
          <w:rFonts w:ascii="Times New Roman" w:hAnsi="Times New Roman" w:cs="Times New Roman"/>
          <w:b/>
          <w:bCs/>
          <w:i/>
          <w:iCs/>
          <w:sz w:val="24"/>
          <w:szCs w:val="24"/>
          <w:lang w:val="en-GB"/>
        </w:rPr>
        <w:t xml:space="preserve">3.1. </w:t>
      </w:r>
      <w:r w:rsidR="00D36719" w:rsidRPr="00D36719">
        <w:rPr>
          <w:rFonts w:ascii="Times New Roman" w:hAnsi="Times New Roman" w:cs="Times New Roman"/>
          <w:b/>
          <w:bCs/>
          <w:i/>
          <w:iCs/>
          <w:sz w:val="24"/>
          <w:szCs w:val="24"/>
          <w:lang w:val="en-GB"/>
        </w:rPr>
        <w:t>Influence of Hibiscus Species Origin on Total and Soluble Oxalate Content</w:t>
      </w:r>
    </w:p>
    <w:p w14:paraId="2EF63D54" w14:textId="0B94961A" w:rsidR="002F7012" w:rsidRPr="002F7012" w:rsidRDefault="002F7012" w:rsidP="002F7012">
      <w:pPr>
        <w:spacing w:after="0" w:line="360" w:lineRule="auto"/>
        <w:jc w:val="both"/>
        <w:rPr>
          <w:rFonts w:ascii="Times New Roman" w:hAnsi="Times New Roman" w:cs="Times New Roman"/>
          <w:sz w:val="24"/>
          <w:szCs w:val="24"/>
          <w:lang w:val="en-ZA"/>
        </w:rPr>
      </w:pPr>
      <w:r w:rsidRPr="002F7012">
        <w:rPr>
          <w:rFonts w:ascii="Times New Roman" w:hAnsi="Times New Roman" w:cs="Times New Roman"/>
          <w:sz w:val="24"/>
          <w:szCs w:val="24"/>
          <w:lang w:val="en-ZA"/>
        </w:rPr>
        <w:t xml:space="preserve">Growing interest in </w:t>
      </w:r>
      <w:r w:rsidR="00BF3F2B">
        <w:rPr>
          <w:rFonts w:ascii="Times New Roman" w:hAnsi="Times New Roman" w:cs="Times New Roman"/>
          <w:sz w:val="24"/>
          <w:szCs w:val="24"/>
          <w:lang w:val="en-ZA"/>
        </w:rPr>
        <w:t xml:space="preserve">the </w:t>
      </w:r>
      <w:r w:rsidRPr="002F7012">
        <w:rPr>
          <w:rFonts w:ascii="Times New Roman" w:hAnsi="Times New Roman" w:cs="Times New Roman"/>
          <w:sz w:val="24"/>
          <w:szCs w:val="24"/>
          <w:lang w:val="en-ZA"/>
        </w:rPr>
        <w:t xml:space="preserve">relationship between diet and health has intensified the need for detailed compositional data on traditional food sources. </w:t>
      </w:r>
      <w:r w:rsidR="00711819">
        <w:rPr>
          <w:rFonts w:ascii="Times New Roman" w:hAnsi="Times New Roman" w:cs="Times New Roman"/>
          <w:sz w:val="24"/>
          <w:szCs w:val="24"/>
          <w:lang w:val="en-ZA"/>
        </w:rPr>
        <w:t>T</w:t>
      </w:r>
      <w:r w:rsidRPr="002F7012">
        <w:rPr>
          <w:rFonts w:ascii="Times New Roman" w:hAnsi="Times New Roman" w:cs="Times New Roman"/>
          <w:sz w:val="24"/>
          <w:szCs w:val="24"/>
          <w:lang w:val="en-ZA"/>
        </w:rPr>
        <w:t>his study investigat</w:t>
      </w:r>
      <w:r w:rsidR="00E57618">
        <w:rPr>
          <w:rFonts w:ascii="Times New Roman" w:hAnsi="Times New Roman" w:cs="Times New Roman"/>
          <w:sz w:val="24"/>
          <w:szCs w:val="24"/>
          <w:lang w:val="en-ZA"/>
        </w:rPr>
        <w:t>ed</w:t>
      </w:r>
      <w:r w:rsidRPr="002F7012">
        <w:rPr>
          <w:rFonts w:ascii="Times New Roman" w:hAnsi="Times New Roman" w:cs="Times New Roman"/>
          <w:sz w:val="24"/>
          <w:szCs w:val="24"/>
          <w:lang w:val="en-ZA"/>
        </w:rPr>
        <w:t xml:space="preserve"> the total oxalate (TO) and soluble oxalate (SO) contents of five Hibiscus species commonly consumed in Idiofa and Kikwit</w:t>
      </w:r>
      <w:r w:rsidR="0026690C">
        <w:rPr>
          <w:rFonts w:ascii="Times New Roman" w:hAnsi="Times New Roman" w:cs="Times New Roman"/>
          <w:sz w:val="24"/>
          <w:szCs w:val="24"/>
          <w:lang w:val="en-ZA"/>
        </w:rPr>
        <w:t xml:space="preserve"> was </w:t>
      </w:r>
      <w:r w:rsidR="00AF5AA6">
        <w:rPr>
          <w:rFonts w:ascii="Times New Roman" w:hAnsi="Times New Roman" w:cs="Times New Roman"/>
          <w:sz w:val="24"/>
          <w:szCs w:val="24"/>
          <w:lang w:val="en-ZA"/>
        </w:rPr>
        <w:t>conducted</w:t>
      </w:r>
      <w:r w:rsidRPr="002F7012">
        <w:rPr>
          <w:rFonts w:ascii="Times New Roman" w:hAnsi="Times New Roman" w:cs="Times New Roman"/>
          <w:sz w:val="24"/>
          <w:szCs w:val="24"/>
          <w:lang w:val="en-ZA"/>
        </w:rPr>
        <w:t>, with a focus on the influence of plant origin and drying method on oxalate levels.</w:t>
      </w:r>
    </w:p>
    <w:p w14:paraId="379B9DED" w14:textId="36B7E86C" w:rsidR="002F7012" w:rsidRPr="002F7012" w:rsidRDefault="002F7012" w:rsidP="002F7012">
      <w:pPr>
        <w:spacing w:after="0" w:line="360" w:lineRule="auto"/>
        <w:jc w:val="both"/>
        <w:rPr>
          <w:rFonts w:ascii="Times New Roman" w:hAnsi="Times New Roman" w:cs="Times New Roman"/>
          <w:sz w:val="24"/>
          <w:szCs w:val="24"/>
          <w:lang w:val="en-ZA"/>
        </w:rPr>
      </w:pPr>
      <w:r w:rsidRPr="002F7012">
        <w:rPr>
          <w:rFonts w:ascii="Times New Roman" w:hAnsi="Times New Roman" w:cs="Times New Roman"/>
          <w:sz w:val="24"/>
          <w:szCs w:val="24"/>
          <w:lang w:val="en-ZA"/>
        </w:rPr>
        <w:t xml:space="preserve">As shown in Fig. 1a–b, TO and SO contents varied markedly between samples from Idiofa and Kikwit. For instance, the TO content of </w:t>
      </w:r>
      <w:r w:rsidRPr="004C1F7E">
        <w:rPr>
          <w:rFonts w:ascii="Times New Roman" w:hAnsi="Times New Roman" w:cs="Times New Roman"/>
          <w:i/>
          <w:iCs/>
          <w:sz w:val="24"/>
          <w:szCs w:val="24"/>
          <w:lang w:val="en-ZA"/>
        </w:rPr>
        <w:t>Hibiscus sabdariffa subsp</w:t>
      </w:r>
      <w:r w:rsidRPr="002F7012">
        <w:rPr>
          <w:rFonts w:ascii="Times New Roman" w:hAnsi="Times New Roman" w:cs="Times New Roman"/>
          <w:sz w:val="24"/>
          <w:szCs w:val="24"/>
          <w:lang w:val="en-ZA"/>
        </w:rPr>
        <w:t xml:space="preserve">. sabdariffa (HSS) was significantly higher in the Kikwit sample (415.3 mg/100 g) compared to the Idiofa sample (182.5 mg/100 g). Conversely, </w:t>
      </w:r>
      <w:r w:rsidRPr="004C1F7E">
        <w:rPr>
          <w:rFonts w:ascii="Times New Roman" w:hAnsi="Times New Roman" w:cs="Times New Roman"/>
          <w:i/>
          <w:iCs/>
          <w:sz w:val="24"/>
          <w:szCs w:val="24"/>
          <w:lang w:val="en-ZA"/>
        </w:rPr>
        <w:t>Hibiscus sabdariffa subsp. altissima</w:t>
      </w:r>
      <w:r w:rsidRPr="002F7012">
        <w:rPr>
          <w:rFonts w:ascii="Times New Roman" w:hAnsi="Times New Roman" w:cs="Times New Roman"/>
          <w:sz w:val="24"/>
          <w:szCs w:val="24"/>
          <w:lang w:val="en-ZA"/>
        </w:rPr>
        <w:t xml:space="preserve"> </w:t>
      </w:r>
      <w:r w:rsidR="005B2B89">
        <w:rPr>
          <w:rFonts w:ascii="Times New Roman" w:hAnsi="Times New Roman" w:cs="Times New Roman"/>
          <w:sz w:val="24"/>
          <w:szCs w:val="24"/>
          <w:lang w:val="en-ZA"/>
        </w:rPr>
        <w:t>(</w:t>
      </w:r>
      <w:r w:rsidRPr="002F7012">
        <w:rPr>
          <w:rFonts w:ascii="Times New Roman" w:hAnsi="Times New Roman" w:cs="Times New Roman"/>
          <w:sz w:val="24"/>
          <w:szCs w:val="24"/>
          <w:lang w:val="en-ZA"/>
        </w:rPr>
        <w:t>SA) exhibited a much higher TO concentration in the Idiofa sample (657.8 mg/100 g) than in the Kikwit counterpart (195.3 mg/100 g). These findings suggest that geographic origin plays a substantial role in oxalate accumulation, potentially influenced by environmental factors such as soil composition and mineral availability.</w:t>
      </w:r>
    </w:p>
    <w:p w14:paraId="680661D7" w14:textId="77777777" w:rsidR="002F7012" w:rsidRPr="002F7012" w:rsidRDefault="002F7012" w:rsidP="002F7012">
      <w:pPr>
        <w:spacing w:after="0" w:line="360" w:lineRule="auto"/>
        <w:jc w:val="both"/>
        <w:rPr>
          <w:rFonts w:ascii="Times New Roman" w:hAnsi="Times New Roman" w:cs="Times New Roman"/>
          <w:sz w:val="24"/>
          <w:szCs w:val="24"/>
          <w:lang w:val="en-ZA"/>
        </w:rPr>
      </w:pPr>
      <w:r w:rsidRPr="002F7012">
        <w:rPr>
          <w:rFonts w:ascii="Times New Roman" w:hAnsi="Times New Roman" w:cs="Times New Roman"/>
          <w:sz w:val="24"/>
          <w:szCs w:val="24"/>
          <w:lang w:val="en-ZA"/>
        </w:rPr>
        <w:t>Statistical analysis further revealed that TO content did not differ significantly (p &lt; 0.05) between Idiofa_HAS and Idiofa_HARS, followed by Idiofa_HC, Kikwit_HSS, and Kikwit_HC. Similarly, no significant differences were observed among Kikwit_HARS, Idiofa_HSS, Kikwit_HAS, Kikwit_HAC, and Idiofa_HAC. For SO content, Idiofa_HC showed the highest concentration, significantly exceeding other samples (p &lt; 0.05), followed by Idiofa_HAC, Idiofa_HSA, Kikwit_HSA, and Idiofa_HSS. No significant differences were found among Kikwit_HSS, Kikwit_HARS, Idiofa_HARS, and Kikwit_HAC.</w:t>
      </w:r>
    </w:p>
    <w:p w14:paraId="12B2D246" w14:textId="0153F170" w:rsidR="00D969EB" w:rsidRPr="005E15E3" w:rsidRDefault="002F7012" w:rsidP="005E15E3">
      <w:pPr>
        <w:spacing w:after="0" w:line="360" w:lineRule="auto"/>
        <w:jc w:val="both"/>
        <w:rPr>
          <w:rFonts w:ascii="Times New Roman" w:hAnsi="Times New Roman" w:cs="Times New Roman"/>
          <w:sz w:val="24"/>
          <w:szCs w:val="24"/>
          <w:lang w:val="en-ZA"/>
        </w:rPr>
      </w:pPr>
      <w:r w:rsidRPr="002F7012">
        <w:rPr>
          <w:rFonts w:ascii="Times New Roman" w:hAnsi="Times New Roman" w:cs="Times New Roman"/>
          <w:sz w:val="24"/>
          <w:szCs w:val="24"/>
          <w:lang w:val="en-ZA"/>
        </w:rPr>
        <w:t xml:space="preserve">Traditionally, Hibiscus leaves are preserved through air drying. To assess the impact of this practice, we replicated the traditional method </w:t>
      </w:r>
      <w:r w:rsidR="008356DE">
        <w:rPr>
          <w:rFonts w:ascii="Times New Roman" w:hAnsi="Times New Roman" w:cs="Times New Roman"/>
          <w:sz w:val="24"/>
          <w:szCs w:val="24"/>
          <w:lang w:val="en-ZA"/>
        </w:rPr>
        <w:t xml:space="preserve">was </w:t>
      </w:r>
      <w:r w:rsidR="00A329C8">
        <w:rPr>
          <w:rFonts w:ascii="Times New Roman" w:hAnsi="Times New Roman" w:cs="Times New Roman"/>
          <w:sz w:val="24"/>
          <w:szCs w:val="24"/>
          <w:lang w:val="en-ZA"/>
        </w:rPr>
        <w:t xml:space="preserve">replicated </w:t>
      </w:r>
      <w:r w:rsidRPr="002F7012">
        <w:rPr>
          <w:rFonts w:ascii="Times New Roman" w:hAnsi="Times New Roman" w:cs="Times New Roman"/>
          <w:sz w:val="24"/>
          <w:szCs w:val="24"/>
          <w:lang w:val="en-ZA"/>
        </w:rPr>
        <w:t>and compared it with oven drying</w:t>
      </w:r>
      <w:r w:rsidR="003B0423">
        <w:rPr>
          <w:rFonts w:ascii="Times New Roman" w:hAnsi="Times New Roman" w:cs="Times New Roman"/>
          <w:sz w:val="24"/>
          <w:szCs w:val="24"/>
          <w:lang w:val="en-ZA"/>
        </w:rPr>
        <w:t>.</w:t>
      </w:r>
      <w:r w:rsidRPr="002F7012">
        <w:rPr>
          <w:rFonts w:ascii="Times New Roman" w:hAnsi="Times New Roman" w:cs="Times New Roman"/>
          <w:sz w:val="24"/>
          <w:szCs w:val="24"/>
          <w:lang w:val="en-ZA"/>
        </w:rPr>
        <w:t xml:space="preserve"> </w:t>
      </w:r>
      <w:r w:rsidR="003B0423">
        <w:rPr>
          <w:rFonts w:ascii="Times New Roman" w:hAnsi="Times New Roman" w:cs="Times New Roman"/>
          <w:sz w:val="24"/>
          <w:szCs w:val="24"/>
          <w:lang w:val="en-ZA"/>
        </w:rPr>
        <w:t>F</w:t>
      </w:r>
      <w:r w:rsidRPr="002F7012">
        <w:rPr>
          <w:rFonts w:ascii="Times New Roman" w:hAnsi="Times New Roman" w:cs="Times New Roman"/>
          <w:sz w:val="24"/>
          <w:szCs w:val="24"/>
          <w:lang w:val="en-ZA"/>
        </w:rPr>
        <w:t xml:space="preserve">igure 2 presents TO and SO contents across all species </w:t>
      </w:r>
      <w:r w:rsidR="00C23F23">
        <w:rPr>
          <w:rFonts w:ascii="Times New Roman" w:hAnsi="Times New Roman" w:cs="Times New Roman"/>
          <w:sz w:val="24"/>
          <w:szCs w:val="24"/>
          <w:lang w:val="en-ZA"/>
        </w:rPr>
        <w:t xml:space="preserve">used in this study </w:t>
      </w:r>
      <w:r w:rsidRPr="002F7012">
        <w:rPr>
          <w:rFonts w:ascii="Times New Roman" w:hAnsi="Times New Roman" w:cs="Times New Roman"/>
          <w:sz w:val="24"/>
          <w:szCs w:val="24"/>
          <w:lang w:val="en-ZA"/>
        </w:rPr>
        <w:t xml:space="preserve">post-drying. Preliminary observations indicate that drying </w:t>
      </w:r>
      <w:r w:rsidR="00C23F23" w:rsidRPr="00C23F23">
        <w:rPr>
          <w:rFonts w:ascii="Times New Roman" w:hAnsi="Times New Roman" w:cs="Times New Roman"/>
          <w:sz w:val="24"/>
          <w:szCs w:val="24"/>
          <w:lang w:val="en-ZA"/>
        </w:rPr>
        <w:t>Hibiscus leaves</w:t>
      </w:r>
      <w:r w:rsidRPr="002F7012">
        <w:rPr>
          <w:rFonts w:ascii="Times New Roman" w:hAnsi="Times New Roman" w:cs="Times New Roman"/>
          <w:sz w:val="24"/>
          <w:szCs w:val="24"/>
          <w:lang w:val="en-ZA"/>
        </w:rPr>
        <w:t xml:space="preserve"> influences oxalate retention, although further analysis is required to quantify these effects and determine optimal processing conditions for minimi</w:t>
      </w:r>
      <w:r w:rsidR="00EB75EA">
        <w:rPr>
          <w:rFonts w:ascii="Times New Roman" w:hAnsi="Times New Roman" w:cs="Times New Roman"/>
          <w:sz w:val="24"/>
          <w:szCs w:val="24"/>
          <w:lang w:val="en-ZA"/>
        </w:rPr>
        <w:t>s</w:t>
      </w:r>
      <w:r w:rsidRPr="002F7012">
        <w:rPr>
          <w:rFonts w:ascii="Times New Roman" w:hAnsi="Times New Roman" w:cs="Times New Roman"/>
          <w:sz w:val="24"/>
          <w:szCs w:val="24"/>
          <w:lang w:val="en-ZA"/>
        </w:rPr>
        <w:t>ing oxalate exposure.</w:t>
      </w:r>
      <w:r w:rsidR="00C23F23">
        <w:rPr>
          <w:rFonts w:ascii="Times New Roman" w:hAnsi="Times New Roman" w:cs="Times New Roman"/>
          <w:sz w:val="24"/>
          <w:szCs w:val="24"/>
          <w:lang w:val="en-ZA"/>
        </w:rPr>
        <w:t xml:space="preserve"> </w:t>
      </w:r>
    </w:p>
    <w:p w14:paraId="71398F49" w14:textId="77777777" w:rsidR="00D969EB" w:rsidRDefault="007510DF">
      <w:pPr>
        <w:spacing w:after="0" w:line="360" w:lineRule="auto"/>
        <w:jc w:val="both"/>
        <w:rPr>
          <w:rFonts w:ascii="Times New Roman" w:hAnsi="Times New Roman" w:cs="Times New Roman"/>
          <w:lang w:val="en-ZA"/>
        </w:rPr>
      </w:pPr>
      <w:r>
        <w:rPr>
          <w:rFonts w:ascii="Times New Roman" w:hAnsi="Times New Roman" w:cs="Times New Roman"/>
          <w:noProof/>
          <w:sz w:val="24"/>
          <w:szCs w:val="24"/>
          <w:lang w:val="en-US"/>
        </w:rPr>
        <w:lastRenderedPageBreak/>
        <w:drawing>
          <wp:anchor distT="0" distB="0" distL="114300" distR="114300" simplePos="0" relativeHeight="251659264" behindDoc="0" locked="0" layoutInCell="1" allowOverlap="1" wp14:anchorId="201D4221" wp14:editId="1D7EB68B">
            <wp:simplePos x="0" y="0"/>
            <wp:positionH relativeFrom="column">
              <wp:posOffset>-185420</wp:posOffset>
            </wp:positionH>
            <wp:positionV relativeFrom="paragraph">
              <wp:posOffset>118745</wp:posOffset>
            </wp:positionV>
            <wp:extent cx="6086475" cy="3152775"/>
            <wp:effectExtent l="0" t="0" r="9525" b="0"/>
            <wp:wrapSquare wrapText="bothSides"/>
            <wp:docPr id="970291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2916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086475" cy="3152775"/>
                    </a:xfrm>
                    <a:prstGeom prst="rect">
                      <a:avLst/>
                    </a:prstGeom>
                    <a:noFill/>
                    <a:ln>
                      <a:noFill/>
                    </a:ln>
                  </pic:spPr>
                </pic:pic>
              </a:graphicData>
            </a:graphic>
          </wp:anchor>
        </w:drawing>
      </w:r>
      <w:r>
        <w:rPr>
          <w:rFonts w:ascii="Times New Roman" w:hAnsi="Times New Roman" w:cs="Times New Roman"/>
          <w:sz w:val="24"/>
          <w:szCs w:val="24"/>
          <w:lang w:val="en-ZA"/>
        </w:rPr>
        <w:t xml:space="preserve"> </w:t>
      </w:r>
      <w:r>
        <w:rPr>
          <w:rFonts w:ascii="Times New Roman" w:hAnsi="Times New Roman" w:cs="Times New Roman" w:hint="eastAsia"/>
          <w:lang w:val="en-ZA" w:eastAsia="ja-JP"/>
        </w:rPr>
        <w:t>F</w:t>
      </w:r>
      <w:r>
        <w:rPr>
          <w:rFonts w:ascii="Times New Roman" w:hAnsi="Times New Roman" w:cs="Times New Roman"/>
          <w:lang w:val="en-ZA" w:eastAsia="ja-JP"/>
        </w:rPr>
        <w:t xml:space="preserve">ig.1. </w:t>
      </w:r>
      <w:r w:rsidRPr="0056082A">
        <w:rPr>
          <w:rFonts w:ascii="Times New Roman" w:hAnsi="Times New Roman" w:cs="Times New Roman"/>
          <w:lang w:val="en-ZA"/>
        </w:rPr>
        <w:t xml:space="preserve">Total and soluble oxalate content in </w:t>
      </w:r>
      <w:bookmarkStart w:id="1" w:name="_Hlk206258056"/>
      <w:r w:rsidRPr="0056082A">
        <w:rPr>
          <w:rFonts w:ascii="Times New Roman" w:hAnsi="Times New Roman" w:cs="Times New Roman"/>
          <w:lang w:val="en-ZA"/>
        </w:rPr>
        <w:t>Hibiscus</w:t>
      </w:r>
      <w:bookmarkEnd w:id="1"/>
      <w:r w:rsidRPr="0056082A">
        <w:rPr>
          <w:rFonts w:ascii="Times New Roman" w:hAnsi="Times New Roman" w:cs="Times New Roman"/>
          <w:lang w:val="en-ZA"/>
        </w:rPr>
        <w:t xml:space="preserve"> species from Kikwit and Idiofa. (a) Total oxalate; (b) Soluble oxalate. </w:t>
      </w:r>
      <w:r>
        <w:rPr>
          <w:rFonts w:ascii="Times New Roman" w:hAnsi="Times New Roman" w:cs="Times New Roman"/>
          <w:i/>
          <w:color w:val="000000"/>
          <w:lang w:val="en-ZA"/>
        </w:rPr>
        <w:t xml:space="preserve">Hibiscus sabdariffa var sabdariffa (HSS); Hibiscus sabdariffa var altisima (HSA); Hibiscus acetosella red shied </w:t>
      </w:r>
      <w:r>
        <w:rPr>
          <w:rFonts w:ascii="Times New Roman" w:hAnsi="Times New Roman" w:cs="Times New Roman"/>
          <w:color w:val="000000"/>
          <w:lang w:val="en-ZA"/>
        </w:rPr>
        <w:t>(HARS)</w:t>
      </w:r>
      <w:r>
        <w:rPr>
          <w:rFonts w:ascii="Times New Roman" w:hAnsi="Times New Roman" w:cs="Times New Roman"/>
          <w:i/>
          <w:color w:val="000000"/>
          <w:lang w:val="en-ZA"/>
        </w:rPr>
        <w:t xml:space="preserve">; Hibiscus acetosella cranberry </w:t>
      </w:r>
      <w:r>
        <w:rPr>
          <w:rFonts w:ascii="Times New Roman" w:hAnsi="Times New Roman" w:cs="Times New Roman"/>
          <w:color w:val="000000"/>
          <w:lang w:val="en-ZA"/>
        </w:rPr>
        <w:t xml:space="preserve">(HAC) </w:t>
      </w:r>
      <w:r>
        <w:rPr>
          <w:rFonts w:ascii="Times New Roman" w:hAnsi="Times New Roman" w:cs="Times New Roman"/>
          <w:i/>
          <w:color w:val="000000"/>
          <w:lang w:val="en-ZA"/>
        </w:rPr>
        <w:t>and Hibiscus canabinus</w:t>
      </w:r>
      <w:r>
        <w:rPr>
          <w:rFonts w:ascii="Times New Roman" w:hAnsi="Times New Roman" w:cs="Times New Roman"/>
          <w:lang w:val="en-ZA"/>
        </w:rPr>
        <w:t xml:space="preserve"> (HC)</w:t>
      </w:r>
    </w:p>
    <w:p w14:paraId="483AC4C7" w14:textId="77777777" w:rsidR="00D969EB" w:rsidRDefault="00D969EB">
      <w:pPr>
        <w:spacing w:after="0" w:line="360" w:lineRule="auto"/>
        <w:jc w:val="both"/>
        <w:rPr>
          <w:rFonts w:ascii="Times New Roman" w:hAnsi="Times New Roman" w:cs="Times New Roman"/>
          <w:sz w:val="24"/>
          <w:szCs w:val="24"/>
          <w:lang w:val="en-ZA" w:eastAsia="ja-JP"/>
        </w:rPr>
      </w:pPr>
    </w:p>
    <w:p w14:paraId="22A4D907" w14:textId="3D2738DE" w:rsidR="00D969EB" w:rsidRPr="00D36719" w:rsidRDefault="0012070F">
      <w:pPr>
        <w:spacing w:after="0" w:line="360" w:lineRule="auto"/>
        <w:jc w:val="both"/>
        <w:rPr>
          <w:rFonts w:ascii="Times New Roman" w:hAnsi="Times New Roman" w:cs="Times New Roman"/>
          <w:b/>
          <w:bCs/>
          <w:i/>
          <w:iCs/>
          <w:sz w:val="24"/>
          <w:szCs w:val="24"/>
          <w:lang w:val="en-ZA"/>
        </w:rPr>
      </w:pPr>
      <w:r w:rsidRPr="00D36719">
        <w:rPr>
          <w:rFonts w:ascii="Times New Roman" w:hAnsi="Times New Roman" w:cs="Times New Roman"/>
          <w:b/>
          <w:bCs/>
          <w:i/>
          <w:iCs/>
          <w:sz w:val="24"/>
          <w:szCs w:val="24"/>
          <w:lang w:val="en-ZA"/>
        </w:rPr>
        <w:t xml:space="preserve">3.2. Influence of drying </w:t>
      </w:r>
      <w:r w:rsidR="00736824" w:rsidRPr="00736824">
        <w:rPr>
          <w:rFonts w:ascii="Times New Roman" w:hAnsi="Times New Roman" w:cs="Times New Roman"/>
          <w:b/>
          <w:bCs/>
          <w:i/>
          <w:iCs/>
          <w:sz w:val="24"/>
          <w:szCs w:val="24"/>
          <w:lang w:val="en-ZA"/>
        </w:rPr>
        <w:t>hibiscus leaves</w:t>
      </w:r>
      <w:r w:rsidRPr="00D36719">
        <w:rPr>
          <w:rFonts w:ascii="Times New Roman" w:hAnsi="Times New Roman" w:cs="Times New Roman"/>
          <w:b/>
          <w:bCs/>
          <w:i/>
          <w:iCs/>
          <w:sz w:val="24"/>
          <w:szCs w:val="24"/>
          <w:lang w:val="en-ZA"/>
        </w:rPr>
        <w:t xml:space="preserve"> </w:t>
      </w:r>
      <w:r w:rsidRPr="00D36719">
        <w:rPr>
          <w:rFonts w:ascii="Times New Roman" w:hAnsi="Times New Roman" w:cs="Times New Roman"/>
          <w:b/>
          <w:bCs/>
          <w:i/>
          <w:iCs/>
          <w:sz w:val="24"/>
          <w:szCs w:val="24"/>
          <w:lang w:val="en-GB"/>
        </w:rPr>
        <w:t xml:space="preserve">on total and soluble oxalate content </w:t>
      </w:r>
      <w:r w:rsidRPr="00D36719">
        <w:rPr>
          <w:rFonts w:ascii="Times New Roman" w:hAnsi="Times New Roman" w:cs="Times New Roman"/>
          <w:b/>
          <w:bCs/>
          <w:i/>
          <w:iCs/>
          <w:sz w:val="24"/>
          <w:szCs w:val="24"/>
          <w:lang w:val="en-ZA"/>
        </w:rPr>
        <w:t xml:space="preserve"> </w:t>
      </w:r>
      <w:r w:rsidR="00736824">
        <w:rPr>
          <w:rFonts w:ascii="Times New Roman" w:hAnsi="Times New Roman" w:cs="Times New Roman"/>
          <w:b/>
          <w:bCs/>
          <w:i/>
          <w:iCs/>
          <w:sz w:val="24"/>
          <w:szCs w:val="24"/>
          <w:lang w:val="en-ZA"/>
        </w:rPr>
        <w:t xml:space="preserve"> </w:t>
      </w:r>
    </w:p>
    <w:p w14:paraId="2926A641" w14:textId="2F8BC0FC" w:rsidR="00D969EB"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Traditionally, hibiscus leaves are preserved by drying. In this study, </w:t>
      </w:r>
      <w:r w:rsidR="009824CB">
        <w:rPr>
          <w:rFonts w:ascii="Times New Roman" w:hAnsi="Times New Roman" w:cs="Times New Roman"/>
          <w:sz w:val="24"/>
          <w:szCs w:val="24"/>
          <w:lang w:val="en-ZA"/>
        </w:rPr>
        <w:t>the</w:t>
      </w:r>
      <w:r w:rsidR="00984AD2">
        <w:rPr>
          <w:rFonts w:ascii="Times New Roman" w:hAnsi="Times New Roman" w:cs="Times New Roman"/>
          <w:sz w:val="24"/>
          <w:szCs w:val="24"/>
          <w:lang w:val="en-ZA"/>
        </w:rPr>
        <w:t xml:space="preserve"> tra</w:t>
      </w:r>
      <w:r w:rsidR="00217F5F">
        <w:rPr>
          <w:rFonts w:ascii="Times New Roman" w:hAnsi="Times New Roman" w:cs="Times New Roman"/>
          <w:sz w:val="24"/>
          <w:szCs w:val="24"/>
          <w:lang w:val="en-ZA"/>
        </w:rPr>
        <w:t>ditional drying method was reprodu</w:t>
      </w:r>
      <w:r w:rsidR="001E07EA">
        <w:rPr>
          <w:rFonts w:ascii="Times New Roman" w:hAnsi="Times New Roman" w:cs="Times New Roman"/>
          <w:sz w:val="24"/>
          <w:szCs w:val="24"/>
          <w:lang w:val="en-ZA"/>
        </w:rPr>
        <w:t>ced and carried out</w:t>
      </w:r>
      <w:r>
        <w:rPr>
          <w:rFonts w:ascii="Times New Roman" w:hAnsi="Times New Roman" w:cs="Times New Roman"/>
          <w:sz w:val="24"/>
          <w:szCs w:val="24"/>
          <w:lang w:val="en-ZA"/>
        </w:rPr>
        <w:t xml:space="preserve"> in order to assess the impact of this process on the total and soluble oxalate content of the studied species.  The </w:t>
      </w:r>
      <w:r w:rsidR="0012070F">
        <w:rPr>
          <w:rFonts w:ascii="Times New Roman" w:hAnsi="Times New Roman" w:cs="Times New Roman"/>
          <w:sz w:val="24"/>
          <w:szCs w:val="24"/>
          <w:lang w:val="en-ZA"/>
        </w:rPr>
        <w:t xml:space="preserve">Fig.2 </w:t>
      </w:r>
      <w:r>
        <w:rPr>
          <w:rFonts w:ascii="Times New Roman" w:hAnsi="Times New Roman" w:cs="Times New Roman"/>
          <w:sz w:val="24"/>
          <w:szCs w:val="24"/>
          <w:lang w:val="en-ZA"/>
        </w:rPr>
        <w:t xml:space="preserve">shows total oxalate (TO) and soluble oxalate (SO) contents in all </w:t>
      </w:r>
      <w:r w:rsidR="00652CF4">
        <w:rPr>
          <w:rFonts w:ascii="Times New Roman" w:hAnsi="Times New Roman" w:cs="Times New Roman"/>
          <w:sz w:val="24"/>
          <w:szCs w:val="24"/>
          <w:lang w:val="en-ZA"/>
        </w:rPr>
        <w:t>five</w:t>
      </w:r>
      <w:r>
        <w:rPr>
          <w:rFonts w:ascii="Times New Roman" w:hAnsi="Times New Roman" w:cs="Times New Roman"/>
          <w:sz w:val="24"/>
          <w:szCs w:val="24"/>
          <w:lang w:val="en-ZA"/>
        </w:rPr>
        <w:t xml:space="preserve"> species after air and oven drying.  </w:t>
      </w:r>
    </w:p>
    <w:p w14:paraId="4AC4D4BE" w14:textId="77777777" w:rsidR="00D969EB"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noProof/>
          <w:sz w:val="24"/>
          <w:szCs w:val="24"/>
          <w:lang w:val="en-US"/>
        </w:rPr>
        <w:drawing>
          <wp:anchor distT="0" distB="0" distL="114300" distR="114300" simplePos="0" relativeHeight="251660288" behindDoc="0" locked="0" layoutInCell="1" allowOverlap="1" wp14:anchorId="212DC212" wp14:editId="737B02A1">
            <wp:simplePos x="0" y="0"/>
            <wp:positionH relativeFrom="column">
              <wp:posOffset>-197485</wp:posOffset>
            </wp:positionH>
            <wp:positionV relativeFrom="paragraph">
              <wp:posOffset>319405</wp:posOffset>
            </wp:positionV>
            <wp:extent cx="6017260" cy="3023870"/>
            <wp:effectExtent l="0" t="0" r="2540" b="0"/>
            <wp:wrapSquare wrapText="bothSides"/>
            <wp:docPr id="17509693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69312"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017260" cy="3023870"/>
                    </a:xfrm>
                    <a:prstGeom prst="rect">
                      <a:avLst/>
                    </a:prstGeom>
                    <a:noFill/>
                    <a:ln>
                      <a:noFill/>
                    </a:ln>
                  </pic:spPr>
                </pic:pic>
              </a:graphicData>
            </a:graphic>
          </wp:anchor>
        </w:drawing>
      </w:r>
    </w:p>
    <w:p w14:paraId="7C2261A6" w14:textId="77777777" w:rsidR="00D969EB" w:rsidRDefault="007510DF">
      <w:pPr>
        <w:spacing w:after="0" w:line="360" w:lineRule="auto"/>
        <w:jc w:val="both"/>
        <w:rPr>
          <w:rFonts w:ascii="Times New Roman" w:hAnsi="Times New Roman" w:cs="Times New Roman"/>
          <w:color w:val="EE0000"/>
          <w:lang w:val="en-ZA"/>
        </w:rPr>
      </w:pPr>
      <w:r>
        <w:rPr>
          <w:rFonts w:ascii="Times New Roman" w:hAnsi="Times New Roman" w:cs="Times New Roman" w:hint="eastAsia"/>
          <w:lang w:val="en-ZA" w:eastAsia="ja-JP"/>
        </w:rPr>
        <w:lastRenderedPageBreak/>
        <w:t>F</w:t>
      </w:r>
      <w:r>
        <w:rPr>
          <w:rFonts w:ascii="Times New Roman" w:hAnsi="Times New Roman" w:cs="Times New Roman"/>
          <w:lang w:val="en-ZA" w:eastAsia="ja-JP"/>
        </w:rPr>
        <w:t xml:space="preserve">ig.2. </w:t>
      </w:r>
      <w:r w:rsidRPr="0056082A">
        <w:rPr>
          <w:rFonts w:ascii="Times New Roman" w:hAnsi="Times New Roman" w:cs="Times New Roman"/>
          <w:lang w:val="en-ZA"/>
        </w:rPr>
        <w:t xml:space="preserve">Total and soluble oxalate content after air and oven drying. (a) Total oxalate; (b) Soluble oxalate. </w:t>
      </w:r>
      <w:r>
        <w:rPr>
          <w:rFonts w:ascii="Times New Roman" w:hAnsi="Times New Roman" w:cs="Times New Roman"/>
          <w:i/>
          <w:color w:val="000000"/>
          <w:lang w:val="en-ZA"/>
        </w:rPr>
        <w:t xml:space="preserve">Hibiscus sabdariffa var sabdariffa (HSS); Hibiscus sabdariffa var altisima (HSA); Hibiscus acetosella red shied </w:t>
      </w:r>
      <w:r>
        <w:rPr>
          <w:rFonts w:ascii="Times New Roman" w:hAnsi="Times New Roman" w:cs="Times New Roman"/>
          <w:color w:val="000000"/>
          <w:lang w:val="en-ZA"/>
        </w:rPr>
        <w:t>(HARS)</w:t>
      </w:r>
      <w:r>
        <w:rPr>
          <w:rFonts w:ascii="Times New Roman" w:hAnsi="Times New Roman" w:cs="Times New Roman"/>
          <w:i/>
          <w:color w:val="000000"/>
          <w:lang w:val="en-ZA"/>
        </w:rPr>
        <w:t xml:space="preserve">; Hibiscus acetosella cranberry </w:t>
      </w:r>
      <w:r>
        <w:rPr>
          <w:rFonts w:ascii="Times New Roman" w:hAnsi="Times New Roman" w:cs="Times New Roman"/>
          <w:color w:val="000000"/>
          <w:lang w:val="en-ZA"/>
        </w:rPr>
        <w:t xml:space="preserve">(HAC) </w:t>
      </w:r>
      <w:r>
        <w:rPr>
          <w:rFonts w:ascii="Times New Roman" w:hAnsi="Times New Roman" w:cs="Times New Roman"/>
          <w:i/>
          <w:color w:val="000000"/>
          <w:lang w:val="en-ZA"/>
        </w:rPr>
        <w:t>and Hibiscus canabinus</w:t>
      </w:r>
      <w:r>
        <w:rPr>
          <w:rFonts w:ascii="Times New Roman" w:hAnsi="Times New Roman" w:cs="Times New Roman"/>
          <w:lang w:val="en-ZA"/>
        </w:rPr>
        <w:t xml:space="preserve"> (HC)</w:t>
      </w:r>
    </w:p>
    <w:p w14:paraId="4E091B55" w14:textId="77777777" w:rsidR="00D969EB" w:rsidRDefault="00D969EB">
      <w:pPr>
        <w:spacing w:after="0" w:line="360" w:lineRule="auto"/>
        <w:jc w:val="both"/>
        <w:rPr>
          <w:rFonts w:ascii="Times New Roman" w:hAnsi="Times New Roman" w:cs="Times New Roman"/>
          <w:sz w:val="24"/>
          <w:szCs w:val="24"/>
          <w:lang w:val="en-ZA"/>
        </w:rPr>
      </w:pPr>
    </w:p>
    <w:p w14:paraId="4E6A79CC" w14:textId="3444CBFB" w:rsidR="00D969EB" w:rsidRDefault="0012070F">
      <w:pPr>
        <w:spacing w:after="0"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The results revealed that Oven_HARS and Oven_HSA</w:t>
      </w:r>
      <w:r w:rsidR="00DA08E4">
        <w:rPr>
          <w:rFonts w:ascii="Times New Roman" w:hAnsi="Times New Roman" w:cs="Times New Roman"/>
          <w:sz w:val="24"/>
          <w:szCs w:val="24"/>
          <w:lang w:val="en-ZA"/>
        </w:rPr>
        <w:t xml:space="preserve"> had the highest TO, followed by Air_HARS and Air_HSA. There is no significant difference between Oven_HC and Air_HC. Oven_HAC and Air_HAC did not exhibit a significant difference. Oven_HSS had the lowest TO compare to Air_HSS. By analysing the SO, it appears that Oven_HC had the highest SO, followed respectively by Oven HSS, Oven_HSA, Oven_HAC, Air_HSA, Air_HARS, Air_HSS, and Oven_HARS. The lowest value </w:t>
      </w:r>
      <w:r w:rsidR="00847E32">
        <w:rPr>
          <w:rFonts w:ascii="Times New Roman" w:hAnsi="Times New Roman" w:cs="Times New Roman"/>
          <w:sz w:val="24"/>
          <w:szCs w:val="24"/>
          <w:lang w:val="en-ZA"/>
        </w:rPr>
        <w:t>was</w:t>
      </w:r>
      <w:r w:rsidR="00DA08E4">
        <w:rPr>
          <w:rFonts w:ascii="Times New Roman" w:hAnsi="Times New Roman" w:cs="Times New Roman"/>
          <w:sz w:val="24"/>
          <w:szCs w:val="24"/>
          <w:lang w:val="en-ZA"/>
        </w:rPr>
        <w:t xml:space="preserve"> recorded by Air_HC and Air_HAC. </w:t>
      </w:r>
      <w:r w:rsidR="00847E32">
        <w:rPr>
          <w:rFonts w:ascii="Times New Roman" w:hAnsi="Times New Roman" w:cs="Times New Roman"/>
          <w:sz w:val="24"/>
          <w:szCs w:val="24"/>
          <w:lang w:val="en-ZA"/>
        </w:rPr>
        <w:t xml:space="preserve"> These results</w:t>
      </w:r>
      <w:r w:rsidR="007510DF">
        <w:rPr>
          <w:rFonts w:ascii="Times New Roman" w:hAnsi="Times New Roman" w:cs="Times New Roman"/>
          <w:sz w:val="24"/>
          <w:szCs w:val="24"/>
          <w:lang w:val="en-ZA"/>
        </w:rPr>
        <w:t xml:space="preserve"> show that traditional drying contributes to </w:t>
      </w:r>
      <w:r w:rsidR="00847E32">
        <w:rPr>
          <w:rFonts w:ascii="Times New Roman" w:hAnsi="Times New Roman" w:cs="Times New Roman"/>
          <w:sz w:val="24"/>
          <w:szCs w:val="24"/>
          <w:lang w:val="en-ZA"/>
        </w:rPr>
        <w:t xml:space="preserve">reducing </w:t>
      </w:r>
      <w:r w:rsidR="007510DF">
        <w:rPr>
          <w:rFonts w:ascii="Times New Roman" w:hAnsi="Times New Roman" w:cs="Times New Roman"/>
          <w:sz w:val="24"/>
          <w:szCs w:val="24"/>
          <w:lang w:val="en-ZA"/>
        </w:rPr>
        <w:t xml:space="preserve">oxalate content. This involves drying in the sun or over a fire in </w:t>
      </w:r>
      <w:r w:rsidR="00847E32">
        <w:rPr>
          <w:rFonts w:ascii="Times New Roman" w:hAnsi="Times New Roman" w:cs="Times New Roman"/>
          <w:sz w:val="24"/>
          <w:szCs w:val="24"/>
          <w:lang w:val="en-ZA"/>
        </w:rPr>
        <w:t xml:space="preserve">the </w:t>
      </w:r>
      <w:r w:rsidR="007510DF">
        <w:rPr>
          <w:rFonts w:ascii="Times New Roman" w:hAnsi="Times New Roman" w:cs="Times New Roman"/>
          <w:sz w:val="24"/>
          <w:szCs w:val="24"/>
          <w:lang w:val="en-ZA"/>
        </w:rPr>
        <w:t xml:space="preserve">kitchen. Sun-drying results in a greater drop in oxalate than that observed in samples dried over a cooking fire. It is known that oxalate can undergo thermal decomposition accompanied by a loss of CO according to the following reaction. </w:t>
      </w:r>
    </w:p>
    <w:p w14:paraId="65CF72DB" w14:textId="77777777" w:rsidR="00D969EB" w:rsidRDefault="007510DF">
      <w:pPr>
        <w:spacing w:after="0" w:line="360" w:lineRule="auto"/>
        <w:jc w:val="center"/>
        <w:rPr>
          <w:rFonts w:ascii="Times New Roman" w:hAnsi="Times New Roman" w:cs="Times New Roman"/>
          <w:sz w:val="24"/>
          <w:szCs w:val="24"/>
          <w:lang w:val="en-ZA"/>
        </w:rPr>
      </w:pPr>
      <w:r>
        <w:object w:dxaOrig="3329" w:dyaOrig="587" w14:anchorId="5120CF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3pt;height:29.15pt" o:ole="">
            <v:imagedata r:id="rId11" o:title=""/>
          </v:shape>
          <o:OLEObject Type="Embed" ProgID="ChemDraw_x64.Document.6.0" ShapeID="_x0000_i1025" DrawAspect="Content" ObjectID="_1823770772" r:id="rId12"/>
        </w:object>
      </w:r>
    </w:p>
    <w:p w14:paraId="62761D0A" w14:textId="7F0509A5" w:rsidR="00D969EB" w:rsidRPr="00390576"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 xml:space="preserve">This loss of CO occurs at temperatures above 200°C. In addition, oxalate undergoes photochemical decomposition in the presence of nitrate ions, </w:t>
      </w:r>
      <w:r w:rsidRPr="00390576">
        <w:rPr>
          <w:rFonts w:ascii="Times New Roman" w:hAnsi="Times New Roman" w:cs="Times New Roman"/>
          <w:sz w:val="24"/>
          <w:szCs w:val="24"/>
          <w:lang w:val="en-ZA"/>
        </w:rPr>
        <w:t xml:space="preserve">which also undergo photochemical decomposition according to the following mechanism </w:t>
      </w:r>
      <w:r w:rsidRPr="00390576">
        <w:rPr>
          <w:rFonts w:ascii="Times New Roman" w:hAnsi="Times New Roman" w:cs="Times New Roman"/>
          <w:b/>
          <w:bCs/>
          <w:sz w:val="24"/>
          <w:szCs w:val="24"/>
          <w:lang w:val="en-ZA"/>
        </w:rPr>
        <w:t>[1</w:t>
      </w:r>
      <w:r w:rsidR="002A7B37">
        <w:rPr>
          <w:rFonts w:ascii="Times New Roman" w:hAnsi="Times New Roman" w:cs="Times New Roman"/>
          <w:b/>
          <w:bCs/>
          <w:sz w:val="24"/>
          <w:szCs w:val="24"/>
          <w:lang w:val="en-ZA"/>
        </w:rPr>
        <w:t>4</w:t>
      </w:r>
      <w:r w:rsidRPr="00390576">
        <w:rPr>
          <w:rFonts w:ascii="Times New Roman" w:hAnsi="Times New Roman" w:cs="Times New Roman"/>
          <w:b/>
          <w:bCs/>
          <w:sz w:val="24"/>
          <w:szCs w:val="24"/>
          <w:lang w:val="en-ZA"/>
        </w:rPr>
        <w:t>]</w:t>
      </w:r>
      <w:r w:rsidRPr="00390576">
        <w:rPr>
          <w:rFonts w:ascii="Times New Roman" w:hAnsi="Times New Roman" w:cs="Times New Roman"/>
          <w:sz w:val="24"/>
          <w:szCs w:val="24"/>
          <w:lang w:val="en-ZA"/>
        </w:rPr>
        <w:t>.</w:t>
      </w:r>
    </w:p>
    <w:p w14:paraId="6844EE88" w14:textId="77777777" w:rsidR="00D969EB" w:rsidRDefault="007510DF">
      <w:pPr>
        <w:spacing w:after="0" w:line="360" w:lineRule="auto"/>
        <w:jc w:val="both"/>
        <w:rPr>
          <w:rFonts w:ascii="Times New Roman" w:hAnsi="Times New Roman" w:cs="Times New Roman"/>
          <w:sz w:val="24"/>
          <w:szCs w:val="24"/>
          <w:vertAlign w:val="subscript"/>
          <w:lang w:val="en-ZA"/>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72C07D80" wp14:editId="5D9B795B">
                <wp:simplePos x="0" y="0"/>
                <wp:positionH relativeFrom="column">
                  <wp:posOffset>695960</wp:posOffset>
                </wp:positionH>
                <wp:positionV relativeFrom="paragraph">
                  <wp:posOffset>109855</wp:posOffset>
                </wp:positionV>
                <wp:extent cx="387985" cy="8890"/>
                <wp:effectExtent l="0" t="76200" r="12065" b="106045"/>
                <wp:wrapNone/>
                <wp:docPr id="2" name="Connecteur droit avec flèche 2"/>
                <wp:cNvGraphicFramePr/>
                <a:graphic xmlns:a="http://schemas.openxmlformats.org/drawingml/2006/main">
                  <a:graphicData uri="http://schemas.microsoft.com/office/word/2010/wordprocessingShape">
                    <wps:wsp>
                      <wps:cNvCnPr/>
                      <wps:spPr>
                        <a:xfrm flipV="1">
                          <a:off x="0" y="0"/>
                          <a:ext cx="388188" cy="862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1552474" id="_x0000_t32" coordsize="21600,21600" o:spt="32" o:oned="t" path="m,l21600,21600e" filled="f">
                <v:path arrowok="t" fillok="f" o:connecttype="none"/>
                <o:lock v:ext="edit" shapetype="t"/>
              </v:shapetype>
              <v:shape id="Connecteur droit avec flèche 2" o:spid="_x0000_s1026" type="#_x0000_t32" style="position:absolute;margin-left:54.8pt;margin-top:8.65pt;width:30.55pt;height:.7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" strokecolor="#4579b8 [3044]">
                <v:stroke endarrow="open"/>
              </v:shape>
            </w:pict>
          </mc:Fallback>
        </mc:AlternateContent>
      </w:r>
      <m:oMath>
        <m:sSubSup>
          <m:sSubSupPr>
            <m:ctrlPr>
              <w:rPr>
                <w:rFonts w:ascii="Cambria Math" w:hAnsi="Cambria Math" w:cs="Times New Roman"/>
                <w:i/>
                <w:sz w:val="24"/>
                <w:szCs w:val="24"/>
                <w:lang w:val="en-ZA"/>
              </w:rPr>
            </m:ctrlPr>
          </m:sSubSupPr>
          <m:e>
            <m:r>
              <w:rPr>
                <w:rFonts w:ascii="Cambria Math" w:hAnsi="Cambria Math" w:cs="Times New Roman"/>
                <w:sz w:val="24"/>
                <w:szCs w:val="24"/>
                <w:lang w:val="en-ZA"/>
              </w:rPr>
              <m:t>NO</m:t>
            </m:r>
          </m:e>
          <m:sub>
            <m:r>
              <w:rPr>
                <w:rFonts w:ascii="Cambria Math" w:hAnsi="Cambria Math" w:cs="Times New Roman"/>
                <w:sz w:val="24"/>
                <w:szCs w:val="24"/>
                <w:lang w:val="en-ZA"/>
              </w:rPr>
              <m:t>3</m:t>
            </m:r>
          </m:sub>
          <m:sup>
            <m:r>
              <w:rPr>
                <w:rFonts w:ascii="Cambria Math" w:hAnsi="Cambria Math" w:cs="Times New Roman"/>
                <w:sz w:val="24"/>
                <w:szCs w:val="24"/>
                <w:lang w:val="en-ZA"/>
              </w:rPr>
              <m:t>-</m:t>
            </m:r>
          </m:sup>
        </m:sSubSup>
      </m:oMath>
      <w:r>
        <w:rPr>
          <w:rFonts w:ascii="Times New Roman" w:hAnsi="Times New Roman" w:cs="Times New Roman"/>
          <w:sz w:val="24"/>
          <w:szCs w:val="24"/>
          <w:lang w:val="en-ZA"/>
        </w:rPr>
        <w:t xml:space="preserve">+ hυ               </w:t>
      </w:r>
      <m:oMath>
        <m:sSubSup>
          <m:sSubSupPr>
            <m:ctrlPr>
              <w:rPr>
                <w:rFonts w:ascii="Cambria Math" w:hAnsi="Cambria Math" w:cs="Times New Roman"/>
                <w:i/>
                <w:sz w:val="24"/>
                <w:szCs w:val="24"/>
                <w:lang w:val="en-ZA"/>
              </w:rPr>
            </m:ctrlPr>
          </m:sSubSupPr>
          <m:e>
            <m:r>
              <w:rPr>
                <w:rFonts w:ascii="Cambria Math" w:hAnsi="Cambria Math" w:cs="Times New Roman"/>
                <w:sz w:val="24"/>
                <w:szCs w:val="24"/>
                <w:lang w:val="en-ZA"/>
              </w:rPr>
              <m:t>NO</m:t>
            </m:r>
          </m:e>
          <m:sub>
            <m:r>
              <w:rPr>
                <w:rFonts w:ascii="Cambria Math" w:hAnsi="Cambria Math" w:cs="Times New Roman"/>
                <w:sz w:val="24"/>
                <w:szCs w:val="24"/>
                <w:lang w:val="en-ZA"/>
              </w:rPr>
              <m:t>2</m:t>
            </m:r>
          </m:sub>
          <m:sup>
            <m:r>
              <w:rPr>
                <w:rFonts w:ascii="Cambria Math" w:hAnsi="Cambria Math" w:cs="Times New Roman"/>
                <w:sz w:val="24"/>
                <w:szCs w:val="24"/>
                <w:lang w:val="en-ZA"/>
              </w:rPr>
              <m:t>-</m:t>
            </m:r>
          </m:sup>
        </m:sSubSup>
      </m:oMath>
      <w:r>
        <w:rPr>
          <w:rFonts w:ascii="Times New Roman" w:hAnsi="Times New Roman" w:cs="Times New Roman"/>
          <w:sz w:val="24"/>
          <w:szCs w:val="24"/>
          <w:lang w:val="en-ZA"/>
        </w:rPr>
        <w:t xml:space="preserve"> + ½O</w:t>
      </w:r>
      <w:r>
        <w:rPr>
          <w:rFonts w:ascii="Times New Roman" w:hAnsi="Times New Roman" w:cs="Times New Roman"/>
          <w:sz w:val="24"/>
          <w:szCs w:val="24"/>
          <w:vertAlign w:val="subscript"/>
          <w:lang w:val="en-ZA"/>
        </w:rPr>
        <w:t>2</w:t>
      </w:r>
    </w:p>
    <w:p w14:paraId="377FD8CF" w14:textId="77777777" w:rsidR="00D969EB" w:rsidRDefault="007510DF">
      <w:pPr>
        <w:spacing w:after="0" w:line="360" w:lineRule="auto"/>
        <w:jc w:val="both"/>
        <w:rPr>
          <w:rFonts w:ascii="Times New Roman" w:hAnsi="Times New Roman" w:cs="Times New Roman"/>
          <w:sz w:val="24"/>
          <w:szCs w:val="24"/>
          <w:vertAlign w:val="subscript"/>
          <w:lang w:val="en-ZA"/>
        </w:rPr>
      </w:pP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308B7A97" wp14:editId="71EAC739">
                <wp:simplePos x="0" y="0"/>
                <wp:positionH relativeFrom="column">
                  <wp:posOffset>1083945</wp:posOffset>
                </wp:positionH>
                <wp:positionV relativeFrom="paragraph">
                  <wp:posOffset>109855</wp:posOffset>
                </wp:positionV>
                <wp:extent cx="388620" cy="0"/>
                <wp:effectExtent l="0" t="76200" r="12065" b="114300"/>
                <wp:wrapNone/>
                <wp:docPr id="3" name="Connecteur droit avec flèche 3"/>
                <wp:cNvGraphicFramePr/>
                <a:graphic xmlns:a="http://schemas.openxmlformats.org/drawingml/2006/main">
                  <a:graphicData uri="http://schemas.microsoft.com/office/word/2010/wordprocessingShape">
                    <wps:wsp>
                      <wps:cNvCnPr/>
                      <wps:spPr>
                        <a:xfrm>
                          <a:off x="0" y="0"/>
                          <a:ext cx="388392"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588BF0" id="Connecteur droit avec flèche 3" o:spid="_x0000_s1026" type="#_x0000_t32" style="position:absolute;margin-left:85.35pt;margin-top:8.65pt;width:30.6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" strokecolor="#4579b8 [3044]">
                <v:stroke endarrow="open"/>
              </v:shape>
            </w:pict>
          </mc:Fallback>
        </mc:AlternateContent>
      </w:r>
      <w:r>
        <w:rPr>
          <w:rFonts w:ascii="Times New Roman" w:hAnsi="Times New Roman" w:cs="Times New Roman"/>
          <w:sz w:val="24"/>
          <w:szCs w:val="24"/>
          <w:lang w:val="en-ZA"/>
        </w:rPr>
        <w:t>H</w:t>
      </w:r>
      <w:r>
        <w:rPr>
          <w:rFonts w:ascii="Times New Roman" w:hAnsi="Times New Roman" w:cs="Times New Roman"/>
          <w:sz w:val="24"/>
          <w:szCs w:val="24"/>
          <w:vertAlign w:val="subscript"/>
          <w:lang w:val="en-ZA"/>
        </w:rPr>
        <w:t>2</w:t>
      </w:r>
      <w:r>
        <w:rPr>
          <w:rFonts w:ascii="Times New Roman" w:hAnsi="Times New Roman" w:cs="Times New Roman"/>
          <w:sz w:val="24"/>
          <w:szCs w:val="24"/>
          <w:lang w:val="en-ZA"/>
        </w:rPr>
        <w:t>C</w:t>
      </w:r>
      <w:r>
        <w:rPr>
          <w:rFonts w:ascii="Times New Roman" w:hAnsi="Times New Roman" w:cs="Times New Roman"/>
          <w:sz w:val="24"/>
          <w:szCs w:val="24"/>
          <w:vertAlign w:val="subscript"/>
          <w:lang w:val="en-ZA"/>
        </w:rPr>
        <w:t>2</w:t>
      </w:r>
      <w:r>
        <w:rPr>
          <w:rFonts w:ascii="Times New Roman" w:hAnsi="Times New Roman" w:cs="Times New Roman"/>
          <w:sz w:val="24"/>
          <w:szCs w:val="24"/>
          <w:lang w:val="en-ZA"/>
        </w:rPr>
        <w:t>O</w:t>
      </w:r>
      <w:r>
        <w:rPr>
          <w:rFonts w:ascii="Times New Roman" w:hAnsi="Times New Roman" w:cs="Times New Roman"/>
          <w:sz w:val="24"/>
          <w:szCs w:val="24"/>
          <w:vertAlign w:val="subscript"/>
          <w:lang w:val="en-ZA"/>
        </w:rPr>
        <w:t>4</w:t>
      </w:r>
      <w:r>
        <w:rPr>
          <w:rFonts w:ascii="Times New Roman" w:hAnsi="Times New Roman" w:cs="Times New Roman"/>
          <w:sz w:val="24"/>
          <w:szCs w:val="24"/>
          <w:lang w:val="en-ZA"/>
        </w:rPr>
        <w:t xml:space="preserve"> + 2</w:t>
      </w:r>
      <m:oMath>
        <m:sSubSup>
          <m:sSubSupPr>
            <m:ctrlPr>
              <w:rPr>
                <w:rFonts w:ascii="Cambria Math" w:hAnsi="Cambria Math" w:cs="Times New Roman"/>
                <w:i/>
                <w:sz w:val="24"/>
                <w:szCs w:val="24"/>
                <w:lang w:val="en-ZA"/>
              </w:rPr>
            </m:ctrlPr>
          </m:sSubSupPr>
          <m:e>
            <m:r>
              <w:rPr>
                <w:rFonts w:ascii="Cambria Math" w:hAnsi="Cambria Math" w:cs="Times New Roman"/>
                <w:sz w:val="24"/>
                <w:szCs w:val="24"/>
                <w:lang w:val="en-ZA"/>
              </w:rPr>
              <m:t>NO</m:t>
            </m:r>
          </m:e>
          <m:sub>
            <m:r>
              <w:rPr>
                <w:rFonts w:ascii="Cambria Math" w:hAnsi="Cambria Math" w:cs="Times New Roman"/>
                <w:sz w:val="24"/>
                <w:szCs w:val="24"/>
                <w:lang w:val="en-ZA"/>
              </w:rPr>
              <m:t>2</m:t>
            </m:r>
          </m:sub>
          <m:sup>
            <m:r>
              <w:rPr>
                <w:rFonts w:ascii="Cambria Math" w:hAnsi="Cambria Math" w:cs="Times New Roman"/>
                <w:sz w:val="24"/>
                <w:szCs w:val="24"/>
                <w:lang w:val="en-ZA"/>
              </w:rPr>
              <m:t>-</m:t>
            </m:r>
          </m:sup>
        </m:sSubSup>
      </m:oMath>
      <w:r>
        <w:rPr>
          <w:rFonts w:ascii="Times New Roman" w:hAnsi="Times New Roman" w:cs="Times New Roman"/>
          <w:sz w:val="24"/>
          <w:szCs w:val="24"/>
          <w:lang w:val="en-ZA"/>
        </w:rPr>
        <w:t xml:space="preserve">             2NO + 2CO</w:t>
      </w:r>
      <w:r>
        <w:rPr>
          <w:rFonts w:ascii="Times New Roman" w:hAnsi="Times New Roman" w:cs="Times New Roman"/>
          <w:sz w:val="24"/>
          <w:szCs w:val="24"/>
          <w:vertAlign w:val="subscript"/>
          <w:lang w:val="en-ZA"/>
        </w:rPr>
        <w:t>2</w:t>
      </w:r>
    </w:p>
    <w:p w14:paraId="3EAD4B46" w14:textId="5AF6FE30" w:rsidR="00D969EB"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Drying in full sunlight, while not reaching oxalate decomposition temperatures, exposes hibiscus leaves to the sun's UV rays. This could explain the more pronounced oxalate decomposition in sun-dried leaves than in oven-dried ones</w:t>
      </w:r>
      <w:r w:rsidR="00847E32">
        <w:rPr>
          <w:rFonts w:ascii="Times New Roman" w:hAnsi="Times New Roman" w:cs="Times New Roman"/>
          <w:sz w:val="24"/>
          <w:szCs w:val="24"/>
          <w:lang w:val="en-ZA"/>
        </w:rPr>
        <w:t>,</w:t>
      </w:r>
      <w:r>
        <w:rPr>
          <w:rFonts w:ascii="Times New Roman" w:hAnsi="Times New Roman" w:cs="Times New Roman"/>
          <w:sz w:val="24"/>
          <w:szCs w:val="24"/>
          <w:lang w:val="en-ZA"/>
        </w:rPr>
        <w:t xml:space="preserve"> as the nitrates are surely present in hibiscus leaves. This traditional method of drying </w:t>
      </w:r>
      <w:r w:rsidR="00847E32">
        <w:rPr>
          <w:rFonts w:ascii="Times New Roman" w:hAnsi="Times New Roman" w:cs="Times New Roman"/>
          <w:sz w:val="24"/>
          <w:szCs w:val="24"/>
          <w:lang w:val="en-ZA"/>
        </w:rPr>
        <w:t>allows for a reduction of</w:t>
      </w:r>
      <w:r>
        <w:rPr>
          <w:rFonts w:ascii="Times New Roman" w:hAnsi="Times New Roman" w:cs="Times New Roman"/>
          <w:sz w:val="24"/>
          <w:szCs w:val="24"/>
          <w:lang w:val="en-ZA"/>
        </w:rPr>
        <w:t xml:space="preserve"> the TO </w:t>
      </w:r>
      <w:r w:rsidR="00847E32">
        <w:rPr>
          <w:rFonts w:ascii="Times New Roman" w:hAnsi="Times New Roman" w:cs="Times New Roman"/>
          <w:sz w:val="24"/>
          <w:szCs w:val="24"/>
          <w:lang w:val="en-ZA"/>
        </w:rPr>
        <w:t xml:space="preserve">from </w:t>
      </w:r>
      <w:r>
        <w:rPr>
          <w:rFonts w:ascii="Times New Roman" w:hAnsi="Times New Roman" w:cs="Times New Roman"/>
          <w:sz w:val="24"/>
          <w:szCs w:val="24"/>
          <w:lang w:val="en-ZA"/>
        </w:rPr>
        <w:t>3 to 29% and SO from 56 to 87%</w:t>
      </w:r>
    </w:p>
    <w:p w14:paraId="192DA09D" w14:textId="77777777" w:rsidR="00D969EB" w:rsidRDefault="00D969EB">
      <w:pPr>
        <w:spacing w:after="0" w:line="360" w:lineRule="auto"/>
        <w:jc w:val="both"/>
        <w:rPr>
          <w:rFonts w:ascii="Times New Roman" w:hAnsi="Times New Roman" w:cs="Times New Roman"/>
          <w:sz w:val="24"/>
          <w:szCs w:val="24"/>
          <w:lang w:val="en-ZA"/>
        </w:rPr>
      </w:pPr>
    </w:p>
    <w:p w14:paraId="0AB8A73D" w14:textId="3134A35D" w:rsidR="00847E32" w:rsidRPr="00D36719" w:rsidRDefault="00847E32">
      <w:pPr>
        <w:spacing w:after="0" w:line="360" w:lineRule="auto"/>
        <w:jc w:val="both"/>
        <w:rPr>
          <w:rFonts w:ascii="Times New Roman" w:hAnsi="Times New Roman" w:cs="Times New Roman"/>
          <w:b/>
          <w:bCs/>
          <w:i/>
          <w:iCs/>
          <w:sz w:val="24"/>
          <w:szCs w:val="24"/>
          <w:lang w:val="en-ZA"/>
        </w:rPr>
      </w:pPr>
      <w:r w:rsidRPr="00D36719">
        <w:rPr>
          <w:rFonts w:ascii="Times New Roman" w:hAnsi="Times New Roman" w:cs="Times New Roman"/>
          <w:b/>
          <w:bCs/>
          <w:i/>
          <w:iCs/>
          <w:sz w:val="24"/>
          <w:szCs w:val="24"/>
          <w:lang w:val="en-ZA"/>
        </w:rPr>
        <w:t xml:space="preserve">3.3. Artisanal potash treatment </w:t>
      </w:r>
      <w:r w:rsidR="000930FE">
        <w:rPr>
          <w:rFonts w:ascii="Times New Roman" w:hAnsi="Times New Roman" w:cs="Times New Roman"/>
          <w:b/>
          <w:bCs/>
          <w:i/>
          <w:iCs/>
          <w:sz w:val="24"/>
          <w:szCs w:val="24"/>
          <w:lang w:val="en-ZA"/>
        </w:rPr>
        <w:t>with</w:t>
      </w:r>
      <w:r w:rsidRPr="00D36719">
        <w:rPr>
          <w:rFonts w:ascii="Times New Roman" w:hAnsi="Times New Roman" w:cs="Times New Roman"/>
          <w:b/>
          <w:bCs/>
          <w:i/>
          <w:iCs/>
          <w:sz w:val="24"/>
          <w:szCs w:val="24"/>
          <w:lang w:val="en-ZA"/>
        </w:rPr>
        <w:t xml:space="preserve"> Hibiscus sample affected TO and SO content</w:t>
      </w:r>
    </w:p>
    <w:p w14:paraId="067754E5" w14:textId="35C30D28" w:rsidR="00D969EB" w:rsidRDefault="007510DF">
      <w:pPr>
        <w:spacing w:after="0" w:line="360" w:lineRule="auto"/>
        <w:jc w:val="both"/>
        <w:rPr>
          <w:rFonts w:ascii="Times New Roman" w:hAnsi="Times New Roman" w:cs="Times New Roman"/>
          <w:sz w:val="24"/>
          <w:szCs w:val="24"/>
          <w:lang w:val="en-ZA"/>
        </w:rPr>
      </w:pPr>
      <w:r>
        <w:rPr>
          <w:rFonts w:ascii="Times New Roman" w:hAnsi="Times New Roman" w:cs="Times New Roman"/>
          <w:noProof/>
          <w:sz w:val="24"/>
          <w:szCs w:val="24"/>
          <w:lang w:val="en-US"/>
        </w:rPr>
        <w:lastRenderedPageBreak/>
        <w:drawing>
          <wp:anchor distT="0" distB="0" distL="114300" distR="114300" simplePos="0" relativeHeight="251664384" behindDoc="0" locked="0" layoutInCell="1" allowOverlap="1" wp14:anchorId="56E9C3C7" wp14:editId="61087CB0">
            <wp:simplePos x="0" y="0"/>
            <wp:positionH relativeFrom="column">
              <wp:posOffset>-313690</wp:posOffset>
            </wp:positionH>
            <wp:positionV relativeFrom="paragraph">
              <wp:posOffset>1224915</wp:posOffset>
            </wp:positionV>
            <wp:extent cx="6075045" cy="3133725"/>
            <wp:effectExtent l="0" t="0" r="1905" b="0"/>
            <wp:wrapSquare wrapText="bothSides"/>
            <wp:docPr id="207709633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09633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6075045" cy="3133725"/>
                    </a:xfrm>
                    <a:prstGeom prst="rect">
                      <a:avLst/>
                    </a:prstGeom>
                    <a:noFill/>
                    <a:ln>
                      <a:noFill/>
                    </a:ln>
                  </pic:spPr>
                </pic:pic>
              </a:graphicData>
            </a:graphic>
          </wp:anchor>
        </w:drawing>
      </w:r>
      <w:r>
        <w:rPr>
          <w:rFonts w:ascii="Times New Roman" w:hAnsi="Times New Roman" w:cs="Times New Roman"/>
          <w:sz w:val="24"/>
          <w:szCs w:val="24"/>
          <w:lang w:val="en-ZA"/>
        </w:rPr>
        <w:t xml:space="preserve">One cooking technique involves the use of potash (ash from the male inflorescence of palm called KOMPOS in a local language) as a condiment to reduce the acidic taste of the sorrel and ensure its rapid softening. </w:t>
      </w:r>
      <w:r w:rsidR="00847E32">
        <w:rPr>
          <w:rFonts w:ascii="Times New Roman" w:hAnsi="Times New Roman" w:cs="Times New Roman"/>
          <w:sz w:val="24"/>
          <w:szCs w:val="24"/>
          <w:lang w:val="en-ZA"/>
        </w:rPr>
        <w:t>Fig.3</w:t>
      </w:r>
      <w:r>
        <w:rPr>
          <w:rFonts w:ascii="Times New Roman" w:hAnsi="Times New Roman" w:cs="Times New Roman"/>
          <w:sz w:val="24"/>
          <w:szCs w:val="24"/>
          <w:lang w:val="en-ZA"/>
        </w:rPr>
        <w:t xml:space="preserve"> shows the obtained results for all studied species of </w:t>
      </w:r>
      <w:r>
        <w:rPr>
          <w:rFonts w:ascii="Times New Roman" w:hAnsi="Times New Roman" w:cs="Times New Roman"/>
          <w:i/>
          <w:sz w:val="24"/>
          <w:szCs w:val="24"/>
          <w:lang w:val="en-ZA"/>
        </w:rPr>
        <w:t>Hibiscus</w:t>
      </w:r>
    </w:p>
    <w:p w14:paraId="2B008EF6" w14:textId="03377CCE" w:rsidR="00D969EB" w:rsidRDefault="007510DF">
      <w:pPr>
        <w:spacing w:line="360" w:lineRule="auto"/>
        <w:jc w:val="both"/>
        <w:rPr>
          <w:rFonts w:ascii="Times New Roman" w:hAnsi="Times New Roman" w:cs="Times New Roman"/>
          <w:lang w:val="en-ZA"/>
        </w:rPr>
      </w:pPr>
      <w:r>
        <w:rPr>
          <w:rFonts w:ascii="Times New Roman" w:hAnsi="Times New Roman" w:cs="Times New Roman" w:hint="eastAsia"/>
          <w:lang w:val="en-ZA" w:eastAsia="ja-JP"/>
        </w:rPr>
        <w:t>Fig.</w:t>
      </w:r>
      <w:r>
        <w:rPr>
          <w:rFonts w:ascii="Times New Roman" w:hAnsi="Times New Roman" w:cs="Times New Roman"/>
          <w:lang w:val="en-ZA"/>
        </w:rPr>
        <w:t xml:space="preserve">3. Oxalate content of samples (in mg/100g dry weight) before and after treatment with artisanal </w:t>
      </w:r>
      <w:r w:rsidRPr="0056082A">
        <w:rPr>
          <w:rFonts w:ascii="Times New Roman" w:hAnsi="Times New Roman" w:cs="Times New Roman"/>
          <w:lang w:val="en-ZA"/>
        </w:rPr>
        <w:t xml:space="preserve">potash. (a) Total oxalate; (b) Soluble oxalate. </w:t>
      </w:r>
      <w:r>
        <w:rPr>
          <w:rFonts w:ascii="Times New Roman" w:hAnsi="Times New Roman" w:cs="Times New Roman"/>
          <w:i/>
          <w:color w:val="000000"/>
          <w:lang w:val="en-ZA"/>
        </w:rPr>
        <w:t xml:space="preserve">Hibiscus sabdariffa var sabdariffa (HSS); Hibiscus sabdariffa var altisima (HSA); Hibiscus acetosella red shied </w:t>
      </w:r>
      <w:r>
        <w:rPr>
          <w:rFonts w:ascii="Times New Roman" w:hAnsi="Times New Roman" w:cs="Times New Roman"/>
          <w:color w:val="000000"/>
          <w:lang w:val="en-ZA"/>
        </w:rPr>
        <w:t>(HARS)</w:t>
      </w:r>
      <w:r>
        <w:rPr>
          <w:rFonts w:ascii="Times New Roman" w:hAnsi="Times New Roman" w:cs="Times New Roman"/>
          <w:i/>
          <w:color w:val="000000"/>
          <w:lang w:val="en-ZA"/>
        </w:rPr>
        <w:t xml:space="preserve">; Hibiscus acetosella cranberry </w:t>
      </w:r>
      <w:r>
        <w:rPr>
          <w:rFonts w:ascii="Times New Roman" w:hAnsi="Times New Roman" w:cs="Times New Roman"/>
          <w:color w:val="000000"/>
          <w:lang w:val="en-ZA"/>
        </w:rPr>
        <w:t>(HAC)</w:t>
      </w:r>
      <w:r w:rsidR="002C5A0D">
        <w:rPr>
          <w:rFonts w:ascii="Times New Roman" w:hAnsi="Times New Roman" w:cs="Times New Roman"/>
          <w:color w:val="000000"/>
          <w:lang w:val="en-ZA"/>
        </w:rPr>
        <w:t>,</w:t>
      </w:r>
      <w:r>
        <w:rPr>
          <w:rFonts w:ascii="Times New Roman" w:hAnsi="Times New Roman" w:cs="Times New Roman"/>
          <w:color w:val="000000"/>
          <w:lang w:val="en-ZA"/>
        </w:rPr>
        <w:t xml:space="preserve"> </w:t>
      </w:r>
      <w:r w:rsidRPr="00B128A9">
        <w:rPr>
          <w:rFonts w:ascii="Times New Roman" w:hAnsi="Times New Roman" w:cs="Times New Roman"/>
          <w:iCs/>
          <w:color w:val="000000"/>
          <w:lang w:val="en-ZA"/>
        </w:rPr>
        <w:t xml:space="preserve">and </w:t>
      </w:r>
      <w:r>
        <w:rPr>
          <w:rFonts w:ascii="Times New Roman" w:hAnsi="Times New Roman" w:cs="Times New Roman"/>
          <w:i/>
          <w:color w:val="000000"/>
          <w:lang w:val="en-ZA"/>
        </w:rPr>
        <w:t>Hibiscus canabinus</w:t>
      </w:r>
      <w:r>
        <w:rPr>
          <w:rFonts w:ascii="Times New Roman" w:hAnsi="Times New Roman" w:cs="Times New Roman"/>
          <w:lang w:val="en-ZA"/>
        </w:rPr>
        <w:t xml:space="preserve"> (HC)</w:t>
      </w:r>
    </w:p>
    <w:p w14:paraId="6C28836C" w14:textId="1CBF3618" w:rsidR="0090025B" w:rsidRPr="0090025B" w:rsidRDefault="0090025B" w:rsidP="0090025B">
      <w:pPr>
        <w:spacing w:line="360" w:lineRule="auto"/>
        <w:jc w:val="both"/>
        <w:rPr>
          <w:rFonts w:ascii="Times New Roman" w:hAnsi="Times New Roman" w:cs="Times New Roman"/>
          <w:sz w:val="24"/>
          <w:szCs w:val="24"/>
          <w:lang w:val="en-ZA"/>
        </w:rPr>
      </w:pPr>
      <w:r w:rsidRPr="0090025B">
        <w:rPr>
          <w:rFonts w:ascii="Times New Roman" w:hAnsi="Times New Roman" w:cs="Times New Roman"/>
          <w:sz w:val="24"/>
          <w:szCs w:val="24"/>
          <w:lang w:val="en-ZA"/>
        </w:rPr>
        <w:t>The results indicate that treatment with indigenous potassium bicarbonate leads to a pronounced reduction in total oxalates (TO), accompanied by a marked increase in soluble oxalates (SO). Although potash addition did not significantly affect TO within individual samples, it did produce notable differences across sample types. The highest TO levels were observed in No-potash_HC and Potash_HC, followed by No-potash_HSS, Potash_HSS, No-potash_HARS, and Potash_HARS. Moderate TO levels were recorded for No-potash_HSA, No-potash_HAC, and Potash_HAC, while Potash_HSA exhibited the lowest TO content.</w:t>
      </w:r>
    </w:p>
    <w:p w14:paraId="4F794EEE" w14:textId="1E5AF5EC" w:rsidR="00D969EB" w:rsidRDefault="0090025B" w:rsidP="0090025B">
      <w:pPr>
        <w:spacing w:line="360" w:lineRule="auto"/>
        <w:jc w:val="both"/>
        <w:rPr>
          <w:rFonts w:ascii="Times New Roman" w:hAnsi="Times New Roman" w:cs="Times New Roman"/>
          <w:sz w:val="24"/>
          <w:szCs w:val="24"/>
          <w:lang w:val="en-ZA"/>
        </w:rPr>
      </w:pPr>
      <w:r w:rsidRPr="0090025B">
        <w:rPr>
          <w:rFonts w:ascii="Times New Roman" w:hAnsi="Times New Roman" w:cs="Times New Roman"/>
          <w:sz w:val="24"/>
          <w:szCs w:val="24"/>
          <w:lang w:val="en-ZA"/>
        </w:rPr>
        <w:t xml:space="preserve">In terms of soluble oxalates, potash addition significantly influenced SO both within and across species. Potash_HSS and Potash_HC showed the highest SO levels, followed by Potash_HARS. No significant differences were observed among No-potash_HSA, Potash_HSA, and Potash_HAC. These findings can be attributed to the alkaline conditions induced by potash, under which calcium oxalate reacts with bicarbonate ions to form soluble </w:t>
      </w:r>
      <w:r w:rsidRPr="0090025B">
        <w:rPr>
          <w:rFonts w:ascii="Times New Roman" w:hAnsi="Times New Roman" w:cs="Times New Roman"/>
          <w:sz w:val="24"/>
          <w:szCs w:val="24"/>
          <w:lang w:val="en-ZA"/>
        </w:rPr>
        <w:lastRenderedPageBreak/>
        <w:t>calcium complexes. The mechanism involves the dissolution of oxalate and subsequent complexation, as illustrated in the following steps:</w:t>
      </w:r>
    </w:p>
    <w:p w14:paraId="7BD5D8F3" w14:textId="77777777" w:rsidR="00D969EB" w:rsidRDefault="007510DF">
      <w:pPr>
        <w:spacing w:after="0" w:line="360" w:lineRule="auto"/>
        <w:jc w:val="both"/>
      </w:pPr>
      <w:r>
        <w:object w:dxaOrig="5503" w:dyaOrig="2210" w14:anchorId="1DA44C26">
          <v:shape id="_x0000_i1026" type="#_x0000_t75" style="width:275.15pt;height:110.55pt" o:ole="">
            <v:imagedata r:id="rId14" o:title=""/>
          </v:shape>
          <o:OLEObject Type="Embed" ProgID="ChemDraw_x64.Document.6.0" ShapeID="_x0000_i1026" DrawAspect="Content" ObjectID="_1823770773" r:id="rId15"/>
        </w:object>
      </w:r>
    </w:p>
    <w:p w14:paraId="55F0CFF9" w14:textId="77777777" w:rsidR="00D969EB" w:rsidRDefault="007510DF">
      <w:p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The global reaction is</w:t>
      </w:r>
    </w:p>
    <w:p w14:paraId="12675A4D" w14:textId="77777777" w:rsidR="00D969EB" w:rsidRDefault="007510DF">
      <w:pPr>
        <w:spacing w:after="0" w:line="360" w:lineRule="auto"/>
        <w:jc w:val="both"/>
      </w:pPr>
      <w:r>
        <w:object w:dxaOrig="8796" w:dyaOrig="449" w14:anchorId="430A09F9">
          <v:shape id="_x0000_i1027" type="#_x0000_t75" style="width:439.7pt;height:22.3pt" o:ole="">
            <v:imagedata r:id="rId16" o:title=""/>
          </v:shape>
          <o:OLEObject Type="Embed" ProgID="ChemDraw_x64.Document.6.0" ShapeID="_x0000_i1027" DrawAspect="Content" ObjectID="_1823770774" r:id="rId17"/>
        </w:object>
      </w:r>
    </w:p>
    <w:p w14:paraId="75915DEB" w14:textId="3BF0551F" w:rsidR="00D969EB" w:rsidRDefault="00686202" w:rsidP="00686202">
      <w:pPr>
        <w:spacing w:after="0" w:line="360" w:lineRule="auto"/>
        <w:jc w:val="both"/>
        <w:rPr>
          <w:lang w:val="en-ZA"/>
        </w:rPr>
      </w:pPr>
      <w:r w:rsidRPr="00686202">
        <w:rPr>
          <w:rFonts w:ascii="Times New Roman" w:hAnsi="Times New Roman" w:cs="Times New Roman"/>
          <w:sz w:val="24"/>
          <w:szCs w:val="24"/>
          <w:lang w:val="en-ZA"/>
        </w:rPr>
        <w:t xml:space="preserve">The reaction between calcium oxalate and potassium bicarbonate is not a simple precipitation or conventional ion exchange process. Potassium bicarbonate provides bicarbonate ions which, in the presence of calcium, form soluble calcium bicarbonate—accounting for the observed reduction in solid oxalate. This </w:t>
      </w:r>
      <w:r w:rsidRPr="00390576">
        <w:rPr>
          <w:rFonts w:ascii="Times New Roman" w:hAnsi="Times New Roman" w:cs="Times New Roman"/>
          <w:sz w:val="24"/>
          <w:szCs w:val="24"/>
          <w:lang w:val="en-ZA"/>
        </w:rPr>
        <w:t xml:space="preserve">mechanism aligns with findings by Liu et al. (2017) </w:t>
      </w:r>
      <w:r w:rsidRPr="00390576">
        <w:rPr>
          <w:rFonts w:ascii="Times New Roman" w:hAnsi="Times New Roman" w:cs="Times New Roman"/>
          <w:b/>
          <w:bCs/>
          <w:sz w:val="24"/>
          <w:szCs w:val="24"/>
          <w:lang w:val="en-ZA"/>
        </w:rPr>
        <w:t>[</w:t>
      </w:r>
      <w:r w:rsidR="00D239FC">
        <w:rPr>
          <w:rFonts w:ascii="Times New Roman" w:hAnsi="Times New Roman" w:cs="Times New Roman"/>
          <w:b/>
          <w:bCs/>
          <w:sz w:val="24"/>
          <w:szCs w:val="24"/>
          <w:lang w:val="en-ZA"/>
        </w:rPr>
        <w:t>1</w:t>
      </w:r>
      <w:r w:rsidR="002A7B37">
        <w:rPr>
          <w:rFonts w:ascii="Times New Roman" w:hAnsi="Times New Roman" w:cs="Times New Roman"/>
          <w:b/>
          <w:bCs/>
          <w:sz w:val="24"/>
          <w:szCs w:val="24"/>
          <w:lang w:val="en-ZA"/>
        </w:rPr>
        <w:t>6</w:t>
      </w:r>
      <w:r w:rsidRPr="00390576">
        <w:rPr>
          <w:rFonts w:ascii="Times New Roman" w:hAnsi="Times New Roman" w:cs="Times New Roman"/>
          <w:b/>
          <w:bCs/>
          <w:sz w:val="24"/>
          <w:szCs w:val="24"/>
          <w:lang w:val="en-ZA"/>
        </w:rPr>
        <w:t>]</w:t>
      </w:r>
      <w:r w:rsidRPr="00390576">
        <w:rPr>
          <w:rFonts w:ascii="Times New Roman" w:hAnsi="Times New Roman" w:cs="Times New Roman"/>
          <w:sz w:val="24"/>
          <w:szCs w:val="24"/>
          <w:lang w:val="en-ZA"/>
        </w:rPr>
        <w:t xml:space="preserve">, who reported that calcium oxalate undergoes </w:t>
      </w:r>
      <w:r w:rsidRPr="00686202">
        <w:rPr>
          <w:rFonts w:ascii="Times New Roman" w:hAnsi="Times New Roman" w:cs="Times New Roman"/>
          <w:sz w:val="24"/>
          <w:szCs w:val="24"/>
          <w:lang w:val="en-ZA"/>
        </w:rPr>
        <w:t>solubilization in alkaline media containing carbonate or aluminate, yielding soluble oxalate species according to the following equations</w:t>
      </w:r>
      <w:r w:rsidR="007510DF">
        <w:rPr>
          <w:rFonts w:ascii="Times New Roman" w:hAnsi="Times New Roman" w:cs="Times New Roman"/>
          <w:sz w:val="24"/>
          <w:szCs w:val="24"/>
          <w:lang w:val="en-ZA"/>
        </w:rPr>
        <w:t>:</w:t>
      </w:r>
    </w:p>
    <w:p w14:paraId="11073D90" w14:textId="77777777" w:rsidR="002C5A0D" w:rsidRDefault="002C5A0D">
      <w:pPr>
        <w:spacing w:line="360" w:lineRule="auto"/>
        <w:rPr>
          <w:rFonts w:ascii="Times New Roman" w:hAnsi="Times New Roman" w:cs="Times New Roman"/>
          <w:sz w:val="24"/>
          <w:szCs w:val="24"/>
          <w:lang w:val="en-ZA"/>
        </w:rPr>
      </w:pPr>
    </w:p>
    <w:p w14:paraId="7903594A" w14:textId="77777777" w:rsidR="002C5A0D" w:rsidRDefault="002C5A0D">
      <w:pPr>
        <w:spacing w:line="360" w:lineRule="auto"/>
        <w:rPr>
          <w:rFonts w:ascii="Times New Roman" w:hAnsi="Times New Roman" w:cs="Times New Roman"/>
          <w:sz w:val="24"/>
          <w:szCs w:val="24"/>
          <w:lang w:val="en-ZA"/>
        </w:rPr>
      </w:pPr>
    </w:p>
    <w:p w14:paraId="72707439" w14:textId="77777777" w:rsidR="002C5A0D" w:rsidRDefault="002C5A0D">
      <w:pPr>
        <w:spacing w:line="360" w:lineRule="auto"/>
        <w:rPr>
          <w:rFonts w:ascii="Times New Roman" w:hAnsi="Times New Roman" w:cs="Times New Roman"/>
          <w:sz w:val="24"/>
          <w:szCs w:val="24"/>
          <w:lang w:val="en-ZA"/>
        </w:rPr>
      </w:pPr>
    </w:p>
    <w:p w14:paraId="6C7425E6" w14:textId="77777777" w:rsidR="002C5A0D" w:rsidRDefault="002C5A0D">
      <w:pPr>
        <w:spacing w:line="360" w:lineRule="auto"/>
        <w:rPr>
          <w:rFonts w:ascii="Times New Roman" w:hAnsi="Times New Roman" w:cs="Times New Roman"/>
          <w:sz w:val="24"/>
          <w:szCs w:val="24"/>
          <w:lang w:val="en-ZA"/>
        </w:rPr>
      </w:pPr>
    </w:p>
    <w:p w14:paraId="0F2FE2BC" w14:textId="77777777" w:rsidR="002C5A0D" w:rsidRDefault="002C5A0D">
      <w:pPr>
        <w:spacing w:line="360" w:lineRule="auto"/>
        <w:rPr>
          <w:rFonts w:ascii="Times New Roman" w:hAnsi="Times New Roman" w:cs="Times New Roman"/>
          <w:sz w:val="24"/>
          <w:szCs w:val="24"/>
          <w:lang w:val="en-ZA"/>
        </w:rPr>
      </w:pPr>
    </w:p>
    <w:p w14:paraId="417AE45A" w14:textId="77777777" w:rsidR="002C5A0D" w:rsidRDefault="002C5A0D">
      <w:pPr>
        <w:spacing w:line="360" w:lineRule="auto"/>
        <w:rPr>
          <w:rFonts w:ascii="Times New Roman" w:hAnsi="Times New Roman" w:cs="Times New Roman"/>
          <w:sz w:val="24"/>
          <w:szCs w:val="24"/>
          <w:lang w:val="en-ZA"/>
        </w:rPr>
      </w:pPr>
    </w:p>
    <w:p w14:paraId="3D4F320F" w14:textId="77777777" w:rsidR="00B128A9" w:rsidRDefault="00B128A9">
      <w:pPr>
        <w:spacing w:after="0" w:line="240" w:lineRule="auto"/>
        <w:rPr>
          <w:rFonts w:ascii="Times New Roman" w:hAnsi="Times New Roman" w:cs="Times New Roman"/>
          <w:sz w:val="24"/>
          <w:szCs w:val="24"/>
          <w:lang w:val="en-ZA"/>
        </w:rPr>
      </w:pPr>
      <w:r>
        <w:rPr>
          <w:rFonts w:ascii="Times New Roman" w:hAnsi="Times New Roman" w:cs="Times New Roman"/>
          <w:sz w:val="24"/>
          <w:szCs w:val="24"/>
          <w:lang w:val="en-ZA"/>
        </w:rPr>
        <w:br w:type="page"/>
      </w:r>
    </w:p>
    <w:p w14:paraId="49AC1E34" w14:textId="3A62761B" w:rsidR="002C5A0D" w:rsidRPr="00167D61" w:rsidRDefault="002C5A0D">
      <w:pPr>
        <w:spacing w:line="360" w:lineRule="auto"/>
        <w:rPr>
          <w:rFonts w:ascii="Times New Roman" w:hAnsi="Times New Roman" w:cs="Times New Roman"/>
          <w:b/>
          <w:bCs/>
          <w:i/>
          <w:iCs/>
          <w:sz w:val="24"/>
          <w:szCs w:val="24"/>
          <w:lang w:val="en-ZA"/>
        </w:rPr>
      </w:pPr>
      <w:r w:rsidRPr="00167D61">
        <w:rPr>
          <w:rFonts w:ascii="Times New Roman" w:hAnsi="Times New Roman" w:cs="Times New Roman"/>
          <w:b/>
          <w:bCs/>
          <w:i/>
          <w:iCs/>
          <w:sz w:val="24"/>
          <w:szCs w:val="24"/>
          <w:lang w:val="en-ZA"/>
        </w:rPr>
        <w:lastRenderedPageBreak/>
        <w:t xml:space="preserve">3.4. Effect of Soaking </w:t>
      </w:r>
      <w:r w:rsidR="00FF1878" w:rsidRPr="00FF1878">
        <w:rPr>
          <w:rFonts w:ascii="Times New Roman" w:hAnsi="Times New Roman" w:cs="Times New Roman"/>
          <w:b/>
          <w:bCs/>
          <w:i/>
          <w:iCs/>
          <w:sz w:val="24"/>
          <w:szCs w:val="24"/>
          <w:lang w:val="en-ZA"/>
        </w:rPr>
        <w:t>dried Hibiscus</w:t>
      </w:r>
      <w:r w:rsidR="003170FC">
        <w:rPr>
          <w:rFonts w:ascii="Times New Roman" w:hAnsi="Times New Roman" w:cs="Times New Roman"/>
          <w:b/>
          <w:bCs/>
          <w:i/>
          <w:iCs/>
          <w:sz w:val="24"/>
          <w:szCs w:val="24"/>
          <w:lang w:val="en-ZA"/>
        </w:rPr>
        <w:t xml:space="preserve"> prior cooking</w:t>
      </w:r>
      <w:r w:rsidRPr="00167D61">
        <w:rPr>
          <w:rFonts w:ascii="Times New Roman" w:hAnsi="Times New Roman" w:cs="Times New Roman"/>
          <w:b/>
          <w:bCs/>
          <w:i/>
          <w:iCs/>
          <w:sz w:val="24"/>
          <w:szCs w:val="24"/>
          <w:lang w:val="en-ZA"/>
        </w:rPr>
        <w:t xml:space="preserve"> on TO and SO content </w:t>
      </w:r>
    </w:p>
    <w:p w14:paraId="64CCE5F9" w14:textId="44D719BA" w:rsidR="00D969EB" w:rsidRDefault="007510DF" w:rsidP="00B128A9">
      <w:pPr>
        <w:spacing w:line="360" w:lineRule="auto"/>
        <w:jc w:val="both"/>
        <w:rPr>
          <w:rFonts w:ascii="Times New Roman" w:hAnsi="Times New Roman" w:cs="Times New Roman"/>
          <w:sz w:val="24"/>
          <w:szCs w:val="24"/>
          <w:lang w:val="en-ZA"/>
        </w:rPr>
      </w:pPr>
      <w:r>
        <w:rPr>
          <w:rFonts w:ascii="Times New Roman" w:hAnsi="Times New Roman" w:cs="Times New Roman"/>
          <w:noProof/>
          <w:sz w:val="24"/>
          <w:szCs w:val="24"/>
          <w:lang w:val="en-US"/>
        </w:rPr>
        <w:drawing>
          <wp:anchor distT="0" distB="0" distL="114300" distR="114300" simplePos="0" relativeHeight="251665408" behindDoc="0" locked="0" layoutInCell="1" allowOverlap="1" wp14:anchorId="732D69D3" wp14:editId="3041B1B9">
            <wp:simplePos x="0" y="0"/>
            <wp:positionH relativeFrom="column">
              <wp:posOffset>-166370</wp:posOffset>
            </wp:positionH>
            <wp:positionV relativeFrom="paragraph">
              <wp:posOffset>960120</wp:posOffset>
            </wp:positionV>
            <wp:extent cx="6084570" cy="3352800"/>
            <wp:effectExtent l="0" t="0" r="0" b="0"/>
            <wp:wrapSquare wrapText="bothSides"/>
            <wp:docPr id="193216709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67097" name="図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084570" cy="3352800"/>
                    </a:xfrm>
                    <a:prstGeom prst="rect">
                      <a:avLst/>
                    </a:prstGeom>
                    <a:noFill/>
                    <a:ln>
                      <a:noFill/>
                    </a:ln>
                  </pic:spPr>
                </pic:pic>
              </a:graphicData>
            </a:graphic>
          </wp:anchor>
        </w:drawing>
      </w:r>
      <w:r w:rsidR="00121E4E" w:rsidRPr="00121E4E">
        <w:rPr>
          <w:rFonts w:ascii="Times New Roman" w:hAnsi="Times New Roman" w:cs="Times New Roman"/>
          <w:sz w:val="24"/>
          <w:szCs w:val="24"/>
          <w:lang w:val="en-ZA"/>
        </w:rPr>
        <w:t>The traditional cooking process for dried Hibiscus begins with soaking the material in drinking water for 15 minutes, after which the water is discarded prior to cooking. As shown in Fig. 4, this initial step significantly affects the levels of total and soluble oxalates.</w:t>
      </w:r>
    </w:p>
    <w:p w14:paraId="239F66FD" w14:textId="78834247" w:rsidR="00D969EB" w:rsidRDefault="007510DF">
      <w:pPr>
        <w:spacing w:line="360" w:lineRule="auto"/>
        <w:jc w:val="both"/>
        <w:rPr>
          <w:rFonts w:ascii="Times New Roman" w:hAnsi="Times New Roman" w:cs="Times New Roman"/>
          <w:lang w:val="en-ZA"/>
        </w:rPr>
      </w:pPr>
      <w:r w:rsidRPr="0056082A">
        <w:rPr>
          <w:rFonts w:ascii="Times New Roman" w:hAnsi="Times New Roman" w:cs="Times New Roman"/>
          <w:lang w:val="en-ZA"/>
        </w:rPr>
        <w:t xml:space="preserve">Fig.4. Oxalate content  of </w:t>
      </w:r>
      <w:r w:rsidR="007347E7" w:rsidRPr="0056082A">
        <w:rPr>
          <w:rFonts w:ascii="Times New Roman" w:hAnsi="Times New Roman" w:cs="Times New Roman"/>
          <w:lang w:val="en-ZA"/>
        </w:rPr>
        <w:t xml:space="preserve">dried leaves </w:t>
      </w:r>
      <w:r w:rsidRPr="0056082A">
        <w:rPr>
          <w:rFonts w:ascii="Times New Roman" w:hAnsi="Times New Roman" w:cs="Times New Roman"/>
          <w:lang w:val="en-ZA"/>
        </w:rPr>
        <w:t xml:space="preserve">before and after soaking in water. (a) Total oxalate; (b) Soluble oxalate. </w:t>
      </w:r>
      <w:bookmarkStart w:id="2" w:name="_Hlk208129465"/>
      <w:r w:rsidRPr="0056082A">
        <w:rPr>
          <w:rFonts w:ascii="Times New Roman" w:hAnsi="Times New Roman" w:cs="Times New Roman"/>
          <w:i/>
          <w:lang w:val="en-ZA"/>
        </w:rPr>
        <w:t>Hibiscus</w:t>
      </w:r>
      <w:bookmarkEnd w:id="2"/>
      <w:r w:rsidRPr="0056082A">
        <w:rPr>
          <w:rFonts w:ascii="Times New Roman" w:hAnsi="Times New Roman" w:cs="Times New Roman"/>
          <w:i/>
          <w:lang w:val="en-ZA"/>
        </w:rPr>
        <w:t xml:space="preserve"> </w:t>
      </w:r>
      <w:r>
        <w:rPr>
          <w:rFonts w:ascii="Times New Roman" w:hAnsi="Times New Roman" w:cs="Times New Roman"/>
          <w:i/>
          <w:color w:val="000000"/>
          <w:lang w:val="en-ZA"/>
        </w:rPr>
        <w:t xml:space="preserve">sabdariffa var sabdariffa (HSS); Hibiscus sabdariffa var altisima (HSA); Hibiscus acetosella red shied </w:t>
      </w:r>
      <w:r>
        <w:rPr>
          <w:rFonts w:ascii="Times New Roman" w:hAnsi="Times New Roman" w:cs="Times New Roman"/>
          <w:color w:val="000000"/>
          <w:lang w:val="en-ZA"/>
        </w:rPr>
        <w:t>(HARS)</w:t>
      </w:r>
      <w:r>
        <w:rPr>
          <w:rFonts w:ascii="Times New Roman" w:hAnsi="Times New Roman" w:cs="Times New Roman"/>
          <w:i/>
          <w:color w:val="000000"/>
          <w:lang w:val="en-ZA"/>
        </w:rPr>
        <w:t xml:space="preserve">; Hibiscus acetosella cranberry </w:t>
      </w:r>
      <w:r>
        <w:rPr>
          <w:rFonts w:ascii="Times New Roman" w:hAnsi="Times New Roman" w:cs="Times New Roman"/>
          <w:color w:val="000000"/>
          <w:lang w:val="en-ZA"/>
        </w:rPr>
        <w:t>(HAC)</w:t>
      </w:r>
      <w:r w:rsidR="00914691">
        <w:rPr>
          <w:rFonts w:ascii="Times New Roman" w:hAnsi="Times New Roman" w:cs="Times New Roman"/>
          <w:color w:val="000000"/>
          <w:lang w:val="en-ZA"/>
        </w:rPr>
        <w:t>,</w:t>
      </w:r>
      <w:r>
        <w:rPr>
          <w:rFonts w:ascii="Times New Roman" w:hAnsi="Times New Roman" w:cs="Times New Roman"/>
          <w:color w:val="000000"/>
          <w:lang w:val="en-ZA"/>
        </w:rPr>
        <w:t xml:space="preserve"> </w:t>
      </w:r>
      <w:r w:rsidRPr="00B128A9">
        <w:rPr>
          <w:rFonts w:ascii="Times New Roman" w:hAnsi="Times New Roman" w:cs="Times New Roman"/>
          <w:iCs/>
          <w:color w:val="000000"/>
          <w:lang w:val="en-ZA"/>
        </w:rPr>
        <w:t>and</w:t>
      </w:r>
      <w:r>
        <w:rPr>
          <w:rFonts w:ascii="Times New Roman" w:hAnsi="Times New Roman" w:cs="Times New Roman"/>
          <w:i/>
          <w:color w:val="000000"/>
          <w:lang w:val="en-ZA"/>
        </w:rPr>
        <w:t xml:space="preserve"> Hibiscus canabinus</w:t>
      </w:r>
      <w:r>
        <w:rPr>
          <w:rFonts w:ascii="Times New Roman" w:hAnsi="Times New Roman" w:cs="Times New Roman"/>
          <w:lang w:val="en-ZA"/>
        </w:rPr>
        <w:t xml:space="preserve"> (HC)</w:t>
      </w:r>
      <w:r w:rsidR="007347E7">
        <w:rPr>
          <w:rFonts w:ascii="Times New Roman" w:hAnsi="Times New Roman" w:cs="Times New Roman"/>
          <w:lang w:val="en-ZA"/>
        </w:rPr>
        <w:t xml:space="preserve"> </w:t>
      </w:r>
    </w:p>
    <w:p w14:paraId="32025FDC" w14:textId="3BE62F8E" w:rsidR="00863AE1" w:rsidRPr="00863AE1" w:rsidRDefault="00863AE1" w:rsidP="00863AE1">
      <w:pPr>
        <w:spacing w:line="360" w:lineRule="auto"/>
        <w:jc w:val="both"/>
        <w:rPr>
          <w:rFonts w:ascii="Times New Roman" w:hAnsi="Times New Roman" w:cs="Times New Roman"/>
          <w:sz w:val="24"/>
          <w:szCs w:val="24"/>
          <w:lang w:val="en-ZA"/>
        </w:rPr>
      </w:pPr>
      <w:r w:rsidRPr="00863AE1">
        <w:rPr>
          <w:rFonts w:ascii="Times New Roman" w:hAnsi="Times New Roman" w:cs="Times New Roman"/>
          <w:sz w:val="24"/>
          <w:szCs w:val="24"/>
          <w:lang w:val="en-ZA"/>
        </w:rPr>
        <w:t>Analysis of oxalate content in dried Hibiscus leaves before and after soaking revealed that pre-soaking significantly reduced total oxalate (TO) levels in HSS and HC samples. In contrast, no significant difference was observed between soaked and unsoaked samples for HAS, HARS, and HAC. Regarding soluble oxalate (SO), soaking led to a significant reduction in HSS, HAS, HARS, and HAC samples, while HC showed no notable change.</w:t>
      </w:r>
    </w:p>
    <w:p w14:paraId="40F6DE7D" w14:textId="009EFCDC" w:rsidR="00D969EB" w:rsidRDefault="008A3C5D" w:rsidP="00863AE1">
      <w:pPr>
        <w:spacing w:line="360" w:lineRule="auto"/>
        <w:jc w:val="both"/>
        <w:rPr>
          <w:rFonts w:ascii="Times New Roman" w:hAnsi="Times New Roman" w:cs="Times New Roman"/>
          <w:sz w:val="24"/>
          <w:szCs w:val="24"/>
          <w:lang w:val="en-ZA"/>
        </w:rPr>
      </w:pPr>
      <w:r>
        <w:rPr>
          <w:rFonts w:ascii="Times New Roman" w:hAnsi="Times New Roman" w:cs="Times New Roman"/>
          <w:sz w:val="24"/>
          <w:szCs w:val="24"/>
          <w:lang w:val="en-ZA"/>
        </w:rPr>
        <w:t>T</w:t>
      </w:r>
      <w:r w:rsidR="00863AE1" w:rsidRPr="00863AE1">
        <w:rPr>
          <w:rFonts w:ascii="Times New Roman" w:hAnsi="Times New Roman" w:cs="Times New Roman"/>
          <w:sz w:val="24"/>
          <w:szCs w:val="24"/>
          <w:lang w:val="en-ZA"/>
        </w:rPr>
        <w:t xml:space="preserve">hese findings demonstrate that soaking dried sorrel </w:t>
      </w:r>
      <w:r w:rsidR="00863AE1" w:rsidRPr="00390576">
        <w:rPr>
          <w:rFonts w:ascii="Times New Roman" w:hAnsi="Times New Roman" w:cs="Times New Roman"/>
          <w:sz w:val="24"/>
          <w:szCs w:val="24"/>
          <w:lang w:val="en-ZA"/>
        </w:rPr>
        <w:t>leaves can effectively reduce both TO and SO content</w:t>
      </w:r>
      <w:r w:rsidR="00874FBF" w:rsidRPr="00390576">
        <w:rPr>
          <w:rFonts w:ascii="Times New Roman" w:hAnsi="Times New Roman" w:cs="Times New Roman"/>
          <w:sz w:val="24"/>
          <w:szCs w:val="24"/>
          <w:lang w:val="en-ZA"/>
        </w:rPr>
        <w:t xml:space="preserve">, </w:t>
      </w:r>
      <w:r w:rsidR="00863AE1" w:rsidRPr="00390576">
        <w:rPr>
          <w:rFonts w:ascii="Times New Roman" w:hAnsi="Times New Roman" w:cs="Times New Roman"/>
          <w:sz w:val="24"/>
          <w:szCs w:val="24"/>
          <w:lang w:val="en-ZA"/>
        </w:rPr>
        <w:t xml:space="preserve">ranging from 3.7% to 27.4% for TO and 34.1% to 55.9% for SO. </w:t>
      </w:r>
      <w:r w:rsidR="006C2527" w:rsidRPr="006C2527">
        <w:rPr>
          <w:rFonts w:ascii="Times New Roman" w:hAnsi="Times New Roman" w:cs="Times New Roman"/>
          <w:color w:val="FF0000"/>
          <w:sz w:val="24"/>
          <w:szCs w:val="24"/>
          <w:lang w:val="en-ZA"/>
        </w:rPr>
        <w:t>These results are consistent with those previously reported [12], where a substantial reduction in oxalate levels was observed when the first cooking water was discarded</w:t>
      </w:r>
      <w:r w:rsidR="006C2527">
        <w:rPr>
          <w:rFonts w:ascii="Times New Roman" w:hAnsi="Times New Roman" w:cs="Times New Roman"/>
          <w:color w:val="FF0000"/>
          <w:sz w:val="24"/>
          <w:szCs w:val="24"/>
          <w:lang w:val="en-ZA"/>
        </w:rPr>
        <w:t xml:space="preserve">. </w:t>
      </w:r>
      <w:r w:rsidR="00863AE1" w:rsidRPr="00390576">
        <w:rPr>
          <w:rFonts w:ascii="Times New Roman" w:hAnsi="Times New Roman" w:cs="Times New Roman"/>
          <w:sz w:val="24"/>
          <w:szCs w:val="24"/>
          <w:lang w:val="en-ZA"/>
        </w:rPr>
        <w:t>The observed decrease in soluble oxalate is primarily attributed to the diffusion of water-soluble oxalates during soaking. Interestingly, our findings contrast with those of Soudy</w:t>
      </w:r>
      <w:r w:rsidR="00BE1460" w:rsidRPr="00390576">
        <w:rPr>
          <w:rFonts w:ascii="Times New Roman" w:hAnsi="Times New Roman" w:cs="Times New Roman"/>
          <w:sz w:val="24"/>
          <w:szCs w:val="24"/>
          <w:lang w:val="en-ZA"/>
        </w:rPr>
        <w:t xml:space="preserve"> et al. </w:t>
      </w:r>
      <w:r w:rsidR="00863AE1" w:rsidRPr="00390576">
        <w:rPr>
          <w:rFonts w:ascii="Times New Roman" w:hAnsi="Times New Roman" w:cs="Times New Roman"/>
          <w:sz w:val="24"/>
          <w:szCs w:val="24"/>
          <w:lang w:val="en-ZA"/>
        </w:rPr>
        <w:t xml:space="preserve"> (2011) </w:t>
      </w:r>
      <w:r w:rsidR="00863AE1" w:rsidRPr="00390576">
        <w:rPr>
          <w:rFonts w:ascii="Times New Roman" w:hAnsi="Times New Roman" w:cs="Times New Roman"/>
          <w:b/>
          <w:bCs/>
          <w:sz w:val="24"/>
          <w:szCs w:val="24"/>
          <w:lang w:val="en-ZA"/>
        </w:rPr>
        <w:t>[</w:t>
      </w:r>
      <w:r w:rsidR="00BE314D">
        <w:rPr>
          <w:rFonts w:ascii="Times New Roman" w:hAnsi="Times New Roman" w:cs="Times New Roman"/>
          <w:b/>
          <w:bCs/>
          <w:sz w:val="24"/>
          <w:szCs w:val="24"/>
          <w:lang w:val="en-ZA"/>
        </w:rPr>
        <w:t>1</w:t>
      </w:r>
      <w:r w:rsidR="002A7B37">
        <w:rPr>
          <w:rFonts w:ascii="Times New Roman" w:hAnsi="Times New Roman" w:cs="Times New Roman"/>
          <w:b/>
          <w:bCs/>
          <w:sz w:val="24"/>
          <w:szCs w:val="24"/>
          <w:lang w:val="en-ZA"/>
        </w:rPr>
        <w:t>7</w:t>
      </w:r>
      <w:r w:rsidR="00863AE1" w:rsidRPr="00390576">
        <w:rPr>
          <w:rFonts w:ascii="Times New Roman" w:hAnsi="Times New Roman" w:cs="Times New Roman"/>
          <w:b/>
          <w:bCs/>
          <w:sz w:val="24"/>
          <w:szCs w:val="24"/>
          <w:lang w:val="en-ZA"/>
        </w:rPr>
        <w:t>]</w:t>
      </w:r>
      <w:r w:rsidR="00863AE1" w:rsidRPr="00390576">
        <w:rPr>
          <w:rFonts w:ascii="Times New Roman" w:hAnsi="Times New Roman" w:cs="Times New Roman"/>
          <w:sz w:val="24"/>
          <w:szCs w:val="24"/>
          <w:lang w:val="en-ZA"/>
        </w:rPr>
        <w:t xml:space="preserve">, who reported no significant difference in oxalate levels </w:t>
      </w:r>
      <w:r w:rsidR="00863AE1" w:rsidRPr="00863AE1">
        <w:rPr>
          <w:rFonts w:ascii="Times New Roman" w:hAnsi="Times New Roman" w:cs="Times New Roman"/>
          <w:sz w:val="24"/>
          <w:szCs w:val="24"/>
          <w:lang w:val="en-ZA"/>
        </w:rPr>
        <w:t xml:space="preserve">between soaked and control samples of taro flour. This discrepancy may be explained by the difference in sample type: while </w:t>
      </w:r>
      <w:r w:rsidR="00863AE1" w:rsidRPr="00863AE1">
        <w:rPr>
          <w:rFonts w:ascii="Times New Roman" w:hAnsi="Times New Roman" w:cs="Times New Roman"/>
          <w:sz w:val="24"/>
          <w:szCs w:val="24"/>
          <w:lang w:val="en-ZA"/>
        </w:rPr>
        <w:lastRenderedPageBreak/>
        <w:t>Soudy used flour from taro tubers, our study focused on whole dried sorrel leaves, which likely exhibit different diffusion dynamics</w:t>
      </w:r>
      <w:r w:rsidR="00142769">
        <w:rPr>
          <w:rFonts w:ascii="Times New Roman" w:hAnsi="Times New Roman" w:cs="Times New Roman"/>
          <w:sz w:val="24"/>
          <w:szCs w:val="24"/>
          <w:lang w:val="en-ZA"/>
        </w:rPr>
        <w:t>.</w:t>
      </w:r>
    </w:p>
    <w:p w14:paraId="42CEE96E" w14:textId="5D5443CB" w:rsidR="000F3834" w:rsidRPr="00596FA9" w:rsidRDefault="007510DF" w:rsidP="00596FA9">
      <w:pPr>
        <w:spacing w:line="360" w:lineRule="auto"/>
        <w:jc w:val="both"/>
        <w:rPr>
          <w:rFonts w:ascii="Times New Roman" w:hAnsi="Times New Roman" w:cs="Times New Roman"/>
          <w:sz w:val="24"/>
          <w:szCs w:val="24"/>
          <w:lang w:val="en-ZA"/>
        </w:rPr>
      </w:pPr>
      <w:r>
        <w:rPr>
          <w:rFonts w:ascii="Times New Roman" w:hAnsi="Times New Roman" w:cs="Times New Roman"/>
          <w:b/>
          <w:sz w:val="24"/>
          <w:szCs w:val="24"/>
          <w:lang w:val="en-ZA"/>
        </w:rPr>
        <w:t>4. CONCLUSION</w:t>
      </w:r>
    </w:p>
    <w:p w14:paraId="3FA175BF" w14:textId="0785E6F0" w:rsidR="000369AC" w:rsidRPr="00131FF2" w:rsidRDefault="000369AC">
      <w:pPr>
        <w:spacing w:after="0" w:line="360" w:lineRule="auto"/>
        <w:jc w:val="both"/>
        <w:rPr>
          <w:rFonts w:ascii="Times New Roman" w:hAnsi="Times New Roman"/>
          <w:color w:val="000000"/>
          <w:sz w:val="24"/>
          <w:szCs w:val="24"/>
          <w:lang w:val="en-ZA"/>
        </w:rPr>
      </w:pPr>
      <w:r w:rsidRPr="00131FF2">
        <w:rPr>
          <w:rFonts w:ascii="Times New Roman" w:hAnsi="Times New Roman"/>
          <w:color w:val="000000"/>
          <w:sz w:val="24"/>
          <w:szCs w:val="24"/>
          <w:lang w:val="en-ZA"/>
        </w:rPr>
        <w:t>The studied Hibiscus varieties exhibited high oxalate levels, which appear to be influenced by both soil composition and the genetic traits of each species. Traditional processing methods such as sun drying and pre-soaking of dried sorrel leaves were effective in reducing soluble oxalate content, with reductions ranging from 51% to 92%. In contrast, the use of indigenous potash (Kompos) led to a decrease in total oxalate content but caused a notable increase in soluble oxalate across all samples</w:t>
      </w:r>
      <w:r w:rsidR="00026CA2" w:rsidRPr="00131FF2">
        <w:rPr>
          <w:rFonts w:ascii="Times New Roman" w:hAnsi="Times New Roman"/>
          <w:color w:val="000000"/>
          <w:sz w:val="24"/>
          <w:szCs w:val="24"/>
          <w:lang w:val="en-ZA"/>
        </w:rPr>
        <w:t xml:space="preserve"> </w:t>
      </w:r>
      <w:r w:rsidR="00335F1D" w:rsidRPr="00131FF2">
        <w:rPr>
          <w:rFonts w:ascii="Times New Roman" w:hAnsi="Times New Roman"/>
          <w:color w:val="000000"/>
          <w:sz w:val="24"/>
          <w:szCs w:val="24"/>
          <w:lang w:val="en-ZA"/>
        </w:rPr>
        <w:t xml:space="preserve">likely </w:t>
      </w:r>
      <w:r w:rsidR="00026CA2" w:rsidRPr="00131FF2">
        <w:rPr>
          <w:rFonts w:ascii="Times New Roman" w:hAnsi="Times New Roman"/>
          <w:color w:val="000000"/>
          <w:sz w:val="24"/>
          <w:szCs w:val="24"/>
          <w:lang w:val="en-ZA"/>
        </w:rPr>
        <w:t xml:space="preserve">via a conversion of insoluble forms </w:t>
      </w:r>
      <w:r w:rsidR="007A173F" w:rsidRPr="00131FF2">
        <w:rPr>
          <w:rFonts w:ascii="Times New Roman" w:hAnsi="Times New Roman"/>
          <w:color w:val="000000"/>
          <w:sz w:val="24"/>
          <w:szCs w:val="24"/>
          <w:lang w:val="en-ZA"/>
        </w:rPr>
        <w:t>in basic conditions</w:t>
      </w:r>
      <w:r w:rsidRPr="00131FF2">
        <w:rPr>
          <w:rFonts w:ascii="Times New Roman" w:hAnsi="Times New Roman"/>
          <w:color w:val="000000"/>
          <w:sz w:val="24"/>
          <w:szCs w:val="24"/>
          <w:lang w:val="en-ZA"/>
        </w:rPr>
        <w:t>. These findings highlight the complex and practice-dependent nature of oxalate modulation in Hibiscus leaves, with implications for dietary safety and traditional food preparation.</w:t>
      </w:r>
    </w:p>
    <w:p w14:paraId="56E80FC5" w14:textId="77777777" w:rsidR="00D969EB" w:rsidRDefault="00D969EB">
      <w:pPr>
        <w:spacing w:after="0" w:line="360" w:lineRule="auto"/>
        <w:jc w:val="both"/>
        <w:rPr>
          <w:rFonts w:ascii="Times New Roman" w:hAnsi="Times New Roman"/>
          <w:color w:val="000000"/>
          <w:lang w:val="en-ZA"/>
        </w:rPr>
      </w:pPr>
    </w:p>
    <w:p w14:paraId="1FB1CAC4" w14:textId="77777777" w:rsidR="00D969EB" w:rsidRDefault="007510DF">
      <w:pPr>
        <w:spacing w:after="0" w:line="360" w:lineRule="auto"/>
        <w:jc w:val="both"/>
        <w:rPr>
          <w:rFonts w:ascii="Times New Roman" w:hAnsi="Times New Roman" w:cs="Times New Roman"/>
          <w:b/>
          <w:bCs/>
          <w:color w:val="000000"/>
          <w:sz w:val="24"/>
          <w:szCs w:val="24"/>
          <w:lang w:val="en-ZA"/>
        </w:rPr>
      </w:pPr>
      <w:r>
        <w:rPr>
          <w:rFonts w:ascii="Times New Roman" w:hAnsi="Times New Roman" w:cs="Times New Roman"/>
          <w:b/>
          <w:bCs/>
          <w:color w:val="000000"/>
          <w:sz w:val="24"/>
          <w:szCs w:val="24"/>
          <w:lang w:val="en-ZA"/>
        </w:rPr>
        <w:t>COMPETING INTERESTS</w:t>
      </w:r>
    </w:p>
    <w:p w14:paraId="02BC7EA6" w14:textId="77777777" w:rsidR="00D969EB" w:rsidRDefault="007510DF">
      <w:pPr>
        <w:spacing w:after="0" w:line="360" w:lineRule="auto"/>
        <w:jc w:val="both"/>
        <w:rPr>
          <w:rFonts w:ascii="Times New Roman" w:hAnsi="Times New Roman" w:cs="Times New Roman"/>
          <w:color w:val="000000"/>
          <w:sz w:val="24"/>
          <w:szCs w:val="24"/>
          <w:lang w:val="en-ZA"/>
        </w:rPr>
      </w:pPr>
      <w:r>
        <w:rPr>
          <w:rFonts w:ascii="Times New Roman" w:hAnsi="Times New Roman" w:cs="Times New Roman"/>
          <w:color w:val="000000"/>
          <w:sz w:val="24"/>
          <w:szCs w:val="24"/>
          <w:lang w:val="en-ZA"/>
        </w:rPr>
        <w:t>Authors have declared that no competing</w:t>
      </w:r>
      <w:r>
        <w:rPr>
          <w:rFonts w:ascii="Times New Roman" w:hAnsi="Times New Roman"/>
          <w:color w:val="000000"/>
          <w:lang w:val="en-ZA"/>
        </w:rPr>
        <w:t xml:space="preserve"> </w:t>
      </w:r>
      <w:r>
        <w:rPr>
          <w:rFonts w:ascii="Times New Roman" w:hAnsi="Times New Roman" w:cs="Times New Roman"/>
          <w:color w:val="000000"/>
          <w:sz w:val="24"/>
          <w:szCs w:val="24"/>
          <w:lang w:val="en-ZA"/>
        </w:rPr>
        <w:t>interests exist.</w:t>
      </w:r>
    </w:p>
    <w:p w14:paraId="42078833" w14:textId="77777777" w:rsidR="00513D45" w:rsidRDefault="00513D45">
      <w:pPr>
        <w:spacing w:after="0" w:line="360" w:lineRule="auto"/>
        <w:jc w:val="both"/>
        <w:rPr>
          <w:rFonts w:ascii="Times New Roman" w:hAnsi="Times New Roman" w:cs="Times New Roman"/>
          <w:color w:val="000000"/>
          <w:sz w:val="24"/>
          <w:szCs w:val="24"/>
          <w:lang w:val="en-ZA"/>
        </w:rPr>
      </w:pPr>
    </w:p>
    <w:p w14:paraId="04169EC3" w14:textId="77777777" w:rsidR="00513D45" w:rsidRPr="00723F4D" w:rsidRDefault="00513D45" w:rsidP="00513D45">
      <w:pPr>
        <w:rPr>
          <w:highlight w:val="yellow"/>
          <w:lang w:val="en-US"/>
        </w:rPr>
      </w:pPr>
      <w:r w:rsidRPr="00723F4D">
        <w:rPr>
          <w:highlight w:val="yellow"/>
          <w:lang w:val="en-US"/>
        </w:rPr>
        <w:t>Disclaimer (Artificial intelligence)</w:t>
      </w:r>
    </w:p>
    <w:p w14:paraId="7E6A4C15" w14:textId="77777777" w:rsidR="00513D45" w:rsidRPr="00723F4D" w:rsidRDefault="00513D45" w:rsidP="00513D45">
      <w:pPr>
        <w:rPr>
          <w:highlight w:val="yellow"/>
          <w:lang w:val="en-US"/>
        </w:rPr>
      </w:pPr>
      <w:r w:rsidRPr="00723F4D">
        <w:rPr>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2D442E1" w14:textId="77777777" w:rsidR="00513D45" w:rsidRDefault="00513D45">
      <w:pPr>
        <w:spacing w:after="0" w:line="360" w:lineRule="auto"/>
        <w:jc w:val="both"/>
        <w:rPr>
          <w:rFonts w:ascii="Times New Roman" w:hAnsi="Times New Roman" w:cs="Times New Roman"/>
          <w:sz w:val="24"/>
          <w:szCs w:val="24"/>
          <w:lang w:val="en-ZA"/>
        </w:rPr>
      </w:pPr>
    </w:p>
    <w:p w14:paraId="145357AF" w14:textId="77777777" w:rsidR="00D969EB" w:rsidRDefault="00D969EB">
      <w:pPr>
        <w:spacing w:line="360" w:lineRule="auto"/>
        <w:rPr>
          <w:rFonts w:ascii="Times New Roman" w:hAnsi="Times New Roman" w:cs="Times New Roman"/>
          <w:sz w:val="24"/>
          <w:szCs w:val="24"/>
          <w:lang w:val="en-ZA"/>
        </w:rPr>
      </w:pPr>
    </w:p>
    <w:p w14:paraId="0CE6B02D" w14:textId="77777777" w:rsidR="002C5A0D" w:rsidRDefault="002C5A0D">
      <w:pPr>
        <w:spacing w:after="0" w:line="240" w:lineRule="auto"/>
        <w:rPr>
          <w:rFonts w:ascii="Times New Roman" w:hAnsi="Times New Roman" w:cs="Times New Roman"/>
          <w:b/>
          <w:sz w:val="24"/>
          <w:szCs w:val="24"/>
          <w:lang w:val="en-ZA"/>
        </w:rPr>
      </w:pPr>
      <w:r>
        <w:rPr>
          <w:rFonts w:ascii="Times New Roman" w:hAnsi="Times New Roman" w:cs="Times New Roman"/>
          <w:b/>
          <w:sz w:val="24"/>
          <w:szCs w:val="24"/>
          <w:lang w:val="en-ZA"/>
        </w:rPr>
        <w:br w:type="page"/>
      </w:r>
    </w:p>
    <w:p w14:paraId="5C57A2F3" w14:textId="66600683" w:rsidR="00D969EB" w:rsidRDefault="007510DF">
      <w:pPr>
        <w:spacing w:line="360" w:lineRule="auto"/>
        <w:rPr>
          <w:rFonts w:ascii="Times New Roman" w:hAnsi="Times New Roman" w:cs="Times New Roman"/>
          <w:b/>
          <w:sz w:val="24"/>
          <w:szCs w:val="24"/>
          <w:lang w:val="en-ZA"/>
        </w:rPr>
      </w:pPr>
      <w:r>
        <w:rPr>
          <w:rFonts w:ascii="Times New Roman" w:hAnsi="Times New Roman" w:cs="Times New Roman"/>
          <w:b/>
          <w:sz w:val="24"/>
          <w:szCs w:val="24"/>
          <w:lang w:val="en-ZA"/>
        </w:rPr>
        <w:lastRenderedPageBreak/>
        <w:t xml:space="preserve">REFERENCES </w:t>
      </w:r>
    </w:p>
    <w:p w14:paraId="1B45E8A8" w14:textId="76078F70"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rPr>
      </w:pPr>
      <w:r w:rsidRPr="00C26B7A">
        <w:rPr>
          <w:rFonts w:ascii="Times New Roman" w:hAnsi="Times New Roman" w:cs="Times New Roman"/>
          <w:sz w:val="24"/>
          <w:szCs w:val="24"/>
        </w:rPr>
        <w:t xml:space="preserve">Silva, L. Y. D. S., Da Silva Ramos, A., Cavalcante, D. N., Kinupp, V. F., Da Silva Rodrigues, J. V., Ventura, B. M. L., De Oliveira Mendes, T. A., Sanches, E. A., Campelo, P. H., &amp; De Araújo Bezerra, J. (2023). </w:t>
      </w:r>
      <w:r w:rsidRPr="00C26B7A">
        <w:rPr>
          <w:rFonts w:ascii="Times New Roman" w:hAnsi="Times New Roman" w:cs="Times New Roman"/>
          <w:sz w:val="24"/>
          <w:szCs w:val="24"/>
          <w:lang w:val="en-US"/>
        </w:rPr>
        <w:t xml:space="preserve">Hibiscus acetosella: An Unconventional Alternative Edible Flower Rich in Bioactive Compounds. </w:t>
      </w:r>
      <w:r w:rsidRPr="005A0673">
        <w:rPr>
          <w:rFonts w:ascii="Times New Roman" w:hAnsi="Times New Roman" w:cs="Times New Roman"/>
          <w:i/>
          <w:iCs/>
          <w:sz w:val="24"/>
          <w:szCs w:val="24"/>
        </w:rPr>
        <w:t>Molecules</w:t>
      </w:r>
      <w:r w:rsidRPr="00C26B7A">
        <w:rPr>
          <w:rFonts w:ascii="Times New Roman" w:hAnsi="Times New Roman" w:cs="Times New Roman"/>
          <w:sz w:val="24"/>
          <w:szCs w:val="24"/>
        </w:rPr>
        <w:t>, 28(12)</w:t>
      </w:r>
      <w:r w:rsidR="00740BD0">
        <w:rPr>
          <w:rFonts w:ascii="Times New Roman" w:hAnsi="Times New Roman" w:cs="Times New Roman"/>
          <w:sz w:val="24"/>
          <w:szCs w:val="24"/>
        </w:rPr>
        <w:t>,</w:t>
      </w:r>
      <w:r w:rsidR="00990390">
        <w:rPr>
          <w:rFonts w:ascii="Times New Roman" w:hAnsi="Times New Roman" w:cs="Times New Roman"/>
          <w:sz w:val="24"/>
          <w:szCs w:val="24"/>
        </w:rPr>
        <w:t xml:space="preserve"> </w:t>
      </w:r>
      <w:r w:rsidRPr="00C26B7A">
        <w:rPr>
          <w:rFonts w:ascii="Times New Roman" w:hAnsi="Times New Roman" w:cs="Times New Roman"/>
          <w:sz w:val="24"/>
          <w:szCs w:val="24"/>
        </w:rPr>
        <w:t xml:space="preserve">4819. </w:t>
      </w:r>
      <w:hyperlink r:id="rId19" w:history="1">
        <w:r w:rsidRPr="00C26B7A">
          <w:rPr>
            <w:rStyle w:val="Hyperlink"/>
            <w:rFonts w:ascii="Times New Roman" w:hAnsi="Times New Roman" w:cs="Times New Roman"/>
            <w:sz w:val="24"/>
            <w:szCs w:val="24"/>
          </w:rPr>
          <w:t>https://doi.org/10.3390/molecules28124819</w:t>
        </w:r>
      </w:hyperlink>
    </w:p>
    <w:p w14:paraId="63FB4534" w14:textId="457E268B"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lang w:val="en-US"/>
        </w:rPr>
      </w:pPr>
      <w:r w:rsidRPr="00C26B7A">
        <w:rPr>
          <w:rFonts w:ascii="Times New Roman" w:hAnsi="Times New Roman" w:cs="Times New Roman"/>
          <w:sz w:val="24"/>
          <w:szCs w:val="24"/>
        </w:rPr>
        <w:t xml:space="preserve">Onyeukwu, O. B., Dibie, D. C., &amp; Njideaka, O. T. (2023). </w:t>
      </w:r>
      <w:r w:rsidRPr="00C26B7A">
        <w:rPr>
          <w:rFonts w:ascii="Times New Roman" w:hAnsi="Times New Roman" w:cs="Times New Roman"/>
          <w:sz w:val="24"/>
          <w:szCs w:val="24"/>
          <w:lang w:val="en-US"/>
        </w:rPr>
        <w:t xml:space="preserve">Hibiscus sabdariffa - uses, nutritional and therapeutic benefits - A review. </w:t>
      </w:r>
      <w:r w:rsidRPr="00125861">
        <w:rPr>
          <w:rFonts w:ascii="Times New Roman" w:hAnsi="Times New Roman" w:cs="Times New Roman"/>
          <w:i/>
          <w:iCs/>
          <w:sz w:val="24"/>
          <w:szCs w:val="24"/>
          <w:lang w:val="en-US"/>
        </w:rPr>
        <w:t>Journal of Bioscience and Biotechnology Discovery</w:t>
      </w:r>
      <w:r w:rsidRPr="00C26B7A">
        <w:rPr>
          <w:rFonts w:ascii="Times New Roman" w:hAnsi="Times New Roman" w:cs="Times New Roman"/>
          <w:sz w:val="24"/>
          <w:szCs w:val="24"/>
          <w:lang w:val="en-US"/>
        </w:rPr>
        <w:t>, 8(2)</w:t>
      </w:r>
      <w:r w:rsidR="001722E9">
        <w:rPr>
          <w:rFonts w:ascii="Times New Roman" w:hAnsi="Times New Roman" w:cs="Times New Roman"/>
          <w:sz w:val="24"/>
          <w:szCs w:val="24"/>
          <w:lang w:val="en-US"/>
        </w:rPr>
        <w:t>,</w:t>
      </w:r>
      <w:r w:rsidRPr="00C26B7A">
        <w:rPr>
          <w:rFonts w:ascii="Times New Roman" w:hAnsi="Times New Roman" w:cs="Times New Roman"/>
          <w:sz w:val="24"/>
          <w:szCs w:val="24"/>
          <w:lang w:val="en-US"/>
        </w:rPr>
        <w:t xml:space="preserve"> 18</w:t>
      </w:r>
      <w:r w:rsidR="001722E9">
        <w:rPr>
          <w:rFonts w:ascii="Times New Roman" w:hAnsi="Times New Roman" w:cs="Times New Roman"/>
          <w:sz w:val="24"/>
          <w:szCs w:val="24"/>
          <w:lang w:val="en-US"/>
        </w:rPr>
        <w:t>-</w:t>
      </w:r>
      <w:r w:rsidRPr="00C26B7A">
        <w:rPr>
          <w:rFonts w:ascii="Times New Roman" w:hAnsi="Times New Roman" w:cs="Times New Roman"/>
          <w:sz w:val="24"/>
          <w:szCs w:val="24"/>
          <w:lang w:val="en-US"/>
        </w:rPr>
        <w:t xml:space="preserve">23. </w:t>
      </w:r>
      <w:hyperlink r:id="rId20" w:history="1">
        <w:r w:rsidRPr="00C26B7A">
          <w:rPr>
            <w:rStyle w:val="Hyperlink"/>
            <w:rFonts w:ascii="Times New Roman" w:hAnsi="Times New Roman" w:cs="Times New Roman"/>
            <w:sz w:val="24"/>
            <w:szCs w:val="24"/>
            <w:lang w:val="en-US"/>
          </w:rPr>
          <w:t>https://doi.org/10.31248/jbbd2023.178</w:t>
        </w:r>
      </w:hyperlink>
    </w:p>
    <w:p w14:paraId="399ADA5F" w14:textId="7E6D30FB"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lang w:val="en-US"/>
        </w:rPr>
      </w:pPr>
      <w:r w:rsidRPr="00C26B7A">
        <w:rPr>
          <w:rFonts w:ascii="Times New Roman" w:hAnsi="Times New Roman" w:cs="Times New Roman"/>
          <w:sz w:val="24"/>
          <w:szCs w:val="24"/>
          <w:lang w:val="en-US"/>
        </w:rPr>
        <w:t xml:space="preserve">Khan, M. (2017). Nutritional and Health Importance of Hibiscus Sabdariffa: A review and Indication for research needs. </w:t>
      </w:r>
      <w:r w:rsidRPr="00125861">
        <w:rPr>
          <w:rFonts w:ascii="Times New Roman" w:hAnsi="Times New Roman" w:cs="Times New Roman"/>
          <w:i/>
          <w:iCs/>
          <w:sz w:val="24"/>
          <w:szCs w:val="24"/>
          <w:lang w:val="en-US"/>
        </w:rPr>
        <w:t>Journal of Nutritional Health &amp; Food Engineering</w:t>
      </w:r>
      <w:r w:rsidRPr="00C26B7A">
        <w:rPr>
          <w:rFonts w:ascii="Times New Roman" w:hAnsi="Times New Roman" w:cs="Times New Roman"/>
          <w:sz w:val="24"/>
          <w:szCs w:val="24"/>
          <w:lang w:val="en-US"/>
        </w:rPr>
        <w:t>, 6(5)</w:t>
      </w:r>
      <w:r w:rsidR="001722E9">
        <w:rPr>
          <w:rFonts w:ascii="Times New Roman" w:hAnsi="Times New Roman" w:cs="Times New Roman"/>
          <w:sz w:val="24"/>
          <w:szCs w:val="24"/>
          <w:lang w:val="en-US"/>
        </w:rPr>
        <w:t>,</w:t>
      </w:r>
      <w:r w:rsidR="001D58F3">
        <w:rPr>
          <w:rFonts w:ascii="Times New Roman" w:hAnsi="Times New Roman" w:cs="Times New Roman"/>
          <w:sz w:val="24"/>
          <w:szCs w:val="24"/>
          <w:lang w:val="en-US"/>
        </w:rPr>
        <w:t xml:space="preserve"> </w:t>
      </w:r>
      <w:r w:rsidR="00271E3E">
        <w:rPr>
          <w:rFonts w:ascii="Times New Roman" w:hAnsi="Times New Roman" w:cs="Times New Roman"/>
          <w:sz w:val="24"/>
          <w:szCs w:val="24"/>
          <w:lang w:val="en-US"/>
        </w:rPr>
        <w:t>00212</w:t>
      </w:r>
      <w:r w:rsidRPr="00C26B7A">
        <w:rPr>
          <w:rFonts w:ascii="Times New Roman" w:hAnsi="Times New Roman" w:cs="Times New Roman"/>
          <w:sz w:val="24"/>
          <w:szCs w:val="24"/>
          <w:lang w:val="en-US"/>
        </w:rPr>
        <w:t xml:space="preserve">. </w:t>
      </w:r>
      <w:hyperlink r:id="rId21" w:history="1">
        <w:r w:rsidRPr="00C26B7A">
          <w:rPr>
            <w:rStyle w:val="Hyperlink"/>
            <w:rFonts w:ascii="Times New Roman" w:hAnsi="Times New Roman" w:cs="Times New Roman"/>
            <w:sz w:val="24"/>
            <w:szCs w:val="24"/>
            <w:lang w:val="en-US"/>
          </w:rPr>
          <w:t>https://doi.org/10.15406/jnhfe.2017.06.00212</w:t>
        </w:r>
      </w:hyperlink>
    </w:p>
    <w:p w14:paraId="04B8395E" w14:textId="03A9EAA8" w:rsidR="00131FF2" w:rsidRPr="00C1596A" w:rsidRDefault="00131FF2" w:rsidP="00C26B7A">
      <w:pPr>
        <w:pStyle w:val="ListParagraph"/>
        <w:numPr>
          <w:ilvl w:val="0"/>
          <w:numId w:val="1"/>
        </w:numPr>
        <w:spacing w:line="278" w:lineRule="auto"/>
        <w:jc w:val="both"/>
        <w:rPr>
          <w:rFonts w:ascii="Times New Roman" w:hAnsi="Times New Roman" w:cs="Times New Roman"/>
          <w:sz w:val="24"/>
          <w:szCs w:val="24"/>
        </w:rPr>
      </w:pPr>
      <w:r w:rsidRPr="00C1596A">
        <w:rPr>
          <w:rFonts w:ascii="Times New Roman" w:hAnsi="Times New Roman" w:cs="Times New Roman"/>
          <w:sz w:val="24"/>
          <w:szCs w:val="24"/>
          <w:lang w:val="en-US"/>
        </w:rPr>
        <w:t xml:space="preserve">Kujoana, T. C., Weeks, W. J., Van Der Westhuizen, M. M., Mabelebele, M., &amp; Sebola, N. A. (2023). Potential significance of kenaf ( Hibiscus cannabinus L.) to global food and feed industries. </w:t>
      </w:r>
      <w:r w:rsidRPr="004D522D">
        <w:rPr>
          <w:rFonts w:ascii="Times New Roman" w:hAnsi="Times New Roman" w:cs="Times New Roman"/>
          <w:i/>
          <w:iCs/>
          <w:sz w:val="24"/>
          <w:szCs w:val="24"/>
        </w:rPr>
        <w:t>Cogent Food &amp; Agriculture</w:t>
      </w:r>
      <w:r w:rsidRPr="00C1596A">
        <w:rPr>
          <w:rFonts w:ascii="Times New Roman" w:hAnsi="Times New Roman" w:cs="Times New Roman"/>
          <w:sz w:val="24"/>
          <w:szCs w:val="24"/>
        </w:rPr>
        <w:t>, 9(1)</w:t>
      </w:r>
      <w:r w:rsidR="001722E9">
        <w:rPr>
          <w:rFonts w:ascii="Times New Roman" w:hAnsi="Times New Roman" w:cs="Times New Roman"/>
          <w:sz w:val="24"/>
          <w:szCs w:val="24"/>
        </w:rPr>
        <w:t>,</w:t>
      </w:r>
      <w:r w:rsidR="0060611A">
        <w:rPr>
          <w:rFonts w:ascii="Times New Roman" w:hAnsi="Times New Roman" w:cs="Times New Roman"/>
          <w:sz w:val="24"/>
          <w:szCs w:val="24"/>
        </w:rPr>
        <w:t xml:space="preserve"> 218401</w:t>
      </w:r>
      <w:r w:rsidR="00701E35">
        <w:rPr>
          <w:rFonts w:ascii="Times New Roman" w:hAnsi="Times New Roman" w:cs="Times New Roman"/>
          <w:sz w:val="24"/>
          <w:szCs w:val="24"/>
        </w:rPr>
        <w:t>4</w:t>
      </w:r>
      <w:r w:rsidRPr="00C1596A">
        <w:rPr>
          <w:rFonts w:ascii="Times New Roman" w:hAnsi="Times New Roman" w:cs="Times New Roman"/>
          <w:sz w:val="24"/>
          <w:szCs w:val="24"/>
        </w:rPr>
        <w:t xml:space="preserve">. </w:t>
      </w:r>
      <w:hyperlink r:id="rId22" w:history="1">
        <w:r w:rsidRPr="00C1596A">
          <w:rPr>
            <w:rStyle w:val="Hyperlink"/>
            <w:rFonts w:ascii="Times New Roman" w:hAnsi="Times New Roman" w:cs="Times New Roman"/>
            <w:sz w:val="24"/>
            <w:szCs w:val="24"/>
          </w:rPr>
          <w:t>https://doi.org/10.1080/23311932.2023.2184014</w:t>
        </w:r>
      </w:hyperlink>
      <w:r w:rsidRPr="00C1596A">
        <w:rPr>
          <w:rFonts w:ascii="Times New Roman" w:hAnsi="Times New Roman" w:cs="Times New Roman"/>
          <w:sz w:val="24"/>
          <w:szCs w:val="24"/>
        </w:rPr>
        <w:t xml:space="preserve"> </w:t>
      </w:r>
    </w:p>
    <w:p w14:paraId="2A7D903C" w14:textId="6974539E" w:rsidR="00131FF2" w:rsidRPr="000040E9" w:rsidRDefault="00131FF2" w:rsidP="00C26B7A">
      <w:pPr>
        <w:pStyle w:val="ListParagraph"/>
        <w:numPr>
          <w:ilvl w:val="0"/>
          <w:numId w:val="1"/>
        </w:numPr>
        <w:spacing w:line="278" w:lineRule="auto"/>
        <w:jc w:val="both"/>
        <w:rPr>
          <w:rFonts w:ascii="Times New Roman" w:hAnsi="Times New Roman" w:cs="Times New Roman"/>
          <w:sz w:val="24"/>
          <w:szCs w:val="24"/>
          <w:lang w:val="en-US"/>
        </w:rPr>
      </w:pPr>
      <w:r w:rsidRPr="00C26B7A">
        <w:rPr>
          <w:rFonts w:ascii="Times New Roman" w:hAnsi="Times New Roman" w:cs="Times New Roman"/>
          <w:sz w:val="24"/>
          <w:szCs w:val="24"/>
        </w:rPr>
        <w:t xml:space="preserve">Salami, S. O., &amp; Afolayan, A. J. (2021). </w:t>
      </w:r>
      <w:r w:rsidRPr="00C26B7A">
        <w:rPr>
          <w:rFonts w:ascii="Times New Roman" w:hAnsi="Times New Roman" w:cs="Times New Roman"/>
          <w:sz w:val="24"/>
          <w:szCs w:val="24"/>
          <w:lang w:val="en-US"/>
        </w:rPr>
        <w:t xml:space="preserve">Evaluation of nutritional and elemental compositions of green and red cultivars of roselle: Hibiscus sabdariffa L. </w:t>
      </w:r>
      <w:r w:rsidRPr="004D522D">
        <w:rPr>
          <w:rFonts w:ascii="Times New Roman" w:hAnsi="Times New Roman" w:cs="Times New Roman"/>
          <w:i/>
          <w:iCs/>
          <w:sz w:val="24"/>
          <w:szCs w:val="24"/>
          <w:lang w:val="en-US"/>
        </w:rPr>
        <w:t>Scientific Reports</w:t>
      </w:r>
      <w:r w:rsidRPr="00C26B7A">
        <w:rPr>
          <w:rFonts w:ascii="Times New Roman" w:hAnsi="Times New Roman" w:cs="Times New Roman"/>
          <w:sz w:val="24"/>
          <w:szCs w:val="24"/>
          <w:lang w:val="en-US"/>
        </w:rPr>
        <w:t>, 11(1)</w:t>
      </w:r>
      <w:r w:rsidR="001722E9">
        <w:rPr>
          <w:rFonts w:ascii="Times New Roman" w:hAnsi="Times New Roman" w:cs="Times New Roman"/>
          <w:sz w:val="24"/>
          <w:szCs w:val="24"/>
          <w:lang w:val="en-US"/>
        </w:rPr>
        <w:t>,</w:t>
      </w:r>
      <w:r w:rsidR="001F0742">
        <w:rPr>
          <w:rFonts w:ascii="Times New Roman" w:hAnsi="Times New Roman" w:cs="Times New Roman"/>
          <w:sz w:val="24"/>
          <w:szCs w:val="24"/>
          <w:lang w:val="en-US"/>
        </w:rPr>
        <w:t xml:space="preserve"> </w:t>
      </w:r>
      <w:r w:rsidR="000040E9">
        <w:rPr>
          <w:rFonts w:ascii="Times New Roman" w:hAnsi="Times New Roman" w:cs="Times New Roman"/>
          <w:sz w:val="24"/>
          <w:szCs w:val="24"/>
          <w:lang w:val="en-US"/>
        </w:rPr>
        <w:t>1030</w:t>
      </w:r>
      <w:r w:rsidRPr="00C26B7A">
        <w:rPr>
          <w:rFonts w:ascii="Times New Roman" w:hAnsi="Times New Roman" w:cs="Times New Roman"/>
          <w:sz w:val="24"/>
          <w:szCs w:val="24"/>
          <w:lang w:val="en-US"/>
        </w:rPr>
        <w:t xml:space="preserve">. </w:t>
      </w:r>
      <w:hyperlink r:id="rId23" w:history="1">
        <w:r w:rsidRPr="000040E9">
          <w:rPr>
            <w:rStyle w:val="Hyperlink"/>
            <w:rFonts w:ascii="Times New Roman" w:hAnsi="Times New Roman" w:cs="Times New Roman"/>
            <w:sz w:val="24"/>
            <w:szCs w:val="24"/>
            <w:lang w:val="en-US"/>
          </w:rPr>
          <w:t>https://doi.org/10.1038/s41598-020-80433-8</w:t>
        </w:r>
      </w:hyperlink>
    </w:p>
    <w:p w14:paraId="1A7B5461" w14:textId="0ECFD0B5"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rPr>
      </w:pPr>
      <w:r w:rsidRPr="00C26B7A">
        <w:rPr>
          <w:rFonts w:ascii="Times New Roman" w:hAnsi="Times New Roman" w:cs="Times New Roman"/>
          <w:sz w:val="24"/>
          <w:szCs w:val="24"/>
        </w:rPr>
        <w:t xml:space="preserve">Ticinesi, A., Nouvenne, A., Chiussi, G., Castaldo, G., Guerra, A., &amp; Meschi, T. (2020). </w:t>
      </w:r>
      <w:r w:rsidRPr="00C26B7A">
        <w:rPr>
          <w:rFonts w:ascii="Times New Roman" w:hAnsi="Times New Roman" w:cs="Times New Roman"/>
          <w:sz w:val="24"/>
          <w:szCs w:val="24"/>
          <w:lang w:val="en-US"/>
        </w:rPr>
        <w:t xml:space="preserve">Calcium Oxalate Nephrolithiasis and Gut Microbiota: Not just a Gut-Kidney Axis. </w:t>
      </w:r>
      <w:r w:rsidRPr="00C26B7A">
        <w:rPr>
          <w:rFonts w:ascii="Times New Roman" w:hAnsi="Times New Roman" w:cs="Times New Roman"/>
          <w:sz w:val="24"/>
          <w:szCs w:val="24"/>
        </w:rPr>
        <w:t xml:space="preserve">A Nutritional Perspective. </w:t>
      </w:r>
      <w:r w:rsidRPr="008953F0">
        <w:rPr>
          <w:rFonts w:ascii="Times New Roman" w:hAnsi="Times New Roman" w:cs="Times New Roman"/>
          <w:i/>
          <w:iCs/>
          <w:sz w:val="24"/>
          <w:szCs w:val="24"/>
        </w:rPr>
        <w:t>Nutrients</w:t>
      </w:r>
      <w:r w:rsidRPr="00C26B7A">
        <w:rPr>
          <w:rFonts w:ascii="Times New Roman" w:hAnsi="Times New Roman" w:cs="Times New Roman"/>
          <w:sz w:val="24"/>
          <w:szCs w:val="24"/>
        </w:rPr>
        <w:t>, 12(2)</w:t>
      </w:r>
      <w:r w:rsidR="00236CCC">
        <w:rPr>
          <w:rFonts w:ascii="Times New Roman" w:hAnsi="Times New Roman" w:cs="Times New Roman"/>
          <w:sz w:val="24"/>
          <w:szCs w:val="24"/>
        </w:rPr>
        <w:t>,</w:t>
      </w:r>
      <w:r w:rsidRPr="00C26B7A">
        <w:rPr>
          <w:rFonts w:ascii="Times New Roman" w:hAnsi="Times New Roman" w:cs="Times New Roman"/>
          <w:sz w:val="24"/>
          <w:szCs w:val="24"/>
        </w:rPr>
        <w:t xml:space="preserve"> 548. </w:t>
      </w:r>
      <w:hyperlink r:id="rId24" w:history="1">
        <w:r w:rsidRPr="00C26B7A">
          <w:rPr>
            <w:rStyle w:val="Hyperlink"/>
            <w:rFonts w:ascii="Times New Roman" w:hAnsi="Times New Roman" w:cs="Times New Roman"/>
            <w:sz w:val="24"/>
            <w:szCs w:val="24"/>
          </w:rPr>
          <w:t>https://doi.org/10.3390/nu12020548</w:t>
        </w:r>
      </w:hyperlink>
    </w:p>
    <w:p w14:paraId="0860C30A" w14:textId="4D56D43F"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rPr>
      </w:pPr>
      <w:r w:rsidRPr="00C26B7A">
        <w:rPr>
          <w:rFonts w:ascii="Times New Roman" w:hAnsi="Times New Roman" w:cs="Times New Roman"/>
          <w:sz w:val="24"/>
          <w:szCs w:val="24"/>
        </w:rPr>
        <w:t xml:space="preserve">Oliveira, M. O. D. S., Castiglioni, G. L., Pereira, J., Da Macena, M. A., Morais, R. A., De Souza Martins, G. A., &amp; Asquieri, E. R. (2025). </w:t>
      </w:r>
      <w:r w:rsidRPr="00C26B7A">
        <w:rPr>
          <w:rFonts w:ascii="Times New Roman" w:hAnsi="Times New Roman" w:cs="Times New Roman"/>
          <w:sz w:val="24"/>
          <w:szCs w:val="24"/>
          <w:lang w:val="en-US"/>
        </w:rPr>
        <w:t xml:space="preserve">Evaluating the nutritional and bioactive composition of grape, jaboticaba, and hibiscus by-product flours as potential ingredients for the food industry. </w:t>
      </w:r>
      <w:r w:rsidRPr="00236D5C">
        <w:rPr>
          <w:rFonts w:ascii="Times New Roman" w:hAnsi="Times New Roman" w:cs="Times New Roman"/>
          <w:i/>
          <w:iCs/>
          <w:sz w:val="24"/>
          <w:szCs w:val="24"/>
        </w:rPr>
        <w:t>Journal of Food Measurement &amp; Characterization</w:t>
      </w:r>
      <w:r w:rsidR="006017F4">
        <w:rPr>
          <w:rFonts w:ascii="Times New Roman" w:hAnsi="Times New Roman" w:cs="Times New Roman"/>
          <w:sz w:val="24"/>
          <w:szCs w:val="24"/>
        </w:rPr>
        <w:t xml:space="preserve">, </w:t>
      </w:r>
      <w:r w:rsidR="006017F4" w:rsidRPr="006017F4">
        <w:rPr>
          <w:rFonts w:ascii="Times New Roman" w:hAnsi="Times New Roman" w:cs="Times New Roman"/>
          <w:sz w:val="24"/>
          <w:szCs w:val="24"/>
        </w:rPr>
        <w:t>19</w:t>
      </w:r>
      <w:r w:rsidR="00236CCC">
        <w:rPr>
          <w:rFonts w:ascii="Times New Roman" w:hAnsi="Times New Roman" w:cs="Times New Roman"/>
          <w:sz w:val="24"/>
          <w:szCs w:val="24"/>
        </w:rPr>
        <w:t xml:space="preserve">, </w:t>
      </w:r>
      <w:r w:rsidR="006017F4" w:rsidRPr="006017F4">
        <w:rPr>
          <w:rFonts w:ascii="Times New Roman" w:hAnsi="Times New Roman" w:cs="Times New Roman"/>
          <w:sz w:val="24"/>
          <w:szCs w:val="24"/>
        </w:rPr>
        <w:t>3725</w:t>
      </w:r>
      <w:r w:rsidR="006017F4">
        <w:rPr>
          <w:rFonts w:ascii="Times New Roman" w:hAnsi="Times New Roman" w:cs="Times New Roman"/>
          <w:sz w:val="24"/>
          <w:szCs w:val="24"/>
        </w:rPr>
        <w:t>-</w:t>
      </w:r>
      <w:r w:rsidR="006017F4" w:rsidRPr="006017F4">
        <w:rPr>
          <w:rFonts w:ascii="Times New Roman" w:hAnsi="Times New Roman" w:cs="Times New Roman"/>
          <w:sz w:val="24"/>
          <w:szCs w:val="24"/>
        </w:rPr>
        <w:t>3740</w:t>
      </w:r>
      <w:r w:rsidRPr="00C26B7A">
        <w:rPr>
          <w:rFonts w:ascii="Times New Roman" w:hAnsi="Times New Roman" w:cs="Times New Roman"/>
          <w:sz w:val="24"/>
          <w:szCs w:val="24"/>
        </w:rPr>
        <w:t xml:space="preserve">. </w:t>
      </w:r>
      <w:hyperlink r:id="rId25" w:history="1">
        <w:r w:rsidRPr="00C26B7A">
          <w:rPr>
            <w:rStyle w:val="Hyperlink"/>
            <w:rFonts w:ascii="Times New Roman" w:hAnsi="Times New Roman" w:cs="Times New Roman"/>
            <w:sz w:val="24"/>
            <w:szCs w:val="24"/>
          </w:rPr>
          <w:t>https://doi.org/10.1007/s11694-025-03222-9</w:t>
        </w:r>
      </w:hyperlink>
      <w:r w:rsidRPr="00C26B7A">
        <w:rPr>
          <w:rFonts w:ascii="Times New Roman" w:hAnsi="Times New Roman" w:cs="Times New Roman"/>
          <w:sz w:val="24"/>
          <w:szCs w:val="24"/>
        </w:rPr>
        <w:t xml:space="preserve"> </w:t>
      </w:r>
    </w:p>
    <w:p w14:paraId="03271A26" w14:textId="13CE5B66"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rPr>
      </w:pPr>
      <w:r w:rsidRPr="00C26B7A">
        <w:rPr>
          <w:rFonts w:ascii="Times New Roman" w:hAnsi="Times New Roman" w:cs="Times New Roman"/>
          <w:sz w:val="24"/>
          <w:szCs w:val="24"/>
          <w:lang w:val="en-US"/>
        </w:rPr>
        <w:t xml:space="preserve">Alharbi, A. E., AlHussaini, A. M., &amp; Alshami, I. (2024). A comprehensive review of the antimicrobial effects of hibiscus species. </w:t>
      </w:r>
      <w:r w:rsidRPr="00236D5C">
        <w:rPr>
          <w:rFonts w:ascii="Times New Roman" w:hAnsi="Times New Roman" w:cs="Times New Roman"/>
          <w:i/>
          <w:iCs/>
          <w:sz w:val="24"/>
          <w:szCs w:val="24"/>
        </w:rPr>
        <w:t>Cureus</w:t>
      </w:r>
      <w:r w:rsidR="00416D3F">
        <w:rPr>
          <w:rFonts w:ascii="Times New Roman" w:hAnsi="Times New Roman" w:cs="Times New Roman"/>
          <w:sz w:val="24"/>
          <w:szCs w:val="24"/>
        </w:rPr>
        <w:t xml:space="preserve">, </w:t>
      </w:r>
      <w:r w:rsidR="00416D3F" w:rsidRPr="00416D3F">
        <w:rPr>
          <w:rFonts w:ascii="Times New Roman" w:hAnsi="Times New Roman" w:cs="Times New Roman"/>
          <w:sz w:val="24"/>
          <w:szCs w:val="24"/>
        </w:rPr>
        <w:t>16(11)</w:t>
      </w:r>
      <w:r w:rsidR="00236CCC">
        <w:rPr>
          <w:rFonts w:ascii="Times New Roman" w:hAnsi="Times New Roman" w:cs="Times New Roman"/>
          <w:sz w:val="24"/>
          <w:szCs w:val="24"/>
        </w:rPr>
        <w:t>,</w:t>
      </w:r>
      <w:r w:rsidR="00416D3F" w:rsidRPr="00416D3F">
        <w:rPr>
          <w:rFonts w:ascii="Times New Roman" w:hAnsi="Times New Roman" w:cs="Times New Roman"/>
          <w:sz w:val="24"/>
          <w:szCs w:val="24"/>
        </w:rPr>
        <w:t xml:space="preserve"> e73062</w:t>
      </w:r>
      <w:r w:rsidRPr="00C26B7A">
        <w:rPr>
          <w:rFonts w:ascii="Times New Roman" w:hAnsi="Times New Roman" w:cs="Times New Roman"/>
          <w:sz w:val="24"/>
          <w:szCs w:val="24"/>
        </w:rPr>
        <w:t xml:space="preserve">. </w:t>
      </w:r>
      <w:hyperlink r:id="rId26" w:history="1">
        <w:r w:rsidRPr="00C26B7A">
          <w:rPr>
            <w:rStyle w:val="Hyperlink"/>
            <w:rFonts w:ascii="Times New Roman" w:hAnsi="Times New Roman" w:cs="Times New Roman"/>
            <w:sz w:val="24"/>
            <w:szCs w:val="24"/>
          </w:rPr>
          <w:t>https://doi.org/10.7759/cureus.73062</w:t>
        </w:r>
      </w:hyperlink>
    </w:p>
    <w:p w14:paraId="0E22CA2C" w14:textId="3CCBEC3D" w:rsidR="00131FF2" w:rsidRPr="00BE314D" w:rsidRDefault="00131FF2" w:rsidP="00C26B7A">
      <w:pPr>
        <w:pStyle w:val="ListParagraph"/>
        <w:numPr>
          <w:ilvl w:val="0"/>
          <w:numId w:val="1"/>
        </w:numPr>
        <w:spacing w:line="278" w:lineRule="auto"/>
        <w:jc w:val="both"/>
        <w:rPr>
          <w:rFonts w:ascii="Times New Roman" w:hAnsi="Times New Roman" w:cs="Times New Roman"/>
          <w:sz w:val="24"/>
          <w:szCs w:val="24"/>
        </w:rPr>
      </w:pPr>
      <w:r w:rsidRPr="00C26B7A">
        <w:rPr>
          <w:rFonts w:ascii="Times New Roman" w:hAnsi="Times New Roman" w:cs="Times New Roman"/>
          <w:sz w:val="24"/>
          <w:szCs w:val="24"/>
          <w:lang w:val="en-US"/>
        </w:rPr>
        <w:t xml:space="preserve">Pérez-Torres, I., Castrejón-Téllez, V., Soto, M. E., Rubio-Ruiz, M. E., Manzano-Pech, L., &amp; Guarner-Lans, V. (2021). Oxidative stress, plant natural antioxidants, and obesity. </w:t>
      </w:r>
      <w:r w:rsidRPr="00F43439">
        <w:rPr>
          <w:rFonts w:ascii="Times New Roman" w:hAnsi="Times New Roman" w:cs="Times New Roman"/>
          <w:i/>
          <w:iCs/>
          <w:sz w:val="24"/>
          <w:szCs w:val="24"/>
        </w:rPr>
        <w:t>International Journal of Molecular Sciences</w:t>
      </w:r>
      <w:r w:rsidRPr="00C26B7A">
        <w:rPr>
          <w:rFonts w:ascii="Times New Roman" w:hAnsi="Times New Roman" w:cs="Times New Roman"/>
          <w:sz w:val="24"/>
          <w:szCs w:val="24"/>
        </w:rPr>
        <w:t>, 22(4)</w:t>
      </w:r>
      <w:r w:rsidR="00236CCC">
        <w:rPr>
          <w:rFonts w:ascii="Times New Roman" w:hAnsi="Times New Roman" w:cs="Times New Roman"/>
          <w:sz w:val="24"/>
          <w:szCs w:val="24"/>
        </w:rPr>
        <w:t>,</w:t>
      </w:r>
      <w:r w:rsidRPr="00C26B7A">
        <w:rPr>
          <w:rFonts w:ascii="Times New Roman" w:hAnsi="Times New Roman" w:cs="Times New Roman"/>
          <w:sz w:val="24"/>
          <w:szCs w:val="24"/>
        </w:rPr>
        <w:t xml:space="preserve"> 1786. </w:t>
      </w:r>
      <w:hyperlink r:id="rId27" w:history="1">
        <w:r w:rsidRPr="00BE314D">
          <w:rPr>
            <w:rStyle w:val="Hyperlink"/>
            <w:rFonts w:ascii="Times New Roman" w:hAnsi="Times New Roman" w:cs="Times New Roman"/>
            <w:sz w:val="24"/>
            <w:szCs w:val="24"/>
          </w:rPr>
          <w:t>https://doi.org/10.3390/ijms22041786</w:t>
        </w:r>
      </w:hyperlink>
    </w:p>
    <w:p w14:paraId="67B2AD76" w14:textId="5DAAB82E" w:rsidR="00131FF2" w:rsidRPr="00BE314D" w:rsidRDefault="00131FF2" w:rsidP="00C26B7A">
      <w:pPr>
        <w:pStyle w:val="ListParagraph"/>
        <w:numPr>
          <w:ilvl w:val="0"/>
          <w:numId w:val="1"/>
        </w:numPr>
        <w:spacing w:line="278" w:lineRule="auto"/>
        <w:jc w:val="both"/>
        <w:rPr>
          <w:rFonts w:ascii="Times New Roman" w:hAnsi="Times New Roman" w:cs="Times New Roman"/>
          <w:sz w:val="24"/>
          <w:szCs w:val="24"/>
        </w:rPr>
      </w:pPr>
      <w:r w:rsidRPr="00BE314D">
        <w:rPr>
          <w:rFonts w:ascii="Times New Roman" w:hAnsi="Times New Roman" w:cs="Times New Roman"/>
          <w:sz w:val="24"/>
          <w:szCs w:val="24"/>
        </w:rPr>
        <w:t xml:space="preserve">Amtaghri, S., Qabouche, A., Slaoui, M., &amp; Eddouks, M. (2023). </w:t>
      </w:r>
      <w:r w:rsidRPr="00BE314D">
        <w:rPr>
          <w:rFonts w:ascii="Times New Roman" w:hAnsi="Times New Roman" w:cs="Times New Roman"/>
          <w:sz w:val="24"/>
          <w:szCs w:val="24"/>
          <w:lang w:val="en-US"/>
        </w:rPr>
        <w:t xml:space="preserve">A Comprehensive Overview of Hibiscus rosa-sinensis L.: Its Ethnobotanical Uses, Phytochemistry, Therapeutic Uses, Pharmacological Activities, and Toxicology. </w:t>
      </w:r>
      <w:r w:rsidRPr="00E159D6">
        <w:rPr>
          <w:rFonts w:ascii="Times New Roman" w:hAnsi="Times New Roman" w:cs="Times New Roman"/>
          <w:i/>
          <w:iCs/>
          <w:sz w:val="24"/>
          <w:szCs w:val="24"/>
        </w:rPr>
        <w:t>Endocrine Metabolic &amp; Immune Disorders - Drug Targets</w:t>
      </w:r>
      <w:r w:rsidRPr="00BE314D">
        <w:rPr>
          <w:rFonts w:ascii="Times New Roman" w:hAnsi="Times New Roman" w:cs="Times New Roman"/>
          <w:sz w:val="24"/>
          <w:szCs w:val="24"/>
        </w:rPr>
        <w:t>, 24(1)</w:t>
      </w:r>
      <w:r w:rsidR="00236CCC">
        <w:rPr>
          <w:rFonts w:ascii="Times New Roman" w:hAnsi="Times New Roman" w:cs="Times New Roman"/>
          <w:sz w:val="24"/>
          <w:szCs w:val="24"/>
        </w:rPr>
        <w:t>,</w:t>
      </w:r>
      <w:r w:rsidRPr="00BE314D">
        <w:rPr>
          <w:rFonts w:ascii="Times New Roman" w:hAnsi="Times New Roman" w:cs="Times New Roman"/>
          <w:sz w:val="24"/>
          <w:szCs w:val="24"/>
        </w:rPr>
        <w:t xml:space="preserve"> 86</w:t>
      </w:r>
      <w:r w:rsidR="006C71CA">
        <w:rPr>
          <w:rFonts w:ascii="Times New Roman" w:hAnsi="Times New Roman" w:cs="Times New Roman"/>
          <w:sz w:val="24"/>
          <w:szCs w:val="24"/>
        </w:rPr>
        <w:t>-</w:t>
      </w:r>
      <w:r w:rsidRPr="00BE314D">
        <w:rPr>
          <w:rFonts w:ascii="Times New Roman" w:hAnsi="Times New Roman" w:cs="Times New Roman"/>
          <w:sz w:val="24"/>
          <w:szCs w:val="24"/>
        </w:rPr>
        <w:t xml:space="preserve">115. </w:t>
      </w:r>
      <w:hyperlink r:id="rId28" w:history="1">
        <w:r w:rsidRPr="00BE314D">
          <w:rPr>
            <w:rStyle w:val="Hyperlink"/>
            <w:rFonts w:ascii="Times New Roman" w:hAnsi="Times New Roman" w:cs="Times New Roman"/>
            <w:sz w:val="24"/>
            <w:szCs w:val="24"/>
          </w:rPr>
          <w:t>https://doi.org/10.2174/1871530323666230522113405</w:t>
        </w:r>
      </w:hyperlink>
    </w:p>
    <w:p w14:paraId="4CB5708B" w14:textId="5E58EB15"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rPr>
      </w:pPr>
      <w:r w:rsidRPr="00C26B7A">
        <w:rPr>
          <w:rFonts w:ascii="Times New Roman" w:hAnsi="Times New Roman" w:cs="Times New Roman"/>
          <w:sz w:val="24"/>
          <w:szCs w:val="24"/>
          <w:lang w:val="en-US"/>
        </w:rPr>
        <w:t xml:space="preserve">Abdelhafez, O. H., Othman, E. M., Fahim, J. R., Desoukey, S. Y., Pimentel‐Elardo, S. M., Nodwell, J. R., Schirmeister, T., Tawfike, A., &amp; Abdelmohsen, U. R. (2019). Metabolomics analysis and biological investigation of three Malvaceae plants. </w:t>
      </w:r>
      <w:r w:rsidRPr="003C1C71">
        <w:rPr>
          <w:rFonts w:ascii="Times New Roman" w:hAnsi="Times New Roman" w:cs="Times New Roman"/>
          <w:i/>
          <w:iCs/>
          <w:sz w:val="24"/>
          <w:szCs w:val="24"/>
          <w:lang w:val="en-US"/>
        </w:rPr>
        <w:t>Phytochemical Analysis</w:t>
      </w:r>
      <w:r w:rsidRPr="00C26B7A">
        <w:rPr>
          <w:rFonts w:ascii="Times New Roman" w:hAnsi="Times New Roman" w:cs="Times New Roman"/>
          <w:sz w:val="24"/>
          <w:szCs w:val="24"/>
          <w:lang w:val="en-US"/>
        </w:rPr>
        <w:t>, 31(2)</w:t>
      </w:r>
      <w:r w:rsidR="00236CCC">
        <w:rPr>
          <w:rFonts w:ascii="Times New Roman" w:hAnsi="Times New Roman" w:cs="Times New Roman"/>
          <w:sz w:val="24"/>
          <w:szCs w:val="24"/>
          <w:lang w:val="en-US"/>
        </w:rPr>
        <w:t>,</w:t>
      </w:r>
      <w:r w:rsidRPr="00C26B7A">
        <w:rPr>
          <w:rFonts w:ascii="Times New Roman" w:hAnsi="Times New Roman" w:cs="Times New Roman"/>
          <w:sz w:val="24"/>
          <w:szCs w:val="24"/>
          <w:lang w:val="en-US"/>
        </w:rPr>
        <w:t xml:space="preserve"> 204</w:t>
      </w:r>
      <w:r w:rsidR="00F00B54">
        <w:rPr>
          <w:rFonts w:ascii="Times New Roman" w:hAnsi="Times New Roman" w:cs="Times New Roman"/>
          <w:sz w:val="24"/>
          <w:szCs w:val="24"/>
          <w:lang w:val="en-US"/>
        </w:rPr>
        <w:t>-</w:t>
      </w:r>
      <w:r w:rsidRPr="00C26B7A">
        <w:rPr>
          <w:rFonts w:ascii="Times New Roman" w:hAnsi="Times New Roman" w:cs="Times New Roman"/>
          <w:sz w:val="24"/>
          <w:szCs w:val="24"/>
          <w:lang w:val="en-US"/>
        </w:rPr>
        <w:t xml:space="preserve">214. </w:t>
      </w:r>
      <w:hyperlink r:id="rId29" w:history="1">
        <w:r w:rsidRPr="00C26B7A">
          <w:rPr>
            <w:rStyle w:val="Hyperlink"/>
            <w:rFonts w:ascii="Times New Roman" w:hAnsi="Times New Roman" w:cs="Times New Roman"/>
            <w:sz w:val="24"/>
            <w:szCs w:val="24"/>
          </w:rPr>
          <w:t>https://doi.org/10.1002/pca.2883</w:t>
        </w:r>
      </w:hyperlink>
    </w:p>
    <w:p w14:paraId="32E1CB57" w14:textId="5EE77CA0"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lang w:val="en-US"/>
        </w:rPr>
      </w:pPr>
      <w:r w:rsidRPr="00C26B7A">
        <w:rPr>
          <w:rFonts w:ascii="Times New Roman" w:hAnsi="Times New Roman" w:cs="Times New Roman"/>
          <w:sz w:val="24"/>
          <w:szCs w:val="24"/>
        </w:rPr>
        <w:lastRenderedPageBreak/>
        <w:t xml:space="preserve">Jean, K., Odon, M., Seraphin, M., Maurice, N., &amp; Junior, K. (2018). </w:t>
      </w:r>
      <w:r w:rsidRPr="00C26B7A">
        <w:rPr>
          <w:rFonts w:ascii="Times New Roman" w:hAnsi="Times New Roman" w:cs="Times New Roman"/>
          <w:sz w:val="24"/>
          <w:szCs w:val="24"/>
          <w:lang w:val="en-US"/>
        </w:rPr>
        <w:t xml:space="preserve">A study of oxalate content of some selected species of hibiscus cultivated in Kwilu State/Democratic Republic of Congo. </w:t>
      </w:r>
      <w:r w:rsidRPr="003C1C71">
        <w:rPr>
          <w:rFonts w:ascii="Times New Roman" w:hAnsi="Times New Roman" w:cs="Times New Roman"/>
          <w:i/>
          <w:iCs/>
          <w:sz w:val="24"/>
          <w:szCs w:val="24"/>
          <w:lang w:val="en-US"/>
        </w:rPr>
        <w:t>Journal of Scientific Research and Reports</w:t>
      </w:r>
      <w:r w:rsidRPr="00C26B7A">
        <w:rPr>
          <w:rFonts w:ascii="Times New Roman" w:hAnsi="Times New Roman" w:cs="Times New Roman"/>
          <w:sz w:val="24"/>
          <w:szCs w:val="24"/>
          <w:lang w:val="en-US"/>
        </w:rPr>
        <w:t>, 19(4)</w:t>
      </w:r>
      <w:r w:rsidR="00236CCC">
        <w:rPr>
          <w:rFonts w:ascii="Times New Roman" w:hAnsi="Times New Roman" w:cs="Times New Roman"/>
          <w:sz w:val="24"/>
          <w:szCs w:val="24"/>
          <w:lang w:val="en-US"/>
        </w:rPr>
        <w:t>,</w:t>
      </w:r>
      <w:r w:rsidRPr="00C26B7A">
        <w:rPr>
          <w:rFonts w:ascii="Times New Roman" w:hAnsi="Times New Roman" w:cs="Times New Roman"/>
          <w:sz w:val="24"/>
          <w:szCs w:val="24"/>
          <w:lang w:val="en-US"/>
        </w:rPr>
        <w:t xml:space="preserve"> 1</w:t>
      </w:r>
      <w:r w:rsidR="00F00B54">
        <w:rPr>
          <w:rFonts w:ascii="Times New Roman" w:hAnsi="Times New Roman" w:cs="Times New Roman"/>
          <w:sz w:val="24"/>
          <w:szCs w:val="24"/>
          <w:lang w:val="en-US"/>
        </w:rPr>
        <w:t>-</w:t>
      </w:r>
      <w:r w:rsidRPr="00C26B7A">
        <w:rPr>
          <w:rFonts w:ascii="Times New Roman" w:hAnsi="Times New Roman" w:cs="Times New Roman"/>
          <w:sz w:val="24"/>
          <w:szCs w:val="24"/>
          <w:lang w:val="en-US"/>
        </w:rPr>
        <w:t xml:space="preserve">7. </w:t>
      </w:r>
      <w:hyperlink r:id="rId30" w:history="1">
        <w:r w:rsidRPr="00C26B7A">
          <w:rPr>
            <w:rStyle w:val="Hyperlink"/>
            <w:rFonts w:ascii="Times New Roman" w:hAnsi="Times New Roman" w:cs="Times New Roman"/>
            <w:sz w:val="24"/>
            <w:szCs w:val="24"/>
            <w:lang w:val="en-US"/>
          </w:rPr>
          <w:t>https://doi.org/10.9734/jsrr/2018/38342</w:t>
        </w:r>
      </w:hyperlink>
    </w:p>
    <w:p w14:paraId="1B429449" w14:textId="56392C87"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rPr>
      </w:pPr>
      <w:r w:rsidRPr="00C26B7A">
        <w:rPr>
          <w:rFonts w:ascii="Times New Roman" w:hAnsi="Times New Roman" w:cs="Times New Roman"/>
          <w:sz w:val="24"/>
          <w:szCs w:val="24"/>
          <w:lang w:val="en-US"/>
        </w:rPr>
        <w:t xml:space="preserve">Babayemi, J., Dauda, K., Nwude, D., &amp; Kayode, A. (2010). Evaluation of the Composition and Chemistry of Ash and Potash from Various Plant Materials-A Review. </w:t>
      </w:r>
      <w:r w:rsidRPr="00346203">
        <w:rPr>
          <w:rFonts w:ascii="Times New Roman" w:hAnsi="Times New Roman" w:cs="Times New Roman"/>
          <w:i/>
          <w:iCs/>
          <w:sz w:val="24"/>
          <w:szCs w:val="24"/>
        </w:rPr>
        <w:t>Journal of Applied Sciences</w:t>
      </w:r>
      <w:r w:rsidRPr="00C26B7A">
        <w:rPr>
          <w:rFonts w:ascii="Times New Roman" w:hAnsi="Times New Roman" w:cs="Times New Roman"/>
          <w:sz w:val="24"/>
          <w:szCs w:val="24"/>
        </w:rPr>
        <w:t>, 10(16)</w:t>
      </w:r>
      <w:r w:rsidR="005D78E4">
        <w:rPr>
          <w:rFonts w:ascii="Times New Roman" w:hAnsi="Times New Roman" w:cs="Times New Roman"/>
          <w:sz w:val="24"/>
          <w:szCs w:val="24"/>
        </w:rPr>
        <w:t>,</w:t>
      </w:r>
      <w:r w:rsidRPr="00C26B7A">
        <w:rPr>
          <w:rFonts w:ascii="Times New Roman" w:hAnsi="Times New Roman" w:cs="Times New Roman"/>
          <w:sz w:val="24"/>
          <w:szCs w:val="24"/>
        </w:rPr>
        <w:t xml:space="preserve"> 1820</w:t>
      </w:r>
      <w:r w:rsidR="00F00B54">
        <w:rPr>
          <w:rFonts w:ascii="Times New Roman" w:hAnsi="Times New Roman" w:cs="Times New Roman"/>
          <w:sz w:val="24"/>
          <w:szCs w:val="24"/>
        </w:rPr>
        <w:t>-</w:t>
      </w:r>
      <w:r w:rsidRPr="00C26B7A">
        <w:rPr>
          <w:rFonts w:ascii="Times New Roman" w:hAnsi="Times New Roman" w:cs="Times New Roman"/>
          <w:sz w:val="24"/>
          <w:szCs w:val="24"/>
        </w:rPr>
        <w:t xml:space="preserve">1824. </w:t>
      </w:r>
      <w:hyperlink r:id="rId31" w:history="1">
        <w:r w:rsidRPr="00C26B7A">
          <w:rPr>
            <w:rStyle w:val="Hyperlink"/>
            <w:rFonts w:ascii="Times New Roman" w:hAnsi="Times New Roman" w:cs="Times New Roman"/>
            <w:sz w:val="24"/>
            <w:szCs w:val="24"/>
          </w:rPr>
          <w:t>https://doi.org/10.3923/jas.2010.1820.1824</w:t>
        </w:r>
      </w:hyperlink>
    </w:p>
    <w:p w14:paraId="643F7987" w14:textId="7A58D395" w:rsidR="00131FF2" w:rsidRPr="00F859DF" w:rsidRDefault="00131FF2" w:rsidP="00C26B7A">
      <w:pPr>
        <w:pStyle w:val="ListParagraph"/>
        <w:numPr>
          <w:ilvl w:val="0"/>
          <w:numId w:val="1"/>
        </w:numPr>
        <w:spacing w:line="278" w:lineRule="auto"/>
        <w:jc w:val="both"/>
        <w:rPr>
          <w:rFonts w:ascii="Times New Roman" w:hAnsi="Times New Roman" w:cs="Times New Roman"/>
          <w:sz w:val="24"/>
          <w:szCs w:val="24"/>
          <w:lang w:val="en-US"/>
        </w:rPr>
      </w:pPr>
      <w:r w:rsidRPr="00B70A24">
        <w:rPr>
          <w:rFonts w:ascii="Times New Roman" w:hAnsi="Times New Roman" w:cs="Times New Roman"/>
          <w:sz w:val="24"/>
          <w:szCs w:val="24"/>
        </w:rPr>
        <w:t xml:space="preserve">Karamad, D., Khosravi-Darani, K., Hosseini, H., &amp; Tavasoli, S. (2019). </w:t>
      </w:r>
      <w:r w:rsidRPr="00B70A24">
        <w:rPr>
          <w:rFonts w:ascii="Times New Roman" w:hAnsi="Times New Roman" w:cs="Times New Roman"/>
          <w:sz w:val="24"/>
          <w:szCs w:val="24"/>
          <w:lang w:val="en-US"/>
        </w:rPr>
        <w:t xml:space="preserve">Analytical procedures and methods validation for oxalate content estimation. </w:t>
      </w:r>
      <w:r w:rsidRPr="00346203">
        <w:rPr>
          <w:rFonts w:ascii="Times New Roman" w:hAnsi="Times New Roman" w:cs="Times New Roman"/>
          <w:i/>
          <w:iCs/>
          <w:sz w:val="24"/>
          <w:szCs w:val="24"/>
          <w:lang w:val="en-US"/>
        </w:rPr>
        <w:t>Biointerface Research in Applied Chemistry</w:t>
      </w:r>
      <w:r w:rsidRPr="00B70A24">
        <w:rPr>
          <w:rFonts w:ascii="Times New Roman" w:hAnsi="Times New Roman" w:cs="Times New Roman"/>
          <w:sz w:val="24"/>
          <w:szCs w:val="24"/>
          <w:lang w:val="en-US"/>
        </w:rPr>
        <w:t>, 9(5)</w:t>
      </w:r>
      <w:r w:rsidR="005D78E4">
        <w:rPr>
          <w:rFonts w:ascii="Times New Roman" w:hAnsi="Times New Roman" w:cs="Times New Roman"/>
          <w:sz w:val="24"/>
          <w:szCs w:val="24"/>
          <w:lang w:val="en-US"/>
        </w:rPr>
        <w:t>,</w:t>
      </w:r>
      <w:r w:rsidRPr="00B70A24">
        <w:rPr>
          <w:rFonts w:ascii="Times New Roman" w:hAnsi="Times New Roman" w:cs="Times New Roman"/>
          <w:sz w:val="24"/>
          <w:szCs w:val="24"/>
          <w:lang w:val="en-US"/>
        </w:rPr>
        <w:t xml:space="preserve"> 4305</w:t>
      </w:r>
      <w:r w:rsidR="00F00B54">
        <w:rPr>
          <w:rFonts w:ascii="Times New Roman" w:hAnsi="Times New Roman" w:cs="Times New Roman"/>
          <w:sz w:val="24"/>
          <w:szCs w:val="24"/>
          <w:lang w:val="en-US"/>
        </w:rPr>
        <w:t>-</w:t>
      </w:r>
      <w:r w:rsidRPr="00B70A24">
        <w:rPr>
          <w:rFonts w:ascii="Times New Roman" w:hAnsi="Times New Roman" w:cs="Times New Roman"/>
          <w:sz w:val="24"/>
          <w:szCs w:val="24"/>
          <w:lang w:val="en-US"/>
        </w:rPr>
        <w:t xml:space="preserve">4310. </w:t>
      </w:r>
    </w:p>
    <w:p w14:paraId="3A024181" w14:textId="4AE76C16"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rPr>
      </w:pPr>
      <w:r w:rsidRPr="00F859DF">
        <w:rPr>
          <w:rFonts w:ascii="Times New Roman" w:hAnsi="Times New Roman" w:cs="Times New Roman"/>
          <w:sz w:val="24"/>
          <w:szCs w:val="24"/>
          <w:lang w:val="en-US"/>
        </w:rPr>
        <w:t xml:space="preserve">Sarifudin, A., Ratnawati, L., Indrianti, N., Ekafitri, R., Sholichah, E., Afifah, N., Desnilasari, D., Nugroho, P., &amp; Yuniar, A. D. (2022). </w:t>
      </w:r>
      <w:r w:rsidRPr="00C26B7A">
        <w:rPr>
          <w:rFonts w:ascii="Times New Roman" w:hAnsi="Times New Roman" w:cs="Times New Roman"/>
          <w:sz w:val="24"/>
          <w:szCs w:val="24"/>
          <w:lang w:val="en-US"/>
        </w:rPr>
        <w:t xml:space="preserve">Evaluation of some analytical methods for determination of calcium oxalate in Amorphophallus muelleri flour. </w:t>
      </w:r>
      <w:r w:rsidRPr="00346203">
        <w:rPr>
          <w:rFonts w:ascii="Times New Roman" w:hAnsi="Times New Roman" w:cs="Times New Roman"/>
          <w:i/>
          <w:iCs/>
          <w:sz w:val="24"/>
          <w:szCs w:val="24"/>
        </w:rPr>
        <w:t>Food Science and Technology</w:t>
      </w:r>
      <w:r w:rsidRPr="00C26B7A">
        <w:rPr>
          <w:rFonts w:ascii="Times New Roman" w:hAnsi="Times New Roman" w:cs="Times New Roman"/>
          <w:sz w:val="24"/>
          <w:szCs w:val="24"/>
        </w:rPr>
        <w:t>, 42</w:t>
      </w:r>
      <w:r w:rsidR="005B03AA">
        <w:rPr>
          <w:rFonts w:ascii="Times New Roman" w:hAnsi="Times New Roman" w:cs="Times New Roman"/>
          <w:sz w:val="24"/>
          <w:szCs w:val="24"/>
        </w:rPr>
        <w:t xml:space="preserve">, </w:t>
      </w:r>
      <w:r w:rsidR="005B03AA" w:rsidRPr="005B03AA">
        <w:rPr>
          <w:rFonts w:ascii="Times New Roman" w:hAnsi="Times New Roman" w:cs="Times New Roman"/>
          <w:sz w:val="24"/>
          <w:szCs w:val="24"/>
        </w:rPr>
        <w:t>e09522</w:t>
      </w:r>
      <w:r w:rsidRPr="00C26B7A">
        <w:rPr>
          <w:rFonts w:ascii="Times New Roman" w:hAnsi="Times New Roman" w:cs="Times New Roman"/>
          <w:sz w:val="24"/>
          <w:szCs w:val="24"/>
        </w:rPr>
        <w:t xml:space="preserve">. </w:t>
      </w:r>
      <w:hyperlink r:id="rId32" w:history="1">
        <w:r w:rsidR="002313DF" w:rsidRPr="007B735B">
          <w:rPr>
            <w:rStyle w:val="Hyperlink"/>
            <w:rFonts w:ascii="Times New Roman" w:hAnsi="Times New Roman" w:cs="Times New Roman"/>
            <w:sz w:val="24"/>
            <w:szCs w:val="24"/>
          </w:rPr>
          <w:t>https://doi.org/10.1590/fst.09522</w:t>
        </w:r>
      </w:hyperlink>
    </w:p>
    <w:p w14:paraId="0397CB1B" w14:textId="0BB441E7" w:rsidR="00131FF2" w:rsidRPr="00C26B7A" w:rsidRDefault="00131FF2" w:rsidP="00C26B7A">
      <w:pPr>
        <w:pStyle w:val="ListParagraph"/>
        <w:numPr>
          <w:ilvl w:val="0"/>
          <w:numId w:val="1"/>
        </w:numPr>
        <w:spacing w:line="278" w:lineRule="auto"/>
        <w:jc w:val="both"/>
        <w:rPr>
          <w:rFonts w:ascii="Times New Roman" w:hAnsi="Times New Roman" w:cs="Times New Roman"/>
          <w:sz w:val="24"/>
          <w:szCs w:val="24"/>
          <w:lang w:val="en-US"/>
        </w:rPr>
      </w:pPr>
      <w:r w:rsidRPr="00C26B7A">
        <w:rPr>
          <w:rFonts w:ascii="Times New Roman" w:hAnsi="Times New Roman" w:cs="Times New Roman"/>
          <w:sz w:val="24"/>
          <w:szCs w:val="24"/>
        </w:rPr>
        <w:t xml:space="preserve">Liu, G., Dong, W., Qi, T., Zhou, Q., Peng, Z., &amp; Li, X. (2017). </w:t>
      </w:r>
      <w:r w:rsidRPr="00C26B7A">
        <w:rPr>
          <w:rFonts w:ascii="Times New Roman" w:hAnsi="Times New Roman" w:cs="Times New Roman"/>
          <w:sz w:val="24"/>
          <w:szCs w:val="24"/>
          <w:lang w:val="en-US"/>
        </w:rPr>
        <w:t xml:space="preserve">Behavior of calcium oxalate in sodium aluminate solutions. </w:t>
      </w:r>
      <w:r w:rsidRPr="00346203">
        <w:rPr>
          <w:rFonts w:ascii="Times New Roman" w:hAnsi="Times New Roman" w:cs="Times New Roman"/>
          <w:i/>
          <w:iCs/>
          <w:sz w:val="24"/>
          <w:szCs w:val="24"/>
          <w:lang w:val="en-US"/>
        </w:rPr>
        <w:t>Transactions of Nonferrous Metals Society of China</w:t>
      </w:r>
      <w:r w:rsidRPr="00C26B7A">
        <w:rPr>
          <w:rFonts w:ascii="Times New Roman" w:hAnsi="Times New Roman" w:cs="Times New Roman"/>
          <w:sz w:val="24"/>
          <w:szCs w:val="24"/>
          <w:lang w:val="en-US"/>
        </w:rPr>
        <w:t>, 27(8)</w:t>
      </w:r>
      <w:r w:rsidR="005D78E4">
        <w:rPr>
          <w:rFonts w:ascii="Times New Roman" w:hAnsi="Times New Roman" w:cs="Times New Roman"/>
          <w:sz w:val="24"/>
          <w:szCs w:val="24"/>
          <w:lang w:val="en-US"/>
        </w:rPr>
        <w:t>,</w:t>
      </w:r>
      <w:r w:rsidRPr="00C26B7A">
        <w:rPr>
          <w:rFonts w:ascii="Times New Roman" w:hAnsi="Times New Roman" w:cs="Times New Roman"/>
          <w:sz w:val="24"/>
          <w:szCs w:val="24"/>
          <w:lang w:val="en-US"/>
        </w:rPr>
        <w:t xml:space="preserve"> 1878</w:t>
      </w:r>
      <w:r w:rsidR="00300B5C">
        <w:rPr>
          <w:rFonts w:ascii="Times New Roman" w:hAnsi="Times New Roman" w:cs="Times New Roman"/>
          <w:sz w:val="24"/>
          <w:szCs w:val="24"/>
          <w:lang w:val="en-US"/>
        </w:rPr>
        <w:t>-</w:t>
      </w:r>
      <w:r w:rsidRPr="00C26B7A">
        <w:rPr>
          <w:rFonts w:ascii="Times New Roman" w:hAnsi="Times New Roman" w:cs="Times New Roman"/>
          <w:sz w:val="24"/>
          <w:szCs w:val="24"/>
          <w:lang w:val="en-US"/>
        </w:rPr>
        <w:t xml:space="preserve">1887. </w:t>
      </w:r>
      <w:hyperlink r:id="rId33" w:history="1">
        <w:r w:rsidRPr="00C26B7A">
          <w:rPr>
            <w:rStyle w:val="Hyperlink"/>
            <w:rFonts w:ascii="Times New Roman" w:hAnsi="Times New Roman" w:cs="Times New Roman"/>
            <w:sz w:val="24"/>
            <w:szCs w:val="24"/>
            <w:lang w:val="en-US"/>
          </w:rPr>
          <w:t>https://doi.org/10.1016/s1003-6326(17)60212-7</w:t>
        </w:r>
      </w:hyperlink>
    </w:p>
    <w:p w14:paraId="19F0D7F5" w14:textId="0612893B" w:rsidR="00D969EB" w:rsidRPr="00C73AFC" w:rsidRDefault="00131FF2" w:rsidP="00C73AFC">
      <w:pPr>
        <w:pStyle w:val="ListParagraph"/>
        <w:numPr>
          <w:ilvl w:val="0"/>
          <w:numId w:val="1"/>
        </w:numPr>
        <w:spacing w:line="278" w:lineRule="auto"/>
        <w:jc w:val="both"/>
        <w:rPr>
          <w:rFonts w:ascii="Times New Roman" w:hAnsi="Times New Roman" w:cs="Times New Roman"/>
          <w:sz w:val="24"/>
          <w:szCs w:val="24"/>
        </w:rPr>
      </w:pPr>
      <w:r w:rsidRPr="00C26B7A">
        <w:rPr>
          <w:rFonts w:ascii="Times New Roman" w:hAnsi="Times New Roman" w:cs="Times New Roman"/>
          <w:sz w:val="24"/>
          <w:szCs w:val="24"/>
          <w:lang w:val="en-US"/>
        </w:rPr>
        <w:t xml:space="preserve">Soudy, I. D., Delatour, P., &amp; Grancher, D. (2010). Effects of traditional soaking on the nutritional profile of taro flour (Colocasia esculenta L. Schott) produced in Chad. </w:t>
      </w:r>
      <w:r w:rsidR="003E55C4" w:rsidRPr="003E55C4">
        <w:rPr>
          <w:rFonts w:ascii="Times New Roman" w:hAnsi="Times New Roman" w:cs="Times New Roman"/>
          <w:i/>
          <w:iCs/>
          <w:sz w:val="24"/>
          <w:szCs w:val="24"/>
        </w:rPr>
        <w:t>Revue de Medecine Veterinaire</w:t>
      </w:r>
      <w:r w:rsidRPr="00C26B7A">
        <w:rPr>
          <w:rFonts w:ascii="Times New Roman" w:hAnsi="Times New Roman" w:cs="Times New Roman"/>
          <w:sz w:val="24"/>
          <w:szCs w:val="24"/>
        </w:rPr>
        <w:t>, 161(1)</w:t>
      </w:r>
      <w:r w:rsidR="0079513E">
        <w:rPr>
          <w:rFonts w:ascii="Times New Roman" w:hAnsi="Times New Roman" w:cs="Times New Roman"/>
          <w:sz w:val="24"/>
          <w:szCs w:val="24"/>
        </w:rPr>
        <w:t>,</w:t>
      </w:r>
      <w:r w:rsidRPr="00C26B7A">
        <w:rPr>
          <w:rFonts w:ascii="Times New Roman" w:hAnsi="Times New Roman" w:cs="Times New Roman"/>
          <w:sz w:val="24"/>
          <w:szCs w:val="24"/>
        </w:rPr>
        <w:t xml:space="preserve"> 37</w:t>
      </w:r>
      <w:r w:rsidR="00300B5C">
        <w:rPr>
          <w:rFonts w:ascii="Times New Roman" w:hAnsi="Times New Roman" w:cs="Times New Roman"/>
          <w:sz w:val="24"/>
          <w:szCs w:val="24"/>
        </w:rPr>
        <w:t>-</w:t>
      </w:r>
      <w:r w:rsidRPr="00C26B7A">
        <w:rPr>
          <w:rFonts w:ascii="Times New Roman" w:hAnsi="Times New Roman" w:cs="Times New Roman"/>
          <w:sz w:val="24"/>
          <w:szCs w:val="24"/>
        </w:rPr>
        <w:t xml:space="preserve">42. </w:t>
      </w:r>
      <w:hyperlink r:id="rId34" w:history="1">
        <w:r w:rsidRPr="00C26B7A">
          <w:rPr>
            <w:rStyle w:val="Hyperlink"/>
            <w:rFonts w:ascii="Times New Roman" w:hAnsi="Times New Roman" w:cs="Times New Roman"/>
            <w:sz w:val="24"/>
            <w:szCs w:val="24"/>
          </w:rPr>
          <w:t>https://www.cabdirect.org/abstracts/20103085843.html</w:t>
        </w:r>
      </w:hyperlink>
    </w:p>
    <w:sectPr w:rsidR="00D969EB" w:rsidRPr="00C73AFC">
      <w:headerReference w:type="even" r:id="rId35"/>
      <w:headerReference w:type="default" r:id="rId36"/>
      <w:footerReference w:type="even" r:id="rId37"/>
      <w:footerReference w:type="default" r:id="rId38"/>
      <w:headerReference w:type="first" r:id="rId39"/>
      <w:footerReference w:type="first" r:id="rId40"/>
      <w:pgSz w:w="11906" w:h="16838"/>
      <w:pgMar w:top="1276"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F1EFA7" w16cid:durableId="48F1EFA7"/>
  <w16cid:commentId w16cid:paraId="36974E01" w16cid:durableId="36974E01"/>
  <w16cid:commentId w16cid:paraId="3D3011E8" w16cid:durableId="3D3011E8"/>
  <w16cid:commentId w16cid:paraId="5D352AA9" w16cid:durableId="5D352AA9"/>
  <w16cid:commentId w16cid:paraId="48458772" w16cid:durableId="484587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E2083" w14:textId="77777777" w:rsidR="00BF3082" w:rsidRDefault="00BF3082">
      <w:pPr>
        <w:spacing w:line="240" w:lineRule="auto"/>
      </w:pPr>
      <w:r>
        <w:separator/>
      </w:r>
    </w:p>
  </w:endnote>
  <w:endnote w:type="continuationSeparator" w:id="0">
    <w:p w14:paraId="3EBB7BEE" w14:textId="77777777" w:rsidR="00BF3082" w:rsidRDefault="00BF30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vOTce3d9a73">
    <w:altName w:val="Times New Roman"/>
    <w:panose1 w:val="00000000000000000000"/>
    <w:charset w:val="00"/>
    <w:family w:val="roman"/>
    <w:notTrueType/>
    <w:pitch w:val="default"/>
  </w:font>
  <w:font w:name="Arial Italic">
    <w:altName w:val="Times New Roman"/>
    <w:panose1 w:val="020B0604020202090204"/>
    <w:charset w:val="00"/>
    <w:family w:val="roman"/>
    <w:notTrueType/>
    <w:pitch w:val="default"/>
  </w:font>
  <w:font w:name="TimesNewRomanPS-Bold">
    <w:altName w:val="Times New Roman"/>
    <w:panose1 w:val="00000000000000000000"/>
    <w:charset w:val="00"/>
    <w:family w:val="roman"/>
    <w:notTrueType/>
    <w:pitch w:val="default"/>
  </w:font>
  <w:font w:name="Arial Bold">
    <w:altName w:val="Times New Roman"/>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655E6" w14:textId="77777777" w:rsidR="00D1076A" w:rsidRDefault="00D10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2AF9B" w14:textId="77777777" w:rsidR="00D1076A" w:rsidRDefault="00D10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642BB" w14:textId="77777777" w:rsidR="00D1076A" w:rsidRDefault="00D10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71A46" w14:textId="77777777" w:rsidR="00BF3082" w:rsidRDefault="00BF3082">
      <w:pPr>
        <w:spacing w:after="0"/>
      </w:pPr>
      <w:r>
        <w:separator/>
      </w:r>
    </w:p>
  </w:footnote>
  <w:footnote w:type="continuationSeparator" w:id="0">
    <w:p w14:paraId="3E99F8DC" w14:textId="77777777" w:rsidR="00BF3082" w:rsidRDefault="00BF30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02D09" w14:textId="021B5C5E" w:rsidR="00D1076A" w:rsidRDefault="00BF3082">
    <w:pPr>
      <w:pStyle w:val="Header"/>
    </w:pPr>
    <w:r>
      <w:rPr>
        <w:noProof/>
      </w:rPr>
      <w:pict w14:anchorId="66205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4290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139FE" w14:textId="6BCD89FB" w:rsidR="00D969EB" w:rsidRDefault="00BF3082">
    <w:pPr>
      <w:pStyle w:val="Header"/>
      <w:jc w:val="center"/>
    </w:pPr>
    <w:r>
      <w:rPr>
        <w:noProof/>
      </w:rPr>
      <w:pict w14:anchorId="0C7EB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42908" o:spid="_x0000_s2051" type="#_x0000_t136" style="position:absolute;left:0;text-align:left;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1591577892"/>
      </w:sdtPr>
      <w:sdtEndPr/>
      <w:sdtContent>
        <w:r w:rsidR="007510DF">
          <w:fldChar w:fldCharType="begin"/>
        </w:r>
        <w:r w:rsidR="007510DF">
          <w:instrText>PAGE   \* MERGEFORMAT</w:instrText>
        </w:r>
        <w:r w:rsidR="007510DF">
          <w:fldChar w:fldCharType="separate"/>
        </w:r>
        <w:r w:rsidR="00EE57DE">
          <w:rPr>
            <w:noProof/>
          </w:rPr>
          <w:t>1</w:t>
        </w:r>
        <w:r w:rsidR="007510DF">
          <w:fldChar w:fldCharType="end"/>
        </w:r>
      </w:sdtContent>
    </w:sdt>
  </w:p>
  <w:p w14:paraId="7F4A973E" w14:textId="77777777" w:rsidR="00D969EB" w:rsidRDefault="00D969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BCAEF" w14:textId="7FABE939" w:rsidR="00D1076A" w:rsidRDefault="00BF3082">
    <w:pPr>
      <w:pStyle w:val="Header"/>
    </w:pPr>
    <w:r>
      <w:rPr>
        <w:noProof/>
      </w:rPr>
      <w:pict w14:anchorId="2EDD6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4290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E01AB"/>
    <w:multiLevelType w:val="hybridMultilevel"/>
    <w:tmpl w:val="A46C2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708"/>
  <w:hyphenationZone w:val="425"/>
  <w:noPunctuationKerning/>
  <w:characterSpacingControl w:val="doNotCompress"/>
  <w:hdrShapeDefaults>
    <o:shapedefaults v:ext="edit" spidmax="2052" fillcolor="white">
      <v:fill color="white"/>
      <v:textbox inset="5.85pt,.7pt,5.85pt,.7pt"/>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A25"/>
    <w:rsid w:val="000021FC"/>
    <w:rsid w:val="00004081"/>
    <w:rsid w:val="000040E9"/>
    <w:rsid w:val="000134A7"/>
    <w:rsid w:val="0001503C"/>
    <w:rsid w:val="00026CA2"/>
    <w:rsid w:val="0003095D"/>
    <w:rsid w:val="00031CA2"/>
    <w:rsid w:val="000352E1"/>
    <w:rsid w:val="000369AC"/>
    <w:rsid w:val="000478DF"/>
    <w:rsid w:val="000536DE"/>
    <w:rsid w:val="0006139B"/>
    <w:rsid w:val="00061B3E"/>
    <w:rsid w:val="00062C71"/>
    <w:rsid w:val="00071919"/>
    <w:rsid w:val="00071A44"/>
    <w:rsid w:val="00075920"/>
    <w:rsid w:val="00075FB7"/>
    <w:rsid w:val="00085317"/>
    <w:rsid w:val="000930FE"/>
    <w:rsid w:val="00096013"/>
    <w:rsid w:val="000A5140"/>
    <w:rsid w:val="000A7881"/>
    <w:rsid w:val="000C104D"/>
    <w:rsid w:val="000C3862"/>
    <w:rsid w:val="000D50FD"/>
    <w:rsid w:val="000E0305"/>
    <w:rsid w:val="000E123F"/>
    <w:rsid w:val="000E23A6"/>
    <w:rsid w:val="000F3834"/>
    <w:rsid w:val="000F5032"/>
    <w:rsid w:val="001003EF"/>
    <w:rsid w:val="0010103A"/>
    <w:rsid w:val="00107114"/>
    <w:rsid w:val="00116F94"/>
    <w:rsid w:val="0012070F"/>
    <w:rsid w:val="00121E4E"/>
    <w:rsid w:val="00125861"/>
    <w:rsid w:val="00131FF2"/>
    <w:rsid w:val="001415D6"/>
    <w:rsid w:val="00142769"/>
    <w:rsid w:val="00142CFD"/>
    <w:rsid w:val="00166D2E"/>
    <w:rsid w:val="00167D61"/>
    <w:rsid w:val="00171F19"/>
    <w:rsid w:val="001722E9"/>
    <w:rsid w:val="00186D88"/>
    <w:rsid w:val="00193538"/>
    <w:rsid w:val="001A3FF3"/>
    <w:rsid w:val="001A4513"/>
    <w:rsid w:val="001A457C"/>
    <w:rsid w:val="001A4657"/>
    <w:rsid w:val="001B202A"/>
    <w:rsid w:val="001B260E"/>
    <w:rsid w:val="001C134E"/>
    <w:rsid w:val="001D104C"/>
    <w:rsid w:val="001D58F3"/>
    <w:rsid w:val="001E07EA"/>
    <w:rsid w:val="001E1BE9"/>
    <w:rsid w:val="001E7D17"/>
    <w:rsid w:val="001F0742"/>
    <w:rsid w:val="001F5471"/>
    <w:rsid w:val="00203E1A"/>
    <w:rsid w:val="002043B4"/>
    <w:rsid w:val="00206F62"/>
    <w:rsid w:val="002121B2"/>
    <w:rsid w:val="002133C6"/>
    <w:rsid w:val="002135A3"/>
    <w:rsid w:val="00217F5F"/>
    <w:rsid w:val="00225593"/>
    <w:rsid w:val="002313DF"/>
    <w:rsid w:val="00233155"/>
    <w:rsid w:val="00233F87"/>
    <w:rsid w:val="00236C72"/>
    <w:rsid w:val="00236CCC"/>
    <w:rsid w:val="00236D5C"/>
    <w:rsid w:val="00237FB1"/>
    <w:rsid w:val="00241D67"/>
    <w:rsid w:val="0024385A"/>
    <w:rsid w:val="00246770"/>
    <w:rsid w:val="00246DDE"/>
    <w:rsid w:val="00252A50"/>
    <w:rsid w:val="0026690C"/>
    <w:rsid w:val="00271E3E"/>
    <w:rsid w:val="002721FB"/>
    <w:rsid w:val="00273078"/>
    <w:rsid w:val="00276D7C"/>
    <w:rsid w:val="002829CB"/>
    <w:rsid w:val="00283515"/>
    <w:rsid w:val="0029160C"/>
    <w:rsid w:val="00295B50"/>
    <w:rsid w:val="002A0937"/>
    <w:rsid w:val="002A1E00"/>
    <w:rsid w:val="002A3498"/>
    <w:rsid w:val="002A7B37"/>
    <w:rsid w:val="002B16B5"/>
    <w:rsid w:val="002B5AA1"/>
    <w:rsid w:val="002B7D4B"/>
    <w:rsid w:val="002C5A0D"/>
    <w:rsid w:val="002C6E1A"/>
    <w:rsid w:val="002D07AA"/>
    <w:rsid w:val="002D2B02"/>
    <w:rsid w:val="002E00D6"/>
    <w:rsid w:val="002E3A6E"/>
    <w:rsid w:val="002F03A0"/>
    <w:rsid w:val="002F5086"/>
    <w:rsid w:val="002F7012"/>
    <w:rsid w:val="00300601"/>
    <w:rsid w:val="00300B5C"/>
    <w:rsid w:val="0030194C"/>
    <w:rsid w:val="00311823"/>
    <w:rsid w:val="00316D95"/>
    <w:rsid w:val="003170FC"/>
    <w:rsid w:val="00317CF2"/>
    <w:rsid w:val="00322C27"/>
    <w:rsid w:val="00335F1D"/>
    <w:rsid w:val="00336A25"/>
    <w:rsid w:val="0033765B"/>
    <w:rsid w:val="0034136E"/>
    <w:rsid w:val="00341521"/>
    <w:rsid w:val="00346203"/>
    <w:rsid w:val="00360DC4"/>
    <w:rsid w:val="003617A6"/>
    <w:rsid w:val="00361BE0"/>
    <w:rsid w:val="003628B8"/>
    <w:rsid w:val="003701D2"/>
    <w:rsid w:val="0037610A"/>
    <w:rsid w:val="003833AB"/>
    <w:rsid w:val="00390576"/>
    <w:rsid w:val="00394D63"/>
    <w:rsid w:val="00397364"/>
    <w:rsid w:val="00397568"/>
    <w:rsid w:val="003A2D03"/>
    <w:rsid w:val="003B0423"/>
    <w:rsid w:val="003C1C71"/>
    <w:rsid w:val="003E5106"/>
    <w:rsid w:val="003E55C4"/>
    <w:rsid w:val="003F5828"/>
    <w:rsid w:val="00402CDD"/>
    <w:rsid w:val="004040DA"/>
    <w:rsid w:val="004075DB"/>
    <w:rsid w:val="004134A4"/>
    <w:rsid w:val="00414A34"/>
    <w:rsid w:val="004162DB"/>
    <w:rsid w:val="00416D3F"/>
    <w:rsid w:val="00416E06"/>
    <w:rsid w:val="00421142"/>
    <w:rsid w:val="00427CA3"/>
    <w:rsid w:val="00433EE7"/>
    <w:rsid w:val="00437258"/>
    <w:rsid w:val="0043787B"/>
    <w:rsid w:val="00447BDE"/>
    <w:rsid w:val="00455F99"/>
    <w:rsid w:val="004759EE"/>
    <w:rsid w:val="004779CB"/>
    <w:rsid w:val="004836E1"/>
    <w:rsid w:val="00491040"/>
    <w:rsid w:val="0049573E"/>
    <w:rsid w:val="00495DC7"/>
    <w:rsid w:val="004A1B8A"/>
    <w:rsid w:val="004C03C4"/>
    <w:rsid w:val="004C1F7E"/>
    <w:rsid w:val="004C26EA"/>
    <w:rsid w:val="004C282B"/>
    <w:rsid w:val="004D20B1"/>
    <w:rsid w:val="004D522D"/>
    <w:rsid w:val="004D5590"/>
    <w:rsid w:val="004D5994"/>
    <w:rsid w:val="004E3331"/>
    <w:rsid w:val="004E4C45"/>
    <w:rsid w:val="004F1E1A"/>
    <w:rsid w:val="004F2481"/>
    <w:rsid w:val="004F5596"/>
    <w:rsid w:val="00502303"/>
    <w:rsid w:val="00510CF4"/>
    <w:rsid w:val="00512E61"/>
    <w:rsid w:val="00513D45"/>
    <w:rsid w:val="00533FC9"/>
    <w:rsid w:val="0053665E"/>
    <w:rsid w:val="005370D7"/>
    <w:rsid w:val="005373B1"/>
    <w:rsid w:val="00554525"/>
    <w:rsid w:val="0056082A"/>
    <w:rsid w:val="005610DF"/>
    <w:rsid w:val="00566F26"/>
    <w:rsid w:val="0057669F"/>
    <w:rsid w:val="00576D45"/>
    <w:rsid w:val="0058619E"/>
    <w:rsid w:val="00596FA9"/>
    <w:rsid w:val="005A0673"/>
    <w:rsid w:val="005B03AA"/>
    <w:rsid w:val="005B1D8C"/>
    <w:rsid w:val="005B2B89"/>
    <w:rsid w:val="005B6BCD"/>
    <w:rsid w:val="005D78E4"/>
    <w:rsid w:val="005E0EF7"/>
    <w:rsid w:val="005E15E3"/>
    <w:rsid w:val="005E1635"/>
    <w:rsid w:val="005E4EE0"/>
    <w:rsid w:val="005E7588"/>
    <w:rsid w:val="005F185F"/>
    <w:rsid w:val="006017F4"/>
    <w:rsid w:val="00603A1B"/>
    <w:rsid w:val="0060611A"/>
    <w:rsid w:val="00612121"/>
    <w:rsid w:val="006246CE"/>
    <w:rsid w:val="006272BC"/>
    <w:rsid w:val="006314CB"/>
    <w:rsid w:val="006461E5"/>
    <w:rsid w:val="00651AC9"/>
    <w:rsid w:val="00652CF4"/>
    <w:rsid w:val="00653BF1"/>
    <w:rsid w:val="0065590D"/>
    <w:rsid w:val="00664803"/>
    <w:rsid w:val="006749BB"/>
    <w:rsid w:val="00686202"/>
    <w:rsid w:val="00696CB6"/>
    <w:rsid w:val="00697877"/>
    <w:rsid w:val="006B1E4E"/>
    <w:rsid w:val="006B4A5F"/>
    <w:rsid w:val="006B59B4"/>
    <w:rsid w:val="006B60B1"/>
    <w:rsid w:val="006C2527"/>
    <w:rsid w:val="006C71CA"/>
    <w:rsid w:val="006D112D"/>
    <w:rsid w:val="006D2DAA"/>
    <w:rsid w:val="006E035C"/>
    <w:rsid w:val="006E2591"/>
    <w:rsid w:val="006F0460"/>
    <w:rsid w:val="006F3ADF"/>
    <w:rsid w:val="006F799F"/>
    <w:rsid w:val="00700437"/>
    <w:rsid w:val="00701E35"/>
    <w:rsid w:val="00702300"/>
    <w:rsid w:val="007035DA"/>
    <w:rsid w:val="00703A2C"/>
    <w:rsid w:val="00711819"/>
    <w:rsid w:val="007159D6"/>
    <w:rsid w:val="0071600C"/>
    <w:rsid w:val="007166A1"/>
    <w:rsid w:val="00721944"/>
    <w:rsid w:val="00733C8A"/>
    <w:rsid w:val="007347E7"/>
    <w:rsid w:val="00736824"/>
    <w:rsid w:val="00740BD0"/>
    <w:rsid w:val="00745109"/>
    <w:rsid w:val="007503E7"/>
    <w:rsid w:val="007510DF"/>
    <w:rsid w:val="00763E66"/>
    <w:rsid w:val="00776784"/>
    <w:rsid w:val="00777C69"/>
    <w:rsid w:val="00784AD5"/>
    <w:rsid w:val="00792A00"/>
    <w:rsid w:val="00794825"/>
    <w:rsid w:val="0079513E"/>
    <w:rsid w:val="007A173F"/>
    <w:rsid w:val="007A7653"/>
    <w:rsid w:val="007B4A03"/>
    <w:rsid w:val="007D6E3F"/>
    <w:rsid w:val="007E0CFF"/>
    <w:rsid w:val="007F272E"/>
    <w:rsid w:val="007F5854"/>
    <w:rsid w:val="00817869"/>
    <w:rsid w:val="0083115D"/>
    <w:rsid w:val="008335D7"/>
    <w:rsid w:val="008356DE"/>
    <w:rsid w:val="0083661A"/>
    <w:rsid w:val="008436F8"/>
    <w:rsid w:val="00846319"/>
    <w:rsid w:val="0084785E"/>
    <w:rsid w:val="00847E32"/>
    <w:rsid w:val="00852E5D"/>
    <w:rsid w:val="008608E1"/>
    <w:rsid w:val="00861944"/>
    <w:rsid w:val="008623DA"/>
    <w:rsid w:val="00863AE1"/>
    <w:rsid w:val="00865557"/>
    <w:rsid w:val="00865D6E"/>
    <w:rsid w:val="00866C45"/>
    <w:rsid w:val="00867C39"/>
    <w:rsid w:val="00867D23"/>
    <w:rsid w:val="00870B0E"/>
    <w:rsid w:val="00874FBF"/>
    <w:rsid w:val="0088071B"/>
    <w:rsid w:val="00884100"/>
    <w:rsid w:val="008953F0"/>
    <w:rsid w:val="0089638C"/>
    <w:rsid w:val="0089693C"/>
    <w:rsid w:val="008A3C5D"/>
    <w:rsid w:val="008A5BB7"/>
    <w:rsid w:val="008B466B"/>
    <w:rsid w:val="008B5338"/>
    <w:rsid w:val="008C6496"/>
    <w:rsid w:val="008C7158"/>
    <w:rsid w:val="008F2345"/>
    <w:rsid w:val="008F257C"/>
    <w:rsid w:val="008F7C95"/>
    <w:rsid w:val="0090025B"/>
    <w:rsid w:val="009046BC"/>
    <w:rsid w:val="0090517C"/>
    <w:rsid w:val="00914691"/>
    <w:rsid w:val="009154CC"/>
    <w:rsid w:val="00931E51"/>
    <w:rsid w:val="00931F21"/>
    <w:rsid w:val="009322F3"/>
    <w:rsid w:val="00933C34"/>
    <w:rsid w:val="00943AAA"/>
    <w:rsid w:val="00950B9A"/>
    <w:rsid w:val="00957AD9"/>
    <w:rsid w:val="00957FEC"/>
    <w:rsid w:val="00973C46"/>
    <w:rsid w:val="009762CF"/>
    <w:rsid w:val="0098019A"/>
    <w:rsid w:val="009824CB"/>
    <w:rsid w:val="00984AD2"/>
    <w:rsid w:val="00990390"/>
    <w:rsid w:val="0099365B"/>
    <w:rsid w:val="00995B16"/>
    <w:rsid w:val="009A6947"/>
    <w:rsid w:val="009A6966"/>
    <w:rsid w:val="009B1CC7"/>
    <w:rsid w:val="009B2267"/>
    <w:rsid w:val="009B541D"/>
    <w:rsid w:val="009C435D"/>
    <w:rsid w:val="009C460C"/>
    <w:rsid w:val="009D088D"/>
    <w:rsid w:val="009D512C"/>
    <w:rsid w:val="009D7DD5"/>
    <w:rsid w:val="009E7E8A"/>
    <w:rsid w:val="00A058E7"/>
    <w:rsid w:val="00A141F1"/>
    <w:rsid w:val="00A22755"/>
    <w:rsid w:val="00A26D4C"/>
    <w:rsid w:val="00A27701"/>
    <w:rsid w:val="00A30CE6"/>
    <w:rsid w:val="00A31A04"/>
    <w:rsid w:val="00A329C8"/>
    <w:rsid w:val="00A37CC4"/>
    <w:rsid w:val="00A45FC3"/>
    <w:rsid w:val="00A51B6F"/>
    <w:rsid w:val="00A60074"/>
    <w:rsid w:val="00A64809"/>
    <w:rsid w:val="00A7458E"/>
    <w:rsid w:val="00A83DBD"/>
    <w:rsid w:val="00A9201D"/>
    <w:rsid w:val="00A96633"/>
    <w:rsid w:val="00AA2618"/>
    <w:rsid w:val="00AB185F"/>
    <w:rsid w:val="00AB7036"/>
    <w:rsid w:val="00AC0A22"/>
    <w:rsid w:val="00AC0F01"/>
    <w:rsid w:val="00AC1436"/>
    <w:rsid w:val="00AC2946"/>
    <w:rsid w:val="00AC7D84"/>
    <w:rsid w:val="00AD08DD"/>
    <w:rsid w:val="00AD5E8A"/>
    <w:rsid w:val="00AE14E0"/>
    <w:rsid w:val="00AE1D54"/>
    <w:rsid w:val="00AE5B02"/>
    <w:rsid w:val="00AF067E"/>
    <w:rsid w:val="00AF1470"/>
    <w:rsid w:val="00AF5AA6"/>
    <w:rsid w:val="00B04DA5"/>
    <w:rsid w:val="00B10065"/>
    <w:rsid w:val="00B11CD1"/>
    <w:rsid w:val="00B12410"/>
    <w:rsid w:val="00B128A9"/>
    <w:rsid w:val="00B12981"/>
    <w:rsid w:val="00B16BFE"/>
    <w:rsid w:val="00B2564D"/>
    <w:rsid w:val="00B31444"/>
    <w:rsid w:val="00B33C02"/>
    <w:rsid w:val="00B46462"/>
    <w:rsid w:val="00B47183"/>
    <w:rsid w:val="00B47447"/>
    <w:rsid w:val="00B50830"/>
    <w:rsid w:val="00B6467C"/>
    <w:rsid w:val="00B67477"/>
    <w:rsid w:val="00B70A24"/>
    <w:rsid w:val="00B711FC"/>
    <w:rsid w:val="00B856A6"/>
    <w:rsid w:val="00B91F60"/>
    <w:rsid w:val="00BA1680"/>
    <w:rsid w:val="00BC14F2"/>
    <w:rsid w:val="00BD5772"/>
    <w:rsid w:val="00BE1460"/>
    <w:rsid w:val="00BE314D"/>
    <w:rsid w:val="00BE5C6B"/>
    <w:rsid w:val="00BF3082"/>
    <w:rsid w:val="00BF3F2B"/>
    <w:rsid w:val="00C0617B"/>
    <w:rsid w:val="00C14DF4"/>
    <w:rsid w:val="00C1596A"/>
    <w:rsid w:val="00C15EC5"/>
    <w:rsid w:val="00C20AB0"/>
    <w:rsid w:val="00C22825"/>
    <w:rsid w:val="00C23F23"/>
    <w:rsid w:val="00C2477E"/>
    <w:rsid w:val="00C25FF9"/>
    <w:rsid w:val="00C26B7A"/>
    <w:rsid w:val="00C31882"/>
    <w:rsid w:val="00C321B6"/>
    <w:rsid w:val="00C34347"/>
    <w:rsid w:val="00C408F6"/>
    <w:rsid w:val="00C4098D"/>
    <w:rsid w:val="00C46BDB"/>
    <w:rsid w:val="00C5459D"/>
    <w:rsid w:val="00C67D5E"/>
    <w:rsid w:val="00C70215"/>
    <w:rsid w:val="00C73AFC"/>
    <w:rsid w:val="00C763D2"/>
    <w:rsid w:val="00C81787"/>
    <w:rsid w:val="00CB6985"/>
    <w:rsid w:val="00CC2AA6"/>
    <w:rsid w:val="00CC378D"/>
    <w:rsid w:val="00CC5265"/>
    <w:rsid w:val="00CC5B35"/>
    <w:rsid w:val="00CD01D1"/>
    <w:rsid w:val="00CD2BB2"/>
    <w:rsid w:val="00CD7FE8"/>
    <w:rsid w:val="00CE3CE5"/>
    <w:rsid w:val="00CE4219"/>
    <w:rsid w:val="00CE4C67"/>
    <w:rsid w:val="00CE6E08"/>
    <w:rsid w:val="00CE79B7"/>
    <w:rsid w:val="00CE7A77"/>
    <w:rsid w:val="00CF7D28"/>
    <w:rsid w:val="00D07565"/>
    <w:rsid w:val="00D1076A"/>
    <w:rsid w:val="00D13B7D"/>
    <w:rsid w:val="00D166A0"/>
    <w:rsid w:val="00D239FC"/>
    <w:rsid w:val="00D36719"/>
    <w:rsid w:val="00D4405B"/>
    <w:rsid w:val="00D5645B"/>
    <w:rsid w:val="00D56792"/>
    <w:rsid w:val="00D57BD2"/>
    <w:rsid w:val="00D60884"/>
    <w:rsid w:val="00D62586"/>
    <w:rsid w:val="00D62F00"/>
    <w:rsid w:val="00D72916"/>
    <w:rsid w:val="00D73863"/>
    <w:rsid w:val="00D96716"/>
    <w:rsid w:val="00D969EB"/>
    <w:rsid w:val="00DA08E4"/>
    <w:rsid w:val="00DA22E3"/>
    <w:rsid w:val="00DA278E"/>
    <w:rsid w:val="00DA443D"/>
    <w:rsid w:val="00DB3787"/>
    <w:rsid w:val="00DC22BE"/>
    <w:rsid w:val="00DC6579"/>
    <w:rsid w:val="00DC720B"/>
    <w:rsid w:val="00DC74FD"/>
    <w:rsid w:val="00DC797E"/>
    <w:rsid w:val="00DD3E3E"/>
    <w:rsid w:val="00DE4136"/>
    <w:rsid w:val="00DF6689"/>
    <w:rsid w:val="00DF7243"/>
    <w:rsid w:val="00DF734A"/>
    <w:rsid w:val="00E02871"/>
    <w:rsid w:val="00E159D6"/>
    <w:rsid w:val="00E319CA"/>
    <w:rsid w:val="00E36968"/>
    <w:rsid w:val="00E37C17"/>
    <w:rsid w:val="00E4085E"/>
    <w:rsid w:val="00E46A0D"/>
    <w:rsid w:val="00E54063"/>
    <w:rsid w:val="00E57618"/>
    <w:rsid w:val="00E64C2B"/>
    <w:rsid w:val="00E72B29"/>
    <w:rsid w:val="00E74653"/>
    <w:rsid w:val="00E907F4"/>
    <w:rsid w:val="00EA3C03"/>
    <w:rsid w:val="00EB6A69"/>
    <w:rsid w:val="00EB75EA"/>
    <w:rsid w:val="00EC1652"/>
    <w:rsid w:val="00EE57DE"/>
    <w:rsid w:val="00EE7236"/>
    <w:rsid w:val="00EF6FA5"/>
    <w:rsid w:val="00F003B3"/>
    <w:rsid w:val="00F008F6"/>
    <w:rsid w:val="00F00B54"/>
    <w:rsid w:val="00F031A8"/>
    <w:rsid w:val="00F04B1A"/>
    <w:rsid w:val="00F35254"/>
    <w:rsid w:val="00F43439"/>
    <w:rsid w:val="00F63773"/>
    <w:rsid w:val="00F64B0B"/>
    <w:rsid w:val="00F71D9C"/>
    <w:rsid w:val="00F81BD0"/>
    <w:rsid w:val="00F859DF"/>
    <w:rsid w:val="00F8782E"/>
    <w:rsid w:val="00FA2344"/>
    <w:rsid w:val="00FA5197"/>
    <w:rsid w:val="00FB5110"/>
    <w:rsid w:val="00FC5F74"/>
    <w:rsid w:val="00FE2B25"/>
    <w:rsid w:val="00FE7097"/>
    <w:rsid w:val="00FF1878"/>
    <w:rsid w:val="37E67881"/>
    <w:rsid w:val="74F7606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v:textbox inset="5.85pt,.7pt,5.85pt,.7pt"/>
    </o:shapedefaults>
    <o:shapelayout v:ext="edit">
      <o:idmap v:ext="edit" data="1"/>
    </o:shapelayout>
  </w:shapeDefaults>
  <w:decimalSymbol w:val="."/>
  <w:listSeparator w:val=","/>
  <w14:docId w14:val="44A4B7A4"/>
  <w15:docId w15:val="{1CDEA138-1469-4D88-A049-F3817475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lang w:val="fr-FR"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Heading3">
    <w:name w:val="heading 3"/>
    <w:basedOn w:val="Normal"/>
    <w:next w:val="Normal"/>
    <w:link w:val="Heading3Char"/>
    <w:uiPriority w:val="9"/>
    <w:semiHidden/>
    <w:unhideWhenUsed/>
    <w:qFormat/>
    <w:rsid w:val="00A6007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160" w:line="259" w:lineRule="auto"/>
      <w:ind w:left="720"/>
      <w:contextualSpacing/>
    </w:pPr>
  </w:style>
  <w:style w:type="table" w:customStyle="1" w:styleId="ListTable6Colorful1">
    <w:name w:val="List Table 6 Colorful1"/>
    <w:basedOn w:val="TableNormal"/>
    <w:uiPriority w:val="51"/>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character" w:customStyle="1" w:styleId="fontstyle01">
    <w:name w:val="fontstyle01"/>
    <w:basedOn w:val="DefaultParagraphFont"/>
    <w:rPr>
      <w:rFonts w:ascii="AdvOTce3d9a73" w:hAnsi="AdvOTce3d9a73" w:hint="default"/>
      <w:color w:val="000000"/>
      <w:sz w:val="20"/>
      <w:szCs w:val="20"/>
    </w:rPr>
  </w:style>
  <w:style w:type="character" w:customStyle="1" w:styleId="fontstyle21">
    <w:name w:val="fontstyle21"/>
    <w:basedOn w:val="DefaultParagraphFont"/>
    <w:rPr>
      <w:rFonts w:ascii="Arial Italic" w:hAnsi="Arial Italic" w:hint="default"/>
      <w:i/>
      <w:iCs/>
      <w:color w:val="000000"/>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fr-FR"/>
    </w:rPr>
  </w:style>
  <w:style w:type="character" w:customStyle="1" w:styleId="fontstyle31">
    <w:name w:val="fontstyle31"/>
    <w:basedOn w:val="DefaultParagraphFont"/>
    <w:rPr>
      <w:rFonts w:ascii="TimesNewRomanPS-Bold" w:hAnsi="TimesNewRomanPS-Bold" w:hint="default"/>
      <w:b/>
      <w:bCs/>
      <w:color w:val="242021"/>
      <w:sz w:val="16"/>
      <w:szCs w:val="16"/>
    </w:rPr>
  </w:style>
  <w:style w:type="paragraph" w:styleId="Revision">
    <w:name w:val="Revision"/>
    <w:hidden/>
    <w:uiPriority w:val="99"/>
    <w:unhideWhenUsed/>
    <w:rsid w:val="008335D7"/>
    <w:rPr>
      <w:rFonts w:asciiTheme="minorHAnsi" w:eastAsiaTheme="minorEastAsia" w:hAnsiTheme="minorHAnsi" w:cstheme="minorBidi"/>
      <w:sz w:val="22"/>
      <w:szCs w:val="22"/>
      <w:lang w:val="fr-FR" w:eastAsia="en-US"/>
    </w:rPr>
  </w:style>
  <w:style w:type="character" w:customStyle="1" w:styleId="Heading3Char">
    <w:name w:val="Heading 3 Char"/>
    <w:basedOn w:val="DefaultParagraphFont"/>
    <w:link w:val="Heading3"/>
    <w:uiPriority w:val="9"/>
    <w:semiHidden/>
    <w:rsid w:val="00A60074"/>
    <w:rPr>
      <w:rFonts w:asciiTheme="majorHAnsi" w:eastAsiaTheme="majorEastAsia" w:hAnsiTheme="majorHAnsi" w:cstheme="majorBidi"/>
      <w:color w:val="243F60" w:themeColor="accent1" w:themeShade="7F"/>
      <w:sz w:val="24"/>
      <w:szCs w:val="24"/>
      <w:lang w:val="fr-FR" w:eastAsia="en-US"/>
    </w:rPr>
  </w:style>
  <w:style w:type="character" w:customStyle="1" w:styleId="UnresolvedMention1">
    <w:name w:val="Unresolved Mention1"/>
    <w:basedOn w:val="DefaultParagraphFont"/>
    <w:uiPriority w:val="99"/>
    <w:semiHidden/>
    <w:unhideWhenUsed/>
    <w:rsid w:val="00A60074"/>
    <w:rPr>
      <w:color w:val="605E5C"/>
      <w:shd w:val="clear" w:color="auto" w:fill="E1DFDD"/>
    </w:rPr>
  </w:style>
  <w:style w:type="character" w:styleId="CommentReference">
    <w:name w:val="annotation reference"/>
    <w:basedOn w:val="DefaultParagraphFont"/>
    <w:uiPriority w:val="99"/>
    <w:semiHidden/>
    <w:unhideWhenUsed/>
    <w:rsid w:val="00CD2BB2"/>
    <w:rPr>
      <w:sz w:val="16"/>
      <w:szCs w:val="16"/>
    </w:rPr>
  </w:style>
  <w:style w:type="paragraph" w:styleId="CommentText">
    <w:name w:val="annotation text"/>
    <w:basedOn w:val="Normal"/>
    <w:link w:val="CommentTextChar"/>
    <w:uiPriority w:val="99"/>
    <w:semiHidden/>
    <w:unhideWhenUsed/>
    <w:rsid w:val="00CD2BB2"/>
    <w:pPr>
      <w:spacing w:line="240" w:lineRule="auto"/>
    </w:pPr>
    <w:rPr>
      <w:sz w:val="20"/>
      <w:szCs w:val="20"/>
    </w:rPr>
  </w:style>
  <w:style w:type="character" w:customStyle="1" w:styleId="CommentTextChar">
    <w:name w:val="Comment Text Char"/>
    <w:basedOn w:val="DefaultParagraphFont"/>
    <w:link w:val="CommentText"/>
    <w:uiPriority w:val="99"/>
    <w:semiHidden/>
    <w:rsid w:val="00CD2BB2"/>
    <w:rPr>
      <w:rFonts w:asciiTheme="minorHAnsi" w:eastAsiaTheme="minorEastAsia" w:hAnsiTheme="minorHAnsi" w:cstheme="minorBidi"/>
      <w:lang w:val="fr-FR" w:eastAsia="en-US"/>
    </w:rPr>
  </w:style>
  <w:style w:type="paragraph" w:styleId="CommentSubject">
    <w:name w:val="annotation subject"/>
    <w:basedOn w:val="CommentText"/>
    <w:next w:val="CommentText"/>
    <w:link w:val="CommentSubjectChar"/>
    <w:uiPriority w:val="99"/>
    <w:semiHidden/>
    <w:unhideWhenUsed/>
    <w:rsid w:val="00CD2BB2"/>
    <w:rPr>
      <w:b/>
      <w:bCs/>
    </w:rPr>
  </w:style>
  <w:style w:type="character" w:customStyle="1" w:styleId="CommentSubjectChar">
    <w:name w:val="Comment Subject Char"/>
    <w:basedOn w:val="CommentTextChar"/>
    <w:link w:val="CommentSubject"/>
    <w:uiPriority w:val="99"/>
    <w:semiHidden/>
    <w:rsid w:val="00CD2BB2"/>
    <w:rPr>
      <w:rFonts w:asciiTheme="minorHAnsi" w:eastAsiaTheme="minorEastAsia" w:hAnsiTheme="minorHAnsi" w:cstheme="minorBidi"/>
      <w:b/>
      <w:bCs/>
      <w:lang w:val="fr-FR" w:eastAsia="en-US"/>
    </w:rPr>
  </w:style>
  <w:style w:type="character" w:customStyle="1" w:styleId="UnresolvedMention">
    <w:name w:val="Unresolved Mention"/>
    <w:basedOn w:val="DefaultParagraphFont"/>
    <w:uiPriority w:val="99"/>
    <w:semiHidden/>
    <w:unhideWhenUsed/>
    <w:rsid w:val="00231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hyperlink" Target="https://doi.org/10.7759/cureus.73062" TargetMode="External"/><Relationship Id="rId39" Type="http://schemas.openxmlformats.org/officeDocument/2006/relationships/header" Target="header3.xml"/><Relationship Id="rId21" Type="http://schemas.openxmlformats.org/officeDocument/2006/relationships/hyperlink" Target="https://doi.org/10.15406/jnhfe.2017.06.00212" TargetMode="External"/><Relationship Id="rId34" Type="http://schemas.openxmlformats.org/officeDocument/2006/relationships/hyperlink" Target="https://www.cabdirect.org/abstracts/20103085843.html"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yperlink" Target="https://doi.org/10.31248/jbbd2023.178" TargetMode="External"/><Relationship Id="rId29" Type="http://schemas.openxmlformats.org/officeDocument/2006/relationships/hyperlink" Target="https://doi.org/10.1002/pca.288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s://doi.org/10.3390/nu12020548" TargetMode="External"/><Relationship Id="rId32" Type="http://schemas.openxmlformats.org/officeDocument/2006/relationships/hyperlink" Target="https://doi.org/10.1590/fst.09522"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hyperlink" Target="https://doi.org/10.1038/s41598-020-80433-8" TargetMode="External"/><Relationship Id="rId28" Type="http://schemas.openxmlformats.org/officeDocument/2006/relationships/hyperlink" Target="https://doi.org/10.2174/1871530323666230522113405" TargetMode="External"/><Relationship Id="rId36"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s://doi.org/10.3390/molecules28124819" TargetMode="External"/><Relationship Id="rId31" Type="http://schemas.openxmlformats.org/officeDocument/2006/relationships/hyperlink" Target="https://doi.org/10.3923/jas.2010.1820.1824"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hyperlink" Target="https://doi.org/10.1080/23311932.2023.2184014" TargetMode="External"/><Relationship Id="rId27" Type="http://schemas.openxmlformats.org/officeDocument/2006/relationships/hyperlink" Target="https://doi.org/10.3390/ijms22041786" TargetMode="External"/><Relationship Id="rId30" Type="http://schemas.openxmlformats.org/officeDocument/2006/relationships/hyperlink" Target="https://doi.org/10.9734/jsrr/2018/38342" TargetMode="External"/><Relationship Id="rId35" Type="http://schemas.openxmlformats.org/officeDocument/2006/relationships/header" Target="header1.xml"/><Relationship Id="rId43" Type="http://schemas.microsoft.com/office/2016/09/relationships/commentsIds" Target="commentsIds.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hyperlink" Target="https://doi.org/10.1007/s11694-025-03222-9" TargetMode="External"/><Relationship Id="rId33" Type="http://schemas.openxmlformats.org/officeDocument/2006/relationships/hyperlink" Target="https://doi.org/10.1016/s1003-6326(17)60212-7" TargetMode="External"/><Relationship Id="rId38"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DECBC4-B279-4CA8-8E7C-34B15502BBE0}">
  <we:reference id="wa200000368" version="1.0.0.0" store="en-US" storeType="OMEX"/>
  <we:alternateReferences>
    <we:reference id="wa200000368" version="1.0.0.0" store="wa200000368" storeType="OMEX"/>
  </we:alternateReferences>
  <we:properties>
    <we:property name="documentId" value="&quot;5f7cd8853e4c6b4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7937E9-C24E-497A-9608-D67F2CC77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2619</TotalTime>
  <Pages>12</Pages>
  <Words>3558</Words>
  <Characters>20287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Kayembe</dc:creator>
  <cp:lastModifiedBy>SDI CPU 1117</cp:lastModifiedBy>
  <cp:revision>368</cp:revision>
  <cp:lastPrinted>2025-09-21T04:53:00Z</cp:lastPrinted>
  <dcterms:created xsi:type="dcterms:W3CDTF">2024-11-14T09:53:00Z</dcterms:created>
  <dcterms:modified xsi:type="dcterms:W3CDTF">2025-11-04T08:41:00Z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24D11D3274A448A8A81FB076E60901C5_12</vt:lpwstr>
  </property>
  <property fmtid="{D5CDD505-2E9C-101B-9397-08002B2CF9AE}" pid="4" name="GrammarlyDocumentId">
    <vt:lpwstr>8701b9ff-f755-4d17-aa88-7cd570125492</vt:lpwstr>
  </property>
</Properties>
</file>