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5EFC7" w14:textId="3CE3D34B" w:rsidR="00EB35E0" w:rsidRPr="00EB35E0" w:rsidRDefault="00227591" w:rsidP="00857E1C">
      <w:pPr>
        <w:spacing w:after="200" w:line="360" w:lineRule="auto"/>
        <w:jc w:val="center"/>
        <w:rPr>
          <w:rFonts w:ascii="Times New Roman" w:eastAsia="Times New Roman" w:hAnsi="Times New Roman" w:cs="Times New Roman"/>
          <w:b/>
          <w:color w:val="FF0000"/>
          <w:sz w:val="24"/>
          <w:szCs w:val="24"/>
          <w:lang w:eastAsia="en-IN" w:bidi="ta-IN"/>
        </w:rPr>
      </w:pPr>
      <w:r>
        <w:rPr>
          <w:rFonts w:ascii="Times New Roman" w:eastAsia="Times New Roman" w:hAnsi="Times New Roman" w:cs="Times New Roman"/>
          <w:b/>
          <w:color w:val="FF0000"/>
          <w:sz w:val="24"/>
          <w:szCs w:val="24"/>
          <w:lang w:eastAsia="en-IN" w:bidi="ta-IN"/>
        </w:rPr>
        <w:t>Comparative Assessment of Thermotolerance in I</w:t>
      </w:r>
      <w:r w:rsidR="00EB35E0" w:rsidRPr="00EB35E0">
        <w:rPr>
          <w:rFonts w:ascii="Times New Roman" w:eastAsia="Times New Roman" w:hAnsi="Times New Roman" w:cs="Times New Roman"/>
          <w:b/>
          <w:color w:val="FF0000"/>
          <w:sz w:val="24"/>
          <w:szCs w:val="24"/>
          <w:lang w:eastAsia="en-IN" w:bidi="ta-IN"/>
        </w:rPr>
        <w:t>ndi</w:t>
      </w:r>
      <w:r>
        <w:rPr>
          <w:rFonts w:ascii="Times New Roman" w:eastAsia="Times New Roman" w:hAnsi="Times New Roman" w:cs="Times New Roman"/>
          <w:b/>
          <w:color w:val="FF0000"/>
          <w:sz w:val="24"/>
          <w:szCs w:val="24"/>
          <w:lang w:eastAsia="en-IN" w:bidi="ta-IN"/>
        </w:rPr>
        <w:t>genous and Commercial Chickens Using E</w:t>
      </w:r>
      <w:r w:rsidR="00EB35E0" w:rsidRPr="00EB35E0">
        <w:rPr>
          <w:rFonts w:ascii="Times New Roman" w:eastAsia="Times New Roman" w:hAnsi="Times New Roman" w:cs="Times New Roman"/>
          <w:b/>
          <w:color w:val="FF0000"/>
          <w:sz w:val="24"/>
          <w:szCs w:val="24"/>
          <w:lang w:eastAsia="en-IN" w:bidi="ta-IN"/>
        </w:rPr>
        <w:t>xpression of HSP70 and HSP90 gene</w:t>
      </w:r>
    </w:p>
    <w:p w14:paraId="118738AB" w14:textId="0ABC6609" w:rsidR="00857E1C" w:rsidRPr="00857E1C" w:rsidRDefault="00857E1C" w:rsidP="00857E1C">
      <w:pPr>
        <w:spacing w:after="200" w:line="360" w:lineRule="auto"/>
        <w:jc w:val="center"/>
        <w:rPr>
          <w:rFonts w:ascii="Times New Roman" w:eastAsia="Times New Roman" w:hAnsi="Times New Roman" w:cs="Times New Roman"/>
          <w:b/>
          <w:sz w:val="24"/>
          <w:szCs w:val="24"/>
          <w:lang w:eastAsia="en-IN" w:bidi="ta-IN"/>
        </w:rPr>
      </w:pPr>
      <w:bookmarkStart w:id="0" w:name="_GoBack"/>
      <w:bookmarkEnd w:id="0"/>
      <w:r w:rsidRPr="00857E1C">
        <w:rPr>
          <w:rFonts w:ascii="Times New Roman" w:eastAsia="Times New Roman" w:hAnsi="Times New Roman" w:cs="Times New Roman"/>
          <w:b/>
          <w:sz w:val="24"/>
          <w:szCs w:val="24"/>
          <w:lang w:eastAsia="en-IN" w:bidi="ta-IN"/>
        </w:rPr>
        <w:t>ABSTRACT</w:t>
      </w:r>
    </w:p>
    <w:p w14:paraId="0B95C394" w14:textId="791F2BD0" w:rsidR="00857E1C" w:rsidRPr="004E314B" w:rsidRDefault="00857E1C" w:rsidP="00857E1C">
      <w:pPr>
        <w:widowControl w:val="0"/>
        <w:tabs>
          <w:tab w:val="left" w:pos="901"/>
        </w:tabs>
        <w:autoSpaceDE w:val="0"/>
        <w:autoSpaceDN w:val="0"/>
        <w:spacing w:afterLines="60" w:after="144" w:line="360" w:lineRule="auto"/>
        <w:ind w:right="709"/>
        <w:jc w:val="both"/>
        <w:rPr>
          <w:rFonts w:ascii="Times New Roman" w:eastAsia="Times New Roman" w:hAnsi="Times New Roman" w:cs="Times New Roman"/>
          <w:color w:val="FF0000"/>
          <w:sz w:val="24"/>
          <w:szCs w:val="24"/>
          <w:lang w:eastAsia="en-IN" w:bidi="ta-IN"/>
        </w:rPr>
      </w:pPr>
      <w:r>
        <w:rPr>
          <w:rFonts w:ascii="Times New Roman" w:eastAsia="Times New Roman" w:hAnsi="Times New Roman" w:cs="Times New Roman"/>
          <w:sz w:val="24"/>
          <w:szCs w:val="24"/>
          <w:lang w:eastAsia="en-IN" w:bidi="ta-IN"/>
        </w:rPr>
        <w:tab/>
      </w:r>
      <w:r w:rsidRPr="00857E1C">
        <w:rPr>
          <w:rFonts w:ascii="Times New Roman" w:eastAsia="Times New Roman" w:hAnsi="Times New Roman" w:cs="Times New Roman"/>
          <w:sz w:val="24"/>
          <w:szCs w:val="24"/>
          <w:lang w:eastAsia="en-IN" w:bidi="ta-IN"/>
        </w:rPr>
        <w:t>The experiment was conducted during November 2023 at Madras Veterinary College, Chennai</w:t>
      </w:r>
      <w:r>
        <w:rPr>
          <w:rFonts w:ascii="Times New Roman" w:eastAsia="Times New Roman" w:hAnsi="Times New Roman" w:cs="Times New Roman"/>
          <w:sz w:val="24"/>
          <w:szCs w:val="24"/>
          <w:lang w:eastAsia="en-IN" w:bidi="ta-IN"/>
        </w:rPr>
        <w:t>.</w:t>
      </w:r>
      <w:r w:rsidR="00A570A2" w:rsidRPr="00A570A2">
        <w:t xml:space="preserve"> </w:t>
      </w:r>
      <w:r w:rsidR="00A570A2" w:rsidRPr="008A300D">
        <w:rPr>
          <w:rFonts w:ascii="Times New Roman" w:eastAsia="Times New Roman" w:hAnsi="Times New Roman" w:cs="Times New Roman"/>
          <w:color w:val="FF0000"/>
          <w:sz w:val="24"/>
          <w:szCs w:val="24"/>
          <w:lang w:eastAsia="en-IN" w:bidi="ta-IN"/>
        </w:rPr>
        <w:t>In poultry production, environmental stressors such as high ambient temperature decreased productivity</w:t>
      </w:r>
      <w:r w:rsidR="007A787E">
        <w:rPr>
          <w:rFonts w:ascii="Times New Roman" w:eastAsia="Times New Roman" w:hAnsi="Times New Roman" w:cs="Times New Roman"/>
          <w:color w:val="FF0000"/>
          <w:sz w:val="24"/>
          <w:szCs w:val="24"/>
          <w:lang w:eastAsia="en-IN" w:bidi="ta-IN"/>
        </w:rPr>
        <w:t xml:space="preserve"> of birds</w:t>
      </w:r>
      <w:r w:rsidR="00A570A2" w:rsidRPr="008A300D">
        <w:rPr>
          <w:rFonts w:ascii="Times New Roman" w:eastAsia="Times New Roman" w:hAnsi="Times New Roman" w:cs="Times New Roman"/>
          <w:color w:val="FF0000"/>
          <w:sz w:val="24"/>
          <w:szCs w:val="24"/>
          <w:lang w:eastAsia="en-IN" w:bidi="ta-IN"/>
        </w:rPr>
        <w:t xml:space="preserve"> to counter these adverse effects</w:t>
      </w:r>
      <w:r w:rsidR="008A300D" w:rsidRPr="008A300D">
        <w:rPr>
          <w:rFonts w:ascii="Times New Roman" w:eastAsia="Times New Roman" w:hAnsi="Times New Roman" w:cs="Times New Roman"/>
          <w:color w:val="FF0000"/>
          <w:sz w:val="24"/>
          <w:szCs w:val="24"/>
          <w:lang w:eastAsia="en-IN" w:bidi="ta-IN"/>
        </w:rPr>
        <w:t>,</w:t>
      </w:r>
      <w:r w:rsidR="00A570A2" w:rsidRPr="008A300D">
        <w:rPr>
          <w:rFonts w:ascii="Times New Roman" w:eastAsia="Times New Roman" w:hAnsi="Times New Roman" w:cs="Times New Roman"/>
          <w:color w:val="FF0000"/>
          <w:sz w:val="24"/>
          <w:szCs w:val="24"/>
          <w:lang w:eastAsia="en-IN" w:bidi="ta-IN"/>
        </w:rPr>
        <w:t xml:space="preserve"> HSP70 and HSP90 are rapidly synthesized under heat stress to protect cells by stabilizing denatured proteins, preventing aggregation, and promoting proper refolding, thereby mitigating cellular damage in Poultry.</w:t>
      </w:r>
      <w:r w:rsidR="00A570A2">
        <w:rPr>
          <w:rFonts w:ascii="Times New Roman" w:eastAsia="Times New Roman" w:hAnsi="Times New Roman" w:cs="Times New Roman"/>
          <w:sz w:val="24"/>
          <w:szCs w:val="24"/>
          <w:lang w:eastAsia="en-IN" w:bidi="ta-IN"/>
        </w:rPr>
        <w:t xml:space="preserve"> </w:t>
      </w:r>
      <w:r w:rsidRPr="00857E1C">
        <w:rPr>
          <w:rFonts w:ascii="Times New Roman" w:eastAsia="Calibri" w:hAnsi="Times New Roman" w:cs="Times New Roman"/>
          <w:sz w:val="24"/>
          <w:szCs w:val="24"/>
        </w:rPr>
        <w:t xml:space="preserve">This study evaluated the expression of HSP70 and HSP90 genes in four chicken genotypes namely, indigenous </w:t>
      </w:r>
      <w:r w:rsidRPr="00857E1C">
        <w:rPr>
          <w:rFonts w:ascii="Times New Roman" w:eastAsia="Calibri" w:hAnsi="Times New Roman" w:cs="Times New Roman"/>
          <w:i/>
          <w:iCs/>
          <w:sz w:val="24"/>
          <w:szCs w:val="24"/>
        </w:rPr>
        <w:t>Siruvidai</w:t>
      </w:r>
      <w:r w:rsidRPr="00857E1C">
        <w:rPr>
          <w:rFonts w:ascii="Times New Roman" w:eastAsia="Calibri" w:hAnsi="Times New Roman" w:cs="Times New Roman"/>
          <w:sz w:val="24"/>
          <w:szCs w:val="24"/>
        </w:rPr>
        <w:t xml:space="preserve">, TANUVAS Aseel, White Leghorn, and commercial broiler subjected to acute heat stress (38 ± 1 °C for 1 h). Heat shock proteins (HSPs) were essential molecular chaperones that protected cells by stabilizing misfolded proteins and preventing aggregation under stress. Liver tissues were collected from six heat-treated and three control birds per group. Total RNA was extracted, reverse transcribed to cDNA, and </w:t>
      </w:r>
      <w:proofErr w:type="spellStart"/>
      <w:r w:rsidRPr="00857E1C">
        <w:rPr>
          <w:rFonts w:ascii="Times New Roman" w:eastAsia="Calibri" w:hAnsi="Times New Roman" w:cs="Times New Roman"/>
          <w:sz w:val="24"/>
          <w:szCs w:val="24"/>
        </w:rPr>
        <w:t>analyzed</w:t>
      </w:r>
      <w:proofErr w:type="spellEnd"/>
      <w:r w:rsidRPr="00857E1C">
        <w:rPr>
          <w:rFonts w:ascii="Times New Roman" w:eastAsia="Calibri" w:hAnsi="Times New Roman" w:cs="Times New Roman"/>
          <w:sz w:val="24"/>
          <w:szCs w:val="24"/>
        </w:rPr>
        <w:t xml:space="preserve"> by quantitative real-time PCR using β-actin as a reference gene. Relative expression was calculated using the </w:t>
      </w:r>
      <w:proofErr w:type="spellStart"/>
      <w:r w:rsidRPr="00857E1C">
        <w:rPr>
          <w:rFonts w:ascii="Times New Roman" w:eastAsia="Calibri" w:hAnsi="Times New Roman" w:cs="Times New Roman"/>
          <w:sz w:val="24"/>
          <w:szCs w:val="24"/>
        </w:rPr>
        <w:t>ΔΔCt</w:t>
      </w:r>
      <w:proofErr w:type="spellEnd"/>
      <w:r w:rsidRPr="00857E1C">
        <w:rPr>
          <w:rFonts w:ascii="Times New Roman" w:eastAsia="Calibri" w:hAnsi="Times New Roman" w:cs="Times New Roman"/>
          <w:sz w:val="24"/>
          <w:szCs w:val="24"/>
        </w:rPr>
        <w:t xml:space="preserve"> method. Results showed that HSP70 expression was upregulated in indigenous </w:t>
      </w:r>
      <w:r w:rsidRPr="00857E1C">
        <w:rPr>
          <w:rFonts w:ascii="Times New Roman" w:eastAsia="Calibri" w:hAnsi="Times New Roman" w:cs="Times New Roman"/>
          <w:i/>
          <w:iCs/>
          <w:sz w:val="24"/>
          <w:szCs w:val="24"/>
        </w:rPr>
        <w:t>Siruvidai</w:t>
      </w:r>
      <w:r w:rsidRPr="00857E1C">
        <w:rPr>
          <w:rFonts w:ascii="Times New Roman" w:eastAsia="Calibri" w:hAnsi="Times New Roman" w:cs="Times New Roman"/>
          <w:sz w:val="24"/>
          <w:szCs w:val="24"/>
        </w:rPr>
        <w:t xml:space="preserve"> (1.42</w:t>
      </w:r>
      <w:r w:rsidR="006D7D06" w:rsidRPr="006D7D06">
        <w:t xml:space="preserve"> ±</w:t>
      </w:r>
      <w:r w:rsidR="006D7D06">
        <w:t xml:space="preserve"> </w:t>
      </w:r>
      <w:r w:rsidR="006D7D06" w:rsidRPr="006D7D06">
        <w:rPr>
          <w:rFonts w:ascii="Times New Roman" w:eastAsia="Calibri" w:hAnsi="Times New Roman" w:cs="Times New Roman"/>
          <w:sz w:val="24"/>
          <w:szCs w:val="24"/>
        </w:rPr>
        <w:t>0.12</w:t>
      </w:r>
      <w:r w:rsidRPr="00857E1C">
        <w:rPr>
          <w:rFonts w:ascii="Times New Roman" w:eastAsia="Calibri" w:hAnsi="Times New Roman" w:cs="Times New Roman"/>
          <w:sz w:val="24"/>
          <w:szCs w:val="24"/>
        </w:rPr>
        <w:t>fold), TANUVAS Aseel (1.19</w:t>
      </w:r>
      <w:r w:rsidR="006D7D06" w:rsidRPr="006D7D06">
        <w:t xml:space="preserve"> </w:t>
      </w:r>
      <w:r w:rsidR="006D7D06" w:rsidRPr="006D7D06">
        <w:rPr>
          <w:rFonts w:ascii="Times New Roman" w:eastAsia="Calibri" w:hAnsi="Times New Roman" w:cs="Times New Roman"/>
          <w:sz w:val="24"/>
          <w:szCs w:val="24"/>
        </w:rPr>
        <w:t>±</w:t>
      </w:r>
      <w:r w:rsidR="006D7D06">
        <w:rPr>
          <w:rFonts w:ascii="Times New Roman" w:eastAsia="Calibri" w:hAnsi="Times New Roman" w:cs="Times New Roman"/>
          <w:sz w:val="24"/>
          <w:szCs w:val="24"/>
        </w:rPr>
        <w:t xml:space="preserve"> 0.09 </w:t>
      </w:r>
      <w:r w:rsidRPr="00857E1C">
        <w:rPr>
          <w:rFonts w:ascii="Times New Roman" w:eastAsia="Calibri" w:hAnsi="Times New Roman" w:cs="Times New Roman"/>
          <w:sz w:val="24"/>
          <w:szCs w:val="24"/>
        </w:rPr>
        <w:t>fold), and White Leghorn (7.57</w:t>
      </w:r>
      <w:r w:rsidR="006D7D06" w:rsidRPr="006D7D06">
        <w:t xml:space="preserve"> </w:t>
      </w:r>
      <w:r w:rsidR="006D7D06" w:rsidRPr="006D7D06">
        <w:rPr>
          <w:rFonts w:ascii="Times New Roman" w:eastAsia="Calibri" w:hAnsi="Times New Roman" w:cs="Times New Roman"/>
          <w:sz w:val="24"/>
          <w:szCs w:val="24"/>
        </w:rPr>
        <w:t>±</w:t>
      </w:r>
      <w:r w:rsidR="006D7D06">
        <w:rPr>
          <w:rFonts w:ascii="Times New Roman" w:eastAsia="Calibri" w:hAnsi="Times New Roman" w:cs="Times New Roman"/>
          <w:sz w:val="24"/>
          <w:szCs w:val="24"/>
        </w:rPr>
        <w:t xml:space="preserve"> 0.31</w:t>
      </w:r>
      <w:r w:rsidRPr="00857E1C">
        <w:rPr>
          <w:rFonts w:ascii="Times New Roman" w:eastAsia="Calibri" w:hAnsi="Times New Roman" w:cs="Times New Roman"/>
          <w:sz w:val="24"/>
          <w:szCs w:val="24"/>
        </w:rPr>
        <w:t xml:space="preserve">fold), but </w:t>
      </w:r>
      <w:r w:rsidR="006D7D06">
        <w:rPr>
          <w:rFonts w:ascii="Times New Roman" w:eastAsia="Calibri" w:hAnsi="Times New Roman" w:cs="Times New Roman"/>
          <w:sz w:val="24"/>
          <w:szCs w:val="24"/>
        </w:rPr>
        <w:t xml:space="preserve">downregulated in broilers (0.40 </w:t>
      </w:r>
      <w:r w:rsidR="006D7D06" w:rsidRPr="006D7D06">
        <w:rPr>
          <w:rFonts w:ascii="Times New Roman" w:eastAsia="Calibri" w:hAnsi="Times New Roman" w:cs="Times New Roman"/>
          <w:sz w:val="24"/>
          <w:szCs w:val="24"/>
        </w:rPr>
        <w:t>±</w:t>
      </w:r>
      <w:r w:rsidR="006D7D06">
        <w:rPr>
          <w:rFonts w:ascii="Times New Roman" w:eastAsia="Calibri" w:hAnsi="Times New Roman" w:cs="Times New Roman"/>
          <w:sz w:val="24"/>
          <w:szCs w:val="24"/>
        </w:rPr>
        <w:t xml:space="preserve"> 0.05</w:t>
      </w:r>
      <w:r w:rsidRPr="00857E1C">
        <w:rPr>
          <w:rFonts w:ascii="Times New Roman" w:eastAsia="Calibri" w:hAnsi="Times New Roman" w:cs="Times New Roman"/>
          <w:sz w:val="24"/>
          <w:szCs w:val="24"/>
        </w:rPr>
        <w:t xml:space="preserve">fold) compared to their respective controls. In contrast, HSP90 was strongly upregulated in indigenous </w:t>
      </w:r>
      <w:r w:rsidRPr="00857E1C">
        <w:rPr>
          <w:rFonts w:ascii="Times New Roman" w:eastAsia="Calibri" w:hAnsi="Times New Roman" w:cs="Times New Roman"/>
          <w:i/>
          <w:iCs/>
          <w:sz w:val="24"/>
          <w:szCs w:val="24"/>
        </w:rPr>
        <w:t>Siruvidai</w:t>
      </w:r>
      <w:r w:rsidRPr="00857E1C">
        <w:rPr>
          <w:rFonts w:ascii="Times New Roman" w:eastAsia="Calibri" w:hAnsi="Times New Roman" w:cs="Times New Roman"/>
          <w:sz w:val="24"/>
          <w:szCs w:val="24"/>
        </w:rPr>
        <w:t xml:space="preserve"> (4.76</w:t>
      </w:r>
      <w:r w:rsidR="006D7D06" w:rsidRPr="006D7D06">
        <w:t xml:space="preserve"> </w:t>
      </w:r>
      <w:r w:rsidR="006D7D06" w:rsidRPr="006D7D06">
        <w:rPr>
          <w:rFonts w:ascii="Times New Roman" w:eastAsia="Calibri" w:hAnsi="Times New Roman" w:cs="Times New Roman"/>
          <w:sz w:val="24"/>
          <w:szCs w:val="24"/>
        </w:rPr>
        <w:t>±</w:t>
      </w:r>
      <w:r w:rsidR="006D7D06">
        <w:rPr>
          <w:rFonts w:ascii="Times New Roman" w:eastAsia="Calibri" w:hAnsi="Times New Roman" w:cs="Times New Roman"/>
          <w:sz w:val="24"/>
          <w:szCs w:val="24"/>
        </w:rPr>
        <w:t xml:space="preserve"> 0.20 </w:t>
      </w:r>
      <w:r w:rsidRPr="00857E1C">
        <w:rPr>
          <w:rFonts w:ascii="Times New Roman" w:eastAsia="Calibri" w:hAnsi="Times New Roman" w:cs="Times New Roman"/>
          <w:sz w:val="24"/>
          <w:szCs w:val="24"/>
        </w:rPr>
        <w:t>fold), but downregulated in TANUVAS Aseel (0.63</w:t>
      </w:r>
      <w:r w:rsidR="006D7D06" w:rsidRPr="006D7D06">
        <w:t xml:space="preserve"> </w:t>
      </w:r>
      <w:r w:rsidR="006D7D06" w:rsidRPr="006D7D06">
        <w:rPr>
          <w:rFonts w:ascii="Times New Roman" w:eastAsia="Calibri" w:hAnsi="Times New Roman" w:cs="Times New Roman"/>
          <w:sz w:val="24"/>
          <w:szCs w:val="24"/>
        </w:rPr>
        <w:t>±</w:t>
      </w:r>
      <w:r w:rsidR="006D7D06">
        <w:rPr>
          <w:rFonts w:ascii="Times New Roman" w:eastAsia="Calibri" w:hAnsi="Times New Roman" w:cs="Times New Roman"/>
          <w:sz w:val="24"/>
          <w:szCs w:val="24"/>
        </w:rPr>
        <w:t xml:space="preserve"> 0.07</w:t>
      </w:r>
      <w:r w:rsidRPr="00857E1C">
        <w:rPr>
          <w:rFonts w:ascii="Times New Roman" w:eastAsia="Calibri" w:hAnsi="Times New Roman" w:cs="Times New Roman"/>
          <w:sz w:val="24"/>
          <w:szCs w:val="24"/>
        </w:rPr>
        <w:t>fold), White Leghorn (0.17</w:t>
      </w:r>
      <w:r w:rsidR="006D7D06" w:rsidRPr="006D7D06">
        <w:t xml:space="preserve"> </w:t>
      </w:r>
      <w:r w:rsidR="006D7D06" w:rsidRPr="006D7D06">
        <w:rPr>
          <w:rFonts w:ascii="Times New Roman" w:eastAsia="Calibri" w:hAnsi="Times New Roman" w:cs="Times New Roman"/>
          <w:sz w:val="24"/>
          <w:szCs w:val="24"/>
        </w:rPr>
        <w:t>±</w:t>
      </w:r>
      <w:r w:rsidR="006D7D06">
        <w:rPr>
          <w:rFonts w:ascii="Times New Roman" w:eastAsia="Calibri" w:hAnsi="Times New Roman" w:cs="Times New Roman"/>
          <w:sz w:val="24"/>
          <w:szCs w:val="24"/>
        </w:rPr>
        <w:t>0.03</w:t>
      </w:r>
      <w:r w:rsidRPr="00857E1C">
        <w:rPr>
          <w:rFonts w:ascii="Times New Roman" w:eastAsia="Calibri" w:hAnsi="Times New Roman" w:cs="Times New Roman"/>
          <w:sz w:val="24"/>
          <w:szCs w:val="24"/>
        </w:rPr>
        <w:t>fold), and broilers (0.18</w:t>
      </w:r>
      <w:r w:rsidR="006D7D06" w:rsidRPr="006D7D06">
        <w:t xml:space="preserve"> </w:t>
      </w:r>
      <w:r w:rsidR="006D7D06" w:rsidRPr="006D7D06">
        <w:rPr>
          <w:rFonts w:ascii="Times New Roman" w:eastAsia="Calibri" w:hAnsi="Times New Roman" w:cs="Times New Roman"/>
          <w:sz w:val="24"/>
          <w:szCs w:val="24"/>
        </w:rPr>
        <w:t>±</w:t>
      </w:r>
      <w:r w:rsidR="006D7D06">
        <w:rPr>
          <w:rFonts w:ascii="Times New Roman" w:eastAsia="Calibri" w:hAnsi="Times New Roman" w:cs="Times New Roman"/>
          <w:sz w:val="24"/>
          <w:szCs w:val="24"/>
        </w:rPr>
        <w:t xml:space="preserve"> 0.04 </w:t>
      </w:r>
      <w:r w:rsidRPr="00857E1C">
        <w:rPr>
          <w:rFonts w:ascii="Times New Roman" w:eastAsia="Calibri" w:hAnsi="Times New Roman" w:cs="Times New Roman"/>
          <w:sz w:val="24"/>
          <w:szCs w:val="24"/>
        </w:rPr>
        <w:t>fold). These findings suggested that indigenous breeds exhibited a balanced and adaptive thermotolerance strategy with moderate HSP induction, whereas White Leghorns mount an exaggerated HSP70 response and broilers showed a blunted chaperone response, reflectin</w:t>
      </w:r>
      <w:r w:rsidR="00FC0CE7">
        <w:rPr>
          <w:rFonts w:ascii="Times New Roman" w:eastAsia="Calibri" w:hAnsi="Times New Roman" w:cs="Times New Roman"/>
          <w:sz w:val="24"/>
          <w:szCs w:val="24"/>
        </w:rPr>
        <w:t xml:space="preserve">g their thermal susceptibility. </w:t>
      </w:r>
      <w:r w:rsidRPr="00857E1C">
        <w:rPr>
          <w:rFonts w:ascii="Times New Roman" w:eastAsia="Calibri" w:hAnsi="Times New Roman" w:cs="Times New Roman"/>
          <w:sz w:val="24"/>
          <w:szCs w:val="24"/>
        </w:rPr>
        <w:t>Overall, the results highlighted the genetic potential of native breeds for heat resilience and supported the use of HSP70 and HSP90 expression profiles as molecular markers in breeding programs to enhance thermotolerance in commercial poultry.</w:t>
      </w:r>
      <w:r w:rsidR="00FC0CE7" w:rsidRPr="00FC0CE7">
        <w:t xml:space="preserve"> </w:t>
      </w:r>
      <w:r w:rsidR="00FC0CE7" w:rsidRPr="004E314B">
        <w:rPr>
          <w:rFonts w:ascii="Times New Roman" w:eastAsia="Calibri" w:hAnsi="Times New Roman" w:cs="Times New Roman"/>
          <w:color w:val="FF0000"/>
          <w:sz w:val="24"/>
          <w:szCs w:val="24"/>
        </w:rPr>
        <w:t xml:space="preserve">In future, HSP70 and HSP90 expression profiling could aid in selecting and breeding poultry strains with improved heat tolerance and </w:t>
      </w:r>
      <w:r w:rsidR="004E314B" w:rsidRPr="004E314B">
        <w:rPr>
          <w:rFonts w:ascii="Times New Roman" w:eastAsia="Calibri" w:hAnsi="Times New Roman" w:cs="Times New Roman"/>
          <w:color w:val="FF0000"/>
          <w:sz w:val="24"/>
          <w:szCs w:val="24"/>
        </w:rPr>
        <w:t>adaptability to climate change.</w:t>
      </w:r>
    </w:p>
    <w:p w14:paraId="0B7CB4E0" w14:textId="77777777" w:rsidR="00857E1C" w:rsidRPr="00857E1C" w:rsidRDefault="00857E1C" w:rsidP="00857E1C">
      <w:pPr>
        <w:spacing w:after="200" w:line="360" w:lineRule="auto"/>
        <w:jc w:val="both"/>
        <w:rPr>
          <w:rFonts w:ascii="Times New Roman" w:eastAsia="Times New Roman" w:hAnsi="Times New Roman" w:cs="Times New Roman"/>
          <w:bCs/>
          <w:sz w:val="24"/>
          <w:szCs w:val="24"/>
          <w:lang w:val="en-US" w:eastAsia="en-IN" w:bidi="ta-IN"/>
        </w:rPr>
      </w:pPr>
      <w:r w:rsidRPr="00857E1C">
        <w:rPr>
          <w:rFonts w:ascii="Times New Roman" w:eastAsia="Times New Roman" w:hAnsi="Times New Roman" w:cs="Times New Roman"/>
          <w:b/>
          <w:bCs/>
          <w:sz w:val="24"/>
          <w:szCs w:val="24"/>
          <w:lang w:val="en-US" w:eastAsia="en-IN" w:bidi="ta-IN"/>
        </w:rPr>
        <w:lastRenderedPageBreak/>
        <w:t>KEYWORDS:</w:t>
      </w:r>
      <w:r w:rsidRPr="00857E1C">
        <w:rPr>
          <w:rFonts w:ascii="Times New Roman" w:eastAsia="Times New Roman" w:hAnsi="Times New Roman" w:cs="Times New Roman"/>
          <w:bCs/>
          <w:sz w:val="24"/>
          <w:szCs w:val="24"/>
          <w:lang w:val="en-US" w:eastAsia="en-IN" w:bidi="ta-IN"/>
        </w:rPr>
        <w:t xml:space="preserve"> Heat stress, hsp70, hsp90, </w:t>
      </w:r>
      <w:proofErr w:type="spellStart"/>
      <w:r w:rsidRPr="00857E1C">
        <w:rPr>
          <w:rFonts w:ascii="Times New Roman" w:eastAsia="Times New Roman" w:hAnsi="Times New Roman" w:cs="Times New Roman"/>
          <w:bCs/>
          <w:i/>
          <w:iCs/>
          <w:sz w:val="24"/>
          <w:szCs w:val="24"/>
          <w:lang w:val="en-US" w:eastAsia="en-IN" w:bidi="ta-IN"/>
        </w:rPr>
        <w:t>siruvidai</w:t>
      </w:r>
      <w:proofErr w:type="spellEnd"/>
      <w:r w:rsidRPr="00857E1C">
        <w:rPr>
          <w:rFonts w:ascii="Times New Roman" w:eastAsia="Times New Roman" w:hAnsi="Times New Roman" w:cs="Times New Roman"/>
          <w:bCs/>
          <w:sz w:val="24"/>
          <w:szCs w:val="24"/>
          <w:lang w:val="en-US" w:eastAsia="en-IN" w:bidi="ta-IN"/>
        </w:rPr>
        <w:t xml:space="preserve">, </w:t>
      </w:r>
      <w:proofErr w:type="spellStart"/>
      <w:r w:rsidRPr="00857E1C">
        <w:rPr>
          <w:rFonts w:ascii="Times New Roman" w:eastAsia="Times New Roman" w:hAnsi="Times New Roman" w:cs="Times New Roman"/>
          <w:bCs/>
          <w:sz w:val="24"/>
          <w:szCs w:val="24"/>
          <w:lang w:val="en-US" w:eastAsia="en-IN" w:bidi="ta-IN"/>
        </w:rPr>
        <w:t>tanuvas</w:t>
      </w:r>
      <w:proofErr w:type="spellEnd"/>
      <w:r w:rsidRPr="00857E1C">
        <w:rPr>
          <w:rFonts w:ascii="Times New Roman" w:eastAsia="Times New Roman" w:hAnsi="Times New Roman" w:cs="Times New Roman"/>
          <w:bCs/>
          <w:sz w:val="24"/>
          <w:szCs w:val="24"/>
          <w:lang w:val="en-US" w:eastAsia="en-IN" w:bidi="ta-IN"/>
        </w:rPr>
        <w:t xml:space="preserve"> </w:t>
      </w:r>
      <w:proofErr w:type="spellStart"/>
      <w:r w:rsidRPr="00857E1C">
        <w:rPr>
          <w:rFonts w:ascii="Times New Roman" w:eastAsia="Times New Roman" w:hAnsi="Times New Roman" w:cs="Times New Roman"/>
          <w:bCs/>
          <w:sz w:val="24"/>
          <w:szCs w:val="24"/>
          <w:lang w:val="en-US" w:eastAsia="en-IN" w:bidi="ta-IN"/>
        </w:rPr>
        <w:t>aseel</w:t>
      </w:r>
      <w:proofErr w:type="spellEnd"/>
      <w:r w:rsidRPr="00857E1C">
        <w:rPr>
          <w:rFonts w:ascii="Times New Roman" w:eastAsia="Times New Roman" w:hAnsi="Times New Roman" w:cs="Times New Roman"/>
          <w:bCs/>
          <w:sz w:val="24"/>
          <w:szCs w:val="24"/>
          <w:lang w:val="en-US" w:eastAsia="en-IN" w:bidi="ta-IN"/>
        </w:rPr>
        <w:t xml:space="preserve">, white leghorn, broiler chicken, thermotolerance, </w:t>
      </w:r>
    </w:p>
    <w:p w14:paraId="4A339A04" w14:textId="77777777" w:rsidR="00857E1C" w:rsidRPr="00857E1C" w:rsidRDefault="00857E1C" w:rsidP="00857E1C">
      <w:pPr>
        <w:spacing w:after="200" w:line="360" w:lineRule="auto"/>
        <w:jc w:val="both"/>
        <w:rPr>
          <w:rFonts w:ascii="Times New Roman" w:eastAsia="Times New Roman" w:hAnsi="Times New Roman" w:cs="Times New Roman"/>
          <w:b/>
          <w:sz w:val="24"/>
          <w:szCs w:val="24"/>
          <w:lang w:eastAsia="en-IN" w:bidi="ta-IN"/>
        </w:rPr>
      </w:pPr>
      <w:r w:rsidRPr="00857E1C">
        <w:rPr>
          <w:rFonts w:ascii="Times New Roman" w:eastAsia="Times New Roman" w:hAnsi="Times New Roman" w:cs="Times New Roman"/>
          <w:b/>
          <w:sz w:val="24"/>
          <w:szCs w:val="24"/>
          <w:lang w:eastAsia="en-IN" w:bidi="ta-IN"/>
        </w:rPr>
        <w:t>1.0    INTRODUCTION</w:t>
      </w:r>
    </w:p>
    <w:p w14:paraId="38A85E79" w14:textId="6D1C6990" w:rsidR="00857E1C" w:rsidRPr="00857E1C" w:rsidRDefault="00857E1C" w:rsidP="00857E1C">
      <w:pPr>
        <w:widowControl w:val="0"/>
        <w:tabs>
          <w:tab w:val="left" w:pos="720"/>
        </w:tabs>
        <w:autoSpaceDE w:val="0"/>
        <w:autoSpaceDN w:val="0"/>
        <w:spacing w:afterLines="60" w:after="144" w:line="360" w:lineRule="auto"/>
        <w:ind w:right="26"/>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Pr="00857E1C">
        <w:rPr>
          <w:rFonts w:ascii="Times New Roman" w:eastAsia="Calibri" w:hAnsi="Times New Roman" w:cs="Times New Roman"/>
          <w:sz w:val="24"/>
          <w:szCs w:val="24"/>
          <w:lang w:val="en-US"/>
        </w:rPr>
        <w:t xml:space="preserve">In poultry production, environmental stressors such as high ambient temperature, transportation, vaccination, handling, and disease challenges frequently induce cellular stress, leading to impaired growth, reduced feed efficiency, compromised immunity, and decreased overall productivity. To counter these adverse effects, HSP70 and HSP90 are rapidly synthesized and act as a defense mechanism by stabilizing unfolded or misfolded proteins, preventing protein aggregation, and facilitating protein refolding. Heat shock proteins (HSPs) are a family of highly conserved molecular chaperones that play a central role in maintaining cellular homeostasis under stress. Among them, HSP70 and HSP90 are the most widely studied in poultry due to their involvement in protein folding, stabilization, and protection against heat-induced denaturation </w:t>
      </w:r>
      <w:r w:rsidRPr="00857E1C">
        <w:rPr>
          <w:rFonts w:ascii="Times New Roman" w:eastAsia="Calibri" w:hAnsi="Times New Roman" w:cs="Times New Roman"/>
          <w:color w:val="000000" w:themeColor="text1"/>
          <w:sz w:val="24"/>
          <w:szCs w:val="24"/>
          <w:lang w:val="en-US"/>
        </w:rPr>
        <w:t xml:space="preserve">(Lindquist </w:t>
      </w:r>
      <w:r w:rsidRPr="00857E1C">
        <w:rPr>
          <w:rFonts w:ascii="Times New Roman" w:eastAsia="Calibri" w:hAnsi="Times New Roman" w:cs="Times New Roman"/>
          <w:sz w:val="24"/>
          <w:szCs w:val="24"/>
          <w:lang w:val="en-US"/>
        </w:rPr>
        <w:t>and Craig, 1988). Exposure to high ambient temperatures, a common challenge in tropical poultry production, induces the expression of these proteins, enabling birds to survive otherwise lethal conditions. HSP70 is a rapidly inducible stress protein that prevents aggregation of misfolded proteins and assists in their refolding, thereby acting as a “first responder” during acute heat stress (</w:t>
      </w:r>
      <w:r w:rsidRPr="00857E1C">
        <w:rPr>
          <w:rFonts w:ascii="Times New Roman" w:eastAsia="Calibri" w:hAnsi="Times New Roman" w:cs="Times New Roman"/>
          <w:color w:val="000000" w:themeColor="text1"/>
          <w:sz w:val="24"/>
          <w:szCs w:val="24"/>
          <w:lang w:val="en-US"/>
        </w:rPr>
        <w:t>Morimoto</w:t>
      </w:r>
      <w:r w:rsidRPr="00857E1C">
        <w:rPr>
          <w:rFonts w:ascii="Times New Roman" w:eastAsia="Calibri" w:hAnsi="Times New Roman" w:cs="Times New Roman"/>
          <w:sz w:val="24"/>
          <w:szCs w:val="24"/>
          <w:lang w:val="en-US"/>
        </w:rPr>
        <w:t>, 1993). In contrast, exotic and commercial strains often show either exaggerated induction, as in White Leghorns, or suppression, as in fast-growing broilers, reflecting their reduced adaptability (</w:t>
      </w:r>
      <w:r w:rsidRPr="00857E1C">
        <w:rPr>
          <w:rFonts w:ascii="Times New Roman" w:eastAsia="Calibri" w:hAnsi="Times New Roman" w:cs="Times New Roman"/>
          <w:color w:val="000000" w:themeColor="text1"/>
          <w:sz w:val="24"/>
          <w:szCs w:val="24"/>
          <w:lang w:val="en-US"/>
        </w:rPr>
        <w:t>Siddiqui</w:t>
      </w:r>
      <w:r w:rsidRPr="00857E1C">
        <w:rPr>
          <w:rFonts w:ascii="Times New Roman" w:eastAsia="Calibri" w:hAnsi="Times New Roman" w:cs="Times New Roman"/>
          <w:sz w:val="24"/>
          <w:szCs w:val="24"/>
          <w:lang w:val="en-US"/>
        </w:rPr>
        <w:t>, 2020). HSP90, while also stress-inducible, plays a more specialized role in stabilizing steroid hormone receptors, kinases, and transcription factors, thereby contributing to long-term stress adaptation and cellular signaling stability (</w:t>
      </w:r>
      <w:r w:rsidRPr="00857E1C">
        <w:rPr>
          <w:rFonts w:ascii="Times New Roman" w:eastAsia="Calibri" w:hAnsi="Times New Roman" w:cs="Times New Roman"/>
          <w:color w:val="000000" w:themeColor="text1"/>
          <w:sz w:val="24"/>
          <w:szCs w:val="24"/>
          <w:lang w:val="en-US"/>
        </w:rPr>
        <w:t>Picard</w:t>
      </w:r>
      <w:r w:rsidRPr="00857E1C">
        <w:rPr>
          <w:rFonts w:ascii="Times New Roman" w:eastAsia="Calibri" w:hAnsi="Times New Roman" w:cs="Times New Roman"/>
          <w:sz w:val="24"/>
          <w:szCs w:val="24"/>
          <w:lang w:val="en-US"/>
        </w:rPr>
        <w:t xml:space="preserve">, 2002). Among the breeds considered in this study,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r w:rsidRPr="00857E1C">
        <w:rPr>
          <w:rFonts w:ascii="Times New Roman" w:eastAsia="Calibri" w:hAnsi="Times New Roman" w:cs="Times New Roman"/>
          <w:i/>
          <w:iCs/>
          <w:sz w:val="24"/>
          <w:szCs w:val="24"/>
          <w:lang w:val="en-US"/>
        </w:rPr>
        <w:t>Siruvidai</w:t>
      </w:r>
      <w:r w:rsidRPr="00857E1C">
        <w:rPr>
          <w:rFonts w:ascii="Times New Roman" w:eastAsia="Calibri" w:hAnsi="Times New Roman" w:cs="Times New Roman"/>
          <w:sz w:val="24"/>
          <w:szCs w:val="24"/>
          <w:lang w:val="en-US"/>
        </w:rPr>
        <w:t xml:space="preserve"> is an indigenous ecotype of Tamil Nadu (</w:t>
      </w:r>
      <w:proofErr w:type="spellStart"/>
      <w:r w:rsidRPr="00857E1C">
        <w:rPr>
          <w:rFonts w:ascii="Times New Roman" w:eastAsia="Calibri" w:hAnsi="Times New Roman" w:cs="Times New Roman"/>
          <w:color w:val="000000" w:themeColor="text1"/>
          <w:sz w:val="24"/>
          <w:szCs w:val="24"/>
          <w:lang w:val="en-US"/>
        </w:rPr>
        <w:t>Churchil</w:t>
      </w:r>
      <w:proofErr w:type="spellEnd"/>
      <w:r w:rsidRPr="00857E1C">
        <w:rPr>
          <w:rFonts w:ascii="Times New Roman" w:eastAsia="Calibri" w:hAnsi="Times New Roman" w:cs="Times New Roman"/>
          <w:sz w:val="24"/>
          <w:szCs w:val="24"/>
          <w:lang w:val="en-US"/>
        </w:rPr>
        <w:t xml:space="preserve"> et al., 2024), while TANUVAS Aseel is a strain of Aseel developed for backyard rearing under hot and humid conditions. Their stress resilience has been linked to efficient HSP gene expression patterns. In contrast, White Leghorn, an exotic layer breed, is highly productive but less heat tolerant, showing sharp inducible responses of HSP70 under stress. Commercial broilers, bred for rapid growth, are particularly vulnerable to heat due to low or suppressed expression of HSP genes, compromising their survivability under thermal challenge. Understanding the comparative expression of HSP70 and HSP90 in native versus exotic breeds provides valuable insight into the molecular basis of thermotolerance. This knowledge is crucial for developing breeding and management strategies aimed at improving heat resilience in poultry production systems. Although there is currently no direct research on HSP70 and HSP90 in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r w:rsidRPr="00857E1C">
        <w:rPr>
          <w:rFonts w:ascii="Times New Roman" w:eastAsia="Calibri" w:hAnsi="Times New Roman" w:cs="Times New Roman"/>
          <w:i/>
          <w:iCs/>
          <w:sz w:val="24"/>
          <w:szCs w:val="24"/>
          <w:lang w:val="en-US"/>
        </w:rPr>
        <w:lastRenderedPageBreak/>
        <w:t>Siruvidai</w:t>
      </w:r>
      <w:r w:rsidRPr="00857E1C">
        <w:rPr>
          <w:rFonts w:ascii="Times New Roman" w:eastAsia="Calibri" w:hAnsi="Times New Roman" w:cs="Times New Roman"/>
          <w:sz w:val="24"/>
          <w:szCs w:val="24"/>
          <w:lang w:val="en-US"/>
        </w:rPr>
        <w:t xml:space="preserve"> chicken, drawing on findings from other indigenous breeds offers a strong conceptual foundation. The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r w:rsidRPr="00857E1C">
        <w:rPr>
          <w:rFonts w:ascii="Times New Roman" w:eastAsia="Calibri" w:hAnsi="Times New Roman" w:cs="Times New Roman"/>
          <w:i/>
          <w:iCs/>
          <w:sz w:val="24"/>
          <w:szCs w:val="24"/>
          <w:lang w:val="en-US"/>
        </w:rPr>
        <w:t>Siruvidai</w:t>
      </w:r>
      <w:r w:rsidRPr="00857E1C">
        <w:rPr>
          <w:rFonts w:ascii="Times New Roman" w:eastAsia="Calibri" w:hAnsi="Times New Roman" w:cs="Times New Roman"/>
          <w:i/>
          <w:sz w:val="24"/>
          <w:szCs w:val="24"/>
          <w:lang w:val="en-US"/>
        </w:rPr>
        <w:t xml:space="preserve"> </w:t>
      </w:r>
      <w:r w:rsidRPr="00857E1C">
        <w:rPr>
          <w:rFonts w:ascii="Times New Roman" w:eastAsia="Calibri" w:hAnsi="Times New Roman" w:cs="Times New Roman"/>
          <w:sz w:val="24"/>
          <w:szCs w:val="24"/>
          <w:lang w:val="en-US"/>
        </w:rPr>
        <w:t xml:space="preserve">ecotype, known locally for its adaptability and unique traits, may similarly rely on elevated HSP expression for stress resilience. As such, investigating HSP pathways in </w:t>
      </w:r>
      <w:r w:rsidRPr="00857E1C">
        <w:rPr>
          <w:rFonts w:ascii="Times New Roman" w:eastAsia="Calibri" w:hAnsi="Times New Roman" w:cs="Times New Roman"/>
          <w:sz w:val="24"/>
          <w:szCs w:val="24"/>
        </w:rPr>
        <w:t>indigenous</w:t>
      </w:r>
      <w:r w:rsidRPr="00857E1C">
        <w:rPr>
          <w:rFonts w:ascii="Times New Roman" w:eastAsia="Calibri" w:hAnsi="Times New Roman" w:cs="Times New Roman"/>
          <w:sz w:val="24"/>
          <w:szCs w:val="24"/>
          <w:lang w:val="en-US"/>
        </w:rPr>
        <w:t xml:space="preserve"> </w:t>
      </w:r>
      <w:r w:rsidRPr="00857E1C">
        <w:rPr>
          <w:rFonts w:ascii="Times New Roman" w:eastAsia="Calibri" w:hAnsi="Times New Roman" w:cs="Times New Roman"/>
          <w:i/>
          <w:iCs/>
          <w:sz w:val="24"/>
          <w:szCs w:val="24"/>
          <w:lang w:val="en-US"/>
        </w:rPr>
        <w:t>Siruvidai</w:t>
      </w:r>
      <w:r w:rsidRPr="00857E1C">
        <w:rPr>
          <w:rFonts w:ascii="Times New Roman" w:eastAsia="Calibri" w:hAnsi="Times New Roman" w:cs="Times New Roman"/>
          <w:i/>
          <w:sz w:val="24"/>
          <w:szCs w:val="24"/>
          <w:lang w:val="en-US"/>
        </w:rPr>
        <w:t xml:space="preserve"> </w:t>
      </w:r>
      <w:r w:rsidRPr="00857E1C">
        <w:rPr>
          <w:rFonts w:ascii="Times New Roman" w:eastAsia="Calibri" w:hAnsi="Times New Roman" w:cs="Times New Roman"/>
          <w:sz w:val="24"/>
          <w:szCs w:val="24"/>
          <w:lang w:val="en-US"/>
        </w:rPr>
        <w:t>chickens might reveal valuable insights relevant to improving productivity under environmental stress.</w:t>
      </w:r>
      <w:r w:rsidRPr="00857E1C">
        <w:rPr>
          <w:rFonts w:ascii="Times New Roman" w:eastAsia="Times New Roman" w:hAnsi="Times New Roman" w:cs="Times New Roman"/>
          <w:sz w:val="24"/>
          <w:szCs w:val="24"/>
          <w:lang w:eastAsia="en-IN" w:bidi="ta-IN"/>
        </w:rPr>
        <w:t xml:space="preserve"> As part of the ongoing efforts to characterize native poultry breeds in Tamil Nadu, the present study aimed to elucidate the heat shock protein (HSP 70 and HSP 90 profiles of the </w:t>
      </w:r>
      <w:r w:rsidRPr="00857E1C">
        <w:rPr>
          <w:rFonts w:ascii="Times New Roman" w:eastAsia="Calibri" w:hAnsi="Times New Roman" w:cs="Times New Roman"/>
          <w:sz w:val="24"/>
          <w:szCs w:val="24"/>
        </w:rPr>
        <w:t xml:space="preserve">indigenous </w:t>
      </w:r>
      <w:r w:rsidRPr="00857E1C">
        <w:rPr>
          <w:rFonts w:ascii="Times New Roman" w:eastAsia="Times New Roman" w:hAnsi="Times New Roman" w:cs="Times New Roman"/>
          <w:i/>
          <w:iCs/>
          <w:sz w:val="24"/>
          <w:szCs w:val="24"/>
          <w:lang w:eastAsia="en-IN" w:bidi="ta-IN"/>
        </w:rPr>
        <w:t>Siruvidai</w:t>
      </w:r>
      <w:r w:rsidRPr="00857E1C">
        <w:rPr>
          <w:rFonts w:ascii="Times New Roman" w:eastAsia="Times New Roman" w:hAnsi="Times New Roman" w:cs="Times New Roman"/>
          <w:sz w:val="24"/>
          <w:szCs w:val="24"/>
          <w:lang w:eastAsia="en-IN" w:bidi="ta-IN"/>
        </w:rPr>
        <w:t xml:space="preserve"> breed and compared them with those of TANUVAS Aseel </w:t>
      </w:r>
      <w:r w:rsidRPr="00857E1C">
        <w:rPr>
          <w:rFonts w:ascii="Times New Roman" w:eastAsia="Calibri" w:hAnsi="Times New Roman" w:cs="Times New Roman"/>
          <w:sz w:val="24"/>
          <w:szCs w:val="24"/>
          <w:lang w:val="en-US"/>
        </w:rPr>
        <w:t>White Leghorn and commercial broiler</w:t>
      </w:r>
    </w:p>
    <w:p w14:paraId="2E3D2BB0" w14:textId="77777777" w:rsidR="00857E1C" w:rsidRPr="00857E1C" w:rsidRDefault="00857E1C" w:rsidP="00857E1C">
      <w:pPr>
        <w:widowControl w:val="0"/>
        <w:tabs>
          <w:tab w:val="left" w:pos="901"/>
        </w:tabs>
        <w:autoSpaceDE w:val="0"/>
        <w:autoSpaceDN w:val="0"/>
        <w:spacing w:afterLines="60" w:after="144" w:line="360" w:lineRule="auto"/>
        <w:ind w:right="709"/>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2.0.    MATERIALS AND METHODS</w:t>
      </w:r>
    </w:p>
    <w:p w14:paraId="7BC1CFB5" w14:textId="31D8D3AB" w:rsidR="00857E1C" w:rsidRPr="00857E1C" w:rsidRDefault="00857E1C" w:rsidP="00857E1C">
      <w:pPr>
        <w:widowControl w:val="0"/>
        <w:tabs>
          <w:tab w:val="left" w:pos="901"/>
        </w:tabs>
        <w:autoSpaceDE w:val="0"/>
        <w:autoSpaceDN w:val="0"/>
        <w:spacing w:afterLines="60" w:after="144" w:line="360" w:lineRule="auto"/>
        <w:ind w:right="709"/>
        <w:jc w:val="both"/>
        <w:rPr>
          <w:rFonts w:ascii="Times New Roman" w:eastAsia="Times New Roman" w:hAnsi="Times New Roman" w:cs="Times New Roman"/>
          <w:sz w:val="24"/>
          <w:szCs w:val="24"/>
          <w:lang w:eastAsia="en-IN" w:bidi="ta-IN"/>
        </w:rPr>
      </w:pPr>
      <w:r w:rsidRPr="00857E1C">
        <w:rPr>
          <w:rFonts w:ascii="Times New Roman" w:eastAsia="Times New Roman" w:hAnsi="Times New Roman" w:cs="Times New Roman"/>
          <w:sz w:val="24"/>
          <w:szCs w:val="24"/>
          <w:lang w:eastAsia="en-IN" w:bidi="ta-IN"/>
        </w:rPr>
        <w:t xml:space="preserve">The experiment was conducted during November 2023 at Madras Veterinary College, Chennai </w:t>
      </w:r>
      <w:r w:rsidR="008273DD">
        <w:rPr>
          <w:rFonts w:ascii="Times New Roman" w:eastAsia="Times New Roman" w:hAnsi="Times New Roman" w:cs="Times New Roman"/>
          <w:sz w:val="24"/>
          <w:szCs w:val="24"/>
          <w:lang w:eastAsia="en-IN" w:bidi="ta-IN"/>
        </w:rPr>
        <w:t>.</w:t>
      </w:r>
    </w:p>
    <w:p w14:paraId="554A4B9D" w14:textId="77777777" w:rsidR="00857E1C" w:rsidRPr="00857E1C" w:rsidRDefault="00857E1C" w:rsidP="00857E1C">
      <w:pPr>
        <w:widowControl w:val="0"/>
        <w:tabs>
          <w:tab w:val="left" w:pos="284"/>
          <w:tab w:val="left" w:pos="567"/>
          <w:tab w:val="left" w:pos="901"/>
        </w:tabs>
        <w:autoSpaceDE w:val="0"/>
        <w:autoSpaceDN w:val="0"/>
        <w:spacing w:afterLines="60" w:after="144" w:line="360" w:lineRule="auto"/>
        <w:ind w:right="709"/>
        <w:jc w:val="both"/>
        <w:rPr>
          <w:rFonts w:ascii="Times New Roman" w:eastAsia="Calibri" w:hAnsi="Times New Roman" w:cs="Times New Roman"/>
          <w:b/>
          <w:iCs/>
          <w:sz w:val="24"/>
          <w:szCs w:val="24"/>
          <w:lang w:val="en-US"/>
        </w:rPr>
      </w:pPr>
      <w:r w:rsidRPr="00857E1C">
        <w:rPr>
          <w:rFonts w:ascii="Times New Roman" w:eastAsia="Calibri" w:hAnsi="Times New Roman" w:cs="Times New Roman"/>
          <w:b/>
          <w:iCs/>
          <w:sz w:val="24"/>
          <w:szCs w:val="24"/>
          <w:lang w:val="en-US"/>
        </w:rPr>
        <w:t>2.1.   Sample Collection for Gene Expression</w:t>
      </w:r>
    </w:p>
    <w:p w14:paraId="1E439F6D" w14:textId="7415A379" w:rsidR="00857E1C" w:rsidRPr="008273DD" w:rsidRDefault="00857E1C" w:rsidP="008273DD">
      <w:pPr>
        <w:spacing w:before="100" w:beforeAutospacing="1" w:after="100" w:afterAutospacing="1" w:line="360" w:lineRule="auto"/>
        <w:jc w:val="both"/>
        <w:rPr>
          <w:rFonts w:ascii="Times New Roman" w:eastAsia="Times New Roman" w:hAnsi="Times New Roman" w:cs="Times New Roman"/>
          <w:color w:val="FF0000"/>
          <w:sz w:val="24"/>
          <w:szCs w:val="24"/>
          <w:lang w:eastAsia="en-IN" w:bidi="ta-IN"/>
        </w:rPr>
      </w:pPr>
      <w:r w:rsidRPr="00857E1C">
        <w:rPr>
          <w:rFonts w:ascii="Times New Roman" w:eastAsia="Times New Roman" w:hAnsi="Times New Roman" w:cs="Times New Roman"/>
          <w:sz w:val="24"/>
          <w:szCs w:val="24"/>
          <w:lang w:eastAsia="en-IN" w:bidi="ta-IN"/>
        </w:rPr>
        <w:t xml:space="preserve">The HSP70 and HSP90 genes were studied to assess the stress response of birds. At 45 weeks of age, birds were subjected to acute heat stress at 38 ± 1 °C for 1 h. Following exposure, six birds each from </w:t>
      </w:r>
      <w:r w:rsidRPr="00857E1C">
        <w:rPr>
          <w:rFonts w:ascii="Times New Roman" w:eastAsia="Calibri" w:hAnsi="Times New Roman" w:cs="Times New Roman"/>
          <w:sz w:val="24"/>
          <w:szCs w:val="24"/>
        </w:rPr>
        <w:t xml:space="preserve">indigenous </w:t>
      </w:r>
      <w:r w:rsidRPr="00857E1C">
        <w:rPr>
          <w:rFonts w:ascii="Times New Roman" w:eastAsia="Times New Roman" w:hAnsi="Times New Roman" w:cs="Times New Roman"/>
          <w:i/>
          <w:iCs/>
          <w:sz w:val="24"/>
          <w:szCs w:val="24"/>
          <w:lang w:eastAsia="en-IN" w:bidi="ta-IN"/>
        </w:rPr>
        <w:t>Siruvidai</w:t>
      </w:r>
      <w:r w:rsidRPr="00857E1C">
        <w:rPr>
          <w:rFonts w:ascii="Times New Roman" w:eastAsia="Times New Roman" w:hAnsi="Times New Roman" w:cs="Times New Roman"/>
          <w:sz w:val="24"/>
          <w:szCs w:val="24"/>
          <w:lang w:eastAsia="en-IN" w:bidi="ta-IN"/>
        </w:rPr>
        <w:t>, TANUVAS Aseel, White Leghorn, and commercial broiler groups were humanely sacrificed, and liver samples were collected. Additionally, three birds from each genetic group were maintained as controls without heat treatment, and their liver samples were also collected for HSP70 and HSP90 gene expression analysis.</w:t>
      </w:r>
      <w:r w:rsidR="008273DD" w:rsidRPr="008273DD">
        <w:t xml:space="preserve"> </w:t>
      </w:r>
      <w:r w:rsidR="008273DD" w:rsidRPr="008273DD">
        <w:rPr>
          <w:rFonts w:ascii="Times New Roman" w:eastAsia="Times New Roman" w:hAnsi="Times New Roman" w:cs="Times New Roman"/>
          <w:color w:val="FF0000"/>
          <w:sz w:val="24"/>
          <w:szCs w:val="24"/>
          <w:lang w:eastAsia="en-IN" w:bidi="ta-IN"/>
        </w:rPr>
        <w:t>This research was conducted with the approval of the Institutional Animal Ethics Committee (IAEC) of Madras Veterinary College, Chennai, Tamil Nadu, India.</w:t>
      </w:r>
    </w:p>
    <w:p w14:paraId="2347E6D3" w14:textId="77777777" w:rsidR="00857E1C" w:rsidRPr="00857E1C" w:rsidRDefault="00857E1C" w:rsidP="00857E1C">
      <w:pPr>
        <w:widowControl w:val="0"/>
        <w:tabs>
          <w:tab w:val="left" w:pos="901"/>
        </w:tabs>
        <w:autoSpaceDE w:val="0"/>
        <w:autoSpaceDN w:val="0"/>
        <w:spacing w:afterLines="60" w:after="144" w:line="360" w:lineRule="auto"/>
        <w:ind w:right="26"/>
        <w:jc w:val="both"/>
        <w:rPr>
          <w:rFonts w:ascii="Times New Roman" w:eastAsia="Calibri" w:hAnsi="Times New Roman" w:cs="Times New Roman"/>
          <w:b/>
          <w:iCs/>
          <w:sz w:val="24"/>
          <w:szCs w:val="24"/>
          <w:lang w:val="en-US"/>
        </w:rPr>
      </w:pPr>
      <w:r w:rsidRPr="00857E1C">
        <w:rPr>
          <w:rFonts w:ascii="Times New Roman" w:eastAsia="Calibri" w:hAnsi="Times New Roman" w:cs="Times New Roman"/>
          <w:b/>
          <w:iCs/>
          <w:sz w:val="24"/>
          <w:szCs w:val="24"/>
          <w:lang w:val="en-US"/>
        </w:rPr>
        <w:t>2.</w:t>
      </w:r>
      <w:r w:rsidR="00F64CD6">
        <w:rPr>
          <w:rFonts w:ascii="Times New Roman" w:eastAsia="Calibri" w:hAnsi="Times New Roman" w:cs="Times New Roman"/>
          <w:b/>
          <w:iCs/>
          <w:sz w:val="24"/>
          <w:szCs w:val="24"/>
          <w:lang w:val="en-US"/>
        </w:rPr>
        <w:t>1.</w:t>
      </w:r>
      <w:r w:rsidRPr="00857E1C">
        <w:rPr>
          <w:rFonts w:ascii="Times New Roman" w:eastAsia="Calibri" w:hAnsi="Times New Roman" w:cs="Times New Roman"/>
          <w:b/>
          <w:iCs/>
          <w:sz w:val="24"/>
          <w:szCs w:val="24"/>
          <w:lang w:val="en-US"/>
        </w:rPr>
        <w:t>2.   Processing of Tissue Samples for RNA Isolation</w:t>
      </w:r>
    </w:p>
    <w:p w14:paraId="186EF868" w14:textId="00DA7752" w:rsidR="00857E1C" w:rsidRPr="00391777" w:rsidRDefault="00857E1C" w:rsidP="00391777">
      <w:pPr>
        <w:widowControl w:val="0"/>
        <w:tabs>
          <w:tab w:val="left" w:pos="901"/>
        </w:tabs>
        <w:autoSpaceDE w:val="0"/>
        <w:autoSpaceDN w:val="0"/>
        <w:spacing w:afterLines="60" w:after="144" w:line="360" w:lineRule="auto"/>
        <w:ind w:right="26"/>
        <w:jc w:val="both"/>
        <w:rPr>
          <w:rFonts w:ascii="Times New Roman" w:eastAsia="Calibri" w:hAnsi="Times New Roman" w:cs="Times New Roman"/>
          <w:color w:val="000000" w:themeColor="text1"/>
          <w:sz w:val="24"/>
          <w:szCs w:val="24"/>
          <w:lang w:val="en-US"/>
        </w:rPr>
      </w:pPr>
      <w:r w:rsidRPr="00391777">
        <w:rPr>
          <w:rFonts w:ascii="Times New Roman" w:eastAsia="Calibri" w:hAnsi="Times New Roman" w:cs="Times New Roman"/>
          <w:color w:val="000000" w:themeColor="text1"/>
          <w:sz w:val="24"/>
          <w:szCs w:val="24"/>
          <w:lang w:val="en-US"/>
        </w:rPr>
        <w:t xml:space="preserve"> </w:t>
      </w:r>
      <w:r w:rsidR="00391777" w:rsidRPr="00391777">
        <w:rPr>
          <w:rFonts w:ascii="Times New Roman" w:eastAsia="Calibri" w:hAnsi="Times New Roman" w:cs="Times New Roman"/>
          <w:color w:val="FF0000"/>
          <w:sz w:val="24"/>
          <w:szCs w:val="24"/>
          <w:lang w:val="en-US"/>
        </w:rPr>
        <w:t xml:space="preserve">Approximately 20 mg of liver tissue samples were rinsed in PBS and placed in RNA later (TAKARA) </w:t>
      </w:r>
      <w:r w:rsidR="005E2A82" w:rsidRPr="00391777">
        <w:rPr>
          <w:rFonts w:ascii="Times New Roman" w:eastAsia="Calibri" w:hAnsi="Times New Roman" w:cs="Times New Roman"/>
          <w:color w:val="FF0000"/>
          <w:sz w:val="24"/>
          <w:szCs w:val="24"/>
          <w:lang w:val="en-US"/>
        </w:rPr>
        <w:t>solution and stored at -80</w:t>
      </w:r>
      <w:r w:rsidR="00B4077A" w:rsidRPr="00391777">
        <w:rPr>
          <w:rFonts w:ascii="Times New Roman" w:eastAsia="Calibri" w:hAnsi="Times New Roman" w:cs="Times New Roman"/>
          <w:color w:val="FF0000"/>
          <w:sz w:val="24"/>
          <w:szCs w:val="24"/>
          <w:vertAlign w:val="superscript"/>
          <w:lang w:val="en-US"/>
        </w:rPr>
        <w:t>c</w:t>
      </w:r>
      <w:r w:rsidR="005E2A82" w:rsidRPr="00391777">
        <w:rPr>
          <w:rFonts w:ascii="Times New Roman" w:eastAsia="Calibri" w:hAnsi="Times New Roman" w:cs="Times New Roman"/>
          <w:color w:val="FF0000"/>
          <w:sz w:val="24"/>
          <w:szCs w:val="24"/>
          <w:lang w:val="en-US"/>
        </w:rPr>
        <w:t xml:space="preserve">. for subsequent gene expression studies </w:t>
      </w:r>
    </w:p>
    <w:p w14:paraId="743C79C1" w14:textId="64D22852" w:rsidR="00857E1C" w:rsidRPr="00857E1C" w:rsidRDefault="00857E1C" w:rsidP="00857E1C">
      <w:pPr>
        <w:widowControl w:val="0"/>
        <w:tabs>
          <w:tab w:val="left" w:pos="284"/>
          <w:tab w:val="left" w:pos="567"/>
          <w:tab w:val="left" w:pos="901"/>
        </w:tabs>
        <w:autoSpaceDE w:val="0"/>
        <w:autoSpaceDN w:val="0"/>
        <w:spacing w:afterLines="60" w:after="144" w:line="360" w:lineRule="auto"/>
        <w:ind w:right="26"/>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w:t>
      </w:r>
      <w:r w:rsidR="00F64CD6">
        <w:rPr>
          <w:rFonts w:ascii="Times New Roman" w:eastAsia="Calibri" w:hAnsi="Times New Roman" w:cs="Times New Roman"/>
          <w:b/>
          <w:sz w:val="24"/>
          <w:szCs w:val="24"/>
          <w:lang w:val="en-US"/>
        </w:rPr>
        <w:t>1.</w:t>
      </w:r>
      <w:r w:rsidRPr="00857E1C">
        <w:rPr>
          <w:rFonts w:ascii="Times New Roman" w:eastAsia="Calibri" w:hAnsi="Times New Roman" w:cs="Times New Roman"/>
          <w:b/>
          <w:sz w:val="24"/>
          <w:szCs w:val="24"/>
          <w:lang w:val="en-US"/>
        </w:rPr>
        <w:t>3.    RNA Isolation</w:t>
      </w:r>
      <w:r w:rsidR="00EA186E">
        <w:rPr>
          <w:rFonts w:ascii="Times New Roman" w:eastAsia="Calibri" w:hAnsi="Times New Roman" w:cs="Times New Roman"/>
          <w:b/>
          <w:sz w:val="24"/>
          <w:szCs w:val="24"/>
          <w:lang w:val="en-US"/>
        </w:rPr>
        <w:t xml:space="preserve"> </w:t>
      </w:r>
      <w:r w:rsidR="00EA186E" w:rsidRPr="000D3653">
        <w:rPr>
          <w:rFonts w:ascii="Times New Roman" w:eastAsia="Calibri" w:hAnsi="Times New Roman" w:cs="Times New Roman"/>
          <w:b/>
          <w:color w:val="FF0000"/>
          <w:sz w:val="24"/>
          <w:szCs w:val="24"/>
          <w:lang w:val="en-US"/>
        </w:rPr>
        <w:t>(TAKARA as per product Manual</w:t>
      </w:r>
      <w:r w:rsidR="000D3653" w:rsidRPr="000D3653">
        <w:rPr>
          <w:rFonts w:ascii="Times New Roman" w:eastAsia="Calibri" w:hAnsi="Times New Roman" w:cs="Times New Roman"/>
          <w:b/>
          <w:color w:val="FF0000"/>
          <w:sz w:val="24"/>
          <w:szCs w:val="24"/>
          <w:lang w:val="en-US"/>
        </w:rPr>
        <w:t xml:space="preserve"> Instructions</w:t>
      </w:r>
      <w:r w:rsidR="00EA186E" w:rsidRPr="000D3653">
        <w:rPr>
          <w:rFonts w:ascii="Times New Roman" w:eastAsia="Calibri" w:hAnsi="Times New Roman" w:cs="Times New Roman"/>
          <w:b/>
          <w:color w:val="FF0000"/>
          <w:sz w:val="24"/>
          <w:szCs w:val="24"/>
          <w:lang w:val="en-US"/>
        </w:rPr>
        <w:t>)</w:t>
      </w:r>
    </w:p>
    <w:p w14:paraId="4F17E85C" w14:textId="2A89D40F" w:rsidR="00857E1C" w:rsidRPr="006B132B" w:rsidRDefault="000D3653" w:rsidP="00857E1C">
      <w:pPr>
        <w:spacing w:before="100" w:beforeAutospacing="1" w:after="100" w:afterAutospacing="1" w:line="360" w:lineRule="auto"/>
        <w:jc w:val="both"/>
        <w:rPr>
          <w:rFonts w:ascii="Times New Roman" w:eastAsia="Times New Roman" w:hAnsi="Times New Roman" w:cs="Times New Roman"/>
          <w:color w:val="FF0000"/>
          <w:sz w:val="24"/>
          <w:szCs w:val="24"/>
          <w:lang w:eastAsia="en-IN" w:bidi="ta-IN"/>
        </w:rPr>
      </w:pPr>
      <w:r>
        <w:rPr>
          <w:rFonts w:ascii="Times New Roman" w:eastAsia="Times New Roman" w:hAnsi="Times New Roman" w:cs="Times New Roman"/>
          <w:sz w:val="24"/>
          <w:szCs w:val="24"/>
          <w:lang w:eastAsia="en-IN" w:bidi="ta-IN"/>
        </w:rPr>
        <w:t>Respective tissue samples (20</w:t>
      </w:r>
      <w:r w:rsidR="00EF2E8A" w:rsidRPr="00EF2E8A">
        <w:rPr>
          <w:rFonts w:ascii="Times New Roman" w:eastAsia="Times New Roman" w:hAnsi="Times New Roman" w:cs="Times New Roman"/>
          <w:sz w:val="24"/>
          <w:szCs w:val="24"/>
          <w:lang w:eastAsia="en-IN" w:bidi="ta-IN"/>
        </w:rPr>
        <w:t xml:space="preserve"> mg) were homogenized separ</w:t>
      </w:r>
      <w:r w:rsidR="006D7D06">
        <w:rPr>
          <w:rFonts w:ascii="Times New Roman" w:eastAsia="Times New Roman" w:hAnsi="Times New Roman" w:cs="Times New Roman"/>
          <w:sz w:val="24"/>
          <w:szCs w:val="24"/>
          <w:lang w:eastAsia="en-IN" w:bidi="ta-IN"/>
        </w:rPr>
        <w:t>ately in mortar and pestle. 750ul</w:t>
      </w:r>
      <w:r w:rsidR="00EF2E8A" w:rsidRPr="00EF2E8A">
        <w:rPr>
          <w:rFonts w:ascii="Times New Roman" w:eastAsia="Times New Roman" w:hAnsi="Times New Roman" w:cs="Times New Roman"/>
          <w:sz w:val="24"/>
          <w:szCs w:val="24"/>
          <w:lang w:eastAsia="en-IN" w:bidi="ta-IN"/>
        </w:rPr>
        <w:t xml:space="preserve"> of </w:t>
      </w:r>
      <w:proofErr w:type="spellStart"/>
      <w:r w:rsidR="00EF2E8A" w:rsidRPr="00EF2E8A">
        <w:rPr>
          <w:rFonts w:ascii="Times New Roman" w:eastAsia="Times New Roman" w:hAnsi="Times New Roman" w:cs="Times New Roman"/>
          <w:sz w:val="24"/>
          <w:szCs w:val="24"/>
          <w:lang w:eastAsia="en-IN" w:bidi="ta-IN"/>
        </w:rPr>
        <w:t>Trizol</w:t>
      </w:r>
      <w:proofErr w:type="spellEnd"/>
      <w:r w:rsidR="00EF2E8A" w:rsidRPr="00EF2E8A">
        <w:rPr>
          <w:rFonts w:ascii="Times New Roman" w:eastAsia="Times New Roman" w:hAnsi="Times New Roman" w:cs="Times New Roman"/>
          <w:sz w:val="24"/>
          <w:szCs w:val="24"/>
          <w:lang w:eastAsia="en-IN" w:bidi="ta-IN"/>
        </w:rPr>
        <w:t xml:space="preserve"> reagent was added with the homogenized tissue samples and mixed thoroughly by vigorous pipetting for 10 to 15 times. The mixture was incubated for 5-10 minutes at room temperature</w:t>
      </w:r>
      <w:r w:rsidR="00EF2E8A">
        <w:rPr>
          <w:rFonts w:ascii="Times New Roman" w:eastAsia="Times New Roman" w:hAnsi="Times New Roman" w:cs="Times New Roman"/>
          <w:sz w:val="24"/>
          <w:szCs w:val="24"/>
          <w:lang w:eastAsia="en-IN" w:bidi="ta-IN"/>
        </w:rPr>
        <w:t xml:space="preserve"> </w:t>
      </w:r>
      <w:r w:rsidR="00857E1C" w:rsidRPr="00857E1C">
        <w:rPr>
          <w:rFonts w:ascii="Times New Roman" w:eastAsia="Times New Roman" w:hAnsi="Times New Roman" w:cs="Times New Roman"/>
          <w:sz w:val="24"/>
          <w:szCs w:val="24"/>
          <w:lang w:eastAsia="en-IN" w:bidi="ta-IN"/>
        </w:rPr>
        <w:t xml:space="preserve">Subsequently, 200 µl of chloroform was added, the mixture was shaken thoroughly, and incubated again at room temperature for 5 min. Centrifugation was then carried out at 12,000 rpm for 15 min at 4 °C. The upper aqueous layer was carefully collected and </w:t>
      </w:r>
      <w:r w:rsidR="00857E1C" w:rsidRPr="00857E1C">
        <w:rPr>
          <w:rFonts w:ascii="Times New Roman" w:eastAsia="Times New Roman" w:hAnsi="Times New Roman" w:cs="Times New Roman"/>
          <w:sz w:val="24"/>
          <w:szCs w:val="24"/>
          <w:lang w:eastAsia="en-IN" w:bidi="ta-IN"/>
        </w:rPr>
        <w:lastRenderedPageBreak/>
        <w:t>transferred to a fresh 1.5 ml microcentrifuge tube, avoiding disturbance of the interphase. An equal volume of ice-cold 70% isopropanol was added, and the mixture was incubated at –20 °C for 10 min. After centrifugation at 12,000 rpm for 20 min at 4 °C, the supernatant was discarded. The pellet was washed with 1 ml of 70% ice-cold ethanol and centrifuged at 10,000 rpm for 5 min at 4 °C. The supernatant was discarded, and the pellet was allowed to air dry. Finally, the pellet was resuspended in 10 µl of nuclease-fre</w:t>
      </w:r>
      <w:r w:rsidR="0078689E">
        <w:rPr>
          <w:rFonts w:ascii="Times New Roman" w:eastAsia="Times New Roman" w:hAnsi="Times New Roman" w:cs="Times New Roman"/>
          <w:sz w:val="24"/>
          <w:szCs w:val="24"/>
          <w:lang w:eastAsia="en-IN" w:bidi="ta-IN"/>
        </w:rPr>
        <w:t>e water (NFW)</w:t>
      </w:r>
      <w:r w:rsidR="00C36D6B">
        <w:rPr>
          <w:rFonts w:ascii="Times New Roman" w:eastAsia="Times New Roman" w:hAnsi="Times New Roman" w:cs="Times New Roman"/>
          <w:sz w:val="24"/>
          <w:szCs w:val="24"/>
          <w:lang w:eastAsia="en-IN" w:bidi="ta-IN"/>
        </w:rPr>
        <w:t>,</w:t>
      </w:r>
      <w:r w:rsidR="0078689E">
        <w:rPr>
          <w:rFonts w:ascii="Times New Roman" w:eastAsia="Times New Roman" w:hAnsi="Times New Roman" w:cs="Times New Roman"/>
          <w:sz w:val="24"/>
          <w:szCs w:val="24"/>
          <w:lang w:eastAsia="en-IN" w:bidi="ta-IN"/>
        </w:rPr>
        <w:t xml:space="preserve"> </w:t>
      </w:r>
      <w:r w:rsidR="00C36D6B" w:rsidRPr="006B132B">
        <w:rPr>
          <w:rFonts w:ascii="Times New Roman" w:eastAsia="Times New Roman" w:hAnsi="Times New Roman" w:cs="Times New Roman"/>
          <w:color w:val="FF0000"/>
          <w:sz w:val="24"/>
          <w:szCs w:val="24"/>
          <w:lang w:eastAsia="en-IN" w:bidi="ta-IN"/>
        </w:rPr>
        <w:t>spectrometry was used to quantify the amount of RNA.</w:t>
      </w:r>
      <w:r w:rsidR="0078689E" w:rsidRPr="006B132B">
        <w:rPr>
          <w:rFonts w:ascii="Times New Roman" w:eastAsia="Times New Roman" w:hAnsi="Times New Roman" w:cs="Times New Roman"/>
          <w:color w:val="FF0000"/>
          <w:sz w:val="24"/>
          <w:szCs w:val="24"/>
          <w:lang w:eastAsia="en-IN" w:bidi="ta-IN"/>
        </w:rPr>
        <w:t xml:space="preserve"> To verify the RNA quality A260/280 and A260/230 spectrophotometric assessment.</w:t>
      </w:r>
    </w:p>
    <w:p w14:paraId="6339E604" w14:textId="77777777" w:rsidR="00857E1C" w:rsidRPr="00857E1C" w:rsidRDefault="00857E1C" w:rsidP="00857E1C">
      <w:pPr>
        <w:widowControl w:val="0"/>
        <w:tabs>
          <w:tab w:val="left" w:pos="426"/>
          <w:tab w:val="left" w:pos="901"/>
        </w:tabs>
        <w:autoSpaceDE w:val="0"/>
        <w:autoSpaceDN w:val="0"/>
        <w:spacing w:afterLines="60" w:after="144" w:line="360" w:lineRule="auto"/>
        <w:ind w:right="26"/>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w:t>
      </w:r>
      <w:r w:rsidR="00F64CD6">
        <w:rPr>
          <w:rFonts w:ascii="Times New Roman" w:eastAsia="Calibri" w:hAnsi="Times New Roman" w:cs="Times New Roman"/>
          <w:b/>
          <w:sz w:val="24"/>
          <w:szCs w:val="24"/>
          <w:lang w:val="en-US"/>
        </w:rPr>
        <w:t>1.</w:t>
      </w:r>
      <w:r w:rsidRPr="00857E1C">
        <w:rPr>
          <w:rFonts w:ascii="Times New Roman" w:eastAsia="Calibri" w:hAnsi="Times New Roman" w:cs="Times New Roman"/>
          <w:b/>
          <w:sz w:val="24"/>
          <w:szCs w:val="24"/>
          <w:lang w:val="en-US"/>
        </w:rPr>
        <w:t xml:space="preserve">4.    cDNA Synthesis </w:t>
      </w:r>
    </w:p>
    <w:p w14:paraId="3F3A0411" w14:textId="77777777" w:rsidR="00857E1C" w:rsidRPr="00857E1C" w:rsidRDefault="00857E1C" w:rsidP="00857E1C">
      <w:pPr>
        <w:widowControl w:val="0"/>
        <w:tabs>
          <w:tab w:val="left" w:pos="901"/>
        </w:tabs>
        <w:autoSpaceDE w:val="0"/>
        <w:autoSpaceDN w:val="0"/>
        <w:spacing w:afterLines="60" w:after="144" w:line="360" w:lineRule="auto"/>
        <w:ind w:right="26"/>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cDNA synthesis was performed using the Bio-Rad iScript™ cDNA Synthesis Kit, following the manufacturer’s instructions. 20 µl reaction mixture contained 4 µl of 5× reverse transcriptase reaction mix, 1 µl of iScript reverse transcriptase, 5 µl of nuclease-free water (NFW), and 10 µl of RNA (500 ng). Thermal cycling conditions were: 25 °C for 5 min (priming), 46 °C for 20 min (reverse transcription), 95 °C for 1 min (inactivation), and a final hold at 4 °C. The synthesized cDNA was stored at −20 °C until further use.</w:t>
      </w:r>
    </w:p>
    <w:p w14:paraId="2FBAC722" w14:textId="77777777" w:rsidR="00857E1C" w:rsidRPr="00857E1C" w:rsidRDefault="00857E1C" w:rsidP="00857E1C">
      <w:pPr>
        <w:widowControl w:val="0"/>
        <w:tabs>
          <w:tab w:val="left" w:pos="901"/>
        </w:tabs>
        <w:autoSpaceDE w:val="0"/>
        <w:autoSpaceDN w:val="0"/>
        <w:spacing w:afterLines="60" w:after="144" w:line="360" w:lineRule="auto"/>
        <w:ind w:right="26"/>
        <w:jc w:val="both"/>
        <w:rPr>
          <w:rFonts w:ascii="Times New Roman" w:eastAsia="Calibri" w:hAnsi="Times New Roman" w:cs="Times New Roman"/>
          <w:b/>
          <w:sz w:val="24"/>
          <w:szCs w:val="24"/>
          <w:lang w:val="en-US"/>
        </w:rPr>
      </w:pPr>
      <w:r w:rsidRPr="00857E1C">
        <w:rPr>
          <w:rFonts w:ascii="Times New Roman" w:eastAsia="Calibri" w:hAnsi="Times New Roman" w:cs="Times New Roman"/>
          <w:b/>
          <w:sz w:val="24"/>
          <w:szCs w:val="24"/>
          <w:lang w:val="en-US"/>
        </w:rPr>
        <w:t>2.</w:t>
      </w:r>
      <w:r w:rsidR="00310D47">
        <w:rPr>
          <w:rFonts w:ascii="Times New Roman" w:eastAsia="Calibri" w:hAnsi="Times New Roman" w:cs="Times New Roman"/>
          <w:b/>
          <w:sz w:val="24"/>
          <w:szCs w:val="24"/>
          <w:lang w:val="en-US"/>
        </w:rPr>
        <w:t>1.</w:t>
      </w:r>
      <w:r w:rsidRPr="00857E1C">
        <w:rPr>
          <w:rFonts w:ascii="Times New Roman" w:eastAsia="Calibri" w:hAnsi="Times New Roman" w:cs="Times New Roman"/>
          <w:b/>
          <w:sz w:val="24"/>
          <w:szCs w:val="24"/>
          <w:lang w:val="en-US"/>
        </w:rPr>
        <w:t xml:space="preserve">5.   Real-Time PCR for Liver Sample </w:t>
      </w:r>
    </w:p>
    <w:p w14:paraId="2B763DB7" w14:textId="761E48B6" w:rsidR="00857E1C" w:rsidRPr="00857E1C" w:rsidRDefault="00857E1C" w:rsidP="00857E1C">
      <w:pPr>
        <w:widowControl w:val="0"/>
        <w:autoSpaceDE w:val="0"/>
        <w:autoSpaceDN w:val="0"/>
        <w:spacing w:afterLines="60" w:after="144" w:line="360" w:lineRule="auto"/>
        <w:ind w:right="-46"/>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The β-actin gene (Table 1) was used as the housekeeping reference in the real-time PCR analysis of heat shock protein gene expression. Primer sequences used in the study were listed in Table 1. </w:t>
      </w:r>
      <w:r w:rsidR="00BA6903" w:rsidRPr="00BA6903">
        <w:rPr>
          <w:rFonts w:ascii="Times New Roman" w:eastAsia="Calibri" w:hAnsi="Times New Roman" w:cs="Times New Roman"/>
          <w:color w:val="FF0000"/>
          <w:sz w:val="24"/>
          <w:szCs w:val="24"/>
        </w:rPr>
        <w:t>The total volume of the qPCR reaction 10ul.  The master mix are Sybr green used for real time PCR</w:t>
      </w:r>
      <w:r w:rsidR="00BA6903">
        <w:rPr>
          <w:rFonts w:ascii="Times New Roman" w:eastAsia="Calibri" w:hAnsi="Times New Roman" w:cs="Times New Roman"/>
          <w:sz w:val="24"/>
          <w:szCs w:val="24"/>
        </w:rPr>
        <w:t xml:space="preserve">. </w:t>
      </w:r>
      <w:r w:rsidRPr="00857E1C">
        <w:rPr>
          <w:rFonts w:ascii="Times New Roman" w:eastAsia="Calibri" w:hAnsi="Times New Roman" w:cs="Times New Roman"/>
          <w:sz w:val="24"/>
          <w:szCs w:val="24"/>
        </w:rPr>
        <w:t>Gene expression was quantified using the CFX Opus 96 Real-Time PCR System (Bio-Rad). The thermal cycling conditions were as follows: initial denaturation at 95 °C for 3 min, followed by 40 cycles of denaturation at 95 °C for 30 s, annealing at 60 °C for 30 s, and extension at 72 °C for 45 s. A melting curve analysis was performed from 65 to 95 °C to confirm the specificity of amplified products</w:t>
      </w:r>
      <w:r w:rsidRPr="00306A8A">
        <w:rPr>
          <w:rFonts w:ascii="Times New Roman" w:eastAsia="Calibri" w:hAnsi="Times New Roman" w:cs="Times New Roman"/>
          <w:color w:val="FF0000"/>
          <w:sz w:val="24"/>
          <w:szCs w:val="24"/>
        </w:rPr>
        <w:t>.</w:t>
      </w:r>
      <w:r w:rsidR="00306A8A">
        <w:rPr>
          <w:rFonts w:ascii="Times New Roman" w:eastAsia="Calibri" w:hAnsi="Times New Roman" w:cs="Times New Roman"/>
          <w:color w:val="FF0000"/>
          <w:sz w:val="24"/>
          <w:szCs w:val="24"/>
        </w:rPr>
        <w:t xml:space="preserve"> </w:t>
      </w:r>
      <w:r w:rsidR="00306A8A" w:rsidRPr="00306A8A">
        <w:rPr>
          <w:rFonts w:ascii="Times New Roman" w:eastAsia="Calibri" w:hAnsi="Times New Roman" w:cs="Times New Roman"/>
          <w:color w:val="FF0000"/>
          <w:sz w:val="24"/>
          <w:szCs w:val="24"/>
        </w:rPr>
        <w:t>(Figure 2 and 3)</w:t>
      </w:r>
    </w:p>
    <w:p w14:paraId="722A7191" w14:textId="77777777" w:rsidR="00857E1C" w:rsidRPr="00857E1C" w:rsidRDefault="00857E1C" w:rsidP="00857E1C">
      <w:pPr>
        <w:widowControl w:val="0"/>
        <w:autoSpaceDE w:val="0"/>
        <w:autoSpaceDN w:val="0"/>
        <w:spacing w:afterLines="60" w:after="144" w:line="360" w:lineRule="auto"/>
        <w:ind w:right="-46"/>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Relative quantification (R) of target genes was calculated using the </w:t>
      </w:r>
      <w:proofErr w:type="spellStart"/>
      <w:r w:rsidRPr="00857E1C">
        <w:rPr>
          <w:rFonts w:ascii="Times New Roman" w:eastAsia="Calibri" w:hAnsi="Times New Roman" w:cs="Times New Roman"/>
          <w:color w:val="000000" w:themeColor="text1"/>
          <w:sz w:val="24"/>
          <w:szCs w:val="24"/>
        </w:rPr>
        <w:t>Pfaffl</w:t>
      </w:r>
      <w:proofErr w:type="spellEnd"/>
      <w:r w:rsidRPr="00857E1C">
        <w:rPr>
          <w:rFonts w:ascii="Times New Roman" w:eastAsia="Calibri" w:hAnsi="Times New Roman" w:cs="Times New Roman"/>
          <w:sz w:val="24"/>
          <w:szCs w:val="24"/>
        </w:rPr>
        <w:t xml:space="preserve"> (2001) method. Cycle threshold (Ct) values were obtained for both the reference (β-actin) and target genes. The Ct represents the number of cycles required to reach the threshold of amplification; lower Ct values correspond to higher initial transcript abundance. The formula for calculating the relative quantification of gene expression is R=2-ΔΔct. Where the value of </w:t>
      </w:r>
      <w:proofErr w:type="spellStart"/>
      <w:r w:rsidRPr="00857E1C">
        <w:rPr>
          <w:rFonts w:ascii="Times New Roman" w:eastAsia="Calibri" w:hAnsi="Times New Roman" w:cs="Times New Roman"/>
          <w:sz w:val="24"/>
          <w:szCs w:val="24"/>
        </w:rPr>
        <w:t>Δct</w:t>
      </w:r>
      <w:proofErr w:type="spellEnd"/>
      <w:r w:rsidRPr="00857E1C">
        <w:rPr>
          <w:rFonts w:ascii="Times New Roman" w:eastAsia="Calibri" w:hAnsi="Times New Roman" w:cs="Times New Roman"/>
          <w:sz w:val="24"/>
          <w:szCs w:val="24"/>
        </w:rPr>
        <w:t xml:space="preserve"> was obtained by deducting the reference </w:t>
      </w:r>
      <w:proofErr w:type="spellStart"/>
      <w:r w:rsidRPr="00857E1C">
        <w:rPr>
          <w:rFonts w:ascii="Times New Roman" w:eastAsia="Calibri" w:hAnsi="Times New Roman" w:cs="Times New Roman"/>
          <w:sz w:val="24"/>
          <w:szCs w:val="24"/>
        </w:rPr>
        <w:t>ct</w:t>
      </w:r>
      <w:proofErr w:type="spellEnd"/>
      <w:r w:rsidRPr="00857E1C">
        <w:rPr>
          <w:rFonts w:ascii="Times New Roman" w:eastAsia="Calibri" w:hAnsi="Times New Roman" w:cs="Times New Roman"/>
          <w:sz w:val="24"/>
          <w:szCs w:val="24"/>
        </w:rPr>
        <w:t xml:space="preserve"> from the target ct.</w:t>
      </w:r>
    </w:p>
    <w:p w14:paraId="6153AA94" w14:textId="77777777" w:rsidR="00857E1C" w:rsidRPr="00857E1C" w:rsidRDefault="00857E1C" w:rsidP="00857E1C">
      <w:pPr>
        <w:spacing w:before="120" w:after="0" w:line="360" w:lineRule="auto"/>
        <w:jc w:val="both"/>
        <w:rPr>
          <w:rFonts w:ascii="Times New Roman" w:eastAsia="Times New Roman" w:hAnsi="Times New Roman" w:cs="Times New Roman"/>
          <w:sz w:val="24"/>
          <w:szCs w:val="24"/>
          <w:lang w:val="en-US"/>
        </w:rPr>
      </w:pPr>
    </w:p>
    <w:tbl>
      <w:tblPr>
        <w:tblStyle w:val="TableGrid1"/>
        <w:tblW w:w="8754" w:type="dxa"/>
        <w:tblLook w:val="04A0" w:firstRow="1" w:lastRow="0" w:firstColumn="1" w:lastColumn="0" w:noHBand="0" w:noVBand="1"/>
      </w:tblPr>
      <w:tblGrid>
        <w:gridCol w:w="923"/>
        <w:gridCol w:w="1043"/>
        <w:gridCol w:w="3976"/>
        <w:gridCol w:w="1276"/>
        <w:gridCol w:w="1536"/>
      </w:tblGrid>
      <w:tr w:rsidR="00857E1C" w:rsidRPr="00857E1C" w14:paraId="3380DE49" w14:textId="77777777" w:rsidTr="007344A1">
        <w:trPr>
          <w:trHeight w:val="379"/>
        </w:trPr>
        <w:tc>
          <w:tcPr>
            <w:tcW w:w="8754" w:type="dxa"/>
            <w:gridSpan w:val="5"/>
            <w:vAlign w:val="center"/>
          </w:tcPr>
          <w:p w14:paraId="61C3E6FA" w14:textId="77777777" w:rsidR="00857E1C" w:rsidRPr="00857E1C" w:rsidRDefault="00857E1C" w:rsidP="00857E1C">
            <w:pPr>
              <w:spacing w:line="360" w:lineRule="auto"/>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rPr>
              <w:lastRenderedPageBreak/>
              <w:t>Table 1: Primer sequences used for Quantitative real time PCR (Q-PCR)</w:t>
            </w:r>
          </w:p>
        </w:tc>
      </w:tr>
      <w:tr w:rsidR="00857E1C" w:rsidRPr="00857E1C" w14:paraId="5AB755FA" w14:textId="77777777" w:rsidTr="007344A1">
        <w:trPr>
          <w:trHeight w:val="558"/>
        </w:trPr>
        <w:tc>
          <w:tcPr>
            <w:tcW w:w="923" w:type="dxa"/>
            <w:vAlign w:val="center"/>
          </w:tcPr>
          <w:p w14:paraId="71DC6BB6"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Target Gene</w:t>
            </w:r>
          </w:p>
        </w:tc>
        <w:tc>
          <w:tcPr>
            <w:tcW w:w="1043" w:type="dxa"/>
            <w:vAlign w:val="center"/>
          </w:tcPr>
          <w:p w14:paraId="301D131D"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Primers</w:t>
            </w:r>
          </w:p>
        </w:tc>
        <w:tc>
          <w:tcPr>
            <w:tcW w:w="3976" w:type="dxa"/>
            <w:vAlign w:val="center"/>
          </w:tcPr>
          <w:p w14:paraId="66730BE3"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Sequence (5’ – 3’)</w:t>
            </w:r>
          </w:p>
        </w:tc>
        <w:tc>
          <w:tcPr>
            <w:tcW w:w="1276" w:type="dxa"/>
            <w:vAlign w:val="center"/>
          </w:tcPr>
          <w:p w14:paraId="669BE0D3"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Product size (bp)</w:t>
            </w:r>
          </w:p>
        </w:tc>
        <w:tc>
          <w:tcPr>
            <w:tcW w:w="1536" w:type="dxa"/>
            <w:vAlign w:val="center"/>
          </w:tcPr>
          <w:p w14:paraId="050CE4E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References</w:t>
            </w:r>
          </w:p>
        </w:tc>
      </w:tr>
      <w:tr w:rsidR="00857E1C" w:rsidRPr="00857E1C" w14:paraId="423D5CDE" w14:textId="77777777" w:rsidTr="007344A1">
        <w:trPr>
          <w:trHeight w:val="201"/>
        </w:trPr>
        <w:tc>
          <w:tcPr>
            <w:tcW w:w="923" w:type="dxa"/>
            <w:vMerge w:val="restart"/>
          </w:tcPr>
          <w:p w14:paraId="466A37A7"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HSP70</w:t>
            </w:r>
          </w:p>
        </w:tc>
        <w:tc>
          <w:tcPr>
            <w:tcW w:w="1043" w:type="dxa"/>
          </w:tcPr>
          <w:p w14:paraId="73E5E7B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FP</w:t>
            </w:r>
          </w:p>
        </w:tc>
        <w:tc>
          <w:tcPr>
            <w:tcW w:w="3976" w:type="dxa"/>
          </w:tcPr>
          <w:p w14:paraId="55F766D1"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AGCGTAACACCACCATTCC</w:t>
            </w:r>
          </w:p>
        </w:tc>
        <w:tc>
          <w:tcPr>
            <w:tcW w:w="1276" w:type="dxa"/>
            <w:vMerge w:val="restart"/>
          </w:tcPr>
          <w:p w14:paraId="0F304C33"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372</w:t>
            </w:r>
          </w:p>
        </w:tc>
        <w:tc>
          <w:tcPr>
            <w:tcW w:w="1536" w:type="dxa"/>
            <w:vMerge w:val="restart"/>
          </w:tcPr>
          <w:p w14:paraId="4AE8060F"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themeColor="text1"/>
                <w:sz w:val="24"/>
                <w:szCs w:val="24"/>
                <w:lang w:eastAsia="en-IN"/>
              </w:rPr>
              <w:t xml:space="preserve">Kumbhar </w:t>
            </w:r>
            <w:r w:rsidRPr="00857E1C">
              <w:rPr>
                <w:rFonts w:ascii="Times New Roman" w:eastAsia="Times New Roman" w:hAnsi="Times New Roman" w:cs="Times New Roman"/>
                <w:color w:val="000000"/>
                <w:sz w:val="24"/>
                <w:szCs w:val="24"/>
                <w:lang w:eastAsia="en-IN"/>
              </w:rPr>
              <w:t>et al</w:t>
            </w:r>
            <w:r w:rsidRPr="00857E1C">
              <w:rPr>
                <w:rFonts w:ascii="Times New Roman" w:eastAsia="Times New Roman" w:hAnsi="Times New Roman" w:cs="Times New Roman"/>
                <w:i/>
                <w:color w:val="000000"/>
                <w:sz w:val="24"/>
                <w:szCs w:val="24"/>
                <w:lang w:eastAsia="en-IN"/>
              </w:rPr>
              <w:t>.</w:t>
            </w:r>
            <w:r w:rsidRPr="00857E1C">
              <w:rPr>
                <w:rFonts w:ascii="Times New Roman" w:eastAsia="Times New Roman" w:hAnsi="Times New Roman" w:cs="Times New Roman"/>
                <w:color w:val="000000"/>
                <w:sz w:val="24"/>
                <w:szCs w:val="24"/>
                <w:lang w:eastAsia="en-IN"/>
              </w:rPr>
              <w:t>, 2018</w:t>
            </w:r>
          </w:p>
        </w:tc>
      </w:tr>
      <w:tr w:rsidR="00857E1C" w:rsidRPr="00857E1C" w14:paraId="66882AD3" w14:textId="77777777" w:rsidTr="007344A1">
        <w:trPr>
          <w:trHeight w:val="203"/>
        </w:trPr>
        <w:tc>
          <w:tcPr>
            <w:tcW w:w="923" w:type="dxa"/>
            <w:vMerge/>
          </w:tcPr>
          <w:p w14:paraId="47208E4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p>
        </w:tc>
        <w:tc>
          <w:tcPr>
            <w:tcW w:w="1043" w:type="dxa"/>
          </w:tcPr>
          <w:p w14:paraId="4700487C"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70E9AA71"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TGGCTCCCACCCTATCTC</w:t>
            </w:r>
          </w:p>
        </w:tc>
        <w:tc>
          <w:tcPr>
            <w:tcW w:w="1276" w:type="dxa"/>
            <w:vMerge/>
          </w:tcPr>
          <w:p w14:paraId="4F3C9262"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c>
          <w:tcPr>
            <w:tcW w:w="1536" w:type="dxa"/>
            <w:vMerge/>
          </w:tcPr>
          <w:p w14:paraId="61C891A4"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r>
      <w:tr w:rsidR="00857E1C" w:rsidRPr="00857E1C" w14:paraId="7B325869" w14:textId="77777777" w:rsidTr="007344A1">
        <w:trPr>
          <w:trHeight w:val="209"/>
        </w:trPr>
        <w:tc>
          <w:tcPr>
            <w:tcW w:w="923" w:type="dxa"/>
            <w:vMerge w:val="restart"/>
          </w:tcPr>
          <w:p w14:paraId="10DFD039"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HSP90</w:t>
            </w:r>
          </w:p>
        </w:tc>
        <w:tc>
          <w:tcPr>
            <w:tcW w:w="1043" w:type="dxa"/>
          </w:tcPr>
          <w:p w14:paraId="7543DFF0"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bCs/>
                <w:sz w:val="24"/>
                <w:szCs w:val="24"/>
                <w:lang w:eastAsia="en-IN"/>
              </w:rPr>
              <w:t>FP</w:t>
            </w:r>
          </w:p>
        </w:tc>
        <w:tc>
          <w:tcPr>
            <w:tcW w:w="3976" w:type="dxa"/>
          </w:tcPr>
          <w:p w14:paraId="47F2F418"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TCAGACTTGATAACGGTGAACCT</w:t>
            </w:r>
          </w:p>
        </w:tc>
        <w:tc>
          <w:tcPr>
            <w:tcW w:w="1276" w:type="dxa"/>
            <w:vMerge w:val="restart"/>
          </w:tcPr>
          <w:p w14:paraId="4E8B2AF0"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283</w:t>
            </w:r>
          </w:p>
        </w:tc>
        <w:tc>
          <w:tcPr>
            <w:tcW w:w="1536" w:type="dxa"/>
            <w:vMerge w:val="restart"/>
          </w:tcPr>
          <w:p w14:paraId="4BFB1A72"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themeColor="text1"/>
                <w:sz w:val="24"/>
                <w:szCs w:val="24"/>
                <w:lang w:eastAsia="en-IN"/>
              </w:rPr>
              <w:t>Liu</w:t>
            </w:r>
            <w:r w:rsidRPr="00857E1C">
              <w:rPr>
                <w:rFonts w:ascii="Times New Roman" w:eastAsia="Times New Roman" w:hAnsi="Times New Roman" w:cs="Times New Roman"/>
                <w:color w:val="000000"/>
                <w:sz w:val="24"/>
                <w:szCs w:val="24"/>
                <w:lang w:eastAsia="en-IN"/>
              </w:rPr>
              <w:t xml:space="preserve"> </w:t>
            </w:r>
            <w:r w:rsidRPr="00857E1C">
              <w:rPr>
                <w:rFonts w:ascii="Times New Roman" w:eastAsia="Times New Roman" w:hAnsi="Times New Roman" w:cs="Times New Roman"/>
                <w:iCs/>
                <w:color w:val="000000"/>
                <w:sz w:val="24"/>
                <w:szCs w:val="24"/>
                <w:lang w:eastAsia="en-IN"/>
              </w:rPr>
              <w:t>et al</w:t>
            </w:r>
            <w:r w:rsidRPr="00857E1C">
              <w:rPr>
                <w:rFonts w:ascii="Times New Roman" w:eastAsia="Times New Roman" w:hAnsi="Times New Roman" w:cs="Times New Roman"/>
                <w:color w:val="000000"/>
                <w:sz w:val="24"/>
                <w:szCs w:val="24"/>
                <w:lang w:eastAsia="en-IN"/>
              </w:rPr>
              <w:t>., 2014</w:t>
            </w:r>
          </w:p>
        </w:tc>
      </w:tr>
      <w:tr w:rsidR="00857E1C" w:rsidRPr="00857E1C" w14:paraId="39F7C55E" w14:textId="77777777" w:rsidTr="007344A1">
        <w:trPr>
          <w:trHeight w:val="205"/>
        </w:trPr>
        <w:tc>
          <w:tcPr>
            <w:tcW w:w="923" w:type="dxa"/>
            <w:vMerge/>
          </w:tcPr>
          <w:p w14:paraId="55769B8B"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p>
        </w:tc>
        <w:tc>
          <w:tcPr>
            <w:tcW w:w="1043" w:type="dxa"/>
          </w:tcPr>
          <w:p w14:paraId="423A16D0"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4989F1F1"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r w:rsidRPr="00857E1C">
              <w:rPr>
                <w:rFonts w:ascii="Times New Roman" w:eastAsia="Times New Roman" w:hAnsi="Times New Roman" w:cs="Times New Roman"/>
                <w:color w:val="000000"/>
                <w:sz w:val="24"/>
                <w:szCs w:val="24"/>
                <w:lang w:eastAsia="en-IN"/>
              </w:rPr>
              <w:t>TGTCTTCTCCTCCTTCTCCTCTT</w:t>
            </w:r>
          </w:p>
        </w:tc>
        <w:tc>
          <w:tcPr>
            <w:tcW w:w="1276" w:type="dxa"/>
            <w:vMerge/>
          </w:tcPr>
          <w:p w14:paraId="4C139639"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c>
          <w:tcPr>
            <w:tcW w:w="1536" w:type="dxa"/>
            <w:vMerge/>
          </w:tcPr>
          <w:p w14:paraId="2676E339"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r>
      <w:tr w:rsidR="00857E1C" w:rsidRPr="00857E1C" w14:paraId="0A735B68" w14:textId="77777777" w:rsidTr="007344A1">
        <w:trPr>
          <w:trHeight w:val="221"/>
        </w:trPr>
        <w:tc>
          <w:tcPr>
            <w:tcW w:w="923" w:type="dxa"/>
            <w:vMerge/>
          </w:tcPr>
          <w:p w14:paraId="715B81CF"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p>
        </w:tc>
        <w:tc>
          <w:tcPr>
            <w:tcW w:w="1043" w:type="dxa"/>
          </w:tcPr>
          <w:p w14:paraId="5E8FDA2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4FB12964"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CACCAGCTTCTGTAAGATGC</w:t>
            </w:r>
          </w:p>
        </w:tc>
        <w:tc>
          <w:tcPr>
            <w:tcW w:w="1276" w:type="dxa"/>
            <w:vMerge/>
          </w:tcPr>
          <w:p w14:paraId="5A8DBAA4"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c>
          <w:tcPr>
            <w:tcW w:w="1536" w:type="dxa"/>
            <w:vMerge/>
          </w:tcPr>
          <w:p w14:paraId="0A3E1334"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r>
      <w:tr w:rsidR="00857E1C" w:rsidRPr="00857E1C" w14:paraId="138839A0" w14:textId="77777777" w:rsidTr="007344A1">
        <w:trPr>
          <w:trHeight w:val="188"/>
        </w:trPr>
        <w:tc>
          <w:tcPr>
            <w:tcW w:w="923" w:type="dxa"/>
            <w:vMerge w:val="restart"/>
          </w:tcPr>
          <w:p w14:paraId="06864A06" w14:textId="77777777" w:rsidR="00857E1C" w:rsidRPr="00857E1C" w:rsidRDefault="00857E1C" w:rsidP="00857E1C">
            <w:pPr>
              <w:spacing w:line="360" w:lineRule="auto"/>
              <w:jc w:val="center"/>
              <w:rPr>
                <w:rFonts w:ascii="Times New Roman" w:eastAsia="Times New Roman" w:hAnsi="Times New Roman" w:cs="Times New Roman"/>
                <w:sz w:val="24"/>
                <w:szCs w:val="24"/>
                <w:lang w:eastAsia="en-IN"/>
              </w:rPr>
            </w:pPr>
            <w:r w:rsidRPr="00857E1C">
              <w:rPr>
                <w:rFonts w:ascii="Times New Roman" w:eastAsia="Times New Roman" w:hAnsi="Times New Roman" w:cs="Times New Roman"/>
                <w:sz w:val="24"/>
                <w:szCs w:val="24"/>
                <w:lang w:eastAsia="en-IN"/>
              </w:rPr>
              <w:t>β actin</w:t>
            </w:r>
          </w:p>
        </w:tc>
        <w:tc>
          <w:tcPr>
            <w:tcW w:w="1043" w:type="dxa"/>
          </w:tcPr>
          <w:p w14:paraId="68D28638"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FP</w:t>
            </w:r>
          </w:p>
        </w:tc>
        <w:tc>
          <w:tcPr>
            <w:tcW w:w="3976" w:type="dxa"/>
          </w:tcPr>
          <w:p w14:paraId="6F73FB77"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CTGACAGAGAGAGGCTACA</w:t>
            </w:r>
          </w:p>
        </w:tc>
        <w:tc>
          <w:tcPr>
            <w:tcW w:w="1276" w:type="dxa"/>
            <w:vMerge w:val="restart"/>
          </w:tcPr>
          <w:p w14:paraId="4F82FE5D"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106</w:t>
            </w:r>
          </w:p>
        </w:tc>
        <w:tc>
          <w:tcPr>
            <w:tcW w:w="1536" w:type="dxa"/>
            <w:vMerge w:val="restart"/>
          </w:tcPr>
          <w:p w14:paraId="6F65129E"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themeColor="text1"/>
                <w:sz w:val="24"/>
                <w:szCs w:val="24"/>
                <w:lang w:eastAsia="en-IN"/>
              </w:rPr>
              <w:t>Jamima</w:t>
            </w:r>
            <w:r w:rsidRPr="00857E1C">
              <w:rPr>
                <w:rFonts w:ascii="Times New Roman" w:eastAsia="Times New Roman" w:hAnsi="Times New Roman" w:cs="Times New Roman"/>
                <w:color w:val="000000"/>
                <w:sz w:val="24"/>
                <w:szCs w:val="24"/>
                <w:lang w:eastAsia="en-IN"/>
              </w:rPr>
              <w:t xml:space="preserve"> </w:t>
            </w:r>
            <w:r w:rsidRPr="00857E1C">
              <w:rPr>
                <w:rFonts w:ascii="Times New Roman" w:eastAsia="Times New Roman" w:hAnsi="Times New Roman" w:cs="Times New Roman"/>
                <w:iCs/>
                <w:color w:val="000000"/>
                <w:sz w:val="24"/>
                <w:szCs w:val="24"/>
                <w:lang w:eastAsia="en-IN"/>
              </w:rPr>
              <w:t>et al.</w:t>
            </w:r>
            <w:r w:rsidRPr="00857E1C">
              <w:rPr>
                <w:rFonts w:ascii="Times New Roman" w:eastAsia="Times New Roman" w:hAnsi="Times New Roman" w:cs="Times New Roman"/>
                <w:color w:val="000000"/>
                <w:sz w:val="24"/>
                <w:szCs w:val="24"/>
                <w:lang w:eastAsia="en-IN"/>
              </w:rPr>
              <w:t>, 2018</w:t>
            </w:r>
          </w:p>
        </w:tc>
      </w:tr>
      <w:tr w:rsidR="00857E1C" w:rsidRPr="00857E1C" w14:paraId="6EE500AC" w14:textId="77777777" w:rsidTr="007344A1">
        <w:trPr>
          <w:trHeight w:val="70"/>
        </w:trPr>
        <w:tc>
          <w:tcPr>
            <w:tcW w:w="923" w:type="dxa"/>
            <w:vMerge/>
          </w:tcPr>
          <w:p w14:paraId="6C177D46" w14:textId="77777777" w:rsidR="00857E1C" w:rsidRPr="00857E1C" w:rsidRDefault="00857E1C" w:rsidP="00857E1C">
            <w:pPr>
              <w:spacing w:line="360" w:lineRule="auto"/>
              <w:jc w:val="center"/>
              <w:rPr>
                <w:rFonts w:ascii="Times New Roman" w:eastAsia="Times New Roman" w:hAnsi="Times New Roman" w:cs="Times New Roman"/>
                <w:b/>
                <w:sz w:val="24"/>
                <w:szCs w:val="24"/>
                <w:lang w:eastAsia="en-IN"/>
              </w:rPr>
            </w:pPr>
          </w:p>
        </w:tc>
        <w:tc>
          <w:tcPr>
            <w:tcW w:w="1043" w:type="dxa"/>
          </w:tcPr>
          <w:p w14:paraId="5C2DD193" w14:textId="77777777" w:rsidR="00857E1C" w:rsidRPr="00857E1C" w:rsidRDefault="00857E1C" w:rsidP="00857E1C">
            <w:pPr>
              <w:spacing w:line="360" w:lineRule="auto"/>
              <w:jc w:val="center"/>
              <w:rPr>
                <w:rFonts w:ascii="Times New Roman" w:eastAsia="Times New Roman" w:hAnsi="Times New Roman" w:cs="Times New Roman"/>
                <w:bCs/>
                <w:sz w:val="24"/>
                <w:szCs w:val="24"/>
                <w:lang w:eastAsia="en-IN"/>
              </w:rPr>
            </w:pPr>
            <w:r w:rsidRPr="00857E1C">
              <w:rPr>
                <w:rFonts w:ascii="Times New Roman" w:eastAsia="Times New Roman" w:hAnsi="Times New Roman" w:cs="Times New Roman"/>
                <w:bCs/>
                <w:sz w:val="24"/>
                <w:szCs w:val="24"/>
                <w:lang w:eastAsia="en-IN"/>
              </w:rPr>
              <w:t>RP</w:t>
            </w:r>
          </w:p>
        </w:tc>
        <w:tc>
          <w:tcPr>
            <w:tcW w:w="3976" w:type="dxa"/>
          </w:tcPr>
          <w:p w14:paraId="64CDEB03"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r w:rsidRPr="00857E1C">
              <w:rPr>
                <w:rFonts w:ascii="Times New Roman" w:eastAsia="Times New Roman" w:hAnsi="Times New Roman" w:cs="Times New Roman"/>
                <w:color w:val="000000"/>
                <w:sz w:val="24"/>
                <w:szCs w:val="24"/>
                <w:lang w:eastAsia="en-IN"/>
              </w:rPr>
              <w:t>CATCTCCTGCTCGAAATC</w:t>
            </w:r>
          </w:p>
        </w:tc>
        <w:tc>
          <w:tcPr>
            <w:tcW w:w="1276" w:type="dxa"/>
            <w:vMerge/>
          </w:tcPr>
          <w:p w14:paraId="4ABDC089"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c>
          <w:tcPr>
            <w:tcW w:w="1536" w:type="dxa"/>
            <w:vMerge/>
          </w:tcPr>
          <w:p w14:paraId="6C901791" w14:textId="77777777" w:rsidR="00857E1C" w:rsidRPr="00857E1C" w:rsidRDefault="00857E1C" w:rsidP="00857E1C">
            <w:pPr>
              <w:spacing w:line="360" w:lineRule="auto"/>
              <w:jc w:val="center"/>
              <w:rPr>
                <w:rFonts w:ascii="Times New Roman" w:eastAsia="Times New Roman" w:hAnsi="Times New Roman" w:cs="Times New Roman"/>
                <w:color w:val="000000"/>
                <w:sz w:val="24"/>
                <w:szCs w:val="24"/>
                <w:lang w:eastAsia="en-IN"/>
              </w:rPr>
            </w:pPr>
          </w:p>
        </w:tc>
      </w:tr>
    </w:tbl>
    <w:p w14:paraId="6257AF02" w14:textId="77777777" w:rsidR="00857E1C" w:rsidRPr="00857E1C" w:rsidRDefault="00857E1C" w:rsidP="00857E1C">
      <w:pPr>
        <w:spacing w:line="360" w:lineRule="auto"/>
        <w:rPr>
          <w:rFonts w:ascii="Times New Roman" w:eastAsia="Calibri" w:hAnsi="Times New Roman" w:cs="Times New Roman"/>
          <w:b/>
          <w:sz w:val="24"/>
          <w:szCs w:val="24"/>
        </w:rPr>
      </w:pPr>
    </w:p>
    <w:p w14:paraId="58E1C88D" w14:textId="77777777" w:rsidR="00857E1C" w:rsidRPr="00857E1C" w:rsidRDefault="00310D47" w:rsidP="00857E1C">
      <w:pPr>
        <w:widowControl w:val="0"/>
        <w:autoSpaceDE w:val="0"/>
        <w:autoSpaceDN w:val="0"/>
        <w:spacing w:before="1" w:after="0" w:line="360" w:lineRule="auto"/>
        <w:ind w:right="26"/>
        <w:jc w:val="both"/>
        <w:rPr>
          <w:rFonts w:ascii="Times New Roman" w:eastAsia="Calibri" w:hAnsi="Times New Roman" w:cs="Times New Roman"/>
          <w:b/>
          <w:sz w:val="24"/>
          <w:szCs w:val="24"/>
        </w:rPr>
      </w:pPr>
      <w:bookmarkStart w:id="1" w:name="_Hlk187414935"/>
      <w:r w:rsidRPr="00310D47">
        <w:rPr>
          <w:rFonts w:ascii="Times New Roman" w:eastAsia="Calibri" w:hAnsi="Times New Roman" w:cs="Times New Roman"/>
          <w:b/>
          <w:sz w:val="24"/>
          <w:szCs w:val="24"/>
        </w:rPr>
        <w:t>2.2</w:t>
      </w:r>
      <w:r w:rsidR="00857E1C" w:rsidRPr="00857E1C">
        <w:rPr>
          <w:rFonts w:ascii="Times New Roman" w:eastAsia="Calibri" w:hAnsi="Times New Roman" w:cs="Times New Roman"/>
          <w:b/>
          <w:sz w:val="24"/>
          <w:szCs w:val="24"/>
        </w:rPr>
        <w:t>.   Statistical Analysis</w:t>
      </w:r>
    </w:p>
    <w:bookmarkEnd w:id="1"/>
    <w:p w14:paraId="68D7A77B" w14:textId="77777777" w:rsidR="00857E1C" w:rsidRPr="00857E1C" w:rsidRDefault="00857E1C" w:rsidP="00310D47">
      <w:pPr>
        <w:widowControl w:val="0"/>
        <w:autoSpaceDE w:val="0"/>
        <w:autoSpaceDN w:val="0"/>
        <w:spacing w:before="1" w:after="0" w:line="360" w:lineRule="auto"/>
        <w:ind w:right="26" w:firstLine="720"/>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A two-way analysis of variance (ANOVA) was performed to evaluate the effects of genetic group (indigenous </w:t>
      </w:r>
      <w:r w:rsidRPr="00857E1C">
        <w:rPr>
          <w:rFonts w:ascii="Times New Roman" w:eastAsia="Calibri" w:hAnsi="Times New Roman" w:cs="Times New Roman"/>
          <w:i/>
          <w:iCs/>
          <w:sz w:val="24"/>
          <w:szCs w:val="24"/>
        </w:rPr>
        <w:t>Siruvidai</w:t>
      </w:r>
      <w:r w:rsidRPr="00857E1C">
        <w:rPr>
          <w:rFonts w:ascii="Times New Roman" w:eastAsia="Calibri" w:hAnsi="Times New Roman" w:cs="Times New Roman"/>
          <w:sz w:val="24"/>
          <w:szCs w:val="24"/>
        </w:rPr>
        <w:t xml:space="preserve">, TANUVAS Aseel, White Leghorn, and commercial broiler) and treatment (heat stress vs. control) on gene expression. Statistical significance was considered at </w:t>
      </w:r>
      <w:r w:rsidRPr="00857E1C">
        <w:rPr>
          <w:rFonts w:ascii="Times New Roman" w:eastAsia="Calibri" w:hAnsi="Times New Roman" w:cs="Times New Roman"/>
          <w:i/>
          <w:iCs/>
          <w:sz w:val="24"/>
          <w:szCs w:val="24"/>
        </w:rPr>
        <w:t>p</w:t>
      </w:r>
      <w:r w:rsidRPr="00857E1C">
        <w:rPr>
          <w:rFonts w:ascii="Times New Roman" w:eastAsia="Calibri" w:hAnsi="Times New Roman" w:cs="Times New Roman"/>
          <w:sz w:val="24"/>
          <w:szCs w:val="24"/>
        </w:rPr>
        <w:t>&lt;0.05. All analyses were carried out using the SPSS statistical software package.</w:t>
      </w:r>
    </w:p>
    <w:p w14:paraId="344106DB" w14:textId="7BA6B0D1" w:rsidR="00857E1C" w:rsidRDefault="00857E1C" w:rsidP="00857E1C">
      <w:pPr>
        <w:widowControl w:val="0"/>
        <w:tabs>
          <w:tab w:val="left" w:pos="567"/>
        </w:tabs>
        <w:autoSpaceDE w:val="0"/>
        <w:autoSpaceDN w:val="0"/>
        <w:spacing w:before="1" w:after="0" w:line="360" w:lineRule="auto"/>
        <w:ind w:right="26"/>
        <w:jc w:val="both"/>
        <w:rPr>
          <w:rFonts w:ascii="Times New Roman" w:eastAsia="Calibri" w:hAnsi="Times New Roman" w:cs="Times New Roman"/>
          <w:b/>
          <w:sz w:val="24"/>
          <w:szCs w:val="24"/>
        </w:rPr>
      </w:pPr>
      <w:r w:rsidRPr="00857E1C">
        <w:rPr>
          <w:rFonts w:ascii="Times New Roman" w:eastAsia="Calibri" w:hAnsi="Times New Roman" w:cs="Times New Roman"/>
          <w:b/>
          <w:sz w:val="24"/>
          <w:szCs w:val="24"/>
        </w:rPr>
        <w:t>3.0   RESULTS AND DISCUSSION</w:t>
      </w:r>
    </w:p>
    <w:p w14:paraId="44DA30D2" w14:textId="374B3B63" w:rsidR="00190212" w:rsidRPr="00857E1C" w:rsidRDefault="00190212" w:rsidP="00857E1C">
      <w:pPr>
        <w:widowControl w:val="0"/>
        <w:tabs>
          <w:tab w:val="left" w:pos="567"/>
        </w:tabs>
        <w:autoSpaceDE w:val="0"/>
        <w:autoSpaceDN w:val="0"/>
        <w:spacing w:before="1" w:after="0" w:line="360" w:lineRule="auto"/>
        <w:ind w:right="26"/>
        <w:jc w:val="both"/>
        <w:rPr>
          <w:rFonts w:ascii="Times New Roman" w:eastAsia="Calibri" w:hAnsi="Times New Roman" w:cs="Times New Roman"/>
          <w:b/>
          <w:sz w:val="24"/>
          <w:szCs w:val="24"/>
        </w:rPr>
      </w:pPr>
      <w:r>
        <w:rPr>
          <w:rFonts w:ascii="Times New Roman" w:eastAsia="Calibri" w:hAnsi="Times New Roman" w:cs="Times New Roman"/>
          <w:b/>
          <w:sz w:val="24"/>
          <w:szCs w:val="24"/>
        </w:rPr>
        <w:t>3.1. Results of HSP 70 and HSP 90</w:t>
      </w:r>
    </w:p>
    <w:p w14:paraId="118B3ACB" w14:textId="2E0E4E4D" w:rsidR="00190212" w:rsidRDefault="00190212" w:rsidP="00190212">
      <w:pPr>
        <w:spacing w:line="360" w:lineRule="auto"/>
        <w:ind w:firstLine="720"/>
        <w:jc w:val="both"/>
        <w:rPr>
          <w:rFonts w:ascii="Times New Roman" w:eastAsia="Calibri" w:hAnsi="Times New Roman" w:cs="Times New Roman"/>
          <w:sz w:val="24"/>
          <w:szCs w:val="24"/>
        </w:rPr>
      </w:pPr>
      <w:r w:rsidRPr="00190212">
        <w:rPr>
          <w:rFonts w:ascii="Times New Roman" w:eastAsia="Calibri" w:hAnsi="Times New Roman" w:cs="Times New Roman"/>
          <w:sz w:val="24"/>
          <w:szCs w:val="24"/>
        </w:rPr>
        <w:t>The two-way ANOVA revealed significant</w:t>
      </w:r>
      <w:r w:rsidR="00153A6C">
        <w:rPr>
          <w:rFonts w:ascii="Times New Roman" w:eastAsia="Calibri" w:hAnsi="Times New Roman" w:cs="Times New Roman"/>
          <w:sz w:val="24"/>
          <w:szCs w:val="24"/>
        </w:rPr>
        <w:t xml:space="preserve"> (Table.2)</w:t>
      </w:r>
      <w:r w:rsidRPr="00190212">
        <w:rPr>
          <w:rFonts w:ascii="Times New Roman" w:eastAsia="Calibri" w:hAnsi="Times New Roman" w:cs="Times New Roman"/>
          <w:sz w:val="24"/>
          <w:szCs w:val="24"/>
        </w:rPr>
        <w:t xml:space="preserve"> breed-specific differences in heat-stress-induced gene expression of HSP70 and HSP90 </w:t>
      </w:r>
      <w:r w:rsidRPr="00190212">
        <w:rPr>
          <w:rFonts w:ascii="Times New Roman" w:eastAsia="Calibri" w:hAnsi="Times New Roman" w:cs="Times New Roman"/>
          <w:color w:val="FF0000"/>
          <w:sz w:val="24"/>
          <w:szCs w:val="24"/>
        </w:rPr>
        <w:t xml:space="preserve">(p &lt; 0.05). </w:t>
      </w:r>
      <w:r w:rsidRPr="00190212">
        <w:rPr>
          <w:rFonts w:ascii="Times New Roman" w:eastAsia="Calibri" w:hAnsi="Times New Roman" w:cs="Times New Roman"/>
          <w:sz w:val="24"/>
          <w:szCs w:val="24"/>
        </w:rPr>
        <w:t xml:space="preserve">HSP70 was significantly upregulated in </w:t>
      </w:r>
      <w:r w:rsidRPr="00190212">
        <w:rPr>
          <w:rFonts w:ascii="Times New Roman" w:eastAsia="Calibri" w:hAnsi="Times New Roman" w:cs="Times New Roman"/>
          <w:i/>
          <w:iCs/>
          <w:sz w:val="24"/>
          <w:szCs w:val="24"/>
        </w:rPr>
        <w:t>Siruvidai</w:t>
      </w:r>
      <w:r w:rsidRPr="00190212">
        <w:rPr>
          <w:rFonts w:ascii="Times New Roman" w:eastAsia="Calibri" w:hAnsi="Times New Roman" w:cs="Times New Roman"/>
          <w:sz w:val="24"/>
          <w:szCs w:val="24"/>
        </w:rPr>
        <w:t xml:space="preserve"> (1.42 ± </w:t>
      </w:r>
      <w:r w:rsidRPr="00FA65E8">
        <w:rPr>
          <w:rFonts w:ascii="Times New Roman" w:eastAsia="Calibri" w:hAnsi="Times New Roman" w:cs="Times New Roman"/>
          <w:color w:val="FF0000"/>
          <w:sz w:val="24"/>
          <w:szCs w:val="24"/>
        </w:rPr>
        <w:t>0.12</w:t>
      </w:r>
      <w:r w:rsidRPr="00190212">
        <w:rPr>
          <w:rFonts w:ascii="Times New Roman" w:eastAsia="Calibri" w:hAnsi="Times New Roman" w:cs="Times New Roman"/>
          <w:sz w:val="24"/>
          <w:szCs w:val="24"/>
        </w:rPr>
        <w:t xml:space="preserve">-fold) and markedly </w:t>
      </w:r>
      <w:r w:rsidR="004E314B" w:rsidRPr="004E314B">
        <w:rPr>
          <w:rFonts w:ascii="Times New Roman" w:eastAsia="Calibri" w:hAnsi="Times New Roman" w:cs="Times New Roman"/>
          <w:color w:val="FF0000"/>
          <w:sz w:val="24"/>
          <w:szCs w:val="24"/>
        </w:rPr>
        <w:t xml:space="preserve">highly significant </w:t>
      </w:r>
      <w:r w:rsidRPr="00190212">
        <w:rPr>
          <w:rFonts w:ascii="Times New Roman" w:eastAsia="Calibri" w:hAnsi="Times New Roman" w:cs="Times New Roman"/>
          <w:sz w:val="24"/>
          <w:szCs w:val="24"/>
        </w:rPr>
        <w:t>in White Leghorns</w:t>
      </w:r>
      <w:r w:rsidR="00772012">
        <w:rPr>
          <w:rFonts w:ascii="Times New Roman" w:eastAsia="Calibri" w:hAnsi="Times New Roman" w:cs="Times New Roman"/>
          <w:sz w:val="24"/>
          <w:szCs w:val="24"/>
        </w:rPr>
        <w:t xml:space="preserve"> </w:t>
      </w:r>
      <w:r w:rsidR="00772012" w:rsidRPr="00FC0CE7">
        <w:rPr>
          <w:rFonts w:ascii="Times New Roman" w:eastAsia="Calibri" w:hAnsi="Times New Roman" w:cs="Times New Roman"/>
          <w:color w:val="FF0000"/>
          <w:sz w:val="24"/>
          <w:szCs w:val="24"/>
        </w:rPr>
        <w:t>(</w:t>
      </w:r>
      <w:r w:rsidR="00772012" w:rsidRPr="003702AE">
        <w:rPr>
          <w:rFonts w:ascii="Times New Roman" w:eastAsia="Times New Roman" w:hAnsi="Times New Roman" w:cs="Times New Roman"/>
          <w:i/>
          <w:iCs/>
          <w:color w:val="FF0000"/>
          <w:sz w:val="24"/>
          <w:szCs w:val="24"/>
          <w:lang w:val="en-US"/>
        </w:rPr>
        <w:t>p</w:t>
      </w:r>
      <w:r w:rsidR="00772012" w:rsidRPr="003702AE">
        <w:rPr>
          <w:rFonts w:ascii="Times New Roman" w:eastAsia="Times New Roman" w:hAnsi="Times New Roman" w:cs="Times New Roman"/>
          <w:color w:val="FF0000"/>
          <w:sz w:val="24"/>
          <w:szCs w:val="24"/>
          <w:lang w:val="en-US"/>
        </w:rPr>
        <w:t xml:space="preserve"> &lt; 0.01</w:t>
      </w:r>
      <w:r w:rsidR="00772012" w:rsidRPr="00FC0CE7">
        <w:rPr>
          <w:rFonts w:ascii="Times New Roman" w:eastAsia="Times New Roman" w:hAnsi="Times New Roman" w:cs="Times New Roman"/>
          <w:color w:val="FF0000"/>
          <w:sz w:val="24"/>
          <w:szCs w:val="24"/>
          <w:lang w:val="en-US"/>
        </w:rPr>
        <w:t>)</w:t>
      </w:r>
      <w:r w:rsidRPr="00190212">
        <w:rPr>
          <w:rFonts w:ascii="Times New Roman" w:eastAsia="Calibri" w:hAnsi="Times New Roman" w:cs="Times New Roman"/>
          <w:color w:val="FF0000"/>
          <w:sz w:val="24"/>
          <w:szCs w:val="24"/>
        </w:rPr>
        <w:t xml:space="preserve"> </w:t>
      </w:r>
      <w:r w:rsidRPr="00190212">
        <w:rPr>
          <w:rFonts w:ascii="Times New Roman" w:eastAsia="Calibri" w:hAnsi="Times New Roman" w:cs="Times New Roman"/>
          <w:sz w:val="24"/>
          <w:szCs w:val="24"/>
        </w:rPr>
        <w:t xml:space="preserve">(7.57 ± </w:t>
      </w:r>
      <w:r w:rsidRPr="00FA65E8">
        <w:rPr>
          <w:rFonts w:ascii="Times New Roman" w:eastAsia="Calibri" w:hAnsi="Times New Roman" w:cs="Times New Roman"/>
          <w:color w:val="FF0000"/>
          <w:sz w:val="24"/>
          <w:szCs w:val="24"/>
        </w:rPr>
        <w:t>0.31</w:t>
      </w:r>
      <w:r w:rsidR="00FA65E8">
        <w:rPr>
          <w:rFonts w:ascii="Times New Roman" w:eastAsia="Calibri" w:hAnsi="Times New Roman" w:cs="Times New Roman"/>
          <w:sz w:val="24"/>
          <w:szCs w:val="24"/>
        </w:rPr>
        <w:t>-</w:t>
      </w:r>
      <w:r w:rsidRPr="00190212">
        <w:rPr>
          <w:rFonts w:ascii="Times New Roman" w:eastAsia="Calibri" w:hAnsi="Times New Roman" w:cs="Times New Roman"/>
          <w:sz w:val="24"/>
          <w:szCs w:val="24"/>
        </w:rPr>
        <w:t>fold), while TAN</w:t>
      </w:r>
      <w:r w:rsidR="004E314B">
        <w:rPr>
          <w:rFonts w:ascii="Times New Roman" w:eastAsia="Calibri" w:hAnsi="Times New Roman" w:cs="Times New Roman"/>
          <w:sz w:val="24"/>
          <w:szCs w:val="24"/>
        </w:rPr>
        <w:t xml:space="preserve">UVAS Aseel exhibited a mild, </w:t>
      </w:r>
      <w:r w:rsidR="004E314B" w:rsidRPr="004E314B">
        <w:rPr>
          <w:rFonts w:ascii="Times New Roman" w:eastAsia="Calibri" w:hAnsi="Times New Roman" w:cs="Times New Roman"/>
          <w:color w:val="FF0000"/>
          <w:sz w:val="24"/>
          <w:szCs w:val="24"/>
        </w:rPr>
        <w:t>not significant</w:t>
      </w:r>
      <w:r w:rsidRPr="00190212">
        <w:rPr>
          <w:rFonts w:ascii="Times New Roman" w:eastAsia="Calibri" w:hAnsi="Times New Roman" w:cs="Times New Roman"/>
          <w:sz w:val="24"/>
          <w:szCs w:val="24"/>
        </w:rPr>
        <w:t xml:space="preserve"> increase (1.19 ± </w:t>
      </w:r>
      <w:r w:rsidRPr="00FA65E8">
        <w:rPr>
          <w:rFonts w:ascii="Times New Roman" w:eastAsia="Calibri" w:hAnsi="Times New Roman" w:cs="Times New Roman"/>
          <w:color w:val="FF0000"/>
          <w:sz w:val="24"/>
          <w:szCs w:val="24"/>
        </w:rPr>
        <w:t>0.09</w:t>
      </w:r>
      <w:r w:rsidRPr="00190212">
        <w:rPr>
          <w:rFonts w:ascii="Times New Roman" w:eastAsia="Calibri" w:hAnsi="Times New Roman" w:cs="Times New Roman"/>
          <w:sz w:val="24"/>
          <w:szCs w:val="24"/>
        </w:rPr>
        <w:t xml:space="preserve">-fold). In contrast, commercial broilers showed </w:t>
      </w:r>
      <w:r w:rsidR="004E314B">
        <w:rPr>
          <w:rFonts w:ascii="Times New Roman" w:eastAsia="Calibri" w:hAnsi="Times New Roman" w:cs="Times New Roman"/>
          <w:sz w:val="24"/>
          <w:szCs w:val="24"/>
        </w:rPr>
        <w:t xml:space="preserve">highly </w:t>
      </w:r>
      <w:r w:rsidRPr="004E314B">
        <w:rPr>
          <w:rFonts w:ascii="Times New Roman" w:eastAsia="Calibri" w:hAnsi="Times New Roman" w:cs="Times New Roman"/>
          <w:color w:val="FF0000"/>
          <w:sz w:val="24"/>
          <w:szCs w:val="24"/>
        </w:rPr>
        <w:t>significant downregulation</w:t>
      </w:r>
      <w:r w:rsidR="00772012" w:rsidRPr="004E314B">
        <w:rPr>
          <w:rFonts w:ascii="Times New Roman" w:eastAsia="Calibri" w:hAnsi="Times New Roman" w:cs="Times New Roman"/>
          <w:color w:val="FF0000"/>
          <w:sz w:val="24"/>
          <w:szCs w:val="24"/>
        </w:rPr>
        <w:t xml:space="preserve"> </w:t>
      </w:r>
      <w:r w:rsidR="00772012" w:rsidRPr="00FC0CE7">
        <w:rPr>
          <w:rFonts w:ascii="Times New Roman" w:eastAsia="Calibri" w:hAnsi="Times New Roman" w:cs="Times New Roman"/>
          <w:color w:val="FF0000"/>
          <w:sz w:val="24"/>
          <w:szCs w:val="24"/>
        </w:rPr>
        <w:t>(</w:t>
      </w:r>
      <w:r w:rsidR="00772012" w:rsidRPr="00FC0CE7">
        <w:rPr>
          <w:rFonts w:ascii="Times New Roman" w:eastAsia="Times New Roman" w:hAnsi="Times New Roman" w:cs="Times New Roman"/>
          <w:i/>
          <w:iCs/>
          <w:color w:val="FF0000"/>
          <w:sz w:val="24"/>
          <w:szCs w:val="24"/>
        </w:rPr>
        <w:t>p</w:t>
      </w:r>
      <w:r w:rsidR="00772012" w:rsidRPr="00FC0CE7">
        <w:rPr>
          <w:rFonts w:ascii="Times New Roman" w:eastAsia="Times New Roman" w:hAnsi="Times New Roman" w:cs="Times New Roman"/>
          <w:color w:val="FF0000"/>
          <w:sz w:val="24"/>
          <w:szCs w:val="24"/>
        </w:rPr>
        <w:t xml:space="preserve"> &lt; 0.01) </w:t>
      </w:r>
      <w:r w:rsidR="00772012" w:rsidRPr="00190212">
        <w:rPr>
          <w:rFonts w:ascii="Times New Roman" w:eastAsia="Calibri" w:hAnsi="Times New Roman" w:cs="Times New Roman"/>
          <w:sz w:val="24"/>
          <w:szCs w:val="24"/>
        </w:rPr>
        <w:t>(</w:t>
      </w:r>
      <w:r w:rsidRPr="00190212">
        <w:rPr>
          <w:rFonts w:ascii="Times New Roman" w:eastAsia="Calibri" w:hAnsi="Times New Roman" w:cs="Times New Roman"/>
          <w:sz w:val="24"/>
          <w:szCs w:val="24"/>
        </w:rPr>
        <w:t xml:space="preserve">0.40 ± </w:t>
      </w:r>
      <w:r w:rsidRPr="00FA65E8">
        <w:rPr>
          <w:rFonts w:ascii="Times New Roman" w:eastAsia="Calibri" w:hAnsi="Times New Roman" w:cs="Times New Roman"/>
          <w:color w:val="FF0000"/>
          <w:sz w:val="24"/>
          <w:szCs w:val="24"/>
        </w:rPr>
        <w:t>0.05</w:t>
      </w:r>
      <w:r w:rsidRPr="00190212">
        <w:rPr>
          <w:rFonts w:ascii="Times New Roman" w:eastAsia="Calibri" w:hAnsi="Times New Roman" w:cs="Times New Roman"/>
          <w:sz w:val="24"/>
          <w:szCs w:val="24"/>
        </w:rPr>
        <w:t>-fold). For HSP90,</w:t>
      </w:r>
      <w:r w:rsidRPr="00190212">
        <w:rPr>
          <w:rFonts w:ascii="Times New Roman" w:eastAsia="Calibri" w:hAnsi="Times New Roman" w:cs="Times New Roman"/>
          <w:i/>
          <w:iCs/>
          <w:sz w:val="24"/>
          <w:szCs w:val="24"/>
        </w:rPr>
        <w:t xml:space="preserve"> Siruvidai</w:t>
      </w:r>
      <w:r w:rsidRPr="00190212">
        <w:rPr>
          <w:rFonts w:ascii="Times New Roman" w:eastAsia="Calibri" w:hAnsi="Times New Roman" w:cs="Times New Roman"/>
          <w:sz w:val="24"/>
          <w:szCs w:val="24"/>
        </w:rPr>
        <w:t xml:space="preserve"> demonstrated a </w:t>
      </w:r>
      <w:r w:rsidR="00485C3A" w:rsidRPr="00485C3A">
        <w:rPr>
          <w:rFonts w:ascii="Times New Roman" w:eastAsia="Calibri" w:hAnsi="Times New Roman" w:cs="Times New Roman"/>
          <w:color w:val="FF0000"/>
          <w:sz w:val="24"/>
          <w:szCs w:val="24"/>
        </w:rPr>
        <w:t xml:space="preserve">highly significant </w:t>
      </w:r>
      <w:r w:rsidRPr="00190212">
        <w:rPr>
          <w:rFonts w:ascii="Times New Roman" w:eastAsia="Calibri" w:hAnsi="Times New Roman" w:cs="Times New Roman"/>
          <w:sz w:val="24"/>
          <w:szCs w:val="24"/>
        </w:rPr>
        <w:t>strong induction</w:t>
      </w:r>
      <w:r w:rsidR="00772012" w:rsidRPr="00772012">
        <w:t xml:space="preserve"> </w:t>
      </w:r>
      <w:r w:rsidR="00772012" w:rsidRPr="00FC0CE7">
        <w:rPr>
          <w:color w:val="FF0000"/>
        </w:rPr>
        <w:t>(</w:t>
      </w:r>
      <w:r w:rsidR="00772012" w:rsidRPr="00FC0CE7">
        <w:rPr>
          <w:rFonts w:ascii="Times New Roman" w:eastAsia="Calibri" w:hAnsi="Times New Roman" w:cs="Times New Roman"/>
          <w:color w:val="FF0000"/>
          <w:sz w:val="24"/>
          <w:szCs w:val="24"/>
        </w:rPr>
        <w:t>p &lt; 0.01)</w:t>
      </w:r>
      <w:r w:rsidRPr="00190212">
        <w:rPr>
          <w:rFonts w:ascii="Times New Roman" w:eastAsia="Calibri" w:hAnsi="Times New Roman" w:cs="Times New Roman"/>
          <w:color w:val="FF0000"/>
          <w:sz w:val="24"/>
          <w:szCs w:val="24"/>
        </w:rPr>
        <w:t xml:space="preserve"> </w:t>
      </w:r>
      <w:r w:rsidRPr="00190212">
        <w:rPr>
          <w:rFonts w:ascii="Times New Roman" w:eastAsia="Calibri" w:hAnsi="Times New Roman" w:cs="Times New Roman"/>
          <w:sz w:val="24"/>
          <w:szCs w:val="24"/>
        </w:rPr>
        <w:t xml:space="preserve">(4.76 ± </w:t>
      </w:r>
      <w:r w:rsidRPr="00FA65E8">
        <w:rPr>
          <w:rFonts w:ascii="Times New Roman" w:eastAsia="Calibri" w:hAnsi="Times New Roman" w:cs="Times New Roman"/>
          <w:color w:val="FF0000"/>
          <w:sz w:val="24"/>
          <w:szCs w:val="24"/>
        </w:rPr>
        <w:t>0.20</w:t>
      </w:r>
      <w:r w:rsidRPr="00190212">
        <w:rPr>
          <w:rFonts w:ascii="Times New Roman" w:eastAsia="Calibri" w:hAnsi="Times New Roman" w:cs="Times New Roman"/>
          <w:sz w:val="24"/>
          <w:szCs w:val="24"/>
        </w:rPr>
        <w:t>-fold), whereas TANUVAS Aseel</w:t>
      </w:r>
      <w:r w:rsidR="00485C3A">
        <w:rPr>
          <w:rFonts w:ascii="Times New Roman" w:eastAsia="Calibri" w:hAnsi="Times New Roman" w:cs="Times New Roman"/>
          <w:sz w:val="24"/>
          <w:szCs w:val="24"/>
        </w:rPr>
        <w:t xml:space="preserve"> is not significant</w:t>
      </w:r>
      <w:r w:rsidRPr="00190212">
        <w:rPr>
          <w:rFonts w:ascii="Times New Roman" w:eastAsia="Calibri" w:hAnsi="Times New Roman" w:cs="Times New Roman"/>
          <w:sz w:val="24"/>
          <w:szCs w:val="24"/>
        </w:rPr>
        <w:t xml:space="preserve"> (0.63 ± </w:t>
      </w:r>
      <w:r w:rsidRPr="00FA65E8">
        <w:rPr>
          <w:rFonts w:ascii="Times New Roman" w:eastAsia="Calibri" w:hAnsi="Times New Roman" w:cs="Times New Roman"/>
          <w:color w:val="FF0000"/>
          <w:sz w:val="24"/>
          <w:szCs w:val="24"/>
        </w:rPr>
        <w:t>0.07</w:t>
      </w:r>
      <w:r w:rsidRPr="00190212">
        <w:rPr>
          <w:rFonts w:ascii="Times New Roman" w:eastAsia="Calibri" w:hAnsi="Times New Roman" w:cs="Times New Roman"/>
          <w:sz w:val="24"/>
          <w:szCs w:val="24"/>
        </w:rPr>
        <w:t>-fold), White Leghorns</w:t>
      </w:r>
      <w:r w:rsidR="00772012">
        <w:rPr>
          <w:rFonts w:ascii="Times New Roman" w:eastAsia="Calibri" w:hAnsi="Times New Roman" w:cs="Times New Roman"/>
          <w:sz w:val="24"/>
          <w:szCs w:val="24"/>
        </w:rPr>
        <w:t xml:space="preserve"> </w:t>
      </w:r>
      <w:r w:rsidR="00772012" w:rsidRPr="00FC0CE7">
        <w:rPr>
          <w:rFonts w:ascii="Times New Roman" w:eastAsia="Calibri" w:hAnsi="Times New Roman" w:cs="Times New Roman"/>
          <w:color w:val="FF0000"/>
          <w:sz w:val="24"/>
          <w:szCs w:val="24"/>
        </w:rPr>
        <w:t>(</w:t>
      </w:r>
      <w:r w:rsidR="00772012" w:rsidRPr="00FC0CE7">
        <w:rPr>
          <w:rFonts w:ascii="Times New Roman" w:eastAsia="Times New Roman" w:hAnsi="Times New Roman" w:cs="Times New Roman"/>
          <w:i/>
          <w:iCs/>
          <w:color w:val="FF0000"/>
          <w:sz w:val="24"/>
          <w:szCs w:val="24"/>
        </w:rPr>
        <w:t>p</w:t>
      </w:r>
      <w:r w:rsidR="00772012" w:rsidRPr="00FC0CE7">
        <w:rPr>
          <w:rFonts w:ascii="Times New Roman" w:eastAsia="Times New Roman" w:hAnsi="Times New Roman" w:cs="Times New Roman"/>
          <w:color w:val="FF0000"/>
          <w:sz w:val="24"/>
          <w:szCs w:val="24"/>
        </w:rPr>
        <w:t xml:space="preserve"> &lt; 0.01) </w:t>
      </w:r>
      <w:r w:rsidR="00772012" w:rsidRPr="00190212">
        <w:rPr>
          <w:rFonts w:ascii="Times New Roman" w:eastAsia="Calibri" w:hAnsi="Times New Roman" w:cs="Times New Roman"/>
          <w:sz w:val="24"/>
          <w:szCs w:val="24"/>
        </w:rPr>
        <w:t>(</w:t>
      </w:r>
      <w:r w:rsidRPr="00190212">
        <w:rPr>
          <w:rFonts w:ascii="Times New Roman" w:eastAsia="Calibri" w:hAnsi="Times New Roman" w:cs="Times New Roman"/>
          <w:sz w:val="24"/>
          <w:szCs w:val="24"/>
        </w:rPr>
        <w:t xml:space="preserve">0.17 ± </w:t>
      </w:r>
      <w:r w:rsidRPr="00FA65E8">
        <w:rPr>
          <w:rFonts w:ascii="Times New Roman" w:eastAsia="Calibri" w:hAnsi="Times New Roman" w:cs="Times New Roman"/>
          <w:color w:val="FF0000"/>
          <w:sz w:val="24"/>
          <w:szCs w:val="24"/>
        </w:rPr>
        <w:t>0.03</w:t>
      </w:r>
      <w:r w:rsidRPr="00190212">
        <w:rPr>
          <w:rFonts w:ascii="Times New Roman" w:eastAsia="Calibri" w:hAnsi="Times New Roman" w:cs="Times New Roman"/>
          <w:sz w:val="24"/>
          <w:szCs w:val="24"/>
        </w:rPr>
        <w:t>-fold), and broilers</w:t>
      </w:r>
      <w:r w:rsidR="00772012">
        <w:rPr>
          <w:rFonts w:ascii="Times New Roman" w:eastAsia="Calibri" w:hAnsi="Times New Roman" w:cs="Times New Roman"/>
          <w:sz w:val="24"/>
          <w:szCs w:val="24"/>
        </w:rPr>
        <w:t xml:space="preserve"> </w:t>
      </w:r>
      <w:r w:rsidR="00772012" w:rsidRPr="00FC0CE7">
        <w:rPr>
          <w:rFonts w:ascii="Times New Roman" w:eastAsia="Calibri" w:hAnsi="Times New Roman" w:cs="Times New Roman"/>
          <w:color w:val="FF0000"/>
          <w:sz w:val="24"/>
          <w:szCs w:val="24"/>
        </w:rPr>
        <w:t xml:space="preserve">(p &lt; 0.01) </w:t>
      </w:r>
      <w:r w:rsidRPr="00190212">
        <w:rPr>
          <w:rFonts w:ascii="Times New Roman" w:eastAsia="Calibri" w:hAnsi="Times New Roman" w:cs="Times New Roman"/>
          <w:sz w:val="24"/>
          <w:szCs w:val="24"/>
        </w:rPr>
        <w:t xml:space="preserve">(0.18 ± </w:t>
      </w:r>
      <w:r w:rsidRPr="00FA65E8">
        <w:rPr>
          <w:rFonts w:ascii="Times New Roman" w:eastAsia="Calibri" w:hAnsi="Times New Roman" w:cs="Times New Roman"/>
          <w:color w:val="FF0000"/>
          <w:sz w:val="24"/>
          <w:szCs w:val="24"/>
        </w:rPr>
        <w:t>0.04</w:t>
      </w:r>
      <w:r w:rsidRPr="00190212">
        <w:rPr>
          <w:rFonts w:ascii="Times New Roman" w:eastAsia="Calibri" w:hAnsi="Times New Roman" w:cs="Times New Roman"/>
          <w:sz w:val="24"/>
          <w:szCs w:val="24"/>
        </w:rPr>
        <w:t>-fold) showed significant suppression. These results indicate that indigenous</w:t>
      </w:r>
      <w:r w:rsidRPr="00190212">
        <w:rPr>
          <w:rFonts w:ascii="Times New Roman" w:eastAsia="Calibri" w:hAnsi="Times New Roman" w:cs="Times New Roman"/>
          <w:i/>
          <w:iCs/>
          <w:sz w:val="24"/>
          <w:szCs w:val="24"/>
        </w:rPr>
        <w:t xml:space="preserve"> Siruvidai</w:t>
      </w:r>
      <w:r w:rsidRPr="00190212">
        <w:rPr>
          <w:rFonts w:ascii="Times New Roman" w:eastAsia="Calibri" w:hAnsi="Times New Roman" w:cs="Times New Roman"/>
          <w:sz w:val="24"/>
          <w:szCs w:val="24"/>
        </w:rPr>
        <w:t xml:space="preserve"> chickens possess an adaptive thermotolerance profile through balanced activation of both rapid (HSP70) and sustained (HSP90) stress-protection mechanisms, while broilers exhibit a compromised molecular response to acute heat challenge. </w:t>
      </w:r>
    </w:p>
    <w:p w14:paraId="39D4C2D7" w14:textId="1592E7E6" w:rsidR="00190212" w:rsidRPr="00190212" w:rsidRDefault="00190212" w:rsidP="00190212">
      <w:pPr>
        <w:spacing w:afterLines="60" w:after="144" w:line="360" w:lineRule="auto"/>
        <w:jc w:val="both"/>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3.</w:t>
      </w:r>
      <w:r w:rsidR="007A787E">
        <w:rPr>
          <w:rFonts w:ascii="Times New Roman" w:eastAsia="Times New Roman" w:hAnsi="Times New Roman" w:cs="Times New Roman"/>
          <w:b/>
          <w:bCs/>
          <w:color w:val="000000"/>
          <w:sz w:val="24"/>
          <w:szCs w:val="24"/>
          <w:lang w:eastAsia="en-IN"/>
        </w:rPr>
        <w:t>1.</w:t>
      </w:r>
      <w:r>
        <w:rPr>
          <w:rFonts w:ascii="Times New Roman" w:eastAsia="Times New Roman" w:hAnsi="Times New Roman" w:cs="Times New Roman"/>
          <w:b/>
          <w:bCs/>
          <w:color w:val="000000"/>
          <w:sz w:val="24"/>
          <w:szCs w:val="24"/>
          <w:lang w:eastAsia="en-IN"/>
        </w:rPr>
        <w:t>2</w:t>
      </w:r>
      <w:r w:rsidRPr="00857E1C">
        <w:rPr>
          <w:rFonts w:ascii="Times New Roman" w:eastAsia="Times New Roman" w:hAnsi="Times New Roman" w:cs="Times New Roman"/>
          <w:b/>
          <w:bCs/>
          <w:color w:val="000000"/>
          <w:sz w:val="24"/>
          <w:szCs w:val="24"/>
          <w:lang w:eastAsia="en-IN"/>
        </w:rPr>
        <w:t xml:space="preserve">   Express</w:t>
      </w:r>
      <w:r>
        <w:rPr>
          <w:rFonts w:ascii="Times New Roman" w:eastAsia="Times New Roman" w:hAnsi="Times New Roman" w:cs="Times New Roman"/>
          <w:b/>
          <w:bCs/>
          <w:color w:val="000000"/>
          <w:sz w:val="24"/>
          <w:szCs w:val="24"/>
          <w:lang w:eastAsia="en-IN"/>
        </w:rPr>
        <w:t>ion of Heat Shock Proteins (HSPS 70 gene</w:t>
      </w:r>
      <w:r w:rsidRPr="00857E1C">
        <w:rPr>
          <w:rFonts w:ascii="Times New Roman" w:eastAsia="Times New Roman" w:hAnsi="Times New Roman" w:cs="Times New Roman"/>
          <w:b/>
          <w:bCs/>
          <w:color w:val="000000"/>
          <w:sz w:val="24"/>
          <w:szCs w:val="24"/>
          <w:lang w:eastAsia="en-IN"/>
        </w:rPr>
        <w:t>)</w:t>
      </w:r>
    </w:p>
    <w:p w14:paraId="428E66E0" w14:textId="6F34A51B" w:rsidR="00857E1C" w:rsidRPr="00857E1C" w:rsidRDefault="00857E1C" w:rsidP="00310D47">
      <w:pPr>
        <w:spacing w:afterLines="60" w:after="144" w:line="360" w:lineRule="auto"/>
        <w:ind w:firstLine="720"/>
        <w:jc w:val="both"/>
        <w:rPr>
          <w:rFonts w:ascii="Times New Roman" w:eastAsia="Calibri" w:hAnsi="Times New Roman" w:cs="Times New Roman"/>
          <w:bCs/>
          <w:sz w:val="24"/>
          <w:szCs w:val="24"/>
          <w:lang w:val="en-US"/>
        </w:rPr>
      </w:pPr>
      <w:r w:rsidRPr="00857E1C">
        <w:rPr>
          <w:rFonts w:ascii="Times New Roman" w:eastAsia="Calibri" w:hAnsi="Times New Roman" w:cs="Times New Roman"/>
          <w:sz w:val="24"/>
          <w:szCs w:val="24"/>
        </w:rPr>
        <w:lastRenderedPageBreak/>
        <w:t xml:space="preserve">In the present study, HSP70 gene expression exhibited distinct breed-specific responses to acute heat stress (38 ±1 °C for 1 h). Relative to their respective controls, HSP70 expression was </w:t>
      </w:r>
      <w:r w:rsidR="00772012" w:rsidRPr="00190212">
        <w:rPr>
          <w:rFonts w:ascii="Times New Roman" w:eastAsia="Calibri" w:hAnsi="Times New Roman" w:cs="Times New Roman"/>
          <w:sz w:val="24"/>
          <w:szCs w:val="24"/>
        </w:rPr>
        <w:t>significantly</w:t>
      </w:r>
      <w:r w:rsidR="00772012" w:rsidRPr="00857E1C">
        <w:rPr>
          <w:rFonts w:ascii="Times New Roman" w:eastAsia="Calibri" w:hAnsi="Times New Roman" w:cs="Times New Roman"/>
          <w:sz w:val="24"/>
          <w:szCs w:val="24"/>
        </w:rPr>
        <w:t xml:space="preserve"> </w:t>
      </w:r>
      <w:r w:rsidRPr="00857E1C">
        <w:rPr>
          <w:rFonts w:ascii="Times New Roman" w:eastAsia="Calibri" w:hAnsi="Times New Roman" w:cs="Times New Roman"/>
          <w:sz w:val="24"/>
          <w:szCs w:val="24"/>
        </w:rPr>
        <w:t>upregulated 1.42</w:t>
      </w:r>
      <w:r w:rsidR="00F55596">
        <w:rPr>
          <w:rFonts w:ascii="Times New Roman" w:eastAsia="Calibri" w:hAnsi="Times New Roman" w:cs="Times New Roman"/>
          <w:sz w:val="24"/>
          <w:szCs w:val="24"/>
        </w:rPr>
        <w:t xml:space="preserve"> </w:t>
      </w:r>
      <w:r w:rsidR="00F55596" w:rsidRPr="00190212">
        <w:rPr>
          <w:rFonts w:ascii="Times New Roman" w:eastAsia="Calibri" w:hAnsi="Times New Roman" w:cs="Times New Roman"/>
          <w:sz w:val="24"/>
          <w:szCs w:val="24"/>
        </w:rPr>
        <w:t xml:space="preserve">± </w:t>
      </w:r>
      <w:r w:rsidR="00F55596" w:rsidRPr="00FA65E8">
        <w:rPr>
          <w:rFonts w:ascii="Times New Roman" w:eastAsia="Calibri" w:hAnsi="Times New Roman" w:cs="Times New Roman"/>
          <w:color w:val="FF0000"/>
          <w:sz w:val="24"/>
          <w:szCs w:val="24"/>
        </w:rPr>
        <w:t>0.12</w:t>
      </w:r>
      <w:r w:rsidRPr="00857E1C">
        <w:rPr>
          <w:rFonts w:ascii="Times New Roman" w:eastAsia="Calibri" w:hAnsi="Times New Roman" w:cs="Times New Roman"/>
          <w:sz w:val="24"/>
          <w:szCs w:val="24"/>
        </w:rPr>
        <w:t xml:space="preserve">-fold in heat-stressed indigenous </w:t>
      </w:r>
      <w:r w:rsidRPr="00857E1C">
        <w:rPr>
          <w:rFonts w:ascii="Times New Roman" w:eastAsia="Calibri" w:hAnsi="Times New Roman" w:cs="Times New Roman"/>
          <w:i/>
          <w:iCs/>
          <w:sz w:val="24"/>
          <w:szCs w:val="24"/>
        </w:rPr>
        <w:t>Siruvidai</w:t>
      </w:r>
      <w:r w:rsidRPr="00857E1C">
        <w:rPr>
          <w:rFonts w:ascii="Times New Roman" w:eastAsia="Calibri" w:hAnsi="Times New Roman" w:cs="Times New Roman"/>
          <w:sz w:val="24"/>
          <w:szCs w:val="24"/>
        </w:rPr>
        <w:t>, 1.19</w:t>
      </w:r>
      <w:r w:rsidR="00F55596">
        <w:rPr>
          <w:rFonts w:ascii="Times New Roman" w:eastAsia="Calibri" w:hAnsi="Times New Roman" w:cs="Times New Roman"/>
          <w:sz w:val="24"/>
          <w:szCs w:val="24"/>
        </w:rPr>
        <w:t xml:space="preserve"> </w:t>
      </w:r>
      <w:r w:rsidR="00F55596" w:rsidRPr="00190212">
        <w:rPr>
          <w:rFonts w:ascii="Times New Roman" w:eastAsia="Calibri" w:hAnsi="Times New Roman" w:cs="Times New Roman"/>
          <w:sz w:val="24"/>
          <w:szCs w:val="24"/>
        </w:rPr>
        <w:t xml:space="preserve">± </w:t>
      </w:r>
      <w:r w:rsidR="00F55596" w:rsidRPr="00FA65E8">
        <w:rPr>
          <w:rFonts w:ascii="Times New Roman" w:eastAsia="Calibri" w:hAnsi="Times New Roman" w:cs="Times New Roman"/>
          <w:color w:val="FF0000"/>
          <w:sz w:val="24"/>
          <w:szCs w:val="24"/>
        </w:rPr>
        <w:t>0.09</w:t>
      </w:r>
      <w:r w:rsidRPr="00857E1C">
        <w:rPr>
          <w:rFonts w:ascii="Times New Roman" w:eastAsia="Calibri" w:hAnsi="Times New Roman" w:cs="Times New Roman"/>
          <w:sz w:val="24"/>
          <w:szCs w:val="24"/>
        </w:rPr>
        <w:t xml:space="preserve">-fold in TANUVAS Aseel, and markedly </w:t>
      </w:r>
      <w:r w:rsidR="00772012" w:rsidRPr="00190212">
        <w:rPr>
          <w:rFonts w:ascii="Times New Roman" w:eastAsia="Calibri" w:hAnsi="Times New Roman" w:cs="Times New Roman"/>
          <w:sz w:val="24"/>
          <w:szCs w:val="24"/>
        </w:rPr>
        <w:t>significantly</w:t>
      </w:r>
      <w:r w:rsidR="00772012" w:rsidRPr="00857E1C">
        <w:rPr>
          <w:rFonts w:ascii="Times New Roman" w:eastAsia="Calibri" w:hAnsi="Times New Roman" w:cs="Times New Roman"/>
          <w:sz w:val="24"/>
          <w:szCs w:val="24"/>
        </w:rPr>
        <w:t xml:space="preserve"> </w:t>
      </w:r>
      <w:r w:rsidRPr="00857E1C">
        <w:rPr>
          <w:rFonts w:ascii="Times New Roman" w:eastAsia="Calibri" w:hAnsi="Times New Roman" w:cs="Times New Roman"/>
          <w:sz w:val="24"/>
          <w:szCs w:val="24"/>
        </w:rPr>
        <w:t>upregulated (7.57</w:t>
      </w:r>
      <w:r w:rsidR="00F55596">
        <w:rPr>
          <w:rFonts w:ascii="Times New Roman" w:eastAsia="Calibri" w:hAnsi="Times New Roman" w:cs="Times New Roman"/>
          <w:sz w:val="24"/>
          <w:szCs w:val="24"/>
        </w:rPr>
        <w:t xml:space="preserve"> </w:t>
      </w:r>
      <w:r w:rsidR="00F55596" w:rsidRPr="00190212">
        <w:rPr>
          <w:rFonts w:ascii="Times New Roman" w:eastAsia="Calibri" w:hAnsi="Times New Roman" w:cs="Times New Roman"/>
          <w:sz w:val="24"/>
          <w:szCs w:val="24"/>
        </w:rPr>
        <w:t xml:space="preserve">± </w:t>
      </w:r>
      <w:r w:rsidR="00F55596" w:rsidRPr="00FA65E8">
        <w:rPr>
          <w:rFonts w:ascii="Times New Roman" w:eastAsia="Calibri" w:hAnsi="Times New Roman" w:cs="Times New Roman"/>
          <w:color w:val="FF0000"/>
          <w:sz w:val="24"/>
          <w:szCs w:val="24"/>
        </w:rPr>
        <w:t>0.31</w:t>
      </w:r>
      <w:r w:rsidRPr="00857E1C">
        <w:rPr>
          <w:rFonts w:ascii="Times New Roman" w:eastAsia="Calibri" w:hAnsi="Times New Roman" w:cs="Times New Roman"/>
          <w:sz w:val="24"/>
          <w:szCs w:val="24"/>
        </w:rPr>
        <w:t xml:space="preserve">-fold) in White Leghorn birds. In contrast, commercial broilers </w:t>
      </w:r>
      <w:r w:rsidRPr="00857E1C">
        <w:rPr>
          <w:rFonts w:ascii="Times New Roman" w:eastAsia="Calibri" w:hAnsi="Times New Roman" w:cs="Times New Roman"/>
          <w:color w:val="000000" w:themeColor="text1"/>
          <w:sz w:val="24"/>
          <w:szCs w:val="24"/>
        </w:rPr>
        <w:t>exhibited significant downregulation (0.4-fold) of HSP70 following heat exposure. (Table 2 and</w:t>
      </w:r>
      <w:r w:rsidRPr="00857E1C">
        <w:rPr>
          <w:rFonts w:ascii="Times New Roman" w:eastAsia="Calibri" w:hAnsi="Times New Roman" w:cs="Times New Roman"/>
          <w:sz w:val="24"/>
          <w:szCs w:val="24"/>
        </w:rPr>
        <w:t xml:space="preserve"> Figure 1)</w:t>
      </w:r>
    </w:p>
    <w:p w14:paraId="6C0D8187" w14:textId="0E4E8F8B" w:rsidR="00857E1C" w:rsidRPr="00857E1C" w:rsidRDefault="00857E1C" w:rsidP="00310D47">
      <w:pPr>
        <w:spacing w:afterLines="60" w:after="144" w:line="360" w:lineRule="auto"/>
        <w:ind w:firstLine="720"/>
        <w:jc w:val="both"/>
        <w:rPr>
          <w:rFonts w:ascii="Times New Roman" w:eastAsia="Calibri" w:hAnsi="Times New Roman" w:cs="Times New Roman"/>
          <w:sz w:val="24"/>
          <w:szCs w:val="24"/>
        </w:rPr>
      </w:pPr>
      <w:proofErr w:type="spellStart"/>
      <w:r w:rsidRPr="00857E1C">
        <w:rPr>
          <w:rFonts w:ascii="Times New Roman" w:eastAsia="Calibri" w:hAnsi="Times New Roman" w:cs="Times New Roman"/>
          <w:color w:val="000000" w:themeColor="text1"/>
          <w:sz w:val="24"/>
          <w:szCs w:val="24"/>
        </w:rPr>
        <w:t>Cedraz</w:t>
      </w:r>
      <w:proofErr w:type="spellEnd"/>
      <w:r w:rsidRPr="00857E1C">
        <w:rPr>
          <w:rFonts w:ascii="Times New Roman" w:eastAsia="Calibri" w:hAnsi="Times New Roman" w:cs="Times New Roman"/>
          <w:sz w:val="24"/>
          <w:szCs w:val="24"/>
        </w:rPr>
        <w:t xml:space="preserve"> et al. (2017), who reported higher basal HSP70 levels in Brazilian native chickens (</w:t>
      </w:r>
      <w:proofErr w:type="spellStart"/>
      <w:r w:rsidRPr="00857E1C">
        <w:rPr>
          <w:rFonts w:ascii="Times New Roman" w:eastAsia="Calibri" w:hAnsi="Times New Roman" w:cs="Times New Roman"/>
          <w:sz w:val="24"/>
          <w:szCs w:val="24"/>
        </w:rPr>
        <w:t>Peloco</w:t>
      </w:r>
      <w:proofErr w:type="spellEnd"/>
      <w:r w:rsidRPr="00857E1C">
        <w:rPr>
          <w:rFonts w:ascii="Times New Roman" w:eastAsia="Calibri" w:hAnsi="Times New Roman" w:cs="Times New Roman"/>
          <w:sz w:val="24"/>
          <w:szCs w:val="24"/>
        </w:rPr>
        <w:t xml:space="preserve">, </w:t>
      </w:r>
      <w:proofErr w:type="spellStart"/>
      <w:r w:rsidRPr="00857E1C">
        <w:rPr>
          <w:rFonts w:ascii="Times New Roman" w:eastAsia="Calibri" w:hAnsi="Times New Roman" w:cs="Times New Roman"/>
          <w:sz w:val="24"/>
          <w:szCs w:val="24"/>
        </w:rPr>
        <w:t>Caneluda</w:t>
      </w:r>
      <w:proofErr w:type="spellEnd"/>
      <w:r w:rsidRPr="00857E1C">
        <w:rPr>
          <w:rFonts w:ascii="Times New Roman" w:eastAsia="Calibri" w:hAnsi="Times New Roman" w:cs="Times New Roman"/>
          <w:sz w:val="24"/>
          <w:szCs w:val="24"/>
        </w:rPr>
        <w:t xml:space="preserve">) with correspondingly lower fold-change upon thermal challenge, indicating that these birds are “pre-conditioned” for hot climates. Similarly, </w:t>
      </w:r>
      <w:r w:rsidRPr="00857E1C">
        <w:rPr>
          <w:rFonts w:ascii="Times New Roman" w:eastAsia="Calibri" w:hAnsi="Times New Roman" w:cs="Times New Roman"/>
          <w:color w:val="000000" w:themeColor="text1"/>
          <w:sz w:val="24"/>
          <w:szCs w:val="24"/>
        </w:rPr>
        <w:t xml:space="preserve">Budi </w:t>
      </w:r>
      <w:r w:rsidRPr="00857E1C">
        <w:rPr>
          <w:rFonts w:ascii="Times New Roman" w:eastAsia="Calibri" w:hAnsi="Times New Roman" w:cs="Times New Roman"/>
          <w:iCs/>
          <w:sz w:val="24"/>
          <w:szCs w:val="24"/>
        </w:rPr>
        <w:t>et al</w:t>
      </w:r>
      <w:r w:rsidRPr="00857E1C">
        <w:rPr>
          <w:rFonts w:ascii="Times New Roman" w:eastAsia="Calibri" w:hAnsi="Times New Roman" w:cs="Times New Roman"/>
          <w:sz w:val="24"/>
          <w:szCs w:val="24"/>
        </w:rPr>
        <w:t xml:space="preserve">. (2024) identified HSP70 polymorphisms in Thai native and jungle fowl populations that confer enhanced constitutive expression, suggesting genetic adaptation to tropical environments. </w:t>
      </w:r>
    </w:p>
    <w:p w14:paraId="6BA170F3" w14:textId="25850F4B" w:rsidR="0078689E" w:rsidRDefault="00857E1C" w:rsidP="00310D47">
      <w:pPr>
        <w:spacing w:afterLines="60" w:after="144" w:line="360" w:lineRule="auto"/>
        <w:ind w:firstLine="720"/>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The pronounced 7.57-fold increase in HSP70 expression in White Leghorn indicates a strong acute stress response. Upon exposure to heat, they mount a vigorous </w:t>
      </w:r>
    </w:p>
    <w:p w14:paraId="7CA864D8" w14:textId="77777777" w:rsidR="00861692" w:rsidRDefault="00861692" w:rsidP="00310D47">
      <w:pPr>
        <w:spacing w:afterLines="60" w:after="144" w:line="360" w:lineRule="auto"/>
        <w:ind w:firstLine="720"/>
        <w:jc w:val="both"/>
        <w:rPr>
          <w:rFonts w:ascii="Times New Roman" w:eastAsia="Calibri" w:hAnsi="Times New Roman" w:cs="Times New Roman"/>
          <w:sz w:val="24"/>
          <w:szCs w:val="24"/>
        </w:rPr>
        <w:sectPr w:rsidR="00861692" w:rsidSect="0089753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63E11D4" w14:textId="663EA112" w:rsidR="00DB3A81" w:rsidRDefault="00DB3A81" w:rsidP="00310D47">
      <w:pPr>
        <w:spacing w:afterLines="60" w:after="144" w:line="360" w:lineRule="auto"/>
        <w:ind w:firstLine="720"/>
        <w:jc w:val="both"/>
        <w:rPr>
          <w:rFonts w:ascii="Times New Roman" w:eastAsia="Calibri" w:hAnsi="Times New Roman" w:cs="Times New Roman"/>
          <w:sz w:val="24"/>
          <w:szCs w:val="24"/>
        </w:rPr>
      </w:pPr>
    </w:p>
    <w:p w14:paraId="5A8E710D" w14:textId="27B8B5C4" w:rsidR="00DB3A81" w:rsidRDefault="00DB3A81" w:rsidP="00DB3A81">
      <w:pPr>
        <w:jc w:val="center"/>
        <w:rPr>
          <w:rFonts w:ascii="Calibri" w:eastAsia="Calibri" w:hAnsi="Calibri" w:cs="Latha"/>
          <w:b/>
          <w:bCs/>
          <w:lang w:val="en-US"/>
        </w:rPr>
      </w:pPr>
      <w:r w:rsidRPr="00DB3A81">
        <w:rPr>
          <w:rFonts w:ascii="Calibri" w:eastAsia="Calibri" w:hAnsi="Calibri" w:cs="Latha"/>
          <w:b/>
          <w:bCs/>
          <w:lang w:val="en-US"/>
        </w:rPr>
        <w:t>Table</w:t>
      </w:r>
      <w:r w:rsidR="00153A6C">
        <w:rPr>
          <w:rFonts w:ascii="Calibri" w:eastAsia="Calibri" w:hAnsi="Calibri" w:cs="Latha"/>
          <w:b/>
          <w:bCs/>
          <w:lang w:val="en-US"/>
        </w:rPr>
        <w:t xml:space="preserve"> 2.</w:t>
      </w:r>
      <w:r w:rsidRPr="00DB3A81">
        <w:rPr>
          <w:rFonts w:ascii="Calibri" w:eastAsia="Calibri" w:hAnsi="Calibri" w:cs="Latha"/>
          <w:b/>
          <w:bCs/>
          <w:lang w:val="en-US"/>
        </w:rPr>
        <w:t xml:space="preserve"> Comparative fold-change (Mean ± SE) of HSP70 and HSP90 gene expression in liver tissue following acute heat stress</w:t>
      </w:r>
      <w:r w:rsidRPr="003702AE">
        <w:rPr>
          <w:rFonts w:ascii="Calibri" w:eastAsia="Calibri" w:hAnsi="Calibri" w:cs="Latha"/>
          <w:b/>
          <w:bCs/>
          <w:lang w:val="en-US"/>
        </w:rPr>
        <w:t xml:space="preserve"> of Indigenous Siruvidai, TANUVAS Aseel, White Leghorn and Commercial Broiler</w:t>
      </w:r>
    </w:p>
    <w:p w14:paraId="7421DEEA" w14:textId="77777777" w:rsidR="00315F2E" w:rsidRPr="003702AE" w:rsidRDefault="00315F2E" w:rsidP="00DB3A81">
      <w:pPr>
        <w:jc w:val="center"/>
        <w:rPr>
          <w:rFonts w:ascii="Calibri" w:eastAsia="Calibri" w:hAnsi="Calibri" w:cs="Latha"/>
          <w:b/>
          <w:bCs/>
          <w:lang w:val="en-US"/>
        </w:rPr>
      </w:pPr>
    </w:p>
    <w:tbl>
      <w:tblPr>
        <w:tblStyle w:val="TableGrid"/>
        <w:tblW w:w="0" w:type="auto"/>
        <w:jc w:val="center"/>
        <w:tblLook w:val="04A0" w:firstRow="1" w:lastRow="0" w:firstColumn="1" w:lastColumn="0" w:noHBand="0" w:noVBand="1"/>
      </w:tblPr>
      <w:tblGrid>
        <w:gridCol w:w="923"/>
        <w:gridCol w:w="2333"/>
        <w:gridCol w:w="1417"/>
        <w:gridCol w:w="1759"/>
        <w:gridCol w:w="2494"/>
        <w:gridCol w:w="2551"/>
      </w:tblGrid>
      <w:tr w:rsidR="003702AE" w:rsidRPr="003702AE" w14:paraId="34FAB791" w14:textId="77777777" w:rsidTr="00C15217">
        <w:trPr>
          <w:jc w:val="center"/>
        </w:trPr>
        <w:tc>
          <w:tcPr>
            <w:tcW w:w="0" w:type="auto"/>
            <w:hideMark/>
          </w:tcPr>
          <w:p w14:paraId="39470C69" w14:textId="77777777" w:rsidR="003702AE" w:rsidRPr="003702AE" w:rsidRDefault="003702AE" w:rsidP="00315F2E">
            <w:pPr>
              <w:spacing w:line="480" w:lineRule="auto"/>
              <w:jc w:val="center"/>
              <w:rPr>
                <w:rFonts w:ascii="Times New Roman" w:eastAsia="Times New Roman" w:hAnsi="Times New Roman" w:cs="Times New Roman"/>
                <w:b/>
                <w:bCs/>
                <w:sz w:val="24"/>
                <w:szCs w:val="24"/>
                <w:lang w:val="en-US"/>
              </w:rPr>
            </w:pPr>
            <w:r w:rsidRPr="003702AE">
              <w:rPr>
                <w:rFonts w:ascii="Times New Roman" w:eastAsia="Times New Roman" w:hAnsi="Times New Roman" w:cs="Times New Roman"/>
                <w:b/>
                <w:bCs/>
                <w:sz w:val="24"/>
                <w:szCs w:val="24"/>
                <w:lang w:val="en-US"/>
              </w:rPr>
              <w:t>Gene</w:t>
            </w:r>
          </w:p>
        </w:tc>
        <w:tc>
          <w:tcPr>
            <w:tcW w:w="2333" w:type="dxa"/>
            <w:hideMark/>
          </w:tcPr>
          <w:p w14:paraId="75B3EBB0" w14:textId="77777777" w:rsidR="003702AE" w:rsidRPr="003702AE" w:rsidRDefault="003702AE" w:rsidP="00315F2E">
            <w:pPr>
              <w:spacing w:line="480" w:lineRule="auto"/>
              <w:jc w:val="center"/>
              <w:rPr>
                <w:rFonts w:ascii="Times New Roman" w:eastAsia="Times New Roman" w:hAnsi="Times New Roman" w:cs="Times New Roman"/>
                <w:b/>
                <w:bCs/>
                <w:sz w:val="24"/>
                <w:szCs w:val="24"/>
                <w:lang w:val="en-US"/>
              </w:rPr>
            </w:pPr>
            <w:r w:rsidRPr="003702AE">
              <w:rPr>
                <w:rFonts w:ascii="Times New Roman" w:eastAsia="Times New Roman" w:hAnsi="Times New Roman" w:cs="Times New Roman"/>
                <w:b/>
                <w:bCs/>
                <w:sz w:val="24"/>
                <w:szCs w:val="24"/>
                <w:lang w:val="en-US"/>
              </w:rPr>
              <w:t>Breed</w:t>
            </w:r>
          </w:p>
        </w:tc>
        <w:tc>
          <w:tcPr>
            <w:tcW w:w="1417" w:type="dxa"/>
            <w:hideMark/>
          </w:tcPr>
          <w:p w14:paraId="1265AD16" w14:textId="77777777" w:rsidR="003702AE" w:rsidRPr="003702AE" w:rsidRDefault="003702AE" w:rsidP="00315F2E">
            <w:pPr>
              <w:spacing w:line="480" w:lineRule="auto"/>
              <w:jc w:val="center"/>
              <w:rPr>
                <w:rFonts w:ascii="Times New Roman" w:eastAsia="Times New Roman" w:hAnsi="Times New Roman" w:cs="Times New Roman"/>
                <w:b/>
                <w:bCs/>
                <w:sz w:val="24"/>
                <w:szCs w:val="24"/>
                <w:lang w:val="en-US"/>
              </w:rPr>
            </w:pPr>
            <w:r w:rsidRPr="003702AE">
              <w:rPr>
                <w:rFonts w:ascii="Times New Roman" w:eastAsia="Times New Roman" w:hAnsi="Times New Roman" w:cs="Times New Roman"/>
                <w:b/>
                <w:bCs/>
                <w:sz w:val="24"/>
                <w:szCs w:val="24"/>
                <w:lang w:val="en-US"/>
              </w:rPr>
              <w:t>Control (Mean Ct)</w:t>
            </w:r>
          </w:p>
        </w:tc>
        <w:tc>
          <w:tcPr>
            <w:tcW w:w="1759" w:type="dxa"/>
            <w:hideMark/>
          </w:tcPr>
          <w:p w14:paraId="61ADD911" w14:textId="77777777" w:rsidR="003702AE" w:rsidRPr="003702AE" w:rsidRDefault="003702AE" w:rsidP="00315F2E">
            <w:pPr>
              <w:spacing w:line="480" w:lineRule="auto"/>
              <w:jc w:val="center"/>
              <w:rPr>
                <w:rFonts w:ascii="Times New Roman" w:eastAsia="Times New Roman" w:hAnsi="Times New Roman" w:cs="Times New Roman"/>
                <w:b/>
                <w:bCs/>
                <w:sz w:val="24"/>
                <w:szCs w:val="24"/>
                <w:lang w:val="en-US"/>
              </w:rPr>
            </w:pPr>
            <w:r w:rsidRPr="003702AE">
              <w:rPr>
                <w:rFonts w:ascii="Times New Roman" w:eastAsia="Times New Roman" w:hAnsi="Times New Roman" w:cs="Times New Roman"/>
                <w:b/>
                <w:bCs/>
                <w:sz w:val="24"/>
                <w:szCs w:val="24"/>
                <w:lang w:val="en-US"/>
              </w:rPr>
              <w:t>Heat Stress (Mean Ct)</w:t>
            </w:r>
          </w:p>
        </w:tc>
        <w:tc>
          <w:tcPr>
            <w:tcW w:w="2494" w:type="dxa"/>
            <w:hideMark/>
          </w:tcPr>
          <w:p w14:paraId="656D443B" w14:textId="77777777" w:rsidR="003702AE" w:rsidRPr="003702AE" w:rsidRDefault="003702AE" w:rsidP="00315F2E">
            <w:pPr>
              <w:spacing w:line="480" w:lineRule="auto"/>
              <w:jc w:val="center"/>
              <w:rPr>
                <w:rFonts w:ascii="Times New Roman" w:eastAsia="Times New Roman" w:hAnsi="Times New Roman" w:cs="Times New Roman"/>
                <w:b/>
                <w:bCs/>
                <w:sz w:val="24"/>
                <w:szCs w:val="24"/>
                <w:lang w:val="en-US"/>
              </w:rPr>
            </w:pPr>
            <w:r w:rsidRPr="003702AE">
              <w:rPr>
                <w:rFonts w:ascii="Times New Roman" w:eastAsia="Times New Roman" w:hAnsi="Times New Roman" w:cs="Times New Roman"/>
                <w:b/>
                <w:bCs/>
                <w:sz w:val="24"/>
                <w:szCs w:val="24"/>
                <w:lang w:val="en-US"/>
              </w:rPr>
              <w:t>Fold Change (2−ΔΔCt) Mean ± SE</w:t>
            </w:r>
          </w:p>
        </w:tc>
        <w:tc>
          <w:tcPr>
            <w:tcW w:w="2551" w:type="dxa"/>
            <w:hideMark/>
          </w:tcPr>
          <w:p w14:paraId="2BDF6A38" w14:textId="77777777" w:rsidR="003702AE" w:rsidRPr="003702AE" w:rsidRDefault="003702AE" w:rsidP="00315F2E">
            <w:pPr>
              <w:spacing w:line="480" w:lineRule="auto"/>
              <w:jc w:val="center"/>
              <w:rPr>
                <w:rFonts w:ascii="Times New Roman" w:eastAsia="Times New Roman" w:hAnsi="Times New Roman" w:cs="Times New Roman"/>
                <w:b/>
                <w:bCs/>
                <w:sz w:val="24"/>
                <w:szCs w:val="24"/>
                <w:lang w:val="en-US"/>
              </w:rPr>
            </w:pPr>
            <w:r w:rsidRPr="003702AE">
              <w:rPr>
                <w:rFonts w:ascii="Times New Roman" w:eastAsia="Times New Roman" w:hAnsi="Times New Roman" w:cs="Times New Roman"/>
                <w:b/>
                <w:bCs/>
                <w:sz w:val="24"/>
                <w:szCs w:val="24"/>
                <w:lang w:val="en-US"/>
              </w:rPr>
              <w:t>Significance</w:t>
            </w:r>
          </w:p>
        </w:tc>
      </w:tr>
      <w:tr w:rsidR="003702AE" w:rsidRPr="003702AE" w14:paraId="7A45C41A" w14:textId="77777777" w:rsidTr="00C15217">
        <w:trPr>
          <w:jc w:val="center"/>
        </w:trPr>
        <w:tc>
          <w:tcPr>
            <w:tcW w:w="0" w:type="auto"/>
            <w:hideMark/>
          </w:tcPr>
          <w:p w14:paraId="11610B9F"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HSP70</w:t>
            </w:r>
          </w:p>
        </w:tc>
        <w:tc>
          <w:tcPr>
            <w:tcW w:w="2333" w:type="dxa"/>
            <w:hideMark/>
          </w:tcPr>
          <w:p w14:paraId="53079359" w14:textId="709F3496" w:rsidR="003702AE" w:rsidRPr="003702AE" w:rsidRDefault="00F47CFB" w:rsidP="00315F2E">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Indigenous </w:t>
            </w:r>
            <w:r w:rsidR="003702AE" w:rsidRPr="00F47CFB">
              <w:rPr>
                <w:rFonts w:ascii="Times New Roman" w:eastAsia="Times New Roman" w:hAnsi="Times New Roman" w:cs="Times New Roman"/>
                <w:i/>
                <w:iCs/>
                <w:sz w:val="24"/>
                <w:szCs w:val="24"/>
                <w:lang w:val="en-US"/>
              </w:rPr>
              <w:t>Siruvidai</w:t>
            </w:r>
          </w:p>
        </w:tc>
        <w:tc>
          <w:tcPr>
            <w:tcW w:w="1417" w:type="dxa"/>
            <w:vAlign w:val="center"/>
            <w:hideMark/>
          </w:tcPr>
          <w:p w14:paraId="64ACAD33"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23.20</w:t>
            </w:r>
          </w:p>
        </w:tc>
        <w:tc>
          <w:tcPr>
            <w:tcW w:w="1759" w:type="dxa"/>
            <w:vAlign w:val="center"/>
            <w:hideMark/>
          </w:tcPr>
          <w:p w14:paraId="4F7D5EA2"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22.16</w:t>
            </w:r>
          </w:p>
        </w:tc>
        <w:tc>
          <w:tcPr>
            <w:tcW w:w="2494" w:type="dxa"/>
            <w:vAlign w:val="center"/>
            <w:hideMark/>
          </w:tcPr>
          <w:p w14:paraId="17A45647" w14:textId="02EA94D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1.42 ± 0.12</w:t>
            </w:r>
          </w:p>
        </w:tc>
        <w:tc>
          <w:tcPr>
            <w:tcW w:w="2551" w:type="dxa"/>
            <w:vAlign w:val="center"/>
            <w:hideMark/>
          </w:tcPr>
          <w:p w14:paraId="168EAB13"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i/>
                <w:iCs/>
                <w:sz w:val="24"/>
                <w:szCs w:val="24"/>
                <w:lang w:val="en-US"/>
              </w:rPr>
              <w:t>p</w:t>
            </w:r>
            <w:r w:rsidRPr="003702AE">
              <w:rPr>
                <w:rFonts w:ascii="Times New Roman" w:eastAsia="Times New Roman" w:hAnsi="Times New Roman" w:cs="Times New Roman"/>
                <w:sz w:val="24"/>
                <w:szCs w:val="24"/>
                <w:lang w:val="en-US"/>
              </w:rPr>
              <w:t xml:space="preserve"> &lt; 0.05 vs. control</w:t>
            </w:r>
          </w:p>
        </w:tc>
      </w:tr>
      <w:tr w:rsidR="003702AE" w:rsidRPr="003702AE" w14:paraId="5D3F13FC" w14:textId="77777777" w:rsidTr="00C15217">
        <w:trPr>
          <w:jc w:val="center"/>
        </w:trPr>
        <w:tc>
          <w:tcPr>
            <w:tcW w:w="0" w:type="auto"/>
            <w:hideMark/>
          </w:tcPr>
          <w:p w14:paraId="61810F3B" w14:textId="77777777" w:rsidR="003702AE" w:rsidRPr="003702AE" w:rsidRDefault="003702AE" w:rsidP="00315F2E">
            <w:pPr>
              <w:spacing w:line="480" w:lineRule="auto"/>
              <w:rPr>
                <w:rFonts w:ascii="Times New Roman" w:eastAsia="Times New Roman" w:hAnsi="Times New Roman" w:cs="Times New Roman"/>
                <w:sz w:val="24"/>
                <w:szCs w:val="24"/>
                <w:lang w:val="en-US"/>
              </w:rPr>
            </w:pPr>
          </w:p>
        </w:tc>
        <w:tc>
          <w:tcPr>
            <w:tcW w:w="2333" w:type="dxa"/>
            <w:hideMark/>
          </w:tcPr>
          <w:p w14:paraId="2F3238F4"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TANUVAS Aseel</w:t>
            </w:r>
          </w:p>
        </w:tc>
        <w:tc>
          <w:tcPr>
            <w:tcW w:w="1417" w:type="dxa"/>
            <w:vAlign w:val="center"/>
            <w:hideMark/>
          </w:tcPr>
          <w:p w14:paraId="34BFBF69"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23.54</w:t>
            </w:r>
          </w:p>
        </w:tc>
        <w:tc>
          <w:tcPr>
            <w:tcW w:w="1759" w:type="dxa"/>
            <w:vAlign w:val="center"/>
            <w:hideMark/>
          </w:tcPr>
          <w:p w14:paraId="3B1EDFA9"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22.86</w:t>
            </w:r>
          </w:p>
        </w:tc>
        <w:tc>
          <w:tcPr>
            <w:tcW w:w="2494" w:type="dxa"/>
            <w:vAlign w:val="center"/>
            <w:hideMark/>
          </w:tcPr>
          <w:p w14:paraId="2A7718EF"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1.19 ± 0.09</w:t>
            </w:r>
          </w:p>
        </w:tc>
        <w:tc>
          <w:tcPr>
            <w:tcW w:w="2551" w:type="dxa"/>
            <w:vAlign w:val="center"/>
            <w:hideMark/>
          </w:tcPr>
          <w:p w14:paraId="360447B1" w14:textId="607B4F73" w:rsidR="003702AE" w:rsidRPr="003702AE" w:rsidRDefault="003702AE" w:rsidP="00315F2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NS</w:t>
            </w:r>
          </w:p>
        </w:tc>
      </w:tr>
      <w:tr w:rsidR="003702AE" w:rsidRPr="003702AE" w14:paraId="3DCF75D3" w14:textId="77777777" w:rsidTr="00C15217">
        <w:trPr>
          <w:jc w:val="center"/>
        </w:trPr>
        <w:tc>
          <w:tcPr>
            <w:tcW w:w="0" w:type="auto"/>
            <w:hideMark/>
          </w:tcPr>
          <w:p w14:paraId="57EE9DB6" w14:textId="77777777" w:rsidR="003702AE" w:rsidRPr="003702AE" w:rsidRDefault="003702AE" w:rsidP="00315F2E">
            <w:pPr>
              <w:spacing w:line="480" w:lineRule="auto"/>
              <w:rPr>
                <w:rFonts w:ascii="Times New Roman" w:eastAsia="Times New Roman" w:hAnsi="Times New Roman" w:cs="Times New Roman"/>
                <w:sz w:val="24"/>
                <w:szCs w:val="24"/>
                <w:lang w:val="en-US"/>
              </w:rPr>
            </w:pPr>
          </w:p>
        </w:tc>
        <w:tc>
          <w:tcPr>
            <w:tcW w:w="2333" w:type="dxa"/>
            <w:hideMark/>
          </w:tcPr>
          <w:p w14:paraId="78252FEC"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White Leghorn</w:t>
            </w:r>
          </w:p>
        </w:tc>
        <w:tc>
          <w:tcPr>
            <w:tcW w:w="1417" w:type="dxa"/>
            <w:vAlign w:val="center"/>
            <w:hideMark/>
          </w:tcPr>
          <w:p w14:paraId="45AC64A6"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23.24</w:t>
            </w:r>
          </w:p>
        </w:tc>
        <w:tc>
          <w:tcPr>
            <w:tcW w:w="1759" w:type="dxa"/>
            <w:vAlign w:val="center"/>
            <w:hideMark/>
          </w:tcPr>
          <w:p w14:paraId="019E0E26"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19.22</w:t>
            </w:r>
          </w:p>
        </w:tc>
        <w:tc>
          <w:tcPr>
            <w:tcW w:w="2494" w:type="dxa"/>
            <w:vAlign w:val="center"/>
            <w:hideMark/>
          </w:tcPr>
          <w:p w14:paraId="2791731D" w14:textId="613B8E12"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7.57 ± 0.31</w:t>
            </w:r>
          </w:p>
        </w:tc>
        <w:tc>
          <w:tcPr>
            <w:tcW w:w="2551" w:type="dxa"/>
            <w:vAlign w:val="center"/>
            <w:hideMark/>
          </w:tcPr>
          <w:p w14:paraId="11F9F8EE"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i/>
                <w:iCs/>
                <w:sz w:val="24"/>
                <w:szCs w:val="24"/>
                <w:lang w:val="en-US"/>
              </w:rPr>
              <w:t>p</w:t>
            </w:r>
            <w:r w:rsidRPr="003702AE">
              <w:rPr>
                <w:rFonts w:ascii="Times New Roman" w:eastAsia="Times New Roman" w:hAnsi="Times New Roman" w:cs="Times New Roman"/>
                <w:sz w:val="24"/>
                <w:szCs w:val="24"/>
                <w:lang w:val="en-US"/>
              </w:rPr>
              <w:t xml:space="preserve"> &lt; 0.01</w:t>
            </w:r>
          </w:p>
        </w:tc>
      </w:tr>
      <w:tr w:rsidR="003702AE" w:rsidRPr="003702AE" w14:paraId="4CF86808" w14:textId="77777777" w:rsidTr="00C15217">
        <w:trPr>
          <w:jc w:val="center"/>
        </w:trPr>
        <w:tc>
          <w:tcPr>
            <w:tcW w:w="0" w:type="auto"/>
            <w:hideMark/>
          </w:tcPr>
          <w:p w14:paraId="5AE7FA0D" w14:textId="77777777" w:rsidR="003702AE" w:rsidRPr="003702AE" w:rsidRDefault="003702AE" w:rsidP="00315F2E">
            <w:pPr>
              <w:spacing w:line="480" w:lineRule="auto"/>
              <w:rPr>
                <w:rFonts w:ascii="Times New Roman" w:eastAsia="Times New Roman" w:hAnsi="Times New Roman" w:cs="Times New Roman"/>
                <w:sz w:val="24"/>
                <w:szCs w:val="24"/>
                <w:lang w:val="en-US"/>
              </w:rPr>
            </w:pPr>
          </w:p>
        </w:tc>
        <w:tc>
          <w:tcPr>
            <w:tcW w:w="2333" w:type="dxa"/>
            <w:hideMark/>
          </w:tcPr>
          <w:p w14:paraId="1070B784"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Commercial Broiler</w:t>
            </w:r>
          </w:p>
        </w:tc>
        <w:tc>
          <w:tcPr>
            <w:tcW w:w="1417" w:type="dxa"/>
            <w:vAlign w:val="center"/>
            <w:hideMark/>
          </w:tcPr>
          <w:p w14:paraId="4F3D00EB"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25.78</w:t>
            </w:r>
          </w:p>
        </w:tc>
        <w:tc>
          <w:tcPr>
            <w:tcW w:w="1759" w:type="dxa"/>
            <w:vAlign w:val="center"/>
            <w:hideMark/>
          </w:tcPr>
          <w:p w14:paraId="72591986"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28.49</w:t>
            </w:r>
          </w:p>
        </w:tc>
        <w:tc>
          <w:tcPr>
            <w:tcW w:w="2494" w:type="dxa"/>
            <w:vAlign w:val="center"/>
            <w:hideMark/>
          </w:tcPr>
          <w:p w14:paraId="5F3527EF"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0.40 ± 0.05</w:t>
            </w:r>
          </w:p>
        </w:tc>
        <w:tc>
          <w:tcPr>
            <w:tcW w:w="2551" w:type="dxa"/>
            <w:vAlign w:val="center"/>
            <w:hideMark/>
          </w:tcPr>
          <w:p w14:paraId="1549D837"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i/>
                <w:iCs/>
                <w:sz w:val="24"/>
                <w:szCs w:val="24"/>
                <w:lang w:val="en-US"/>
              </w:rPr>
              <w:t>p</w:t>
            </w:r>
            <w:r w:rsidRPr="003702AE">
              <w:rPr>
                <w:rFonts w:ascii="Times New Roman" w:eastAsia="Times New Roman" w:hAnsi="Times New Roman" w:cs="Times New Roman"/>
                <w:sz w:val="24"/>
                <w:szCs w:val="24"/>
                <w:lang w:val="en-US"/>
              </w:rPr>
              <w:t xml:space="preserve"> &lt; 0.01 (down-reg.)</w:t>
            </w:r>
          </w:p>
        </w:tc>
      </w:tr>
      <w:tr w:rsidR="003702AE" w:rsidRPr="003702AE" w14:paraId="48C0187B" w14:textId="77777777" w:rsidTr="00C15217">
        <w:trPr>
          <w:jc w:val="center"/>
        </w:trPr>
        <w:tc>
          <w:tcPr>
            <w:tcW w:w="0" w:type="auto"/>
            <w:hideMark/>
          </w:tcPr>
          <w:p w14:paraId="70BBE1A1"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HSP90</w:t>
            </w:r>
          </w:p>
        </w:tc>
        <w:tc>
          <w:tcPr>
            <w:tcW w:w="2333" w:type="dxa"/>
            <w:hideMark/>
          </w:tcPr>
          <w:p w14:paraId="72CBDED0" w14:textId="79F94AEB" w:rsidR="003702AE" w:rsidRPr="003702AE" w:rsidRDefault="00F47CFB" w:rsidP="00315F2E">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Indigenous </w:t>
            </w:r>
            <w:r w:rsidR="003702AE" w:rsidRPr="00F47CFB">
              <w:rPr>
                <w:rFonts w:ascii="Times New Roman" w:eastAsia="Times New Roman" w:hAnsi="Times New Roman" w:cs="Times New Roman"/>
                <w:i/>
                <w:iCs/>
                <w:sz w:val="24"/>
                <w:szCs w:val="24"/>
                <w:lang w:val="en-US"/>
              </w:rPr>
              <w:t>Siruvidai</w:t>
            </w:r>
          </w:p>
        </w:tc>
        <w:tc>
          <w:tcPr>
            <w:tcW w:w="1417" w:type="dxa"/>
            <w:vAlign w:val="center"/>
            <w:hideMark/>
          </w:tcPr>
          <w:p w14:paraId="122FBF30"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22.90</w:t>
            </w:r>
          </w:p>
        </w:tc>
        <w:tc>
          <w:tcPr>
            <w:tcW w:w="1759" w:type="dxa"/>
            <w:vAlign w:val="center"/>
            <w:hideMark/>
          </w:tcPr>
          <w:p w14:paraId="4CC63E06"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20.12</w:t>
            </w:r>
          </w:p>
        </w:tc>
        <w:tc>
          <w:tcPr>
            <w:tcW w:w="2494" w:type="dxa"/>
            <w:vAlign w:val="center"/>
            <w:hideMark/>
          </w:tcPr>
          <w:p w14:paraId="6C463EC0"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4.76 ± 0.20</w:t>
            </w:r>
          </w:p>
        </w:tc>
        <w:tc>
          <w:tcPr>
            <w:tcW w:w="2551" w:type="dxa"/>
            <w:vAlign w:val="center"/>
            <w:hideMark/>
          </w:tcPr>
          <w:p w14:paraId="5DE22C08"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i/>
                <w:iCs/>
                <w:sz w:val="24"/>
                <w:szCs w:val="24"/>
                <w:lang w:val="en-US"/>
              </w:rPr>
              <w:t>p</w:t>
            </w:r>
            <w:r w:rsidRPr="003702AE">
              <w:rPr>
                <w:rFonts w:ascii="Times New Roman" w:eastAsia="Times New Roman" w:hAnsi="Times New Roman" w:cs="Times New Roman"/>
                <w:sz w:val="24"/>
                <w:szCs w:val="24"/>
                <w:lang w:val="en-US"/>
              </w:rPr>
              <w:t xml:space="preserve"> &lt; 0.01</w:t>
            </w:r>
          </w:p>
        </w:tc>
      </w:tr>
      <w:tr w:rsidR="003702AE" w:rsidRPr="003702AE" w14:paraId="24585055" w14:textId="77777777" w:rsidTr="00C15217">
        <w:trPr>
          <w:jc w:val="center"/>
        </w:trPr>
        <w:tc>
          <w:tcPr>
            <w:tcW w:w="0" w:type="auto"/>
            <w:hideMark/>
          </w:tcPr>
          <w:p w14:paraId="0C77FDE7" w14:textId="77777777" w:rsidR="003702AE" w:rsidRPr="003702AE" w:rsidRDefault="003702AE" w:rsidP="00315F2E">
            <w:pPr>
              <w:spacing w:line="480" w:lineRule="auto"/>
              <w:rPr>
                <w:rFonts w:ascii="Times New Roman" w:eastAsia="Times New Roman" w:hAnsi="Times New Roman" w:cs="Times New Roman"/>
                <w:sz w:val="24"/>
                <w:szCs w:val="24"/>
                <w:lang w:val="en-US"/>
              </w:rPr>
            </w:pPr>
          </w:p>
        </w:tc>
        <w:tc>
          <w:tcPr>
            <w:tcW w:w="2333" w:type="dxa"/>
            <w:hideMark/>
          </w:tcPr>
          <w:p w14:paraId="72544AE0"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TANUVAS Aseel</w:t>
            </w:r>
          </w:p>
        </w:tc>
        <w:tc>
          <w:tcPr>
            <w:tcW w:w="1417" w:type="dxa"/>
            <w:vAlign w:val="center"/>
            <w:hideMark/>
          </w:tcPr>
          <w:p w14:paraId="26C969EA"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25.45</w:t>
            </w:r>
          </w:p>
        </w:tc>
        <w:tc>
          <w:tcPr>
            <w:tcW w:w="1759" w:type="dxa"/>
            <w:vAlign w:val="center"/>
            <w:hideMark/>
          </w:tcPr>
          <w:p w14:paraId="17F0F746"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25.68</w:t>
            </w:r>
          </w:p>
        </w:tc>
        <w:tc>
          <w:tcPr>
            <w:tcW w:w="2494" w:type="dxa"/>
            <w:vAlign w:val="center"/>
            <w:hideMark/>
          </w:tcPr>
          <w:p w14:paraId="124AF3ED"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0.63 ± 0.07</w:t>
            </w:r>
          </w:p>
        </w:tc>
        <w:tc>
          <w:tcPr>
            <w:tcW w:w="2551" w:type="dxa"/>
            <w:vAlign w:val="center"/>
            <w:hideMark/>
          </w:tcPr>
          <w:p w14:paraId="607C871D" w14:textId="3B0A3822" w:rsidR="003702AE" w:rsidRPr="003702AE" w:rsidRDefault="003702AE" w:rsidP="00315F2E">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NS</w:t>
            </w:r>
          </w:p>
        </w:tc>
      </w:tr>
      <w:tr w:rsidR="003702AE" w:rsidRPr="003702AE" w14:paraId="5BDD6A90" w14:textId="77777777" w:rsidTr="00C15217">
        <w:trPr>
          <w:jc w:val="center"/>
        </w:trPr>
        <w:tc>
          <w:tcPr>
            <w:tcW w:w="0" w:type="auto"/>
            <w:hideMark/>
          </w:tcPr>
          <w:p w14:paraId="6B0E9CD3" w14:textId="77777777" w:rsidR="003702AE" w:rsidRPr="003702AE" w:rsidRDefault="003702AE" w:rsidP="00315F2E">
            <w:pPr>
              <w:spacing w:line="480" w:lineRule="auto"/>
              <w:rPr>
                <w:rFonts w:ascii="Times New Roman" w:eastAsia="Times New Roman" w:hAnsi="Times New Roman" w:cs="Times New Roman"/>
                <w:sz w:val="24"/>
                <w:szCs w:val="24"/>
                <w:lang w:val="en-US"/>
              </w:rPr>
            </w:pPr>
          </w:p>
        </w:tc>
        <w:tc>
          <w:tcPr>
            <w:tcW w:w="2333" w:type="dxa"/>
            <w:hideMark/>
          </w:tcPr>
          <w:p w14:paraId="2AA34397"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White Leghorn</w:t>
            </w:r>
          </w:p>
        </w:tc>
        <w:tc>
          <w:tcPr>
            <w:tcW w:w="1417" w:type="dxa"/>
            <w:vAlign w:val="center"/>
            <w:hideMark/>
          </w:tcPr>
          <w:p w14:paraId="5464B1ED"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24.22</w:t>
            </w:r>
          </w:p>
        </w:tc>
        <w:tc>
          <w:tcPr>
            <w:tcW w:w="1759" w:type="dxa"/>
            <w:vAlign w:val="center"/>
            <w:hideMark/>
          </w:tcPr>
          <w:p w14:paraId="360AA22C"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25.64</w:t>
            </w:r>
          </w:p>
        </w:tc>
        <w:tc>
          <w:tcPr>
            <w:tcW w:w="2494" w:type="dxa"/>
            <w:vAlign w:val="center"/>
            <w:hideMark/>
          </w:tcPr>
          <w:p w14:paraId="50FC39FD"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0.17 ± 0.03</w:t>
            </w:r>
          </w:p>
        </w:tc>
        <w:tc>
          <w:tcPr>
            <w:tcW w:w="2551" w:type="dxa"/>
            <w:vAlign w:val="center"/>
            <w:hideMark/>
          </w:tcPr>
          <w:p w14:paraId="77498E1A"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i/>
                <w:iCs/>
                <w:sz w:val="24"/>
                <w:szCs w:val="24"/>
                <w:lang w:val="en-US"/>
              </w:rPr>
              <w:t>p</w:t>
            </w:r>
            <w:r w:rsidRPr="003702AE">
              <w:rPr>
                <w:rFonts w:ascii="Times New Roman" w:eastAsia="Times New Roman" w:hAnsi="Times New Roman" w:cs="Times New Roman"/>
                <w:sz w:val="24"/>
                <w:szCs w:val="24"/>
                <w:lang w:val="en-US"/>
              </w:rPr>
              <w:t xml:space="preserve"> &lt; 0.01 (down-reg.)</w:t>
            </w:r>
          </w:p>
        </w:tc>
      </w:tr>
      <w:tr w:rsidR="003702AE" w:rsidRPr="003702AE" w14:paraId="466249B6" w14:textId="77777777" w:rsidTr="00C15217">
        <w:trPr>
          <w:jc w:val="center"/>
        </w:trPr>
        <w:tc>
          <w:tcPr>
            <w:tcW w:w="0" w:type="auto"/>
            <w:hideMark/>
          </w:tcPr>
          <w:p w14:paraId="584DFE89" w14:textId="77777777" w:rsidR="003702AE" w:rsidRPr="003702AE" w:rsidRDefault="003702AE" w:rsidP="00315F2E">
            <w:pPr>
              <w:spacing w:line="480" w:lineRule="auto"/>
              <w:rPr>
                <w:rFonts w:ascii="Times New Roman" w:eastAsia="Times New Roman" w:hAnsi="Times New Roman" w:cs="Times New Roman"/>
                <w:sz w:val="24"/>
                <w:szCs w:val="24"/>
                <w:lang w:val="en-US"/>
              </w:rPr>
            </w:pPr>
          </w:p>
        </w:tc>
        <w:tc>
          <w:tcPr>
            <w:tcW w:w="2333" w:type="dxa"/>
            <w:hideMark/>
          </w:tcPr>
          <w:p w14:paraId="432AC102" w14:textId="77777777" w:rsidR="003702AE" w:rsidRPr="003702AE" w:rsidRDefault="003702AE" w:rsidP="00315F2E">
            <w:pPr>
              <w:spacing w:line="480" w:lineRule="auto"/>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Commercial Broiler</w:t>
            </w:r>
          </w:p>
        </w:tc>
        <w:tc>
          <w:tcPr>
            <w:tcW w:w="1417" w:type="dxa"/>
            <w:vAlign w:val="center"/>
            <w:hideMark/>
          </w:tcPr>
          <w:p w14:paraId="5A3B5180"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25.72</w:t>
            </w:r>
          </w:p>
        </w:tc>
        <w:tc>
          <w:tcPr>
            <w:tcW w:w="1759" w:type="dxa"/>
            <w:vAlign w:val="center"/>
            <w:hideMark/>
          </w:tcPr>
          <w:p w14:paraId="30B28B4B"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sz w:val="24"/>
                <w:szCs w:val="24"/>
                <w:lang w:val="en-US"/>
              </w:rPr>
              <w:t>35.54</w:t>
            </w:r>
          </w:p>
        </w:tc>
        <w:tc>
          <w:tcPr>
            <w:tcW w:w="2494" w:type="dxa"/>
            <w:vAlign w:val="center"/>
            <w:hideMark/>
          </w:tcPr>
          <w:p w14:paraId="4C969662"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b/>
                <w:bCs/>
                <w:sz w:val="24"/>
                <w:szCs w:val="24"/>
                <w:lang w:val="en-US"/>
              </w:rPr>
              <w:t>0.18 ± 0.04</w:t>
            </w:r>
          </w:p>
        </w:tc>
        <w:tc>
          <w:tcPr>
            <w:tcW w:w="2551" w:type="dxa"/>
            <w:vAlign w:val="center"/>
            <w:hideMark/>
          </w:tcPr>
          <w:p w14:paraId="48141B26" w14:textId="77777777" w:rsidR="003702AE" w:rsidRPr="003702AE" w:rsidRDefault="003702AE" w:rsidP="00315F2E">
            <w:pPr>
              <w:spacing w:line="480" w:lineRule="auto"/>
              <w:jc w:val="center"/>
              <w:rPr>
                <w:rFonts w:ascii="Times New Roman" w:eastAsia="Times New Roman" w:hAnsi="Times New Roman" w:cs="Times New Roman"/>
                <w:sz w:val="24"/>
                <w:szCs w:val="24"/>
                <w:lang w:val="en-US"/>
              </w:rPr>
            </w:pPr>
            <w:r w:rsidRPr="003702AE">
              <w:rPr>
                <w:rFonts w:ascii="Times New Roman" w:eastAsia="Times New Roman" w:hAnsi="Times New Roman" w:cs="Times New Roman"/>
                <w:i/>
                <w:iCs/>
                <w:sz w:val="24"/>
                <w:szCs w:val="24"/>
                <w:lang w:val="en-US"/>
              </w:rPr>
              <w:t>p</w:t>
            </w:r>
            <w:r w:rsidRPr="003702AE">
              <w:rPr>
                <w:rFonts w:ascii="Times New Roman" w:eastAsia="Times New Roman" w:hAnsi="Times New Roman" w:cs="Times New Roman"/>
                <w:sz w:val="24"/>
                <w:szCs w:val="24"/>
                <w:lang w:val="en-US"/>
              </w:rPr>
              <w:t xml:space="preserve"> &lt; 0.01 (down-reg.)</w:t>
            </w:r>
          </w:p>
        </w:tc>
      </w:tr>
    </w:tbl>
    <w:p w14:paraId="6B9871C9" w14:textId="5CD8088B" w:rsidR="003702AE" w:rsidRDefault="00015C99" w:rsidP="00015C99">
      <w:pPr>
        <w:jc w:val="both"/>
        <w:rPr>
          <w:rFonts w:ascii="Calibri" w:eastAsia="Calibri" w:hAnsi="Calibri" w:cs="Latha"/>
          <w:lang w:val="en-US"/>
        </w:rPr>
      </w:pPr>
      <w:r>
        <w:rPr>
          <w:rFonts w:ascii="Calibri" w:eastAsia="Calibri" w:hAnsi="Calibri" w:cs="Latha"/>
          <w:lang w:val="en-US"/>
        </w:rPr>
        <w:t>P &lt; 0.05 – Significant, P&lt;0.01 – Highly Significant, NS –Non- significant</w:t>
      </w:r>
    </w:p>
    <w:p w14:paraId="3AE17634" w14:textId="77777777" w:rsidR="00015C99" w:rsidRDefault="00015C99" w:rsidP="00015C99">
      <w:pPr>
        <w:jc w:val="both"/>
        <w:rPr>
          <w:rFonts w:ascii="Calibri" w:eastAsia="Calibri" w:hAnsi="Calibri" w:cs="Latha"/>
          <w:lang w:val="en-US"/>
        </w:rPr>
      </w:pPr>
    </w:p>
    <w:p w14:paraId="30D70DBD" w14:textId="77777777" w:rsidR="003702AE" w:rsidRPr="00DB3A81" w:rsidRDefault="003702AE" w:rsidP="00DB3A81">
      <w:pPr>
        <w:jc w:val="center"/>
        <w:rPr>
          <w:rFonts w:ascii="Calibri" w:eastAsia="Calibri" w:hAnsi="Calibri" w:cs="Latha"/>
          <w:lang w:val="en-US"/>
        </w:rPr>
        <w:sectPr w:rsidR="003702AE" w:rsidRPr="00DB3A81" w:rsidSect="003702AE">
          <w:pgSz w:w="16838" w:h="11906" w:orient="landscape"/>
          <w:pgMar w:top="1440" w:right="1440" w:bottom="1440" w:left="1440" w:header="708" w:footer="708" w:gutter="0"/>
          <w:cols w:space="708"/>
          <w:docGrid w:linePitch="360"/>
        </w:sectPr>
      </w:pPr>
    </w:p>
    <w:p w14:paraId="557F539A" w14:textId="11B3B6BF" w:rsidR="00857E1C" w:rsidRPr="00FF451E" w:rsidRDefault="00190212" w:rsidP="00190212">
      <w:pPr>
        <w:spacing w:after="0" w:line="360" w:lineRule="auto"/>
        <w:jc w:val="center"/>
        <w:rPr>
          <w:rFonts w:ascii="Times New Roman" w:eastAsia="Calibri" w:hAnsi="Times New Roman" w:cs="Times New Roman"/>
          <w:b/>
          <w:bCs/>
          <w:kern w:val="2"/>
          <w:sz w:val="24"/>
          <w:szCs w:val="24"/>
          <w14:ligatures w14:val="standardContextual"/>
        </w:rPr>
      </w:pPr>
      <w:r w:rsidRPr="00FF451E">
        <w:rPr>
          <w:rFonts w:ascii="Times New Roman" w:eastAsia="Calibri" w:hAnsi="Times New Roman" w:cs="Times New Roman"/>
          <w:b/>
          <w:bCs/>
          <w:kern w:val="2"/>
          <w:sz w:val="24"/>
          <w:szCs w:val="24"/>
          <w14:ligatures w14:val="standardContextual"/>
        </w:rPr>
        <w:lastRenderedPageBreak/>
        <w:t>F</w:t>
      </w:r>
      <w:r w:rsidR="00857E1C" w:rsidRPr="00FF451E">
        <w:rPr>
          <w:rFonts w:ascii="Times New Roman" w:eastAsia="Calibri" w:hAnsi="Times New Roman" w:cs="Times New Roman"/>
          <w:b/>
          <w:bCs/>
          <w:kern w:val="2"/>
          <w:sz w:val="24"/>
          <w:szCs w:val="24"/>
          <w14:ligatures w14:val="standardContextual"/>
        </w:rPr>
        <w:t>igure 1: Fold change in expression of HSP 70 and HSP 90 genes in the liver during heat treatment</w:t>
      </w:r>
    </w:p>
    <w:p w14:paraId="367676DC" w14:textId="77777777" w:rsidR="00EB57ED" w:rsidRPr="00857E1C" w:rsidRDefault="00EB57ED" w:rsidP="00190212">
      <w:pPr>
        <w:spacing w:after="0" w:line="360" w:lineRule="auto"/>
        <w:jc w:val="center"/>
        <w:rPr>
          <w:rFonts w:ascii="Times New Roman" w:eastAsia="Calibri" w:hAnsi="Times New Roman" w:cs="Times New Roman"/>
          <w:sz w:val="24"/>
          <w:szCs w:val="24"/>
        </w:rPr>
      </w:pPr>
    </w:p>
    <w:p w14:paraId="10B723FF" w14:textId="00955ED5" w:rsidR="00857E1C" w:rsidRPr="00857E1C" w:rsidRDefault="00EB57ED" w:rsidP="00861692">
      <w:pPr>
        <w:spacing w:afterLines="60" w:after="144" w:line="360" w:lineRule="auto"/>
        <w:jc w:val="center"/>
        <w:rPr>
          <w:rFonts w:ascii="Times New Roman" w:eastAsia="Calibri" w:hAnsi="Times New Roman" w:cs="Times New Roman"/>
          <w:sz w:val="24"/>
          <w:szCs w:val="24"/>
        </w:rPr>
      </w:pPr>
      <w:r w:rsidRPr="00857E1C">
        <w:rPr>
          <w:rFonts w:ascii="Times New Roman" w:eastAsia="Calibri" w:hAnsi="Times New Roman" w:cs="Times New Roman"/>
          <w:noProof/>
          <w:sz w:val="24"/>
          <w:szCs w:val="24"/>
          <w:lang w:val="en-US"/>
        </w:rPr>
        <w:drawing>
          <wp:inline distT="0" distB="0" distL="0" distR="0" wp14:anchorId="7D63D03E" wp14:editId="7938C392">
            <wp:extent cx="7153275" cy="44989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53275" cy="4498975"/>
                    </a:xfrm>
                    <a:prstGeom prst="rect">
                      <a:avLst/>
                    </a:prstGeom>
                    <a:noFill/>
                  </pic:spPr>
                </pic:pic>
              </a:graphicData>
            </a:graphic>
          </wp:inline>
        </w:drawing>
      </w:r>
    </w:p>
    <w:p w14:paraId="01D1A291" w14:textId="35663E8C" w:rsidR="00861692" w:rsidRDefault="00857E1C" w:rsidP="00857E1C">
      <w:pPr>
        <w:spacing w:afterLines="60" w:after="144" w:line="360" w:lineRule="auto"/>
        <w:jc w:val="both"/>
        <w:rPr>
          <w:rFonts w:ascii="Times New Roman" w:eastAsia="Calibri" w:hAnsi="Times New Roman" w:cs="Times New Roman"/>
          <w:sz w:val="24"/>
          <w:szCs w:val="24"/>
        </w:rPr>
      </w:pPr>
      <w:r w:rsidRPr="00857E1C">
        <w:rPr>
          <w:rFonts w:ascii="Times New Roman" w:eastAsia="Calibri" w:hAnsi="Times New Roman" w:cs="Times New Roman"/>
          <w:sz w:val="24"/>
          <w:szCs w:val="24"/>
        </w:rPr>
        <w:t xml:space="preserve">                                 </w:t>
      </w:r>
    </w:p>
    <w:p w14:paraId="2E7A5801" w14:textId="77777777" w:rsidR="00861692" w:rsidRDefault="00861692" w:rsidP="00857E1C">
      <w:pPr>
        <w:spacing w:afterLines="60" w:after="144" w:line="360" w:lineRule="auto"/>
        <w:jc w:val="both"/>
        <w:rPr>
          <w:rFonts w:ascii="Times New Roman" w:eastAsia="Calibri" w:hAnsi="Times New Roman" w:cs="Times New Roman"/>
          <w:sz w:val="24"/>
          <w:szCs w:val="24"/>
        </w:rPr>
        <w:sectPr w:rsidR="00861692" w:rsidSect="00F25538">
          <w:pgSz w:w="16838" w:h="11906" w:orient="landscape"/>
          <w:pgMar w:top="1440" w:right="1440" w:bottom="1440" w:left="1440" w:header="708" w:footer="708" w:gutter="0"/>
          <w:cols w:space="708"/>
          <w:docGrid w:linePitch="360"/>
        </w:sectPr>
      </w:pPr>
    </w:p>
    <w:p w14:paraId="3DF3EF2E" w14:textId="6E115031" w:rsidR="00861692" w:rsidRPr="00861692" w:rsidRDefault="00861692" w:rsidP="00861692">
      <w:pPr>
        <w:pStyle w:val="NormalWeb"/>
        <w:jc w:val="center"/>
        <w:rPr>
          <w:rFonts w:eastAsia="Calibri"/>
          <w:b/>
          <w:bCs/>
          <w:kern w:val="2"/>
          <w14:ligatures w14:val="standardContextual"/>
        </w:rPr>
      </w:pPr>
      <w:r w:rsidRPr="00861692">
        <w:rPr>
          <w:rFonts w:eastAsia="Calibri"/>
          <w:b/>
          <w:bCs/>
          <w:kern w:val="2"/>
          <w14:ligatures w14:val="standardContextual"/>
        </w:rPr>
        <w:lastRenderedPageBreak/>
        <w:t xml:space="preserve">Figure </w:t>
      </w:r>
      <w:r>
        <w:rPr>
          <w:rFonts w:eastAsia="Calibri"/>
          <w:b/>
          <w:bCs/>
          <w:kern w:val="2"/>
          <w14:ligatures w14:val="standardContextual"/>
        </w:rPr>
        <w:t>2.</w:t>
      </w:r>
      <w:r w:rsidRPr="00861692">
        <w:rPr>
          <w:rFonts w:eastAsia="Calibri"/>
          <w:b/>
          <w:bCs/>
          <w:kern w:val="2"/>
          <w14:ligatures w14:val="standardContextual"/>
        </w:rPr>
        <w:t xml:space="preserve"> Melt curve</w:t>
      </w:r>
    </w:p>
    <w:p w14:paraId="6130E672" w14:textId="78679127" w:rsidR="00861692" w:rsidRDefault="00861692" w:rsidP="00861692">
      <w:pPr>
        <w:pStyle w:val="NormalWeb"/>
        <w:jc w:val="center"/>
      </w:pPr>
      <w:r>
        <w:rPr>
          <w:noProof/>
          <w:lang w:val="en-US" w:eastAsia="en-US" w:bidi="ar-SA"/>
        </w:rPr>
        <w:drawing>
          <wp:inline distT="0" distB="0" distL="0" distR="0" wp14:anchorId="2C0584AC" wp14:editId="6ABF8B7B">
            <wp:extent cx="4399280" cy="2885440"/>
            <wp:effectExtent l="0" t="0" r="1270" b="0"/>
            <wp:docPr id="2" name="Picture 2" descr="C:\Users\user\Downloads\IMG-20251030-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20251030-WA000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9280" cy="2885440"/>
                    </a:xfrm>
                    <a:prstGeom prst="rect">
                      <a:avLst/>
                    </a:prstGeom>
                    <a:noFill/>
                    <a:ln>
                      <a:noFill/>
                    </a:ln>
                  </pic:spPr>
                </pic:pic>
              </a:graphicData>
            </a:graphic>
          </wp:inline>
        </w:drawing>
      </w:r>
    </w:p>
    <w:p w14:paraId="5CECBA70" w14:textId="5156D515" w:rsidR="00857E1C" w:rsidRDefault="00857E1C" w:rsidP="00857E1C">
      <w:pPr>
        <w:spacing w:afterLines="60" w:after="144" w:line="360" w:lineRule="auto"/>
        <w:jc w:val="both"/>
        <w:rPr>
          <w:rFonts w:ascii="Times New Roman" w:eastAsia="Calibri" w:hAnsi="Times New Roman" w:cs="Times New Roman"/>
          <w:sz w:val="24"/>
          <w:szCs w:val="24"/>
        </w:rPr>
      </w:pPr>
    </w:p>
    <w:p w14:paraId="3780761C" w14:textId="77777777" w:rsidR="00861692" w:rsidRDefault="00861692" w:rsidP="00861692">
      <w:pPr>
        <w:pStyle w:val="NormalWeb"/>
        <w:jc w:val="center"/>
        <w:rPr>
          <w:noProof/>
        </w:rPr>
      </w:pPr>
    </w:p>
    <w:p w14:paraId="69FEE96B" w14:textId="77777777" w:rsidR="00861692" w:rsidRDefault="00861692" w:rsidP="00861692">
      <w:pPr>
        <w:pStyle w:val="NormalWeb"/>
        <w:jc w:val="center"/>
        <w:rPr>
          <w:noProof/>
        </w:rPr>
      </w:pPr>
    </w:p>
    <w:p w14:paraId="04D42F52" w14:textId="77777777" w:rsidR="00861692" w:rsidRDefault="00861692" w:rsidP="00861692">
      <w:pPr>
        <w:pStyle w:val="NormalWeb"/>
        <w:jc w:val="center"/>
        <w:rPr>
          <w:noProof/>
        </w:rPr>
      </w:pPr>
    </w:p>
    <w:p w14:paraId="2C5DC2DB" w14:textId="11F93FE1" w:rsidR="00861692" w:rsidRDefault="00861692" w:rsidP="00861692">
      <w:pPr>
        <w:pStyle w:val="NormalWeb"/>
        <w:jc w:val="center"/>
        <w:rPr>
          <w:noProof/>
        </w:rPr>
      </w:pPr>
    </w:p>
    <w:p w14:paraId="22145F86" w14:textId="77777777" w:rsidR="007730F0" w:rsidRDefault="007730F0" w:rsidP="00861692">
      <w:pPr>
        <w:pStyle w:val="NormalWeb"/>
        <w:jc w:val="center"/>
        <w:rPr>
          <w:noProof/>
        </w:rPr>
      </w:pPr>
    </w:p>
    <w:p w14:paraId="6F8C50BA" w14:textId="5F7C095C" w:rsidR="00861692" w:rsidRPr="00861692" w:rsidRDefault="00861692" w:rsidP="00861692">
      <w:pPr>
        <w:pStyle w:val="NormalWeb"/>
        <w:jc w:val="center"/>
        <w:rPr>
          <w:rFonts w:eastAsia="Calibri"/>
          <w:b/>
          <w:bCs/>
          <w:kern w:val="2"/>
          <w14:ligatures w14:val="standardContextual"/>
        </w:rPr>
      </w:pPr>
      <w:r w:rsidRPr="00861692">
        <w:rPr>
          <w:rFonts w:eastAsia="Calibri"/>
          <w:b/>
          <w:bCs/>
          <w:kern w:val="2"/>
          <w14:ligatures w14:val="standardContextual"/>
        </w:rPr>
        <w:lastRenderedPageBreak/>
        <w:t xml:space="preserve">Figure </w:t>
      </w:r>
      <w:r w:rsidR="00FF451E">
        <w:rPr>
          <w:rFonts w:eastAsia="Calibri"/>
          <w:b/>
          <w:bCs/>
          <w:kern w:val="2"/>
          <w14:ligatures w14:val="standardContextual"/>
        </w:rPr>
        <w:t>3. Amplification</w:t>
      </w:r>
    </w:p>
    <w:p w14:paraId="66978DD4" w14:textId="77777777" w:rsidR="00861692" w:rsidRDefault="00861692" w:rsidP="00861692">
      <w:pPr>
        <w:pStyle w:val="NormalWeb"/>
        <w:jc w:val="center"/>
        <w:rPr>
          <w:noProof/>
        </w:rPr>
      </w:pPr>
    </w:p>
    <w:p w14:paraId="3DAD1013" w14:textId="7501F16B" w:rsidR="00861692" w:rsidRDefault="00861692" w:rsidP="00861692">
      <w:pPr>
        <w:pStyle w:val="NormalWeb"/>
        <w:jc w:val="center"/>
      </w:pPr>
      <w:r>
        <w:rPr>
          <w:noProof/>
          <w:lang w:val="en-US" w:eastAsia="en-US" w:bidi="ar-SA"/>
        </w:rPr>
        <w:drawing>
          <wp:inline distT="0" distB="0" distL="0" distR="0" wp14:anchorId="334E824B" wp14:editId="65E94578">
            <wp:extent cx="4399280" cy="2865120"/>
            <wp:effectExtent l="0" t="0" r="1270" b="0"/>
            <wp:docPr id="3" name="Picture 3" descr="C:\Users\user\Downloads\IMG-20251030-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20251030-WA000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9280" cy="2865120"/>
                    </a:xfrm>
                    <a:prstGeom prst="rect">
                      <a:avLst/>
                    </a:prstGeom>
                    <a:noFill/>
                    <a:ln>
                      <a:noFill/>
                    </a:ln>
                  </pic:spPr>
                </pic:pic>
              </a:graphicData>
            </a:graphic>
          </wp:inline>
        </w:drawing>
      </w:r>
    </w:p>
    <w:p w14:paraId="0B3979F2" w14:textId="77777777" w:rsidR="00861692" w:rsidRPr="00857E1C" w:rsidRDefault="00861692" w:rsidP="00857E1C">
      <w:pPr>
        <w:spacing w:afterLines="60" w:after="144" w:line="360" w:lineRule="auto"/>
        <w:jc w:val="both"/>
        <w:rPr>
          <w:rFonts w:ascii="Times New Roman" w:eastAsia="Calibri" w:hAnsi="Times New Roman" w:cs="Times New Roman"/>
          <w:sz w:val="24"/>
          <w:szCs w:val="24"/>
        </w:rPr>
        <w:sectPr w:rsidR="00861692" w:rsidRPr="00857E1C" w:rsidSect="00F25538">
          <w:pgSz w:w="16838" w:h="11906" w:orient="landscape"/>
          <w:pgMar w:top="1440" w:right="1440" w:bottom="1440" w:left="1440" w:header="708" w:footer="708" w:gutter="0"/>
          <w:cols w:space="708"/>
          <w:docGrid w:linePitch="360"/>
        </w:sectPr>
      </w:pPr>
    </w:p>
    <w:p w14:paraId="00B93B80" w14:textId="77777777" w:rsidR="00857E1C" w:rsidRPr="00857E1C" w:rsidRDefault="00857E1C" w:rsidP="00857E1C">
      <w:pPr>
        <w:spacing w:afterLines="60" w:after="144" w:line="360" w:lineRule="auto"/>
        <w:jc w:val="both"/>
        <w:rPr>
          <w:rFonts w:ascii="Times New Roman" w:eastAsia="Calibri" w:hAnsi="Times New Roman" w:cs="Times New Roman"/>
          <w:sz w:val="24"/>
          <w:szCs w:val="24"/>
        </w:rPr>
      </w:pPr>
    </w:p>
    <w:p w14:paraId="5D2C44B0" w14:textId="3F95ECB3" w:rsidR="00857E1C" w:rsidRPr="007F771C" w:rsidRDefault="00857E1C" w:rsidP="00857E1C">
      <w:pPr>
        <w:spacing w:afterLines="60" w:after="144" w:line="360" w:lineRule="auto"/>
        <w:jc w:val="both"/>
        <w:rPr>
          <w:rFonts w:ascii="Times New Roman" w:eastAsia="Calibri" w:hAnsi="Times New Roman" w:cs="Times New Roman"/>
          <w:color w:val="FF0000"/>
          <w:sz w:val="24"/>
          <w:szCs w:val="24"/>
        </w:rPr>
      </w:pPr>
      <w:r w:rsidRPr="00857E1C">
        <w:rPr>
          <w:rFonts w:ascii="Times New Roman" w:eastAsia="Calibri" w:hAnsi="Times New Roman" w:cs="Times New Roman"/>
          <w:sz w:val="24"/>
          <w:szCs w:val="24"/>
        </w:rPr>
        <w:t xml:space="preserve">transcriptional response as an emergency protective mechanism. </w:t>
      </w:r>
      <w:r w:rsidRPr="00857E1C">
        <w:rPr>
          <w:rFonts w:ascii="Times New Roman" w:eastAsia="Calibri" w:hAnsi="Times New Roman" w:cs="Times New Roman"/>
          <w:color w:val="000000" w:themeColor="text1"/>
          <w:sz w:val="24"/>
          <w:szCs w:val="24"/>
        </w:rPr>
        <w:t xml:space="preserve">Nawaz </w:t>
      </w:r>
      <w:r w:rsidRPr="00857E1C">
        <w:rPr>
          <w:rFonts w:ascii="Times New Roman" w:eastAsia="Calibri" w:hAnsi="Times New Roman" w:cs="Times New Roman"/>
          <w:sz w:val="24"/>
          <w:szCs w:val="24"/>
        </w:rPr>
        <w:t xml:space="preserve">et al. (2023) also reported higher inducible HSP70 expression in thermosensitive breeds compared to thermotolerant ones, suggesting that greater fold induction reflected heightened stress perception rather than superior resilience. </w:t>
      </w:r>
      <w:r w:rsidR="007F771C" w:rsidRPr="007F771C">
        <w:rPr>
          <w:rFonts w:ascii="Times New Roman" w:eastAsia="Calibri" w:hAnsi="Times New Roman" w:cs="Times New Roman"/>
          <w:color w:val="FF0000"/>
          <w:sz w:val="24"/>
          <w:szCs w:val="24"/>
        </w:rPr>
        <w:t>Exposure of chicken to acute heat stress of 40°C for duration spanning 1 and 1.5 h resulted in higher HSP70 gene expression in brain. There was no difference in HSP70 gene expression between native chickens but the commercial layer chicken had higher expression (Tamzil et al</w:t>
      </w:r>
      <w:r w:rsidR="00014FE3">
        <w:rPr>
          <w:rFonts w:ascii="Times New Roman" w:eastAsia="Calibri" w:hAnsi="Times New Roman" w:cs="Times New Roman"/>
          <w:color w:val="FF0000"/>
          <w:sz w:val="24"/>
          <w:szCs w:val="24"/>
        </w:rPr>
        <w:t>.,</w:t>
      </w:r>
      <w:r w:rsidR="007F771C" w:rsidRPr="007F771C">
        <w:rPr>
          <w:rFonts w:ascii="Times New Roman" w:eastAsia="Calibri" w:hAnsi="Times New Roman" w:cs="Times New Roman"/>
          <w:color w:val="FF0000"/>
          <w:sz w:val="24"/>
          <w:szCs w:val="24"/>
        </w:rPr>
        <w:t xml:space="preserve"> 2013). The susceptibility of commercial layers to acute heat stress might be due to higher production performance. Furthermore, HSP70 gene expression during heat stress was influenced by HSP70 genotype of the chicken. Chicken having certain HSP70 genotype was found to be heat tolerant and acute heat stress had no negative effect on growth performance and egg production (Liang et al., 2016)</w:t>
      </w:r>
    </w:p>
    <w:p w14:paraId="0653EDB5" w14:textId="011F5B91" w:rsidR="00857E1C" w:rsidRPr="00857E1C" w:rsidRDefault="00857E1C" w:rsidP="00310D47">
      <w:pPr>
        <w:spacing w:afterLines="60" w:after="144" w:line="360" w:lineRule="auto"/>
        <w:ind w:firstLine="720"/>
        <w:jc w:val="both"/>
        <w:rPr>
          <w:rFonts w:ascii="Times New Roman" w:eastAsia="Calibri" w:hAnsi="Times New Roman" w:cs="Times New Roman"/>
          <w:bCs/>
          <w:sz w:val="24"/>
          <w:szCs w:val="24"/>
          <w:lang w:val="en-US"/>
        </w:rPr>
      </w:pPr>
      <w:r w:rsidRPr="00857E1C">
        <w:rPr>
          <w:rFonts w:ascii="Times New Roman" w:eastAsia="Calibri" w:hAnsi="Times New Roman" w:cs="Times New Roman"/>
          <w:bCs/>
          <w:sz w:val="24"/>
          <w:szCs w:val="24"/>
          <w:lang w:val="en-US"/>
        </w:rPr>
        <w:t xml:space="preserve">Commercial broilers in the present study displayed significant HSP70 downregulation post-heat stress, which might indicate impaired cellular stress response pathways or energy trade-offs favouring production over thermoprotection. Such suppression of protective genes could increase susceptibility to heat-induced cellular damage and compromise animal welfare. </w:t>
      </w:r>
      <w:r w:rsidRPr="00857E1C">
        <w:rPr>
          <w:rFonts w:ascii="Times New Roman" w:eastAsia="Calibri" w:hAnsi="Times New Roman" w:cs="Times New Roman"/>
          <w:bCs/>
          <w:color w:val="000000" w:themeColor="text1"/>
          <w:sz w:val="24"/>
          <w:szCs w:val="24"/>
          <w:lang w:val="en-US"/>
        </w:rPr>
        <w:t>Siddiqui</w:t>
      </w:r>
      <w:r w:rsidRPr="00857E1C">
        <w:rPr>
          <w:rFonts w:ascii="Times New Roman" w:eastAsia="Calibri" w:hAnsi="Times New Roman" w:cs="Times New Roman"/>
          <w:bCs/>
          <w:sz w:val="24"/>
          <w:szCs w:val="24"/>
          <w:lang w:val="en-US"/>
        </w:rPr>
        <w:t xml:space="preserve"> (2020) reported time-dependent variations in HSP70 expression across different intestinal sections of Ross 308 broilers under acute heat stress, suggesting that expression dynamics might vary not only by genetic line but also by tissue type and exposure duration. Further evidence suggested that broilers were especially vulnerable to thermal stress due to low HSP expression and compromised cellular defense mechanisms </w:t>
      </w:r>
      <w:r w:rsidRPr="00857E1C">
        <w:rPr>
          <w:rFonts w:ascii="Times New Roman" w:eastAsia="Times New Roman" w:hAnsi="Times New Roman" w:cs="Times New Roman"/>
          <w:color w:val="000000" w:themeColor="text1"/>
          <w:sz w:val="24"/>
          <w:szCs w:val="24"/>
          <w:lang w:eastAsia="en-IN" w:bidi="ta-IN"/>
        </w:rPr>
        <w:t xml:space="preserve">Nawaz </w:t>
      </w:r>
      <w:r w:rsidRPr="00857E1C">
        <w:rPr>
          <w:rFonts w:ascii="Times New Roman" w:eastAsia="Times New Roman" w:hAnsi="Times New Roman" w:cs="Times New Roman"/>
          <w:sz w:val="24"/>
          <w:szCs w:val="24"/>
          <w:lang w:eastAsia="en-IN" w:bidi="ta-IN"/>
        </w:rPr>
        <w:t>et al. (2023)</w:t>
      </w:r>
      <w:r w:rsidRPr="00857E1C">
        <w:rPr>
          <w:rFonts w:ascii="Times New Roman" w:eastAsia="Calibri" w:hAnsi="Times New Roman" w:cs="Times New Roman"/>
          <w:bCs/>
          <w:sz w:val="24"/>
          <w:szCs w:val="24"/>
          <w:lang w:val="en-US"/>
        </w:rPr>
        <w:t xml:space="preserve">. </w:t>
      </w:r>
    </w:p>
    <w:p w14:paraId="5CD2E88F" w14:textId="77777777" w:rsidR="00857E1C" w:rsidRPr="00857E1C" w:rsidRDefault="00857E1C" w:rsidP="00310D47">
      <w:pPr>
        <w:spacing w:afterLines="60" w:after="144" w:line="360" w:lineRule="auto"/>
        <w:ind w:firstLine="720"/>
        <w:jc w:val="both"/>
        <w:rPr>
          <w:rFonts w:ascii="Times New Roman" w:eastAsia="Calibri" w:hAnsi="Times New Roman" w:cs="Times New Roman"/>
          <w:bCs/>
          <w:sz w:val="24"/>
          <w:szCs w:val="24"/>
          <w:lang w:val="en-US"/>
        </w:rPr>
      </w:pPr>
      <w:r w:rsidRPr="00857E1C">
        <w:rPr>
          <w:rFonts w:ascii="Times New Roman" w:eastAsia="Calibri" w:hAnsi="Times New Roman" w:cs="Times New Roman"/>
          <w:bCs/>
          <w:sz w:val="24"/>
          <w:szCs w:val="24"/>
          <w:lang w:val="en-US"/>
        </w:rPr>
        <w:t>Overall, the present findings reinforce that indigenous breeds (</w:t>
      </w:r>
      <w:r w:rsidRPr="00857E1C">
        <w:rPr>
          <w:rFonts w:ascii="Times New Roman" w:eastAsia="Calibri" w:hAnsi="Times New Roman" w:cs="Times New Roman"/>
          <w:sz w:val="24"/>
          <w:szCs w:val="24"/>
        </w:rPr>
        <w:t xml:space="preserve">indigenous </w:t>
      </w:r>
      <w:r w:rsidRPr="00857E1C">
        <w:rPr>
          <w:rFonts w:ascii="Times New Roman" w:eastAsia="Calibri" w:hAnsi="Times New Roman" w:cs="Times New Roman"/>
          <w:bCs/>
          <w:i/>
          <w:iCs/>
          <w:sz w:val="24"/>
          <w:szCs w:val="24"/>
          <w:lang w:val="en-US"/>
        </w:rPr>
        <w:t>Siruvidai</w:t>
      </w:r>
      <w:r w:rsidRPr="00857E1C">
        <w:rPr>
          <w:rFonts w:ascii="Times New Roman" w:eastAsia="Calibri" w:hAnsi="Times New Roman" w:cs="Times New Roman"/>
          <w:bCs/>
          <w:sz w:val="24"/>
          <w:szCs w:val="24"/>
          <w:lang w:val="en-US"/>
        </w:rPr>
        <w:t xml:space="preserve"> and TANUVAS Aseel) exhibit a more stable, adaptive thermotolerance strategy with moderate HSP70 induction, whereas White Leghorn layers displayed a heightened, reactive stress response. Commercial broilers, with their downregulated HSP70 expression, appear particularly vulnerable to thermal challenges. These results underscored the importance of incorporating thermotolerance traits into breeding programs for commercial poultry to improve resilience under climate change scenarios.</w:t>
      </w:r>
    </w:p>
    <w:p w14:paraId="22308B72" w14:textId="382A7174" w:rsidR="00857E1C" w:rsidRPr="00857E1C" w:rsidRDefault="00190212" w:rsidP="00857E1C">
      <w:pPr>
        <w:tabs>
          <w:tab w:val="left" w:pos="567"/>
          <w:tab w:val="left" w:pos="709"/>
        </w:tabs>
        <w:spacing w:afterLines="60" w:after="144" w:line="360" w:lineRule="auto"/>
        <w:jc w:val="both"/>
        <w:rPr>
          <w:rFonts w:ascii="Times New Roman" w:eastAsia="Calibri" w:hAnsi="Times New Roman" w:cs="Times New Roman"/>
          <w:b/>
          <w:kern w:val="2"/>
          <w:sz w:val="24"/>
          <w:szCs w:val="24"/>
          <w:lang w:val="en-US" w:bidi="mr-IN"/>
          <w14:ligatures w14:val="standardContextual"/>
        </w:rPr>
      </w:pPr>
      <w:r>
        <w:rPr>
          <w:rFonts w:ascii="Times New Roman" w:eastAsia="Calibri" w:hAnsi="Times New Roman" w:cs="Times New Roman"/>
          <w:b/>
          <w:kern w:val="2"/>
          <w:sz w:val="24"/>
          <w:szCs w:val="24"/>
          <w:lang w:val="en-US" w:bidi="mr-IN"/>
          <w14:ligatures w14:val="standardContextual"/>
        </w:rPr>
        <w:t>3.</w:t>
      </w:r>
      <w:r w:rsidR="007A787E">
        <w:rPr>
          <w:rFonts w:ascii="Times New Roman" w:eastAsia="Calibri" w:hAnsi="Times New Roman" w:cs="Times New Roman"/>
          <w:b/>
          <w:kern w:val="2"/>
          <w:sz w:val="24"/>
          <w:szCs w:val="24"/>
          <w:lang w:val="en-US" w:bidi="mr-IN"/>
          <w14:ligatures w14:val="standardContextual"/>
        </w:rPr>
        <w:t>1.</w:t>
      </w:r>
      <w:r>
        <w:rPr>
          <w:rFonts w:ascii="Times New Roman" w:eastAsia="Calibri" w:hAnsi="Times New Roman" w:cs="Times New Roman"/>
          <w:b/>
          <w:kern w:val="2"/>
          <w:sz w:val="24"/>
          <w:szCs w:val="24"/>
          <w:lang w:val="en-US" w:bidi="mr-IN"/>
          <w14:ligatures w14:val="standardContextual"/>
        </w:rPr>
        <w:t>3</w:t>
      </w:r>
      <w:r w:rsidR="00857E1C" w:rsidRPr="00857E1C">
        <w:rPr>
          <w:rFonts w:ascii="Times New Roman" w:eastAsia="Calibri" w:hAnsi="Times New Roman" w:cs="Times New Roman"/>
          <w:b/>
          <w:kern w:val="2"/>
          <w:sz w:val="24"/>
          <w:szCs w:val="24"/>
          <w:lang w:val="en-US" w:bidi="mr-IN"/>
          <w14:ligatures w14:val="standardContextual"/>
        </w:rPr>
        <w:t xml:space="preserve">.   </w:t>
      </w:r>
      <w:r w:rsidR="00310D47" w:rsidRPr="00857E1C">
        <w:rPr>
          <w:rFonts w:ascii="Times New Roman" w:eastAsia="Times New Roman" w:hAnsi="Times New Roman" w:cs="Times New Roman"/>
          <w:b/>
          <w:bCs/>
          <w:color w:val="000000"/>
          <w:sz w:val="24"/>
          <w:szCs w:val="24"/>
          <w:lang w:eastAsia="en-IN"/>
        </w:rPr>
        <w:t>Express</w:t>
      </w:r>
      <w:r w:rsidR="00310D47">
        <w:rPr>
          <w:rFonts w:ascii="Times New Roman" w:eastAsia="Times New Roman" w:hAnsi="Times New Roman" w:cs="Times New Roman"/>
          <w:b/>
          <w:bCs/>
          <w:color w:val="000000"/>
          <w:sz w:val="24"/>
          <w:szCs w:val="24"/>
          <w:lang w:eastAsia="en-IN"/>
        </w:rPr>
        <w:t>ion of Heat Shock Proteins (</w:t>
      </w:r>
      <w:r w:rsidR="00857E1C" w:rsidRPr="00857E1C">
        <w:rPr>
          <w:rFonts w:ascii="Times New Roman" w:eastAsia="Calibri" w:hAnsi="Times New Roman" w:cs="Times New Roman"/>
          <w:b/>
          <w:kern w:val="2"/>
          <w:sz w:val="24"/>
          <w:szCs w:val="24"/>
          <w:lang w:val="en-US" w:bidi="mr-IN"/>
          <w14:ligatures w14:val="standardContextual"/>
        </w:rPr>
        <w:t>HSP 90 Gene</w:t>
      </w:r>
      <w:r w:rsidR="00310D47">
        <w:rPr>
          <w:rFonts w:ascii="Times New Roman" w:eastAsia="Calibri" w:hAnsi="Times New Roman" w:cs="Times New Roman"/>
          <w:b/>
          <w:kern w:val="2"/>
          <w:sz w:val="24"/>
          <w:szCs w:val="24"/>
          <w:lang w:val="en-US" w:bidi="mr-IN"/>
          <w14:ligatures w14:val="standardContextual"/>
        </w:rPr>
        <w:t>)</w:t>
      </w:r>
    </w:p>
    <w:p w14:paraId="3B62518E" w14:textId="18708A63"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 xml:space="preserve">The expression analysis of HSP90 revealed a marked breed-dependent response to acute heat stress (38±1 °C for 1 h). Among the four genetic groups, </w:t>
      </w:r>
      <w:r w:rsidRPr="00857E1C">
        <w:rPr>
          <w:rFonts w:ascii="Times New Roman" w:eastAsia="Calibri" w:hAnsi="Times New Roman" w:cs="Times New Roman"/>
          <w:sz w:val="24"/>
          <w:szCs w:val="24"/>
        </w:rPr>
        <w:t xml:space="preserve">indigenous </w:t>
      </w:r>
      <w:r w:rsidRPr="00857E1C">
        <w:rPr>
          <w:rFonts w:ascii="Times New Roman" w:eastAsia="Calibri" w:hAnsi="Times New Roman" w:cs="Times New Roman"/>
          <w:i/>
          <w:iCs/>
          <w:kern w:val="2"/>
          <w:sz w:val="24"/>
          <w:szCs w:val="24"/>
          <w:lang w:val="en-US" w:bidi="mr-IN"/>
          <w14:ligatures w14:val="standardContextual"/>
        </w:rPr>
        <w:t>Siruvidai</w:t>
      </w:r>
      <w:r w:rsidRPr="00857E1C">
        <w:rPr>
          <w:rFonts w:ascii="Times New Roman" w:eastAsia="Calibri" w:hAnsi="Times New Roman" w:cs="Times New Roman"/>
          <w:kern w:val="2"/>
          <w:sz w:val="24"/>
          <w:szCs w:val="24"/>
          <w:lang w:val="en-US" w:bidi="mr-IN"/>
          <w14:ligatures w14:val="standardContextual"/>
        </w:rPr>
        <w:t xml:space="preserve"> birds exhibited a strong upregulation of HSP90 (4.76</w:t>
      </w:r>
      <w:r w:rsidR="0024520D">
        <w:rPr>
          <w:rFonts w:ascii="Times New Roman" w:eastAsia="Calibri" w:hAnsi="Times New Roman" w:cs="Times New Roman"/>
          <w:kern w:val="2"/>
          <w:sz w:val="24"/>
          <w:szCs w:val="24"/>
          <w:lang w:val="en-US" w:bidi="mr-IN"/>
          <w14:ligatures w14:val="standardContextual"/>
        </w:rPr>
        <w:t xml:space="preserve"> </w:t>
      </w:r>
      <w:r w:rsidR="0024520D" w:rsidRPr="003702AE">
        <w:rPr>
          <w:rFonts w:ascii="Times New Roman" w:eastAsia="Times New Roman" w:hAnsi="Times New Roman" w:cs="Times New Roman"/>
          <w:b/>
          <w:bCs/>
          <w:sz w:val="24"/>
          <w:szCs w:val="24"/>
          <w:lang w:val="en-US"/>
        </w:rPr>
        <w:t xml:space="preserve">± </w:t>
      </w:r>
      <w:r w:rsidR="0024520D" w:rsidRPr="0024520D">
        <w:rPr>
          <w:rFonts w:ascii="Times New Roman" w:eastAsia="Times New Roman" w:hAnsi="Times New Roman" w:cs="Times New Roman"/>
          <w:sz w:val="24"/>
          <w:szCs w:val="24"/>
          <w:lang w:val="en-US"/>
        </w:rPr>
        <w:t>0.20</w:t>
      </w:r>
      <w:r w:rsidRPr="00857E1C">
        <w:rPr>
          <w:rFonts w:ascii="Times New Roman" w:eastAsia="Calibri" w:hAnsi="Times New Roman" w:cs="Times New Roman"/>
          <w:kern w:val="2"/>
          <w:sz w:val="24"/>
          <w:szCs w:val="24"/>
          <w:lang w:val="en-US" w:bidi="mr-IN"/>
          <w14:ligatures w14:val="standardContextual"/>
        </w:rPr>
        <w:t xml:space="preserve">-fold) relative to their untreated controls, </w:t>
      </w:r>
      <w:r w:rsidRPr="00857E1C">
        <w:rPr>
          <w:rFonts w:ascii="Times New Roman" w:eastAsia="Calibri" w:hAnsi="Times New Roman" w:cs="Times New Roman"/>
          <w:kern w:val="2"/>
          <w:sz w:val="24"/>
          <w:szCs w:val="24"/>
          <w:lang w:val="en-US" w:bidi="mr-IN"/>
          <w14:ligatures w14:val="standardContextual"/>
        </w:rPr>
        <w:lastRenderedPageBreak/>
        <w:t>whereas TANUVAS Aseel (0.63</w:t>
      </w:r>
      <w:r w:rsidR="0024520D">
        <w:rPr>
          <w:rFonts w:ascii="Times New Roman" w:eastAsia="Calibri" w:hAnsi="Times New Roman" w:cs="Times New Roman"/>
          <w:kern w:val="2"/>
          <w:sz w:val="24"/>
          <w:szCs w:val="24"/>
          <w:lang w:val="en-US" w:bidi="mr-IN"/>
          <w14:ligatures w14:val="standardContextual"/>
        </w:rPr>
        <w:t xml:space="preserve"> </w:t>
      </w:r>
      <w:r w:rsidR="0024520D" w:rsidRPr="0024520D">
        <w:rPr>
          <w:rFonts w:ascii="Times New Roman" w:eastAsia="Times New Roman" w:hAnsi="Times New Roman" w:cs="Times New Roman"/>
          <w:sz w:val="24"/>
          <w:szCs w:val="24"/>
          <w:lang w:val="en-US"/>
        </w:rPr>
        <w:t>± 0.07</w:t>
      </w:r>
      <w:r w:rsidRPr="00857E1C">
        <w:rPr>
          <w:rFonts w:ascii="Times New Roman" w:eastAsia="Calibri" w:hAnsi="Times New Roman" w:cs="Times New Roman"/>
          <w:kern w:val="2"/>
          <w:sz w:val="24"/>
          <w:szCs w:val="24"/>
          <w:lang w:val="en-US" w:bidi="mr-IN"/>
          <w14:ligatures w14:val="standardContextual"/>
        </w:rPr>
        <w:t>-fold), White Leghorn (0.17</w:t>
      </w:r>
      <w:r w:rsidR="0024520D">
        <w:rPr>
          <w:rFonts w:ascii="Times New Roman" w:eastAsia="Calibri" w:hAnsi="Times New Roman" w:cs="Times New Roman"/>
          <w:kern w:val="2"/>
          <w:sz w:val="24"/>
          <w:szCs w:val="24"/>
          <w:lang w:val="en-US" w:bidi="mr-IN"/>
          <w14:ligatures w14:val="standardContextual"/>
        </w:rPr>
        <w:t xml:space="preserve"> </w:t>
      </w:r>
      <w:r w:rsidR="008F0323">
        <w:rPr>
          <w:rFonts w:ascii="Times New Roman" w:eastAsia="Times New Roman" w:hAnsi="Times New Roman" w:cs="Times New Roman"/>
          <w:sz w:val="24"/>
          <w:szCs w:val="24"/>
          <w:lang w:val="en-US"/>
        </w:rPr>
        <w:t xml:space="preserve">± </w:t>
      </w:r>
      <w:r w:rsidR="0024520D" w:rsidRPr="0024520D">
        <w:rPr>
          <w:rFonts w:ascii="Times New Roman" w:eastAsia="Times New Roman" w:hAnsi="Times New Roman" w:cs="Times New Roman"/>
          <w:sz w:val="24"/>
          <w:szCs w:val="24"/>
          <w:lang w:val="en-US"/>
        </w:rPr>
        <w:t>0.03</w:t>
      </w:r>
      <w:r w:rsidRPr="00857E1C">
        <w:rPr>
          <w:rFonts w:ascii="Times New Roman" w:eastAsia="Calibri" w:hAnsi="Times New Roman" w:cs="Times New Roman"/>
          <w:kern w:val="2"/>
          <w:sz w:val="24"/>
          <w:szCs w:val="24"/>
          <w:lang w:val="en-US" w:bidi="mr-IN"/>
          <w14:ligatures w14:val="standardContextual"/>
        </w:rPr>
        <w:t>fold), and commercial broilers (0.18</w:t>
      </w:r>
      <w:r w:rsidR="0024520D">
        <w:rPr>
          <w:rFonts w:ascii="Times New Roman" w:eastAsia="Calibri" w:hAnsi="Times New Roman" w:cs="Times New Roman"/>
          <w:kern w:val="2"/>
          <w:sz w:val="24"/>
          <w:szCs w:val="24"/>
          <w:lang w:val="en-US" w:bidi="mr-IN"/>
          <w14:ligatures w14:val="standardContextual"/>
        </w:rPr>
        <w:t xml:space="preserve"> </w:t>
      </w:r>
      <w:r w:rsidR="0024520D" w:rsidRPr="0024520D">
        <w:rPr>
          <w:rFonts w:ascii="Times New Roman" w:eastAsia="Times New Roman" w:hAnsi="Times New Roman" w:cs="Times New Roman"/>
          <w:sz w:val="24"/>
          <w:szCs w:val="24"/>
          <w:lang w:val="en-US"/>
        </w:rPr>
        <w:t>± 0.04</w:t>
      </w:r>
      <w:r w:rsidR="0024520D">
        <w:rPr>
          <w:rFonts w:ascii="Times New Roman" w:eastAsia="Calibri" w:hAnsi="Times New Roman" w:cs="Times New Roman"/>
          <w:kern w:val="2"/>
          <w:sz w:val="24"/>
          <w:szCs w:val="24"/>
          <w:lang w:val="en-US" w:bidi="mr-IN"/>
          <w14:ligatures w14:val="standardContextual"/>
        </w:rPr>
        <w:t xml:space="preserve"> </w:t>
      </w:r>
      <w:r w:rsidRPr="00857E1C">
        <w:rPr>
          <w:rFonts w:ascii="Times New Roman" w:eastAsia="Calibri" w:hAnsi="Times New Roman" w:cs="Times New Roman"/>
          <w:kern w:val="2"/>
          <w:sz w:val="24"/>
          <w:szCs w:val="24"/>
          <w:lang w:val="en-US" w:bidi="mr-IN"/>
          <w14:ligatures w14:val="standardContextual"/>
        </w:rPr>
        <w:t>fold) showed significant downregulation following heat treatment. (Table 2 and Figure 1)</w:t>
      </w:r>
    </w:p>
    <w:p w14:paraId="45DF96D1" w14:textId="6D712F86"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The robust HSP90 induction observed in</w:t>
      </w:r>
      <w:r w:rsidRPr="00857E1C">
        <w:rPr>
          <w:rFonts w:ascii="Times New Roman" w:eastAsia="Calibri" w:hAnsi="Times New Roman" w:cs="Times New Roman"/>
          <w:sz w:val="24"/>
          <w:szCs w:val="24"/>
        </w:rPr>
        <w:t xml:space="preserve"> indigenous</w:t>
      </w:r>
      <w:r w:rsidRPr="00857E1C">
        <w:rPr>
          <w:rFonts w:ascii="Times New Roman" w:eastAsia="Calibri" w:hAnsi="Times New Roman" w:cs="Times New Roman"/>
          <w:kern w:val="2"/>
          <w:sz w:val="24"/>
          <w:szCs w:val="24"/>
          <w:lang w:val="en-US" w:bidi="mr-IN"/>
          <w14:ligatures w14:val="standardContextual"/>
        </w:rPr>
        <w:t xml:space="preserve"> </w:t>
      </w:r>
      <w:r w:rsidRPr="00857E1C">
        <w:rPr>
          <w:rFonts w:ascii="Times New Roman" w:eastAsia="Calibri" w:hAnsi="Times New Roman" w:cs="Times New Roman"/>
          <w:i/>
          <w:iCs/>
          <w:kern w:val="2"/>
          <w:sz w:val="24"/>
          <w:szCs w:val="24"/>
          <w:lang w:val="en-US" w:bidi="mr-IN"/>
          <w14:ligatures w14:val="standardContextual"/>
        </w:rPr>
        <w:t>Siruvidai</w:t>
      </w:r>
      <w:r w:rsidRPr="00857E1C">
        <w:rPr>
          <w:rFonts w:ascii="Times New Roman" w:eastAsia="Calibri" w:hAnsi="Times New Roman" w:cs="Times New Roman"/>
          <w:kern w:val="2"/>
          <w:sz w:val="24"/>
          <w:szCs w:val="24"/>
          <w:lang w:val="en-US" w:bidi="mr-IN"/>
          <w14:ligatures w14:val="standardContextual"/>
        </w:rPr>
        <w:t xml:space="preserve"> suggested an active and sustained chaperone-mediated cytoprotection under thermal stress. HSP90 was known to stabilize key client proteins such as steroid hormone receptors, kinases, and transcription factors, thereby ensuring proper cellular signaling and protein refolding during prolonged stress. These findings were in agreement with </w:t>
      </w:r>
      <w:r w:rsidRPr="00857E1C">
        <w:rPr>
          <w:rFonts w:ascii="Times New Roman" w:eastAsia="Calibri" w:hAnsi="Times New Roman" w:cs="Times New Roman"/>
          <w:color w:val="000000" w:themeColor="text1"/>
          <w:kern w:val="2"/>
          <w:sz w:val="24"/>
          <w:szCs w:val="24"/>
          <w:lang w:val="en-US" w:bidi="mr-IN"/>
          <w14:ligatures w14:val="standardContextual"/>
        </w:rPr>
        <w:t xml:space="preserve">Cedraz </w:t>
      </w:r>
      <w:r w:rsidRPr="00857E1C">
        <w:rPr>
          <w:rFonts w:ascii="Times New Roman" w:eastAsia="Calibri" w:hAnsi="Times New Roman" w:cs="Times New Roman"/>
          <w:kern w:val="2"/>
          <w:sz w:val="24"/>
          <w:szCs w:val="24"/>
          <w:lang w:val="en-US" w:bidi="mr-IN"/>
          <w14:ligatures w14:val="standardContextual"/>
        </w:rPr>
        <w:t xml:space="preserve">et al. (2017), who reported higher HSP90 expression in native Brazilian breeds compared with commercial lines during thermal challenge, highlighting the adaptive advantage of indigenous birds. </w:t>
      </w:r>
    </w:p>
    <w:p w14:paraId="2DA9AEC9" w14:textId="2496B05E" w:rsidR="00857E1C" w:rsidRPr="00E1228A" w:rsidRDefault="00857E1C" w:rsidP="0091381A">
      <w:pPr>
        <w:spacing w:afterLines="60" w:after="144" w:line="360" w:lineRule="auto"/>
        <w:ind w:firstLine="720"/>
        <w:jc w:val="both"/>
        <w:rPr>
          <w:rFonts w:ascii="Times New Roman" w:eastAsia="Calibri" w:hAnsi="Times New Roman" w:cs="Times New Roman"/>
          <w:color w:val="FF0000"/>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 xml:space="preserve">In contrast, TANUVAS Aseel showed mild downregulation (0.63-fold), which might represent a tissue-specific regulatory response, as this hardy native breed might rely more on constitutive antioxidant mechanisms and less on inducible HSP90 upregulation for thermotolerance. </w:t>
      </w:r>
      <w:r w:rsidR="0091381A" w:rsidRPr="00857E1C">
        <w:rPr>
          <w:rFonts w:ascii="Times New Roman" w:eastAsia="Calibri" w:hAnsi="Times New Roman" w:cs="Times New Roman"/>
          <w:kern w:val="2"/>
          <w:sz w:val="24"/>
          <w:szCs w:val="24"/>
          <w:lang w:val="en-US" w:bidi="mr-IN"/>
          <w14:ligatures w14:val="standardContextual"/>
        </w:rPr>
        <w:t xml:space="preserve">This observation was consistent with </w:t>
      </w:r>
      <w:r w:rsidR="0091381A" w:rsidRPr="00857E1C">
        <w:rPr>
          <w:rFonts w:ascii="Times New Roman" w:eastAsia="Calibri" w:hAnsi="Times New Roman" w:cs="Times New Roman"/>
          <w:color w:val="000000" w:themeColor="text1"/>
          <w:kern w:val="2"/>
          <w:sz w:val="24"/>
          <w:szCs w:val="24"/>
          <w:lang w:val="en-US" w:bidi="mr-IN"/>
          <w14:ligatures w14:val="standardContextual"/>
        </w:rPr>
        <w:t xml:space="preserve">Nawaz </w:t>
      </w:r>
      <w:r w:rsidR="0091381A" w:rsidRPr="00857E1C">
        <w:rPr>
          <w:rFonts w:ascii="Times New Roman" w:eastAsia="Calibri" w:hAnsi="Times New Roman" w:cs="Times New Roman"/>
          <w:kern w:val="2"/>
          <w:sz w:val="24"/>
          <w:szCs w:val="24"/>
          <w:lang w:val="en-US" w:bidi="mr-IN"/>
          <w14:ligatures w14:val="standardContextual"/>
        </w:rPr>
        <w:t xml:space="preserve">et al. (2023), </w:t>
      </w:r>
      <w:r w:rsidR="0091381A">
        <w:rPr>
          <w:rFonts w:ascii="Times New Roman" w:eastAsia="Calibri" w:hAnsi="Times New Roman" w:cs="Times New Roman"/>
          <w:kern w:val="2"/>
          <w:sz w:val="24"/>
          <w:szCs w:val="24"/>
          <w:lang w:val="en-US" w:bidi="mr-IN"/>
          <w14:ligatures w14:val="standardContextual"/>
        </w:rPr>
        <w:t xml:space="preserve">reported that </w:t>
      </w:r>
      <w:r w:rsidR="0091381A" w:rsidRPr="00857E1C">
        <w:rPr>
          <w:rFonts w:ascii="Times New Roman" w:eastAsia="Calibri" w:hAnsi="Times New Roman" w:cs="Times New Roman"/>
          <w:kern w:val="2"/>
          <w:sz w:val="24"/>
          <w:szCs w:val="24"/>
          <w:lang w:val="en-US" w:bidi="mr-IN"/>
          <w14:ligatures w14:val="standardContextual"/>
        </w:rPr>
        <w:t xml:space="preserve">no significant changes in HSP90 expression in </w:t>
      </w:r>
      <w:r w:rsidR="0091381A" w:rsidRPr="00C47143">
        <w:rPr>
          <w:rFonts w:ascii="Times New Roman" w:eastAsia="Calibri" w:hAnsi="Times New Roman" w:cs="Times New Roman"/>
          <w:color w:val="FF0000"/>
          <w:kern w:val="2"/>
          <w:sz w:val="24"/>
          <w:szCs w:val="24"/>
          <w:lang w:val="en-US" w:bidi="mr-IN"/>
          <w14:ligatures w14:val="standardContextual"/>
        </w:rPr>
        <w:t>Normal yellow chicken (NYC) and Dwarf yellow chicken (DYC)</w:t>
      </w:r>
      <w:r w:rsidR="0091381A">
        <w:rPr>
          <w:rFonts w:ascii="Times New Roman" w:eastAsia="Calibri" w:hAnsi="Times New Roman" w:cs="Times New Roman"/>
          <w:color w:val="FF0000"/>
          <w:kern w:val="2"/>
          <w:sz w:val="24"/>
          <w:szCs w:val="24"/>
          <w:lang w:val="en-US" w:bidi="mr-IN"/>
          <w14:ligatures w14:val="standardContextual"/>
        </w:rPr>
        <w:t xml:space="preserve"> under heat stress.</w:t>
      </w:r>
      <w:r w:rsidR="0091381A" w:rsidRPr="00857E1C">
        <w:rPr>
          <w:rFonts w:ascii="Times New Roman" w:eastAsia="Calibri" w:hAnsi="Times New Roman" w:cs="Times New Roman"/>
          <w:kern w:val="2"/>
          <w:sz w:val="24"/>
          <w:szCs w:val="24"/>
          <w:lang w:val="en-US" w:bidi="mr-IN"/>
          <w14:ligatures w14:val="standardContextual"/>
        </w:rPr>
        <w:t xml:space="preserve"> </w:t>
      </w:r>
      <w:r w:rsidR="0091381A" w:rsidRPr="0091381A">
        <w:rPr>
          <w:rFonts w:ascii="Times New Roman" w:eastAsia="Calibri" w:hAnsi="Times New Roman" w:cs="Times New Roman"/>
          <w:color w:val="FF0000"/>
          <w:kern w:val="2"/>
          <w:sz w:val="24"/>
          <w:szCs w:val="24"/>
          <w:lang w:val="en-US" w:bidi="mr-IN"/>
          <w14:ligatures w14:val="standardContextual"/>
        </w:rPr>
        <w:t>Varun et al. (2023) reported that on the 84th day, the relative mRNA expression (fold change) of the HSP90 gene was significantly (P&lt;0.01) higher in both heat-exposed and control groups subjected to 39 ± 1°C for 4 hours daily, across all four chicken var</w:t>
      </w:r>
      <w:r w:rsidR="008F0323">
        <w:rPr>
          <w:rFonts w:ascii="Times New Roman" w:eastAsia="Calibri" w:hAnsi="Times New Roman" w:cs="Times New Roman"/>
          <w:color w:val="FF0000"/>
          <w:kern w:val="2"/>
          <w:sz w:val="24"/>
          <w:szCs w:val="24"/>
          <w:lang w:val="en-US" w:bidi="mr-IN"/>
          <w14:ligatures w14:val="standardContextual"/>
        </w:rPr>
        <w:t>ieties (</w:t>
      </w:r>
      <w:r w:rsidR="0091381A" w:rsidRPr="0091381A">
        <w:rPr>
          <w:rFonts w:ascii="Times New Roman" w:eastAsia="Calibri" w:hAnsi="Times New Roman" w:cs="Times New Roman"/>
          <w:color w:val="FF0000"/>
          <w:kern w:val="2"/>
          <w:sz w:val="24"/>
          <w:szCs w:val="24"/>
          <w:lang w:val="en-US" w:bidi="mr-IN"/>
          <w14:ligatures w14:val="standardContextual"/>
        </w:rPr>
        <w:t>Aseel (ASL), Naked Neck (NN), and their crossbreeds Aseel × Nandanam Chicken-4 (ARW) and Naked Neck × Nandanam Broiler-3 (NNB3).</w:t>
      </w:r>
      <w:r w:rsidRPr="00857E1C">
        <w:rPr>
          <w:rFonts w:ascii="Times New Roman" w:eastAsia="Calibri" w:hAnsi="Times New Roman" w:cs="Times New Roman"/>
          <w:kern w:val="2"/>
          <w:sz w:val="24"/>
          <w:szCs w:val="24"/>
          <w:lang w:val="en-US" w:bidi="mr-IN"/>
          <w14:ligatures w14:val="standardContextual"/>
        </w:rPr>
        <w:t xml:space="preserve"> </w:t>
      </w:r>
    </w:p>
    <w:p w14:paraId="61A32D35" w14:textId="4462EDA6" w:rsidR="00857E1C" w:rsidRPr="009C6BBD" w:rsidRDefault="00857E1C" w:rsidP="00310D47">
      <w:pPr>
        <w:spacing w:afterLines="60" w:after="144" w:line="360" w:lineRule="auto"/>
        <w:ind w:firstLine="720"/>
        <w:jc w:val="both"/>
        <w:rPr>
          <w:rFonts w:ascii="Times New Roman" w:eastAsia="Calibri" w:hAnsi="Times New Roman" w:cs="Times New Roman"/>
          <w:color w:val="FF0000"/>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White Leghorns demonstrated a sharp contrast between their strong HSP70 induction (7.57</w:t>
      </w:r>
      <w:r w:rsidR="008F0323">
        <w:rPr>
          <w:rFonts w:ascii="Times New Roman" w:eastAsia="Calibri" w:hAnsi="Times New Roman" w:cs="Times New Roman"/>
          <w:kern w:val="2"/>
          <w:sz w:val="24"/>
          <w:szCs w:val="24"/>
          <w:lang w:val="en-US" w:bidi="mr-IN"/>
          <w14:ligatures w14:val="standardContextual"/>
        </w:rPr>
        <w:t xml:space="preserve"> </w:t>
      </w:r>
      <w:r w:rsidR="008F0323" w:rsidRPr="008F0323">
        <w:rPr>
          <w:rFonts w:ascii="Times New Roman" w:eastAsia="Calibri" w:hAnsi="Times New Roman" w:cs="Times New Roman"/>
          <w:kern w:val="2"/>
          <w:sz w:val="24"/>
          <w:szCs w:val="24"/>
          <w:lang w:val="en-US" w:bidi="mr-IN"/>
          <w14:ligatures w14:val="standardContextual"/>
        </w:rPr>
        <w:t>± 0.31</w:t>
      </w:r>
      <w:r w:rsidRPr="00857E1C">
        <w:rPr>
          <w:rFonts w:ascii="Times New Roman" w:eastAsia="Calibri" w:hAnsi="Times New Roman" w:cs="Times New Roman"/>
          <w:kern w:val="2"/>
          <w:sz w:val="24"/>
          <w:szCs w:val="24"/>
          <w:lang w:val="en-US" w:bidi="mr-IN"/>
          <w14:ligatures w14:val="standardContextual"/>
        </w:rPr>
        <w:t>-fold) and marked HSP90 downregulation (0.17</w:t>
      </w:r>
      <w:r w:rsidR="008F0323">
        <w:rPr>
          <w:rFonts w:ascii="Times New Roman" w:eastAsia="Calibri" w:hAnsi="Times New Roman" w:cs="Times New Roman"/>
          <w:kern w:val="2"/>
          <w:sz w:val="24"/>
          <w:szCs w:val="24"/>
          <w:lang w:val="en-US" w:bidi="mr-IN"/>
          <w14:ligatures w14:val="standardContextual"/>
        </w:rPr>
        <w:t xml:space="preserve"> </w:t>
      </w:r>
      <w:r w:rsidR="008F0323" w:rsidRPr="008F0323">
        <w:rPr>
          <w:rFonts w:ascii="Times New Roman" w:eastAsia="Calibri" w:hAnsi="Times New Roman" w:cs="Times New Roman"/>
          <w:kern w:val="2"/>
          <w:sz w:val="24"/>
          <w:szCs w:val="24"/>
          <w:lang w:val="en-US" w:bidi="mr-IN"/>
          <w14:ligatures w14:val="standardContextual"/>
        </w:rPr>
        <w:t>± 0.03</w:t>
      </w:r>
      <w:r w:rsidRPr="00857E1C">
        <w:rPr>
          <w:rFonts w:ascii="Times New Roman" w:eastAsia="Calibri" w:hAnsi="Times New Roman" w:cs="Times New Roman"/>
          <w:kern w:val="2"/>
          <w:sz w:val="24"/>
          <w:szCs w:val="24"/>
          <w:lang w:val="en-US" w:bidi="mr-IN"/>
          <w14:ligatures w14:val="standardContextual"/>
        </w:rPr>
        <w:t xml:space="preserve">-fold). Similar patterns were reported by </w:t>
      </w:r>
      <w:r w:rsidRPr="00857E1C">
        <w:rPr>
          <w:rFonts w:ascii="Times New Roman" w:eastAsia="Calibri" w:hAnsi="Times New Roman" w:cs="Times New Roman"/>
          <w:color w:val="000000" w:themeColor="text1"/>
          <w:kern w:val="2"/>
          <w:sz w:val="24"/>
          <w:szCs w:val="24"/>
          <w:lang w:val="en-US" w:bidi="mr-IN"/>
          <w14:ligatures w14:val="standardContextual"/>
        </w:rPr>
        <w:t xml:space="preserve">Xie </w:t>
      </w:r>
      <w:r w:rsidRPr="00857E1C">
        <w:rPr>
          <w:rFonts w:ascii="Times New Roman" w:eastAsia="Calibri" w:hAnsi="Times New Roman" w:cs="Times New Roman"/>
          <w:kern w:val="2"/>
          <w:sz w:val="24"/>
          <w:szCs w:val="24"/>
          <w:lang w:val="en-US" w:bidi="mr-IN"/>
          <w14:ligatures w14:val="standardContextual"/>
        </w:rPr>
        <w:t>et al. (2014), who observed lower HSP90 induction in layers compared with native breeds under thermal stress. This differential pathway prioritization has also been highlighted in recent molecular studies showing that White Leghorns rely more heavily on inducible HSP70 while suppressing HSP90 during prolonged stress (</w:t>
      </w:r>
      <w:r w:rsidRPr="00857E1C">
        <w:rPr>
          <w:rFonts w:ascii="Times New Roman" w:eastAsia="Calibri" w:hAnsi="Times New Roman" w:cs="Times New Roman"/>
          <w:color w:val="000000" w:themeColor="text1"/>
          <w:kern w:val="2"/>
          <w:sz w:val="24"/>
          <w:szCs w:val="24"/>
          <w:lang w:val="en-US" w:bidi="mr-IN"/>
          <w14:ligatures w14:val="standardContextual"/>
        </w:rPr>
        <w:t>Zhang</w:t>
      </w:r>
      <w:r w:rsidRPr="00857E1C">
        <w:rPr>
          <w:rFonts w:ascii="Times New Roman" w:eastAsia="Calibri" w:hAnsi="Times New Roman" w:cs="Times New Roman"/>
          <w:kern w:val="2"/>
          <w:sz w:val="24"/>
          <w:szCs w:val="24"/>
          <w:lang w:val="en-US" w:bidi="mr-IN"/>
          <w14:ligatures w14:val="standardContextual"/>
        </w:rPr>
        <w:t xml:space="preserve"> et al., 2022). Such selective pathway activation might render White Leghorns more vulnerable to chronic or repeated heat stress, as their reliance on short-term HSP70 responses might not fully protect against prolonged protein denaturation. </w:t>
      </w:r>
    </w:p>
    <w:p w14:paraId="4C0A4270"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 xml:space="preserve">Commercial broilers exhibited the most pronounced suppression of HSP90 (0.18-fold), indicating impaired stress signaling and a blunted molecular chaperone response. This observation was consistent with Zhou et al. (2019), who reported reduced HSP90 expression </w:t>
      </w:r>
      <w:r w:rsidRPr="00857E1C">
        <w:rPr>
          <w:rFonts w:ascii="Times New Roman" w:eastAsia="Calibri" w:hAnsi="Times New Roman" w:cs="Times New Roman"/>
          <w:kern w:val="2"/>
          <w:sz w:val="24"/>
          <w:szCs w:val="24"/>
          <w:lang w:val="en-US" w:bidi="mr-IN"/>
          <w14:ligatures w14:val="standardContextual"/>
        </w:rPr>
        <w:lastRenderedPageBreak/>
        <w:t>in broilers under heat stress, likely due to metabolic trade-offs prioritizing rapid growth over cellular resilience. The lack of adequate HSP90 induction could predispose broilers to higher levels of protein misfolding and cellular damage under heat stress, compromising both performance and welfare. Recent transcriptomic studies further confirm that broilers show widespread downregulation of chaperone genes, including HSP90, under high ambient temperatures (</w:t>
      </w:r>
      <w:r w:rsidRPr="00857E1C">
        <w:rPr>
          <w:rFonts w:ascii="Times New Roman" w:eastAsia="Calibri" w:hAnsi="Times New Roman" w:cs="Times New Roman"/>
          <w:color w:val="000000" w:themeColor="text1"/>
          <w:kern w:val="2"/>
          <w:sz w:val="24"/>
          <w:szCs w:val="24"/>
          <w:lang w:val="en-US" w:bidi="mr-IN"/>
          <w14:ligatures w14:val="standardContextual"/>
        </w:rPr>
        <w:t>Li</w:t>
      </w:r>
      <w:r w:rsidRPr="00857E1C">
        <w:rPr>
          <w:rFonts w:ascii="Times New Roman" w:eastAsia="Calibri" w:hAnsi="Times New Roman" w:cs="Times New Roman"/>
          <w:color w:val="FF0000"/>
          <w:kern w:val="2"/>
          <w:sz w:val="24"/>
          <w:szCs w:val="24"/>
          <w:lang w:val="en-US" w:bidi="mr-IN"/>
          <w14:ligatures w14:val="standardContextual"/>
        </w:rPr>
        <w:t xml:space="preserve"> </w:t>
      </w:r>
      <w:r w:rsidRPr="00857E1C">
        <w:rPr>
          <w:rFonts w:ascii="Times New Roman" w:eastAsia="Calibri" w:hAnsi="Times New Roman" w:cs="Times New Roman"/>
          <w:kern w:val="2"/>
          <w:sz w:val="24"/>
          <w:szCs w:val="24"/>
          <w:lang w:val="en-US" w:bidi="mr-IN"/>
          <w14:ligatures w14:val="standardContextual"/>
        </w:rPr>
        <w:t>et al., 2021).</w:t>
      </w:r>
    </w:p>
    <w:p w14:paraId="40A3AA04" w14:textId="77777777" w:rsidR="00857E1C" w:rsidRPr="00857E1C" w:rsidRDefault="00857E1C" w:rsidP="00310D47">
      <w:pPr>
        <w:spacing w:afterLines="60" w:after="144" w:line="360" w:lineRule="auto"/>
        <w:ind w:firstLine="720"/>
        <w:jc w:val="both"/>
        <w:rPr>
          <w:rFonts w:ascii="Times New Roman" w:eastAsia="Calibri" w:hAnsi="Times New Roman" w:cs="Times New Roman"/>
          <w:kern w:val="2"/>
          <w:sz w:val="24"/>
          <w:szCs w:val="24"/>
          <w:lang w:val="en-US" w:bidi="mr-IN"/>
          <w14:ligatures w14:val="standardContextual"/>
        </w:rPr>
      </w:pPr>
      <w:r w:rsidRPr="00857E1C">
        <w:rPr>
          <w:rFonts w:ascii="Times New Roman" w:eastAsia="Calibri" w:hAnsi="Times New Roman" w:cs="Times New Roman"/>
          <w:kern w:val="2"/>
          <w:sz w:val="24"/>
          <w:szCs w:val="24"/>
          <w:lang w:val="en-US" w:bidi="mr-IN"/>
          <w14:ligatures w14:val="standardContextual"/>
        </w:rPr>
        <w:t>Collectively, these results highlight that HSP90 expression was strongly inducible in heat-tolerant native breeds such as</w:t>
      </w:r>
      <w:r w:rsidRPr="00857E1C">
        <w:rPr>
          <w:rFonts w:ascii="Times New Roman" w:eastAsia="Calibri" w:hAnsi="Times New Roman" w:cs="Times New Roman"/>
          <w:sz w:val="24"/>
          <w:szCs w:val="24"/>
        </w:rPr>
        <w:t xml:space="preserve"> indigenous</w:t>
      </w:r>
      <w:r w:rsidRPr="00857E1C">
        <w:rPr>
          <w:rFonts w:ascii="Times New Roman" w:eastAsia="Calibri" w:hAnsi="Times New Roman" w:cs="Times New Roman"/>
          <w:kern w:val="2"/>
          <w:sz w:val="24"/>
          <w:szCs w:val="24"/>
          <w:lang w:val="en-US" w:bidi="mr-IN"/>
          <w14:ligatures w14:val="standardContextual"/>
        </w:rPr>
        <w:t xml:space="preserve"> </w:t>
      </w:r>
      <w:r w:rsidRPr="00857E1C">
        <w:rPr>
          <w:rFonts w:ascii="Times New Roman" w:eastAsia="Calibri" w:hAnsi="Times New Roman" w:cs="Times New Roman"/>
          <w:i/>
          <w:iCs/>
          <w:kern w:val="2"/>
          <w:sz w:val="24"/>
          <w:szCs w:val="24"/>
          <w:lang w:val="en-US" w:bidi="mr-IN"/>
          <w14:ligatures w14:val="standardContextual"/>
        </w:rPr>
        <w:t>Siruvidai</w:t>
      </w:r>
      <w:r w:rsidRPr="00857E1C">
        <w:rPr>
          <w:rFonts w:ascii="Times New Roman" w:eastAsia="Calibri" w:hAnsi="Times New Roman" w:cs="Times New Roman"/>
          <w:kern w:val="2"/>
          <w:sz w:val="24"/>
          <w:szCs w:val="24"/>
          <w:lang w:val="en-US" w:bidi="mr-IN"/>
          <w14:ligatures w14:val="standardContextual"/>
        </w:rPr>
        <w:t>, whereas exotic and commercial lines either fail to upregulate or actively downregulate this critical chaperone under thermal challenge. This underscored the importance of incorporating HSP90-related thermotolerance markers in genetic selection and breeding programs aimed at improving heat resilience in commercial poultry populations.</w:t>
      </w:r>
    </w:p>
    <w:p w14:paraId="61BE216F" w14:textId="77777777" w:rsidR="00857E1C" w:rsidRPr="00857E1C" w:rsidRDefault="00857E1C" w:rsidP="00857E1C">
      <w:pPr>
        <w:tabs>
          <w:tab w:val="left" w:pos="567"/>
        </w:tabs>
        <w:spacing w:before="100" w:beforeAutospacing="1" w:after="100" w:afterAutospacing="1" w:line="360" w:lineRule="auto"/>
        <w:outlineLvl w:val="2"/>
        <w:rPr>
          <w:rFonts w:ascii="Times New Roman" w:eastAsia="Times New Roman" w:hAnsi="Times New Roman" w:cs="Times New Roman"/>
          <w:b/>
          <w:bCs/>
          <w:sz w:val="24"/>
          <w:szCs w:val="24"/>
          <w:lang w:val="en-US"/>
        </w:rPr>
      </w:pPr>
      <w:r w:rsidRPr="00857E1C">
        <w:rPr>
          <w:rFonts w:ascii="Times New Roman" w:eastAsia="Times New Roman" w:hAnsi="Times New Roman" w:cs="Times New Roman"/>
          <w:b/>
          <w:bCs/>
          <w:sz w:val="24"/>
          <w:szCs w:val="24"/>
          <w:lang w:val="en-US"/>
        </w:rPr>
        <w:t>4.0.   CONCLUSION</w:t>
      </w:r>
    </w:p>
    <w:p w14:paraId="76FC97F9" w14:textId="1FCB867B" w:rsidR="00190212" w:rsidRDefault="00857E1C" w:rsidP="00190212">
      <w:pPr>
        <w:spacing w:line="360" w:lineRule="auto"/>
        <w:ind w:firstLine="720"/>
        <w:jc w:val="both"/>
        <w:rPr>
          <w:rFonts w:ascii="Times New Roman" w:eastAsia="Calibri" w:hAnsi="Times New Roman" w:cs="Times New Roman"/>
          <w:sz w:val="24"/>
          <w:szCs w:val="24"/>
        </w:rPr>
      </w:pPr>
      <w:r w:rsidRPr="00857E1C">
        <w:rPr>
          <w:rFonts w:ascii="Times New Roman" w:eastAsia="Times New Roman" w:hAnsi="Times New Roman" w:cs="Times New Roman"/>
          <w:sz w:val="24"/>
          <w:szCs w:val="24"/>
          <w:lang w:eastAsia="en-IN" w:bidi="ta-IN"/>
        </w:rPr>
        <w:t xml:space="preserve">Siruvidai birds showed balanced HSP70 induction and strong HSP90 upregulation, indicating efficient adaptive thermotolerance. TANUVAS Aseel exhibited minimal HSP modulation, suggesting inherent stability. White Leghorns displayed high HSP70 but low HSP90 expression, reflecting a reactive stress response. Broilers downregulated both genes, indicating poor stress resilience. </w:t>
      </w:r>
      <w:r w:rsidRPr="00190212">
        <w:rPr>
          <w:rFonts w:ascii="Times New Roman" w:eastAsia="Times New Roman" w:hAnsi="Times New Roman" w:cs="Times New Roman"/>
          <w:color w:val="FF0000"/>
          <w:sz w:val="24"/>
          <w:szCs w:val="24"/>
          <w:lang w:eastAsia="en-IN" w:bidi="ta-IN"/>
        </w:rPr>
        <w:t xml:space="preserve">These findings </w:t>
      </w:r>
      <w:r w:rsidR="00190212" w:rsidRPr="00190212">
        <w:rPr>
          <w:rFonts w:ascii="Times New Roman" w:eastAsia="Calibri" w:hAnsi="Times New Roman" w:cs="Times New Roman"/>
          <w:color w:val="FF0000"/>
          <w:sz w:val="24"/>
          <w:szCs w:val="24"/>
        </w:rPr>
        <w:t>support the influence of genetic background on heat resilience and the value of HSP expression markers in climate-adaptive poultry breeding program</w:t>
      </w:r>
      <w:r w:rsidR="00190212" w:rsidRPr="00190212">
        <w:rPr>
          <w:rFonts w:ascii="Times New Roman" w:eastAsia="Calibri" w:hAnsi="Times New Roman" w:cs="Times New Roman"/>
          <w:sz w:val="24"/>
          <w:szCs w:val="24"/>
        </w:rPr>
        <w:t>s</w:t>
      </w:r>
      <w:r w:rsidR="00190212">
        <w:rPr>
          <w:rFonts w:ascii="Times New Roman" w:eastAsia="Calibri" w:hAnsi="Times New Roman" w:cs="Times New Roman"/>
          <w:sz w:val="24"/>
          <w:szCs w:val="24"/>
        </w:rPr>
        <w:t xml:space="preserve"> and </w:t>
      </w:r>
      <w:r w:rsidRPr="00857E1C">
        <w:rPr>
          <w:rFonts w:ascii="Times New Roman" w:eastAsia="Times New Roman" w:hAnsi="Times New Roman" w:cs="Times New Roman"/>
          <w:sz w:val="24"/>
          <w:szCs w:val="24"/>
          <w:lang w:eastAsia="en-IN" w:bidi="ta-IN"/>
        </w:rPr>
        <w:t>emphasized the thermotolerance superiority of native breeds and the value of HSP markers in breeding programs for climate-resilient poultry production.</w:t>
      </w:r>
      <w:r w:rsidR="00190212" w:rsidRPr="00190212">
        <w:rPr>
          <w:rFonts w:ascii="Times New Roman" w:eastAsia="Calibri" w:hAnsi="Times New Roman" w:cs="Times New Roman"/>
          <w:sz w:val="24"/>
          <w:szCs w:val="24"/>
        </w:rPr>
        <w:t xml:space="preserve"> </w:t>
      </w:r>
    </w:p>
    <w:p w14:paraId="7B764305" w14:textId="67292C2B" w:rsidR="006615DD" w:rsidRPr="006615DD" w:rsidRDefault="007A787E" w:rsidP="006615DD">
      <w:pPr>
        <w:spacing w:before="100" w:beforeAutospacing="1" w:after="100" w:afterAutospacing="1" w:line="360" w:lineRule="auto"/>
        <w:outlineLvl w:val="2"/>
        <w:rPr>
          <w:rFonts w:ascii="Times New Roman" w:eastAsia="Times New Roman" w:hAnsi="Times New Roman" w:cs="Times New Roman"/>
          <w:b/>
          <w:bCs/>
          <w:color w:val="FF0000"/>
          <w:sz w:val="24"/>
          <w:szCs w:val="24"/>
          <w:lang w:eastAsia="en-IN" w:bidi="ta-IN"/>
        </w:rPr>
      </w:pPr>
      <w:r>
        <w:rPr>
          <w:rFonts w:ascii="Times New Roman" w:eastAsia="Times New Roman" w:hAnsi="Times New Roman" w:cs="Times New Roman"/>
          <w:b/>
          <w:bCs/>
          <w:color w:val="FF0000"/>
          <w:sz w:val="24"/>
          <w:szCs w:val="24"/>
          <w:lang w:eastAsia="en-IN" w:bidi="ta-IN"/>
        </w:rPr>
        <w:t xml:space="preserve">4.1 </w:t>
      </w:r>
      <w:r w:rsidR="006615DD" w:rsidRPr="006615DD">
        <w:rPr>
          <w:rFonts w:ascii="Times New Roman" w:eastAsia="Times New Roman" w:hAnsi="Times New Roman" w:cs="Times New Roman"/>
          <w:b/>
          <w:bCs/>
          <w:color w:val="FF0000"/>
          <w:sz w:val="24"/>
          <w:szCs w:val="24"/>
          <w:lang w:eastAsia="en-IN" w:bidi="ta-IN"/>
        </w:rPr>
        <w:t>Future Applicatio</w:t>
      </w:r>
      <w:r w:rsidR="006615DD" w:rsidRPr="007F19A2">
        <w:rPr>
          <w:rFonts w:ascii="Times New Roman" w:eastAsia="Times New Roman" w:hAnsi="Times New Roman" w:cs="Times New Roman"/>
          <w:b/>
          <w:bCs/>
          <w:color w:val="FF0000"/>
          <w:sz w:val="24"/>
          <w:szCs w:val="24"/>
          <w:lang w:eastAsia="en-IN" w:bidi="ta-IN"/>
        </w:rPr>
        <w:t xml:space="preserve">ns of HSP70 and HSP90 </w:t>
      </w:r>
    </w:p>
    <w:p w14:paraId="02F60770" w14:textId="3C3430CE" w:rsidR="006615DD" w:rsidRPr="006615DD" w:rsidRDefault="006615DD" w:rsidP="006615DD">
      <w:pPr>
        <w:numPr>
          <w:ilvl w:val="0"/>
          <w:numId w:val="1"/>
        </w:numPr>
        <w:spacing w:before="100" w:beforeAutospacing="1" w:after="100" w:afterAutospacing="1" w:line="360" w:lineRule="auto"/>
        <w:rPr>
          <w:rFonts w:ascii="Times New Roman" w:eastAsia="Times New Roman" w:hAnsi="Times New Roman" w:cs="Times New Roman"/>
          <w:color w:val="FF0000"/>
          <w:sz w:val="24"/>
          <w:szCs w:val="24"/>
          <w:lang w:eastAsia="en-IN" w:bidi="ta-IN"/>
        </w:rPr>
      </w:pPr>
      <w:r w:rsidRPr="006615DD">
        <w:rPr>
          <w:rFonts w:ascii="Times New Roman" w:eastAsia="Times New Roman" w:hAnsi="Times New Roman" w:cs="Times New Roman"/>
          <w:b/>
          <w:bCs/>
          <w:color w:val="FF0000"/>
          <w:sz w:val="24"/>
          <w:szCs w:val="24"/>
          <w:lang w:eastAsia="en-IN" w:bidi="ta-IN"/>
        </w:rPr>
        <w:t>Molec</w:t>
      </w:r>
      <w:r w:rsidRPr="007F19A2">
        <w:rPr>
          <w:rFonts w:ascii="Times New Roman" w:eastAsia="Times New Roman" w:hAnsi="Times New Roman" w:cs="Times New Roman"/>
          <w:b/>
          <w:bCs/>
          <w:color w:val="FF0000"/>
          <w:sz w:val="24"/>
          <w:szCs w:val="24"/>
          <w:lang w:eastAsia="en-IN" w:bidi="ta-IN"/>
        </w:rPr>
        <w:t>ular Markers for Heat Tolerance</w:t>
      </w:r>
      <w:r w:rsidRPr="006615DD">
        <w:rPr>
          <w:rFonts w:ascii="Times New Roman" w:eastAsia="Times New Roman" w:hAnsi="Times New Roman" w:cs="Times New Roman"/>
          <w:color w:val="FF0000"/>
          <w:sz w:val="24"/>
          <w:szCs w:val="24"/>
          <w:lang w:eastAsia="en-IN" w:bidi="ta-IN"/>
        </w:rPr>
        <w:br/>
      </w:r>
      <w:r w:rsidRPr="007F19A2">
        <w:rPr>
          <w:rFonts w:ascii="Times New Roman" w:eastAsia="Times New Roman" w:hAnsi="Times New Roman" w:cs="Times New Roman"/>
          <w:color w:val="FF0000"/>
          <w:sz w:val="24"/>
          <w:szCs w:val="24"/>
          <w:lang w:eastAsia="en-IN" w:bidi="ta-IN"/>
        </w:rPr>
        <w:tab/>
      </w:r>
      <w:r w:rsidRPr="006615DD">
        <w:rPr>
          <w:rFonts w:ascii="Times New Roman" w:eastAsia="Times New Roman" w:hAnsi="Times New Roman" w:cs="Times New Roman"/>
          <w:color w:val="FF0000"/>
          <w:sz w:val="24"/>
          <w:szCs w:val="24"/>
          <w:lang w:eastAsia="en-IN" w:bidi="ta-IN"/>
        </w:rPr>
        <w:t xml:space="preserve">HSP70 and HSP90 expression levels can serve as reliable biomarkers for identifying heat-tolerant breeds or lines. By screening birds for higher expression or </w:t>
      </w:r>
      <w:proofErr w:type="spellStart"/>
      <w:r w:rsidRPr="006615DD">
        <w:rPr>
          <w:rFonts w:ascii="Times New Roman" w:eastAsia="Times New Roman" w:hAnsi="Times New Roman" w:cs="Times New Roman"/>
          <w:color w:val="FF0000"/>
          <w:sz w:val="24"/>
          <w:szCs w:val="24"/>
          <w:lang w:eastAsia="en-IN" w:bidi="ta-IN"/>
        </w:rPr>
        <w:t>favorable</w:t>
      </w:r>
      <w:proofErr w:type="spellEnd"/>
      <w:r w:rsidRPr="006615DD">
        <w:rPr>
          <w:rFonts w:ascii="Times New Roman" w:eastAsia="Times New Roman" w:hAnsi="Times New Roman" w:cs="Times New Roman"/>
          <w:color w:val="FF0000"/>
          <w:sz w:val="24"/>
          <w:szCs w:val="24"/>
          <w:lang w:eastAsia="en-IN" w:bidi="ta-IN"/>
        </w:rPr>
        <w:t xml:space="preserve"> polymorphisms in these genes, farmers and researchers can select individuals better adapted to hot climates.</w:t>
      </w:r>
    </w:p>
    <w:p w14:paraId="33880777" w14:textId="268E7F60" w:rsidR="006615DD" w:rsidRPr="006615DD" w:rsidRDefault="006615DD" w:rsidP="006615DD">
      <w:pPr>
        <w:numPr>
          <w:ilvl w:val="0"/>
          <w:numId w:val="1"/>
        </w:numPr>
        <w:spacing w:before="100" w:beforeAutospacing="1" w:after="100" w:afterAutospacing="1" w:line="360" w:lineRule="auto"/>
        <w:rPr>
          <w:rFonts w:ascii="Times New Roman" w:eastAsia="Times New Roman" w:hAnsi="Times New Roman" w:cs="Times New Roman"/>
          <w:color w:val="FF0000"/>
          <w:sz w:val="24"/>
          <w:szCs w:val="24"/>
          <w:lang w:eastAsia="en-IN" w:bidi="ta-IN"/>
        </w:rPr>
      </w:pPr>
      <w:r w:rsidRPr="006615DD">
        <w:rPr>
          <w:rFonts w:ascii="Times New Roman" w:eastAsia="Times New Roman" w:hAnsi="Times New Roman" w:cs="Times New Roman"/>
          <w:b/>
          <w:bCs/>
          <w:color w:val="FF0000"/>
          <w:sz w:val="24"/>
          <w:szCs w:val="24"/>
          <w:lang w:eastAsia="en-IN" w:bidi="ta-IN"/>
        </w:rPr>
        <w:t xml:space="preserve">Genetic </w:t>
      </w:r>
      <w:r w:rsidRPr="007F19A2">
        <w:rPr>
          <w:rFonts w:ascii="Times New Roman" w:eastAsia="Times New Roman" w:hAnsi="Times New Roman" w:cs="Times New Roman"/>
          <w:b/>
          <w:bCs/>
          <w:color w:val="FF0000"/>
          <w:sz w:val="24"/>
          <w:szCs w:val="24"/>
          <w:lang w:eastAsia="en-IN" w:bidi="ta-IN"/>
        </w:rPr>
        <w:t>Selection and Breeding Programs</w:t>
      </w:r>
      <w:r w:rsidRPr="006615DD">
        <w:rPr>
          <w:rFonts w:ascii="Times New Roman" w:eastAsia="Times New Roman" w:hAnsi="Times New Roman" w:cs="Times New Roman"/>
          <w:color w:val="FF0000"/>
          <w:sz w:val="24"/>
          <w:szCs w:val="24"/>
          <w:lang w:eastAsia="en-IN" w:bidi="ta-IN"/>
        </w:rPr>
        <w:br/>
      </w:r>
      <w:r w:rsidRPr="007F19A2">
        <w:rPr>
          <w:rFonts w:ascii="Times New Roman" w:eastAsia="Times New Roman" w:hAnsi="Times New Roman" w:cs="Times New Roman"/>
          <w:color w:val="FF0000"/>
          <w:sz w:val="24"/>
          <w:szCs w:val="24"/>
          <w:lang w:eastAsia="en-IN" w:bidi="ta-IN"/>
        </w:rPr>
        <w:tab/>
      </w:r>
      <w:r w:rsidRPr="006615DD">
        <w:rPr>
          <w:rFonts w:ascii="Times New Roman" w:eastAsia="Times New Roman" w:hAnsi="Times New Roman" w:cs="Times New Roman"/>
          <w:color w:val="FF0000"/>
          <w:sz w:val="24"/>
          <w:szCs w:val="24"/>
          <w:lang w:eastAsia="en-IN" w:bidi="ta-IN"/>
        </w:rPr>
        <w:t>Incorporating HSP70 and HSP90 gene expression or polymorphism data into marker-</w:t>
      </w:r>
      <w:r w:rsidRPr="006615DD">
        <w:rPr>
          <w:rFonts w:ascii="Times New Roman" w:eastAsia="Times New Roman" w:hAnsi="Times New Roman" w:cs="Times New Roman"/>
          <w:color w:val="FF0000"/>
          <w:sz w:val="24"/>
          <w:szCs w:val="24"/>
          <w:lang w:eastAsia="en-IN" w:bidi="ta-IN"/>
        </w:rPr>
        <w:lastRenderedPageBreak/>
        <w:t>assisted selection (MAS) can help in the development of heat-resilient poultry breeds, improving productivity under climate-stress conditions.</w:t>
      </w:r>
    </w:p>
    <w:p w14:paraId="0493276B" w14:textId="02146453" w:rsidR="006615DD" w:rsidRPr="006615DD" w:rsidRDefault="006615DD" w:rsidP="006615DD">
      <w:pPr>
        <w:numPr>
          <w:ilvl w:val="0"/>
          <w:numId w:val="1"/>
        </w:numPr>
        <w:spacing w:before="100" w:beforeAutospacing="1" w:after="100" w:afterAutospacing="1" w:line="360" w:lineRule="auto"/>
        <w:rPr>
          <w:rFonts w:ascii="Times New Roman" w:eastAsia="Times New Roman" w:hAnsi="Times New Roman" w:cs="Times New Roman"/>
          <w:color w:val="FF0000"/>
          <w:sz w:val="24"/>
          <w:szCs w:val="24"/>
          <w:lang w:eastAsia="en-IN" w:bidi="ta-IN"/>
        </w:rPr>
      </w:pPr>
      <w:r w:rsidRPr="006615DD">
        <w:rPr>
          <w:rFonts w:ascii="Times New Roman" w:eastAsia="Times New Roman" w:hAnsi="Times New Roman" w:cs="Times New Roman"/>
          <w:b/>
          <w:bCs/>
          <w:color w:val="FF0000"/>
          <w:sz w:val="24"/>
          <w:szCs w:val="24"/>
          <w:lang w:eastAsia="en-IN" w:bidi="ta-IN"/>
        </w:rPr>
        <w:t>Monitoring Welfare and Stress Lev</w:t>
      </w:r>
      <w:r w:rsidRPr="007F19A2">
        <w:rPr>
          <w:rFonts w:ascii="Times New Roman" w:eastAsia="Times New Roman" w:hAnsi="Times New Roman" w:cs="Times New Roman"/>
          <w:b/>
          <w:bCs/>
          <w:color w:val="FF0000"/>
          <w:sz w:val="24"/>
          <w:szCs w:val="24"/>
          <w:lang w:eastAsia="en-IN" w:bidi="ta-IN"/>
        </w:rPr>
        <w:t>els</w:t>
      </w:r>
      <w:r w:rsidRPr="006615DD">
        <w:rPr>
          <w:rFonts w:ascii="Times New Roman" w:eastAsia="Times New Roman" w:hAnsi="Times New Roman" w:cs="Times New Roman"/>
          <w:color w:val="FF0000"/>
          <w:sz w:val="24"/>
          <w:szCs w:val="24"/>
          <w:lang w:eastAsia="en-IN" w:bidi="ta-IN"/>
        </w:rPr>
        <w:br/>
      </w:r>
      <w:r w:rsidRPr="007F19A2">
        <w:rPr>
          <w:rFonts w:ascii="Times New Roman" w:eastAsia="Times New Roman" w:hAnsi="Times New Roman" w:cs="Times New Roman"/>
          <w:color w:val="FF0000"/>
          <w:sz w:val="24"/>
          <w:szCs w:val="24"/>
          <w:lang w:eastAsia="en-IN" w:bidi="ta-IN"/>
        </w:rPr>
        <w:tab/>
      </w:r>
      <w:r w:rsidRPr="006615DD">
        <w:rPr>
          <w:rFonts w:ascii="Times New Roman" w:eastAsia="Times New Roman" w:hAnsi="Times New Roman" w:cs="Times New Roman"/>
          <w:color w:val="FF0000"/>
          <w:sz w:val="24"/>
          <w:szCs w:val="24"/>
          <w:lang w:eastAsia="en-IN" w:bidi="ta-IN"/>
        </w:rPr>
        <w:t>Measurement of HSP expression can be used as a non-invasive physiological indicator to assess the welfare and thermal comfort of birds under various management or housing systems.</w:t>
      </w:r>
    </w:p>
    <w:p w14:paraId="1C5BED6B" w14:textId="1B4A925E" w:rsidR="006615DD" w:rsidRPr="006615DD" w:rsidRDefault="006615DD" w:rsidP="006615DD">
      <w:pPr>
        <w:numPr>
          <w:ilvl w:val="0"/>
          <w:numId w:val="1"/>
        </w:numPr>
        <w:spacing w:before="100" w:beforeAutospacing="1" w:after="100" w:afterAutospacing="1" w:line="360" w:lineRule="auto"/>
        <w:rPr>
          <w:rFonts w:ascii="Times New Roman" w:eastAsia="Times New Roman" w:hAnsi="Times New Roman" w:cs="Times New Roman"/>
          <w:color w:val="FF0000"/>
          <w:sz w:val="24"/>
          <w:szCs w:val="24"/>
          <w:lang w:eastAsia="en-IN" w:bidi="ta-IN"/>
        </w:rPr>
      </w:pPr>
      <w:r w:rsidRPr="006615DD">
        <w:rPr>
          <w:rFonts w:ascii="Times New Roman" w:eastAsia="Times New Roman" w:hAnsi="Times New Roman" w:cs="Times New Roman"/>
          <w:b/>
          <w:bCs/>
          <w:color w:val="FF0000"/>
          <w:sz w:val="24"/>
          <w:szCs w:val="24"/>
          <w:lang w:eastAsia="en-IN" w:bidi="ta-IN"/>
        </w:rPr>
        <w:t>Nutrition</w:t>
      </w:r>
      <w:r w:rsidRPr="007F19A2">
        <w:rPr>
          <w:rFonts w:ascii="Times New Roman" w:eastAsia="Times New Roman" w:hAnsi="Times New Roman" w:cs="Times New Roman"/>
          <w:b/>
          <w:bCs/>
          <w:color w:val="FF0000"/>
          <w:sz w:val="24"/>
          <w:szCs w:val="24"/>
          <w:lang w:eastAsia="en-IN" w:bidi="ta-IN"/>
        </w:rPr>
        <w:t>al and Management Interventions</w:t>
      </w:r>
      <w:r w:rsidRPr="006615DD">
        <w:rPr>
          <w:rFonts w:ascii="Times New Roman" w:eastAsia="Times New Roman" w:hAnsi="Times New Roman" w:cs="Times New Roman"/>
          <w:color w:val="FF0000"/>
          <w:sz w:val="24"/>
          <w:szCs w:val="24"/>
          <w:lang w:eastAsia="en-IN" w:bidi="ta-IN"/>
        </w:rPr>
        <w:br/>
      </w:r>
      <w:r w:rsidRPr="007F19A2">
        <w:rPr>
          <w:rFonts w:ascii="Times New Roman" w:eastAsia="Times New Roman" w:hAnsi="Times New Roman" w:cs="Times New Roman"/>
          <w:color w:val="FF0000"/>
          <w:sz w:val="24"/>
          <w:szCs w:val="24"/>
          <w:lang w:eastAsia="en-IN" w:bidi="ta-IN"/>
        </w:rPr>
        <w:tab/>
      </w:r>
      <w:r w:rsidRPr="006615DD">
        <w:rPr>
          <w:rFonts w:ascii="Times New Roman" w:eastAsia="Times New Roman" w:hAnsi="Times New Roman" w:cs="Times New Roman"/>
          <w:color w:val="FF0000"/>
          <w:sz w:val="24"/>
          <w:szCs w:val="24"/>
          <w:lang w:eastAsia="en-IN" w:bidi="ta-IN"/>
        </w:rPr>
        <w:t>Changes in HSP expression can be utilized to evaluate the effectiveness of feed additives, antioxidants, or housing modifications designed to reduce heat stress in poultry.</w:t>
      </w:r>
    </w:p>
    <w:p w14:paraId="7C594382" w14:textId="6792FB4E" w:rsidR="00105D36" w:rsidRPr="008273DD" w:rsidRDefault="006615DD" w:rsidP="008273DD">
      <w:pPr>
        <w:numPr>
          <w:ilvl w:val="0"/>
          <w:numId w:val="1"/>
        </w:numPr>
        <w:spacing w:before="100" w:beforeAutospacing="1" w:after="100" w:afterAutospacing="1" w:line="360" w:lineRule="auto"/>
        <w:rPr>
          <w:rFonts w:ascii="Times New Roman" w:eastAsia="Times New Roman" w:hAnsi="Times New Roman" w:cs="Times New Roman"/>
          <w:color w:val="FF0000"/>
          <w:sz w:val="24"/>
          <w:szCs w:val="24"/>
          <w:lang w:eastAsia="en-IN" w:bidi="ta-IN"/>
        </w:rPr>
      </w:pPr>
      <w:r w:rsidRPr="007F19A2">
        <w:rPr>
          <w:rFonts w:ascii="Times New Roman" w:eastAsia="Times New Roman" w:hAnsi="Times New Roman" w:cs="Times New Roman"/>
          <w:b/>
          <w:bCs/>
          <w:color w:val="FF0000"/>
          <w:sz w:val="24"/>
          <w:szCs w:val="24"/>
          <w:lang w:eastAsia="en-IN" w:bidi="ta-IN"/>
        </w:rPr>
        <w:t>Climate Adaptation Research</w:t>
      </w:r>
      <w:r w:rsidRPr="006615DD">
        <w:rPr>
          <w:rFonts w:ascii="Times New Roman" w:eastAsia="Times New Roman" w:hAnsi="Times New Roman" w:cs="Times New Roman"/>
          <w:color w:val="FF0000"/>
          <w:sz w:val="24"/>
          <w:szCs w:val="24"/>
          <w:lang w:eastAsia="en-IN" w:bidi="ta-IN"/>
        </w:rPr>
        <w:br/>
      </w:r>
      <w:r w:rsidRPr="007F19A2">
        <w:rPr>
          <w:rFonts w:ascii="Times New Roman" w:eastAsia="Times New Roman" w:hAnsi="Times New Roman" w:cs="Times New Roman"/>
          <w:color w:val="FF0000"/>
          <w:sz w:val="24"/>
          <w:szCs w:val="24"/>
          <w:lang w:eastAsia="en-IN" w:bidi="ta-IN"/>
        </w:rPr>
        <w:tab/>
      </w:r>
      <w:r w:rsidRPr="006615DD">
        <w:rPr>
          <w:rFonts w:ascii="Times New Roman" w:eastAsia="Times New Roman" w:hAnsi="Times New Roman" w:cs="Times New Roman"/>
          <w:color w:val="FF0000"/>
          <w:sz w:val="24"/>
          <w:szCs w:val="24"/>
          <w:lang w:eastAsia="en-IN" w:bidi="ta-IN"/>
        </w:rPr>
        <w:t>Understanding HSP gene regulation helps in designing climate-smart poultry systems by predicting how different breeds respond to rising global temperatures.</w:t>
      </w:r>
    </w:p>
    <w:p w14:paraId="75501309" w14:textId="0CBFC83D" w:rsidR="00105D36" w:rsidRDefault="00105D36" w:rsidP="00105D36">
      <w:pPr>
        <w:rPr>
          <w:highlight w:val="yellow"/>
        </w:rPr>
      </w:pPr>
      <w:r w:rsidRPr="00270720">
        <w:rPr>
          <w:highlight w:val="yellow"/>
        </w:rPr>
        <w:t>Disclaimer (Artificial intelligence)</w:t>
      </w:r>
    </w:p>
    <w:p w14:paraId="13A8EE16" w14:textId="77777777" w:rsidR="008273DD" w:rsidRPr="008273DD" w:rsidRDefault="008273DD" w:rsidP="008273DD">
      <w:pPr>
        <w:rPr>
          <w:color w:val="FF0000"/>
        </w:rPr>
      </w:pPr>
      <w:r w:rsidRPr="008273DD">
        <w:rPr>
          <w:color w:val="FF0000"/>
        </w:rPr>
        <w:t xml:space="preserve">The author utilized </w:t>
      </w:r>
      <w:proofErr w:type="spellStart"/>
      <w:r w:rsidRPr="008273DD">
        <w:rPr>
          <w:color w:val="FF0000"/>
        </w:rPr>
        <w:t>ChatGPT</w:t>
      </w:r>
      <w:proofErr w:type="spellEnd"/>
      <w:r w:rsidRPr="008273DD">
        <w:rPr>
          <w:color w:val="FF0000"/>
        </w:rPr>
        <w:t xml:space="preserve"> (</w:t>
      </w:r>
      <w:proofErr w:type="spellStart"/>
      <w:r w:rsidRPr="008273DD">
        <w:rPr>
          <w:color w:val="FF0000"/>
        </w:rPr>
        <w:t>OpenAI</w:t>
      </w:r>
      <w:proofErr w:type="spellEnd"/>
      <w:r w:rsidRPr="008273DD">
        <w:rPr>
          <w:color w:val="FF0000"/>
        </w:rPr>
        <w:t>) as a language refinement tool to enhance the clarity</w:t>
      </w:r>
    </w:p>
    <w:p w14:paraId="34718B07" w14:textId="52C283DA" w:rsidR="008273DD" w:rsidRPr="008273DD" w:rsidRDefault="008273DD" w:rsidP="008273DD">
      <w:pPr>
        <w:rPr>
          <w:color w:val="FF0000"/>
          <w:highlight w:val="yellow"/>
        </w:rPr>
      </w:pPr>
      <w:r w:rsidRPr="008273DD">
        <w:rPr>
          <w:color w:val="FF0000"/>
        </w:rPr>
        <w:t>and readability of the manuscript.</w:t>
      </w:r>
    </w:p>
    <w:p w14:paraId="4A713D78" w14:textId="0B493570" w:rsidR="00105D36" w:rsidRPr="00857E1C" w:rsidRDefault="00105D36" w:rsidP="00857E1C">
      <w:pPr>
        <w:spacing w:before="100" w:beforeAutospacing="1" w:after="100" w:afterAutospacing="1" w:line="360" w:lineRule="auto"/>
        <w:jc w:val="both"/>
        <w:rPr>
          <w:rFonts w:ascii="Times New Roman" w:eastAsia="Times New Roman" w:hAnsi="Times New Roman" w:cs="Times New Roman"/>
          <w:sz w:val="24"/>
          <w:szCs w:val="24"/>
          <w:lang w:eastAsia="en-IN" w:bidi="ta-IN"/>
        </w:rPr>
      </w:pPr>
    </w:p>
    <w:p w14:paraId="6E700D24" w14:textId="75A2B7C5" w:rsidR="00857E1C" w:rsidRPr="00A31D8E" w:rsidRDefault="00B23F6A" w:rsidP="00A31D8E">
      <w:pPr>
        <w:tabs>
          <w:tab w:val="left" w:pos="567"/>
        </w:tabs>
        <w:spacing w:after="200"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5</w:t>
      </w:r>
      <w:r w:rsidR="00857E1C" w:rsidRPr="00857E1C">
        <w:rPr>
          <w:rFonts w:ascii="Times New Roman" w:eastAsia="Calibri" w:hAnsi="Times New Roman" w:cs="Times New Roman"/>
          <w:b/>
          <w:bCs/>
          <w:sz w:val="24"/>
          <w:szCs w:val="24"/>
        </w:rPr>
        <w:t>.0.   REFERENCES</w:t>
      </w:r>
    </w:p>
    <w:p w14:paraId="5BB51D3B"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Al-Zghoul, M.B., &amp; El-Bahr, S.M. (2019). Basal and dynamics mRNA expression of muscular HSP108, HSP90, HSF-1 and HSF-2 in thermally manipulated broilers during embryogenesis. </w:t>
      </w:r>
      <w:r w:rsidRPr="00A31D8E">
        <w:rPr>
          <w:rFonts w:ascii="Arial" w:eastAsia="Times New Roman" w:hAnsi="Arial" w:cs="Arial"/>
          <w:i/>
          <w:iCs/>
          <w:sz w:val="20"/>
          <w:szCs w:val="20"/>
          <w:lang w:val="en-GB" w:eastAsia="en-GB"/>
        </w:rPr>
        <w:t>BMC Veterinary Research</w:t>
      </w:r>
      <w:r w:rsidRPr="00A31D8E">
        <w:rPr>
          <w:rFonts w:ascii="Arial" w:eastAsia="Times New Roman" w:hAnsi="Arial" w:cs="Arial"/>
          <w:sz w:val="20"/>
          <w:szCs w:val="20"/>
          <w:lang w:val="en-GB" w:eastAsia="en-GB"/>
        </w:rPr>
        <w:t xml:space="preserve">, 15, 83. </w:t>
      </w:r>
      <w:hyperlink r:id="rId17" w:tgtFrame="_new" w:history="1">
        <w:r w:rsidRPr="00A31D8E">
          <w:rPr>
            <w:rFonts w:ascii="Arial" w:eastAsia="Times New Roman" w:hAnsi="Arial" w:cs="Arial"/>
            <w:sz w:val="20"/>
            <w:szCs w:val="20"/>
            <w:lang w:val="en-GB" w:eastAsia="en-GB"/>
          </w:rPr>
          <w:t>https://doi.org/10.1186/s12917-019-1827-7</w:t>
        </w:r>
      </w:hyperlink>
    </w:p>
    <w:p w14:paraId="064590C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Budi, T., Singchat, W., Tanglertpaibul, N., Thong, T., Panthum, T., Noito, K., Wattanadilokchatkun, P., Jehangir, M., Chaiyes, A., Wongloet, W., Vangnai, K., Yokthongwattana, C., Sinthuvanich, C., Ahmad, S.F., Muangmai, N., Han, K., Nunome, M., Supnithi, T., Koga, A., Duengkae, P., Matsuda, Y., &amp; Srikulnath, K. (2024). Possible influence of thermal selection on patterns of HSP70 and HSP90 gene polymorphisms in Thai indigenous and local chicken breeds and red jungle fowls.</w:t>
      </w:r>
      <w:r w:rsidRPr="00A31D8E">
        <w:rPr>
          <w:rFonts w:ascii="Arial" w:eastAsia="Times New Roman" w:hAnsi="Arial" w:cs="Arial"/>
          <w:i/>
          <w:iCs/>
          <w:sz w:val="20"/>
          <w:szCs w:val="20"/>
          <w:lang w:val="en-GB" w:eastAsia="en-GB"/>
        </w:rPr>
        <w:t xml:space="preserve"> Poultry Science, </w:t>
      </w:r>
      <w:r w:rsidRPr="00A31D8E">
        <w:rPr>
          <w:rFonts w:ascii="Arial" w:eastAsia="Times New Roman" w:hAnsi="Arial" w:cs="Arial"/>
          <w:sz w:val="20"/>
          <w:szCs w:val="20"/>
          <w:lang w:val="en-GB" w:eastAsia="en-GB"/>
        </w:rPr>
        <w:t xml:space="preserve">103(4), 103503. </w:t>
      </w:r>
      <w:hyperlink r:id="rId18" w:tgtFrame="_new" w:history="1">
        <w:r w:rsidRPr="00A31D8E">
          <w:rPr>
            <w:rFonts w:ascii="Arial" w:eastAsia="Times New Roman" w:hAnsi="Arial" w:cs="Arial"/>
            <w:sz w:val="20"/>
            <w:szCs w:val="20"/>
            <w:lang w:val="en-GB" w:eastAsia="en-GB"/>
          </w:rPr>
          <w:t>https://doi.org/10.1016/j.psj.2024.103503</w:t>
        </w:r>
      </w:hyperlink>
    </w:p>
    <w:p w14:paraId="35D11A0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Cedraz, H., Gromboni, J.G.G., Garcia Junior, A.A.P., Filho, R.V.F., Souza, T.M., &amp; Oliveira, E.R.D. (2017). Heat stress induces expression of HSP genes in genetically divergent chickens. </w:t>
      </w:r>
      <w:r w:rsidRPr="00A31D8E">
        <w:rPr>
          <w:rFonts w:ascii="Arial" w:eastAsia="Times New Roman" w:hAnsi="Arial" w:cs="Arial"/>
          <w:i/>
          <w:iCs/>
          <w:sz w:val="20"/>
          <w:szCs w:val="20"/>
          <w:lang w:val="en-GB" w:eastAsia="en-GB"/>
        </w:rPr>
        <w:t>PLOS ONE</w:t>
      </w:r>
      <w:r w:rsidRPr="00A31D8E">
        <w:rPr>
          <w:rFonts w:ascii="Arial" w:eastAsia="Times New Roman" w:hAnsi="Arial" w:cs="Arial"/>
          <w:sz w:val="20"/>
          <w:szCs w:val="20"/>
          <w:lang w:val="en-GB" w:eastAsia="en-GB"/>
        </w:rPr>
        <w:t xml:space="preserve">, 12(10), e0186083. </w:t>
      </w:r>
      <w:hyperlink r:id="rId19" w:tgtFrame="_new" w:history="1">
        <w:r w:rsidRPr="00A31D8E">
          <w:rPr>
            <w:rFonts w:ascii="Arial" w:eastAsia="Times New Roman" w:hAnsi="Arial" w:cs="Arial"/>
            <w:sz w:val="20"/>
            <w:szCs w:val="20"/>
            <w:lang w:val="en-GB" w:eastAsia="en-GB"/>
          </w:rPr>
          <w:t>https://doi.org/10.1371/journal.pone.0186083</w:t>
        </w:r>
      </w:hyperlink>
    </w:p>
    <w:p w14:paraId="31E18884"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Churchil, R.R., Balan, V., Gandhimathi, D., &amp; Vasanthakumar, T. (2024). Indigenous chicken germplasm of Tamil Nadu: A treasure to explore and exploit. </w:t>
      </w:r>
      <w:r w:rsidRPr="00A31D8E">
        <w:rPr>
          <w:rFonts w:ascii="Arial" w:eastAsia="Times New Roman" w:hAnsi="Arial" w:cs="Arial"/>
          <w:i/>
          <w:iCs/>
          <w:sz w:val="20"/>
          <w:szCs w:val="20"/>
          <w:lang w:val="en-GB" w:eastAsia="en-GB"/>
        </w:rPr>
        <w:t>TANUVAS Technical Reporter</w:t>
      </w:r>
      <w:r w:rsidRPr="00A31D8E">
        <w:rPr>
          <w:rFonts w:ascii="Arial" w:eastAsia="Times New Roman" w:hAnsi="Arial" w:cs="Arial"/>
          <w:sz w:val="20"/>
          <w:szCs w:val="20"/>
          <w:lang w:val="en-GB" w:eastAsia="en-GB"/>
        </w:rPr>
        <w:t xml:space="preserve">, 9(5), 1–7. </w:t>
      </w:r>
      <w:hyperlink r:id="rId20" w:tgtFrame="_new" w:history="1">
        <w:r w:rsidRPr="00A31D8E">
          <w:rPr>
            <w:rFonts w:ascii="Arial" w:eastAsia="Times New Roman" w:hAnsi="Arial" w:cs="Arial"/>
            <w:sz w:val="20"/>
            <w:szCs w:val="20"/>
            <w:lang w:val="en-GB" w:eastAsia="en-GB"/>
          </w:rPr>
          <w:t>https://doi.org/10.13140/RG.2.2.19067.63527</w:t>
        </w:r>
      </w:hyperlink>
    </w:p>
    <w:p w14:paraId="343F0C57"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lastRenderedPageBreak/>
        <w:t>Jamima, J. (2018). Dietery supplementation of nano selenium on the production performance and thermal resistance of commercial broilers during summer stress. MVSc Thesis, TANUVAS, Chennai.</w:t>
      </w:r>
    </w:p>
    <w:p w14:paraId="505D2C8B" w14:textId="097DA115" w:rsid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Kumbhar, S., Khan, A.Z., Parveen, F., Nizamani, Z.A., Siyal, F.A., Abd El-Hack, M.E., Gan, F., Liu, Y., Hamid, M., Nido, S.A., &amp; Huang, K. (2018). Impacts of selenium and vitamin E supplementation on mRNA of heat shock proteins, selenoproteins and antioxidants in broilers exposed to high temperature. </w:t>
      </w:r>
      <w:r w:rsidRPr="00A31D8E">
        <w:rPr>
          <w:rFonts w:ascii="Arial" w:eastAsia="Times New Roman" w:hAnsi="Arial" w:cs="Arial"/>
          <w:i/>
          <w:iCs/>
          <w:sz w:val="20"/>
          <w:szCs w:val="20"/>
          <w:lang w:val="en-GB" w:eastAsia="en-GB"/>
        </w:rPr>
        <w:t>AMB Express</w:t>
      </w:r>
      <w:r w:rsidRPr="00A31D8E">
        <w:rPr>
          <w:rFonts w:ascii="Arial" w:eastAsia="Times New Roman" w:hAnsi="Arial" w:cs="Arial"/>
          <w:sz w:val="20"/>
          <w:szCs w:val="20"/>
          <w:lang w:val="en-GB" w:eastAsia="en-GB"/>
        </w:rPr>
        <w:t xml:space="preserve">, 8(1), 112. </w:t>
      </w:r>
      <w:hyperlink r:id="rId21" w:history="1">
        <w:r w:rsidR="00265AC6" w:rsidRPr="00A8757B">
          <w:rPr>
            <w:rStyle w:val="Hyperlink"/>
            <w:rFonts w:ascii="Arial" w:eastAsia="Times New Roman" w:hAnsi="Arial" w:cs="Arial"/>
            <w:sz w:val="20"/>
            <w:szCs w:val="20"/>
            <w:lang w:val="en-GB" w:eastAsia="en-GB"/>
          </w:rPr>
          <w:t>https://doi.org/10.1186/s13568-018-0641-0</w:t>
        </w:r>
      </w:hyperlink>
    </w:p>
    <w:p w14:paraId="7B363A4C" w14:textId="61833DF2" w:rsidR="00265AC6" w:rsidRPr="00265AC6" w:rsidRDefault="00265AC6" w:rsidP="00A31D8E">
      <w:pPr>
        <w:spacing w:after="0" w:line="360" w:lineRule="auto"/>
        <w:ind w:left="547" w:hanging="547"/>
        <w:jc w:val="both"/>
        <w:rPr>
          <w:rFonts w:ascii="Arial" w:eastAsia="Times New Roman" w:hAnsi="Arial" w:cs="Arial"/>
          <w:color w:val="FF0000"/>
          <w:sz w:val="20"/>
          <w:szCs w:val="20"/>
          <w:lang w:val="en-GB" w:eastAsia="en-GB"/>
        </w:rPr>
      </w:pPr>
      <w:r w:rsidRPr="00265AC6">
        <w:rPr>
          <w:rFonts w:ascii="Arial" w:eastAsia="Times New Roman" w:hAnsi="Arial" w:cs="Arial"/>
          <w:color w:val="FF0000"/>
          <w:sz w:val="20"/>
          <w:szCs w:val="20"/>
          <w:lang w:val="en-GB" w:eastAsia="en-GB"/>
        </w:rPr>
        <w:t xml:space="preserve">Liang, H.M., Lin, D.Y., </w:t>
      </w:r>
      <w:proofErr w:type="spellStart"/>
      <w:r w:rsidRPr="00265AC6">
        <w:rPr>
          <w:rFonts w:ascii="Arial" w:eastAsia="Times New Roman" w:hAnsi="Arial" w:cs="Arial"/>
          <w:color w:val="FF0000"/>
          <w:sz w:val="20"/>
          <w:szCs w:val="20"/>
          <w:lang w:val="en-GB" w:eastAsia="en-GB"/>
        </w:rPr>
        <w:t>Hsuuw</w:t>
      </w:r>
      <w:proofErr w:type="spellEnd"/>
      <w:r w:rsidRPr="00265AC6">
        <w:rPr>
          <w:rFonts w:ascii="Arial" w:eastAsia="Times New Roman" w:hAnsi="Arial" w:cs="Arial"/>
          <w:color w:val="FF0000"/>
          <w:sz w:val="20"/>
          <w:szCs w:val="20"/>
          <w:lang w:val="en-GB" w:eastAsia="en-GB"/>
        </w:rPr>
        <w:t>, Y.D., et al. (2016) Association of heat shock protein 70 gene polymorphisms with 368 acute thermal tolerance, growth, and egg production traits of native chickens in Taiwan</w:t>
      </w:r>
      <w:r>
        <w:rPr>
          <w:rFonts w:ascii="Arial" w:eastAsia="Times New Roman" w:hAnsi="Arial" w:cs="Arial"/>
          <w:color w:val="FF0000"/>
          <w:sz w:val="20"/>
          <w:szCs w:val="20"/>
          <w:lang w:val="en-GB" w:eastAsia="en-GB"/>
        </w:rPr>
        <w:t xml:space="preserve">.  </w:t>
      </w:r>
      <w:r w:rsidRPr="00265AC6">
        <w:rPr>
          <w:rFonts w:ascii="Arial" w:eastAsia="Times New Roman" w:hAnsi="Arial" w:cs="Arial"/>
          <w:i/>
          <w:iCs/>
          <w:color w:val="FF0000"/>
          <w:sz w:val="20"/>
          <w:szCs w:val="20"/>
          <w:lang w:val="en-GB" w:eastAsia="en-GB"/>
        </w:rPr>
        <w:t>Arch. Anim.  Breed</w:t>
      </w:r>
      <w:r w:rsidRPr="00265AC6">
        <w:rPr>
          <w:rFonts w:ascii="Arial" w:eastAsia="Times New Roman" w:hAnsi="Arial" w:cs="Arial"/>
          <w:color w:val="FF0000"/>
          <w:sz w:val="20"/>
          <w:szCs w:val="20"/>
          <w:lang w:val="en-GB" w:eastAsia="en-GB"/>
        </w:rPr>
        <w:t>.</w:t>
      </w:r>
      <w:r w:rsidR="00DF5DDB">
        <w:rPr>
          <w:rFonts w:ascii="Arial" w:eastAsia="Times New Roman" w:hAnsi="Arial" w:cs="Arial"/>
          <w:color w:val="FF0000"/>
          <w:sz w:val="20"/>
          <w:szCs w:val="20"/>
          <w:lang w:val="en-GB" w:eastAsia="en-GB"/>
        </w:rPr>
        <w:t>,</w:t>
      </w:r>
      <w:r w:rsidRPr="00265AC6">
        <w:rPr>
          <w:rFonts w:ascii="Arial" w:eastAsia="Times New Roman" w:hAnsi="Arial" w:cs="Arial"/>
          <w:color w:val="FF0000"/>
          <w:sz w:val="20"/>
          <w:szCs w:val="20"/>
          <w:lang w:val="en-GB" w:eastAsia="en-GB"/>
        </w:rPr>
        <w:t xml:space="preserve"> 59, 173–181</w:t>
      </w:r>
    </w:p>
    <w:p w14:paraId="2CFB74D9"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Liu, L.L., He, J.H., Xie, H.B., Yang, Y.S., Li, J.C., &amp; Zou, Y. (2014). Reservation induces antioxidant and heat shock protein mRNA expression in response to heat stress in black-boned chickens. </w:t>
      </w:r>
      <w:r w:rsidRPr="00A31D8E">
        <w:rPr>
          <w:rFonts w:ascii="Arial" w:eastAsia="Times New Roman" w:hAnsi="Arial" w:cs="Arial"/>
          <w:i/>
          <w:iCs/>
          <w:sz w:val="20"/>
          <w:szCs w:val="20"/>
          <w:lang w:val="en-GB" w:eastAsia="en-GB"/>
        </w:rPr>
        <w:t>Poultry Science,</w:t>
      </w:r>
      <w:r w:rsidRPr="00A31D8E">
        <w:rPr>
          <w:rFonts w:ascii="Arial" w:eastAsia="Times New Roman" w:hAnsi="Arial" w:cs="Arial"/>
          <w:sz w:val="20"/>
          <w:szCs w:val="20"/>
          <w:lang w:val="en-GB" w:eastAsia="en-GB"/>
        </w:rPr>
        <w:t xml:space="preserve"> 93(1), 54–62. https://doi.org/10.3382/ps.2013-03423</w:t>
      </w:r>
    </w:p>
    <w:p w14:paraId="45BE66A6"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Lindquist, S., &amp; Craig, E.A. (1988). The heat-shock proteins. </w:t>
      </w:r>
      <w:r w:rsidRPr="00A31D8E">
        <w:rPr>
          <w:rFonts w:ascii="Arial" w:eastAsia="Times New Roman" w:hAnsi="Arial" w:cs="Arial"/>
          <w:i/>
          <w:iCs/>
          <w:sz w:val="20"/>
          <w:szCs w:val="20"/>
          <w:lang w:val="en-GB" w:eastAsia="en-GB"/>
        </w:rPr>
        <w:t>Annual Review of Genetics</w:t>
      </w:r>
      <w:r w:rsidRPr="00A31D8E">
        <w:rPr>
          <w:rFonts w:ascii="Arial" w:eastAsia="Times New Roman" w:hAnsi="Arial" w:cs="Arial"/>
          <w:sz w:val="20"/>
          <w:szCs w:val="20"/>
          <w:lang w:val="en-GB" w:eastAsia="en-GB"/>
        </w:rPr>
        <w:t xml:space="preserve">, 22, 631–677. </w:t>
      </w:r>
      <w:hyperlink r:id="rId22" w:tgtFrame="_new" w:history="1">
        <w:r w:rsidRPr="00A31D8E">
          <w:rPr>
            <w:rFonts w:ascii="Arial" w:eastAsia="Times New Roman" w:hAnsi="Arial" w:cs="Arial"/>
            <w:sz w:val="20"/>
            <w:szCs w:val="20"/>
            <w:lang w:val="en-GB" w:eastAsia="en-GB"/>
          </w:rPr>
          <w:t>https://doi.org/10.1146</w:t>
        </w:r>
      </w:hyperlink>
    </w:p>
    <w:p w14:paraId="3474C286"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Morimoto, R.I. (1993). Cells in stress: transcriptional activation of heat shock genes. </w:t>
      </w:r>
      <w:r w:rsidRPr="00A31D8E">
        <w:rPr>
          <w:rFonts w:ascii="Arial" w:eastAsia="Times New Roman" w:hAnsi="Arial" w:cs="Arial"/>
          <w:i/>
          <w:iCs/>
          <w:sz w:val="20"/>
          <w:szCs w:val="20"/>
          <w:lang w:val="en-GB" w:eastAsia="en-GB"/>
        </w:rPr>
        <w:t>Science,</w:t>
      </w:r>
      <w:r w:rsidRPr="00A31D8E">
        <w:rPr>
          <w:rFonts w:ascii="Arial" w:eastAsia="Times New Roman" w:hAnsi="Arial" w:cs="Arial"/>
          <w:sz w:val="20"/>
          <w:szCs w:val="20"/>
          <w:lang w:val="en-GB" w:eastAsia="en-GB"/>
        </w:rPr>
        <w:t xml:space="preserve"> 259(5100), 1409–1410. https://doi.org/10.1126/science.8451637</w:t>
      </w:r>
    </w:p>
    <w:p w14:paraId="7E576EC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Nawaz, A.H., Lin, S., Wang, F., Zheng, J., Sun, J., Zhang, W., Jiao, Z., Zhu, Z., An, L., &amp; Zhang, L. (2023). Investigating the heat tolerance and production performance in local chicken breed having normal and dwarf size. </w:t>
      </w:r>
      <w:r w:rsidRPr="00A31D8E">
        <w:rPr>
          <w:rFonts w:ascii="Arial" w:eastAsia="Times New Roman" w:hAnsi="Arial" w:cs="Arial"/>
          <w:i/>
          <w:iCs/>
          <w:sz w:val="20"/>
          <w:szCs w:val="20"/>
          <w:lang w:val="en-GB" w:eastAsia="en-GB"/>
        </w:rPr>
        <w:t>Animal,</w:t>
      </w:r>
      <w:r w:rsidRPr="00A31D8E">
        <w:rPr>
          <w:rFonts w:ascii="Arial" w:eastAsia="Times New Roman" w:hAnsi="Arial" w:cs="Arial"/>
          <w:sz w:val="20"/>
          <w:szCs w:val="20"/>
          <w:lang w:val="en-GB" w:eastAsia="en-GB"/>
        </w:rPr>
        <w:t xml:space="preserve"> 17(3), 100107. </w:t>
      </w:r>
      <w:hyperlink r:id="rId23" w:tgtFrame="_new" w:history="1">
        <w:r w:rsidRPr="00A31D8E">
          <w:rPr>
            <w:rFonts w:ascii="Arial" w:eastAsia="Times New Roman" w:hAnsi="Arial" w:cs="Arial"/>
            <w:sz w:val="20"/>
            <w:szCs w:val="20"/>
            <w:lang w:val="en-GB" w:eastAsia="en-GB"/>
          </w:rPr>
          <w:t>https://doi.org/10.1016/j.animal.2023.100707</w:t>
        </w:r>
      </w:hyperlink>
    </w:p>
    <w:p w14:paraId="7B42FD1F"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Pfaffl, M.W. (2001). A new mathematical model for relative quantification in real-time RT–PCR. </w:t>
      </w:r>
      <w:r w:rsidRPr="00A31D8E">
        <w:rPr>
          <w:rFonts w:ascii="Arial" w:eastAsia="Times New Roman" w:hAnsi="Arial" w:cs="Arial"/>
          <w:i/>
          <w:iCs/>
          <w:sz w:val="20"/>
          <w:szCs w:val="20"/>
          <w:lang w:val="en-GB" w:eastAsia="en-GB"/>
        </w:rPr>
        <w:t xml:space="preserve">Nucleic Acids Research, </w:t>
      </w:r>
      <w:r w:rsidRPr="00A31D8E">
        <w:rPr>
          <w:rFonts w:ascii="Arial" w:eastAsia="Times New Roman" w:hAnsi="Arial" w:cs="Arial"/>
          <w:sz w:val="20"/>
          <w:szCs w:val="20"/>
          <w:lang w:val="en-GB" w:eastAsia="en-GB"/>
        </w:rPr>
        <w:t>29(9), e45. https://doi.org/10.1093/nar/29.9.e45</w:t>
      </w:r>
    </w:p>
    <w:p w14:paraId="53F58D44"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Picard, D. (2002). Heat-shock protein 90, a chaperone for folding and regulation. </w:t>
      </w:r>
      <w:r w:rsidRPr="00A31D8E">
        <w:rPr>
          <w:rFonts w:ascii="Arial" w:eastAsia="Times New Roman" w:hAnsi="Arial" w:cs="Arial"/>
          <w:i/>
          <w:iCs/>
          <w:sz w:val="20"/>
          <w:szCs w:val="20"/>
          <w:lang w:val="en-GB" w:eastAsia="en-GB"/>
        </w:rPr>
        <w:t>Cellular and Molecular Life Sciences,</w:t>
      </w:r>
      <w:r w:rsidRPr="00A31D8E">
        <w:rPr>
          <w:rFonts w:ascii="Arial" w:eastAsia="Times New Roman" w:hAnsi="Arial" w:cs="Arial"/>
          <w:sz w:val="20"/>
          <w:szCs w:val="20"/>
          <w:lang w:val="en-GB" w:eastAsia="en-GB"/>
        </w:rPr>
        <w:t xml:space="preserve"> 59(10), 1640–1648. https://doi.org/10.1007/PL00012491</w:t>
      </w:r>
    </w:p>
    <w:p w14:paraId="0ADC6293" w14:textId="75FBE805" w:rsid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Siddiqui, H.S., Kang, D., Park, J., Choi, H.W., &amp; Shim, K. (2020). Acute heat stress induces the differential expression of heat shock proteins in different sections of the small intestine of chickens based on exposure duration. </w:t>
      </w:r>
      <w:r w:rsidRPr="00A31D8E">
        <w:rPr>
          <w:rFonts w:ascii="Arial" w:eastAsia="Times New Roman" w:hAnsi="Arial" w:cs="Arial"/>
          <w:i/>
          <w:iCs/>
          <w:sz w:val="20"/>
          <w:szCs w:val="20"/>
          <w:lang w:val="en-GB" w:eastAsia="en-GB"/>
        </w:rPr>
        <w:t>Animals</w:t>
      </w:r>
      <w:r w:rsidRPr="00A31D8E">
        <w:rPr>
          <w:rFonts w:ascii="Arial" w:eastAsia="Times New Roman" w:hAnsi="Arial" w:cs="Arial"/>
          <w:sz w:val="20"/>
          <w:szCs w:val="20"/>
          <w:lang w:val="en-GB" w:eastAsia="en-GB"/>
        </w:rPr>
        <w:t xml:space="preserve">, 10(7), 1234. </w:t>
      </w:r>
      <w:hyperlink r:id="rId24" w:history="1">
        <w:r w:rsidR="00FC7A6C" w:rsidRPr="00A8757B">
          <w:rPr>
            <w:rStyle w:val="Hyperlink"/>
            <w:rFonts w:ascii="Arial" w:eastAsia="Times New Roman" w:hAnsi="Arial" w:cs="Arial"/>
            <w:sz w:val="20"/>
            <w:szCs w:val="20"/>
            <w:lang w:val="en-GB" w:eastAsia="en-GB"/>
          </w:rPr>
          <w:t>https://doi.org/10.3390/ani10071234</w:t>
        </w:r>
      </w:hyperlink>
    </w:p>
    <w:p w14:paraId="5C00FF2D" w14:textId="766A27BC" w:rsidR="00DF5DDB" w:rsidRPr="00DF5DDB" w:rsidRDefault="00DF5DDB" w:rsidP="00A31D8E">
      <w:pPr>
        <w:spacing w:after="0" w:line="360" w:lineRule="auto"/>
        <w:ind w:left="547" w:hanging="547"/>
        <w:jc w:val="both"/>
        <w:rPr>
          <w:rFonts w:ascii="Arial" w:eastAsia="Times New Roman" w:hAnsi="Arial" w:cs="Arial"/>
          <w:color w:val="FF0000"/>
          <w:sz w:val="20"/>
          <w:szCs w:val="20"/>
          <w:lang w:val="en-GB" w:eastAsia="en-GB"/>
        </w:rPr>
      </w:pPr>
      <w:r w:rsidRPr="00DF5DDB">
        <w:rPr>
          <w:rFonts w:ascii="Arial" w:eastAsia="Times New Roman" w:hAnsi="Arial" w:cs="Arial"/>
          <w:color w:val="FF0000"/>
          <w:sz w:val="20"/>
          <w:szCs w:val="20"/>
          <w:lang w:val="en-GB" w:eastAsia="en-GB"/>
        </w:rPr>
        <w:t xml:space="preserve">Tamzil, M.H., Noor, R.R., </w:t>
      </w:r>
      <w:proofErr w:type="spellStart"/>
      <w:r w:rsidRPr="00DF5DDB">
        <w:rPr>
          <w:rFonts w:ascii="Arial" w:eastAsia="Times New Roman" w:hAnsi="Arial" w:cs="Arial"/>
          <w:color w:val="FF0000"/>
          <w:sz w:val="20"/>
          <w:szCs w:val="20"/>
          <w:lang w:val="en-GB" w:eastAsia="en-GB"/>
        </w:rPr>
        <w:t>Hardjosworo</w:t>
      </w:r>
      <w:proofErr w:type="spellEnd"/>
      <w:r w:rsidRPr="00DF5DDB">
        <w:rPr>
          <w:rFonts w:ascii="Arial" w:eastAsia="Times New Roman" w:hAnsi="Arial" w:cs="Arial"/>
          <w:color w:val="FF0000"/>
          <w:sz w:val="20"/>
          <w:szCs w:val="20"/>
          <w:lang w:val="en-GB" w:eastAsia="en-GB"/>
        </w:rPr>
        <w:t xml:space="preserve">, P.S., </w:t>
      </w:r>
      <w:proofErr w:type="spellStart"/>
      <w:r w:rsidRPr="00DF5DDB">
        <w:rPr>
          <w:rFonts w:ascii="Arial" w:eastAsia="Times New Roman" w:hAnsi="Arial" w:cs="Arial"/>
          <w:color w:val="FF0000"/>
          <w:sz w:val="20"/>
          <w:szCs w:val="20"/>
          <w:lang w:val="en-GB" w:eastAsia="en-GB"/>
        </w:rPr>
        <w:t>Manalu</w:t>
      </w:r>
      <w:proofErr w:type="spellEnd"/>
      <w:r w:rsidRPr="00DF5DDB">
        <w:rPr>
          <w:rFonts w:ascii="Arial" w:eastAsia="Times New Roman" w:hAnsi="Arial" w:cs="Arial"/>
          <w:color w:val="FF0000"/>
          <w:sz w:val="20"/>
          <w:szCs w:val="20"/>
          <w:lang w:val="en-GB" w:eastAsia="en-GB"/>
        </w:rPr>
        <w:t xml:space="preserve">, W. and </w:t>
      </w:r>
      <w:proofErr w:type="spellStart"/>
      <w:r w:rsidRPr="00DF5DDB">
        <w:rPr>
          <w:rFonts w:ascii="Arial" w:eastAsia="Times New Roman" w:hAnsi="Arial" w:cs="Arial"/>
          <w:color w:val="FF0000"/>
          <w:sz w:val="20"/>
          <w:szCs w:val="20"/>
          <w:lang w:val="en-GB" w:eastAsia="en-GB"/>
        </w:rPr>
        <w:t>Sumantri</w:t>
      </w:r>
      <w:proofErr w:type="spellEnd"/>
      <w:r w:rsidRPr="00DF5DDB">
        <w:rPr>
          <w:rFonts w:ascii="Arial" w:eastAsia="Times New Roman" w:hAnsi="Arial" w:cs="Arial"/>
          <w:color w:val="FF0000"/>
          <w:sz w:val="20"/>
          <w:szCs w:val="20"/>
          <w:lang w:val="en-GB" w:eastAsia="en-GB"/>
        </w:rPr>
        <w:t xml:space="preserve">, C. (2013) Acute heat stress responses of 432 three lines of chickens with different heat shock protein (HSP)-70 genotypes. </w:t>
      </w:r>
      <w:r w:rsidRPr="00DF5DDB">
        <w:rPr>
          <w:rFonts w:ascii="Arial" w:eastAsia="Times New Roman" w:hAnsi="Arial" w:cs="Arial"/>
          <w:i/>
          <w:iCs/>
          <w:color w:val="FF0000"/>
          <w:sz w:val="20"/>
          <w:szCs w:val="20"/>
          <w:lang w:val="en-GB" w:eastAsia="en-GB"/>
        </w:rPr>
        <w:t xml:space="preserve">Int. J. </w:t>
      </w:r>
      <w:proofErr w:type="spellStart"/>
      <w:r w:rsidRPr="00DF5DDB">
        <w:rPr>
          <w:rFonts w:ascii="Arial" w:eastAsia="Times New Roman" w:hAnsi="Arial" w:cs="Arial"/>
          <w:i/>
          <w:iCs/>
          <w:color w:val="FF0000"/>
          <w:sz w:val="20"/>
          <w:szCs w:val="20"/>
          <w:lang w:val="en-GB" w:eastAsia="en-GB"/>
        </w:rPr>
        <w:t>Poult</w:t>
      </w:r>
      <w:proofErr w:type="spellEnd"/>
      <w:r w:rsidRPr="00DF5DDB">
        <w:rPr>
          <w:rFonts w:ascii="Arial" w:eastAsia="Times New Roman" w:hAnsi="Arial" w:cs="Arial"/>
          <w:i/>
          <w:iCs/>
          <w:color w:val="FF0000"/>
          <w:sz w:val="20"/>
          <w:szCs w:val="20"/>
          <w:lang w:val="en-GB" w:eastAsia="en-GB"/>
        </w:rPr>
        <w:t>. Sci.</w:t>
      </w:r>
      <w:r w:rsidRPr="00DF5DDB">
        <w:rPr>
          <w:rFonts w:ascii="Arial" w:eastAsia="Times New Roman" w:hAnsi="Arial" w:cs="Arial"/>
          <w:color w:val="FF0000"/>
          <w:sz w:val="20"/>
          <w:szCs w:val="20"/>
          <w:lang w:val="en-GB" w:eastAsia="en-GB"/>
        </w:rPr>
        <w:t>, 12, 264-272.</w:t>
      </w:r>
    </w:p>
    <w:p w14:paraId="7643E460" w14:textId="0CE13C60" w:rsidR="00FC7A6C" w:rsidRPr="00FC7A6C" w:rsidRDefault="00FC7A6C" w:rsidP="00FC7A6C">
      <w:pPr>
        <w:spacing w:after="0" w:line="360" w:lineRule="auto"/>
        <w:ind w:left="547" w:hanging="547"/>
        <w:jc w:val="both"/>
        <w:rPr>
          <w:rFonts w:ascii="Arial" w:eastAsia="Times New Roman" w:hAnsi="Arial" w:cs="Arial"/>
          <w:color w:val="FF0000"/>
          <w:sz w:val="20"/>
          <w:szCs w:val="20"/>
          <w:lang w:val="en-GB" w:eastAsia="en-GB"/>
        </w:rPr>
      </w:pPr>
      <w:r w:rsidRPr="00FC7A6C">
        <w:rPr>
          <w:color w:val="FF0000"/>
        </w:rPr>
        <w:t xml:space="preserve">Varun, A., </w:t>
      </w:r>
      <w:proofErr w:type="spellStart"/>
      <w:r w:rsidRPr="00FC7A6C">
        <w:rPr>
          <w:color w:val="FF0000"/>
        </w:rPr>
        <w:t>Omprakash</w:t>
      </w:r>
      <w:proofErr w:type="spellEnd"/>
      <w:r w:rsidRPr="00FC7A6C">
        <w:rPr>
          <w:color w:val="FF0000"/>
        </w:rPr>
        <w:t xml:space="preserve">, A.V., </w:t>
      </w:r>
      <w:proofErr w:type="spellStart"/>
      <w:r w:rsidRPr="00FC7A6C">
        <w:rPr>
          <w:color w:val="FF0000"/>
        </w:rPr>
        <w:t>Kumanan</w:t>
      </w:r>
      <w:proofErr w:type="spellEnd"/>
      <w:r w:rsidRPr="00FC7A6C">
        <w:rPr>
          <w:color w:val="FF0000"/>
        </w:rPr>
        <w:t xml:space="preserve">, K., </w:t>
      </w:r>
      <w:proofErr w:type="spellStart"/>
      <w:r w:rsidRPr="00FC7A6C">
        <w:rPr>
          <w:color w:val="FF0000"/>
        </w:rPr>
        <w:t>Vairamuthu</w:t>
      </w:r>
      <w:proofErr w:type="spellEnd"/>
      <w:r w:rsidRPr="00FC7A6C">
        <w:rPr>
          <w:color w:val="FF0000"/>
        </w:rPr>
        <w:t xml:space="preserve">, S., </w:t>
      </w:r>
      <w:proofErr w:type="spellStart"/>
      <w:r w:rsidRPr="00FC7A6C">
        <w:rPr>
          <w:color w:val="FF0000"/>
        </w:rPr>
        <w:t>Ezhilvalavan</w:t>
      </w:r>
      <w:proofErr w:type="spellEnd"/>
      <w:r w:rsidRPr="00FC7A6C">
        <w:rPr>
          <w:color w:val="FF0000"/>
        </w:rPr>
        <w:t xml:space="preserve">, S., </w:t>
      </w:r>
      <w:proofErr w:type="spellStart"/>
      <w:r w:rsidRPr="00FC7A6C">
        <w:rPr>
          <w:color w:val="FF0000"/>
        </w:rPr>
        <w:t>Karthikeyan</w:t>
      </w:r>
      <w:proofErr w:type="spellEnd"/>
      <w:r w:rsidRPr="00FC7A6C">
        <w:rPr>
          <w:color w:val="FF0000"/>
        </w:rPr>
        <w:t xml:space="preserve">, N., </w:t>
      </w:r>
      <w:proofErr w:type="spellStart"/>
      <w:r w:rsidRPr="00FC7A6C">
        <w:rPr>
          <w:color w:val="FF0000"/>
        </w:rPr>
        <w:t>Vijayarani</w:t>
      </w:r>
      <w:proofErr w:type="spellEnd"/>
      <w:r w:rsidRPr="00FC7A6C">
        <w:rPr>
          <w:color w:val="FF0000"/>
        </w:rPr>
        <w:t xml:space="preserve">, K., and </w:t>
      </w:r>
      <w:proofErr w:type="spellStart"/>
      <w:r w:rsidRPr="00FC7A6C">
        <w:rPr>
          <w:color w:val="FF0000"/>
        </w:rPr>
        <w:t>Nithya</w:t>
      </w:r>
      <w:proofErr w:type="spellEnd"/>
      <w:r w:rsidRPr="00FC7A6C">
        <w:rPr>
          <w:color w:val="FF0000"/>
        </w:rPr>
        <w:t xml:space="preserve"> </w:t>
      </w:r>
      <w:proofErr w:type="spellStart"/>
      <w:r w:rsidRPr="00FC7A6C">
        <w:rPr>
          <w:color w:val="FF0000"/>
        </w:rPr>
        <w:t>Quintoil</w:t>
      </w:r>
      <w:proofErr w:type="spellEnd"/>
      <w:r w:rsidRPr="00FC7A6C">
        <w:rPr>
          <w:color w:val="FF0000"/>
        </w:rPr>
        <w:t xml:space="preserve">. (2023). Thermotolerance Acquisition in Native Chicken and its Crosses by Early Thermal Conditioning through Expression of Heat Shock Proteins. </w:t>
      </w:r>
      <w:r w:rsidRPr="00FC7A6C">
        <w:rPr>
          <w:i/>
          <w:iCs/>
          <w:color w:val="FF0000"/>
        </w:rPr>
        <w:t>Theoretical Biology Forum,</w:t>
      </w:r>
      <w:r w:rsidRPr="00FC7A6C">
        <w:rPr>
          <w:color w:val="FF0000"/>
        </w:rPr>
        <w:t xml:space="preserve"> 12 (2): 30 -36</w:t>
      </w:r>
    </w:p>
    <w:p w14:paraId="43BE5926" w14:textId="77777777" w:rsidR="00A31D8E" w:rsidRPr="00A31D8E" w:rsidRDefault="00A31D8E" w:rsidP="00A31D8E">
      <w:pPr>
        <w:spacing w:after="0" w:line="360" w:lineRule="auto"/>
        <w:ind w:left="547" w:hanging="547"/>
        <w:jc w:val="both"/>
        <w:rPr>
          <w:rFonts w:ascii="Arial" w:eastAsia="Times New Roman" w:hAnsi="Arial" w:cs="Arial"/>
          <w:sz w:val="20"/>
          <w:szCs w:val="20"/>
          <w:lang w:val="en-GB" w:eastAsia="en-GB"/>
        </w:rPr>
      </w:pPr>
      <w:r w:rsidRPr="00A31D8E">
        <w:rPr>
          <w:rFonts w:ascii="Arial" w:eastAsia="Times New Roman" w:hAnsi="Arial" w:cs="Arial"/>
          <w:sz w:val="20"/>
          <w:szCs w:val="20"/>
          <w:lang w:val="en-GB" w:eastAsia="en-GB"/>
        </w:rPr>
        <w:t xml:space="preserve">Xie, J., Tang, L.I., Lu, L., Zhang, L., Xi, L., Liu, H.C., Odle, J., &amp; Luo, X. (2014). Differential expression of heat shock transcription factors and heat shock proteins after acute and chronic heat stress in laying chickens (Gallus gallus). </w:t>
      </w:r>
      <w:r w:rsidRPr="00A31D8E">
        <w:rPr>
          <w:rFonts w:ascii="Arial" w:eastAsia="Times New Roman" w:hAnsi="Arial" w:cs="Arial"/>
          <w:i/>
          <w:iCs/>
          <w:sz w:val="20"/>
          <w:szCs w:val="20"/>
          <w:lang w:val="en-GB" w:eastAsia="en-GB"/>
        </w:rPr>
        <w:t>PLOS ONE,</w:t>
      </w:r>
      <w:r w:rsidRPr="00A31D8E">
        <w:rPr>
          <w:rFonts w:ascii="Arial" w:eastAsia="Times New Roman" w:hAnsi="Arial" w:cs="Arial"/>
          <w:sz w:val="20"/>
          <w:szCs w:val="20"/>
          <w:lang w:val="en-GB" w:eastAsia="en-GB"/>
        </w:rPr>
        <w:t xml:space="preserve"> 9(7), e102204. </w:t>
      </w:r>
      <w:hyperlink r:id="rId25" w:tgtFrame="_new" w:history="1">
        <w:r w:rsidRPr="00A31D8E">
          <w:rPr>
            <w:rFonts w:ascii="Arial" w:eastAsia="Times New Roman" w:hAnsi="Arial" w:cs="Arial"/>
            <w:sz w:val="20"/>
            <w:szCs w:val="20"/>
            <w:lang w:val="en-GB" w:eastAsia="en-GB"/>
          </w:rPr>
          <w:t>https://doi.org/10.1371/journal.pone.0102204</w:t>
        </w:r>
      </w:hyperlink>
    </w:p>
    <w:p w14:paraId="18A587B4" w14:textId="77777777" w:rsidR="00A31D8E" w:rsidRPr="00A31D8E" w:rsidRDefault="00A31D8E" w:rsidP="00A31D8E">
      <w:pPr>
        <w:spacing w:after="0" w:line="360" w:lineRule="auto"/>
        <w:ind w:left="547" w:hanging="547"/>
        <w:jc w:val="both"/>
        <w:rPr>
          <w:rFonts w:ascii="Arial" w:hAnsi="Arial" w:cs="Arial"/>
          <w:sz w:val="20"/>
          <w:szCs w:val="20"/>
          <w:lang w:val="en-GB" w:eastAsia="en-GB"/>
        </w:rPr>
      </w:pPr>
    </w:p>
    <w:sectPr w:rsidR="00A31D8E" w:rsidRPr="00A31D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1F682" w14:textId="77777777" w:rsidR="00B500CE" w:rsidRDefault="00B500CE" w:rsidP="00A559A6">
      <w:pPr>
        <w:spacing w:after="0" w:line="240" w:lineRule="auto"/>
      </w:pPr>
      <w:r>
        <w:separator/>
      </w:r>
    </w:p>
  </w:endnote>
  <w:endnote w:type="continuationSeparator" w:id="0">
    <w:p w14:paraId="0729ECC8" w14:textId="77777777" w:rsidR="00B500CE" w:rsidRDefault="00B500CE" w:rsidP="00A5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928C8" w14:textId="77777777" w:rsidR="00A559A6" w:rsidRDefault="00A55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B4AB4" w14:textId="77777777" w:rsidR="00A559A6" w:rsidRDefault="00A55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6DA10" w14:textId="77777777" w:rsidR="00A559A6" w:rsidRDefault="00A55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6C582" w14:textId="77777777" w:rsidR="00B500CE" w:rsidRDefault="00B500CE" w:rsidP="00A559A6">
      <w:pPr>
        <w:spacing w:after="0" w:line="240" w:lineRule="auto"/>
      </w:pPr>
      <w:r>
        <w:separator/>
      </w:r>
    </w:p>
  </w:footnote>
  <w:footnote w:type="continuationSeparator" w:id="0">
    <w:p w14:paraId="16563BB0" w14:textId="77777777" w:rsidR="00B500CE" w:rsidRDefault="00B500CE" w:rsidP="00A55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A59C7" w14:textId="3E169F6E" w:rsidR="00A559A6" w:rsidRDefault="00B500CE">
    <w:pPr>
      <w:pStyle w:val="Header"/>
    </w:pPr>
    <w:r>
      <w:rPr>
        <w:noProof/>
      </w:rPr>
      <w:pict w14:anchorId="3137A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42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CB805" w14:textId="4B372B12" w:rsidR="00A559A6" w:rsidRDefault="00B500CE">
    <w:pPr>
      <w:pStyle w:val="Header"/>
    </w:pPr>
    <w:r>
      <w:rPr>
        <w:noProof/>
      </w:rPr>
      <w:pict w14:anchorId="6026C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42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993A2" w14:textId="126B22D2" w:rsidR="00A559A6" w:rsidRDefault="00B500CE">
    <w:pPr>
      <w:pStyle w:val="Header"/>
    </w:pPr>
    <w:r>
      <w:rPr>
        <w:noProof/>
      </w:rPr>
      <w:pict w14:anchorId="067D5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42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F2384"/>
    <w:multiLevelType w:val="multilevel"/>
    <w:tmpl w:val="6E9CC3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95"/>
    <w:rsid w:val="00014FE3"/>
    <w:rsid w:val="00015C99"/>
    <w:rsid w:val="00046B26"/>
    <w:rsid w:val="00050F7E"/>
    <w:rsid w:val="000513EB"/>
    <w:rsid w:val="00072ABC"/>
    <w:rsid w:val="00097EC1"/>
    <w:rsid w:val="000C0118"/>
    <w:rsid w:val="000D3653"/>
    <w:rsid w:val="000E123F"/>
    <w:rsid w:val="00102520"/>
    <w:rsid w:val="00105D36"/>
    <w:rsid w:val="00115415"/>
    <w:rsid w:val="00136BB7"/>
    <w:rsid w:val="00153A6C"/>
    <w:rsid w:val="00190212"/>
    <w:rsid w:val="001A7077"/>
    <w:rsid w:val="00227591"/>
    <w:rsid w:val="0024520D"/>
    <w:rsid w:val="00245551"/>
    <w:rsid w:val="00251053"/>
    <w:rsid w:val="00256A6B"/>
    <w:rsid w:val="00265AC6"/>
    <w:rsid w:val="0028134A"/>
    <w:rsid w:val="00282EAF"/>
    <w:rsid w:val="002C1DB9"/>
    <w:rsid w:val="00306A8A"/>
    <w:rsid w:val="00310D47"/>
    <w:rsid w:val="00315F2E"/>
    <w:rsid w:val="003702AE"/>
    <w:rsid w:val="00391777"/>
    <w:rsid w:val="003F7ADC"/>
    <w:rsid w:val="00412D48"/>
    <w:rsid w:val="00425E88"/>
    <w:rsid w:val="00485C3A"/>
    <w:rsid w:val="004921DC"/>
    <w:rsid w:val="004E314B"/>
    <w:rsid w:val="00545A95"/>
    <w:rsid w:val="005728F4"/>
    <w:rsid w:val="005A3EE0"/>
    <w:rsid w:val="005C5E42"/>
    <w:rsid w:val="005D086E"/>
    <w:rsid w:val="005E2A82"/>
    <w:rsid w:val="006615DD"/>
    <w:rsid w:val="00666632"/>
    <w:rsid w:val="006A0C8C"/>
    <w:rsid w:val="006B132B"/>
    <w:rsid w:val="006D7D06"/>
    <w:rsid w:val="007112B1"/>
    <w:rsid w:val="00747108"/>
    <w:rsid w:val="00772012"/>
    <w:rsid w:val="007730F0"/>
    <w:rsid w:val="0078689E"/>
    <w:rsid w:val="007A3BD2"/>
    <w:rsid w:val="007A787E"/>
    <w:rsid w:val="007B42FA"/>
    <w:rsid w:val="007C1835"/>
    <w:rsid w:val="007D7ABB"/>
    <w:rsid w:val="007F19A2"/>
    <w:rsid w:val="007F771C"/>
    <w:rsid w:val="007F77A9"/>
    <w:rsid w:val="00801D53"/>
    <w:rsid w:val="00820305"/>
    <w:rsid w:val="008273DD"/>
    <w:rsid w:val="00830514"/>
    <w:rsid w:val="00857E1C"/>
    <w:rsid w:val="00861692"/>
    <w:rsid w:val="008A300D"/>
    <w:rsid w:val="008D4BFF"/>
    <w:rsid w:val="008D525B"/>
    <w:rsid w:val="008F0323"/>
    <w:rsid w:val="0091381A"/>
    <w:rsid w:val="00927344"/>
    <w:rsid w:val="00977C82"/>
    <w:rsid w:val="009A04F6"/>
    <w:rsid w:val="009C6BBD"/>
    <w:rsid w:val="00A20993"/>
    <w:rsid w:val="00A31D8E"/>
    <w:rsid w:val="00A559A6"/>
    <w:rsid w:val="00A570A2"/>
    <w:rsid w:val="00A77282"/>
    <w:rsid w:val="00B2364E"/>
    <w:rsid w:val="00B2382E"/>
    <w:rsid w:val="00B23F6A"/>
    <w:rsid w:val="00B4077A"/>
    <w:rsid w:val="00B500CE"/>
    <w:rsid w:val="00B530EF"/>
    <w:rsid w:val="00B970D0"/>
    <w:rsid w:val="00BA6903"/>
    <w:rsid w:val="00BB2EBC"/>
    <w:rsid w:val="00BF5A39"/>
    <w:rsid w:val="00C15217"/>
    <w:rsid w:val="00C36D6B"/>
    <w:rsid w:val="00C4185C"/>
    <w:rsid w:val="00C47143"/>
    <w:rsid w:val="00C77951"/>
    <w:rsid w:val="00D20972"/>
    <w:rsid w:val="00D428B9"/>
    <w:rsid w:val="00DB3A81"/>
    <w:rsid w:val="00DF5DDB"/>
    <w:rsid w:val="00E02455"/>
    <w:rsid w:val="00E1228A"/>
    <w:rsid w:val="00E71EC4"/>
    <w:rsid w:val="00EA186E"/>
    <w:rsid w:val="00EB35E0"/>
    <w:rsid w:val="00EB57ED"/>
    <w:rsid w:val="00ED3B1E"/>
    <w:rsid w:val="00EF2E8A"/>
    <w:rsid w:val="00EF5CE4"/>
    <w:rsid w:val="00F14144"/>
    <w:rsid w:val="00F233D3"/>
    <w:rsid w:val="00F47CFB"/>
    <w:rsid w:val="00F55596"/>
    <w:rsid w:val="00F64CD6"/>
    <w:rsid w:val="00F93119"/>
    <w:rsid w:val="00FA65E8"/>
    <w:rsid w:val="00FC0CE7"/>
    <w:rsid w:val="00FC7A6C"/>
    <w:rsid w:val="00FF451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7FF6EA"/>
  <w15:chartTrackingRefBased/>
  <w15:docId w15:val="{09541C7E-9F03-423E-819E-1B1039E0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57E1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7E1C"/>
    <w:rPr>
      <w:sz w:val="16"/>
      <w:szCs w:val="16"/>
    </w:rPr>
  </w:style>
  <w:style w:type="paragraph" w:customStyle="1" w:styleId="CommentText1">
    <w:name w:val="Comment Text1"/>
    <w:basedOn w:val="Normal"/>
    <w:next w:val="CommentText"/>
    <w:link w:val="CommentTextChar"/>
    <w:uiPriority w:val="99"/>
    <w:unhideWhenUsed/>
    <w:rsid w:val="00857E1C"/>
    <w:pPr>
      <w:spacing w:after="200" w:line="240" w:lineRule="auto"/>
    </w:pPr>
    <w:rPr>
      <w:sz w:val="20"/>
      <w:szCs w:val="20"/>
    </w:rPr>
  </w:style>
  <w:style w:type="character" w:customStyle="1" w:styleId="CommentTextChar">
    <w:name w:val="Comment Text Char"/>
    <w:basedOn w:val="DefaultParagraphFont"/>
    <w:link w:val="CommentText1"/>
    <w:uiPriority w:val="99"/>
    <w:rsid w:val="00857E1C"/>
    <w:rPr>
      <w:sz w:val="20"/>
      <w:szCs w:val="20"/>
    </w:rPr>
  </w:style>
  <w:style w:type="table" w:styleId="TableGrid">
    <w:name w:val="Table Grid"/>
    <w:basedOn w:val="TableNormal"/>
    <w:uiPriority w:val="39"/>
    <w:rsid w:val="00857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857E1C"/>
    <w:pPr>
      <w:spacing w:line="240" w:lineRule="auto"/>
    </w:pPr>
    <w:rPr>
      <w:sz w:val="20"/>
      <w:szCs w:val="20"/>
    </w:rPr>
  </w:style>
  <w:style w:type="character" w:customStyle="1" w:styleId="CommentTextChar1">
    <w:name w:val="Comment Text Char1"/>
    <w:basedOn w:val="DefaultParagraphFont"/>
    <w:link w:val="CommentText"/>
    <w:uiPriority w:val="99"/>
    <w:semiHidden/>
    <w:rsid w:val="00857E1C"/>
    <w:rPr>
      <w:sz w:val="20"/>
      <w:szCs w:val="20"/>
    </w:rPr>
  </w:style>
  <w:style w:type="paragraph" w:styleId="BalloonText">
    <w:name w:val="Balloon Text"/>
    <w:basedOn w:val="Normal"/>
    <w:link w:val="BalloonTextChar"/>
    <w:uiPriority w:val="99"/>
    <w:semiHidden/>
    <w:unhideWhenUsed/>
    <w:rsid w:val="00857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E1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57E1C"/>
    <w:rPr>
      <w:b/>
      <w:bCs/>
    </w:rPr>
  </w:style>
  <w:style w:type="character" w:customStyle="1" w:styleId="CommentSubjectChar">
    <w:name w:val="Comment Subject Char"/>
    <w:basedOn w:val="CommentTextChar1"/>
    <w:link w:val="CommentSubject"/>
    <w:uiPriority w:val="99"/>
    <w:semiHidden/>
    <w:rsid w:val="00857E1C"/>
    <w:rPr>
      <w:b/>
      <w:bCs/>
      <w:sz w:val="20"/>
      <w:szCs w:val="20"/>
    </w:rPr>
  </w:style>
  <w:style w:type="paragraph" w:styleId="NormalWeb">
    <w:name w:val="Normal (Web)"/>
    <w:basedOn w:val="Normal"/>
    <w:uiPriority w:val="99"/>
    <w:semiHidden/>
    <w:unhideWhenUsed/>
    <w:rsid w:val="00A31D8E"/>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Strong">
    <w:name w:val="Strong"/>
    <w:basedOn w:val="DefaultParagraphFont"/>
    <w:uiPriority w:val="22"/>
    <w:qFormat/>
    <w:rsid w:val="00A31D8E"/>
    <w:rPr>
      <w:b/>
      <w:bCs/>
    </w:rPr>
  </w:style>
  <w:style w:type="character" w:styleId="Emphasis">
    <w:name w:val="Emphasis"/>
    <w:basedOn w:val="DefaultParagraphFont"/>
    <w:uiPriority w:val="20"/>
    <w:qFormat/>
    <w:rsid w:val="00A31D8E"/>
    <w:rPr>
      <w:i/>
      <w:iCs/>
    </w:rPr>
  </w:style>
  <w:style w:type="character" w:styleId="Hyperlink">
    <w:name w:val="Hyperlink"/>
    <w:basedOn w:val="DefaultParagraphFont"/>
    <w:uiPriority w:val="99"/>
    <w:unhideWhenUsed/>
    <w:rsid w:val="00A31D8E"/>
    <w:rPr>
      <w:color w:val="0000FF"/>
      <w:u w:val="single"/>
    </w:rPr>
  </w:style>
  <w:style w:type="paragraph" w:styleId="ListParagraph">
    <w:name w:val="List Paragraph"/>
    <w:basedOn w:val="Normal"/>
    <w:uiPriority w:val="34"/>
    <w:qFormat/>
    <w:rsid w:val="00245551"/>
    <w:pPr>
      <w:ind w:left="720"/>
      <w:contextualSpacing/>
    </w:pPr>
  </w:style>
  <w:style w:type="paragraph" w:styleId="Header">
    <w:name w:val="header"/>
    <w:basedOn w:val="Normal"/>
    <w:link w:val="HeaderChar"/>
    <w:uiPriority w:val="99"/>
    <w:unhideWhenUsed/>
    <w:rsid w:val="00A55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9A6"/>
  </w:style>
  <w:style w:type="paragraph" w:styleId="Footer">
    <w:name w:val="footer"/>
    <w:basedOn w:val="Normal"/>
    <w:link w:val="FooterChar"/>
    <w:uiPriority w:val="99"/>
    <w:unhideWhenUsed/>
    <w:rsid w:val="00A55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27444">
      <w:bodyDiv w:val="1"/>
      <w:marLeft w:val="0"/>
      <w:marRight w:val="0"/>
      <w:marTop w:val="0"/>
      <w:marBottom w:val="0"/>
      <w:divBdr>
        <w:top w:val="none" w:sz="0" w:space="0" w:color="auto"/>
        <w:left w:val="none" w:sz="0" w:space="0" w:color="auto"/>
        <w:bottom w:val="none" w:sz="0" w:space="0" w:color="auto"/>
        <w:right w:val="none" w:sz="0" w:space="0" w:color="auto"/>
      </w:divBdr>
    </w:div>
    <w:div w:id="552692328">
      <w:bodyDiv w:val="1"/>
      <w:marLeft w:val="0"/>
      <w:marRight w:val="0"/>
      <w:marTop w:val="0"/>
      <w:marBottom w:val="0"/>
      <w:divBdr>
        <w:top w:val="none" w:sz="0" w:space="0" w:color="auto"/>
        <w:left w:val="none" w:sz="0" w:space="0" w:color="auto"/>
        <w:bottom w:val="none" w:sz="0" w:space="0" w:color="auto"/>
        <w:right w:val="none" w:sz="0" w:space="0" w:color="auto"/>
      </w:divBdr>
    </w:div>
    <w:div w:id="1427188457">
      <w:bodyDiv w:val="1"/>
      <w:marLeft w:val="0"/>
      <w:marRight w:val="0"/>
      <w:marTop w:val="0"/>
      <w:marBottom w:val="0"/>
      <w:divBdr>
        <w:top w:val="none" w:sz="0" w:space="0" w:color="auto"/>
        <w:left w:val="none" w:sz="0" w:space="0" w:color="auto"/>
        <w:bottom w:val="none" w:sz="0" w:space="0" w:color="auto"/>
        <w:right w:val="none" w:sz="0" w:space="0" w:color="auto"/>
      </w:divBdr>
    </w:div>
    <w:div w:id="14368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psj.2024.10350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86/s13568-018-0641-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12917-019-1827-7" TargetMode="External"/><Relationship Id="rId25" Type="http://schemas.openxmlformats.org/officeDocument/2006/relationships/hyperlink" Target="https://doi.org/10.1371/journal.pone.0102204"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3140/RG.2.2.19067.635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ani10071234"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6/j.animal.2023.100707" TargetMode="External"/><Relationship Id="rId10" Type="http://schemas.openxmlformats.org/officeDocument/2006/relationships/footer" Target="footer1.xml"/><Relationship Id="rId19" Type="http://schemas.openxmlformats.org/officeDocument/2006/relationships/hyperlink" Target="https://doi.org/10.1371/journal.pone.018608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4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14CB7-9218-4F1A-87FE-10E05A31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4142</Words>
  <Characters>23611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1117</cp:lastModifiedBy>
  <cp:revision>7</cp:revision>
  <dcterms:created xsi:type="dcterms:W3CDTF">2025-10-30T11:12:00Z</dcterms:created>
  <dcterms:modified xsi:type="dcterms:W3CDTF">2025-11-01T04:47:00Z</dcterms:modified>
</cp:coreProperties>
</file>