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BFF" w14:textId="77777777" w:rsidR="00B57F93" w:rsidRDefault="00000000">
      <w:pPr>
        <w:jc w:val="center"/>
        <w:rPr>
          <w:rFonts w:ascii="Arial" w:hAnsi="Arial" w:cs="Arial"/>
          <w:b/>
          <w:bCs/>
          <w:i/>
          <w:iCs/>
          <w:color w:val="000000" w:themeColor="text1"/>
          <w:sz w:val="36"/>
          <w:szCs w:val="36"/>
          <w:u w:val="single"/>
        </w:rPr>
      </w:pPr>
      <w:r>
        <w:rPr>
          <w:rFonts w:ascii="Arial" w:hAnsi="Arial" w:cs="Arial"/>
          <w:b/>
          <w:bCs/>
          <w:i/>
          <w:iCs/>
          <w:color w:val="000000" w:themeColor="text1"/>
          <w:sz w:val="36"/>
          <w:szCs w:val="36"/>
          <w:u w:val="single"/>
        </w:rPr>
        <w:t>Short Research Article</w:t>
      </w:r>
    </w:p>
    <w:p w14:paraId="21BA6C00" w14:textId="77777777" w:rsidR="00B57F93" w:rsidRDefault="00B57F93">
      <w:pPr>
        <w:jc w:val="center"/>
        <w:rPr>
          <w:rFonts w:ascii="Arial" w:hAnsi="Arial" w:cs="Arial"/>
          <w:b/>
          <w:bCs/>
          <w:color w:val="000000" w:themeColor="text1"/>
          <w:sz w:val="36"/>
          <w:szCs w:val="36"/>
        </w:rPr>
      </w:pPr>
    </w:p>
    <w:p w14:paraId="21BA6C01" w14:textId="77777777" w:rsidR="00B57F93" w:rsidRDefault="00000000">
      <w:pPr>
        <w:jc w:val="center"/>
        <w:rPr>
          <w:rFonts w:ascii="Arial" w:hAnsi="Arial" w:cs="Arial"/>
          <w:b/>
          <w:bCs/>
          <w:color w:val="000000" w:themeColor="text1"/>
          <w:sz w:val="36"/>
          <w:szCs w:val="36"/>
        </w:rPr>
      </w:pPr>
      <w:r>
        <w:rPr>
          <w:rFonts w:ascii="Arial" w:hAnsi="Arial" w:cs="Arial"/>
          <w:b/>
          <w:bCs/>
          <w:color w:val="000000" w:themeColor="text1"/>
          <w:sz w:val="36"/>
          <w:szCs w:val="36"/>
        </w:rPr>
        <w:t xml:space="preserve"> Acute Oral Toxicity study of </w:t>
      </w:r>
      <w:proofErr w:type="spellStart"/>
      <w:r>
        <w:rPr>
          <w:rFonts w:ascii="Arial" w:hAnsi="Arial" w:cs="Arial"/>
          <w:b/>
          <w:bCs/>
          <w:color w:val="000000" w:themeColor="text1"/>
          <w:sz w:val="36"/>
          <w:szCs w:val="36"/>
        </w:rPr>
        <w:t>Exapar</w:t>
      </w:r>
      <w:proofErr w:type="spellEnd"/>
      <w:r>
        <w:rPr>
          <w:rFonts w:ascii="Arial" w:hAnsi="Arial" w:cs="Arial"/>
          <w:b/>
          <w:bCs/>
          <w:color w:val="000000" w:themeColor="text1"/>
          <w:sz w:val="36"/>
          <w:szCs w:val="36"/>
        </w:rPr>
        <w:t xml:space="preserve"> Premix</w:t>
      </w:r>
      <w:r>
        <w:rPr>
          <w:rFonts w:ascii="Arial" w:hAnsi="Arial" w:cs="Arial"/>
          <w:color w:val="000000" w:themeColor="text1"/>
          <w:sz w:val="36"/>
          <w:szCs w:val="36"/>
          <w:shd w:val="clear" w:color="auto" w:fill="FFFFFF"/>
        </w:rPr>
        <w:t xml:space="preserve"> </w:t>
      </w:r>
      <w:r>
        <w:rPr>
          <w:rFonts w:ascii="Arial" w:hAnsi="Arial" w:cs="Arial"/>
          <w:b/>
          <w:bCs/>
          <w:color w:val="000000" w:themeColor="text1"/>
          <w:sz w:val="36"/>
          <w:szCs w:val="36"/>
        </w:rPr>
        <w:t>in Wistar Rats: A Polyherbal Formulation for Uterine Cleansing and Restoration in Veterinary Practice</w:t>
      </w:r>
    </w:p>
    <w:p w14:paraId="21BA6C02" w14:textId="77777777" w:rsidR="00B57F93" w:rsidRDefault="00B57F93">
      <w:pPr>
        <w:jc w:val="right"/>
        <w:rPr>
          <w:rFonts w:ascii="Arial" w:hAnsi="Arial" w:cs="Arial"/>
          <w:color w:val="000000" w:themeColor="text1"/>
          <w:sz w:val="20"/>
        </w:rPr>
      </w:pPr>
    </w:p>
    <w:p w14:paraId="21BA6C03" w14:textId="77777777" w:rsidR="00B57F93" w:rsidRDefault="00B57F93">
      <w:pPr>
        <w:jc w:val="right"/>
        <w:rPr>
          <w:rFonts w:ascii="Arial" w:hAnsi="Arial" w:cs="Arial"/>
          <w:color w:val="000000" w:themeColor="text1"/>
          <w:sz w:val="20"/>
        </w:rPr>
      </w:pPr>
    </w:p>
    <w:p w14:paraId="21BA6C04" w14:textId="77777777" w:rsidR="00B57F93" w:rsidRDefault="00000000">
      <w:pPr>
        <w:spacing w:after="0" w:line="240" w:lineRule="auto"/>
        <w:jc w:val="both"/>
        <w:rPr>
          <w:rFonts w:ascii="Arial" w:hAnsi="Arial" w:cs="Arial"/>
          <w:color w:val="000000" w:themeColor="text1"/>
        </w:rPr>
      </w:pPr>
      <w:r>
        <w:rPr>
          <w:rFonts w:ascii="Arial" w:hAnsi="Arial" w:cs="Arial"/>
          <w:color w:val="000000" w:themeColor="text1"/>
        </w:rPr>
        <w:t xml:space="preserve"> </w:t>
      </w:r>
    </w:p>
    <w:p w14:paraId="21BA6C05"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olor w:val="000000" w:themeColor="text1"/>
        </w:rPr>
      </w:pPr>
      <w:r>
        <w:rPr>
          <w:rFonts w:ascii="Arial" w:hAnsi="Arial" w:cs="Arial"/>
          <w:b/>
          <w:bCs/>
          <w:color w:val="000000" w:themeColor="text1"/>
        </w:rPr>
        <w:t>ABSTRACT</w:t>
      </w:r>
    </w:p>
    <w:p w14:paraId="21BA6C06" w14:textId="77777777" w:rsidR="00B57F93" w:rsidRDefault="00B57F9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olor w:val="000000" w:themeColor="text1"/>
        </w:rPr>
      </w:pPr>
    </w:p>
    <w:p w14:paraId="21BA6C07"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18"/>
        </w:rPr>
      </w:pPr>
      <w:r>
        <w:rPr>
          <w:rFonts w:ascii="Arial" w:hAnsi="Arial" w:cs="Arial"/>
          <w:b/>
          <w:bCs/>
          <w:color w:val="000000" w:themeColor="text1"/>
        </w:rPr>
        <w:t>Aims:</w:t>
      </w:r>
      <w:r>
        <w:rPr>
          <w:rFonts w:ascii="Arial" w:hAnsi="Arial" w:cs="Arial"/>
          <w:color w:val="000000" w:themeColor="text1"/>
        </w:rPr>
        <w:t xml:space="preserve"> </w:t>
      </w:r>
      <w:r>
        <w:rPr>
          <w:rFonts w:ascii="Arial" w:hAnsi="Arial" w:cs="Arial"/>
          <w:color w:val="000000" w:themeColor="text1"/>
          <w:sz w:val="20"/>
          <w:szCs w:val="18"/>
        </w:rPr>
        <w:t xml:space="preserve">The present study evaluated the acute oral toxicity potential of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Premix in Wistar rats following the OECD-423 and 425 guidelines.</w:t>
      </w:r>
    </w:p>
    <w:p w14:paraId="21BA6C08"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rPr>
      </w:pPr>
      <w:r>
        <w:rPr>
          <w:rFonts w:ascii="Arial" w:hAnsi="Arial" w:cs="Arial"/>
          <w:b/>
          <w:bCs/>
          <w:color w:val="000000" w:themeColor="text1"/>
        </w:rPr>
        <w:t>Study Design:</w:t>
      </w:r>
      <w:r>
        <w:rPr>
          <w:rFonts w:ascii="Arial" w:hAnsi="Arial" w:cs="Arial"/>
          <w:color w:val="000000" w:themeColor="text1"/>
        </w:rPr>
        <w:t xml:space="preserve"> </w:t>
      </w:r>
      <w:r>
        <w:rPr>
          <w:rFonts w:ascii="Arial" w:hAnsi="Arial" w:cs="Arial"/>
          <w:color w:val="000000" w:themeColor="text1"/>
          <w:sz w:val="20"/>
          <w:szCs w:val="18"/>
        </w:rPr>
        <w:t>Acute oral toxicity study based on a single-dose administration protocol.</w:t>
      </w:r>
    </w:p>
    <w:p w14:paraId="21BA6C09"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18"/>
        </w:rPr>
      </w:pPr>
      <w:r>
        <w:rPr>
          <w:rFonts w:ascii="Arial" w:hAnsi="Arial" w:cs="Arial"/>
          <w:b/>
          <w:bCs/>
          <w:color w:val="000000" w:themeColor="text1"/>
        </w:rPr>
        <w:t xml:space="preserve">Place and Duration of Study: </w:t>
      </w:r>
      <w:r>
        <w:rPr>
          <w:rFonts w:ascii="Arial" w:hAnsi="Arial" w:cs="Arial"/>
          <w:color w:val="000000" w:themeColor="text1"/>
          <w:sz w:val="20"/>
          <w:szCs w:val="18"/>
        </w:rPr>
        <w:t>The study was conducted at the Laboratory Animal Facility, Department of Veterinary Pharmacology and Toxicology, Post Graduate Institute of Veterinary and Animal Sciences (PGIVAS), Akola, Maharashtra, India (MAFSU, Nagpur). The experiment was carried out in a controlled laboratory setting over a 14-day observation period, preceded by a five-day acclimatization phase.</w:t>
      </w:r>
    </w:p>
    <w:p w14:paraId="21BA6C0A"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rPr>
      </w:pPr>
      <w:r>
        <w:rPr>
          <w:rFonts w:ascii="Arial" w:hAnsi="Arial" w:cs="Arial"/>
          <w:b/>
          <w:bCs/>
          <w:color w:val="000000" w:themeColor="text1"/>
        </w:rPr>
        <w:t>Methodology:</w:t>
      </w:r>
      <w:r>
        <w:rPr>
          <w:rFonts w:ascii="Arial" w:hAnsi="Arial" w:cs="Arial"/>
          <w:color w:val="000000" w:themeColor="text1"/>
        </w:rPr>
        <w:t xml:space="preserve"> </w:t>
      </w:r>
      <w:r>
        <w:rPr>
          <w:rFonts w:ascii="Arial" w:hAnsi="Arial" w:cs="Arial"/>
          <w:color w:val="000000" w:themeColor="text1"/>
          <w:sz w:val="20"/>
        </w:rPr>
        <w:t>Experiment was conducted on six adults fem</w:t>
      </w:r>
      <w:r>
        <w:rPr>
          <w:rFonts w:ascii="Arial" w:hAnsi="Arial" w:cs="Arial"/>
          <w:color w:val="000000" w:themeColor="text1"/>
          <w:sz w:val="20"/>
          <w:szCs w:val="18"/>
        </w:rPr>
        <w:t xml:space="preserve">ale Wistar rats (108–123 g). </w:t>
      </w:r>
      <w:r>
        <w:rPr>
          <w:rFonts w:ascii="Arial" w:eastAsia="SimSun" w:hAnsi="Arial" w:cs="Arial"/>
          <w:color w:val="000000"/>
          <w:sz w:val="20"/>
          <w:shd w:val="clear" w:color="auto" w:fill="FFFFFF"/>
        </w:rPr>
        <w:t xml:space="preserve">The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Premix</w:t>
      </w:r>
      <w:r>
        <w:rPr>
          <w:rFonts w:ascii="Arial" w:eastAsia="SimSun" w:hAnsi="Arial" w:cs="Arial"/>
          <w:color w:val="000000"/>
          <w:sz w:val="20"/>
          <w:shd w:val="clear" w:color="auto" w:fill="FFFFFF"/>
        </w:rPr>
        <w:t xml:space="preserve"> was administered orally to separate single rat @ 300 mg/kg and 2000 mg/kg body weight in a sighting study and in main test 4 rats were taken separately received 2000 mg/kg of product orally.</w:t>
      </w:r>
      <w:r>
        <w:rPr>
          <w:rFonts w:ascii="Arial" w:hAnsi="Arial" w:cs="Arial"/>
          <w:color w:val="000000" w:themeColor="text1"/>
          <w:sz w:val="20"/>
          <w:szCs w:val="18"/>
        </w:rPr>
        <w:t xml:space="preserve"> The animals were continuously monitored for clinical signs of toxicity, behavioral changes and mortality. Body weight was recorded during the 14-day period. On the last day of experiment, biochemical parameters including aspartate aminotransferase (AST), alanine aminotransferase (ALT), alkaline phosphatase (ALP) and creatinine levels, were analyzed. The rats were then humanely euthanized using diethyl ether and histopathological examinations of the heart, liver, kidneys and lungs were performed to examine any microscopic abnormalities.</w:t>
      </w:r>
    </w:p>
    <w:p w14:paraId="21BA6C0B"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18"/>
        </w:rPr>
      </w:pPr>
      <w:r>
        <w:rPr>
          <w:rFonts w:ascii="Arial" w:hAnsi="Arial" w:cs="Arial"/>
          <w:b/>
          <w:bCs/>
          <w:color w:val="000000" w:themeColor="text1"/>
        </w:rPr>
        <w:t>Results:</w:t>
      </w:r>
      <w:r>
        <w:rPr>
          <w:rFonts w:ascii="Arial" w:hAnsi="Arial" w:cs="Arial"/>
          <w:color w:val="000000" w:themeColor="text1"/>
        </w:rPr>
        <w:t xml:space="preserve"> </w:t>
      </w:r>
      <w:r>
        <w:rPr>
          <w:rFonts w:ascii="Arial" w:hAnsi="Arial" w:cs="Arial"/>
          <w:color w:val="000000" w:themeColor="text1"/>
          <w:sz w:val="20"/>
          <w:szCs w:val="18"/>
        </w:rPr>
        <w:t xml:space="preserve">No mortality or adverse clinical signs were observed in any of the treated animals. Body weight remained within the normal physiological range throughout the study. The estimated biochemical </w:t>
      </w:r>
      <w:proofErr w:type="gramStart"/>
      <w:r>
        <w:rPr>
          <w:rFonts w:ascii="Arial" w:hAnsi="Arial" w:cs="Arial"/>
          <w:color w:val="000000" w:themeColor="text1"/>
          <w:sz w:val="20"/>
          <w:szCs w:val="18"/>
        </w:rPr>
        <w:t>analytes  AST</w:t>
      </w:r>
      <w:proofErr w:type="gramEnd"/>
      <w:r>
        <w:rPr>
          <w:rFonts w:ascii="Arial" w:hAnsi="Arial" w:cs="Arial"/>
          <w:color w:val="000000" w:themeColor="text1"/>
          <w:sz w:val="20"/>
          <w:szCs w:val="18"/>
        </w:rPr>
        <w:t>, ALT, ALP and creatinine were observed within normal reference ranges, indicating no systemic toxicity. Histopathological examination showed no significant microscopic abnormalities in the examined vital organs.</w:t>
      </w:r>
    </w:p>
    <w:p w14:paraId="21BA6C0C" w14:textId="77777777" w:rsidR="00B57F93" w:rsidRDefault="0000000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18"/>
        </w:rPr>
      </w:pPr>
      <w:r>
        <w:rPr>
          <w:rFonts w:ascii="Arial" w:hAnsi="Arial" w:cs="Arial"/>
          <w:b/>
          <w:bCs/>
          <w:color w:val="000000" w:themeColor="text1"/>
        </w:rPr>
        <w:t>Conclusion:</w:t>
      </w:r>
      <w:r>
        <w:rPr>
          <w:rFonts w:ascii="Arial" w:hAnsi="Arial" w:cs="Arial"/>
          <w:color w:val="000000" w:themeColor="text1"/>
        </w:rPr>
        <w:t xml:space="preserve">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Premix upon oral administration do not cause acute oral toxicity in Wistar rats, with an LD</w:t>
      </w:r>
      <w:r>
        <w:rPr>
          <w:rFonts w:ascii="Cambria Math" w:hAnsi="Cambria Math" w:cs="Cambria Math"/>
          <w:color w:val="000000" w:themeColor="text1"/>
          <w:sz w:val="20"/>
          <w:szCs w:val="18"/>
        </w:rPr>
        <w:t>₅₀</w:t>
      </w:r>
      <w:r>
        <w:rPr>
          <w:rFonts w:ascii="Arial" w:hAnsi="Arial" w:cs="Arial"/>
          <w:color w:val="000000" w:themeColor="text1"/>
          <w:sz w:val="20"/>
          <w:szCs w:val="18"/>
        </w:rPr>
        <w:t xml:space="preserve"> exceeding 2000 mg/kg body weight. These findings confirm its safety for oral administration.</w:t>
      </w:r>
    </w:p>
    <w:p w14:paraId="21BA6C0D" w14:textId="77777777" w:rsidR="00B57F93" w:rsidRDefault="00B57F9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000000" w:themeColor="text1"/>
        </w:rPr>
      </w:pPr>
    </w:p>
    <w:p w14:paraId="21BA6C0E" w14:textId="77777777" w:rsidR="00B57F93" w:rsidRDefault="00B57F93">
      <w:pPr>
        <w:spacing w:after="0" w:line="240" w:lineRule="auto"/>
        <w:rPr>
          <w:rFonts w:ascii="Arial" w:hAnsi="Arial" w:cs="Arial"/>
          <w:b/>
          <w:bCs/>
          <w:color w:val="000000" w:themeColor="text1"/>
        </w:rPr>
      </w:pPr>
    </w:p>
    <w:p w14:paraId="21BA6C0F" w14:textId="77777777" w:rsidR="00B57F93" w:rsidRDefault="00B57F93">
      <w:pPr>
        <w:spacing w:after="0" w:line="240" w:lineRule="auto"/>
        <w:rPr>
          <w:rFonts w:ascii="Arial" w:hAnsi="Arial" w:cs="Arial"/>
          <w:color w:val="000000" w:themeColor="text1"/>
          <w:sz w:val="20"/>
        </w:rPr>
      </w:pPr>
    </w:p>
    <w:p w14:paraId="21BA6C10" w14:textId="77777777" w:rsidR="00B57F93" w:rsidRDefault="00000000">
      <w:pPr>
        <w:spacing w:after="0" w:line="240" w:lineRule="auto"/>
        <w:rPr>
          <w:rFonts w:ascii="Arial" w:hAnsi="Arial" w:cs="Arial"/>
          <w:b/>
          <w:bCs/>
          <w:color w:val="000000" w:themeColor="text1"/>
          <w:sz w:val="20"/>
        </w:rPr>
      </w:pPr>
      <w:r>
        <w:rPr>
          <w:rFonts w:ascii="Arial" w:hAnsi="Arial" w:cs="Arial"/>
          <w:color w:val="000000" w:themeColor="text1"/>
          <w:sz w:val="20"/>
        </w:rPr>
        <w:t xml:space="preserve">Keywords: </w:t>
      </w:r>
      <w:bookmarkStart w:id="0" w:name="_Hlk191429846"/>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w:t>
      </w:r>
      <w:r>
        <w:rPr>
          <w:rFonts w:ascii="Arial" w:hAnsi="Arial" w:cs="Arial"/>
          <w:color w:val="000000" w:themeColor="text1"/>
          <w:sz w:val="20"/>
          <w:szCs w:val="18"/>
        </w:rPr>
        <w:t>Premix</w:t>
      </w:r>
      <w:r>
        <w:rPr>
          <w:rFonts w:ascii="Arial" w:hAnsi="Arial" w:cs="Arial"/>
          <w:color w:val="000000" w:themeColor="text1"/>
          <w:sz w:val="20"/>
        </w:rPr>
        <w:t xml:space="preserve">; OECD 423; </w:t>
      </w:r>
      <w:proofErr w:type="spellStart"/>
      <w:r>
        <w:rPr>
          <w:rFonts w:ascii="Arial" w:hAnsi="Arial" w:cs="Arial"/>
          <w:color w:val="000000" w:themeColor="text1"/>
          <w:sz w:val="20"/>
        </w:rPr>
        <w:t>wistar</w:t>
      </w:r>
      <w:proofErr w:type="spellEnd"/>
      <w:r>
        <w:rPr>
          <w:rFonts w:ascii="Arial" w:hAnsi="Arial" w:cs="Arial"/>
          <w:color w:val="000000" w:themeColor="text1"/>
          <w:sz w:val="20"/>
        </w:rPr>
        <w:t xml:space="preserve"> rat; polyherbal formulation</w:t>
      </w:r>
      <w:bookmarkEnd w:id="0"/>
      <w:r>
        <w:rPr>
          <w:rFonts w:ascii="Arial" w:hAnsi="Arial" w:cs="Arial"/>
          <w:color w:val="000000" w:themeColor="text1"/>
          <w:sz w:val="20"/>
        </w:rPr>
        <w:br/>
      </w:r>
    </w:p>
    <w:p w14:paraId="21BA6C11" w14:textId="77777777" w:rsidR="00B57F93" w:rsidRDefault="00B57F93">
      <w:pPr>
        <w:spacing w:after="0" w:line="240" w:lineRule="auto"/>
        <w:rPr>
          <w:rFonts w:ascii="Arial" w:hAnsi="Arial" w:cs="Arial"/>
          <w:b/>
          <w:bCs/>
          <w:color w:val="000000" w:themeColor="text1"/>
        </w:rPr>
      </w:pPr>
    </w:p>
    <w:p w14:paraId="21BA6C12" w14:textId="77777777" w:rsidR="00B57F93" w:rsidRDefault="00B57F93">
      <w:pPr>
        <w:spacing w:after="0" w:line="240" w:lineRule="auto"/>
        <w:rPr>
          <w:rFonts w:ascii="Arial" w:hAnsi="Arial" w:cs="Arial"/>
          <w:b/>
          <w:bCs/>
          <w:color w:val="000000" w:themeColor="text1"/>
        </w:rPr>
      </w:pPr>
    </w:p>
    <w:p w14:paraId="21BA6C14" w14:textId="77777777" w:rsidR="00B57F93" w:rsidRDefault="00000000">
      <w:pPr>
        <w:spacing w:after="0" w:line="240" w:lineRule="auto"/>
        <w:rPr>
          <w:rFonts w:ascii="Arial" w:hAnsi="Arial" w:cs="Arial"/>
          <w:b/>
          <w:bCs/>
          <w:color w:val="000000" w:themeColor="text1"/>
        </w:rPr>
      </w:pPr>
      <w:r>
        <w:rPr>
          <w:rFonts w:ascii="Arial" w:hAnsi="Arial" w:cs="Arial"/>
          <w:b/>
          <w:bCs/>
          <w:color w:val="000000" w:themeColor="text1"/>
        </w:rPr>
        <w:t>1. INTRODUCTION</w:t>
      </w:r>
    </w:p>
    <w:p w14:paraId="21BA6C15" w14:textId="77777777" w:rsidR="00B57F93" w:rsidRDefault="00000000">
      <w:pPr>
        <w:spacing w:line="240" w:lineRule="auto"/>
        <w:ind w:firstLine="720"/>
        <w:jc w:val="both"/>
        <w:rPr>
          <w:rFonts w:ascii="Arial" w:hAnsi="Arial" w:cs="Arial"/>
          <w:b/>
          <w:bCs/>
          <w:color w:val="000000" w:themeColor="text1"/>
          <w:sz w:val="20"/>
          <w:szCs w:val="18"/>
        </w:rPr>
      </w:pPr>
      <w:r>
        <w:rPr>
          <w:rFonts w:ascii="Arial" w:hAnsi="Arial" w:cs="Arial"/>
          <w:color w:val="000000" w:themeColor="text1"/>
          <w:sz w:val="20"/>
          <w:szCs w:val="18"/>
        </w:rPr>
        <w:t>Postpartum reproductive efficiency is crucial for the economic viability of the dairy industry. The post-calving period involves significant endocrine, metabolic and immunological changes, increasing susceptibility to uterine infections, retention of fetal membrane and delayed involution of uterus. These uterine affections result from the disruption of anatomical barriers during parturition, bacterial contamination and immunosuppression around calving. The compromised immune function before and after parturition further predisposes dairy cattle to infectious diseases, impacting overall reproductive health and productivity</w:t>
      </w:r>
      <w:r>
        <w:rPr>
          <w:rFonts w:ascii="Arial" w:hAnsi="Arial" w:cs="Arial"/>
          <w:b/>
          <w:bCs/>
          <w:color w:val="000000" w:themeColor="text1"/>
          <w:sz w:val="20"/>
          <w:szCs w:val="18"/>
        </w:rPr>
        <w:t xml:space="preserve"> </w:t>
      </w:r>
      <w:r>
        <w:rPr>
          <w:rFonts w:ascii="Arial" w:hAnsi="Arial" w:cs="Arial"/>
          <w:color w:val="000000" w:themeColor="text1"/>
          <w:sz w:val="20"/>
          <w:szCs w:val="18"/>
        </w:rPr>
        <w:t>[1])</w:t>
      </w:r>
      <w:r>
        <w:rPr>
          <w:rFonts w:ascii="Arial" w:hAnsi="Arial" w:cs="Arial"/>
          <w:b/>
          <w:bCs/>
          <w:color w:val="000000" w:themeColor="text1"/>
          <w:sz w:val="20"/>
          <w:szCs w:val="18"/>
        </w:rPr>
        <w:t xml:space="preserve">. </w:t>
      </w:r>
      <w:r>
        <w:rPr>
          <w:rFonts w:ascii="Arial" w:hAnsi="Arial" w:cs="Arial"/>
          <w:color w:val="000000" w:themeColor="text1"/>
          <w:sz w:val="20"/>
          <w:szCs w:val="18"/>
        </w:rPr>
        <w:t xml:space="preserve">A healthy uterine environment is crucial for maintaining </w:t>
      </w:r>
      <w:r>
        <w:rPr>
          <w:rFonts w:ascii="Arial" w:hAnsi="Arial" w:cs="Arial"/>
          <w:color w:val="000000" w:themeColor="text1"/>
          <w:sz w:val="20"/>
          <w:szCs w:val="18"/>
        </w:rPr>
        <w:lastRenderedPageBreak/>
        <w:t>optimal fertility in dairy animals, as any disruption to the endometrium can impair normal reproductive functions, leading to infertility. Postpartum uterine infections are influenced by immune status, bacterial load and pathogen virulence, induce persistent inflammatory responses that delay uterine involution, disrupt ovarian follicular development and cause luteal dysfunction. These infections negatively impact postpartum ovarian resumption, increase the number of services required per conception, and prolong the inter-calving interval, ultimately reducing overall fertility. Furthermore, uterine affections adversely affect milk production by altering ovarian follicular dynamics, impairing steroidogenesis and disrupting estrus expression, thereby compromising reproductive efficiency and lactational performance in dairy animals [2]</w:t>
      </w:r>
      <w:r>
        <w:rPr>
          <w:rFonts w:ascii="Arial" w:hAnsi="Arial" w:cs="Arial"/>
          <w:b/>
          <w:bCs/>
          <w:color w:val="000000" w:themeColor="text1"/>
          <w:sz w:val="20"/>
          <w:szCs w:val="18"/>
        </w:rPr>
        <w:t>.</w:t>
      </w:r>
    </w:p>
    <w:p w14:paraId="21BA6C16" w14:textId="77777777" w:rsidR="00B57F93" w:rsidRDefault="00000000">
      <w:pPr>
        <w:spacing w:line="240" w:lineRule="auto"/>
        <w:ind w:firstLine="720"/>
        <w:jc w:val="both"/>
        <w:rPr>
          <w:rFonts w:ascii="Arial" w:hAnsi="Arial" w:cs="Arial"/>
          <w:color w:val="000000" w:themeColor="text1"/>
          <w:sz w:val="20"/>
          <w:szCs w:val="18"/>
        </w:rPr>
      </w:pPr>
      <w:r>
        <w:rPr>
          <w:rFonts w:ascii="Arial" w:hAnsi="Arial" w:cs="Arial"/>
          <w:color w:val="000000" w:themeColor="text1"/>
          <w:sz w:val="20"/>
          <w:szCs w:val="18"/>
        </w:rPr>
        <w:t xml:space="preserve">The failure of fetal membrane separation and expulsion within the normal physiological duration of the third stage of labor is referred to as retained fetal membranes. Retention for 3 to 8 hours post-calving is considered a normal process; however, if the placenta remains beyond 12 to 24 hours postpartum in cows and buffaloes, it is classified as a pathological condition. Retained placenta is a significant reproductive disorder in dairy animals [3]. The extensive and improper use of antimicrobial agents in veterinary medicine has raised concerns regarding milk residues, drug toxicity, delayed diagnosis and therapeutic failures. As a result, herbal remedies have gained significance as alternative treatment options for livestock, with historical references dating back to 5000 BC in the </w:t>
      </w:r>
      <w:r>
        <w:rPr>
          <w:rFonts w:ascii="Arial" w:hAnsi="Arial" w:cs="Arial"/>
          <w:i/>
          <w:iCs/>
          <w:color w:val="000000" w:themeColor="text1"/>
          <w:sz w:val="20"/>
          <w:szCs w:val="18"/>
        </w:rPr>
        <w:t>Nakul Samhita</w:t>
      </w:r>
      <w:r>
        <w:rPr>
          <w:rFonts w:ascii="Arial" w:hAnsi="Arial" w:cs="Arial"/>
          <w:color w:val="000000" w:themeColor="text1"/>
          <w:sz w:val="20"/>
          <w:szCs w:val="18"/>
        </w:rPr>
        <w:t xml:space="preserve">. Various </w:t>
      </w:r>
      <w:r>
        <w:rPr>
          <w:rFonts w:ascii="Arial" w:hAnsi="Arial" w:cs="Arial"/>
          <w:color w:val="000000" w:themeColor="text1"/>
          <w:sz w:val="20"/>
        </w:rPr>
        <w:t xml:space="preserve">herbal uterine cleanser and restorative tonics </w:t>
      </w:r>
      <w:r>
        <w:rPr>
          <w:rFonts w:ascii="Arial" w:hAnsi="Arial" w:cs="Arial"/>
          <w:color w:val="000000" w:themeColor="text1"/>
          <w:sz w:val="20"/>
          <w:szCs w:val="18"/>
        </w:rPr>
        <w:t xml:space="preserve">in dairy animals have been identified and commercialized for managing reproductive </w:t>
      </w:r>
      <w:proofErr w:type="gramStart"/>
      <w:r>
        <w:rPr>
          <w:rFonts w:ascii="Arial" w:hAnsi="Arial" w:cs="Arial"/>
          <w:color w:val="000000" w:themeColor="text1"/>
          <w:sz w:val="20"/>
          <w:szCs w:val="18"/>
        </w:rPr>
        <w:t>disorders  [</w:t>
      </w:r>
      <w:proofErr w:type="gramEnd"/>
      <w:r>
        <w:rPr>
          <w:rFonts w:ascii="Arial" w:hAnsi="Arial" w:cs="Arial"/>
          <w:color w:val="000000" w:themeColor="text1"/>
          <w:sz w:val="20"/>
          <w:szCs w:val="18"/>
        </w:rPr>
        <w:t>4].</w:t>
      </w:r>
    </w:p>
    <w:p w14:paraId="21BA6C17" w14:textId="77777777" w:rsidR="00B57F93" w:rsidRDefault="00000000">
      <w:pPr>
        <w:spacing w:line="240" w:lineRule="auto"/>
        <w:ind w:firstLine="720"/>
        <w:jc w:val="both"/>
        <w:rPr>
          <w:rFonts w:ascii="Arial" w:hAnsi="Arial" w:cs="Arial"/>
          <w:b/>
          <w:bCs/>
          <w:color w:val="000000" w:themeColor="text1"/>
          <w:sz w:val="20"/>
          <w:szCs w:val="18"/>
        </w:rPr>
      </w:pP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has been developed as an oral herbal uterine cleanser and restorative, specifically formulated for the management of repeat breeder cows, aiding in the expulsion of retained fetal membranes, regulation of </w:t>
      </w:r>
      <w:proofErr w:type="spellStart"/>
      <w:r>
        <w:rPr>
          <w:rFonts w:ascii="Arial" w:hAnsi="Arial" w:cs="Arial"/>
          <w:color w:val="000000" w:themeColor="text1"/>
          <w:sz w:val="20"/>
          <w:szCs w:val="18"/>
        </w:rPr>
        <w:t>lochial</w:t>
      </w:r>
      <w:proofErr w:type="spellEnd"/>
      <w:r>
        <w:rPr>
          <w:rFonts w:ascii="Arial" w:hAnsi="Arial" w:cs="Arial"/>
          <w:color w:val="000000" w:themeColor="text1"/>
          <w:sz w:val="20"/>
          <w:szCs w:val="18"/>
        </w:rPr>
        <w:t xml:space="preserve"> discharge and correction of delayed uterine involution. It plays a vital role in enhancing local immune function and reducing the incidence of postpartum reproductive disorders in dairy cattle. The therapeutic and prophylactic efficacy of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is attributed to its potent uterotonic, anti-inflammatory and immunomodulatory properties. Additionally, it serves as an effective uterine cleanser following manual removal of retained fetal membranes and facilitates the timely expulsion of the placenta, thereby supporting optimal postpartum uterine health [5].</w:t>
      </w:r>
    </w:p>
    <w:p w14:paraId="21BA6C18" w14:textId="77777777" w:rsidR="00B57F93" w:rsidRDefault="00000000">
      <w:pPr>
        <w:spacing w:line="240" w:lineRule="auto"/>
        <w:ind w:firstLine="720"/>
        <w:jc w:val="both"/>
        <w:rPr>
          <w:rFonts w:ascii="Arial" w:hAnsi="Arial" w:cs="Arial"/>
          <w:color w:val="000000" w:themeColor="text1"/>
          <w:sz w:val="20"/>
          <w:szCs w:val="18"/>
        </w:rPr>
      </w:pP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is a combination of herbal ingredients, like </w:t>
      </w:r>
      <w:r>
        <w:rPr>
          <w:rFonts w:ascii="Arial" w:hAnsi="Arial" w:cs="Arial"/>
          <w:i/>
          <w:iCs/>
          <w:color w:val="000000" w:themeColor="text1"/>
          <w:sz w:val="20"/>
          <w:szCs w:val="18"/>
        </w:rPr>
        <w:t>Plumbago zeylanica</w:t>
      </w:r>
      <w:r>
        <w:rPr>
          <w:rFonts w:ascii="Roboto" w:hAnsi="Roboto"/>
          <w:color w:val="000000" w:themeColor="text1"/>
          <w:shd w:val="clear" w:color="auto" w:fill="FFFFFF"/>
        </w:rPr>
        <w:t xml:space="preserve"> </w:t>
      </w:r>
      <w:r>
        <w:rPr>
          <w:rFonts w:ascii="Arial" w:hAnsi="Arial" w:cs="Arial"/>
          <w:color w:val="000000" w:themeColor="text1"/>
          <w:sz w:val="20"/>
          <w:szCs w:val="18"/>
        </w:rPr>
        <w:t xml:space="preserve">(Chitrak), </w:t>
      </w:r>
      <w:r>
        <w:rPr>
          <w:rFonts w:ascii="Arial" w:hAnsi="Arial" w:cs="Arial"/>
          <w:i/>
          <w:iCs/>
          <w:color w:val="000000" w:themeColor="text1"/>
          <w:sz w:val="20"/>
          <w:szCs w:val="18"/>
        </w:rPr>
        <w:t xml:space="preserve">Aloe </w:t>
      </w:r>
      <w:proofErr w:type="spellStart"/>
      <w:r>
        <w:rPr>
          <w:rFonts w:ascii="Arial" w:hAnsi="Arial" w:cs="Arial"/>
          <w:i/>
          <w:iCs/>
          <w:color w:val="000000" w:themeColor="text1"/>
          <w:sz w:val="20"/>
          <w:szCs w:val="18"/>
        </w:rPr>
        <w:t>barbadensis</w:t>
      </w:r>
      <w:proofErr w:type="spellEnd"/>
      <w:r>
        <w:rPr>
          <w:rFonts w:ascii="Arial" w:hAnsi="Arial" w:cs="Arial"/>
          <w:i/>
          <w:iCs/>
          <w:color w:val="000000" w:themeColor="text1"/>
          <w:sz w:val="20"/>
          <w:szCs w:val="18"/>
        </w:rPr>
        <w:t xml:space="preserve"> </w:t>
      </w:r>
      <w:r>
        <w:rPr>
          <w:rFonts w:ascii="Arial" w:hAnsi="Arial" w:cs="Arial"/>
          <w:color w:val="000000" w:themeColor="text1"/>
          <w:sz w:val="20"/>
          <w:szCs w:val="18"/>
        </w:rPr>
        <w:t>(</w:t>
      </w:r>
      <w:proofErr w:type="spellStart"/>
      <w:r>
        <w:rPr>
          <w:rFonts w:ascii="Arial" w:hAnsi="Arial" w:cs="Arial"/>
          <w:color w:val="000000" w:themeColor="text1"/>
          <w:sz w:val="20"/>
          <w:szCs w:val="18"/>
        </w:rPr>
        <w:t>Gwarpatha</w:t>
      </w:r>
      <w:proofErr w:type="spellEnd"/>
      <w:r>
        <w:rPr>
          <w:rFonts w:ascii="Arial" w:hAnsi="Arial" w:cs="Arial"/>
          <w:color w:val="000000" w:themeColor="text1"/>
          <w:sz w:val="20"/>
          <w:szCs w:val="18"/>
        </w:rPr>
        <w:t>),</w:t>
      </w:r>
      <w:r>
        <w:rPr>
          <w:rFonts w:ascii="Arial" w:hAnsi="Arial" w:cs="Arial"/>
          <w:i/>
          <w:iCs/>
          <w:color w:val="000000" w:themeColor="text1"/>
          <w:sz w:val="20"/>
        </w:rPr>
        <w:t xml:space="preserve"> piper longum </w:t>
      </w:r>
      <w:r>
        <w:rPr>
          <w:rFonts w:ascii="Arial" w:hAnsi="Arial" w:cs="Arial"/>
          <w:color w:val="000000" w:themeColor="text1"/>
          <w:sz w:val="20"/>
        </w:rPr>
        <w:t>(</w:t>
      </w:r>
      <w:proofErr w:type="spellStart"/>
      <w:r>
        <w:rPr>
          <w:rFonts w:ascii="Arial" w:hAnsi="Arial" w:cs="Arial"/>
          <w:color w:val="000000" w:themeColor="text1"/>
          <w:sz w:val="20"/>
        </w:rPr>
        <w:t>Pippali</w:t>
      </w:r>
      <w:proofErr w:type="spellEnd"/>
      <w:r>
        <w:rPr>
          <w:rFonts w:ascii="Arial" w:hAnsi="Arial" w:cs="Arial"/>
          <w:color w:val="000000" w:themeColor="text1"/>
          <w:sz w:val="20"/>
        </w:rPr>
        <w:t xml:space="preserve">) </w:t>
      </w:r>
      <w:r>
        <w:rPr>
          <w:rFonts w:ascii="Arial" w:hAnsi="Arial" w:cs="Arial"/>
          <w:color w:val="000000" w:themeColor="text1"/>
          <w:sz w:val="20"/>
          <w:szCs w:val="18"/>
        </w:rPr>
        <w:t xml:space="preserve">and </w:t>
      </w:r>
      <w:r>
        <w:rPr>
          <w:rFonts w:ascii="Arial" w:hAnsi="Arial" w:cs="Arial"/>
          <w:i/>
          <w:iCs/>
          <w:color w:val="000000" w:themeColor="text1"/>
          <w:sz w:val="20"/>
          <w:szCs w:val="18"/>
        </w:rPr>
        <w:t xml:space="preserve">Lepidium sativum </w:t>
      </w:r>
      <w:r>
        <w:rPr>
          <w:rFonts w:ascii="Arial" w:hAnsi="Arial" w:cs="Arial"/>
          <w:color w:val="000000" w:themeColor="text1"/>
          <w:sz w:val="20"/>
          <w:szCs w:val="18"/>
        </w:rPr>
        <w:t>(</w:t>
      </w:r>
      <w:proofErr w:type="spellStart"/>
      <w:r>
        <w:rPr>
          <w:rFonts w:ascii="Arial" w:hAnsi="Arial" w:cs="Arial"/>
          <w:color w:val="000000" w:themeColor="text1"/>
          <w:sz w:val="20"/>
          <w:szCs w:val="18"/>
        </w:rPr>
        <w:t>Chandrashoor</w:t>
      </w:r>
      <w:proofErr w:type="spellEnd"/>
      <w:r>
        <w:rPr>
          <w:rFonts w:ascii="Arial" w:hAnsi="Arial" w:cs="Arial"/>
          <w:color w:val="000000" w:themeColor="text1"/>
          <w:sz w:val="20"/>
          <w:szCs w:val="18"/>
        </w:rPr>
        <w:t>) along with some other medicinal herbs</w:t>
      </w:r>
      <w:r>
        <w:rPr>
          <w:rFonts w:ascii="Arial" w:hAnsi="Arial" w:cs="Arial"/>
          <w:b/>
          <w:bCs/>
          <w:color w:val="000000" w:themeColor="text1"/>
          <w:sz w:val="20"/>
          <w:szCs w:val="18"/>
        </w:rPr>
        <w:t xml:space="preserve"> </w:t>
      </w:r>
      <w:r>
        <w:rPr>
          <w:rFonts w:ascii="Arial" w:hAnsi="Arial" w:cs="Arial"/>
          <w:color w:val="000000" w:themeColor="text1"/>
          <w:sz w:val="20"/>
          <w:szCs w:val="18"/>
        </w:rPr>
        <w:t xml:space="preserve">[6]. </w:t>
      </w:r>
      <w:r>
        <w:rPr>
          <w:rFonts w:ascii="Arial" w:hAnsi="Arial" w:cs="Arial"/>
          <w:i/>
          <w:iCs/>
          <w:color w:val="000000" w:themeColor="text1"/>
          <w:sz w:val="20"/>
          <w:szCs w:val="18"/>
        </w:rPr>
        <w:t>Plumbago zeylanica</w:t>
      </w:r>
      <w:r>
        <w:rPr>
          <w:rFonts w:ascii="Arial" w:hAnsi="Arial" w:cs="Arial"/>
          <w:color w:val="000000" w:themeColor="text1"/>
          <w:sz w:val="20"/>
          <w:szCs w:val="18"/>
        </w:rPr>
        <w:t xml:space="preserve"> is rich in secondary metabolites, contributing to its strong antioxidant and antimicrobial properties. It shows significant antibacterial activity against </w:t>
      </w:r>
      <w:r>
        <w:rPr>
          <w:rFonts w:ascii="Arial" w:hAnsi="Arial" w:cs="Arial"/>
          <w:i/>
          <w:iCs/>
          <w:color w:val="000000" w:themeColor="text1"/>
          <w:sz w:val="20"/>
          <w:szCs w:val="18"/>
        </w:rPr>
        <w:t xml:space="preserve">Clostridium </w:t>
      </w:r>
      <w:proofErr w:type="spellStart"/>
      <w:r>
        <w:rPr>
          <w:rFonts w:ascii="Arial" w:hAnsi="Arial" w:cs="Arial"/>
          <w:i/>
          <w:iCs/>
          <w:color w:val="000000" w:themeColor="text1"/>
          <w:sz w:val="20"/>
          <w:szCs w:val="18"/>
        </w:rPr>
        <w:t>septicum</w:t>
      </w:r>
      <w:proofErr w:type="spellEnd"/>
      <w:r>
        <w:rPr>
          <w:rFonts w:ascii="Arial" w:hAnsi="Arial" w:cs="Arial"/>
          <w:color w:val="000000" w:themeColor="text1"/>
          <w:sz w:val="20"/>
          <w:szCs w:val="18"/>
        </w:rPr>
        <w:t xml:space="preserve"> and </w:t>
      </w:r>
      <w:r>
        <w:rPr>
          <w:rFonts w:ascii="Arial" w:hAnsi="Arial" w:cs="Arial"/>
          <w:i/>
          <w:iCs/>
          <w:color w:val="000000" w:themeColor="text1"/>
          <w:sz w:val="20"/>
          <w:szCs w:val="18"/>
        </w:rPr>
        <w:t>Candida albicans</w:t>
      </w:r>
      <w:r>
        <w:rPr>
          <w:rFonts w:ascii="Arial" w:hAnsi="Arial" w:cs="Arial"/>
          <w:color w:val="000000" w:themeColor="text1"/>
          <w:sz w:val="20"/>
          <w:szCs w:val="18"/>
        </w:rPr>
        <w:t>. The presence of phenolic compounds supports its use in ethno-veterinary medicine for bacterial infections, highlighting its role in animal disease management [7]. Lepidium sativum (</w:t>
      </w:r>
      <w:proofErr w:type="spellStart"/>
      <w:r>
        <w:rPr>
          <w:rFonts w:ascii="Arial" w:hAnsi="Arial" w:cs="Arial"/>
          <w:color w:val="000000" w:themeColor="text1"/>
          <w:sz w:val="20"/>
          <w:szCs w:val="18"/>
        </w:rPr>
        <w:t>Chandrashoor</w:t>
      </w:r>
      <w:proofErr w:type="spellEnd"/>
      <w:r>
        <w:rPr>
          <w:rFonts w:ascii="Arial" w:hAnsi="Arial" w:cs="Arial"/>
          <w:color w:val="000000" w:themeColor="text1"/>
          <w:sz w:val="20"/>
          <w:szCs w:val="18"/>
        </w:rPr>
        <w:t>) seeds are added to the diet of lactating mothers to enhance milk production throughout the postpartum period [8,9]. Piper longum (</w:t>
      </w:r>
      <w:proofErr w:type="spellStart"/>
      <w:r>
        <w:rPr>
          <w:rFonts w:ascii="Arial" w:hAnsi="Arial" w:cs="Arial"/>
          <w:color w:val="000000" w:themeColor="text1"/>
          <w:sz w:val="20"/>
          <w:szCs w:val="18"/>
        </w:rPr>
        <w:t>Pippali</w:t>
      </w:r>
      <w:proofErr w:type="spellEnd"/>
      <w:r>
        <w:rPr>
          <w:rFonts w:ascii="Arial" w:hAnsi="Arial" w:cs="Arial"/>
          <w:color w:val="000000" w:themeColor="text1"/>
          <w:sz w:val="20"/>
          <w:szCs w:val="18"/>
        </w:rPr>
        <w:t xml:space="preserve">) is a potent herb traditionally used in the postpartum period to strengthen the digestive system and enhance nutrient absorption. It contains piperine, which improves bioavailability, stimulates digestive enzymes and promotes the efficacy of other medicinal substances. Additionally, </w:t>
      </w:r>
      <w:proofErr w:type="spellStart"/>
      <w:r>
        <w:rPr>
          <w:rFonts w:ascii="Arial" w:hAnsi="Arial" w:cs="Arial"/>
          <w:color w:val="000000" w:themeColor="text1"/>
          <w:sz w:val="20"/>
          <w:szCs w:val="18"/>
        </w:rPr>
        <w:t>Pippali</w:t>
      </w:r>
      <w:proofErr w:type="spellEnd"/>
      <w:r>
        <w:rPr>
          <w:rFonts w:ascii="Arial" w:hAnsi="Arial" w:cs="Arial"/>
          <w:color w:val="000000" w:themeColor="text1"/>
          <w:sz w:val="20"/>
          <w:szCs w:val="18"/>
        </w:rPr>
        <w:t xml:space="preserve"> exhibits antioxidant, anti-inflammatory and antimicrobial properties, helping to reduce postpartum inflammation and prevent infections [10].</w:t>
      </w:r>
    </w:p>
    <w:p w14:paraId="21BA6C19" w14:textId="77777777" w:rsidR="00B57F93" w:rsidRDefault="00000000">
      <w:pPr>
        <w:spacing w:line="240" w:lineRule="auto"/>
        <w:ind w:firstLine="720"/>
        <w:jc w:val="both"/>
        <w:rPr>
          <w:rFonts w:ascii="Arial" w:hAnsi="Arial" w:cs="Arial"/>
          <w:color w:val="000000" w:themeColor="text1"/>
          <w:sz w:val="20"/>
          <w:szCs w:val="18"/>
        </w:rPr>
      </w:pPr>
      <w:r>
        <w:rPr>
          <w:rFonts w:ascii="Arial" w:hAnsi="Arial" w:cs="Arial"/>
          <w:i/>
          <w:iCs/>
          <w:color w:val="000000" w:themeColor="text1"/>
          <w:sz w:val="20"/>
          <w:szCs w:val="18"/>
        </w:rPr>
        <w:t>Aloe vera</w:t>
      </w:r>
      <w:r>
        <w:rPr>
          <w:rFonts w:ascii="Arial" w:hAnsi="Arial" w:cs="Arial"/>
          <w:color w:val="000000" w:themeColor="text1"/>
          <w:sz w:val="20"/>
          <w:szCs w:val="18"/>
        </w:rPr>
        <w:t xml:space="preserve"> extract prolonged the proestrus and estrus phases in female rats, significantly increasing estrogen levels while reducing progesterone concentrations. This effect is attributed to its phytoestrogen components, such as beta-sitosterol, suggesting its potential use as a contraceptive [11]. </w:t>
      </w:r>
      <w:r>
        <w:rPr>
          <w:rFonts w:ascii="Arial" w:hAnsi="Arial" w:cs="Arial"/>
          <w:i/>
          <w:iCs/>
          <w:color w:val="000000" w:themeColor="text1"/>
          <w:sz w:val="20"/>
          <w:szCs w:val="18"/>
        </w:rPr>
        <w:t>Lepidium sativum</w:t>
      </w:r>
      <w:r>
        <w:rPr>
          <w:rFonts w:ascii="Arial" w:hAnsi="Arial" w:cs="Arial"/>
          <w:color w:val="000000" w:themeColor="text1"/>
          <w:sz w:val="20"/>
          <w:szCs w:val="18"/>
        </w:rPr>
        <w:t xml:space="preserve"> (LS) seeds exhibit diverse reproductive effects. They stimulate luteinizing hormone (LH) secretion, enhancing the conception rate in female rabbits and promoting reproductive health. Additionally, LS seeds demonstrate </w:t>
      </w:r>
      <w:proofErr w:type="spellStart"/>
      <w:r>
        <w:rPr>
          <w:rFonts w:ascii="Arial" w:hAnsi="Arial" w:cs="Arial"/>
          <w:color w:val="000000" w:themeColor="text1"/>
          <w:sz w:val="20"/>
          <w:szCs w:val="18"/>
        </w:rPr>
        <w:t>mammogenic</w:t>
      </w:r>
      <w:proofErr w:type="spellEnd"/>
      <w:r>
        <w:rPr>
          <w:rFonts w:ascii="Arial" w:hAnsi="Arial" w:cs="Arial"/>
          <w:color w:val="000000" w:themeColor="text1"/>
          <w:sz w:val="20"/>
          <w:szCs w:val="18"/>
        </w:rPr>
        <w:t xml:space="preserve"> and lactogenic properties by increasing prolactin and progesterone levels, leading to improved milk yield in lactating buffaloes. Roasted LS seeds mixed with sugar are traditionally used to enhance breast milk production [12]. </w:t>
      </w:r>
      <w:r>
        <w:rPr>
          <w:rFonts w:ascii="Arial" w:hAnsi="Arial" w:cs="Arial"/>
          <w:i/>
          <w:iCs/>
          <w:color w:val="000000" w:themeColor="text1"/>
          <w:sz w:val="20"/>
          <w:szCs w:val="18"/>
        </w:rPr>
        <w:t>Plumbago zeylanica</w:t>
      </w:r>
      <w:r>
        <w:rPr>
          <w:rFonts w:ascii="Arial" w:hAnsi="Arial" w:cs="Arial"/>
          <w:color w:val="000000" w:themeColor="text1"/>
          <w:sz w:val="20"/>
          <w:szCs w:val="18"/>
        </w:rPr>
        <w:t xml:space="preserve"> contains plumbagin, naphthoquinones and tannins. It is traditionally used in ruminants as a digestive stimulant and carminative, enhancing enzyme activity, bile secretion and gut motility. Additionally, it exhibits anthelmintic properties, effectively reducing gastrointestinal parasitic load with a broad safety margin [13].</w:t>
      </w:r>
    </w:p>
    <w:p w14:paraId="21BA6C1A" w14:textId="77777777" w:rsidR="00B57F93" w:rsidRDefault="00000000">
      <w:pPr>
        <w:spacing w:line="240" w:lineRule="auto"/>
        <w:ind w:firstLine="720"/>
        <w:jc w:val="both"/>
        <w:rPr>
          <w:rFonts w:ascii="Arial" w:hAnsi="Arial" w:cs="Arial"/>
          <w:color w:val="000000" w:themeColor="text1"/>
          <w:sz w:val="20"/>
          <w:szCs w:val="18"/>
        </w:rPr>
      </w:pPr>
      <w:r>
        <w:rPr>
          <w:rFonts w:ascii="Arial" w:hAnsi="Arial" w:cs="Arial"/>
          <w:color w:val="000000" w:themeColor="text1"/>
          <w:sz w:val="20"/>
          <w:szCs w:val="18"/>
        </w:rPr>
        <w:t xml:space="preserve">To establish the safety profile of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for veterinary applications, a comprehensive toxicological evaluation is essential. Acute oral toxicity assessment serves as a critical parameter in determining the potential adverse effects associated with a single high-dose administration. In accordance with OECD Guidelines 423 and 425, the present study is designed to evaluate the acute oral toxicity of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 xml:space="preserve">® in Wistar rats. The study involves systematic clinical observations, </w:t>
      </w:r>
      <w:r>
        <w:rPr>
          <w:rFonts w:ascii="Arial" w:hAnsi="Arial" w:cs="Arial"/>
          <w:color w:val="000000" w:themeColor="text1"/>
          <w:sz w:val="20"/>
          <w:szCs w:val="18"/>
        </w:rPr>
        <w:lastRenderedPageBreak/>
        <w:t xml:space="preserve">assessment of mortality rates, behavioral alterations and histopathological examinations to detect any toxicological manifestations. The outcomes of this investigation will contribute to the scientific validation of </w:t>
      </w:r>
      <w:proofErr w:type="spellStart"/>
      <w:r>
        <w:rPr>
          <w:rFonts w:ascii="Arial" w:hAnsi="Arial" w:cs="Arial"/>
          <w:color w:val="000000" w:themeColor="text1"/>
          <w:sz w:val="20"/>
          <w:szCs w:val="18"/>
        </w:rPr>
        <w:t>Exapar</w:t>
      </w:r>
      <w:proofErr w:type="spellEnd"/>
      <w:r>
        <w:rPr>
          <w:rFonts w:ascii="Arial" w:hAnsi="Arial" w:cs="Arial"/>
          <w:color w:val="000000" w:themeColor="text1"/>
          <w:sz w:val="20"/>
          <w:szCs w:val="18"/>
        </w:rPr>
        <w:t>®'s safety, facilitating its appropriate therapeutic application in dairy cattle.</w:t>
      </w:r>
    </w:p>
    <w:p w14:paraId="21BA6C1B" w14:textId="77777777" w:rsidR="00B57F93" w:rsidRDefault="00000000">
      <w:pPr>
        <w:spacing w:line="240" w:lineRule="auto"/>
        <w:rPr>
          <w:rFonts w:ascii="Arial" w:hAnsi="Arial" w:cs="Arial"/>
          <w:b/>
          <w:bCs/>
          <w:color w:val="000000" w:themeColor="text1"/>
        </w:rPr>
      </w:pPr>
      <w:r>
        <w:rPr>
          <w:rFonts w:ascii="Arial" w:hAnsi="Arial" w:cs="Arial"/>
          <w:b/>
          <w:bCs/>
          <w:color w:val="000000" w:themeColor="text1"/>
        </w:rPr>
        <w:t xml:space="preserve"> 2. MATERIALS AND METHODS</w:t>
      </w:r>
    </w:p>
    <w:p w14:paraId="21BA6C1C" w14:textId="77777777" w:rsidR="00B57F93" w:rsidRDefault="00000000">
      <w:pPr>
        <w:spacing w:line="240" w:lineRule="auto"/>
        <w:ind w:firstLine="720"/>
        <w:jc w:val="both"/>
        <w:rPr>
          <w:rFonts w:ascii="Arial" w:hAnsi="Arial" w:cs="Arial"/>
          <w:color w:val="000000" w:themeColor="text1"/>
          <w:sz w:val="20"/>
        </w:rPr>
      </w:pPr>
      <w:r>
        <w:rPr>
          <w:rFonts w:ascii="Arial" w:hAnsi="Arial" w:cs="Arial"/>
          <w:color w:val="000000" w:themeColor="text1"/>
          <w:sz w:val="20"/>
        </w:rPr>
        <w:t>The study was conducted at the Department of Veterinary Pharmacology and Toxicology, College of Veterinary and Animal Sciences, Akola, Maharashtra, India, situated at 20.70° N latitude and 77.070° E longitude, with an elevation ranging from 287 to 316 meters above sea level in a tropical climate. Six adults female Wistar rats, each weighing between 108-123 grams, were obtained from the Laboratory Animal Resource Section at COVAS, Akola. The animals were housed in polypropylene cages for five days to ensure proper acclimatization, in accordance with OECD guidelines (2001). Four rats were housed together in a single cage with corn cob bedding used to simplify observation and monitoring. Picric acid was applied for identification purposes. The experiment was conducted under regulated environmental conditions, maintaining the ambient temperature at 25±2°C and humidity was between 45-65% during the study period. The animals were kept on a 12-hour light-dark cycle and were given unrestricted access to standard pelleted feed and fresh water [14,15].</w:t>
      </w:r>
    </w:p>
    <w:p w14:paraId="21BA6C1D" w14:textId="77777777" w:rsidR="00B57F93" w:rsidRDefault="00000000">
      <w:pPr>
        <w:rPr>
          <w:rFonts w:ascii="Arial" w:hAnsi="Arial" w:cs="Arial"/>
          <w:b/>
          <w:bCs/>
          <w:color w:val="000000" w:themeColor="text1"/>
          <w:sz w:val="20"/>
          <w:szCs w:val="18"/>
        </w:rPr>
      </w:pPr>
      <w:bookmarkStart w:id="1" w:name="_Hlk191417308"/>
      <w:r>
        <w:rPr>
          <w:rFonts w:ascii="Arial" w:hAnsi="Arial" w:cs="Arial"/>
          <w:b/>
          <w:bCs/>
          <w:color w:val="000000" w:themeColor="text1"/>
          <w:sz w:val="20"/>
          <w:szCs w:val="18"/>
        </w:rPr>
        <w:t>2.1 Experimental Design and Animal Grouping</w:t>
      </w:r>
    </w:p>
    <w:p w14:paraId="21BA6C1E" w14:textId="77777777" w:rsidR="00B57F93" w:rsidRDefault="00000000">
      <w:pPr>
        <w:ind w:firstLine="720"/>
        <w:jc w:val="both"/>
        <w:rPr>
          <w:rFonts w:ascii="Arial" w:hAnsi="Arial" w:cs="Arial"/>
          <w:color w:val="000000" w:themeColor="text1"/>
          <w:sz w:val="20"/>
        </w:rPr>
      </w:pPr>
      <w:r>
        <w:rPr>
          <w:rFonts w:ascii="Arial" w:hAnsi="Arial" w:cs="Arial"/>
          <w:color w:val="000000" w:themeColor="text1"/>
          <w:sz w:val="20"/>
        </w:rPr>
        <w:t xml:space="preserve">The experimental rats were divided into three distinct groups, as detailed in Table 1. Before administration of the test substance, all animals underwent an overnight fasting period, during which food was withheld, while water remained accessible. After fasting, the body weight of each rat was recorded. The test formulation,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w:t>
      </w:r>
      <w:r>
        <w:rPr>
          <w:rFonts w:ascii="Arial" w:hAnsi="Arial" w:cs="Arial"/>
          <w:color w:val="000000" w:themeColor="text1"/>
          <w:sz w:val="20"/>
          <w:szCs w:val="18"/>
        </w:rPr>
        <w:t xml:space="preserve">Premix </w:t>
      </w:r>
      <w:r>
        <w:rPr>
          <w:rFonts w:ascii="Arial" w:hAnsi="Arial" w:cs="Arial"/>
          <w:color w:val="000000" w:themeColor="text1"/>
          <w:sz w:val="20"/>
        </w:rPr>
        <w:t xml:space="preserve">(M/s </w:t>
      </w:r>
      <w:proofErr w:type="spellStart"/>
      <w:r>
        <w:rPr>
          <w:rFonts w:ascii="Arial" w:hAnsi="Arial" w:cs="Arial"/>
          <w:color w:val="000000" w:themeColor="text1"/>
          <w:sz w:val="20"/>
        </w:rPr>
        <w:t>Zenex</w:t>
      </w:r>
      <w:proofErr w:type="spellEnd"/>
      <w:r>
        <w:rPr>
          <w:rFonts w:ascii="Arial" w:hAnsi="Arial" w:cs="Arial"/>
          <w:color w:val="000000" w:themeColor="text1"/>
          <w:sz w:val="20"/>
        </w:rPr>
        <w:t xml:space="preserve"> Animal Health India Private Limited, </w:t>
      </w:r>
      <w:proofErr w:type="spellStart"/>
      <w:r>
        <w:rPr>
          <w:rFonts w:ascii="Arial" w:hAnsi="Arial" w:cs="Arial"/>
          <w:color w:val="000000" w:themeColor="text1"/>
          <w:sz w:val="20"/>
        </w:rPr>
        <w:t>Baddi</w:t>
      </w:r>
      <w:proofErr w:type="spellEnd"/>
      <w:r>
        <w:rPr>
          <w:rFonts w:ascii="Arial" w:hAnsi="Arial" w:cs="Arial"/>
          <w:color w:val="000000" w:themeColor="text1"/>
          <w:sz w:val="20"/>
        </w:rPr>
        <w:t>), was prepared as a suspension in distilled water and administered to a single rat from Group I and Group II at dose levels of 300 mg/kg and 2000 mg/kg body weight, respectively. Following administration, all animals were closely monitored for any signs of toxicity.</w:t>
      </w:r>
    </w:p>
    <w:p w14:paraId="55486F64" w14:textId="77777777" w:rsidR="00B57F93" w:rsidRDefault="00000000">
      <w:pPr>
        <w:jc w:val="both"/>
        <w:rPr>
          <w:rFonts w:ascii="Arial" w:hAnsi="Arial" w:cs="Arial"/>
          <w:b/>
          <w:bCs/>
          <w:color w:val="000000" w:themeColor="text1"/>
          <w:sz w:val="20"/>
        </w:rPr>
      </w:pPr>
      <w:r>
        <w:rPr>
          <w:rFonts w:ascii="Arial" w:hAnsi="Arial" w:cs="Arial"/>
          <w:b/>
          <w:bCs/>
          <w:color w:val="000000" w:themeColor="text1"/>
          <w:sz w:val="20"/>
        </w:rPr>
        <w:t>Table 1. Experimental study in rats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16"/>
        <w:gridCol w:w="3228"/>
        <w:gridCol w:w="2195"/>
        <w:gridCol w:w="2603"/>
      </w:tblGrid>
      <w:tr w:rsidR="00B57F93" w14:paraId="21BA6C24" w14:textId="77777777">
        <w:tc>
          <w:tcPr>
            <w:tcW w:w="1242" w:type="dxa"/>
            <w:tcBorders>
              <w:bottom w:val="single" w:sz="4" w:space="0" w:color="auto"/>
            </w:tcBorders>
            <w:vAlign w:val="center"/>
          </w:tcPr>
          <w:p w14:paraId="21BA6C20"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Group No.</w:t>
            </w:r>
          </w:p>
        </w:tc>
        <w:tc>
          <w:tcPr>
            <w:tcW w:w="3360" w:type="dxa"/>
            <w:tcBorders>
              <w:bottom w:val="single" w:sz="4" w:space="0" w:color="auto"/>
            </w:tcBorders>
            <w:vAlign w:val="center"/>
          </w:tcPr>
          <w:p w14:paraId="21BA6C21"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Type of study</w:t>
            </w:r>
          </w:p>
        </w:tc>
        <w:tc>
          <w:tcPr>
            <w:tcW w:w="2268" w:type="dxa"/>
            <w:tcBorders>
              <w:bottom w:val="single" w:sz="4" w:space="0" w:color="auto"/>
            </w:tcBorders>
            <w:vAlign w:val="center"/>
          </w:tcPr>
          <w:p w14:paraId="21BA6C22"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Number of animals used</w:t>
            </w:r>
          </w:p>
        </w:tc>
        <w:tc>
          <w:tcPr>
            <w:tcW w:w="2706" w:type="dxa"/>
            <w:tcBorders>
              <w:bottom w:val="single" w:sz="4" w:space="0" w:color="auto"/>
            </w:tcBorders>
            <w:vAlign w:val="center"/>
          </w:tcPr>
          <w:p w14:paraId="21BA6C23"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Dose (mg/kg body weight orally)</w:t>
            </w:r>
          </w:p>
        </w:tc>
      </w:tr>
      <w:tr w:rsidR="00B57F93" w14:paraId="21BA6C2A" w14:textId="77777777">
        <w:tc>
          <w:tcPr>
            <w:tcW w:w="1242" w:type="dxa"/>
            <w:tcBorders>
              <w:top w:val="single" w:sz="4" w:space="0" w:color="auto"/>
              <w:bottom w:val="nil"/>
            </w:tcBorders>
            <w:vAlign w:val="center"/>
          </w:tcPr>
          <w:p w14:paraId="21BA6C25"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I</w:t>
            </w:r>
          </w:p>
        </w:tc>
        <w:tc>
          <w:tcPr>
            <w:tcW w:w="3360" w:type="dxa"/>
            <w:tcBorders>
              <w:top w:val="single" w:sz="4" w:space="0" w:color="auto"/>
              <w:bottom w:val="nil"/>
            </w:tcBorders>
            <w:vAlign w:val="center"/>
          </w:tcPr>
          <w:p w14:paraId="21BA6C26"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Step 1:</w:t>
            </w:r>
          </w:p>
          <w:p w14:paraId="21BA6C27"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Sighting study</w:t>
            </w:r>
          </w:p>
        </w:tc>
        <w:tc>
          <w:tcPr>
            <w:tcW w:w="2268" w:type="dxa"/>
            <w:tcBorders>
              <w:top w:val="single" w:sz="4" w:space="0" w:color="auto"/>
              <w:bottom w:val="nil"/>
            </w:tcBorders>
            <w:vAlign w:val="center"/>
          </w:tcPr>
          <w:p w14:paraId="21BA6C28"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01</w:t>
            </w:r>
          </w:p>
        </w:tc>
        <w:tc>
          <w:tcPr>
            <w:tcW w:w="2706" w:type="dxa"/>
            <w:tcBorders>
              <w:top w:val="single" w:sz="4" w:space="0" w:color="auto"/>
              <w:bottom w:val="nil"/>
            </w:tcBorders>
            <w:vAlign w:val="center"/>
          </w:tcPr>
          <w:p w14:paraId="21BA6C29"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300</w:t>
            </w:r>
          </w:p>
        </w:tc>
      </w:tr>
      <w:tr w:rsidR="00B57F93" w14:paraId="21BA6C30" w14:textId="77777777">
        <w:tc>
          <w:tcPr>
            <w:tcW w:w="1242" w:type="dxa"/>
            <w:tcBorders>
              <w:top w:val="nil"/>
              <w:bottom w:val="nil"/>
            </w:tcBorders>
            <w:vAlign w:val="center"/>
          </w:tcPr>
          <w:p w14:paraId="21BA6C2B"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II</w:t>
            </w:r>
          </w:p>
        </w:tc>
        <w:tc>
          <w:tcPr>
            <w:tcW w:w="3360" w:type="dxa"/>
            <w:tcBorders>
              <w:top w:val="nil"/>
              <w:bottom w:val="nil"/>
            </w:tcBorders>
            <w:vAlign w:val="center"/>
          </w:tcPr>
          <w:p w14:paraId="21BA6C2C"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Step 2:</w:t>
            </w:r>
          </w:p>
          <w:p w14:paraId="21BA6C2D"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Sighting study</w:t>
            </w:r>
          </w:p>
        </w:tc>
        <w:tc>
          <w:tcPr>
            <w:tcW w:w="2268" w:type="dxa"/>
            <w:tcBorders>
              <w:top w:val="nil"/>
              <w:bottom w:val="nil"/>
            </w:tcBorders>
            <w:vAlign w:val="center"/>
          </w:tcPr>
          <w:p w14:paraId="21BA6C2E"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01</w:t>
            </w:r>
          </w:p>
        </w:tc>
        <w:tc>
          <w:tcPr>
            <w:tcW w:w="2706" w:type="dxa"/>
            <w:tcBorders>
              <w:top w:val="nil"/>
              <w:bottom w:val="nil"/>
            </w:tcBorders>
            <w:vAlign w:val="center"/>
          </w:tcPr>
          <w:p w14:paraId="21BA6C2F"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2000</w:t>
            </w:r>
          </w:p>
        </w:tc>
      </w:tr>
      <w:tr w:rsidR="00B57F93" w14:paraId="21BA6C35" w14:textId="77777777">
        <w:tc>
          <w:tcPr>
            <w:tcW w:w="1242" w:type="dxa"/>
            <w:tcBorders>
              <w:top w:val="nil"/>
            </w:tcBorders>
            <w:vAlign w:val="center"/>
          </w:tcPr>
          <w:p w14:paraId="21BA6C31"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III</w:t>
            </w:r>
          </w:p>
        </w:tc>
        <w:tc>
          <w:tcPr>
            <w:tcW w:w="3360" w:type="dxa"/>
            <w:tcBorders>
              <w:top w:val="nil"/>
            </w:tcBorders>
            <w:vAlign w:val="center"/>
          </w:tcPr>
          <w:p w14:paraId="21BA6C32"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Main study</w:t>
            </w:r>
          </w:p>
        </w:tc>
        <w:tc>
          <w:tcPr>
            <w:tcW w:w="2268" w:type="dxa"/>
            <w:tcBorders>
              <w:top w:val="nil"/>
            </w:tcBorders>
            <w:vAlign w:val="center"/>
          </w:tcPr>
          <w:p w14:paraId="21BA6C33"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04</w:t>
            </w:r>
          </w:p>
        </w:tc>
        <w:tc>
          <w:tcPr>
            <w:tcW w:w="2706" w:type="dxa"/>
            <w:tcBorders>
              <w:top w:val="nil"/>
            </w:tcBorders>
            <w:vAlign w:val="center"/>
          </w:tcPr>
          <w:p w14:paraId="21BA6C34" w14:textId="77777777" w:rsidR="00B57F93" w:rsidRDefault="00000000">
            <w:pPr>
              <w:spacing w:after="0" w:line="240" w:lineRule="auto"/>
              <w:jc w:val="center"/>
              <w:rPr>
                <w:rFonts w:ascii="Arial" w:eastAsiaTheme="minorEastAsia" w:hAnsi="Arial" w:cs="Arial"/>
                <w:bCs/>
                <w:color w:val="000000" w:themeColor="text1"/>
                <w:sz w:val="20"/>
                <w:lang w:bidi="ar-SA"/>
              </w:rPr>
            </w:pPr>
            <w:r>
              <w:rPr>
                <w:rFonts w:ascii="Arial" w:eastAsiaTheme="minorEastAsia" w:hAnsi="Arial" w:cs="Arial"/>
                <w:bCs/>
                <w:color w:val="000000" w:themeColor="text1"/>
                <w:sz w:val="20"/>
                <w:lang w:bidi="ar-SA"/>
              </w:rPr>
              <w:t>2000</w:t>
            </w:r>
          </w:p>
        </w:tc>
      </w:tr>
    </w:tbl>
    <w:p w14:paraId="21BA6C36" w14:textId="77777777" w:rsidR="00B57F93" w:rsidRDefault="00B57F93">
      <w:pPr>
        <w:ind w:firstLine="720"/>
        <w:jc w:val="both"/>
        <w:rPr>
          <w:rFonts w:ascii="Arial" w:hAnsi="Arial" w:cs="Arial"/>
          <w:color w:val="000000" w:themeColor="text1"/>
          <w:sz w:val="20"/>
          <w:szCs w:val="18"/>
        </w:rPr>
      </w:pPr>
    </w:p>
    <w:p w14:paraId="21BA6C37" w14:textId="77777777" w:rsidR="00B57F93" w:rsidRDefault="00000000">
      <w:pPr>
        <w:rPr>
          <w:rFonts w:ascii="Arial" w:hAnsi="Arial" w:cs="Arial"/>
          <w:b/>
          <w:bCs/>
          <w:color w:val="000000" w:themeColor="text1"/>
          <w:sz w:val="20"/>
          <w:szCs w:val="18"/>
        </w:rPr>
      </w:pPr>
      <w:r>
        <w:rPr>
          <w:rFonts w:ascii="Arial" w:hAnsi="Arial" w:cs="Arial"/>
          <w:b/>
          <w:bCs/>
          <w:color w:val="000000" w:themeColor="text1"/>
          <w:sz w:val="20"/>
          <w:szCs w:val="18"/>
        </w:rPr>
        <w:t>2.2 Main Study and Toxicity Assessment</w:t>
      </w:r>
    </w:p>
    <w:p w14:paraId="21BA6C38" w14:textId="77777777" w:rsidR="00B57F93" w:rsidRDefault="00000000">
      <w:pPr>
        <w:ind w:firstLine="720"/>
        <w:jc w:val="both"/>
        <w:rPr>
          <w:rFonts w:ascii="Arial" w:hAnsi="Arial" w:cs="Arial"/>
          <w:color w:val="000000" w:themeColor="text1"/>
          <w:sz w:val="20"/>
        </w:rPr>
      </w:pPr>
      <w:r>
        <w:rPr>
          <w:rFonts w:ascii="Arial" w:hAnsi="Arial" w:cs="Arial"/>
          <w:color w:val="000000" w:themeColor="text1"/>
          <w:sz w:val="20"/>
        </w:rPr>
        <w:t>Since no signs of toxicity were observed in the preliminary assessment of sighting study in Groups I and II, further main study was conducted in which all four rats in Group III were administered the test compound at a dose of 2000 mg/kg body weight. After dosing, food was withheld from all animals in Groups I, II, and III for 1 to 2 hours. The animals were continuously observed for toxic manifestations and mortality during the first 30 minutes, followed by periodic monitoring over the next 24 hours and intermittent assessments for a total duration of 14 days [15].</w:t>
      </w:r>
    </w:p>
    <w:p w14:paraId="21BA6C39" w14:textId="77777777" w:rsidR="00B57F93" w:rsidRDefault="00000000">
      <w:pPr>
        <w:rPr>
          <w:rFonts w:ascii="Arial" w:hAnsi="Arial" w:cs="Arial"/>
          <w:b/>
          <w:bCs/>
          <w:color w:val="000000" w:themeColor="text1"/>
          <w:sz w:val="20"/>
          <w:szCs w:val="18"/>
        </w:rPr>
      </w:pPr>
      <w:r>
        <w:rPr>
          <w:rFonts w:ascii="Arial" w:hAnsi="Arial" w:cs="Arial"/>
          <w:b/>
          <w:bCs/>
          <w:color w:val="000000" w:themeColor="text1"/>
          <w:sz w:val="20"/>
          <w:szCs w:val="18"/>
        </w:rPr>
        <w:t>2.3 Observations and Euthanasia</w:t>
      </w:r>
    </w:p>
    <w:p w14:paraId="21BA6C3A" w14:textId="77777777" w:rsidR="00B57F93" w:rsidRDefault="00000000">
      <w:pPr>
        <w:ind w:firstLine="720"/>
        <w:jc w:val="both"/>
        <w:rPr>
          <w:rFonts w:ascii="Arial" w:hAnsi="Arial" w:cs="Arial"/>
          <w:color w:val="000000" w:themeColor="text1"/>
          <w:sz w:val="20"/>
        </w:rPr>
      </w:pPr>
      <w:r>
        <w:rPr>
          <w:rFonts w:ascii="Arial" w:hAnsi="Arial" w:cs="Arial"/>
          <w:color w:val="000000" w:themeColor="text1"/>
          <w:sz w:val="20"/>
        </w:rPr>
        <w:t>All animals were carefully monitored for any signs of mortality, tremors, convulsions, abnormal respiratory patterns (such as abdominal breathing), excessive salivation, lethargy, piloerection, coma or other atypical clinical symptoms. Changes in body weight, coat condition, ocular appearance, mucous membrane integrity and behavioral patterns were systematically recorded. After a 14-day observation period, the animals were humanely euthanized using diethyl ether. Post-mortem examination (necropsy) was performed, during which vital organs including the heart, liver, kidneys and lungs, were excised and preserved in 10% neutral buffered formalin for histopathological analysis.</w:t>
      </w:r>
    </w:p>
    <w:p w14:paraId="21BA6C3B" w14:textId="77777777" w:rsidR="00B57F93" w:rsidRDefault="00000000">
      <w:pPr>
        <w:rPr>
          <w:rFonts w:ascii="Arial" w:hAnsi="Arial" w:cs="Arial"/>
          <w:b/>
          <w:bCs/>
          <w:color w:val="000000" w:themeColor="text1"/>
          <w:sz w:val="20"/>
          <w:szCs w:val="18"/>
        </w:rPr>
      </w:pPr>
      <w:r>
        <w:rPr>
          <w:rFonts w:ascii="Arial" w:hAnsi="Arial" w:cs="Arial"/>
          <w:b/>
          <w:bCs/>
          <w:color w:val="000000" w:themeColor="text1"/>
          <w:sz w:val="20"/>
          <w:szCs w:val="18"/>
        </w:rPr>
        <w:t>2.4 Histopathological and Biochemical Assessments</w:t>
      </w:r>
    </w:p>
    <w:p w14:paraId="21BA6C3C" w14:textId="77777777" w:rsidR="00B57F93" w:rsidRDefault="00000000">
      <w:pPr>
        <w:ind w:firstLine="720"/>
        <w:jc w:val="both"/>
        <w:rPr>
          <w:rFonts w:ascii="Arial" w:hAnsi="Arial" w:cs="Arial"/>
          <w:color w:val="000000" w:themeColor="text1"/>
          <w:sz w:val="20"/>
        </w:rPr>
      </w:pPr>
      <w:r>
        <w:rPr>
          <w:rFonts w:ascii="Arial" w:hAnsi="Arial" w:cs="Arial"/>
          <w:color w:val="000000" w:themeColor="text1"/>
          <w:sz w:val="20"/>
        </w:rPr>
        <w:lastRenderedPageBreak/>
        <w:t xml:space="preserve">Thin tissue sections measuring 4 to 6 µm in thickness were prepared using a rotary microtome and stained with hematoxylin and eosin (H&amp;E) for histopathological evaluation as per standard procedure described by Luna </w:t>
      </w:r>
      <w:r>
        <w:rPr>
          <w:rFonts w:ascii="Arial" w:hAnsi="Arial" w:cs="Arial"/>
          <w:color w:val="000000" w:themeColor="text1"/>
        </w:rPr>
        <w:t>[16]</w:t>
      </w:r>
      <w:r>
        <w:rPr>
          <w:rFonts w:ascii="Arial" w:hAnsi="Arial" w:cs="Arial"/>
          <w:color w:val="000000" w:themeColor="text1"/>
          <w:sz w:val="20"/>
        </w:rPr>
        <w:t>. Additionally, 1–2 mL of blood was collected from the retro-orbital plexus using a capillary tube and stored in EDTA vials for biochemical analysis. The biochemical parameters assessed included ALT, AST, ALP and creatinine.</w:t>
      </w:r>
    </w:p>
    <w:p w14:paraId="21BA6C3D" w14:textId="77777777" w:rsidR="00B57F93" w:rsidRDefault="00000000">
      <w:pPr>
        <w:rPr>
          <w:rFonts w:ascii="Arial" w:hAnsi="Arial" w:cs="Arial"/>
          <w:b/>
          <w:bCs/>
          <w:color w:val="000000" w:themeColor="text1"/>
        </w:rPr>
      </w:pPr>
      <w:r>
        <w:rPr>
          <w:rFonts w:ascii="Arial" w:hAnsi="Arial" w:cs="Arial"/>
          <w:b/>
          <w:bCs/>
          <w:color w:val="000000" w:themeColor="text1"/>
        </w:rPr>
        <w:t>3. RESULTS AND DISCUSSION</w:t>
      </w:r>
    </w:p>
    <w:p w14:paraId="21BA6C3E" w14:textId="77777777" w:rsidR="00B57F93" w:rsidRDefault="00000000">
      <w:pPr>
        <w:spacing w:after="0" w:line="240" w:lineRule="auto"/>
        <w:ind w:firstLine="720"/>
        <w:jc w:val="both"/>
        <w:rPr>
          <w:rFonts w:ascii="Arial" w:hAnsi="Arial" w:cs="Arial"/>
          <w:color w:val="000000" w:themeColor="text1"/>
          <w:sz w:val="20"/>
        </w:rPr>
      </w:pPr>
      <w:r>
        <w:rPr>
          <w:rFonts w:ascii="Arial" w:hAnsi="Arial" w:cs="Arial"/>
          <w:color w:val="000000" w:themeColor="text1"/>
          <w:sz w:val="20"/>
        </w:rPr>
        <w:t xml:space="preserve">The body weight of each rat was measured individually on days 0, 7, and 14 of the experimental </w:t>
      </w:r>
      <w:proofErr w:type="gramStart"/>
      <w:r>
        <w:rPr>
          <w:rFonts w:ascii="Arial" w:hAnsi="Arial" w:cs="Arial"/>
          <w:color w:val="000000" w:themeColor="text1"/>
          <w:sz w:val="20"/>
        </w:rPr>
        <w:t>period</w:t>
      </w:r>
      <w:proofErr w:type="gramEnd"/>
      <w:r>
        <w:rPr>
          <w:rFonts w:ascii="Arial" w:hAnsi="Arial" w:cs="Arial"/>
          <w:color w:val="000000" w:themeColor="text1"/>
          <w:sz w:val="20"/>
        </w:rPr>
        <w:t>. Throughout the study, all four rats in main test group (Group III) were found healthy and active as usual and demonstrated progressive weight gain within the normal physiological range (Table 2).</w:t>
      </w:r>
    </w:p>
    <w:p w14:paraId="21BA6C3F" w14:textId="77777777" w:rsidR="00B57F93" w:rsidRDefault="00B57F93">
      <w:pPr>
        <w:spacing w:after="0" w:line="240" w:lineRule="auto"/>
        <w:ind w:firstLine="720"/>
        <w:jc w:val="both"/>
        <w:rPr>
          <w:rFonts w:ascii="Arial" w:hAnsi="Arial" w:cs="Arial"/>
          <w:color w:val="000000" w:themeColor="text1"/>
          <w:sz w:val="20"/>
        </w:rPr>
      </w:pPr>
    </w:p>
    <w:p w14:paraId="21BA6C40" w14:textId="77777777" w:rsidR="00B57F93" w:rsidRDefault="00000000">
      <w:pPr>
        <w:spacing w:after="0"/>
        <w:jc w:val="center"/>
        <w:rPr>
          <w:rFonts w:ascii="Arial" w:hAnsi="Arial" w:cs="Arial"/>
          <w:b/>
          <w:bCs/>
          <w:color w:val="000000" w:themeColor="text1"/>
          <w:sz w:val="20"/>
        </w:rPr>
      </w:pPr>
      <w:r>
        <w:rPr>
          <w:rFonts w:ascii="Arial" w:hAnsi="Arial" w:cs="Arial"/>
          <w:b/>
          <w:bCs/>
          <w:color w:val="000000" w:themeColor="text1"/>
          <w:sz w:val="20"/>
        </w:rPr>
        <w:t xml:space="preserve">Table 2:  Weekly body weight of rats received </w:t>
      </w:r>
      <w:proofErr w:type="spellStart"/>
      <w:r>
        <w:rPr>
          <w:rFonts w:ascii="Arial" w:hAnsi="Arial" w:cs="Arial"/>
          <w:b/>
          <w:bCs/>
          <w:color w:val="000000" w:themeColor="text1"/>
          <w:sz w:val="20"/>
        </w:rPr>
        <w:t>Exapar</w:t>
      </w:r>
      <w:proofErr w:type="spellEnd"/>
      <w:r>
        <w:rPr>
          <w:rFonts w:ascii="Arial" w:hAnsi="Arial" w:cs="Arial"/>
          <w:b/>
          <w:bCs/>
          <w:color w:val="000000" w:themeColor="text1"/>
          <w:sz w:val="20"/>
        </w:rPr>
        <w:t xml:space="preserve"> </w:t>
      </w:r>
      <w:r>
        <w:rPr>
          <w:rFonts w:ascii="Arial" w:hAnsi="Arial" w:cs="Arial"/>
          <w:b/>
          <w:bCs/>
          <w:color w:val="000000" w:themeColor="text1"/>
          <w:sz w:val="20"/>
          <w:szCs w:val="18"/>
        </w:rPr>
        <w:t>Premix</w:t>
      </w:r>
      <w:r>
        <w:rPr>
          <w:rFonts w:ascii="Arial" w:hAnsi="Arial" w:cs="Arial"/>
          <w:b/>
          <w:bCs/>
          <w:color w:val="000000" w:themeColor="text1"/>
          <w:sz w:val="20"/>
        </w:rPr>
        <w:t xml:space="preserve"> @2000mg/kg</w:t>
      </w:r>
    </w:p>
    <w:tbl>
      <w:tblPr>
        <w:tblW w:w="8544" w:type="dxa"/>
        <w:jc w:val="center"/>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1399"/>
        <w:gridCol w:w="1259"/>
        <w:gridCol w:w="1260"/>
        <w:gridCol w:w="982"/>
        <w:gridCol w:w="1260"/>
        <w:gridCol w:w="1260"/>
        <w:gridCol w:w="1124"/>
      </w:tblGrid>
      <w:tr w:rsidR="00B57F93" w14:paraId="21BA6C48" w14:textId="77777777">
        <w:trPr>
          <w:cantSplit/>
          <w:trHeight w:val="399"/>
          <w:jc w:val="center"/>
        </w:trPr>
        <w:tc>
          <w:tcPr>
            <w:tcW w:w="1399" w:type="dxa"/>
            <w:vMerge w:val="restart"/>
            <w:tcBorders>
              <w:top w:val="single" w:sz="4" w:space="0" w:color="auto"/>
              <w:bottom w:val="nil"/>
            </w:tcBorders>
          </w:tcPr>
          <w:p w14:paraId="21BA6C41"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Formulation</w:t>
            </w:r>
          </w:p>
        </w:tc>
        <w:tc>
          <w:tcPr>
            <w:tcW w:w="1259" w:type="dxa"/>
            <w:vMerge w:val="restart"/>
            <w:tcBorders>
              <w:top w:val="single" w:sz="4" w:space="0" w:color="auto"/>
              <w:bottom w:val="nil"/>
            </w:tcBorders>
          </w:tcPr>
          <w:p w14:paraId="21BA6C42"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Dose</w:t>
            </w:r>
          </w:p>
          <w:p w14:paraId="21BA6C43" w14:textId="77777777" w:rsidR="00B57F93" w:rsidRDefault="00B57F93">
            <w:pPr>
              <w:spacing w:after="0" w:line="240" w:lineRule="auto"/>
              <w:jc w:val="center"/>
              <w:rPr>
                <w:rFonts w:ascii="Arial" w:hAnsi="Arial" w:cs="Arial"/>
                <w:bCs/>
                <w:color w:val="000000" w:themeColor="text1"/>
                <w:sz w:val="20"/>
              </w:rPr>
            </w:pPr>
          </w:p>
          <w:p w14:paraId="21BA6C44" w14:textId="77777777" w:rsidR="00B57F93" w:rsidRDefault="00B57F93">
            <w:pPr>
              <w:spacing w:after="0" w:line="240" w:lineRule="auto"/>
              <w:jc w:val="center"/>
              <w:rPr>
                <w:rFonts w:ascii="Arial" w:hAnsi="Arial" w:cs="Arial"/>
                <w:bCs/>
                <w:color w:val="000000" w:themeColor="text1"/>
                <w:sz w:val="20"/>
              </w:rPr>
            </w:pPr>
          </w:p>
        </w:tc>
        <w:tc>
          <w:tcPr>
            <w:tcW w:w="1260" w:type="dxa"/>
            <w:vMerge w:val="restart"/>
            <w:tcBorders>
              <w:top w:val="single" w:sz="4" w:space="0" w:color="auto"/>
              <w:bottom w:val="nil"/>
            </w:tcBorders>
          </w:tcPr>
          <w:p w14:paraId="21BA6C45"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Animal No</w:t>
            </w:r>
          </w:p>
        </w:tc>
        <w:tc>
          <w:tcPr>
            <w:tcW w:w="982" w:type="dxa"/>
            <w:vMerge w:val="restart"/>
            <w:tcBorders>
              <w:top w:val="single" w:sz="4" w:space="0" w:color="auto"/>
              <w:bottom w:val="nil"/>
            </w:tcBorders>
          </w:tcPr>
          <w:p w14:paraId="21BA6C46"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Sex</w:t>
            </w:r>
          </w:p>
        </w:tc>
        <w:tc>
          <w:tcPr>
            <w:tcW w:w="3644" w:type="dxa"/>
            <w:gridSpan w:val="3"/>
            <w:tcBorders>
              <w:top w:val="single" w:sz="4" w:space="0" w:color="auto"/>
              <w:bottom w:val="nil"/>
            </w:tcBorders>
          </w:tcPr>
          <w:p w14:paraId="21BA6C47"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Body Weight (g) on Day</w:t>
            </w:r>
          </w:p>
        </w:tc>
      </w:tr>
      <w:tr w:rsidR="00B57F93" w14:paraId="21BA6C50" w14:textId="77777777">
        <w:trPr>
          <w:cantSplit/>
          <w:trHeight w:val="145"/>
          <w:jc w:val="center"/>
        </w:trPr>
        <w:tc>
          <w:tcPr>
            <w:tcW w:w="1399" w:type="dxa"/>
            <w:vMerge/>
            <w:tcBorders>
              <w:top w:val="nil"/>
              <w:bottom w:val="single" w:sz="4" w:space="0" w:color="auto"/>
            </w:tcBorders>
            <w:vAlign w:val="center"/>
          </w:tcPr>
          <w:p w14:paraId="21BA6C49" w14:textId="77777777" w:rsidR="00B57F93" w:rsidRDefault="00B57F93">
            <w:pPr>
              <w:spacing w:after="0" w:line="240" w:lineRule="auto"/>
              <w:jc w:val="center"/>
              <w:rPr>
                <w:rFonts w:ascii="Arial" w:hAnsi="Arial" w:cs="Arial"/>
                <w:bCs/>
                <w:color w:val="000000" w:themeColor="text1"/>
                <w:sz w:val="20"/>
              </w:rPr>
            </w:pPr>
          </w:p>
        </w:tc>
        <w:tc>
          <w:tcPr>
            <w:tcW w:w="1259" w:type="dxa"/>
            <w:vMerge/>
            <w:tcBorders>
              <w:top w:val="nil"/>
              <w:bottom w:val="single" w:sz="4" w:space="0" w:color="auto"/>
            </w:tcBorders>
            <w:vAlign w:val="center"/>
          </w:tcPr>
          <w:p w14:paraId="21BA6C4A" w14:textId="77777777" w:rsidR="00B57F93" w:rsidRDefault="00B57F93">
            <w:pPr>
              <w:spacing w:after="0" w:line="240" w:lineRule="auto"/>
              <w:jc w:val="center"/>
              <w:rPr>
                <w:rFonts w:ascii="Arial" w:hAnsi="Arial" w:cs="Arial"/>
                <w:bCs/>
                <w:color w:val="000000" w:themeColor="text1"/>
                <w:sz w:val="20"/>
              </w:rPr>
            </w:pPr>
          </w:p>
        </w:tc>
        <w:tc>
          <w:tcPr>
            <w:tcW w:w="1260" w:type="dxa"/>
            <w:vMerge/>
            <w:tcBorders>
              <w:top w:val="nil"/>
              <w:bottom w:val="single" w:sz="4" w:space="0" w:color="auto"/>
            </w:tcBorders>
            <w:vAlign w:val="center"/>
          </w:tcPr>
          <w:p w14:paraId="21BA6C4B" w14:textId="77777777" w:rsidR="00B57F93" w:rsidRDefault="00B57F93">
            <w:pPr>
              <w:spacing w:after="0" w:line="240" w:lineRule="auto"/>
              <w:jc w:val="center"/>
              <w:rPr>
                <w:rFonts w:ascii="Arial" w:hAnsi="Arial" w:cs="Arial"/>
                <w:bCs/>
                <w:color w:val="000000" w:themeColor="text1"/>
                <w:sz w:val="20"/>
              </w:rPr>
            </w:pPr>
          </w:p>
        </w:tc>
        <w:tc>
          <w:tcPr>
            <w:tcW w:w="982" w:type="dxa"/>
            <w:vMerge/>
            <w:tcBorders>
              <w:top w:val="nil"/>
              <w:bottom w:val="single" w:sz="4" w:space="0" w:color="auto"/>
            </w:tcBorders>
            <w:vAlign w:val="center"/>
          </w:tcPr>
          <w:p w14:paraId="21BA6C4C" w14:textId="77777777" w:rsidR="00B57F93" w:rsidRDefault="00B57F93">
            <w:pPr>
              <w:spacing w:after="0" w:line="240" w:lineRule="auto"/>
              <w:jc w:val="center"/>
              <w:rPr>
                <w:rFonts w:ascii="Arial" w:hAnsi="Arial" w:cs="Arial"/>
                <w:bCs/>
                <w:color w:val="000000" w:themeColor="text1"/>
                <w:sz w:val="20"/>
              </w:rPr>
            </w:pPr>
          </w:p>
        </w:tc>
        <w:tc>
          <w:tcPr>
            <w:tcW w:w="1260" w:type="dxa"/>
            <w:tcBorders>
              <w:top w:val="nil"/>
              <w:bottom w:val="single" w:sz="4" w:space="0" w:color="auto"/>
            </w:tcBorders>
          </w:tcPr>
          <w:p w14:paraId="21BA6C4D"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0</w:t>
            </w:r>
          </w:p>
        </w:tc>
        <w:tc>
          <w:tcPr>
            <w:tcW w:w="1260" w:type="dxa"/>
            <w:tcBorders>
              <w:top w:val="nil"/>
              <w:bottom w:val="single" w:sz="4" w:space="0" w:color="auto"/>
            </w:tcBorders>
          </w:tcPr>
          <w:p w14:paraId="21BA6C4E"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7</w:t>
            </w:r>
          </w:p>
        </w:tc>
        <w:tc>
          <w:tcPr>
            <w:tcW w:w="1123" w:type="dxa"/>
            <w:tcBorders>
              <w:top w:val="nil"/>
              <w:bottom w:val="single" w:sz="4" w:space="0" w:color="auto"/>
            </w:tcBorders>
          </w:tcPr>
          <w:p w14:paraId="21BA6C4F"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14</w:t>
            </w:r>
          </w:p>
        </w:tc>
      </w:tr>
      <w:tr w:rsidR="00B57F93" w14:paraId="21BA6C5A" w14:textId="77777777">
        <w:trPr>
          <w:cantSplit/>
          <w:trHeight w:val="394"/>
          <w:jc w:val="center"/>
        </w:trPr>
        <w:tc>
          <w:tcPr>
            <w:tcW w:w="1399" w:type="dxa"/>
            <w:vMerge w:val="restart"/>
            <w:tcBorders>
              <w:top w:val="single" w:sz="4" w:space="0" w:color="auto"/>
            </w:tcBorders>
          </w:tcPr>
          <w:p w14:paraId="21BA6C51" w14:textId="77777777" w:rsidR="00B57F93" w:rsidRDefault="00000000">
            <w:pPr>
              <w:spacing w:after="0" w:line="240" w:lineRule="auto"/>
              <w:jc w:val="center"/>
              <w:rPr>
                <w:rFonts w:ascii="Arial" w:hAnsi="Arial" w:cs="Arial"/>
                <w:bCs/>
                <w:color w:val="000000" w:themeColor="text1"/>
                <w:sz w:val="20"/>
              </w:rPr>
            </w:pPr>
            <w:proofErr w:type="spellStart"/>
            <w:r>
              <w:rPr>
                <w:rFonts w:ascii="Arial" w:hAnsi="Arial" w:cs="Arial"/>
                <w:bCs/>
                <w:color w:val="000000" w:themeColor="text1"/>
                <w:sz w:val="20"/>
              </w:rPr>
              <w:t>Exapar</w:t>
            </w:r>
            <w:proofErr w:type="spellEnd"/>
            <w:r>
              <w:rPr>
                <w:rFonts w:ascii="Arial" w:hAnsi="Arial" w:cs="Arial"/>
                <w:bCs/>
                <w:color w:val="000000" w:themeColor="text1"/>
                <w:sz w:val="20"/>
              </w:rPr>
              <w:t xml:space="preserve"> premix</w:t>
            </w:r>
          </w:p>
        </w:tc>
        <w:tc>
          <w:tcPr>
            <w:tcW w:w="1259" w:type="dxa"/>
            <w:vMerge w:val="restart"/>
            <w:tcBorders>
              <w:top w:val="single" w:sz="4" w:space="0" w:color="auto"/>
            </w:tcBorders>
          </w:tcPr>
          <w:p w14:paraId="21BA6C52"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 xml:space="preserve">2000 mg/kg </w:t>
            </w:r>
            <w:proofErr w:type="spellStart"/>
            <w:r>
              <w:rPr>
                <w:rFonts w:ascii="Arial" w:hAnsi="Arial" w:cs="Arial"/>
                <w:bCs/>
                <w:color w:val="000000" w:themeColor="text1"/>
                <w:sz w:val="20"/>
              </w:rPr>
              <w:t>b.wt</w:t>
            </w:r>
            <w:proofErr w:type="spellEnd"/>
            <w:r>
              <w:rPr>
                <w:rFonts w:ascii="Arial" w:hAnsi="Arial" w:cs="Arial"/>
                <w:bCs/>
                <w:color w:val="000000" w:themeColor="text1"/>
                <w:sz w:val="20"/>
              </w:rPr>
              <w:t>. orally</w:t>
            </w:r>
          </w:p>
          <w:p w14:paraId="21BA6C53" w14:textId="77777777" w:rsidR="00B57F93" w:rsidRDefault="00B57F93">
            <w:pPr>
              <w:spacing w:after="0" w:line="240" w:lineRule="auto"/>
              <w:jc w:val="center"/>
              <w:rPr>
                <w:rFonts w:ascii="Arial" w:hAnsi="Arial" w:cs="Arial"/>
                <w:bCs/>
                <w:color w:val="000000" w:themeColor="text1"/>
                <w:sz w:val="20"/>
              </w:rPr>
            </w:pPr>
          </w:p>
        </w:tc>
        <w:tc>
          <w:tcPr>
            <w:tcW w:w="1260" w:type="dxa"/>
            <w:tcBorders>
              <w:top w:val="single" w:sz="4" w:space="0" w:color="auto"/>
            </w:tcBorders>
            <w:vAlign w:val="center"/>
          </w:tcPr>
          <w:p w14:paraId="21BA6C54"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1</w:t>
            </w:r>
          </w:p>
          <w:p w14:paraId="21BA6C55" w14:textId="77777777" w:rsidR="00B57F93" w:rsidRDefault="00B57F93">
            <w:pPr>
              <w:spacing w:after="0" w:line="240" w:lineRule="auto"/>
              <w:jc w:val="center"/>
              <w:rPr>
                <w:rFonts w:ascii="Arial" w:hAnsi="Arial" w:cs="Arial"/>
                <w:bCs/>
                <w:color w:val="000000" w:themeColor="text1"/>
                <w:sz w:val="20"/>
              </w:rPr>
            </w:pPr>
          </w:p>
        </w:tc>
        <w:tc>
          <w:tcPr>
            <w:tcW w:w="982" w:type="dxa"/>
            <w:tcBorders>
              <w:top w:val="single" w:sz="4" w:space="0" w:color="auto"/>
            </w:tcBorders>
            <w:vAlign w:val="center"/>
          </w:tcPr>
          <w:p w14:paraId="21BA6C56"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F</w:t>
            </w:r>
          </w:p>
        </w:tc>
        <w:tc>
          <w:tcPr>
            <w:tcW w:w="1260" w:type="dxa"/>
            <w:tcBorders>
              <w:top w:val="single" w:sz="4" w:space="0" w:color="auto"/>
            </w:tcBorders>
            <w:vAlign w:val="center"/>
          </w:tcPr>
          <w:p w14:paraId="21BA6C57"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108</w:t>
            </w:r>
          </w:p>
        </w:tc>
        <w:tc>
          <w:tcPr>
            <w:tcW w:w="1260" w:type="dxa"/>
            <w:tcBorders>
              <w:top w:val="single" w:sz="4" w:space="0" w:color="auto"/>
            </w:tcBorders>
            <w:vAlign w:val="center"/>
          </w:tcPr>
          <w:p w14:paraId="21BA6C58"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124</w:t>
            </w:r>
          </w:p>
        </w:tc>
        <w:tc>
          <w:tcPr>
            <w:tcW w:w="1123" w:type="dxa"/>
            <w:tcBorders>
              <w:top w:val="single" w:sz="4" w:space="0" w:color="auto"/>
            </w:tcBorders>
            <w:vAlign w:val="center"/>
          </w:tcPr>
          <w:p w14:paraId="21BA6C59" w14:textId="77777777" w:rsidR="00B57F93" w:rsidRDefault="00000000">
            <w:pPr>
              <w:spacing w:after="0" w:line="240" w:lineRule="auto"/>
              <w:jc w:val="center"/>
              <w:rPr>
                <w:rFonts w:ascii="Arial" w:hAnsi="Arial" w:cs="Arial"/>
                <w:bCs/>
                <w:color w:val="000000" w:themeColor="text1"/>
                <w:sz w:val="20"/>
              </w:rPr>
            </w:pPr>
            <w:r>
              <w:rPr>
                <w:rFonts w:ascii="Arial" w:hAnsi="Arial" w:cs="Arial"/>
                <w:bCs/>
                <w:color w:val="000000" w:themeColor="text1"/>
                <w:sz w:val="20"/>
              </w:rPr>
              <w:t>139</w:t>
            </w:r>
          </w:p>
        </w:tc>
      </w:tr>
      <w:tr w:rsidR="00B57F93" w14:paraId="21BA6C63" w14:textId="77777777">
        <w:trPr>
          <w:cantSplit/>
          <w:trHeight w:val="279"/>
          <w:jc w:val="center"/>
        </w:trPr>
        <w:tc>
          <w:tcPr>
            <w:tcW w:w="1399" w:type="dxa"/>
            <w:vMerge/>
            <w:vAlign w:val="center"/>
          </w:tcPr>
          <w:p w14:paraId="21BA6C5B" w14:textId="77777777" w:rsidR="00B57F93" w:rsidRDefault="00B57F93">
            <w:pPr>
              <w:spacing w:after="0" w:line="240" w:lineRule="auto"/>
              <w:jc w:val="center"/>
              <w:rPr>
                <w:rFonts w:ascii="Arial" w:hAnsi="Arial" w:cs="Arial"/>
                <w:color w:val="000000" w:themeColor="text1"/>
                <w:sz w:val="20"/>
              </w:rPr>
            </w:pPr>
          </w:p>
        </w:tc>
        <w:tc>
          <w:tcPr>
            <w:tcW w:w="1259" w:type="dxa"/>
            <w:vMerge/>
            <w:vAlign w:val="center"/>
          </w:tcPr>
          <w:p w14:paraId="21BA6C5C" w14:textId="77777777" w:rsidR="00B57F93" w:rsidRDefault="00B57F93">
            <w:pPr>
              <w:spacing w:after="0" w:line="240" w:lineRule="auto"/>
              <w:jc w:val="center"/>
              <w:rPr>
                <w:rFonts w:ascii="Arial" w:hAnsi="Arial" w:cs="Arial"/>
                <w:color w:val="000000" w:themeColor="text1"/>
                <w:sz w:val="20"/>
              </w:rPr>
            </w:pPr>
          </w:p>
        </w:tc>
        <w:tc>
          <w:tcPr>
            <w:tcW w:w="1260" w:type="dxa"/>
            <w:vAlign w:val="center"/>
          </w:tcPr>
          <w:p w14:paraId="21BA6C5D"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2</w:t>
            </w:r>
          </w:p>
          <w:p w14:paraId="21BA6C5E" w14:textId="77777777" w:rsidR="00B57F93" w:rsidRDefault="00B57F93">
            <w:pPr>
              <w:spacing w:after="0" w:line="240" w:lineRule="auto"/>
              <w:jc w:val="center"/>
              <w:rPr>
                <w:rFonts w:ascii="Arial" w:hAnsi="Arial" w:cs="Arial"/>
                <w:color w:val="000000" w:themeColor="text1"/>
                <w:sz w:val="20"/>
              </w:rPr>
            </w:pPr>
          </w:p>
        </w:tc>
        <w:tc>
          <w:tcPr>
            <w:tcW w:w="982" w:type="dxa"/>
            <w:vAlign w:val="center"/>
          </w:tcPr>
          <w:p w14:paraId="21BA6C5F"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F</w:t>
            </w:r>
          </w:p>
        </w:tc>
        <w:tc>
          <w:tcPr>
            <w:tcW w:w="1260" w:type="dxa"/>
            <w:vAlign w:val="center"/>
          </w:tcPr>
          <w:p w14:paraId="21BA6C60"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123</w:t>
            </w:r>
          </w:p>
        </w:tc>
        <w:tc>
          <w:tcPr>
            <w:tcW w:w="1260" w:type="dxa"/>
            <w:vAlign w:val="center"/>
          </w:tcPr>
          <w:p w14:paraId="21BA6C61"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136</w:t>
            </w:r>
          </w:p>
        </w:tc>
        <w:tc>
          <w:tcPr>
            <w:tcW w:w="1123" w:type="dxa"/>
            <w:vAlign w:val="center"/>
          </w:tcPr>
          <w:p w14:paraId="21BA6C62"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147</w:t>
            </w:r>
          </w:p>
        </w:tc>
      </w:tr>
      <w:tr w:rsidR="00B57F93" w14:paraId="21BA6C6C" w14:textId="77777777">
        <w:trPr>
          <w:cantSplit/>
          <w:trHeight w:val="309"/>
          <w:jc w:val="center"/>
        </w:trPr>
        <w:tc>
          <w:tcPr>
            <w:tcW w:w="1399" w:type="dxa"/>
            <w:vMerge/>
            <w:vAlign w:val="center"/>
          </w:tcPr>
          <w:p w14:paraId="21BA6C64" w14:textId="77777777" w:rsidR="00B57F93" w:rsidRDefault="00B57F93">
            <w:pPr>
              <w:spacing w:after="0" w:line="240" w:lineRule="auto"/>
              <w:jc w:val="center"/>
              <w:rPr>
                <w:rFonts w:ascii="Arial" w:hAnsi="Arial" w:cs="Arial"/>
                <w:color w:val="000000" w:themeColor="text1"/>
                <w:sz w:val="20"/>
              </w:rPr>
            </w:pPr>
          </w:p>
        </w:tc>
        <w:tc>
          <w:tcPr>
            <w:tcW w:w="1259" w:type="dxa"/>
            <w:vMerge/>
            <w:vAlign w:val="center"/>
          </w:tcPr>
          <w:p w14:paraId="21BA6C65" w14:textId="77777777" w:rsidR="00B57F93" w:rsidRDefault="00B57F93">
            <w:pPr>
              <w:spacing w:after="0" w:line="240" w:lineRule="auto"/>
              <w:jc w:val="center"/>
              <w:rPr>
                <w:rFonts w:ascii="Arial" w:hAnsi="Arial" w:cs="Arial"/>
                <w:color w:val="000000" w:themeColor="text1"/>
                <w:sz w:val="20"/>
              </w:rPr>
            </w:pPr>
          </w:p>
        </w:tc>
        <w:tc>
          <w:tcPr>
            <w:tcW w:w="1260" w:type="dxa"/>
            <w:vAlign w:val="center"/>
          </w:tcPr>
          <w:p w14:paraId="21BA6C66"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3</w:t>
            </w:r>
          </w:p>
          <w:p w14:paraId="21BA6C67" w14:textId="77777777" w:rsidR="00B57F93" w:rsidRDefault="00B57F93">
            <w:pPr>
              <w:spacing w:after="0" w:line="240" w:lineRule="auto"/>
              <w:jc w:val="center"/>
              <w:rPr>
                <w:rFonts w:ascii="Arial" w:hAnsi="Arial" w:cs="Arial"/>
                <w:color w:val="000000" w:themeColor="text1"/>
                <w:sz w:val="20"/>
              </w:rPr>
            </w:pPr>
          </w:p>
        </w:tc>
        <w:tc>
          <w:tcPr>
            <w:tcW w:w="982" w:type="dxa"/>
          </w:tcPr>
          <w:p w14:paraId="21BA6C68"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F</w:t>
            </w:r>
          </w:p>
        </w:tc>
        <w:tc>
          <w:tcPr>
            <w:tcW w:w="1260" w:type="dxa"/>
            <w:vAlign w:val="center"/>
          </w:tcPr>
          <w:p w14:paraId="21BA6C69"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117</w:t>
            </w:r>
          </w:p>
        </w:tc>
        <w:tc>
          <w:tcPr>
            <w:tcW w:w="1260" w:type="dxa"/>
            <w:vAlign w:val="center"/>
          </w:tcPr>
          <w:p w14:paraId="21BA6C6A"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135</w:t>
            </w:r>
          </w:p>
        </w:tc>
        <w:tc>
          <w:tcPr>
            <w:tcW w:w="1123" w:type="dxa"/>
            <w:vAlign w:val="center"/>
          </w:tcPr>
          <w:p w14:paraId="21BA6C6B"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150</w:t>
            </w:r>
          </w:p>
        </w:tc>
      </w:tr>
      <w:tr w:rsidR="00B57F93" w14:paraId="21BA6C74" w14:textId="77777777">
        <w:trPr>
          <w:cantSplit/>
          <w:trHeight w:val="415"/>
          <w:jc w:val="center"/>
        </w:trPr>
        <w:tc>
          <w:tcPr>
            <w:tcW w:w="1399" w:type="dxa"/>
            <w:vMerge/>
            <w:vAlign w:val="center"/>
          </w:tcPr>
          <w:p w14:paraId="21BA6C6D" w14:textId="77777777" w:rsidR="00B57F93" w:rsidRDefault="00B57F93">
            <w:pPr>
              <w:spacing w:after="0" w:line="240" w:lineRule="auto"/>
              <w:jc w:val="center"/>
              <w:rPr>
                <w:rFonts w:ascii="Arial" w:hAnsi="Arial" w:cs="Arial"/>
                <w:color w:val="000000" w:themeColor="text1"/>
                <w:sz w:val="20"/>
              </w:rPr>
            </w:pPr>
          </w:p>
        </w:tc>
        <w:tc>
          <w:tcPr>
            <w:tcW w:w="1259" w:type="dxa"/>
            <w:vMerge/>
            <w:vAlign w:val="center"/>
          </w:tcPr>
          <w:p w14:paraId="21BA6C6E" w14:textId="77777777" w:rsidR="00B57F93" w:rsidRDefault="00B57F93">
            <w:pPr>
              <w:spacing w:after="0" w:line="240" w:lineRule="auto"/>
              <w:jc w:val="center"/>
              <w:rPr>
                <w:rFonts w:ascii="Arial" w:hAnsi="Arial" w:cs="Arial"/>
                <w:color w:val="000000" w:themeColor="text1"/>
                <w:sz w:val="20"/>
              </w:rPr>
            </w:pPr>
          </w:p>
        </w:tc>
        <w:tc>
          <w:tcPr>
            <w:tcW w:w="1260" w:type="dxa"/>
            <w:tcBorders>
              <w:bottom w:val="single" w:sz="4" w:space="0" w:color="auto"/>
            </w:tcBorders>
            <w:vAlign w:val="center"/>
          </w:tcPr>
          <w:p w14:paraId="21BA6C6F"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4</w:t>
            </w:r>
          </w:p>
        </w:tc>
        <w:tc>
          <w:tcPr>
            <w:tcW w:w="982" w:type="dxa"/>
            <w:tcBorders>
              <w:bottom w:val="single" w:sz="4" w:space="0" w:color="auto"/>
            </w:tcBorders>
          </w:tcPr>
          <w:p w14:paraId="21BA6C70"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F</w:t>
            </w:r>
          </w:p>
        </w:tc>
        <w:tc>
          <w:tcPr>
            <w:tcW w:w="1260" w:type="dxa"/>
            <w:tcBorders>
              <w:bottom w:val="single" w:sz="4" w:space="0" w:color="auto"/>
            </w:tcBorders>
            <w:vAlign w:val="center"/>
          </w:tcPr>
          <w:p w14:paraId="21BA6C71"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117</w:t>
            </w:r>
          </w:p>
        </w:tc>
        <w:tc>
          <w:tcPr>
            <w:tcW w:w="1260" w:type="dxa"/>
            <w:tcBorders>
              <w:bottom w:val="single" w:sz="4" w:space="0" w:color="auto"/>
            </w:tcBorders>
            <w:vAlign w:val="center"/>
          </w:tcPr>
          <w:p w14:paraId="21BA6C72"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132</w:t>
            </w:r>
          </w:p>
        </w:tc>
        <w:tc>
          <w:tcPr>
            <w:tcW w:w="1123" w:type="dxa"/>
            <w:tcBorders>
              <w:bottom w:val="single" w:sz="4" w:space="0" w:color="auto"/>
            </w:tcBorders>
            <w:vAlign w:val="center"/>
          </w:tcPr>
          <w:p w14:paraId="21BA6C73"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146</w:t>
            </w:r>
          </w:p>
        </w:tc>
      </w:tr>
      <w:tr w:rsidR="00B57F93" w14:paraId="21BA6C7B" w14:textId="77777777">
        <w:trPr>
          <w:cantSplit/>
          <w:trHeight w:val="407"/>
          <w:jc w:val="center"/>
        </w:trPr>
        <w:tc>
          <w:tcPr>
            <w:tcW w:w="1399" w:type="dxa"/>
            <w:vMerge/>
            <w:tcBorders>
              <w:bottom w:val="single" w:sz="4" w:space="0" w:color="auto"/>
            </w:tcBorders>
            <w:vAlign w:val="center"/>
          </w:tcPr>
          <w:p w14:paraId="21BA6C75" w14:textId="77777777" w:rsidR="00B57F93" w:rsidRDefault="00B57F93">
            <w:pPr>
              <w:spacing w:after="0" w:line="240" w:lineRule="auto"/>
              <w:jc w:val="center"/>
              <w:rPr>
                <w:rFonts w:ascii="Arial" w:hAnsi="Arial" w:cs="Arial"/>
                <w:color w:val="000000" w:themeColor="text1"/>
                <w:sz w:val="20"/>
              </w:rPr>
            </w:pPr>
          </w:p>
        </w:tc>
        <w:tc>
          <w:tcPr>
            <w:tcW w:w="1259" w:type="dxa"/>
            <w:vMerge/>
            <w:tcBorders>
              <w:bottom w:val="single" w:sz="4" w:space="0" w:color="auto"/>
            </w:tcBorders>
            <w:vAlign w:val="center"/>
          </w:tcPr>
          <w:p w14:paraId="21BA6C76" w14:textId="77777777" w:rsidR="00B57F93" w:rsidRDefault="00B57F93">
            <w:pPr>
              <w:spacing w:after="0" w:line="240" w:lineRule="auto"/>
              <w:jc w:val="center"/>
              <w:rPr>
                <w:rFonts w:ascii="Arial" w:hAnsi="Arial" w:cs="Arial"/>
                <w:color w:val="000000" w:themeColor="text1"/>
                <w:sz w:val="20"/>
              </w:rPr>
            </w:pPr>
          </w:p>
        </w:tc>
        <w:tc>
          <w:tcPr>
            <w:tcW w:w="2242" w:type="dxa"/>
            <w:gridSpan w:val="2"/>
            <w:tcBorders>
              <w:top w:val="single" w:sz="4" w:space="0" w:color="auto"/>
              <w:bottom w:val="single" w:sz="4" w:space="0" w:color="auto"/>
            </w:tcBorders>
            <w:vAlign w:val="center"/>
          </w:tcPr>
          <w:p w14:paraId="21BA6C77"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Total (</w:t>
            </w:r>
            <w:proofErr w:type="spellStart"/>
            <w:r>
              <w:rPr>
                <w:rFonts w:ascii="Arial" w:hAnsi="Arial" w:cs="Arial"/>
                <w:color w:val="000000" w:themeColor="text1"/>
                <w:sz w:val="20"/>
              </w:rPr>
              <w:t>Mean±SE</w:t>
            </w:r>
            <w:proofErr w:type="spellEnd"/>
            <w:r>
              <w:rPr>
                <w:rFonts w:ascii="Arial" w:hAnsi="Arial" w:cs="Arial"/>
                <w:color w:val="000000" w:themeColor="text1"/>
                <w:sz w:val="20"/>
              </w:rPr>
              <w:t>)</w:t>
            </w:r>
          </w:p>
        </w:tc>
        <w:tc>
          <w:tcPr>
            <w:tcW w:w="1260" w:type="dxa"/>
            <w:tcBorders>
              <w:top w:val="single" w:sz="4" w:space="0" w:color="auto"/>
              <w:bottom w:val="single" w:sz="4" w:space="0" w:color="auto"/>
            </w:tcBorders>
          </w:tcPr>
          <w:p w14:paraId="21BA6C78"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116.25±3.09</w:t>
            </w:r>
          </w:p>
        </w:tc>
        <w:tc>
          <w:tcPr>
            <w:tcW w:w="1260" w:type="dxa"/>
            <w:tcBorders>
              <w:top w:val="single" w:sz="4" w:space="0" w:color="auto"/>
              <w:bottom w:val="single" w:sz="4" w:space="0" w:color="auto"/>
            </w:tcBorders>
          </w:tcPr>
          <w:p w14:paraId="21BA6C79"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131.75±2.71</w:t>
            </w:r>
          </w:p>
        </w:tc>
        <w:tc>
          <w:tcPr>
            <w:tcW w:w="1123" w:type="dxa"/>
            <w:tcBorders>
              <w:top w:val="single" w:sz="4" w:space="0" w:color="auto"/>
              <w:bottom w:val="single" w:sz="4" w:space="0" w:color="auto"/>
            </w:tcBorders>
          </w:tcPr>
          <w:p w14:paraId="21BA6C7A" w14:textId="77777777" w:rsidR="00B57F93" w:rsidRDefault="00000000">
            <w:pPr>
              <w:spacing w:after="0" w:line="240" w:lineRule="auto"/>
              <w:jc w:val="center"/>
              <w:rPr>
                <w:rFonts w:ascii="Arial" w:hAnsi="Arial" w:cs="Arial"/>
                <w:color w:val="000000" w:themeColor="text1"/>
                <w:sz w:val="20"/>
              </w:rPr>
            </w:pPr>
            <w:r>
              <w:rPr>
                <w:rFonts w:ascii="Arial" w:hAnsi="Arial" w:cs="Arial"/>
                <w:color w:val="000000" w:themeColor="text1"/>
                <w:sz w:val="20"/>
              </w:rPr>
              <w:t>145.5±2.32</w:t>
            </w:r>
          </w:p>
        </w:tc>
      </w:tr>
    </w:tbl>
    <w:p w14:paraId="21BA6C7C" w14:textId="77777777" w:rsidR="00B57F93" w:rsidRDefault="00000000">
      <w:pPr>
        <w:ind w:firstLine="720"/>
        <w:jc w:val="center"/>
        <w:rPr>
          <w:rFonts w:ascii="Arial" w:hAnsi="Arial" w:cs="Arial"/>
          <w:color w:val="000000" w:themeColor="text1"/>
          <w:sz w:val="20"/>
        </w:rPr>
      </w:pPr>
      <w:r>
        <w:rPr>
          <w:rFonts w:ascii="Arial" w:hAnsi="Arial" w:cs="Arial"/>
          <w:color w:val="000000" w:themeColor="text1"/>
          <w:sz w:val="20"/>
        </w:rPr>
        <w:t xml:space="preserve">*Rat No. 1, 2 3 and 4, are from main test group III, F= Female, Total values are expressed as </w:t>
      </w:r>
      <w:proofErr w:type="spellStart"/>
      <w:r>
        <w:rPr>
          <w:rFonts w:ascii="Arial" w:hAnsi="Arial" w:cs="Arial"/>
          <w:color w:val="000000" w:themeColor="text1"/>
          <w:sz w:val="20"/>
        </w:rPr>
        <w:t>Mean±SE</w:t>
      </w:r>
      <w:proofErr w:type="spellEnd"/>
      <w:r>
        <w:rPr>
          <w:rFonts w:ascii="Arial" w:hAnsi="Arial" w:cs="Arial"/>
          <w:color w:val="000000" w:themeColor="text1"/>
          <w:sz w:val="20"/>
        </w:rPr>
        <w:t xml:space="preserve"> (standard error)</w:t>
      </w:r>
    </w:p>
    <w:p w14:paraId="21BA6C7D" w14:textId="77777777" w:rsidR="00B57F93" w:rsidRDefault="00000000">
      <w:pPr>
        <w:ind w:firstLine="720"/>
        <w:jc w:val="both"/>
        <w:rPr>
          <w:rFonts w:ascii="Arial" w:hAnsi="Arial" w:cs="Arial"/>
          <w:color w:val="000000" w:themeColor="text1"/>
          <w:sz w:val="20"/>
        </w:rPr>
      </w:pPr>
      <w:r>
        <w:rPr>
          <w:rFonts w:ascii="Arial" w:hAnsi="Arial" w:cs="Arial"/>
          <w:color w:val="000000" w:themeColor="text1"/>
          <w:sz w:val="20"/>
        </w:rPr>
        <w:t xml:space="preserve">Biochemical assessments revealed that the levels of alanine aminotransferase (ALT), aspartate aminotransferase (AST), alkaline phosphatase (ALP) and creatinine were observed within standard physiological reference limits indicating normal liver and kidney functions (Table 3) and these analyte </w:t>
      </w:r>
      <w:proofErr w:type="spellStart"/>
      <w:r>
        <w:rPr>
          <w:rFonts w:ascii="Arial" w:hAnsi="Arial" w:cs="Arial"/>
          <w:color w:val="000000" w:themeColor="text1"/>
          <w:sz w:val="20"/>
        </w:rPr>
        <w:t>leves</w:t>
      </w:r>
      <w:proofErr w:type="spellEnd"/>
      <w:r>
        <w:rPr>
          <w:rFonts w:ascii="Arial" w:hAnsi="Arial" w:cs="Arial"/>
          <w:color w:val="000000" w:themeColor="text1"/>
          <w:sz w:val="20"/>
        </w:rPr>
        <w:t xml:space="preserve"> correspond with the related study on liver protective </w:t>
      </w:r>
      <w:proofErr w:type="spellStart"/>
      <w:r>
        <w:rPr>
          <w:rFonts w:ascii="Arial" w:hAnsi="Arial" w:cs="Arial"/>
          <w:color w:val="000000" w:themeColor="text1"/>
          <w:sz w:val="20"/>
        </w:rPr>
        <w:t>Repchol</w:t>
      </w:r>
      <w:proofErr w:type="spellEnd"/>
      <w:r>
        <w:rPr>
          <w:rFonts w:ascii="Arial" w:hAnsi="Arial" w:cs="Arial"/>
          <w:color w:val="000000" w:themeColor="text1"/>
          <w:sz w:val="20"/>
        </w:rPr>
        <w:t xml:space="preserve"> premix administration in Wistar Rats showed ALT, AST, ALP and creatinine in normal physiological range [14]. Oral administration of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w:t>
      </w:r>
      <w:r>
        <w:rPr>
          <w:rFonts w:ascii="Arial" w:hAnsi="Arial" w:cs="Arial"/>
          <w:color w:val="000000" w:themeColor="text1"/>
          <w:sz w:val="20"/>
          <w:szCs w:val="18"/>
        </w:rPr>
        <w:t xml:space="preserve">Premix </w:t>
      </w:r>
      <w:r>
        <w:rPr>
          <w:rFonts w:ascii="Arial" w:hAnsi="Arial" w:cs="Arial"/>
          <w:color w:val="000000" w:themeColor="text1"/>
          <w:sz w:val="20"/>
        </w:rPr>
        <w:t xml:space="preserve">@ 2000 mg/kg neither induced any adverse clinical signs nor mortality in rats </w:t>
      </w:r>
      <w:r>
        <w:rPr>
          <w:rFonts w:ascii="Arial" w:hAnsi="Arial" w:cs="Arial"/>
          <w:color w:val="000000" w:themeColor="text1"/>
          <w:kern w:val="2"/>
          <w:sz w:val="20"/>
        </w:rPr>
        <w:t>(Table 4)</w:t>
      </w:r>
      <w:r>
        <w:rPr>
          <w:rFonts w:ascii="Arial" w:hAnsi="Arial" w:cs="Arial"/>
          <w:color w:val="000000" w:themeColor="text1"/>
          <w:sz w:val="20"/>
        </w:rPr>
        <w:t>, indicating product’s safety for oral use and the LD</w:t>
      </w:r>
      <w:r>
        <w:rPr>
          <w:rFonts w:ascii="Cambria Math" w:hAnsi="Cambria Math" w:cs="Cambria Math"/>
          <w:color w:val="000000" w:themeColor="text1"/>
          <w:sz w:val="20"/>
        </w:rPr>
        <w:t>₅₀</w:t>
      </w:r>
      <w:r>
        <w:rPr>
          <w:rFonts w:ascii="Arial" w:hAnsi="Arial" w:cs="Arial"/>
          <w:color w:val="000000" w:themeColor="text1"/>
          <w:sz w:val="20"/>
        </w:rPr>
        <w:t xml:space="preserve"> of the compound exceeds 2000 mg/kg body weight.</w:t>
      </w:r>
    </w:p>
    <w:p w14:paraId="21BA6C7E" w14:textId="77777777" w:rsidR="00B57F93" w:rsidRDefault="00000000">
      <w:pPr>
        <w:rPr>
          <w:rFonts w:ascii="Arial" w:hAnsi="Arial" w:cs="Arial"/>
          <w:b/>
          <w:color w:val="000000" w:themeColor="text1"/>
          <w:sz w:val="20"/>
        </w:rPr>
      </w:pPr>
      <w:r>
        <w:rPr>
          <w:rFonts w:ascii="Arial" w:hAnsi="Arial" w:cs="Arial"/>
          <w:b/>
          <w:color w:val="000000" w:themeColor="text1"/>
          <w:sz w:val="20"/>
        </w:rPr>
        <w:t xml:space="preserve">Table 3: AST, ALT, ALP and creatinine in rats treated with </w:t>
      </w:r>
      <w:proofErr w:type="spellStart"/>
      <w:r>
        <w:rPr>
          <w:rFonts w:ascii="Arial" w:hAnsi="Arial" w:cs="Arial"/>
          <w:b/>
          <w:color w:val="000000" w:themeColor="text1"/>
          <w:sz w:val="20"/>
        </w:rPr>
        <w:t>Exapar</w:t>
      </w:r>
      <w:proofErr w:type="spellEnd"/>
      <w:r>
        <w:rPr>
          <w:rFonts w:ascii="Arial" w:hAnsi="Arial" w:cs="Arial"/>
          <w:b/>
          <w:color w:val="000000" w:themeColor="text1"/>
          <w:sz w:val="20"/>
        </w:rPr>
        <w:t xml:space="preserve"> </w:t>
      </w:r>
      <w:r>
        <w:rPr>
          <w:rFonts w:ascii="Arial" w:hAnsi="Arial" w:cs="Arial"/>
          <w:b/>
          <w:bCs/>
          <w:color w:val="000000" w:themeColor="text1"/>
          <w:sz w:val="20"/>
          <w:szCs w:val="18"/>
        </w:rPr>
        <w:t>Premix</w:t>
      </w:r>
      <w:r>
        <w:rPr>
          <w:rFonts w:ascii="Arial" w:hAnsi="Arial" w:cs="Arial"/>
          <w:b/>
          <w:color w:val="000000" w:themeColor="text1"/>
          <w:sz w:val="20"/>
        </w:rPr>
        <w:t xml:space="preserve"> @2000mg/kg</w:t>
      </w:r>
    </w:p>
    <w:tbl>
      <w:tblPr>
        <w:tblW w:w="9326" w:type="dxa"/>
        <w:jc w:val="center"/>
        <w:tblBorders>
          <w:insideH w:val="single" w:sz="4" w:space="0" w:color="auto"/>
        </w:tblBorders>
        <w:tblLayout w:type="fixed"/>
        <w:tblCellMar>
          <w:left w:w="30" w:type="dxa"/>
          <w:right w:w="30" w:type="dxa"/>
        </w:tblCellMar>
        <w:tblLook w:val="04A0" w:firstRow="1" w:lastRow="0" w:firstColumn="1" w:lastColumn="0" w:noHBand="0" w:noVBand="1"/>
      </w:tblPr>
      <w:tblGrid>
        <w:gridCol w:w="1425"/>
        <w:gridCol w:w="1424"/>
        <w:gridCol w:w="1580"/>
        <w:gridCol w:w="1581"/>
        <w:gridCol w:w="1607"/>
        <w:gridCol w:w="1709"/>
      </w:tblGrid>
      <w:tr w:rsidR="00B57F93" w14:paraId="21BA6C82" w14:textId="77777777">
        <w:trPr>
          <w:cantSplit/>
          <w:trHeight w:val="361"/>
          <w:jc w:val="center"/>
        </w:trPr>
        <w:tc>
          <w:tcPr>
            <w:tcW w:w="1425" w:type="dxa"/>
            <w:vAlign w:val="center"/>
          </w:tcPr>
          <w:p w14:paraId="21BA6C7F"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 xml:space="preserve">Dose of </w:t>
            </w:r>
            <w:proofErr w:type="spellStart"/>
            <w:r>
              <w:rPr>
                <w:rFonts w:ascii="Arial" w:hAnsi="Arial" w:cs="Arial"/>
                <w:bCs/>
                <w:color w:val="000000" w:themeColor="text1"/>
                <w:sz w:val="20"/>
              </w:rPr>
              <w:t>Exapar</w:t>
            </w:r>
            <w:proofErr w:type="spellEnd"/>
            <w:r>
              <w:rPr>
                <w:rFonts w:ascii="Arial" w:hAnsi="Arial" w:cs="Arial"/>
                <w:bCs/>
                <w:color w:val="000000" w:themeColor="text1"/>
                <w:sz w:val="20"/>
              </w:rPr>
              <w:t xml:space="preserve"> </w:t>
            </w:r>
            <w:r>
              <w:rPr>
                <w:rFonts w:ascii="Arial" w:hAnsi="Arial" w:cs="Arial"/>
                <w:color w:val="000000" w:themeColor="text1"/>
                <w:sz w:val="20"/>
                <w:szCs w:val="18"/>
              </w:rPr>
              <w:t>Premix</w:t>
            </w:r>
          </w:p>
        </w:tc>
        <w:tc>
          <w:tcPr>
            <w:tcW w:w="1424" w:type="dxa"/>
            <w:vAlign w:val="center"/>
          </w:tcPr>
          <w:p w14:paraId="21BA6C80"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Rat No.</w:t>
            </w:r>
          </w:p>
        </w:tc>
        <w:tc>
          <w:tcPr>
            <w:tcW w:w="6477" w:type="dxa"/>
            <w:gridSpan w:val="4"/>
            <w:vAlign w:val="center"/>
          </w:tcPr>
          <w:p w14:paraId="21BA6C81"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Biochemical parameters</w:t>
            </w:r>
          </w:p>
        </w:tc>
      </w:tr>
      <w:tr w:rsidR="00B57F93" w14:paraId="21BA6C89" w14:textId="77777777">
        <w:trPr>
          <w:cantSplit/>
          <w:trHeight w:val="353"/>
          <w:jc w:val="center"/>
        </w:trPr>
        <w:tc>
          <w:tcPr>
            <w:tcW w:w="1425" w:type="dxa"/>
            <w:vAlign w:val="center"/>
          </w:tcPr>
          <w:p w14:paraId="21BA6C83" w14:textId="77777777" w:rsidR="00B57F93" w:rsidRDefault="00B57F93">
            <w:pPr>
              <w:spacing w:after="0"/>
              <w:jc w:val="center"/>
              <w:rPr>
                <w:rFonts w:ascii="Arial" w:hAnsi="Arial" w:cs="Arial"/>
                <w:color w:val="000000" w:themeColor="text1"/>
                <w:sz w:val="20"/>
              </w:rPr>
            </w:pPr>
          </w:p>
        </w:tc>
        <w:tc>
          <w:tcPr>
            <w:tcW w:w="1424" w:type="dxa"/>
            <w:vAlign w:val="center"/>
          </w:tcPr>
          <w:p w14:paraId="21BA6C84" w14:textId="77777777" w:rsidR="00B57F93" w:rsidRDefault="00B57F93">
            <w:pPr>
              <w:spacing w:after="0"/>
              <w:jc w:val="center"/>
              <w:rPr>
                <w:rFonts w:ascii="Arial" w:hAnsi="Arial" w:cs="Arial"/>
                <w:color w:val="000000" w:themeColor="text1"/>
                <w:sz w:val="20"/>
              </w:rPr>
            </w:pPr>
          </w:p>
        </w:tc>
        <w:tc>
          <w:tcPr>
            <w:tcW w:w="1580" w:type="dxa"/>
            <w:vAlign w:val="center"/>
          </w:tcPr>
          <w:p w14:paraId="21BA6C85"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AST(U/L)</w:t>
            </w:r>
          </w:p>
        </w:tc>
        <w:tc>
          <w:tcPr>
            <w:tcW w:w="1581" w:type="dxa"/>
            <w:vAlign w:val="center"/>
          </w:tcPr>
          <w:p w14:paraId="21BA6C86"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ALT(U/L)</w:t>
            </w:r>
          </w:p>
        </w:tc>
        <w:tc>
          <w:tcPr>
            <w:tcW w:w="1607" w:type="dxa"/>
            <w:vAlign w:val="center"/>
          </w:tcPr>
          <w:p w14:paraId="21BA6C87"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ALP(U/L)</w:t>
            </w:r>
          </w:p>
        </w:tc>
        <w:tc>
          <w:tcPr>
            <w:tcW w:w="1709" w:type="dxa"/>
            <w:vAlign w:val="center"/>
          </w:tcPr>
          <w:p w14:paraId="21BA6C88"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Creatinine(mg/dL)</w:t>
            </w:r>
          </w:p>
        </w:tc>
      </w:tr>
      <w:tr w:rsidR="00B57F93" w14:paraId="21BA6C90" w14:textId="77777777">
        <w:trPr>
          <w:cantSplit/>
          <w:trHeight w:val="533"/>
          <w:jc w:val="center"/>
        </w:trPr>
        <w:tc>
          <w:tcPr>
            <w:tcW w:w="1425" w:type="dxa"/>
            <w:vMerge w:val="restart"/>
            <w:tcBorders>
              <w:bottom w:val="nil"/>
            </w:tcBorders>
            <w:vAlign w:val="center"/>
          </w:tcPr>
          <w:p w14:paraId="21BA6C8A"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2000mg/kg</w:t>
            </w:r>
          </w:p>
        </w:tc>
        <w:tc>
          <w:tcPr>
            <w:tcW w:w="1424" w:type="dxa"/>
            <w:tcBorders>
              <w:bottom w:val="nil"/>
            </w:tcBorders>
            <w:vAlign w:val="center"/>
          </w:tcPr>
          <w:p w14:paraId="21BA6C8B" w14:textId="77777777" w:rsidR="00B57F93" w:rsidRDefault="00000000">
            <w:pPr>
              <w:spacing w:after="0"/>
              <w:jc w:val="center"/>
              <w:rPr>
                <w:rFonts w:ascii="Arial" w:hAnsi="Arial" w:cs="Arial"/>
                <w:bCs/>
                <w:color w:val="000000" w:themeColor="text1"/>
                <w:sz w:val="20"/>
              </w:rPr>
            </w:pPr>
            <w:r>
              <w:rPr>
                <w:rFonts w:ascii="Arial" w:hAnsi="Arial" w:cs="Arial"/>
                <w:bCs/>
                <w:color w:val="000000" w:themeColor="text1"/>
                <w:sz w:val="20"/>
              </w:rPr>
              <w:t>1</w:t>
            </w:r>
          </w:p>
        </w:tc>
        <w:tc>
          <w:tcPr>
            <w:tcW w:w="1580" w:type="dxa"/>
            <w:tcBorders>
              <w:bottom w:val="nil"/>
            </w:tcBorders>
            <w:vAlign w:val="center"/>
          </w:tcPr>
          <w:p w14:paraId="21BA6C8C"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35.47</w:t>
            </w:r>
          </w:p>
        </w:tc>
        <w:tc>
          <w:tcPr>
            <w:tcW w:w="1581" w:type="dxa"/>
            <w:tcBorders>
              <w:bottom w:val="nil"/>
            </w:tcBorders>
            <w:vAlign w:val="center"/>
          </w:tcPr>
          <w:p w14:paraId="21BA6C8D"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16.82</w:t>
            </w:r>
          </w:p>
        </w:tc>
        <w:tc>
          <w:tcPr>
            <w:tcW w:w="1607" w:type="dxa"/>
            <w:tcBorders>
              <w:bottom w:val="nil"/>
            </w:tcBorders>
            <w:vAlign w:val="center"/>
          </w:tcPr>
          <w:p w14:paraId="21BA6C8E"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68.85</w:t>
            </w:r>
          </w:p>
        </w:tc>
        <w:tc>
          <w:tcPr>
            <w:tcW w:w="1709" w:type="dxa"/>
            <w:tcBorders>
              <w:bottom w:val="nil"/>
            </w:tcBorders>
            <w:vAlign w:val="center"/>
          </w:tcPr>
          <w:p w14:paraId="21BA6C8F"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0.51</w:t>
            </w:r>
          </w:p>
        </w:tc>
      </w:tr>
      <w:tr w:rsidR="00B57F93" w14:paraId="21BA6C97" w14:textId="77777777">
        <w:trPr>
          <w:cantSplit/>
          <w:trHeight w:val="533"/>
          <w:jc w:val="center"/>
        </w:trPr>
        <w:tc>
          <w:tcPr>
            <w:tcW w:w="1425" w:type="dxa"/>
            <w:vMerge/>
            <w:tcBorders>
              <w:top w:val="nil"/>
              <w:bottom w:val="nil"/>
            </w:tcBorders>
            <w:vAlign w:val="center"/>
          </w:tcPr>
          <w:p w14:paraId="21BA6C91" w14:textId="77777777" w:rsidR="00B57F93" w:rsidRDefault="00B57F93">
            <w:pPr>
              <w:spacing w:after="0"/>
              <w:jc w:val="center"/>
              <w:rPr>
                <w:rFonts w:ascii="Arial" w:hAnsi="Arial" w:cs="Arial"/>
                <w:color w:val="000000" w:themeColor="text1"/>
                <w:sz w:val="20"/>
              </w:rPr>
            </w:pPr>
          </w:p>
        </w:tc>
        <w:tc>
          <w:tcPr>
            <w:tcW w:w="1424" w:type="dxa"/>
            <w:tcBorders>
              <w:top w:val="nil"/>
              <w:bottom w:val="nil"/>
            </w:tcBorders>
            <w:vAlign w:val="center"/>
          </w:tcPr>
          <w:p w14:paraId="21BA6C92" w14:textId="77777777" w:rsidR="00B57F93" w:rsidRDefault="00000000">
            <w:pPr>
              <w:spacing w:after="0"/>
              <w:jc w:val="center"/>
              <w:rPr>
                <w:rFonts w:ascii="Arial" w:hAnsi="Arial" w:cs="Arial"/>
                <w:bCs/>
                <w:color w:val="000000" w:themeColor="text1"/>
                <w:sz w:val="20"/>
              </w:rPr>
            </w:pPr>
            <w:r>
              <w:rPr>
                <w:rFonts w:ascii="Arial" w:hAnsi="Arial" w:cs="Arial"/>
                <w:bCs/>
                <w:color w:val="000000" w:themeColor="text1"/>
                <w:sz w:val="20"/>
              </w:rPr>
              <w:t>2</w:t>
            </w:r>
          </w:p>
        </w:tc>
        <w:tc>
          <w:tcPr>
            <w:tcW w:w="1580" w:type="dxa"/>
            <w:tcBorders>
              <w:top w:val="nil"/>
              <w:bottom w:val="nil"/>
            </w:tcBorders>
            <w:vAlign w:val="center"/>
          </w:tcPr>
          <w:p w14:paraId="21BA6C93"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54.8</w:t>
            </w:r>
          </w:p>
        </w:tc>
        <w:tc>
          <w:tcPr>
            <w:tcW w:w="1581" w:type="dxa"/>
            <w:tcBorders>
              <w:top w:val="nil"/>
              <w:bottom w:val="nil"/>
            </w:tcBorders>
            <w:vAlign w:val="center"/>
          </w:tcPr>
          <w:p w14:paraId="21BA6C94"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26.11</w:t>
            </w:r>
          </w:p>
        </w:tc>
        <w:tc>
          <w:tcPr>
            <w:tcW w:w="1607" w:type="dxa"/>
            <w:tcBorders>
              <w:top w:val="nil"/>
              <w:bottom w:val="nil"/>
            </w:tcBorders>
            <w:vAlign w:val="center"/>
          </w:tcPr>
          <w:p w14:paraId="21BA6C95"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84.20</w:t>
            </w:r>
          </w:p>
        </w:tc>
        <w:tc>
          <w:tcPr>
            <w:tcW w:w="1709" w:type="dxa"/>
            <w:tcBorders>
              <w:top w:val="nil"/>
              <w:bottom w:val="nil"/>
            </w:tcBorders>
            <w:vAlign w:val="center"/>
          </w:tcPr>
          <w:p w14:paraId="21BA6C96"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0.48</w:t>
            </w:r>
          </w:p>
        </w:tc>
      </w:tr>
      <w:tr w:rsidR="00B57F93" w14:paraId="21BA6C9E" w14:textId="77777777">
        <w:trPr>
          <w:cantSplit/>
          <w:trHeight w:val="533"/>
          <w:jc w:val="center"/>
        </w:trPr>
        <w:tc>
          <w:tcPr>
            <w:tcW w:w="1425" w:type="dxa"/>
            <w:vMerge/>
            <w:tcBorders>
              <w:top w:val="nil"/>
              <w:bottom w:val="nil"/>
            </w:tcBorders>
            <w:vAlign w:val="center"/>
          </w:tcPr>
          <w:p w14:paraId="21BA6C98" w14:textId="77777777" w:rsidR="00B57F93" w:rsidRDefault="00B57F93">
            <w:pPr>
              <w:spacing w:after="0"/>
              <w:jc w:val="center"/>
              <w:rPr>
                <w:rFonts w:ascii="Arial" w:hAnsi="Arial" w:cs="Arial"/>
                <w:color w:val="000000" w:themeColor="text1"/>
                <w:sz w:val="20"/>
              </w:rPr>
            </w:pPr>
          </w:p>
        </w:tc>
        <w:tc>
          <w:tcPr>
            <w:tcW w:w="1424" w:type="dxa"/>
            <w:tcBorders>
              <w:top w:val="nil"/>
              <w:bottom w:val="nil"/>
            </w:tcBorders>
            <w:vAlign w:val="center"/>
          </w:tcPr>
          <w:p w14:paraId="21BA6C99" w14:textId="77777777" w:rsidR="00B57F93" w:rsidRDefault="00000000">
            <w:pPr>
              <w:spacing w:after="0"/>
              <w:jc w:val="center"/>
              <w:rPr>
                <w:rFonts w:ascii="Arial" w:hAnsi="Arial" w:cs="Arial"/>
                <w:bCs/>
                <w:color w:val="000000" w:themeColor="text1"/>
                <w:sz w:val="20"/>
              </w:rPr>
            </w:pPr>
            <w:r>
              <w:rPr>
                <w:rFonts w:ascii="Arial" w:hAnsi="Arial" w:cs="Arial"/>
                <w:bCs/>
                <w:color w:val="000000" w:themeColor="text1"/>
                <w:sz w:val="20"/>
              </w:rPr>
              <w:t>3</w:t>
            </w:r>
          </w:p>
        </w:tc>
        <w:tc>
          <w:tcPr>
            <w:tcW w:w="1580" w:type="dxa"/>
            <w:tcBorders>
              <w:top w:val="nil"/>
              <w:bottom w:val="nil"/>
            </w:tcBorders>
            <w:vAlign w:val="center"/>
          </w:tcPr>
          <w:p w14:paraId="21BA6C9A"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48.26</w:t>
            </w:r>
          </w:p>
        </w:tc>
        <w:tc>
          <w:tcPr>
            <w:tcW w:w="1581" w:type="dxa"/>
            <w:tcBorders>
              <w:top w:val="nil"/>
              <w:bottom w:val="nil"/>
            </w:tcBorders>
            <w:vAlign w:val="center"/>
          </w:tcPr>
          <w:p w14:paraId="21BA6C9B"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15.5</w:t>
            </w:r>
          </w:p>
        </w:tc>
        <w:tc>
          <w:tcPr>
            <w:tcW w:w="1607" w:type="dxa"/>
            <w:tcBorders>
              <w:top w:val="nil"/>
              <w:bottom w:val="nil"/>
            </w:tcBorders>
            <w:vAlign w:val="center"/>
          </w:tcPr>
          <w:p w14:paraId="21BA6C9C"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66.73</w:t>
            </w:r>
          </w:p>
        </w:tc>
        <w:tc>
          <w:tcPr>
            <w:tcW w:w="1709" w:type="dxa"/>
            <w:tcBorders>
              <w:top w:val="nil"/>
              <w:bottom w:val="nil"/>
            </w:tcBorders>
            <w:vAlign w:val="center"/>
          </w:tcPr>
          <w:p w14:paraId="21BA6C9D"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0.27</w:t>
            </w:r>
          </w:p>
        </w:tc>
      </w:tr>
      <w:tr w:rsidR="00B57F93" w14:paraId="21BA6CA5" w14:textId="77777777">
        <w:trPr>
          <w:cantSplit/>
          <w:trHeight w:val="533"/>
          <w:jc w:val="center"/>
        </w:trPr>
        <w:tc>
          <w:tcPr>
            <w:tcW w:w="1425" w:type="dxa"/>
            <w:vMerge/>
            <w:tcBorders>
              <w:top w:val="nil"/>
            </w:tcBorders>
            <w:vAlign w:val="center"/>
          </w:tcPr>
          <w:p w14:paraId="21BA6C9F" w14:textId="77777777" w:rsidR="00B57F93" w:rsidRDefault="00B57F93">
            <w:pPr>
              <w:spacing w:after="0"/>
              <w:jc w:val="center"/>
              <w:rPr>
                <w:rFonts w:ascii="Arial" w:hAnsi="Arial" w:cs="Arial"/>
                <w:color w:val="000000" w:themeColor="text1"/>
                <w:sz w:val="20"/>
              </w:rPr>
            </w:pPr>
          </w:p>
        </w:tc>
        <w:tc>
          <w:tcPr>
            <w:tcW w:w="1424" w:type="dxa"/>
            <w:tcBorders>
              <w:top w:val="nil"/>
            </w:tcBorders>
            <w:vAlign w:val="center"/>
          </w:tcPr>
          <w:p w14:paraId="21BA6CA0" w14:textId="77777777" w:rsidR="00B57F93" w:rsidRDefault="00000000">
            <w:pPr>
              <w:spacing w:after="0"/>
              <w:jc w:val="center"/>
              <w:rPr>
                <w:rFonts w:ascii="Arial" w:hAnsi="Arial" w:cs="Arial"/>
                <w:bCs/>
                <w:color w:val="000000" w:themeColor="text1"/>
                <w:sz w:val="20"/>
              </w:rPr>
            </w:pPr>
            <w:r>
              <w:rPr>
                <w:rFonts w:ascii="Arial" w:hAnsi="Arial" w:cs="Arial"/>
                <w:bCs/>
                <w:color w:val="000000" w:themeColor="text1"/>
                <w:sz w:val="20"/>
              </w:rPr>
              <w:t>4</w:t>
            </w:r>
          </w:p>
        </w:tc>
        <w:tc>
          <w:tcPr>
            <w:tcW w:w="1580" w:type="dxa"/>
            <w:tcBorders>
              <w:top w:val="nil"/>
            </w:tcBorders>
            <w:vAlign w:val="center"/>
          </w:tcPr>
          <w:p w14:paraId="21BA6CA1"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59.82</w:t>
            </w:r>
          </w:p>
        </w:tc>
        <w:tc>
          <w:tcPr>
            <w:tcW w:w="1581" w:type="dxa"/>
            <w:tcBorders>
              <w:top w:val="nil"/>
            </w:tcBorders>
            <w:vAlign w:val="center"/>
          </w:tcPr>
          <w:p w14:paraId="21BA6CA2"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19.39</w:t>
            </w:r>
          </w:p>
        </w:tc>
        <w:tc>
          <w:tcPr>
            <w:tcW w:w="1607" w:type="dxa"/>
            <w:tcBorders>
              <w:top w:val="nil"/>
            </w:tcBorders>
            <w:vAlign w:val="center"/>
          </w:tcPr>
          <w:p w14:paraId="21BA6CA3"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81.42</w:t>
            </w:r>
          </w:p>
        </w:tc>
        <w:tc>
          <w:tcPr>
            <w:tcW w:w="1709" w:type="dxa"/>
            <w:tcBorders>
              <w:top w:val="nil"/>
            </w:tcBorders>
            <w:vAlign w:val="center"/>
          </w:tcPr>
          <w:p w14:paraId="21BA6CA4"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0.38</w:t>
            </w:r>
          </w:p>
        </w:tc>
      </w:tr>
      <w:tr w:rsidR="00B57F93" w14:paraId="21BA6CAC" w14:textId="77777777">
        <w:trPr>
          <w:cantSplit/>
          <w:trHeight w:val="533"/>
          <w:jc w:val="center"/>
        </w:trPr>
        <w:tc>
          <w:tcPr>
            <w:tcW w:w="1425" w:type="dxa"/>
            <w:vAlign w:val="center"/>
          </w:tcPr>
          <w:p w14:paraId="21BA6CA6" w14:textId="77777777" w:rsidR="00B57F93" w:rsidRDefault="00B57F93">
            <w:pPr>
              <w:spacing w:after="0"/>
              <w:jc w:val="center"/>
              <w:rPr>
                <w:rFonts w:ascii="Arial" w:hAnsi="Arial" w:cs="Arial"/>
                <w:bCs/>
                <w:color w:val="000000" w:themeColor="text1"/>
                <w:sz w:val="20"/>
              </w:rPr>
            </w:pPr>
          </w:p>
        </w:tc>
        <w:tc>
          <w:tcPr>
            <w:tcW w:w="1424" w:type="dxa"/>
            <w:vAlign w:val="center"/>
          </w:tcPr>
          <w:p w14:paraId="21BA6CA7" w14:textId="77777777" w:rsidR="00B57F93" w:rsidRDefault="00000000">
            <w:pPr>
              <w:spacing w:after="0"/>
              <w:jc w:val="center"/>
              <w:rPr>
                <w:rFonts w:ascii="Arial" w:hAnsi="Arial" w:cs="Arial"/>
                <w:bCs/>
                <w:color w:val="000000" w:themeColor="text1"/>
                <w:sz w:val="20"/>
              </w:rPr>
            </w:pPr>
            <w:r>
              <w:rPr>
                <w:rFonts w:ascii="Arial" w:hAnsi="Arial" w:cs="Arial"/>
                <w:bCs/>
                <w:color w:val="000000" w:themeColor="text1"/>
                <w:sz w:val="20"/>
              </w:rPr>
              <w:t>Total</w:t>
            </w:r>
          </w:p>
        </w:tc>
        <w:tc>
          <w:tcPr>
            <w:tcW w:w="1580" w:type="dxa"/>
            <w:vAlign w:val="center"/>
          </w:tcPr>
          <w:p w14:paraId="21BA6CA8"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49.58±5.26</w:t>
            </w:r>
          </w:p>
        </w:tc>
        <w:tc>
          <w:tcPr>
            <w:tcW w:w="1581" w:type="dxa"/>
            <w:vAlign w:val="center"/>
          </w:tcPr>
          <w:p w14:paraId="21BA6CA9"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19.45±2.36</w:t>
            </w:r>
          </w:p>
        </w:tc>
        <w:tc>
          <w:tcPr>
            <w:tcW w:w="1607" w:type="dxa"/>
            <w:vAlign w:val="center"/>
          </w:tcPr>
          <w:p w14:paraId="21BA6CAA"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75.3±4.39</w:t>
            </w:r>
          </w:p>
        </w:tc>
        <w:tc>
          <w:tcPr>
            <w:tcW w:w="1709" w:type="dxa"/>
            <w:vAlign w:val="center"/>
          </w:tcPr>
          <w:p w14:paraId="21BA6CAB" w14:textId="77777777" w:rsidR="00B57F93" w:rsidRDefault="00000000">
            <w:pPr>
              <w:spacing w:after="0"/>
              <w:jc w:val="center"/>
              <w:rPr>
                <w:rFonts w:ascii="Arial" w:hAnsi="Arial" w:cs="Arial"/>
                <w:color w:val="000000" w:themeColor="text1"/>
                <w:sz w:val="20"/>
              </w:rPr>
            </w:pPr>
            <w:r>
              <w:rPr>
                <w:rFonts w:ascii="Arial" w:hAnsi="Arial" w:cs="Arial"/>
                <w:color w:val="000000" w:themeColor="text1"/>
                <w:sz w:val="20"/>
              </w:rPr>
              <w:t>0.41±0.05</w:t>
            </w:r>
          </w:p>
        </w:tc>
      </w:tr>
    </w:tbl>
    <w:p w14:paraId="21BA6CAD" w14:textId="77777777" w:rsidR="00B57F93" w:rsidRDefault="00000000">
      <w:pPr>
        <w:pBdr>
          <w:top w:val="single" w:sz="4" w:space="1" w:color="auto"/>
        </w:pBdr>
        <w:rPr>
          <w:rFonts w:ascii="Arial" w:hAnsi="Arial" w:cs="Arial"/>
          <w:color w:val="000000" w:themeColor="text1"/>
          <w:sz w:val="20"/>
        </w:rPr>
      </w:pPr>
      <w:r>
        <w:rPr>
          <w:rFonts w:ascii="Arial" w:hAnsi="Arial" w:cs="Arial"/>
          <w:color w:val="000000" w:themeColor="text1"/>
          <w:sz w:val="20"/>
        </w:rPr>
        <w:t xml:space="preserve">*Rat No. 1, 2 3 and 4, are from main test group III, Values are expressed as </w:t>
      </w:r>
      <w:proofErr w:type="spellStart"/>
      <w:r>
        <w:rPr>
          <w:rFonts w:ascii="Arial" w:hAnsi="Arial" w:cs="Arial"/>
          <w:color w:val="000000" w:themeColor="text1"/>
          <w:sz w:val="20"/>
        </w:rPr>
        <w:t>Mean±SE</w:t>
      </w:r>
      <w:proofErr w:type="spellEnd"/>
      <w:r>
        <w:rPr>
          <w:rFonts w:ascii="Arial" w:hAnsi="Arial" w:cs="Arial"/>
          <w:color w:val="000000" w:themeColor="text1"/>
          <w:sz w:val="20"/>
        </w:rPr>
        <w:t xml:space="preserve"> </w:t>
      </w:r>
    </w:p>
    <w:p w14:paraId="21BA6CAE" w14:textId="77777777" w:rsidR="00B57F93" w:rsidRDefault="00000000">
      <w:pPr>
        <w:spacing w:after="0" w:line="240" w:lineRule="auto"/>
        <w:rPr>
          <w:rFonts w:ascii="Arial" w:hAnsi="Arial" w:cs="Arial"/>
          <w:b/>
          <w:bCs/>
          <w:color w:val="000000" w:themeColor="text1"/>
          <w:sz w:val="20"/>
        </w:rPr>
      </w:pPr>
      <w:r>
        <w:rPr>
          <w:rFonts w:ascii="Arial" w:hAnsi="Arial" w:cs="Arial"/>
          <w:b/>
          <w:color w:val="000000" w:themeColor="text1"/>
          <w:sz w:val="20"/>
        </w:rPr>
        <w:t xml:space="preserve">Table 4. Mortality records in rats treated with </w:t>
      </w:r>
      <w:proofErr w:type="spellStart"/>
      <w:r>
        <w:rPr>
          <w:rFonts w:ascii="Arial" w:hAnsi="Arial" w:cs="Arial"/>
          <w:b/>
          <w:color w:val="000000" w:themeColor="text1"/>
          <w:sz w:val="20"/>
        </w:rPr>
        <w:t>Exapar</w:t>
      </w:r>
      <w:proofErr w:type="spellEnd"/>
      <w:r>
        <w:rPr>
          <w:rFonts w:ascii="Arial" w:hAnsi="Arial" w:cs="Arial"/>
          <w:b/>
          <w:color w:val="000000" w:themeColor="text1"/>
          <w:sz w:val="20"/>
        </w:rPr>
        <w:t xml:space="preserve"> </w:t>
      </w:r>
      <w:r>
        <w:rPr>
          <w:rFonts w:ascii="Arial" w:hAnsi="Arial" w:cs="Arial"/>
          <w:b/>
          <w:bCs/>
          <w:color w:val="000000" w:themeColor="text1"/>
          <w:sz w:val="20"/>
        </w:rPr>
        <w:t xml:space="preserve">Premix </w:t>
      </w: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
        <w:gridCol w:w="1315"/>
        <w:gridCol w:w="1019"/>
        <w:gridCol w:w="602"/>
        <w:gridCol w:w="518"/>
        <w:gridCol w:w="518"/>
        <w:gridCol w:w="518"/>
        <w:gridCol w:w="518"/>
        <w:gridCol w:w="602"/>
        <w:gridCol w:w="602"/>
        <w:gridCol w:w="1019"/>
        <w:gridCol w:w="1019"/>
      </w:tblGrid>
      <w:tr w:rsidR="00B57F93" w14:paraId="21BA6CB5" w14:textId="77777777">
        <w:trPr>
          <w:trHeight w:val="20"/>
          <w:jc w:val="center"/>
        </w:trPr>
        <w:tc>
          <w:tcPr>
            <w:tcW w:w="807" w:type="dxa"/>
            <w:vMerge w:val="restart"/>
            <w:tcBorders>
              <w:top w:val="single" w:sz="4" w:space="0" w:color="auto"/>
              <w:bottom w:val="single" w:sz="4" w:space="0" w:color="auto"/>
            </w:tcBorders>
          </w:tcPr>
          <w:p w14:paraId="21BA6CAF" w14:textId="77777777" w:rsidR="00B57F93" w:rsidRDefault="00000000">
            <w:pPr>
              <w:spacing w:after="0" w:line="240" w:lineRule="auto"/>
              <w:ind w:left="-92"/>
              <w:jc w:val="both"/>
              <w:rPr>
                <w:rFonts w:ascii="Arial" w:eastAsiaTheme="minorEastAsia" w:hAnsi="Arial" w:cs="Arial"/>
                <w:b/>
                <w:snapToGrid w:val="0"/>
                <w:color w:val="000000" w:themeColor="text1"/>
                <w:kern w:val="2"/>
                <w:sz w:val="20"/>
              </w:rPr>
            </w:pPr>
            <w:r>
              <w:rPr>
                <w:rFonts w:ascii="Arial" w:eastAsiaTheme="minorEastAsia" w:hAnsi="Arial" w:cs="Arial"/>
                <w:b/>
                <w:snapToGrid w:val="0"/>
                <w:color w:val="000000" w:themeColor="text1"/>
                <w:kern w:val="2"/>
                <w:sz w:val="20"/>
              </w:rPr>
              <w:t xml:space="preserve">Group   </w:t>
            </w:r>
            <w:r>
              <w:rPr>
                <w:rFonts w:ascii="Arial" w:eastAsiaTheme="minorEastAsia" w:hAnsi="Arial" w:cs="Arial"/>
                <w:b/>
                <w:snapToGrid w:val="0"/>
                <w:color w:val="000000" w:themeColor="text1"/>
                <w:kern w:val="2"/>
                <w:sz w:val="20"/>
              </w:rPr>
              <w:lastRenderedPageBreak/>
              <w:t>No</w:t>
            </w:r>
          </w:p>
        </w:tc>
        <w:tc>
          <w:tcPr>
            <w:tcW w:w="1315" w:type="dxa"/>
            <w:vMerge w:val="restart"/>
            <w:tcBorders>
              <w:top w:val="single" w:sz="4" w:space="0" w:color="auto"/>
              <w:bottom w:val="single" w:sz="4" w:space="0" w:color="auto"/>
            </w:tcBorders>
          </w:tcPr>
          <w:p w14:paraId="21BA6CB0" w14:textId="77777777" w:rsidR="00B57F93" w:rsidRDefault="00000000">
            <w:pPr>
              <w:spacing w:after="0" w:line="240" w:lineRule="auto"/>
              <w:ind w:left="-92"/>
              <w:jc w:val="both"/>
              <w:rPr>
                <w:rFonts w:ascii="Arial" w:eastAsiaTheme="minorEastAsia" w:hAnsi="Arial" w:cs="Arial"/>
                <w:b/>
                <w:snapToGrid w:val="0"/>
                <w:color w:val="000000" w:themeColor="text1"/>
                <w:kern w:val="2"/>
                <w:sz w:val="20"/>
              </w:rPr>
            </w:pPr>
            <w:r>
              <w:rPr>
                <w:rFonts w:ascii="Arial" w:eastAsiaTheme="minorEastAsia" w:hAnsi="Arial" w:cs="Arial"/>
                <w:b/>
                <w:snapToGrid w:val="0"/>
                <w:color w:val="000000" w:themeColor="text1"/>
                <w:kern w:val="2"/>
                <w:sz w:val="20"/>
              </w:rPr>
              <w:lastRenderedPageBreak/>
              <w:t>Dose</w:t>
            </w:r>
          </w:p>
          <w:p w14:paraId="21BA6CB1" w14:textId="77777777" w:rsidR="00B57F93" w:rsidRDefault="00000000">
            <w:pPr>
              <w:spacing w:after="0" w:line="240" w:lineRule="auto"/>
              <w:ind w:left="-92"/>
              <w:jc w:val="both"/>
              <w:rPr>
                <w:rFonts w:ascii="Arial" w:eastAsiaTheme="minorEastAsia" w:hAnsi="Arial" w:cs="Arial"/>
                <w:b/>
                <w:snapToGrid w:val="0"/>
                <w:color w:val="000000" w:themeColor="text1"/>
                <w:kern w:val="2"/>
                <w:sz w:val="20"/>
              </w:rPr>
            </w:pPr>
            <w:proofErr w:type="spellStart"/>
            <w:r>
              <w:rPr>
                <w:rFonts w:ascii="Arial" w:eastAsiaTheme="minorEastAsia" w:hAnsi="Arial" w:cs="Arial"/>
                <w:b/>
                <w:color w:val="000000" w:themeColor="text1"/>
                <w:sz w:val="20"/>
              </w:rPr>
              <w:lastRenderedPageBreak/>
              <w:t>Exapar</w:t>
            </w:r>
            <w:proofErr w:type="spellEnd"/>
            <w:r>
              <w:rPr>
                <w:rFonts w:ascii="Arial" w:eastAsiaTheme="minorEastAsia" w:hAnsi="Arial" w:cs="Arial"/>
                <w:b/>
                <w:color w:val="000000" w:themeColor="text1"/>
                <w:sz w:val="20"/>
              </w:rPr>
              <w:t xml:space="preserve"> </w:t>
            </w:r>
            <w:r>
              <w:rPr>
                <w:rFonts w:ascii="Arial" w:eastAsiaTheme="minorEastAsia" w:hAnsi="Arial" w:cs="Arial"/>
                <w:b/>
                <w:color w:val="000000" w:themeColor="text1"/>
                <w:kern w:val="2"/>
                <w:sz w:val="20"/>
              </w:rPr>
              <w:t>premix</w:t>
            </w:r>
          </w:p>
        </w:tc>
        <w:tc>
          <w:tcPr>
            <w:tcW w:w="1019" w:type="dxa"/>
            <w:vMerge w:val="restart"/>
            <w:tcBorders>
              <w:top w:val="single" w:sz="4" w:space="0" w:color="auto"/>
              <w:bottom w:val="single" w:sz="4" w:space="0" w:color="auto"/>
            </w:tcBorders>
          </w:tcPr>
          <w:p w14:paraId="21BA6CB2" w14:textId="77777777" w:rsidR="00B57F93" w:rsidRDefault="00000000">
            <w:pPr>
              <w:spacing w:after="0" w:line="240" w:lineRule="auto"/>
              <w:ind w:left="-92"/>
              <w:jc w:val="both"/>
              <w:rPr>
                <w:rFonts w:ascii="Arial" w:eastAsiaTheme="minorEastAsia" w:hAnsi="Arial" w:cs="Arial"/>
                <w:b/>
                <w:snapToGrid w:val="0"/>
                <w:color w:val="000000" w:themeColor="text1"/>
                <w:kern w:val="2"/>
                <w:sz w:val="20"/>
              </w:rPr>
            </w:pPr>
            <w:r>
              <w:rPr>
                <w:rFonts w:ascii="Arial" w:eastAsiaTheme="minorEastAsia" w:hAnsi="Arial" w:cs="Arial"/>
                <w:b/>
                <w:snapToGrid w:val="0"/>
                <w:color w:val="000000" w:themeColor="text1"/>
                <w:kern w:val="2"/>
                <w:sz w:val="20"/>
              </w:rPr>
              <w:lastRenderedPageBreak/>
              <w:t xml:space="preserve">Number </w:t>
            </w:r>
            <w:r>
              <w:rPr>
                <w:rFonts w:ascii="Arial" w:eastAsiaTheme="minorEastAsia" w:hAnsi="Arial" w:cs="Arial"/>
                <w:b/>
                <w:snapToGrid w:val="0"/>
                <w:color w:val="000000" w:themeColor="text1"/>
                <w:kern w:val="2"/>
                <w:sz w:val="20"/>
              </w:rPr>
              <w:lastRenderedPageBreak/>
              <w:t>of animals used</w:t>
            </w:r>
          </w:p>
        </w:tc>
        <w:tc>
          <w:tcPr>
            <w:tcW w:w="3878" w:type="dxa"/>
            <w:gridSpan w:val="7"/>
            <w:tcBorders>
              <w:top w:val="single" w:sz="4" w:space="0" w:color="auto"/>
              <w:bottom w:val="single" w:sz="4" w:space="0" w:color="auto"/>
            </w:tcBorders>
          </w:tcPr>
          <w:p w14:paraId="21BA6CB3" w14:textId="77777777" w:rsidR="00B57F93" w:rsidRDefault="00000000">
            <w:pPr>
              <w:spacing w:after="0" w:line="240" w:lineRule="auto"/>
              <w:ind w:left="-92"/>
              <w:jc w:val="both"/>
              <w:rPr>
                <w:rFonts w:ascii="Arial" w:eastAsiaTheme="minorEastAsia" w:hAnsi="Arial" w:cs="Arial"/>
                <w:b/>
                <w:snapToGrid w:val="0"/>
                <w:color w:val="000000" w:themeColor="text1"/>
                <w:kern w:val="2"/>
                <w:sz w:val="20"/>
              </w:rPr>
            </w:pPr>
            <w:r>
              <w:rPr>
                <w:rFonts w:ascii="Arial" w:eastAsiaTheme="minorEastAsia" w:hAnsi="Arial" w:cs="Arial"/>
                <w:b/>
                <w:snapToGrid w:val="0"/>
                <w:color w:val="000000" w:themeColor="text1"/>
                <w:kern w:val="2"/>
                <w:sz w:val="20"/>
              </w:rPr>
              <w:lastRenderedPageBreak/>
              <w:t>Mortality after Dosing at</w:t>
            </w:r>
          </w:p>
        </w:tc>
        <w:tc>
          <w:tcPr>
            <w:tcW w:w="2038" w:type="dxa"/>
            <w:gridSpan w:val="2"/>
            <w:tcBorders>
              <w:top w:val="single" w:sz="4" w:space="0" w:color="auto"/>
              <w:bottom w:val="single" w:sz="4" w:space="0" w:color="auto"/>
            </w:tcBorders>
          </w:tcPr>
          <w:p w14:paraId="21BA6CB4" w14:textId="77777777" w:rsidR="00B57F93" w:rsidRDefault="00000000">
            <w:pPr>
              <w:spacing w:after="0" w:line="240" w:lineRule="auto"/>
              <w:ind w:left="-92"/>
              <w:jc w:val="both"/>
              <w:rPr>
                <w:rFonts w:ascii="Arial" w:eastAsiaTheme="minorEastAsia" w:hAnsi="Arial" w:cs="Arial"/>
                <w:b/>
                <w:snapToGrid w:val="0"/>
                <w:color w:val="000000" w:themeColor="text1"/>
                <w:kern w:val="2"/>
                <w:sz w:val="20"/>
              </w:rPr>
            </w:pPr>
            <w:r>
              <w:rPr>
                <w:rFonts w:ascii="Arial" w:eastAsiaTheme="minorEastAsia" w:hAnsi="Arial" w:cs="Arial"/>
                <w:b/>
                <w:snapToGrid w:val="0"/>
                <w:color w:val="000000" w:themeColor="text1"/>
                <w:kern w:val="2"/>
                <w:sz w:val="20"/>
              </w:rPr>
              <w:t xml:space="preserve">Mortality </w:t>
            </w:r>
          </w:p>
        </w:tc>
      </w:tr>
      <w:tr w:rsidR="00B57F93" w14:paraId="21BA6CC7" w14:textId="77777777">
        <w:trPr>
          <w:trHeight w:val="20"/>
          <w:jc w:val="center"/>
        </w:trPr>
        <w:tc>
          <w:tcPr>
            <w:tcW w:w="807" w:type="dxa"/>
            <w:vMerge/>
            <w:tcBorders>
              <w:top w:val="single" w:sz="4" w:space="0" w:color="auto"/>
              <w:bottom w:val="single" w:sz="4" w:space="0" w:color="auto"/>
            </w:tcBorders>
          </w:tcPr>
          <w:p w14:paraId="21BA6CB6" w14:textId="77777777" w:rsidR="00B57F93" w:rsidRDefault="00B57F93">
            <w:pPr>
              <w:spacing w:after="0" w:line="240" w:lineRule="auto"/>
              <w:ind w:left="-92"/>
              <w:jc w:val="both"/>
              <w:rPr>
                <w:rFonts w:ascii="Arial" w:eastAsiaTheme="minorEastAsia" w:hAnsi="Arial" w:cs="Arial"/>
                <w:bCs/>
                <w:snapToGrid w:val="0"/>
                <w:color w:val="000000" w:themeColor="text1"/>
                <w:kern w:val="2"/>
                <w:sz w:val="20"/>
              </w:rPr>
            </w:pPr>
          </w:p>
        </w:tc>
        <w:tc>
          <w:tcPr>
            <w:tcW w:w="1315" w:type="dxa"/>
            <w:vMerge/>
            <w:tcBorders>
              <w:top w:val="single" w:sz="4" w:space="0" w:color="auto"/>
              <w:bottom w:val="single" w:sz="4" w:space="0" w:color="auto"/>
            </w:tcBorders>
          </w:tcPr>
          <w:p w14:paraId="21BA6CB7" w14:textId="77777777" w:rsidR="00B57F93" w:rsidRDefault="00B57F93">
            <w:pPr>
              <w:spacing w:after="0" w:line="240" w:lineRule="auto"/>
              <w:ind w:left="-92"/>
              <w:jc w:val="both"/>
              <w:rPr>
                <w:rFonts w:ascii="Arial" w:eastAsiaTheme="minorEastAsia" w:hAnsi="Arial" w:cs="Arial"/>
                <w:bCs/>
                <w:snapToGrid w:val="0"/>
                <w:color w:val="000000" w:themeColor="text1"/>
                <w:kern w:val="2"/>
                <w:sz w:val="20"/>
              </w:rPr>
            </w:pPr>
          </w:p>
        </w:tc>
        <w:tc>
          <w:tcPr>
            <w:tcW w:w="1019" w:type="dxa"/>
            <w:vMerge/>
            <w:tcBorders>
              <w:top w:val="single" w:sz="4" w:space="0" w:color="auto"/>
              <w:bottom w:val="single" w:sz="4" w:space="0" w:color="auto"/>
            </w:tcBorders>
          </w:tcPr>
          <w:p w14:paraId="21BA6CB8" w14:textId="77777777" w:rsidR="00B57F93" w:rsidRDefault="00B57F93">
            <w:pPr>
              <w:spacing w:after="0" w:line="240" w:lineRule="auto"/>
              <w:ind w:left="-92"/>
              <w:jc w:val="both"/>
              <w:rPr>
                <w:rFonts w:ascii="Arial" w:eastAsiaTheme="minorEastAsia" w:hAnsi="Arial" w:cs="Arial"/>
                <w:bCs/>
                <w:snapToGrid w:val="0"/>
                <w:color w:val="000000" w:themeColor="text1"/>
                <w:kern w:val="2"/>
                <w:sz w:val="20"/>
              </w:rPr>
            </w:pPr>
          </w:p>
        </w:tc>
        <w:tc>
          <w:tcPr>
            <w:tcW w:w="602" w:type="dxa"/>
            <w:tcBorders>
              <w:top w:val="single" w:sz="4" w:space="0" w:color="auto"/>
              <w:bottom w:val="single" w:sz="4" w:space="0" w:color="auto"/>
            </w:tcBorders>
          </w:tcPr>
          <w:p w14:paraId="21BA6CB9"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 xml:space="preserve">1-3 </w:t>
            </w:r>
          </w:p>
          <w:p w14:paraId="21BA6CBA"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proofErr w:type="spellStart"/>
            <w:r>
              <w:rPr>
                <w:rFonts w:ascii="Arial" w:eastAsiaTheme="minorEastAsia" w:hAnsi="Arial" w:cs="Arial"/>
                <w:bCs/>
                <w:snapToGrid w:val="0"/>
                <w:color w:val="000000" w:themeColor="text1"/>
                <w:kern w:val="2"/>
                <w:sz w:val="20"/>
              </w:rPr>
              <w:t>hr</w:t>
            </w:r>
            <w:proofErr w:type="spellEnd"/>
          </w:p>
        </w:tc>
        <w:tc>
          <w:tcPr>
            <w:tcW w:w="518" w:type="dxa"/>
            <w:tcBorders>
              <w:top w:val="single" w:sz="4" w:space="0" w:color="auto"/>
              <w:bottom w:val="single" w:sz="4" w:space="0" w:color="auto"/>
            </w:tcBorders>
          </w:tcPr>
          <w:p w14:paraId="21BA6CBB"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 xml:space="preserve">6 </w:t>
            </w:r>
          </w:p>
          <w:p w14:paraId="21BA6CBC"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proofErr w:type="spellStart"/>
            <w:r>
              <w:rPr>
                <w:rFonts w:ascii="Arial" w:eastAsiaTheme="minorEastAsia" w:hAnsi="Arial" w:cs="Arial"/>
                <w:bCs/>
                <w:snapToGrid w:val="0"/>
                <w:color w:val="000000" w:themeColor="text1"/>
                <w:kern w:val="2"/>
                <w:sz w:val="20"/>
              </w:rPr>
              <w:t>hr</w:t>
            </w:r>
            <w:proofErr w:type="spellEnd"/>
          </w:p>
        </w:tc>
        <w:tc>
          <w:tcPr>
            <w:tcW w:w="518" w:type="dxa"/>
            <w:tcBorders>
              <w:top w:val="single" w:sz="4" w:space="0" w:color="auto"/>
              <w:bottom w:val="single" w:sz="4" w:space="0" w:color="auto"/>
            </w:tcBorders>
          </w:tcPr>
          <w:p w14:paraId="21BA6CBD"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 xml:space="preserve">24 </w:t>
            </w:r>
          </w:p>
          <w:p w14:paraId="21BA6CBE"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proofErr w:type="spellStart"/>
            <w:r>
              <w:rPr>
                <w:rFonts w:ascii="Arial" w:eastAsiaTheme="minorEastAsia" w:hAnsi="Arial" w:cs="Arial"/>
                <w:bCs/>
                <w:snapToGrid w:val="0"/>
                <w:color w:val="000000" w:themeColor="text1"/>
                <w:kern w:val="2"/>
                <w:sz w:val="20"/>
              </w:rPr>
              <w:t>hr</w:t>
            </w:r>
            <w:proofErr w:type="spellEnd"/>
          </w:p>
        </w:tc>
        <w:tc>
          <w:tcPr>
            <w:tcW w:w="518" w:type="dxa"/>
            <w:tcBorders>
              <w:top w:val="single" w:sz="4" w:space="0" w:color="auto"/>
              <w:bottom w:val="single" w:sz="4" w:space="0" w:color="auto"/>
            </w:tcBorders>
          </w:tcPr>
          <w:p w14:paraId="21BA6CBF"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 xml:space="preserve">48 </w:t>
            </w:r>
          </w:p>
          <w:p w14:paraId="21BA6CC0"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proofErr w:type="spellStart"/>
            <w:r>
              <w:rPr>
                <w:rFonts w:ascii="Arial" w:eastAsiaTheme="minorEastAsia" w:hAnsi="Arial" w:cs="Arial"/>
                <w:bCs/>
                <w:snapToGrid w:val="0"/>
                <w:color w:val="000000" w:themeColor="text1"/>
                <w:kern w:val="2"/>
                <w:sz w:val="20"/>
              </w:rPr>
              <w:t>hr</w:t>
            </w:r>
            <w:proofErr w:type="spellEnd"/>
          </w:p>
        </w:tc>
        <w:tc>
          <w:tcPr>
            <w:tcW w:w="518" w:type="dxa"/>
            <w:tcBorders>
              <w:top w:val="single" w:sz="4" w:space="0" w:color="auto"/>
              <w:bottom w:val="single" w:sz="4" w:space="0" w:color="auto"/>
            </w:tcBorders>
          </w:tcPr>
          <w:p w14:paraId="21BA6CC1"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 xml:space="preserve">72 </w:t>
            </w:r>
          </w:p>
          <w:p w14:paraId="21BA6CC2"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proofErr w:type="spellStart"/>
            <w:r>
              <w:rPr>
                <w:rFonts w:ascii="Arial" w:eastAsiaTheme="minorEastAsia" w:hAnsi="Arial" w:cs="Arial"/>
                <w:bCs/>
                <w:snapToGrid w:val="0"/>
                <w:color w:val="000000" w:themeColor="text1"/>
                <w:kern w:val="2"/>
                <w:sz w:val="20"/>
              </w:rPr>
              <w:t>hr</w:t>
            </w:r>
            <w:proofErr w:type="spellEnd"/>
          </w:p>
        </w:tc>
        <w:tc>
          <w:tcPr>
            <w:tcW w:w="602" w:type="dxa"/>
            <w:tcBorders>
              <w:top w:val="single" w:sz="4" w:space="0" w:color="auto"/>
              <w:bottom w:val="single" w:sz="4" w:space="0" w:color="auto"/>
            </w:tcBorders>
          </w:tcPr>
          <w:p w14:paraId="21BA6CC3"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4-7 Days</w:t>
            </w:r>
          </w:p>
        </w:tc>
        <w:tc>
          <w:tcPr>
            <w:tcW w:w="602" w:type="dxa"/>
            <w:tcBorders>
              <w:top w:val="single" w:sz="4" w:space="0" w:color="auto"/>
              <w:bottom w:val="single" w:sz="4" w:space="0" w:color="auto"/>
            </w:tcBorders>
          </w:tcPr>
          <w:p w14:paraId="21BA6CC4"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8-14 Days</w:t>
            </w:r>
          </w:p>
        </w:tc>
        <w:tc>
          <w:tcPr>
            <w:tcW w:w="1019" w:type="dxa"/>
            <w:tcBorders>
              <w:top w:val="single" w:sz="4" w:space="0" w:color="auto"/>
              <w:bottom w:val="single" w:sz="4" w:space="0" w:color="auto"/>
            </w:tcBorders>
          </w:tcPr>
          <w:p w14:paraId="21BA6CC5"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Total mortality</w:t>
            </w:r>
          </w:p>
        </w:tc>
        <w:tc>
          <w:tcPr>
            <w:tcW w:w="1019" w:type="dxa"/>
            <w:tcBorders>
              <w:top w:val="single" w:sz="4" w:space="0" w:color="auto"/>
              <w:bottom w:val="single" w:sz="4" w:space="0" w:color="auto"/>
            </w:tcBorders>
          </w:tcPr>
          <w:p w14:paraId="21BA6CC6" w14:textId="77777777" w:rsidR="00B57F93" w:rsidRDefault="00000000">
            <w:pPr>
              <w:spacing w:after="0" w:line="240" w:lineRule="auto"/>
              <w:ind w:left="-92"/>
              <w:jc w:val="both"/>
              <w:rPr>
                <w:rFonts w:ascii="Arial" w:eastAsiaTheme="minorEastAsia" w:hAnsi="Arial" w:cs="Arial"/>
                <w:bCs/>
                <w:snapToGrid w:val="0"/>
                <w:color w:val="000000" w:themeColor="text1"/>
                <w:kern w:val="2"/>
                <w:sz w:val="20"/>
              </w:rPr>
            </w:pPr>
            <w:r>
              <w:rPr>
                <w:rFonts w:ascii="Arial" w:eastAsiaTheme="minorEastAsia" w:hAnsi="Arial" w:cs="Arial"/>
                <w:bCs/>
                <w:snapToGrid w:val="0"/>
                <w:color w:val="000000" w:themeColor="text1"/>
                <w:kern w:val="2"/>
                <w:sz w:val="20"/>
              </w:rPr>
              <w:t>Mortality %</w:t>
            </w:r>
          </w:p>
        </w:tc>
      </w:tr>
      <w:tr w:rsidR="00B57F93" w14:paraId="21BA6CDC" w14:textId="77777777">
        <w:trPr>
          <w:trHeight w:val="20"/>
          <w:jc w:val="center"/>
        </w:trPr>
        <w:tc>
          <w:tcPr>
            <w:tcW w:w="807" w:type="dxa"/>
            <w:tcBorders>
              <w:top w:val="single" w:sz="4" w:space="0" w:color="auto"/>
              <w:bottom w:val="nil"/>
            </w:tcBorders>
          </w:tcPr>
          <w:p w14:paraId="21BA6CC8"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I</w:t>
            </w:r>
          </w:p>
          <w:p w14:paraId="21BA6CC9"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315" w:type="dxa"/>
            <w:tcBorders>
              <w:top w:val="single" w:sz="4" w:space="0" w:color="auto"/>
              <w:bottom w:val="nil"/>
            </w:tcBorders>
          </w:tcPr>
          <w:p w14:paraId="21BA6CCA"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300mg/kg</w:t>
            </w:r>
          </w:p>
          <w:p w14:paraId="21BA6CCB"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Sighting study</w:t>
            </w:r>
          </w:p>
        </w:tc>
        <w:tc>
          <w:tcPr>
            <w:tcW w:w="1019" w:type="dxa"/>
            <w:tcBorders>
              <w:top w:val="single" w:sz="4" w:space="0" w:color="auto"/>
              <w:bottom w:val="nil"/>
            </w:tcBorders>
          </w:tcPr>
          <w:p w14:paraId="21BA6CCC"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1</w:t>
            </w:r>
          </w:p>
          <w:p w14:paraId="21BA6CCD"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602" w:type="dxa"/>
            <w:tcBorders>
              <w:top w:val="single" w:sz="4" w:space="0" w:color="auto"/>
              <w:bottom w:val="nil"/>
            </w:tcBorders>
          </w:tcPr>
          <w:p w14:paraId="21BA6CCE"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CF"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single" w:sz="4" w:space="0" w:color="auto"/>
              <w:bottom w:val="nil"/>
            </w:tcBorders>
          </w:tcPr>
          <w:p w14:paraId="21BA6CD0"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D1"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single" w:sz="4" w:space="0" w:color="auto"/>
              <w:bottom w:val="nil"/>
            </w:tcBorders>
          </w:tcPr>
          <w:p w14:paraId="21BA6CD2"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D3"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single" w:sz="4" w:space="0" w:color="auto"/>
              <w:bottom w:val="nil"/>
            </w:tcBorders>
          </w:tcPr>
          <w:p w14:paraId="21BA6CD4"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518" w:type="dxa"/>
            <w:tcBorders>
              <w:top w:val="single" w:sz="4" w:space="0" w:color="auto"/>
              <w:bottom w:val="nil"/>
            </w:tcBorders>
          </w:tcPr>
          <w:p w14:paraId="21BA6CD5"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602" w:type="dxa"/>
            <w:tcBorders>
              <w:top w:val="single" w:sz="4" w:space="0" w:color="auto"/>
              <w:bottom w:val="nil"/>
            </w:tcBorders>
          </w:tcPr>
          <w:p w14:paraId="21BA6CD6"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602" w:type="dxa"/>
            <w:tcBorders>
              <w:top w:val="single" w:sz="4" w:space="0" w:color="auto"/>
              <w:bottom w:val="nil"/>
            </w:tcBorders>
          </w:tcPr>
          <w:p w14:paraId="21BA6CD7"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1019" w:type="dxa"/>
            <w:tcBorders>
              <w:top w:val="single" w:sz="4" w:space="0" w:color="auto"/>
              <w:bottom w:val="nil"/>
            </w:tcBorders>
          </w:tcPr>
          <w:p w14:paraId="21BA6CD8"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Nil</w:t>
            </w:r>
          </w:p>
          <w:p w14:paraId="21BA6CD9"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019" w:type="dxa"/>
            <w:tcBorders>
              <w:top w:val="single" w:sz="4" w:space="0" w:color="auto"/>
              <w:bottom w:val="nil"/>
            </w:tcBorders>
          </w:tcPr>
          <w:p w14:paraId="21BA6CDA"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Nil</w:t>
            </w:r>
          </w:p>
          <w:p w14:paraId="21BA6CDB"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r>
      <w:tr w:rsidR="00B57F93" w14:paraId="21BA6CF1" w14:textId="77777777">
        <w:trPr>
          <w:trHeight w:val="20"/>
          <w:jc w:val="center"/>
        </w:trPr>
        <w:tc>
          <w:tcPr>
            <w:tcW w:w="807" w:type="dxa"/>
            <w:tcBorders>
              <w:top w:val="nil"/>
              <w:bottom w:val="nil"/>
            </w:tcBorders>
          </w:tcPr>
          <w:p w14:paraId="21BA6CDD"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II</w:t>
            </w:r>
          </w:p>
          <w:p w14:paraId="21BA6CDE"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315" w:type="dxa"/>
            <w:tcBorders>
              <w:top w:val="nil"/>
              <w:bottom w:val="nil"/>
            </w:tcBorders>
          </w:tcPr>
          <w:p w14:paraId="21BA6CDF"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2000mg/kg</w:t>
            </w:r>
          </w:p>
          <w:p w14:paraId="21BA6CE0"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Sighting study</w:t>
            </w:r>
          </w:p>
        </w:tc>
        <w:tc>
          <w:tcPr>
            <w:tcW w:w="1019" w:type="dxa"/>
            <w:tcBorders>
              <w:top w:val="nil"/>
              <w:bottom w:val="nil"/>
            </w:tcBorders>
          </w:tcPr>
          <w:p w14:paraId="21BA6CE1"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1</w:t>
            </w:r>
          </w:p>
          <w:p w14:paraId="21BA6CE2"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602" w:type="dxa"/>
            <w:tcBorders>
              <w:top w:val="nil"/>
              <w:bottom w:val="nil"/>
            </w:tcBorders>
          </w:tcPr>
          <w:p w14:paraId="21BA6CE3"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E4"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nil"/>
            </w:tcBorders>
          </w:tcPr>
          <w:p w14:paraId="21BA6CE5"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E6"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nil"/>
            </w:tcBorders>
          </w:tcPr>
          <w:p w14:paraId="21BA6CE7"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E8"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nil"/>
            </w:tcBorders>
          </w:tcPr>
          <w:p w14:paraId="21BA6CE9"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518" w:type="dxa"/>
            <w:tcBorders>
              <w:top w:val="nil"/>
              <w:bottom w:val="nil"/>
            </w:tcBorders>
          </w:tcPr>
          <w:p w14:paraId="21BA6CEA"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602" w:type="dxa"/>
            <w:tcBorders>
              <w:top w:val="nil"/>
              <w:bottom w:val="nil"/>
            </w:tcBorders>
          </w:tcPr>
          <w:p w14:paraId="21BA6CEB"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602" w:type="dxa"/>
            <w:tcBorders>
              <w:top w:val="nil"/>
              <w:bottom w:val="nil"/>
            </w:tcBorders>
          </w:tcPr>
          <w:p w14:paraId="21BA6CEC"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w:t>
            </w:r>
          </w:p>
        </w:tc>
        <w:tc>
          <w:tcPr>
            <w:tcW w:w="1019" w:type="dxa"/>
            <w:tcBorders>
              <w:top w:val="nil"/>
              <w:bottom w:val="nil"/>
            </w:tcBorders>
          </w:tcPr>
          <w:p w14:paraId="21BA6CED"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Nil</w:t>
            </w:r>
          </w:p>
          <w:p w14:paraId="21BA6CEE"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019" w:type="dxa"/>
            <w:tcBorders>
              <w:top w:val="nil"/>
              <w:bottom w:val="nil"/>
            </w:tcBorders>
          </w:tcPr>
          <w:p w14:paraId="21BA6CEF"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Nil</w:t>
            </w:r>
          </w:p>
          <w:p w14:paraId="21BA6CF0"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r>
      <w:tr w:rsidR="00B57F93" w14:paraId="21BA6D09" w14:textId="77777777">
        <w:trPr>
          <w:trHeight w:val="20"/>
          <w:jc w:val="center"/>
        </w:trPr>
        <w:tc>
          <w:tcPr>
            <w:tcW w:w="807" w:type="dxa"/>
            <w:tcBorders>
              <w:top w:val="nil"/>
              <w:bottom w:val="single" w:sz="4" w:space="0" w:color="auto"/>
            </w:tcBorders>
          </w:tcPr>
          <w:p w14:paraId="21BA6CF2"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III</w:t>
            </w:r>
          </w:p>
          <w:p w14:paraId="21BA6CF3"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315" w:type="dxa"/>
            <w:tcBorders>
              <w:top w:val="nil"/>
              <w:bottom w:val="single" w:sz="4" w:space="0" w:color="auto"/>
            </w:tcBorders>
          </w:tcPr>
          <w:p w14:paraId="21BA6CF4"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2000mg/kg</w:t>
            </w:r>
          </w:p>
          <w:p w14:paraId="21BA6CF5"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Main study</w:t>
            </w:r>
          </w:p>
        </w:tc>
        <w:tc>
          <w:tcPr>
            <w:tcW w:w="1019" w:type="dxa"/>
            <w:tcBorders>
              <w:top w:val="nil"/>
              <w:bottom w:val="single" w:sz="4" w:space="0" w:color="auto"/>
            </w:tcBorders>
          </w:tcPr>
          <w:p w14:paraId="21BA6CF6"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4</w:t>
            </w:r>
          </w:p>
        </w:tc>
        <w:tc>
          <w:tcPr>
            <w:tcW w:w="602" w:type="dxa"/>
            <w:tcBorders>
              <w:top w:val="nil"/>
              <w:bottom w:val="single" w:sz="4" w:space="0" w:color="auto"/>
            </w:tcBorders>
          </w:tcPr>
          <w:p w14:paraId="21BA6CF7"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F8"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single" w:sz="4" w:space="0" w:color="auto"/>
            </w:tcBorders>
          </w:tcPr>
          <w:p w14:paraId="21BA6CF9"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FA"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single" w:sz="4" w:space="0" w:color="auto"/>
            </w:tcBorders>
          </w:tcPr>
          <w:p w14:paraId="21BA6CFB"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FC"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single" w:sz="4" w:space="0" w:color="auto"/>
            </w:tcBorders>
          </w:tcPr>
          <w:p w14:paraId="21BA6CFD"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CFE"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518" w:type="dxa"/>
            <w:tcBorders>
              <w:top w:val="nil"/>
              <w:bottom w:val="single" w:sz="4" w:space="0" w:color="auto"/>
            </w:tcBorders>
          </w:tcPr>
          <w:p w14:paraId="21BA6CFF"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D00"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602" w:type="dxa"/>
            <w:tcBorders>
              <w:top w:val="nil"/>
              <w:bottom w:val="single" w:sz="4" w:space="0" w:color="auto"/>
            </w:tcBorders>
          </w:tcPr>
          <w:p w14:paraId="21BA6D01"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D02"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602" w:type="dxa"/>
            <w:tcBorders>
              <w:top w:val="nil"/>
              <w:bottom w:val="single" w:sz="4" w:space="0" w:color="auto"/>
            </w:tcBorders>
          </w:tcPr>
          <w:p w14:paraId="21BA6D03"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No</w:t>
            </w:r>
          </w:p>
          <w:p w14:paraId="21BA6D04"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019" w:type="dxa"/>
            <w:tcBorders>
              <w:top w:val="nil"/>
              <w:bottom w:val="single" w:sz="4" w:space="0" w:color="auto"/>
            </w:tcBorders>
          </w:tcPr>
          <w:p w14:paraId="21BA6D05"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Nil</w:t>
            </w:r>
          </w:p>
          <w:p w14:paraId="21BA6D06"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c>
          <w:tcPr>
            <w:tcW w:w="1019" w:type="dxa"/>
            <w:tcBorders>
              <w:top w:val="nil"/>
              <w:bottom w:val="single" w:sz="4" w:space="0" w:color="auto"/>
            </w:tcBorders>
          </w:tcPr>
          <w:p w14:paraId="21BA6D07" w14:textId="77777777" w:rsidR="00B57F93" w:rsidRDefault="00000000">
            <w:pPr>
              <w:spacing w:after="0" w:line="240" w:lineRule="auto"/>
              <w:ind w:left="-92"/>
              <w:jc w:val="both"/>
              <w:rPr>
                <w:rFonts w:ascii="Arial" w:eastAsiaTheme="minorEastAsia" w:hAnsi="Arial" w:cs="Arial"/>
                <w:snapToGrid w:val="0"/>
                <w:color w:val="000000" w:themeColor="text1"/>
                <w:kern w:val="2"/>
                <w:sz w:val="20"/>
              </w:rPr>
            </w:pPr>
            <w:r>
              <w:rPr>
                <w:rFonts w:ascii="Arial" w:eastAsiaTheme="minorEastAsia" w:hAnsi="Arial" w:cs="Arial"/>
                <w:snapToGrid w:val="0"/>
                <w:color w:val="000000" w:themeColor="text1"/>
                <w:kern w:val="2"/>
                <w:sz w:val="20"/>
              </w:rPr>
              <w:t>Nil</w:t>
            </w:r>
          </w:p>
          <w:p w14:paraId="21BA6D08" w14:textId="77777777" w:rsidR="00B57F93" w:rsidRDefault="00B57F93">
            <w:pPr>
              <w:spacing w:after="0" w:line="240" w:lineRule="auto"/>
              <w:ind w:left="-92"/>
              <w:jc w:val="both"/>
              <w:rPr>
                <w:rFonts w:ascii="Arial" w:eastAsiaTheme="minorEastAsia" w:hAnsi="Arial" w:cs="Arial"/>
                <w:snapToGrid w:val="0"/>
                <w:color w:val="000000" w:themeColor="text1"/>
                <w:kern w:val="2"/>
                <w:sz w:val="20"/>
              </w:rPr>
            </w:pPr>
          </w:p>
        </w:tc>
      </w:tr>
    </w:tbl>
    <w:p w14:paraId="21BA6D0A" w14:textId="77777777" w:rsidR="00B57F93" w:rsidRDefault="00000000">
      <w:pPr>
        <w:spacing w:after="0" w:line="240" w:lineRule="auto"/>
        <w:jc w:val="center"/>
        <w:rPr>
          <w:rFonts w:ascii="Arial" w:hAnsi="Arial" w:cs="Arial"/>
          <w:i/>
          <w:iCs/>
          <w:color w:val="000000" w:themeColor="text1"/>
          <w:sz w:val="18"/>
          <w:szCs w:val="18"/>
        </w:rPr>
      </w:pPr>
      <w:r>
        <w:rPr>
          <w:rFonts w:ascii="Arial" w:hAnsi="Arial" w:cs="Arial"/>
          <w:i/>
          <w:iCs/>
          <w:color w:val="000000" w:themeColor="text1"/>
          <w:sz w:val="18"/>
          <w:szCs w:val="18"/>
        </w:rPr>
        <w:t>Key: No= No mortality</w:t>
      </w:r>
    </w:p>
    <w:p w14:paraId="21BA6D0B" w14:textId="77777777" w:rsidR="00B57F93" w:rsidRDefault="00B57F93">
      <w:pPr>
        <w:spacing w:after="0" w:line="240" w:lineRule="auto"/>
        <w:jc w:val="center"/>
        <w:rPr>
          <w:rFonts w:ascii="Arial" w:hAnsi="Arial" w:cs="Arial"/>
          <w:i/>
          <w:iCs/>
          <w:color w:val="000000" w:themeColor="text1"/>
          <w:sz w:val="18"/>
          <w:szCs w:val="18"/>
        </w:rPr>
      </w:pPr>
    </w:p>
    <w:p w14:paraId="21BA6D0C" w14:textId="77777777" w:rsidR="00B57F93" w:rsidRDefault="00000000">
      <w:pPr>
        <w:spacing w:line="240" w:lineRule="auto"/>
        <w:ind w:firstLine="720"/>
        <w:jc w:val="both"/>
        <w:rPr>
          <w:rFonts w:ascii="Arial" w:hAnsi="Arial" w:cs="Arial"/>
          <w:color w:val="000000" w:themeColor="text1"/>
        </w:rPr>
      </w:pPr>
      <w:r>
        <w:rPr>
          <w:rFonts w:ascii="Arial" w:hAnsi="Arial" w:cs="Arial"/>
          <w:color w:val="000000" w:themeColor="text1"/>
          <w:sz w:val="20"/>
        </w:rPr>
        <w:t>During the observation period, no adverse clinical signs such as death, tremors, abnormal respiratory patterns (including abdominal breathing), piloerection, convulsions, excessive salivation, lethargy or coma were noted. Additionally, gross and histopathological evaluations of vital organs, viz. heart, liver, kidneys and lungs, showed no significant pathological changes that could be linked to the adverse effect of test substance (Figure 1).</w:t>
      </w:r>
    </w:p>
    <w:p w14:paraId="21BA6D0D" w14:textId="77777777" w:rsidR="00B57F93" w:rsidRDefault="00000000">
      <w:pPr>
        <w:jc w:val="center"/>
        <w:rPr>
          <w:rFonts w:ascii="Arial" w:hAnsi="Arial" w:cs="Arial"/>
          <w:color w:val="000000" w:themeColor="text1"/>
        </w:rPr>
      </w:pPr>
      <w:r>
        <w:rPr>
          <w:noProof/>
          <w:lang w:val="en-IN" w:eastAsia="en-IN" w:bidi="ar-SA"/>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1751330</wp:posOffset>
                </wp:positionV>
                <wp:extent cx="251460" cy="251460"/>
                <wp:effectExtent l="0" t="0" r="0" b="0"/>
                <wp:wrapNone/>
                <wp:docPr id="8" name="Text Box 8"/>
                <wp:cNvGraphicFramePr/>
                <a:graphic xmlns:a="http://schemas.openxmlformats.org/drawingml/2006/main">
                  <a:graphicData uri="http://schemas.microsoft.com/office/word/2010/wordprocessingShape">
                    <wps:wsp>
                      <wps:cNvSpPr txBox="1"/>
                      <wps:spPr bwMode="auto">
                        <a:xfrm>
                          <a:off x="0" y="0"/>
                          <a:ext cx="251460" cy="251460"/>
                        </a:xfrm>
                        <a:prstGeom prst="rect">
                          <a:avLst/>
                        </a:prstGeom>
                        <a:noFill/>
                        <a:ln>
                          <a:noFill/>
                        </a:ln>
                      </wps:spPr>
                      <wps:txbx>
                        <w:txbxContent>
                          <w:p w14:paraId="21BA6D5F" w14:textId="77777777" w:rsidR="00B57F93" w:rsidRDefault="00000000">
                            <w:pPr>
                              <w:rPr>
                                <w:b/>
                                <w:bCs/>
                                <w:lang w:val="en-IN"/>
                              </w:rPr>
                            </w:pPr>
                            <w:r>
                              <w:rPr>
                                <w:b/>
                                <w:bCs/>
                                <w:lang w:val="en-IN"/>
                              </w:rPr>
                              <w:t>B</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9.8pt;margin-top:137.9pt;width:19.8pt;height:1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" filled="f" stroked="f">
                <v:textbox>
                  <w:txbxContent>
                    <w:p w14:paraId="21BA6D5F" w14:textId="77777777" w:rsidR="00B57F93" w:rsidRDefault="00000000">
                      <w:pPr>
                        <w:rPr>
                          <w:b/>
                          <w:bCs/>
                          <w:lang w:val="en-IN"/>
                        </w:rPr>
                      </w:pPr>
                      <w:r>
                        <w:rPr>
                          <w:b/>
                          <w:bCs/>
                          <w:lang w:val="en-IN"/>
                        </w:rPr>
                        <w:t>B</w:t>
                      </w:r>
                    </w:p>
                  </w:txbxContent>
                </v:textbox>
              </v:shape>
            </w:pict>
          </mc:Fallback>
        </mc:AlternateContent>
      </w:r>
      <w:r>
        <w:rPr>
          <w:noProof/>
          <w:lang w:val="en-IN" w:eastAsia="en-IN" w:bidi="ar-SA"/>
        </w:rPr>
        <mc:AlternateContent>
          <mc:Choice Requires="wps">
            <w:drawing>
              <wp:anchor distT="0" distB="0" distL="114300" distR="114300" simplePos="0" relativeHeight="251661312" behindDoc="0" locked="0" layoutInCell="1" allowOverlap="1">
                <wp:simplePos x="0" y="0"/>
                <wp:positionH relativeFrom="column">
                  <wp:posOffset>314960</wp:posOffset>
                </wp:positionH>
                <wp:positionV relativeFrom="paragraph">
                  <wp:posOffset>1751330</wp:posOffset>
                </wp:positionV>
                <wp:extent cx="251460" cy="251460"/>
                <wp:effectExtent l="0" t="0" r="0" b="0"/>
                <wp:wrapNone/>
                <wp:docPr id="7" name="Text Box 7"/>
                <wp:cNvGraphicFramePr/>
                <a:graphic xmlns:a="http://schemas.openxmlformats.org/drawingml/2006/main">
                  <a:graphicData uri="http://schemas.microsoft.com/office/word/2010/wordprocessingShape">
                    <wps:wsp>
                      <wps:cNvSpPr txBox="1"/>
                      <wps:spPr bwMode="auto">
                        <a:xfrm>
                          <a:off x="0" y="0"/>
                          <a:ext cx="251460" cy="251460"/>
                        </a:xfrm>
                        <a:prstGeom prst="rect">
                          <a:avLst/>
                        </a:prstGeom>
                        <a:noFill/>
                        <a:ln>
                          <a:noFill/>
                        </a:ln>
                      </wps:spPr>
                      <wps:txbx>
                        <w:txbxContent>
                          <w:p w14:paraId="21BA6D60" w14:textId="77777777" w:rsidR="00B57F93" w:rsidRDefault="00000000">
                            <w:pPr>
                              <w:rPr>
                                <w:b/>
                                <w:bCs/>
                              </w:rPr>
                            </w:pPr>
                            <w:r>
                              <w:rPr>
                                <w:b/>
                                <w:bCs/>
                              </w:rPr>
                              <w:t>A</w:t>
                            </w:r>
                          </w:p>
                        </w:txbxContent>
                      </wps:txbx>
                      <wps:bodyPr rot="0" vert="horz" wrap="square" lIns="91440" tIns="45720" rIns="91440" bIns="45720" anchor="t" anchorCtr="0" upright="1">
                        <a:noAutofit/>
                      </wps:bodyPr>
                    </wps:wsp>
                  </a:graphicData>
                </a:graphic>
              </wp:anchor>
            </w:drawing>
          </mc:Choice>
          <mc:Fallback>
            <w:pict>
              <v:shape id="Text Box 7" o:spid="_x0000_s1027" type="#_x0000_t202" style="position:absolute;left:0;text-align:left;margin-left:24.8pt;margin-top:137.9pt;width:19.8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" filled="f" stroked="f">
                <v:textbox>
                  <w:txbxContent>
                    <w:p w14:paraId="21BA6D60" w14:textId="77777777" w:rsidR="00B57F93" w:rsidRDefault="00000000">
                      <w:pPr>
                        <w:rPr>
                          <w:b/>
                          <w:bCs/>
                        </w:rPr>
                      </w:pPr>
                      <w:r>
                        <w:rPr>
                          <w:b/>
                          <w:bCs/>
                        </w:rPr>
                        <w:t>A</w:t>
                      </w:r>
                    </w:p>
                  </w:txbxContent>
                </v:textbox>
              </v:shape>
            </w:pict>
          </mc:Fallback>
        </mc:AlternateContent>
      </w:r>
      <w:r>
        <w:rPr>
          <w:noProof/>
          <w:color w:val="000000" w:themeColor="text1"/>
          <w:lang w:val="en-IN" w:eastAsia="en-IN" w:bidi="ar-SA"/>
        </w:rPr>
        <w:drawing>
          <wp:inline distT="0" distB="0" distL="0" distR="0">
            <wp:extent cx="2476500" cy="20574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76500" cy="2057400"/>
                    </a:xfrm>
                    <a:prstGeom prst="rect">
                      <a:avLst/>
                    </a:prstGeom>
                    <a:noFill/>
                    <a:ln>
                      <a:noFill/>
                    </a:ln>
                  </pic:spPr>
                </pic:pic>
              </a:graphicData>
            </a:graphic>
          </wp:inline>
        </w:drawing>
      </w:r>
      <w:r>
        <w:rPr>
          <w:noProof/>
          <w:color w:val="000000" w:themeColor="text1"/>
          <w:lang w:val="en-IN" w:eastAsia="en-IN" w:bidi="ar-SA"/>
        </w:rPr>
        <w:drawing>
          <wp:inline distT="0" distB="0" distL="0" distR="0">
            <wp:extent cx="2495550" cy="205740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95550" cy="2057400"/>
                    </a:xfrm>
                    <a:prstGeom prst="rect">
                      <a:avLst/>
                    </a:prstGeom>
                    <a:noFill/>
                    <a:ln>
                      <a:noFill/>
                    </a:ln>
                  </pic:spPr>
                </pic:pic>
              </a:graphicData>
            </a:graphic>
          </wp:inline>
        </w:drawing>
      </w:r>
    </w:p>
    <w:p w14:paraId="21BA6D0E" w14:textId="77777777" w:rsidR="00B57F93" w:rsidRDefault="00000000">
      <w:pPr>
        <w:jc w:val="center"/>
        <w:rPr>
          <w:rFonts w:ascii="Arial" w:hAnsi="Arial" w:cs="Arial"/>
          <w:color w:val="000000" w:themeColor="text1"/>
        </w:rPr>
      </w:pPr>
      <w:r>
        <w:rPr>
          <w:noProof/>
          <w:lang w:val="en-IN" w:eastAsia="en-IN" w:bidi="ar-SA"/>
        </w:rPr>
        <mc:AlternateContent>
          <mc:Choice Requires="wps">
            <w:drawing>
              <wp:anchor distT="0" distB="0" distL="114300" distR="114300" simplePos="0" relativeHeight="251664384" behindDoc="0" locked="0" layoutInCell="1" allowOverlap="1">
                <wp:simplePos x="0" y="0"/>
                <wp:positionH relativeFrom="column">
                  <wp:posOffset>2918460</wp:posOffset>
                </wp:positionH>
                <wp:positionV relativeFrom="paragraph">
                  <wp:posOffset>1789430</wp:posOffset>
                </wp:positionV>
                <wp:extent cx="251460" cy="251460"/>
                <wp:effectExtent l="0" t="0" r="0" b="0"/>
                <wp:wrapNone/>
                <wp:docPr id="6" name="Text Box 6"/>
                <wp:cNvGraphicFramePr/>
                <a:graphic xmlns:a="http://schemas.openxmlformats.org/drawingml/2006/main">
                  <a:graphicData uri="http://schemas.microsoft.com/office/word/2010/wordprocessingShape">
                    <wps:wsp>
                      <wps:cNvSpPr txBox="1"/>
                      <wps:spPr bwMode="auto">
                        <a:xfrm>
                          <a:off x="0" y="0"/>
                          <a:ext cx="251460" cy="251460"/>
                        </a:xfrm>
                        <a:prstGeom prst="rect">
                          <a:avLst/>
                        </a:prstGeom>
                        <a:noFill/>
                        <a:ln>
                          <a:noFill/>
                        </a:ln>
                      </wps:spPr>
                      <wps:txbx>
                        <w:txbxContent>
                          <w:p w14:paraId="21BA6D61" w14:textId="77777777" w:rsidR="00B57F93" w:rsidRDefault="00000000">
                            <w:pPr>
                              <w:rPr>
                                <w:b/>
                                <w:bCs/>
                                <w:lang w:val="en-IN"/>
                              </w:rPr>
                            </w:pPr>
                            <w:r>
                              <w:rPr>
                                <w:b/>
                                <w:bCs/>
                                <w:lang w:val="en-IN"/>
                              </w:rPr>
                              <w:t>D</w:t>
                            </w:r>
                          </w:p>
                        </w:txbxContent>
                      </wps:txbx>
                      <wps:bodyPr rot="0" vert="horz" wrap="square" lIns="91440" tIns="45720" rIns="91440" bIns="45720" anchor="t" anchorCtr="0" upright="1">
                        <a:noAutofit/>
                      </wps:bodyPr>
                    </wps:wsp>
                  </a:graphicData>
                </a:graphic>
              </wp:anchor>
            </w:drawing>
          </mc:Choice>
          <mc:Fallback>
            <w:pict>
              <v:shape id="Text Box 6" o:spid="_x0000_s1028" type="#_x0000_t202" style="position:absolute;left:0;text-align:left;margin-left:229.8pt;margin-top:140.9pt;width:19.8pt;height:19.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" filled="f" stroked="f">
                <v:textbox>
                  <w:txbxContent>
                    <w:p w14:paraId="21BA6D61" w14:textId="77777777" w:rsidR="00B57F93" w:rsidRDefault="00000000">
                      <w:pPr>
                        <w:rPr>
                          <w:b/>
                          <w:bCs/>
                          <w:lang w:val="en-IN"/>
                        </w:rPr>
                      </w:pPr>
                      <w:r>
                        <w:rPr>
                          <w:b/>
                          <w:bCs/>
                          <w:lang w:val="en-IN"/>
                        </w:rPr>
                        <w:t>D</w:t>
                      </w:r>
                    </w:p>
                  </w:txbxContent>
                </v:textbox>
              </v:shape>
            </w:pict>
          </mc:Fallback>
        </mc:AlternateContent>
      </w:r>
      <w:r>
        <w:rPr>
          <w:noProof/>
          <w:lang w:val="en-IN" w:eastAsia="en-IN" w:bidi="ar-SA"/>
        </w:rPr>
        <mc:AlternateContent>
          <mc:Choice Requires="wps">
            <w:drawing>
              <wp:anchor distT="0" distB="0" distL="114300" distR="114300" simplePos="0" relativeHeight="251663360" behindDoc="0" locked="0" layoutInCell="1" allowOverlap="1">
                <wp:simplePos x="0" y="0"/>
                <wp:positionH relativeFrom="column">
                  <wp:posOffset>314960</wp:posOffset>
                </wp:positionH>
                <wp:positionV relativeFrom="paragraph">
                  <wp:posOffset>1789430</wp:posOffset>
                </wp:positionV>
                <wp:extent cx="251460" cy="251460"/>
                <wp:effectExtent l="0" t="0" r="0" b="0"/>
                <wp:wrapNone/>
                <wp:docPr id="1" name="Text Box 1"/>
                <wp:cNvGraphicFramePr/>
                <a:graphic xmlns:a="http://schemas.openxmlformats.org/drawingml/2006/main">
                  <a:graphicData uri="http://schemas.microsoft.com/office/word/2010/wordprocessingShape">
                    <wps:wsp>
                      <wps:cNvSpPr txBox="1"/>
                      <wps:spPr bwMode="auto">
                        <a:xfrm>
                          <a:off x="0" y="0"/>
                          <a:ext cx="251460" cy="251460"/>
                        </a:xfrm>
                        <a:prstGeom prst="rect">
                          <a:avLst/>
                        </a:prstGeom>
                        <a:noFill/>
                        <a:ln>
                          <a:noFill/>
                        </a:ln>
                      </wps:spPr>
                      <wps:txbx>
                        <w:txbxContent>
                          <w:p w14:paraId="21BA6D62" w14:textId="77777777" w:rsidR="00B57F93" w:rsidRDefault="00000000">
                            <w:pPr>
                              <w:rPr>
                                <w:b/>
                                <w:bCs/>
                                <w:lang w:val="en-IN"/>
                              </w:rPr>
                            </w:pPr>
                            <w:r>
                              <w:rPr>
                                <w:b/>
                                <w:bCs/>
                                <w:lang w:val="en-IN"/>
                              </w:rPr>
                              <w:t>C</w:t>
                            </w:r>
                          </w:p>
                        </w:txbxContent>
                      </wps:txbx>
                      <wps:bodyPr rot="0" vert="horz" wrap="square" lIns="91440" tIns="45720" rIns="91440" bIns="45720" anchor="t" anchorCtr="0" upright="1">
                        <a:noAutofit/>
                      </wps:bodyPr>
                    </wps:wsp>
                  </a:graphicData>
                </a:graphic>
              </wp:anchor>
            </w:drawing>
          </mc:Choice>
          <mc:Fallback>
            <w:pict>
              <v:shape id="Text Box 1" o:spid="_x0000_s1029" type="#_x0000_t202" style="position:absolute;left:0;text-align:left;margin-left:24.8pt;margin-top:140.9pt;width:19.8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" filled="f" stroked="f">
                <v:textbox>
                  <w:txbxContent>
                    <w:p w14:paraId="21BA6D62" w14:textId="77777777" w:rsidR="00B57F93" w:rsidRDefault="00000000">
                      <w:pPr>
                        <w:rPr>
                          <w:b/>
                          <w:bCs/>
                          <w:lang w:val="en-IN"/>
                        </w:rPr>
                      </w:pPr>
                      <w:r>
                        <w:rPr>
                          <w:b/>
                          <w:bCs/>
                          <w:lang w:val="en-IN"/>
                        </w:rPr>
                        <w:t>C</w:t>
                      </w:r>
                    </w:p>
                  </w:txbxContent>
                </v:textbox>
              </v:shape>
            </w:pict>
          </mc:Fallback>
        </mc:AlternateContent>
      </w:r>
      <w:r>
        <w:rPr>
          <w:noProof/>
          <w:color w:val="000000" w:themeColor="text1"/>
          <w:lang w:val="en-IN" w:eastAsia="en-IN" w:bidi="ar-SA"/>
        </w:rPr>
        <w:drawing>
          <wp:inline distT="0" distB="0" distL="0" distR="0">
            <wp:extent cx="2524125" cy="203835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24125" cy="2038350"/>
                    </a:xfrm>
                    <a:prstGeom prst="rect">
                      <a:avLst/>
                    </a:prstGeom>
                    <a:noFill/>
                    <a:ln>
                      <a:noFill/>
                    </a:ln>
                  </pic:spPr>
                </pic:pic>
              </a:graphicData>
            </a:graphic>
          </wp:inline>
        </w:drawing>
      </w:r>
      <w:r>
        <w:rPr>
          <w:rFonts w:ascii="Arial" w:hAnsi="Arial" w:cs="Arial"/>
          <w:noProof/>
          <w:color w:val="000000" w:themeColor="text1"/>
          <w:lang w:val="en-IN" w:eastAsia="en-IN" w:bidi="ar-SA"/>
        </w:rPr>
        <w:drawing>
          <wp:inline distT="0" distB="0" distL="0" distR="0">
            <wp:extent cx="2495550" cy="205740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95550" cy="2057400"/>
                    </a:xfrm>
                    <a:prstGeom prst="rect">
                      <a:avLst/>
                    </a:prstGeom>
                    <a:noFill/>
                    <a:ln>
                      <a:noFill/>
                    </a:ln>
                  </pic:spPr>
                </pic:pic>
              </a:graphicData>
            </a:graphic>
          </wp:inline>
        </w:drawing>
      </w:r>
    </w:p>
    <w:p w14:paraId="21BA6D0F" w14:textId="77777777" w:rsidR="00B57F93" w:rsidRDefault="00000000">
      <w:pPr>
        <w:rPr>
          <w:rFonts w:ascii="Arial" w:hAnsi="Arial" w:cs="Arial"/>
          <w:b/>
          <w:bCs/>
          <w:color w:val="000000" w:themeColor="text1"/>
          <w:sz w:val="20"/>
        </w:rPr>
      </w:pPr>
      <w:r>
        <w:rPr>
          <w:rFonts w:ascii="Arial" w:hAnsi="Arial" w:cs="Arial"/>
          <w:b/>
          <w:bCs/>
          <w:color w:val="000000" w:themeColor="text1"/>
          <w:kern w:val="2"/>
          <w:sz w:val="20"/>
        </w:rPr>
        <w:t xml:space="preserve">Fig 1 Histopathological observations of tissue sections showing normal histoarchitecture of Heart (A), Kidney (B), Lung (C) and Liver (D) from group III rats received </w:t>
      </w:r>
      <w:proofErr w:type="spellStart"/>
      <w:r>
        <w:rPr>
          <w:rFonts w:ascii="Arial" w:hAnsi="Arial" w:cs="Arial"/>
          <w:b/>
          <w:bCs/>
          <w:color w:val="000000" w:themeColor="text1"/>
          <w:sz w:val="20"/>
        </w:rPr>
        <w:t>Exapar</w:t>
      </w:r>
      <w:proofErr w:type="spellEnd"/>
      <w:r>
        <w:rPr>
          <w:rFonts w:ascii="Arial" w:hAnsi="Arial" w:cs="Arial"/>
          <w:b/>
          <w:bCs/>
          <w:color w:val="000000" w:themeColor="text1"/>
          <w:sz w:val="20"/>
        </w:rPr>
        <w:t xml:space="preserve"> </w:t>
      </w:r>
      <w:r>
        <w:rPr>
          <w:rFonts w:ascii="Arial" w:hAnsi="Arial" w:cs="Arial"/>
          <w:b/>
          <w:bCs/>
          <w:color w:val="000000" w:themeColor="text1"/>
          <w:sz w:val="20"/>
          <w:szCs w:val="18"/>
        </w:rPr>
        <w:t>Premix</w:t>
      </w:r>
      <w:r>
        <w:rPr>
          <w:rFonts w:ascii="Arial" w:hAnsi="Arial" w:cs="Arial"/>
          <w:b/>
          <w:bCs/>
          <w:color w:val="000000" w:themeColor="text1"/>
          <w:sz w:val="20"/>
        </w:rPr>
        <w:t xml:space="preserve"> formulation @2000mg/kg BW</w:t>
      </w:r>
    </w:p>
    <w:p w14:paraId="21BA6D10" w14:textId="77777777" w:rsidR="00B57F93" w:rsidRDefault="00000000">
      <w:pPr>
        <w:spacing w:line="240" w:lineRule="auto"/>
        <w:ind w:firstLine="720"/>
        <w:jc w:val="both"/>
        <w:rPr>
          <w:rFonts w:ascii="Arial" w:hAnsi="Arial" w:cs="Arial"/>
          <w:color w:val="000000" w:themeColor="text1"/>
          <w:sz w:val="20"/>
        </w:rPr>
      </w:pP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w:t>
      </w:r>
      <w:r>
        <w:rPr>
          <w:rFonts w:ascii="Arial" w:hAnsi="Arial" w:cs="Arial"/>
          <w:color w:val="000000" w:themeColor="text1"/>
          <w:sz w:val="20"/>
          <w:szCs w:val="18"/>
        </w:rPr>
        <w:t xml:space="preserve">Premix </w:t>
      </w:r>
      <w:r>
        <w:rPr>
          <w:rFonts w:ascii="Arial" w:hAnsi="Arial" w:cs="Arial"/>
          <w:color w:val="000000" w:themeColor="text1"/>
          <w:sz w:val="20"/>
        </w:rPr>
        <w:t xml:space="preserve">is a polyherbal formulation composed of medicinal plant extracts, including </w:t>
      </w:r>
      <w:r>
        <w:rPr>
          <w:rFonts w:ascii="Arial" w:hAnsi="Arial" w:cs="Arial"/>
          <w:i/>
          <w:iCs/>
          <w:color w:val="000000" w:themeColor="text1"/>
          <w:sz w:val="20"/>
        </w:rPr>
        <w:t xml:space="preserve">Plumbago zeylanica, Aloe </w:t>
      </w:r>
      <w:proofErr w:type="spellStart"/>
      <w:r>
        <w:rPr>
          <w:rFonts w:ascii="Arial" w:hAnsi="Arial" w:cs="Arial"/>
          <w:i/>
          <w:iCs/>
          <w:color w:val="000000" w:themeColor="text1"/>
          <w:sz w:val="20"/>
        </w:rPr>
        <w:t>barbadensis</w:t>
      </w:r>
      <w:proofErr w:type="spellEnd"/>
      <w:r>
        <w:rPr>
          <w:rFonts w:ascii="Arial" w:hAnsi="Arial" w:cs="Arial"/>
          <w:i/>
          <w:iCs/>
          <w:color w:val="000000" w:themeColor="text1"/>
          <w:sz w:val="20"/>
        </w:rPr>
        <w:t>,</w:t>
      </w:r>
      <w:r>
        <w:rPr>
          <w:color w:val="000000" w:themeColor="text1"/>
        </w:rPr>
        <w:t xml:space="preserve"> </w:t>
      </w:r>
      <w:r>
        <w:rPr>
          <w:rFonts w:ascii="Arial" w:hAnsi="Arial" w:cs="Arial"/>
          <w:i/>
          <w:iCs/>
          <w:color w:val="000000" w:themeColor="text1"/>
          <w:sz w:val="20"/>
        </w:rPr>
        <w:t>piper longum</w:t>
      </w:r>
      <w:r>
        <w:rPr>
          <w:rFonts w:ascii="Arial" w:hAnsi="Arial" w:cs="Arial"/>
          <w:color w:val="000000" w:themeColor="text1"/>
          <w:sz w:val="20"/>
        </w:rPr>
        <w:t xml:space="preserve"> and </w:t>
      </w:r>
      <w:r>
        <w:rPr>
          <w:rFonts w:ascii="Arial" w:hAnsi="Arial" w:cs="Arial"/>
          <w:i/>
          <w:iCs/>
          <w:color w:val="000000" w:themeColor="text1"/>
          <w:sz w:val="20"/>
          <w:szCs w:val="18"/>
        </w:rPr>
        <w:t xml:space="preserve">Lepidium sativum </w:t>
      </w:r>
      <w:r>
        <w:rPr>
          <w:rFonts w:ascii="Arial" w:hAnsi="Arial" w:cs="Arial"/>
          <w:color w:val="000000" w:themeColor="text1"/>
          <w:sz w:val="20"/>
        </w:rPr>
        <w:t>along with other therapeutic herbs. These botanical constituents are well-documented for their safety and pharmacological efficacy. The formulation is considered non-toxic when administered at practical dose levels, which are much more below its LD</w:t>
      </w:r>
      <w:r>
        <w:rPr>
          <w:rFonts w:ascii="Cambria Math" w:hAnsi="Cambria Math" w:cs="Cambria Math"/>
          <w:color w:val="000000" w:themeColor="text1"/>
          <w:sz w:val="20"/>
        </w:rPr>
        <w:t>₅₀</w:t>
      </w:r>
      <w:r>
        <w:rPr>
          <w:rFonts w:ascii="Arial" w:hAnsi="Arial" w:cs="Arial"/>
          <w:color w:val="000000" w:themeColor="text1"/>
          <w:sz w:val="20"/>
        </w:rPr>
        <w:t xml:space="preserve"> (LD</w:t>
      </w:r>
      <w:r>
        <w:rPr>
          <w:rFonts w:ascii="Cambria Math" w:hAnsi="Cambria Math" w:cs="Cambria Math"/>
          <w:color w:val="000000" w:themeColor="text1"/>
          <w:sz w:val="20"/>
        </w:rPr>
        <w:t>₅₀&gt;2000mg/kg)</w:t>
      </w:r>
      <w:r>
        <w:rPr>
          <w:rFonts w:ascii="Arial" w:hAnsi="Arial" w:cs="Arial"/>
          <w:color w:val="000000" w:themeColor="text1"/>
          <w:sz w:val="20"/>
        </w:rPr>
        <w:t xml:space="preserve">.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serves as an oral herbal uterine cleanser and restorative, specifically designed to facilitate the expulsion of retained fetal membranes, regulate </w:t>
      </w:r>
      <w:proofErr w:type="spellStart"/>
      <w:r>
        <w:rPr>
          <w:rFonts w:ascii="Arial" w:hAnsi="Arial" w:cs="Arial"/>
          <w:color w:val="000000" w:themeColor="text1"/>
          <w:sz w:val="20"/>
        </w:rPr>
        <w:t>lochial</w:t>
      </w:r>
      <w:proofErr w:type="spellEnd"/>
      <w:r>
        <w:rPr>
          <w:rFonts w:ascii="Arial" w:hAnsi="Arial" w:cs="Arial"/>
          <w:color w:val="000000" w:themeColor="text1"/>
          <w:sz w:val="20"/>
        </w:rPr>
        <w:t xml:space="preserve"> discharge and correct delayed uterine involution. Additionally, it enhances local immune function, minimizes the risk of postpartum reproductive disorders and </w:t>
      </w:r>
      <w:r>
        <w:rPr>
          <w:rFonts w:ascii="Arial" w:hAnsi="Arial" w:cs="Arial"/>
          <w:color w:val="000000" w:themeColor="text1"/>
          <w:sz w:val="20"/>
        </w:rPr>
        <w:lastRenderedPageBreak/>
        <w:t xml:space="preserve">supports optimal uterine recovery post-calving, as reported by Adenuga et al. (2024) and </w:t>
      </w:r>
      <w:proofErr w:type="spellStart"/>
      <w:r>
        <w:rPr>
          <w:rFonts w:ascii="Arial" w:hAnsi="Arial" w:cs="Arial"/>
          <w:color w:val="000000" w:themeColor="text1"/>
          <w:sz w:val="20"/>
        </w:rPr>
        <w:t>Koppad</w:t>
      </w:r>
      <w:proofErr w:type="spellEnd"/>
      <w:r>
        <w:rPr>
          <w:rFonts w:ascii="Arial" w:hAnsi="Arial" w:cs="Arial"/>
          <w:color w:val="000000" w:themeColor="text1"/>
          <w:sz w:val="20"/>
        </w:rPr>
        <w:t xml:space="preserve"> KK et al. (2009). Dhakal (1999) reported that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effectively aided expulsion of retained placenta in cows and buffaloes, either alone or with antibiotics. Treated animals showed improved conception rates (72% in cows, 55% in buffaloes) compared to controls, suggesting </w:t>
      </w:r>
      <w:proofErr w:type="spellStart"/>
      <w:r>
        <w:rPr>
          <w:rFonts w:ascii="Arial" w:hAnsi="Arial" w:cs="Arial"/>
          <w:color w:val="000000" w:themeColor="text1"/>
          <w:sz w:val="20"/>
        </w:rPr>
        <w:t>Exapar</w:t>
      </w:r>
      <w:proofErr w:type="spellEnd"/>
      <w:r>
        <w:rPr>
          <w:rFonts w:ascii="Arial" w:hAnsi="Arial" w:cs="Arial"/>
          <w:color w:val="000000" w:themeColor="text1"/>
          <w:sz w:val="20"/>
        </w:rPr>
        <w:t>® as a useful herbal uterotonic for managing retained placenta and enhancing fertility [17].</w:t>
      </w:r>
    </w:p>
    <w:p w14:paraId="21BA6D11" w14:textId="77777777" w:rsidR="00B57F93" w:rsidRDefault="00000000">
      <w:pPr>
        <w:spacing w:line="240" w:lineRule="auto"/>
        <w:jc w:val="both"/>
        <w:rPr>
          <w:rFonts w:ascii="Arial" w:hAnsi="Arial" w:cs="Arial"/>
          <w:b/>
          <w:bCs/>
          <w:color w:val="000000" w:themeColor="text1"/>
        </w:rPr>
      </w:pPr>
      <w:r>
        <w:rPr>
          <w:rFonts w:ascii="Arial" w:hAnsi="Arial" w:cs="Arial"/>
          <w:b/>
          <w:bCs/>
          <w:color w:val="000000" w:themeColor="text1"/>
        </w:rPr>
        <w:t xml:space="preserve">4. CONCLUSION </w:t>
      </w:r>
    </w:p>
    <w:p w14:paraId="21BA6D12" w14:textId="77777777" w:rsidR="00B57F93" w:rsidRDefault="00000000">
      <w:pPr>
        <w:spacing w:line="240" w:lineRule="auto"/>
        <w:ind w:firstLine="720"/>
        <w:jc w:val="both"/>
        <w:rPr>
          <w:rFonts w:ascii="Arial" w:hAnsi="Arial" w:cs="Arial"/>
          <w:color w:val="000000" w:themeColor="text1"/>
          <w:sz w:val="20"/>
        </w:rPr>
      </w:pPr>
      <w:r>
        <w:rPr>
          <w:rFonts w:ascii="Arial" w:hAnsi="Arial" w:cs="Arial"/>
          <w:color w:val="000000" w:themeColor="text1"/>
          <w:sz w:val="20"/>
        </w:rPr>
        <w:t xml:space="preserve">The present </w:t>
      </w:r>
      <w:proofErr w:type="gramStart"/>
      <w:r>
        <w:rPr>
          <w:rFonts w:ascii="Arial" w:hAnsi="Arial" w:cs="Arial"/>
          <w:color w:val="000000" w:themeColor="text1"/>
          <w:sz w:val="20"/>
        </w:rPr>
        <w:t>study  demonstrated</w:t>
      </w:r>
      <w:proofErr w:type="gramEnd"/>
      <w:r>
        <w:rPr>
          <w:rFonts w:ascii="Arial" w:hAnsi="Arial" w:cs="Arial"/>
          <w:color w:val="000000" w:themeColor="text1"/>
          <w:sz w:val="20"/>
        </w:rPr>
        <w:t xml:space="preserve"> </w:t>
      </w:r>
      <w:proofErr w:type="gramStart"/>
      <w:r>
        <w:rPr>
          <w:rFonts w:ascii="Arial" w:hAnsi="Arial" w:cs="Arial"/>
          <w:color w:val="000000" w:themeColor="text1"/>
          <w:sz w:val="20"/>
        </w:rPr>
        <w:t xml:space="preserve">that  </w:t>
      </w:r>
      <w:proofErr w:type="spellStart"/>
      <w:r>
        <w:rPr>
          <w:rFonts w:ascii="Arial" w:hAnsi="Arial" w:cs="Arial"/>
          <w:color w:val="000000" w:themeColor="text1"/>
          <w:sz w:val="20"/>
        </w:rPr>
        <w:t>Exapar</w:t>
      </w:r>
      <w:proofErr w:type="spellEnd"/>
      <w:proofErr w:type="gramEnd"/>
      <w:r>
        <w:rPr>
          <w:rFonts w:ascii="Arial" w:hAnsi="Arial" w:cs="Arial"/>
          <w:color w:val="000000" w:themeColor="text1"/>
          <w:sz w:val="20"/>
        </w:rPr>
        <w:t xml:space="preserve"> Premix upon oral dosing did not induce acute toxicity, even at the highest tested dose of 2000 mg/kg body weight in Wistar rats. This conclusion is supported by the absence of mortality, clinical signs of toxicity and any significant gross or histopathological alterations in vital organs. Based on these findings,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Premix can be considered safe for oral administration with no observed adverse effects.</w:t>
      </w:r>
    </w:p>
    <w:p w14:paraId="21BA6D13" w14:textId="77777777" w:rsidR="00B57F93" w:rsidRDefault="00B57F93">
      <w:pPr>
        <w:spacing w:line="240" w:lineRule="auto"/>
        <w:jc w:val="both"/>
        <w:rPr>
          <w:rFonts w:ascii="Arial" w:hAnsi="Arial" w:cs="Arial"/>
          <w:b/>
          <w:bCs/>
          <w:color w:val="000000" w:themeColor="text1"/>
        </w:rPr>
      </w:pPr>
    </w:p>
    <w:p w14:paraId="21BA6D14" w14:textId="77777777" w:rsidR="00B57F93" w:rsidRDefault="00000000">
      <w:pPr>
        <w:spacing w:line="240" w:lineRule="auto"/>
        <w:jc w:val="both"/>
        <w:rPr>
          <w:rFonts w:ascii="Arial" w:hAnsi="Arial" w:cs="Arial"/>
          <w:color w:val="000000" w:themeColor="text1"/>
        </w:rPr>
      </w:pPr>
      <w:r>
        <w:rPr>
          <w:rFonts w:ascii="Arial" w:hAnsi="Arial" w:cs="Arial"/>
          <w:b/>
          <w:bCs/>
          <w:color w:val="000000" w:themeColor="text1"/>
        </w:rPr>
        <w:t>ETHICAL APPROVAL</w:t>
      </w:r>
    </w:p>
    <w:p w14:paraId="21BA6D15" w14:textId="77777777" w:rsidR="00B57F93" w:rsidRDefault="00000000">
      <w:pPr>
        <w:spacing w:line="240" w:lineRule="auto"/>
        <w:ind w:firstLine="720"/>
        <w:jc w:val="both"/>
        <w:rPr>
          <w:rFonts w:ascii="Arial" w:hAnsi="Arial" w:cs="Arial"/>
          <w:color w:val="000000" w:themeColor="text1"/>
          <w:sz w:val="20"/>
        </w:rPr>
      </w:pPr>
      <w:r>
        <w:rPr>
          <w:rFonts w:ascii="Arial" w:hAnsi="Arial" w:cs="Arial"/>
          <w:color w:val="000000" w:themeColor="text1"/>
          <w:sz w:val="20"/>
        </w:rPr>
        <w:t>All experimental procedures involving animals were conducted in compliance with the Standard Operating Procedures (SOPs) of the Institutional Animal Ethics Committee (IAEC) and the regulations set forth by the Committee for the Control and Supervision of Experiments on Animals (CCSEA). Prior to the commencement of the study, the research protocol received ethical approval from the IAEC of PGIVAS, Akola (Approval No. 312/01/2000/03/22, dated 08.04.2022), under the registration 312/GO/</w:t>
      </w:r>
      <w:proofErr w:type="spellStart"/>
      <w:r>
        <w:rPr>
          <w:rFonts w:ascii="Arial" w:hAnsi="Arial" w:cs="Arial"/>
          <w:color w:val="000000" w:themeColor="text1"/>
          <w:sz w:val="20"/>
        </w:rPr>
        <w:t>ReBi</w:t>
      </w:r>
      <w:proofErr w:type="spellEnd"/>
      <w:r>
        <w:rPr>
          <w:rFonts w:ascii="Arial" w:hAnsi="Arial" w:cs="Arial"/>
          <w:color w:val="000000" w:themeColor="text1"/>
          <w:sz w:val="20"/>
        </w:rPr>
        <w:t>/2000/CPCSEA.</w:t>
      </w:r>
    </w:p>
    <w:p w14:paraId="21BA6D16" w14:textId="77777777" w:rsidR="00B57F93" w:rsidRDefault="00B57F93">
      <w:pPr>
        <w:spacing w:line="240" w:lineRule="auto"/>
        <w:ind w:firstLine="720"/>
        <w:jc w:val="both"/>
        <w:rPr>
          <w:rFonts w:ascii="Arial" w:hAnsi="Arial" w:cs="Arial"/>
          <w:color w:val="000000" w:themeColor="text1"/>
          <w:sz w:val="20"/>
        </w:rPr>
      </w:pPr>
    </w:p>
    <w:p w14:paraId="21BA6D17" w14:textId="77777777" w:rsidR="00B57F93" w:rsidRDefault="00000000">
      <w:pPr>
        <w:jc w:val="both"/>
        <w:outlineLvl w:val="0"/>
        <w:rPr>
          <w:rFonts w:ascii="Arial" w:hAnsi="Arial" w:cs="Arial"/>
        </w:rPr>
      </w:pPr>
      <w:r>
        <w:rPr>
          <w:rFonts w:ascii="Arial" w:hAnsi="Arial" w:cs="Arial"/>
          <w:b/>
          <w:bCs/>
        </w:rPr>
        <w:t>COMPETING INTERESTS DISCLAIMER:</w:t>
      </w:r>
    </w:p>
    <w:p w14:paraId="6FC2446E" w14:textId="77777777" w:rsidR="00465BF9" w:rsidRDefault="00000000">
      <w:r>
        <w:t>Authors have declared that they have no known competing financial interests OR non-financial interests OR personal relationships that could have appeared to influence the work reported in this paper.</w:t>
      </w:r>
    </w:p>
    <w:p w14:paraId="3E164650" w14:textId="77777777" w:rsidR="00465BF9" w:rsidRDefault="00465BF9" w:rsidP="00465BF9">
      <w:r>
        <w:t>Disclaimer (Artificial intelligence)</w:t>
      </w:r>
    </w:p>
    <w:p w14:paraId="21BA6D18" w14:textId="60170FB4" w:rsidR="00B57F93" w:rsidRDefault="00000000">
      <w:r>
        <w:t xml:space="preserve"> Also, author(s) hereby declare that NO generative AI technologies such as Large Language Models (ChatGPT, COPILOT, etc.) and text-to-image generators have been used during the writing or editing of this manuscript</w:t>
      </w:r>
    </w:p>
    <w:p w14:paraId="21BA6D19" w14:textId="77777777" w:rsidR="00B57F93" w:rsidRDefault="00B57F93">
      <w:pPr>
        <w:spacing w:line="240" w:lineRule="auto"/>
        <w:ind w:firstLine="720"/>
        <w:jc w:val="both"/>
        <w:rPr>
          <w:rFonts w:ascii="Arial" w:hAnsi="Arial" w:cs="Arial"/>
          <w:color w:val="000000" w:themeColor="text1"/>
          <w:sz w:val="20"/>
        </w:rPr>
      </w:pPr>
    </w:p>
    <w:p w14:paraId="21BA6D1A" w14:textId="77777777" w:rsidR="00B57F93" w:rsidRDefault="00000000">
      <w:pPr>
        <w:pStyle w:val="ReferHead"/>
        <w:spacing w:after="0"/>
        <w:jc w:val="both"/>
        <w:rPr>
          <w:rFonts w:ascii="Arial" w:hAnsi="Arial" w:cs="Arial"/>
          <w:color w:val="000000" w:themeColor="text1"/>
        </w:rPr>
      </w:pPr>
      <w:r>
        <w:rPr>
          <w:rFonts w:ascii="Arial" w:hAnsi="Arial" w:cs="Arial"/>
          <w:color w:val="000000" w:themeColor="text1"/>
        </w:rPr>
        <w:t>References</w:t>
      </w:r>
    </w:p>
    <w:p w14:paraId="21BA6D1B" w14:textId="77777777" w:rsidR="00B57F93" w:rsidRDefault="00B57F93">
      <w:pPr>
        <w:ind w:firstLine="720"/>
        <w:rPr>
          <w:rFonts w:ascii="Arial" w:hAnsi="Arial" w:cs="Arial"/>
          <w:color w:val="000000" w:themeColor="text1"/>
        </w:rPr>
      </w:pPr>
    </w:p>
    <w:bookmarkEnd w:id="1"/>
    <w:p w14:paraId="21BA6D1C" w14:textId="77777777" w:rsidR="00B57F93" w:rsidRDefault="00000000">
      <w:pPr>
        <w:pStyle w:val="ListParagraph"/>
        <w:numPr>
          <w:ilvl w:val="0"/>
          <w:numId w:val="1"/>
        </w:numPr>
        <w:rPr>
          <w:rFonts w:ascii="Arial" w:hAnsi="Arial" w:cs="Arial"/>
          <w:color w:val="000000" w:themeColor="text1"/>
          <w:sz w:val="20"/>
        </w:rPr>
      </w:pPr>
      <w:proofErr w:type="spellStart"/>
      <w:r>
        <w:rPr>
          <w:rFonts w:ascii="Arial" w:hAnsi="Arial" w:cs="Arial"/>
          <w:color w:val="000000" w:themeColor="text1"/>
          <w:sz w:val="20"/>
        </w:rPr>
        <w:t>Koppad</w:t>
      </w:r>
      <w:proofErr w:type="spellEnd"/>
      <w:r>
        <w:rPr>
          <w:rFonts w:ascii="Arial" w:hAnsi="Arial" w:cs="Arial"/>
          <w:color w:val="000000" w:themeColor="text1"/>
          <w:sz w:val="20"/>
        </w:rPr>
        <w:t xml:space="preserve"> KK, Hari Babu Y, Ravikanth K, Maini S, </w:t>
      </w:r>
      <w:proofErr w:type="spellStart"/>
      <w:r>
        <w:rPr>
          <w:rFonts w:ascii="Arial" w:hAnsi="Arial" w:cs="Arial"/>
          <w:color w:val="000000" w:themeColor="text1"/>
          <w:sz w:val="20"/>
        </w:rPr>
        <w:t>Rekhe</w:t>
      </w:r>
      <w:proofErr w:type="spellEnd"/>
      <w:r>
        <w:rPr>
          <w:rFonts w:ascii="Arial" w:hAnsi="Arial" w:cs="Arial"/>
          <w:color w:val="000000" w:themeColor="text1"/>
          <w:sz w:val="20"/>
        </w:rPr>
        <w:t xml:space="preserve"> DS, &amp; </w:t>
      </w:r>
      <w:proofErr w:type="spellStart"/>
      <w:r>
        <w:rPr>
          <w:rFonts w:ascii="Arial" w:hAnsi="Arial" w:cs="Arial"/>
          <w:color w:val="000000" w:themeColor="text1"/>
          <w:sz w:val="20"/>
        </w:rPr>
        <w:t>Honnogopal</w:t>
      </w:r>
      <w:proofErr w:type="spellEnd"/>
      <w:r>
        <w:rPr>
          <w:rFonts w:ascii="Arial" w:hAnsi="Arial" w:cs="Arial"/>
          <w:color w:val="000000" w:themeColor="text1"/>
          <w:sz w:val="20"/>
        </w:rPr>
        <w:t xml:space="preserve"> SS. (2009) Polyherbal formulation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liquid improves local immunity in post-partum cows. Bulgarian Journal of Veterinary Medicine, 12(3), 178−184.</w:t>
      </w:r>
    </w:p>
    <w:p w14:paraId="21BA6D1D" w14:textId="77777777" w:rsidR="00B57F93" w:rsidRDefault="00000000">
      <w:pPr>
        <w:pStyle w:val="ListParagraph"/>
        <w:numPr>
          <w:ilvl w:val="0"/>
          <w:numId w:val="1"/>
        </w:numPr>
        <w:rPr>
          <w:rFonts w:ascii="Arial" w:hAnsi="Arial" w:cs="Arial"/>
          <w:color w:val="000000" w:themeColor="text1"/>
          <w:sz w:val="20"/>
        </w:rPr>
      </w:pPr>
      <w:proofErr w:type="spellStart"/>
      <w:r>
        <w:rPr>
          <w:rFonts w:ascii="Arial" w:hAnsi="Arial" w:cs="Arial"/>
          <w:color w:val="000000" w:themeColor="text1"/>
          <w:sz w:val="20"/>
        </w:rPr>
        <w:t>Ganaie</w:t>
      </w:r>
      <w:proofErr w:type="spellEnd"/>
      <w:r>
        <w:rPr>
          <w:rFonts w:ascii="Arial" w:hAnsi="Arial" w:cs="Arial"/>
          <w:color w:val="000000" w:themeColor="text1"/>
          <w:sz w:val="20"/>
        </w:rPr>
        <w:t xml:space="preserve"> BA, Sultan F, Kumar S, Pathak P, &amp; Nayak V. (2018). Effect of uterine infection on milk production and reproductive performance in dairy animals-A review. Journal of Pharmacognosy and Phytochemistry,7(1), 200-202.</w:t>
      </w:r>
    </w:p>
    <w:p w14:paraId="21BA6D1E"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 xml:space="preserve">Gautam, R. P., R. P. Tiwari, K. M. Koley, &amp; S. K. Hore. (2005). Efficacy of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in induction of uterine contraction in vitro and expulsion of fetal membranes in buffaloes. </w:t>
      </w:r>
      <w:hyperlink r:id="rId13" w:history="1">
        <w:r>
          <w:rPr>
            <w:rStyle w:val="Hyperlink"/>
            <w:rFonts w:ascii="Arial" w:hAnsi="Arial" w:cs="Arial"/>
            <w:color w:val="000000" w:themeColor="text1"/>
            <w:sz w:val="20"/>
            <w:u w:val="none"/>
          </w:rPr>
          <w:t>Indian Journal of Animal Reproduction</w:t>
        </w:r>
      </w:hyperlink>
      <w:r>
        <w:rPr>
          <w:rFonts w:ascii="Arial" w:hAnsi="Arial" w:cs="Arial"/>
          <w:color w:val="000000" w:themeColor="text1"/>
          <w:sz w:val="20"/>
        </w:rPr>
        <w:t>, 26(2), 126-128.</w:t>
      </w:r>
    </w:p>
    <w:p w14:paraId="21BA6D1F" w14:textId="77777777" w:rsidR="00B57F93" w:rsidRDefault="00000000">
      <w:pPr>
        <w:pStyle w:val="ListParagraph"/>
        <w:numPr>
          <w:ilvl w:val="0"/>
          <w:numId w:val="1"/>
        </w:numPr>
        <w:rPr>
          <w:rFonts w:ascii="Arial" w:hAnsi="Arial" w:cs="Arial"/>
          <w:color w:val="000000" w:themeColor="text1"/>
          <w:sz w:val="20"/>
        </w:rPr>
      </w:pPr>
      <w:proofErr w:type="spellStart"/>
      <w:r>
        <w:rPr>
          <w:rFonts w:ascii="Arial" w:hAnsi="Arial" w:cs="Arial"/>
          <w:color w:val="000000" w:themeColor="text1"/>
          <w:sz w:val="20"/>
        </w:rPr>
        <w:t>Arunsingh</w:t>
      </w:r>
      <w:proofErr w:type="spellEnd"/>
      <w:r>
        <w:rPr>
          <w:rFonts w:ascii="Arial" w:hAnsi="Arial" w:cs="Arial"/>
          <w:color w:val="000000" w:themeColor="text1"/>
          <w:sz w:val="20"/>
        </w:rPr>
        <w:t xml:space="preserve"> Paradeshi, S. S. </w:t>
      </w:r>
      <w:proofErr w:type="spellStart"/>
      <w:r>
        <w:rPr>
          <w:rFonts w:ascii="Arial" w:hAnsi="Arial" w:cs="Arial"/>
          <w:color w:val="000000" w:themeColor="text1"/>
          <w:sz w:val="20"/>
        </w:rPr>
        <w:t>Honnappagol</w:t>
      </w:r>
      <w:proofErr w:type="spellEnd"/>
      <w:r>
        <w:rPr>
          <w:rFonts w:ascii="Arial" w:hAnsi="Arial" w:cs="Arial"/>
          <w:color w:val="000000" w:themeColor="text1"/>
          <w:sz w:val="20"/>
        </w:rPr>
        <w:t xml:space="preserve">, M. K. </w:t>
      </w:r>
      <w:proofErr w:type="spellStart"/>
      <w:r>
        <w:rPr>
          <w:rFonts w:ascii="Arial" w:hAnsi="Arial" w:cs="Arial"/>
          <w:color w:val="000000" w:themeColor="text1"/>
          <w:sz w:val="20"/>
        </w:rPr>
        <w:t>Tandle</w:t>
      </w:r>
      <w:proofErr w:type="spellEnd"/>
      <w:r>
        <w:rPr>
          <w:rFonts w:ascii="Arial" w:hAnsi="Arial" w:cs="Arial"/>
          <w:color w:val="000000" w:themeColor="text1"/>
          <w:sz w:val="20"/>
        </w:rPr>
        <w:t xml:space="preserve">, &amp; M. S. </w:t>
      </w:r>
      <w:proofErr w:type="spellStart"/>
      <w:r>
        <w:rPr>
          <w:rFonts w:ascii="Arial" w:hAnsi="Arial" w:cs="Arial"/>
          <w:color w:val="000000" w:themeColor="text1"/>
          <w:sz w:val="20"/>
        </w:rPr>
        <w:t>Dodamani</w:t>
      </w:r>
      <w:proofErr w:type="spellEnd"/>
      <w:r>
        <w:rPr>
          <w:rFonts w:ascii="Arial" w:hAnsi="Arial" w:cs="Arial"/>
          <w:color w:val="000000" w:themeColor="text1"/>
          <w:sz w:val="20"/>
        </w:rPr>
        <w:t xml:space="preserve">. (2009). Therapeutic efficacy of herbal uterine cleanser and restorative tonic for the management of repeat breeder cows. </w:t>
      </w:r>
      <w:hyperlink r:id="rId14" w:history="1">
        <w:r>
          <w:rPr>
            <w:rStyle w:val="Hyperlink"/>
            <w:rFonts w:ascii="Arial" w:hAnsi="Arial" w:cs="Arial"/>
            <w:color w:val="000000" w:themeColor="text1"/>
            <w:sz w:val="20"/>
            <w:u w:val="none"/>
          </w:rPr>
          <w:t>Royal Veterinary Journal of India</w:t>
        </w:r>
      </w:hyperlink>
      <w:r>
        <w:rPr>
          <w:rFonts w:ascii="Arial" w:hAnsi="Arial" w:cs="Arial"/>
          <w:color w:val="000000" w:themeColor="text1"/>
          <w:sz w:val="20"/>
        </w:rPr>
        <w:t>, 5(1/2), 10-13.</w:t>
      </w:r>
    </w:p>
    <w:p w14:paraId="21BA6D20"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 xml:space="preserve">Sudhir Khanna, K. L. Khurana, V. N. Tripathi, &amp; Anju Manujah Anju Manujah. (1997). Effect of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on some parameters of reproductive efficiency in buffaloes. </w:t>
      </w:r>
      <w:hyperlink r:id="rId15" w:history="1">
        <w:r>
          <w:rPr>
            <w:rStyle w:val="Hyperlink"/>
            <w:rFonts w:ascii="Arial" w:hAnsi="Arial" w:cs="Arial"/>
            <w:color w:val="000000" w:themeColor="text1"/>
            <w:sz w:val="20"/>
            <w:u w:val="none"/>
          </w:rPr>
          <w:t>Indian Journal of Animal Reproduction</w:t>
        </w:r>
      </w:hyperlink>
      <w:r>
        <w:rPr>
          <w:rFonts w:ascii="Arial" w:hAnsi="Arial" w:cs="Arial"/>
          <w:color w:val="000000" w:themeColor="text1"/>
          <w:sz w:val="20"/>
        </w:rPr>
        <w:t>, 18(1), 41-43.</w:t>
      </w:r>
    </w:p>
    <w:p w14:paraId="21BA6D21"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lastRenderedPageBreak/>
        <w:t>Adenuga, Y. O., &amp; S. I. Ola. (2024). Efficacy of selected polyherbal products to improve reproductive performance in rabbit does. Nigerian Journal of Animal Production, 49, 369-372.</w:t>
      </w:r>
    </w:p>
    <w:p w14:paraId="21BA6D22"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 xml:space="preserve">Usha, S. K., Sandhya, D. D., Laxmi, S. K., &amp; </w:t>
      </w:r>
      <w:proofErr w:type="spellStart"/>
      <w:r>
        <w:rPr>
          <w:rFonts w:ascii="Arial" w:hAnsi="Arial" w:cs="Arial"/>
          <w:color w:val="000000" w:themeColor="text1"/>
          <w:sz w:val="20"/>
        </w:rPr>
        <w:t>Karimulla</w:t>
      </w:r>
      <w:proofErr w:type="spellEnd"/>
      <w:r>
        <w:rPr>
          <w:rFonts w:ascii="Arial" w:hAnsi="Arial" w:cs="Arial"/>
          <w:color w:val="000000" w:themeColor="text1"/>
          <w:sz w:val="20"/>
        </w:rPr>
        <w:t xml:space="preserve">, S. K. (2021). Studies on Plumbago zeylanica: an ethnoveterinary plant. </w:t>
      </w:r>
      <w:hyperlink r:id="rId16" w:history="1">
        <w:r>
          <w:rPr>
            <w:rStyle w:val="Hyperlink"/>
            <w:rFonts w:ascii="Arial" w:hAnsi="Arial" w:cs="Arial"/>
            <w:color w:val="000000" w:themeColor="text1"/>
            <w:sz w:val="20"/>
            <w:u w:val="none"/>
          </w:rPr>
          <w:t>Journal of Biology and Today's World</w:t>
        </w:r>
      </w:hyperlink>
      <w:r>
        <w:rPr>
          <w:rFonts w:ascii="Arial" w:hAnsi="Arial" w:cs="Arial"/>
          <w:color w:val="000000" w:themeColor="text1"/>
          <w:sz w:val="20"/>
        </w:rPr>
        <w:t>, 10(1), 001-004.</w:t>
      </w:r>
    </w:p>
    <w:p w14:paraId="21BA6D23"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szCs w:val="18"/>
        </w:rPr>
        <w:t>Khalid, L., Jabeen, I., Inam-</w:t>
      </w:r>
      <w:proofErr w:type="spellStart"/>
      <w:r>
        <w:rPr>
          <w:rFonts w:ascii="Arial" w:hAnsi="Arial" w:cs="Arial"/>
          <w:color w:val="000000" w:themeColor="text1"/>
          <w:sz w:val="20"/>
          <w:szCs w:val="18"/>
        </w:rPr>
        <w:t>ur</w:t>
      </w:r>
      <w:proofErr w:type="spellEnd"/>
      <w:r>
        <w:rPr>
          <w:rFonts w:ascii="Arial" w:hAnsi="Arial" w:cs="Arial"/>
          <w:color w:val="000000" w:themeColor="text1"/>
          <w:sz w:val="20"/>
          <w:szCs w:val="18"/>
        </w:rPr>
        <w:t>-Raheem, M., Khan, U. M., Khaneghah, A. M., &amp; Aadil, R. M. (2025). Garden cress seed: A review of its functional and medicinal properties. Journal of Scientific Research and Reports, 101894</w:t>
      </w:r>
      <w:r>
        <w:rPr>
          <w:rFonts w:ascii="Arial" w:hAnsi="Arial" w:cs="Arial"/>
          <w:color w:val="000000" w:themeColor="text1"/>
          <w:sz w:val="20"/>
        </w:rPr>
        <w:t>.</w:t>
      </w:r>
    </w:p>
    <w:p w14:paraId="21BA6D24" w14:textId="77777777" w:rsidR="00B57F93" w:rsidRDefault="00000000">
      <w:pPr>
        <w:pStyle w:val="ListParagraph"/>
        <w:numPr>
          <w:ilvl w:val="0"/>
          <w:numId w:val="1"/>
        </w:numPr>
        <w:spacing w:line="240" w:lineRule="auto"/>
        <w:jc w:val="both"/>
        <w:rPr>
          <w:rFonts w:ascii="Arial" w:hAnsi="Arial" w:cs="Arial"/>
          <w:color w:val="000000" w:themeColor="text1"/>
          <w:sz w:val="20"/>
          <w:szCs w:val="18"/>
        </w:rPr>
      </w:pPr>
      <w:r>
        <w:rPr>
          <w:rFonts w:ascii="Arial" w:hAnsi="Arial" w:cs="Arial"/>
          <w:color w:val="000000" w:themeColor="text1"/>
          <w:sz w:val="20"/>
          <w:szCs w:val="18"/>
        </w:rPr>
        <w:t>Shail, M. D., Neeraj, K., &amp; Gupta, L. N. (2016). Nutritional importance of Lepidium sativum L. (Garden cress/</w:t>
      </w:r>
      <w:proofErr w:type="spellStart"/>
      <w:r>
        <w:rPr>
          <w:rFonts w:ascii="Arial" w:hAnsi="Arial" w:cs="Arial"/>
          <w:color w:val="000000" w:themeColor="text1"/>
          <w:sz w:val="20"/>
          <w:szCs w:val="18"/>
        </w:rPr>
        <w:t>Chandrashoor</w:t>
      </w:r>
      <w:proofErr w:type="spellEnd"/>
      <w:r>
        <w:rPr>
          <w:rFonts w:ascii="Arial" w:hAnsi="Arial" w:cs="Arial"/>
          <w:color w:val="000000" w:themeColor="text1"/>
          <w:sz w:val="20"/>
          <w:szCs w:val="18"/>
        </w:rPr>
        <w:t>): A review. Journal of Scientific Research and Reports, 5(1), 152–160.</w:t>
      </w:r>
    </w:p>
    <w:p w14:paraId="21BA6D25" w14:textId="77777777" w:rsidR="00B57F93" w:rsidRDefault="00000000">
      <w:pPr>
        <w:pStyle w:val="ListParagraph"/>
        <w:numPr>
          <w:ilvl w:val="0"/>
          <w:numId w:val="1"/>
        </w:numPr>
        <w:spacing w:line="240" w:lineRule="auto"/>
        <w:jc w:val="both"/>
        <w:rPr>
          <w:rFonts w:ascii="Arial" w:hAnsi="Arial" w:cs="Arial"/>
          <w:color w:val="000000" w:themeColor="text1"/>
          <w:sz w:val="20"/>
          <w:szCs w:val="18"/>
        </w:rPr>
      </w:pPr>
      <w:r>
        <w:rPr>
          <w:rFonts w:ascii="Arial" w:hAnsi="Arial" w:cs="Arial"/>
          <w:color w:val="000000" w:themeColor="text1"/>
          <w:sz w:val="20"/>
          <w:szCs w:val="18"/>
        </w:rPr>
        <w:t xml:space="preserve">Nayak, D., &amp; Meher, S. (2025). Exploring Ekala Dravya </w:t>
      </w:r>
      <w:proofErr w:type="spellStart"/>
      <w:r>
        <w:rPr>
          <w:rFonts w:ascii="Arial" w:hAnsi="Arial" w:cs="Arial"/>
          <w:color w:val="000000" w:themeColor="text1"/>
          <w:sz w:val="20"/>
          <w:szCs w:val="18"/>
        </w:rPr>
        <w:t>Prayoga</w:t>
      </w:r>
      <w:proofErr w:type="spellEnd"/>
      <w:r>
        <w:rPr>
          <w:rFonts w:ascii="Arial" w:hAnsi="Arial" w:cs="Arial"/>
          <w:color w:val="000000" w:themeColor="text1"/>
          <w:sz w:val="20"/>
          <w:szCs w:val="18"/>
        </w:rPr>
        <w:t xml:space="preserve"> in </w:t>
      </w:r>
      <w:proofErr w:type="spellStart"/>
      <w:r>
        <w:rPr>
          <w:rFonts w:ascii="Arial" w:hAnsi="Arial" w:cs="Arial"/>
          <w:color w:val="000000" w:themeColor="text1"/>
          <w:sz w:val="20"/>
          <w:szCs w:val="18"/>
        </w:rPr>
        <w:t>Sutika</w:t>
      </w:r>
      <w:proofErr w:type="spellEnd"/>
      <w:r>
        <w:rPr>
          <w:rFonts w:ascii="Arial" w:hAnsi="Arial" w:cs="Arial"/>
          <w:color w:val="000000" w:themeColor="text1"/>
          <w:sz w:val="20"/>
          <w:szCs w:val="18"/>
        </w:rPr>
        <w:t xml:space="preserve"> - A comprehensive Ayurvedic review. Journal of Scientific Research and Reports, 10(7), 245–254.</w:t>
      </w:r>
    </w:p>
    <w:p w14:paraId="21BA6D26" w14:textId="77777777" w:rsidR="00B57F93" w:rsidRDefault="00B57F93">
      <w:pPr>
        <w:pStyle w:val="ListParagraph"/>
        <w:spacing w:line="240" w:lineRule="auto"/>
        <w:jc w:val="both"/>
        <w:rPr>
          <w:rFonts w:ascii="Arial" w:hAnsi="Arial" w:cs="Arial"/>
          <w:color w:val="000000" w:themeColor="text1"/>
          <w:sz w:val="20"/>
          <w:szCs w:val="18"/>
        </w:rPr>
      </w:pPr>
    </w:p>
    <w:p w14:paraId="21BA6D27"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Helal EG, El Sayed RA, &amp; Abu-Taleb HM. (2015). Studies on the Use of Aloe vera Extract as a Contraceptive in Female Rats. The Egyptian Journal of Hospital Medicine,60(1), 271-81.</w:t>
      </w:r>
    </w:p>
    <w:p w14:paraId="21BA6D28"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Imade OV, Smith OF, &amp; Gazal OS. (2018). Effects of dietary inclusion of Lepidium sativum (garden cress) seed on plasma luteinizing hormone and reproductive performance in female rabbits. Journal of African Association of Physiological Sciences,6(1), 79-84.</w:t>
      </w:r>
    </w:p>
    <w:p w14:paraId="21BA6D29" w14:textId="77777777" w:rsidR="00B57F93" w:rsidRDefault="00000000">
      <w:pPr>
        <w:pStyle w:val="ListParagraph"/>
        <w:numPr>
          <w:ilvl w:val="0"/>
          <w:numId w:val="1"/>
        </w:numPr>
        <w:spacing w:line="240" w:lineRule="auto"/>
        <w:jc w:val="both"/>
        <w:rPr>
          <w:rFonts w:ascii="Arial" w:hAnsi="Arial" w:cs="Arial"/>
          <w:color w:val="000000" w:themeColor="text1"/>
          <w:sz w:val="20"/>
          <w:szCs w:val="18"/>
        </w:rPr>
      </w:pPr>
      <w:proofErr w:type="spellStart"/>
      <w:r>
        <w:rPr>
          <w:rFonts w:ascii="Arial" w:hAnsi="Arial" w:cs="Arial"/>
          <w:color w:val="000000" w:themeColor="text1"/>
          <w:sz w:val="20"/>
          <w:szCs w:val="18"/>
        </w:rPr>
        <w:t>Parganiha</w:t>
      </w:r>
      <w:proofErr w:type="spellEnd"/>
      <w:r>
        <w:rPr>
          <w:rFonts w:ascii="Arial" w:hAnsi="Arial" w:cs="Arial"/>
          <w:color w:val="000000" w:themeColor="text1"/>
          <w:sz w:val="20"/>
          <w:szCs w:val="18"/>
        </w:rPr>
        <w:t xml:space="preserve">, R. (2025). Comparative </w:t>
      </w:r>
      <w:proofErr w:type="spellStart"/>
      <w:r>
        <w:rPr>
          <w:rFonts w:ascii="Arial" w:hAnsi="Arial" w:cs="Arial"/>
          <w:color w:val="000000" w:themeColor="text1"/>
          <w:sz w:val="20"/>
          <w:szCs w:val="18"/>
        </w:rPr>
        <w:t>pharmacognostic</w:t>
      </w:r>
      <w:proofErr w:type="spellEnd"/>
      <w:r>
        <w:rPr>
          <w:rFonts w:ascii="Arial" w:hAnsi="Arial" w:cs="Arial"/>
          <w:color w:val="000000" w:themeColor="text1"/>
          <w:sz w:val="20"/>
          <w:szCs w:val="18"/>
        </w:rPr>
        <w:t xml:space="preserve"> evaluation and standardization of root extracts of selected Ayurvedic plants. Journal of Scientific Research and Reports, 18–35.</w:t>
      </w:r>
    </w:p>
    <w:p w14:paraId="21BA6D2A"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 xml:space="preserve">Tripura M, Vaidya MG, </w:t>
      </w:r>
      <w:proofErr w:type="spellStart"/>
      <w:r>
        <w:rPr>
          <w:rFonts w:ascii="Arial" w:hAnsi="Arial" w:cs="Arial"/>
          <w:color w:val="000000" w:themeColor="text1"/>
          <w:sz w:val="20"/>
        </w:rPr>
        <w:t>Belkhede</w:t>
      </w:r>
      <w:proofErr w:type="spellEnd"/>
      <w:r>
        <w:rPr>
          <w:rFonts w:ascii="Arial" w:hAnsi="Arial" w:cs="Arial"/>
          <w:color w:val="000000" w:themeColor="text1"/>
          <w:sz w:val="20"/>
        </w:rPr>
        <w:t xml:space="preserve"> SA, </w:t>
      </w:r>
      <w:proofErr w:type="spellStart"/>
      <w:r>
        <w:rPr>
          <w:rFonts w:ascii="Arial" w:hAnsi="Arial" w:cs="Arial"/>
          <w:color w:val="000000" w:themeColor="text1"/>
          <w:sz w:val="20"/>
        </w:rPr>
        <w:t>Damekar</w:t>
      </w:r>
      <w:proofErr w:type="spellEnd"/>
      <w:r>
        <w:rPr>
          <w:rFonts w:ascii="Arial" w:hAnsi="Arial" w:cs="Arial"/>
          <w:color w:val="000000" w:themeColor="text1"/>
          <w:sz w:val="20"/>
        </w:rPr>
        <w:t xml:space="preserve"> SC, Gupta S, </w:t>
      </w:r>
      <w:proofErr w:type="spellStart"/>
      <w:r>
        <w:rPr>
          <w:rFonts w:ascii="Arial" w:hAnsi="Arial" w:cs="Arial"/>
          <w:color w:val="000000" w:themeColor="text1"/>
          <w:sz w:val="20"/>
        </w:rPr>
        <w:t>Hajare</w:t>
      </w:r>
      <w:proofErr w:type="spellEnd"/>
      <w:r>
        <w:rPr>
          <w:rFonts w:ascii="Arial" w:hAnsi="Arial" w:cs="Arial"/>
          <w:color w:val="000000" w:themeColor="text1"/>
          <w:sz w:val="20"/>
        </w:rPr>
        <w:t xml:space="preserve"> SW. Acute Oral Toxicity Assessment of </w:t>
      </w:r>
      <w:proofErr w:type="spellStart"/>
      <w:r>
        <w:rPr>
          <w:rFonts w:ascii="Arial" w:hAnsi="Arial" w:cs="Arial"/>
          <w:color w:val="000000" w:themeColor="text1"/>
          <w:sz w:val="20"/>
        </w:rPr>
        <w:t>Repchol</w:t>
      </w:r>
      <w:proofErr w:type="spellEnd"/>
      <w:r>
        <w:rPr>
          <w:rFonts w:ascii="Arial" w:hAnsi="Arial" w:cs="Arial"/>
          <w:color w:val="000000" w:themeColor="text1"/>
          <w:sz w:val="20"/>
        </w:rPr>
        <w:t xml:space="preserve"> in Wistar Rats: A Liver-protective Herbal Premix for Poultry. Uttar Pradesh Journal of Zoology. 2024;45(20):459-464.</w:t>
      </w:r>
    </w:p>
    <w:p w14:paraId="21BA6D2B" w14:textId="77777777" w:rsidR="00B57F93" w:rsidRDefault="00000000">
      <w:pPr>
        <w:pStyle w:val="ListParagraph"/>
        <w:numPr>
          <w:ilvl w:val="0"/>
          <w:numId w:val="1"/>
        </w:numPr>
        <w:spacing w:after="0" w:line="240" w:lineRule="auto"/>
        <w:rPr>
          <w:rFonts w:ascii="Arial" w:hAnsi="Arial" w:cs="Arial"/>
          <w:color w:val="000000" w:themeColor="text1"/>
          <w:sz w:val="20"/>
        </w:rPr>
      </w:pPr>
      <w:r>
        <w:rPr>
          <w:rFonts w:ascii="Arial" w:hAnsi="Arial" w:cs="Arial"/>
          <w:color w:val="000000" w:themeColor="text1"/>
          <w:sz w:val="20"/>
        </w:rPr>
        <w:t>OECD Guidelines (2001) Guidance document on acute oral toxicity testing Series on testing and assessment No. 23, http://www.Oecd.org/ehs</w:t>
      </w:r>
    </w:p>
    <w:p w14:paraId="21BA6D2C"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Luna, L. G. (1968). Manual of histologic staining methods of the Armed Forces Institute of Pathology (12th ed.). Armed Forces Institute of Pathology.</w:t>
      </w:r>
    </w:p>
    <w:p w14:paraId="21BA6D2D" w14:textId="77777777" w:rsidR="00B57F93" w:rsidRDefault="00000000">
      <w:pPr>
        <w:pStyle w:val="ListParagraph"/>
        <w:numPr>
          <w:ilvl w:val="0"/>
          <w:numId w:val="1"/>
        </w:numPr>
        <w:rPr>
          <w:rFonts w:ascii="Arial" w:hAnsi="Arial" w:cs="Arial"/>
          <w:color w:val="000000" w:themeColor="text1"/>
          <w:sz w:val="20"/>
        </w:rPr>
      </w:pPr>
      <w:r>
        <w:rPr>
          <w:rFonts w:ascii="Arial" w:hAnsi="Arial" w:cs="Arial"/>
          <w:color w:val="000000" w:themeColor="text1"/>
          <w:sz w:val="20"/>
        </w:rPr>
        <w:t xml:space="preserve">Dhakal, I. P. (1999). Efficacy of </w:t>
      </w:r>
      <w:proofErr w:type="spellStart"/>
      <w:r>
        <w:rPr>
          <w:rFonts w:ascii="Arial" w:hAnsi="Arial" w:cs="Arial"/>
          <w:color w:val="000000" w:themeColor="text1"/>
          <w:sz w:val="20"/>
        </w:rPr>
        <w:t>Exapar</w:t>
      </w:r>
      <w:proofErr w:type="spellEnd"/>
      <w:r>
        <w:rPr>
          <w:rFonts w:ascii="Arial" w:hAnsi="Arial" w:cs="Arial"/>
          <w:color w:val="000000" w:themeColor="text1"/>
          <w:sz w:val="20"/>
        </w:rPr>
        <w:t xml:space="preserve"> for the expulsion of placenta and as uterine tonic in cows and buffaloes. Journal of Scientific Research and Reports, 5(3), 1–6.</w:t>
      </w:r>
    </w:p>
    <w:p w14:paraId="21BA6D2E" w14:textId="77777777" w:rsidR="00B57F93" w:rsidRDefault="00B57F93">
      <w:pPr>
        <w:ind w:firstLine="720"/>
        <w:rPr>
          <w:rFonts w:ascii="Arial" w:hAnsi="Arial" w:cs="Arial"/>
          <w:color w:val="000000" w:themeColor="text1"/>
        </w:rPr>
      </w:pPr>
    </w:p>
    <w:p w14:paraId="21BA6D2F" w14:textId="77777777" w:rsidR="00B57F93" w:rsidRDefault="00B57F93">
      <w:pPr>
        <w:ind w:firstLine="720"/>
        <w:rPr>
          <w:rFonts w:ascii="Arial" w:hAnsi="Arial" w:cs="Arial"/>
          <w:color w:val="000000" w:themeColor="text1"/>
        </w:rPr>
      </w:pPr>
    </w:p>
    <w:p w14:paraId="21BA6D30" w14:textId="77777777" w:rsidR="00B57F93" w:rsidRDefault="00B57F93">
      <w:pPr>
        <w:rPr>
          <w:rFonts w:ascii="Arial" w:hAnsi="Arial" w:cs="Arial"/>
          <w:color w:val="000000" w:themeColor="text1"/>
        </w:rPr>
      </w:pPr>
    </w:p>
    <w:sectPr w:rsidR="00B57F9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12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463B" w14:textId="77777777" w:rsidR="00D17C61" w:rsidRDefault="00D17C61">
      <w:pPr>
        <w:spacing w:line="240" w:lineRule="auto"/>
      </w:pPr>
      <w:r>
        <w:separator/>
      </w:r>
    </w:p>
  </w:endnote>
  <w:endnote w:type="continuationSeparator" w:id="0">
    <w:p w14:paraId="3FBD32DD" w14:textId="77777777" w:rsidR="00D17C61" w:rsidRDefault="00D17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D58" w14:textId="77777777" w:rsidR="00B57F93" w:rsidRDefault="00B57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D59" w14:textId="77777777" w:rsidR="00B57F93" w:rsidRDefault="00B57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D5B" w14:textId="77777777" w:rsidR="00B57F93" w:rsidRDefault="00B5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D5FA" w14:textId="77777777" w:rsidR="00D17C61" w:rsidRDefault="00D17C61">
      <w:pPr>
        <w:spacing w:after="0"/>
      </w:pPr>
      <w:r>
        <w:separator/>
      </w:r>
    </w:p>
  </w:footnote>
  <w:footnote w:type="continuationSeparator" w:id="0">
    <w:p w14:paraId="0B945D74" w14:textId="77777777" w:rsidR="00D17C61" w:rsidRDefault="00D17C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D56" w14:textId="77777777" w:rsidR="00B57F93" w:rsidRDefault="00000000">
    <w:pPr>
      <w:pStyle w:val="Header"/>
    </w:pPr>
    <w:r>
      <w:pict w14:anchorId="19677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45329" o:spid="_x0000_s1025" type="#_x0000_t136" style="position:absolute;margin-left:0;margin-top:0;width:535.8pt;height:100.4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D57" w14:textId="77777777" w:rsidR="00B57F93" w:rsidRDefault="00000000">
    <w:pPr>
      <w:pStyle w:val="Header"/>
    </w:pPr>
    <w:r>
      <w:pict w14:anchorId="06B69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45330" o:spid="_x0000_s1026" type="#_x0000_t136" style="position:absolute;margin-left:0;margin-top:0;width:535.8pt;height:100.4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D5A" w14:textId="77777777" w:rsidR="00B57F93" w:rsidRDefault="00000000">
    <w:pPr>
      <w:pStyle w:val="Header"/>
    </w:pPr>
    <w:r>
      <w:pict w14:anchorId="2D14C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45328" o:spid="_x0000_s1027" type="#_x0000_t136" style="position:absolute;margin-left:0;margin-top:0;width:535.8pt;height:100.45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D3420"/>
    <w:multiLevelType w:val="multilevel"/>
    <w:tmpl w:val="5D8D34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0996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45"/>
    <w:rsid w:val="0000671F"/>
    <w:rsid w:val="0001499F"/>
    <w:rsid w:val="00021A21"/>
    <w:rsid w:val="00030F95"/>
    <w:rsid w:val="00033DD4"/>
    <w:rsid w:val="000340F1"/>
    <w:rsid w:val="00054E52"/>
    <w:rsid w:val="00055A0D"/>
    <w:rsid w:val="00060146"/>
    <w:rsid w:val="00070ADE"/>
    <w:rsid w:val="00080408"/>
    <w:rsid w:val="0009098C"/>
    <w:rsid w:val="000E393D"/>
    <w:rsid w:val="000E7001"/>
    <w:rsid w:val="000F5631"/>
    <w:rsid w:val="00141CE9"/>
    <w:rsid w:val="00145836"/>
    <w:rsid w:val="0014698B"/>
    <w:rsid w:val="0014744A"/>
    <w:rsid w:val="001612CB"/>
    <w:rsid w:val="00166A36"/>
    <w:rsid w:val="00175807"/>
    <w:rsid w:val="001D4C20"/>
    <w:rsid w:val="001E319E"/>
    <w:rsid w:val="001E43E1"/>
    <w:rsid w:val="001E4C11"/>
    <w:rsid w:val="001F679C"/>
    <w:rsid w:val="001F7647"/>
    <w:rsid w:val="0020570D"/>
    <w:rsid w:val="00214A2B"/>
    <w:rsid w:val="00230C7C"/>
    <w:rsid w:val="0023692E"/>
    <w:rsid w:val="00252D7A"/>
    <w:rsid w:val="002739B5"/>
    <w:rsid w:val="002810D9"/>
    <w:rsid w:val="00293A35"/>
    <w:rsid w:val="002B5331"/>
    <w:rsid w:val="002C6400"/>
    <w:rsid w:val="002C78DF"/>
    <w:rsid w:val="002E555F"/>
    <w:rsid w:val="002E69AE"/>
    <w:rsid w:val="002F22E8"/>
    <w:rsid w:val="002F2D6E"/>
    <w:rsid w:val="00302670"/>
    <w:rsid w:val="003143F2"/>
    <w:rsid w:val="00314D44"/>
    <w:rsid w:val="0032096B"/>
    <w:rsid w:val="00325A6B"/>
    <w:rsid w:val="003323C3"/>
    <w:rsid w:val="00332D44"/>
    <w:rsid w:val="0033510D"/>
    <w:rsid w:val="0034143A"/>
    <w:rsid w:val="00342EA9"/>
    <w:rsid w:val="00351C5A"/>
    <w:rsid w:val="00357AD4"/>
    <w:rsid w:val="00363AE6"/>
    <w:rsid w:val="00371FB6"/>
    <w:rsid w:val="00374DB2"/>
    <w:rsid w:val="003967FA"/>
    <w:rsid w:val="003A29C6"/>
    <w:rsid w:val="003B2B2D"/>
    <w:rsid w:val="003D3215"/>
    <w:rsid w:val="004104AC"/>
    <w:rsid w:val="004108CB"/>
    <w:rsid w:val="004109C4"/>
    <w:rsid w:val="004160A1"/>
    <w:rsid w:val="00420E13"/>
    <w:rsid w:val="004233C4"/>
    <w:rsid w:val="004347F9"/>
    <w:rsid w:val="00436FB5"/>
    <w:rsid w:val="00445E67"/>
    <w:rsid w:val="00465BF9"/>
    <w:rsid w:val="00466331"/>
    <w:rsid w:val="004700E1"/>
    <w:rsid w:val="00471DF4"/>
    <w:rsid w:val="00477523"/>
    <w:rsid w:val="00484F09"/>
    <w:rsid w:val="00484F60"/>
    <w:rsid w:val="004A6C94"/>
    <w:rsid w:val="004A7F0D"/>
    <w:rsid w:val="004B07AE"/>
    <w:rsid w:val="004B2098"/>
    <w:rsid w:val="004D15D5"/>
    <w:rsid w:val="004E0D15"/>
    <w:rsid w:val="00502AFA"/>
    <w:rsid w:val="00505CE3"/>
    <w:rsid w:val="00507DB3"/>
    <w:rsid w:val="005127EF"/>
    <w:rsid w:val="00512C09"/>
    <w:rsid w:val="00531AA5"/>
    <w:rsid w:val="00542057"/>
    <w:rsid w:val="00546856"/>
    <w:rsid w:val="00586EE8"/>
    <w:rsid w:val="005A1F08"/>
    <w:rsid w:val="005A4345"/>
    <w:rsid w:val="005B478B"/>
    <w:rsid w:val="005C7F1B"/>
    <w:rsid w:val="005C7F7E"/>
    <w:rsid w:val="005D10D9"/>
    <w:rsid w:val="005E05D4"/>
    <w:rsid w:val="005E13AA"/>
    <w:rsid w:val="005E36D3"/>
    <w:rsid w:val="00603A10"/>
    <w:rsid w:val="00605659"/>
    <w:rsid w:val="006118C2"/>
    <w:rsid w:val="00611913"/>
    <w:rsid w:val="00621E57"/>
    <w:rsid w:val="00622BBD"/>
    <w:rsid w:val="006252AD"/>
    <w:rsid w:val="00650661"/>
    <w:rsid w:val="00686E29"/>
    <w:rsid w:val="006B263F"/>
    <w:rsid w:val="006B7302"/>
    <w:rsid w:val="006C1AC2"/>
    <w:rsid w:val="006D7F40"/>
    <w:rsid w:val="006E417D"/>
    <w:rsid w:val="00706E4C"/>
    <w:rsid w:val="00725B0C"/>
    <w:rsid w:val="00735C14"/>
    <w:rsid w:val="0075287E"/>
    <w:rsid w:val="00754FDB"/>
    <w:rsid w:val="007570A1"/>
    <w:rsid w:val="00782C88"/>
    <w:rsid w:val="00786D36"/>
    <w:rsid w:val="007B29A7"/>
    <w:rsid w:val="00801185"/>
    <w:rsid w:val="00811558"/>
    <w:rsid w:val="008158C0"/>
    <w:rsid w:val="00845F4B"/>
    <w:rsid w:val="00857626"/>
    <w:rsid w:val="0086075D"/>
    <w:rsid w:val="0087102D"/>
    <w:rsid w:val="0087649E"/>
    <w:rsid w:val="00876FA1"/>
    <w:rsid w:val="00886A3D"/>
    <w:rsid w:val="008A262B"/>
    <w:rsid w:val="008D3952"/>
    <w:rsid w:val="008D5A0F"/>
    <w:rsid w:val="008F4C2C"/>
    <w:rsid w:val="008F4DFC"/>
    <w:rsid w:val="00934569"/>
    <w:rsid w:val="00941E44"/>
    <w:rsid w:val="00955E2E"/>
    <w:rsid w:val="00964790"/>
    <w:rsid w:val="00971D27"/>
    <w:rsid w:val="00994E5B"/>
    <w:rsid w:val="0099712A"/>
    <w:rsid w:val="009A252F"/>
    <w:rsid w:val="009A2628"/>
    <w:rsid w:val="009A45A4"/>
    <w:rsid w:val="009A6591"/>
    <w:rsid w:val="009E05C9"/>
    <w:rsid w:val="009E5B38"/>
    <w:rsid w:val="009F0F08"/>
    <w:rsid w:val="009F7D52"/>
    <w:rsid w:val="00A0052F"/>
    <w:rsid w:val="00A10632"/>
    <w:rsid w:val="00A10EDE"/>
    <w:rsid w:val="00A14766"/>
    <w:rsid w:val="00A14D2B"/>
    <w:rsid w:val="00A154C0"/>
    <w:rsid w:val="00A212B9"/>
    <w:rsid w:val="00A21AB5"/>
    <w:rsid w:val="00A42741"/>
    <w:rsid w:val="00A511DF"/>
    <w:rsid w:val="00A533AF"/>
    <w:rsid w:val="00A57292"/>
    <w:rsid w:val="00A90890"/>
    <w:rsid w:val="00A90FCA"/>
    <w:rsid w:val="00AB42FF"/>
    <w:rsid w:val="00AD09A5"/>
    <w:rsid w:val="00AD4030"/>
    <w:rsid w:val="00AE11EE"/>
    <w:rsid w:val="00AF2AD0"/>
    <w:rsid w:val="00B0238C"/>
    <w:rsid w:val="00B02A3F"/>
    <w:rsid w:val="00B06888"/>
    <w:rsid w:val="00B31F94"/>
    <w:rsid w:val="00B40B8A"/>
    <w:rsid w:val="00B436E9"/>
    <w:rsid w:val="00B5416B"/>
    <w:rsid w:val="00B57F93"/>
    <w:rsid w:val="00B640B0"/>
    <w:rsid w:val="00B869EB"/>
    <w:rsid w:val="00B86B30"/>
    <w:rsid w:val="00B8786E"/>
    <w:rsid w:val="00B9097D"/>
    <w:rsid w:val="00BA5DB8"/>
    <w:rsid w:val="00BB6DF8"/>
    <w:rsid w:val="00BC0A39"/>
    <w:rsid w:val="00BC5B35"/>
    <w:rsid w:val="00BE401D"/>
    <w:rsid w:val="00BE539D"/>
    <w:rsid w:val="00BE54BD"/>
    <w:rsid w:val="00BE60A7"/>
    <w:rsid w:val="00BE70A0"/>
    <w:rsid w:val="00C028DC"/>
    <w:rsid w:val="00C0392E"/>
    <w:rsid w:val="00C33466"/>
    <w:rsid w:val="00C45675"/>
    <w:rsid w:val="00C62E0B"/>
    <w:rsid w:val="00C67233"/>
    <w:rsid w:val="00C67B7B"/>
    <w:rsid w:val="00C83352"/>
    <w:rsid w:val="00C96D61"/>
    <w:rsid w:val="00CB1BC1"/>
    <w:rsid w:val="00CC6AC3"/>
    <w:rsid w:val="00CD2B76"/>
    <w:rsid w:val="00CD4E18"/>
    <w:rsid w:val="00CE56B7"/>
    <w:rsid w:val="00CF349A"/>
    <w:rsid w:val="00CF7BE6"/>
    <w:rsid w:val="00D018CB"/>
    <w:rsid w:val="00D03384"/>
    <w:rsid w:val="00D17C61"/>
    <w:rsid w:val="00D22D26"/>
    <w:rsid w:val="00D61371"/>
    <w:rsid w:val="00D75018"/>
    <w:rsid w:val="00D765BC"/>
    <w:rsid w:val="00D93A67"/>
    <w:rsid w:val="00D9508E"/>
    <w:rsid w:val="00D955E6"/>
    <w:rsid w:val="00DB68F1"/>
    <w:rsid w:val="00DC36D3"/>
    <w:rsid w:val="00DC6685"/>
    <w:rsid w:val="00DD34C5"/>
    <w:rsid w:val="00DE1E19"/>
    <w:rsid w:val="00DE6EDE"/>
    <w:rsid w:val="00E03E5B"/>
    <w:rsid w:val="00E25291"/>
    <w:rsid w:val="00E328D7"/>
    <w:rsid w:val="00E53042"/>
    <w:rsid w:val="00E62287"/>
    <w:rsid w:val="00E6338B"/>
    <w:rsid w:val="00E95C44"/>
    <w:rsid w:val="00EA72FA"/>
    <w:rsid w:val="00EB2125"/>
    <w:rsid w:val="00EB4745"/>
    <w:rsid w:val="00EC3236"/>
    <w:rsid w:val="00EE2E58"/>
    <w:rsid w:val="00EF0AD0"/>
    <w:rsid w:val="00F06298"/>
    <w:rsid w:val="00F15B73"/>
    <w:rsid w:val="00F20ED5"/>
    <w:rsid w:val="00F3375C"/>
    <w:rsid w:val="00F425D8"/>
    <w:rsid w:val="00F5775F"/>
    <w:rsid w:val="00F85C40"/>
    <w:rsid w:val="00F87A10"/>
    <w:rsid w:val="00FB0B33"/>
    <w:rsid w:val="00FB365D"/>
    <w:rsid w:val="00FB3A86"/>
    <w:rsid w:val="00FB5FC7"/>
    <w:rsid w:val="00FB63BA"/>
    <w:rsid w:val="00FC22C0"/>
    <w:rsid w:val="00FD1DBF"/>
    <w:rsid w:val="00FD3678"/>
    <w:rsid w:val="00FE1617"/>
    <w:rsid w:val="00FF0862"/>
    <w:rsid w:val="00FF3F4B"/>
    <w:rsid w:val="14A4519A"/>
    <w:rsid w:val="2D311D35"/>
    <w:rsid w:val="2F823B63"/>
    <w:rsid w:val="601C2A0C"/>
    <w:rsid w:val="63BF1CF2"/>
    <w:rsid w:val="78C319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B4563EB"/>
  <w14:defaultImageDpi w14:val="0"/>
  <w15:docId w15:val="{BE48E702-1D12-41D1-9602-5C3231A9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Mangal"/>
      <w:sz w:val="22"/>
      <w:lang w:bidi="mr-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olor w:val="2F5496" w:themeColor="accent1" w:themeShade="BF"/>
      <w:sz w:val="40"/>
      <w:szCs w:val="36"/>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olor w:val="2F5496" w:themeColor="accent1" w:themeShade="BF"/>
      <w:sz w:val="32"/>
      <w:szCs w:val="29"/>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olor w:val="2F5496" w:themeColor="accent1" w:themeShade="BF"/>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18"/>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rFonts w:cs="Times New Roman"/>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1"/>
    </w:rPr>
  </w:style>
  <w:style w:type="paragraph" w:styleId="Subtitle">
    <w:name w:val="Subtitle"/>
    <w:basedOn w:val="Normal"/>
    <w:next w:val="Normal"/>
    <w:link w:val="SubtitleChar"/>
    <w:uiPriority w:val="11"/>
    <w:qFormat/>
    <w:rPr>
      <w:rFonts w:eastAsiaTheme="majorEastAsia"/>
      <w:color w:val="595959" w:themeColor="text1" w:themeTint="A6"/>
      <w:spacing w:val="15"/>
      <w:sz w:val="28"/>
      <w:szCs w:val="25"/>
    </w:rPr>
  </w:style>
  <w:style w:type="table" w:styleId="TableGrid">
    <w:name w:val="Table Grid"/>
    <w:basedOn w:val="TableNormal"/>
    <w:uiPriority w:val="59"/>
    <w:qFormat/>
    <w:rPr>
      <w:rFonts w:eastAsiaTheme="minorEastAsia" w:cs="Mang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spacing w:val="-10"/>
      <w:kern w:val="28"/>
      <w:sz w:val="56"/>
      <w:szCs w:val="50"/>
    </w:rPr>
  </w:style>
  <w:style w:type="character" w:customStyle="1" w:styleId="Heading1Char">
    <w:name w:val="Heading 1 Char"/>
    <w:basedOn w:val="DefaultParagraphFont"/>
    <w:link w:val="Heading1"/>
    <w:uiPriority w:val="9"/>
    <w:qFormat/>
    <w:locked/>
    <w:rPr>
      <w:rFonts w:asciiTheme="majorHAnsi" w:eastAsiaTheme="majorEastAsia" w:hAnsiTheme="majorHAnsi" w:cs="Mangal"/>
      <w:color w:val="2F5496" w:themeColor="accent1" w:themeShade="BF"/>
      <w:sz w:val="36"/>
      <w:szCs w:val="36"/>
    </w:rPr>
  </w:style>
  <w:style w:type="character" w:customStyle="1" w:styleId="Heading2Char">
    <w:name w:val="Heading 2 Char"/>
    <w:basedOn w:val="DefaultParagraphFont"/>
    <w:link w:val="Heading2"/>
    <w:uiPriority w:val="9"/>
    <w:semiHidden/>
    <w:qFormat/>
    <w:locked/>
    <w:rPr>
      <w:rFonts w:asciiTheme="majorHAnsi" w:eastAsiaTheme="majorEastAsia" w:hAnsiTheme="majorHAnsi" w:cs="Mangal"/>
      <w:color w:val="2F5496" w:themeColor="accent1" w:themeShade="BF"/>
      <w:sz w:val="29"/>
      <w:szCs w:val="29"/>
    </w:rPr>
  </w:style>
  <w:style w:type="character" w:customStyle="1" w:styleId="Heading3Char">
    <w:name w:val="Heading 3 Char"/>
    <w:basedOn w:val="DefaultParagraphFont"/>
    <w:link w:val="Heading3"/>
    <w:uiPriority w:val="9"/>
    <w:qFormat/>
    <w:locked/>
    <w:rPr>
      <w:rFonts w:eastAsiaTheme="majorEastAsia" w:cs="Mangal"/>
      <w:color w:val="2F5496" w:themeColor="accent1" w:themeShade="BF"/>
      <w:sz w:val="25"/>
      <w:szCs w:val="25"/>
    </w:rPr>
  </w:style>
  <w:style w:type="character" w:customStyle="1" w:styleId="Heading4Char">
    <w:name w:val="Heading 4 Char"/>
    <w:basedOn w:val="DefaultParagraphFont"/>
    <w:link w:val="Heading4"/>
    <w:uiPriority w:val="9"/>
    <w:semiHidden/>
    <w:qFormat/>
    <w:locked/>
    <w:rPr>
      <w:rFonts w:eastAsiaTheme="majorEastAsia" w:cs="Mangal"/>
      <w:i/>
      <w:iCs/>
      <w:color w:val="2F5496" w:themeColor="accent1" w:themeShade="BF"/>
    </w:rPr>
  </w:style>
  <w:style w:type="character" w:customStyle="1" w:styleId="Heading5Char">
    <w:name w:val="Heading 5 Char"/>
    <w:basedOn w:val="DefaultParagraphFont"/>
    <w:link w:val="Heading5"/>
    <w:uiPriority w:val="9"/>
    <w:semiHidden/>
    <w:qFormat/>
    <w:locked/>
    <w:rPr>
      <w:rFonts w:eastAsiaTheme="majorEastAsia" w:cs="Mangal"/>
      <w:color w:val="2F5496" w:themeColor="accent1" w:themeShade="BF"/>
    </w:rPr>
  </w:style>
  <w:style w:type="character" w:customStyle="1" w:styleId="Heading6Char">
    <w:name w:val="Heading 6 Char"/>
    <w:basedOn w:val="DefaultParagraphFont"/>
    <w:link w:val="Heading6"/>
    <w:uiPriority w:val="9"/>
    <w:semiHidden/>
    <w:qFormat/>
    <w:locked/>
    <w:rPr>
      <w:rFonts w:eastAsiaTheme="majorEastAsia" w:cs="Mangal"/>
      <w:i/>
      <w:iCs/>
      <w:color w:val="595959" w:themeColor="text1" w:themeTint="A6"/>
    </w:rPr>
  </w:style>
  <w:style w:type="character" w:customStyle="1" w:styleId="Heading7Char">
    <w:name w:val="Heading 7 Char"/>
    <w:basedOn w:val="DefaultParagraphFont"/>
    <w:link w:val="Heading7"/>
    <w:uiPriority w:val="9"/>
    <w:semiHidden/>
    <w:qFormat/>
    <w:locked/>
    <w:rPr>
      <w:rFonts w:eastAsiaTheme="majorEastAsia" w:cs="Mangal"/>
      <w:color w:val="595959" w:themeColor="text1" w:themeTint="A6"/>
    </w:rPr>
  </w:style>
  <w:style w:type="character" w:customStyle="1" w:styleId="Heading8Char">
    <w:name w:val="Heading 8 Char"/>
    <w:basedOn w:val="DefaultParagraphFont"/>
    <w:link w:val="Heading8"/>
    <w:uiPriority w:val="9"/>
    <w:semiHidden/>
    <w:qFormat/>
    <w:locked/>
    <w:rPr>
      <w:rFonts w:eastAsiaTheme="majorEastAsia" w:cs="Mangal"/>
      <w:i/>
      <w:iCs/>
      <w:color w:val="262626" w:themeColor="text1" w:themeTint="D9"/>
    </w:rPr>
  </w:style>
  <w:style w:type="character" w:customStyle="1" w:styleId="Heading9Char">
    <w:name w:val="Heading 9 Char"/>
    <w:basedOn w:val="DefaultParagraphFont"/>
    <w:link w:val="Heading9"/>
    <w:uiPriority w:val="9"/>
    <w:semiHidden/>
    <w:qFormat/>
    <w:locked/>
    <w:rPr>
      <w:rFonts w:eastAsiaTheme="majorEastAsia" w:cs="Mangal"/>
      <w:color w:val="262626" w:themeColor="text1" w:themeTint="D9"/>
    </w:rPr>
  </w:style>
  <w:style w:type="character" w:customStyle="1" w:styleId="TitleChar">
    <w:name w:val="Title Char"/>
    <w:basedOn w:val="DefaultParagraphFont"/>
    <w:link w:val="Title"/>
    <w:uiPriority w:val="10"/>
    <w:qFormat/>
    <w:locked/>
    <w:rPr>
      <w:rFonts w:asciiTheme="majorHAnsi" w:eastAsiaTheme="majorEastAsia" w:hAnsiTheme="majorHAnsi" w:cs="Mangal"/>
      <w:spacing w:val="-10"/>
      <w:kern w:val="28"/>
      <w:sz w:val="50"/>
      <w:szCs w:val="50"/>
    </w:rPr>
  </w:style>
  <w:style w:type="character" w:customStyle="1" w:styleId="SubtitleChar">
    <w:name w:val="Subtitle Char"/>
    <w:basedOn w:val="DefaultParagraphFont"/>
    <w:link w:val="Subtitle"/>
    <w:uiPriority w:val="11"/>
    <w:qFormat/>
    <w:locked/>
    <w:rPr>
      <w:rFonts w:eastAsiaTheme="majorEastAsia" w:cs="Mangal"/>
      <w:color w:val="595959" w:themeColor="text1" w:themeTint="A6"/>
      <w:spacing w:val="15"/>
      <w:sz w:val="25"/>
      <w:szCs w:val="2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locked/>
    <w:rPr>
      <w:rFonts w:cs="Times New Roman"/>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rFonts w:cs="Times New Roman"/>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locked/>
    <w:rPr>
      <w:rFonts w:cs="Times New Roman"/>
      <w:i/>
      <w:iCs/>
      <w:color w:val="2F5496" w:themeColor="accent1" w:themeShade="BF"/>
    </w:rPr>
  </w:style>
  <w:style w:type="character" w:customStyle="1" w:styleId="IntenseReference1">
    <w:name w:val="Intense Reference1"/>
    <w:basedOn w:val="DefaultParagraphFont"/>
    <w:uiPriority w:val="32"/>
    <w:qFormat/>
    <w:rPr>
      <w:rFonts w:cs="Times New Roman"/>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rFonts w:cs="Times New Roman"/>
      <w:color w:val="605E5C"/>
      <w:shd w:val="clear" w:color="auto" w:fill="E1DFDD"/>
    </w:rPr>
  </w:style>
  <w:style w:type="paragraph" w:customStyle="1" w:styleId="AcknHead">
    <w:name w:val="Ackn Head"/>
    <w:basedOn w:val="Normal"/>
    <w:qFormat/>
    <w:pPr>
      <w:keepNext/>
      <w:spacing w:after="240" w:line="240" w:lineRule="auto"/>
    </w:pPr>
    <w:rPr>
      <w:rFonts w:ascii="Helvetica" w:hAnsi="Helvetica" w:cs="Times New Roman"/>
      <w:b/>
      <w:caps/>
      <w:lang w:bidi="ar-SA"/>
    </w:rPr>
  </w:style>
  <w:style w:type="paragraph" w:customStyle="1" w:styleId="ReferHead">
    <w:name w:val="Refer Head"/>
    <w:basedOn w:val="Normal"/>
    <w:qFormat/>
    <w:pPr>
      <w:keepNext/>
      <w:spacing w:after="240" w:line="240" w:lineRule="auto"/>
    </w:pPr>
    <w:rPr>
      <w:rFonts w:ascii="Helvetica" w:hAnsi="Helvetica" w:cs="Times New Roman"/>
      <w:b/>
      <w:caps/>
      <w:lang w:bidi="ar-SA"/>
    </w:rPr>
  </w:style>
  <w:style w:type="paragraph" w:customStyle="1" w:styleId="Body">
    <w:name w:val="Body"/>
    <w:basedOn w:val="Normal"/>
    <w:qFormat/>
    <w:pPr>
      <w:spacing w:after="240" w:line="240" w:lineRule="auto"/>
      <w:jc w:val="both"/>
    </w:pPr>
    <w:rPr>
      <w:rFonts w:ascii="Helvetica" w:hAnsi="Helvetica" w:cs="Times New Roman"/>
      <w:sz w:val="20"/>
      <w:lang w:bidi="ar-SA"/>
    </w:rPr>
  </w:style>
  <w:style w:type="character" w:customStyle="1" w:styleId="HeaderChar">
    <w:name w:val="Header Char"/>
    <w:basedOn w:val="DefaultParagraphFont"/>
    <w:link w:val="Header"/>
    <w:uiPriority w:val="99"/>
    <w:qFormat/>
    <w:locked/>
    <w:rPr>
      <w:rFonts w:cs="Mangal"/>
      <w:sz w:val="20"/>
      <w:szCs w:val="20"/>
      <w:lang w:bidi="mr-IN"/>
    </w:rPr>
  </w:style>
  <w:style w:type="character" w:customStyle="1" w:styleId="FooterChar">
    <w:name w:val="Footer Char"/>
    <w:basedOn w:val="DefaultParagraphFont"/>
    <w:link w:val="Footer"/>
    <w:uiPriority w:val="99"/>
    <w:qFormat/>
    <w:locked/>
    <w:rPr>
      <w:rFonts w:cs="Mangal"/>
      <w:sz w:val="20"/>
      <w:szCs w:val="20"/>
      <w:lang w:bidi="mr-IN"/>
    </w:rPr>
  </w:style>
  <w:style w:type="character" w:customStyle="1" w:styleId="BalloonTextChar">
    <w:name w:val="Balloon Text Char"/>
    <w:basedOn w:val="DefaultParagraphFont"/>
    <w:link w:val="BalloonText"/>
    <w:uiPriority w:val="99"/>
    <w:semiHidden/>
    <w:qFormat/>
    <w:locked/>
    <w:rPr>
      <w:rFonts w:ascii="Tahoma" w:hAnsi="Tahoma" w:cs="Tahoma"/>
      <w:sz w:val="14"/>
      <w:szCs w:val="14"/>
    </w:rPr>
  </w:style>
  <w:style w:type="character" w:customStyle="1" w:styleId="CommentTextChar">
    <w:name w:val="Comment Text Char"/>
    <w:basedOn w:val="DefaultParagraphFont"/>
    <w:link w:val="CommentText"/>
    <w:uiPriority w:val="99"/>
    <w:semiHidden/>
    <w:qFormat/>
    <w:rPr>
      <w:rFonts w:cs="Mangal"/>
      <w:sz w:val="20"/>
      <w:szCs w:val="18"/>
      <w:lang w:bidi="mr-IN"/>
    </w:rPr>
  </w:style>
  <w:style w:type="character" w:customStyle="1" w:styleId="CommentSubjectChar">
    <w:name w:val="Comment Subject Char"/>
    <w:basedOn w:val="CommentTextChar"/>
    <w:link w:val="CommentSubject"/>
    <w:uiPriority w:val="99"/>
    <w:semiHidden/>
    <w:qFormat/>
    <w:rPr>
      <w:rFonts w:cs="Mangal"/>
      <w:b/>
      <w:bCs/>
      <w:sz w:val="20"/>
      <w:szCs w:val="18"/>
      <w:lang w:bidi="mr-IN"/>
    </w:rPr>
  </w:style>
  <w:style w:type="paragraph" w:styleId="Revision">
    <w:name w:val="Revision"/>
    <w:hidden/>
    <w:uiPriority w:val="99"/>
    <w:unhideWhenUsed/>
    <w:rsid w:val="00325A6B"/>
    <w:rPr>
      <w:rFonts w:cs="Mangal"/>
      <w:sz w:val="22"/>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bidigitallibrary.org/action/doSearch?do=Indian+Journal+of+Animal+Reproductio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bidigitallibrary.org/action/doSearch?do=Journal+of+Biology+and+Today%27s+Worl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abidigitallibrary.org/action/doSearch?do=Indian+Journal+of+Animal+Reproductio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abidigitallibrary.org/action/doSearch?do=Royal+Veterinary+Journal+of+Ind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0"/>
    <customShpInfo spid="_x0000_s2049"/>
    <customShpInfo spid="_x0000_s2051"/>
    <customShpInfo spid="_x0000_s1026"/>
  </customShpExts>
</s:customData>
</file>

<file path=customXml/itemProps1.xml><?xml version="1.0" encoding="utf-8"?>
<ds:datastoreItem xmlns:ds="http://schemas.openxmlformats.org/officeDocument/2006/customXml" ds:itemID="{11B023D2-C556-4915-9157-F4E469FAA0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3299</Words>
  <Characters>18806</Characters>
  <Application>Microsoft Office Word</Application>
  <DocSecurity>0</DocSecurity>
  <Lines>156</Lines>
  <Paragraphs>44</Paragraphs>
  <ScaleCrop>false</ScaleCrop>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mgvaidya1@gmail.com</dc:creator>
  <cp:lastModifiedBy>Editor-90</cp:lastModifiedBy>
  <cp:revision>13</cp:revision>
  <dcterms:created xsi:type="dcterms:W3CDTF">2025-10-11T14:30:00Z</dcterms:created>
  <dcterms:modified xsi:type="dcterms:W3CDTF">2025-11-05T07:36:00Z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D2DB8E7DAA3E43CDA12B7D67128AEAC6_12</vt:lpwstr>
  </property>
</Properties>
</file>