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53" w:rsidRDefault="008A442A" w:rsidP="00F15F3B">
      <w:pPr>
        <w:pStyle w:val="NormalWeb"/>
        <w:spacing w:line="360" w:lineRule="auto"/>
        <w:jc w:val="center"/>
        <w:rPr>
          <w:rFonts w:eastAsiaTheme="minorHAnsi"/>
          <w:b/>
        </w:rPr>
      </w:pPr>
      <w:r w:rsidRPr="008A442A">
        <w:rPr>
          <w:rFonts w:eastAsiaTheme="minorHAnsi"/>
          <w:b/>
        </w:rPr>
        <w:t>Assessing the Farmers’ decision</w:t>
      </w:r>
      <w:r>
        <w:rPr>
          <w:rFonts w:eastAsiaTheme="minorHAnsi"/>
          <w:b/>
        </w:rPr>
        <w:t xml:space="preserve"> </w:t>
      </w:r>
      <w:r w:rsidRPr="008A442A">
        <w:rPr>
          <w:rFonts w:eastAsiaTheme="minorHAnsi"/>
          <w:b/>
        </w:rPr>
        <w:t>on Neem-Based Bio pesticide Adoption in Tamil Nadu, India</w:t>
      </w:r>
    </w:p>
    <w:p w:rsidR="00453A9A" w:rsidRDefault="00B926BF" w:rsidP="00453A9A">
      <w:pPr>
        <w:pStyle w:val="NormalWeb"/>
        <w:spacing w:before="0" w:beforeAutospacing="0" w:after="0" w:afterAutospacing="0" w:line="360" w:lineRule="auto"/>
        <w:jc w:val="both"/>
      </w:pPr>
      <w:r>
        <w:rPr>
          <w:rStyle w:val="Strong"/>
        </w:rPr>
        <w:t>Abstract</w:t>
      </w:r>
      <w:r w:rsidR="00453A9A">
        <w:br/>
      </w:r>
      <w:r w:rsidR="00453A9A" w:rsidRPr="00453A9A">
        <w:rPr>
          <w:b/>
        </w:rPr>
        <w:t>Objectives:</w:t>
      </w:r>
      <w:bookmarkStart w:id="0" w:name="_GoBack"/>
      <w:bookmarkEnd w:id="0"/>
    </w:p>
    <w:p w:rsidR="00453A9A" w:rsidRDefault="00453A9A" w:rsidP="00453A9A">
      <w:pPr>
        <w:pStyle w:val="NormalWeb"/>
        <w:spacing w:before="0" w:beforeAutospacing="0" w:after="0" w:afterAutospacing="0" w:line="360" w:lineRule="auto"/>
        <w:jc w:val="both"/>
      </w:pPr>
      <w:r>
        <w:t>The study aimed to examine the determinants influencing farmers’ intention and behaviour toward the adoption of neem-based bio pesticides in Tamil Nadu, India, by integrating the Protection Motivation Theory (PMT) and the Unified Theory of Acceptance and Use of Technology (UTAUT).</w:t>
      </w:r>
    </w:p>
    <w:p w:rsidR="00453A9A" w:rsidRPr="00453A9A" w:rsidRDefault="00453A9A" w:rsidP="00453A9A">
      <w:pPr>
        <w:pStyle w:val="NormalWeb"/>
        <w:spacing w:before="0" w:beforeAutospacing="0" w:after="0" w:afterAutospacing="0" w:line="360" w:lineRule="auto"/>
        <w:jc w:val="both"/>
        <w:rPr>
          <w:b/>
        </w:rPr>
      </w:pPr>
      <w:r w:rsidRPr="00453A9A">
        <w:rPr>
          <w:b/>
        </w:rPr>
        <w:t>Methodology:</w:t>
      </w:r>
    </w:p>
    <w:p w:rsidR="00453A9A" w:rsidRDefault="00453A9A" w:rsidP="00453A9A">
      <w:pPr>
        <w:pStyle w:val="NormalWeb"/>
        <w:spacing w:before="0" w:beforeAutospacing="0" w:after="0" w:afterAutospacing="0" w:line="360" w:lineRule="auto"/>
        <w:jc w:val="both"/>
      </w:pPr>
      <w:r>
        <w:t>A descriptive research design was employed</w:t>
      </w:r>
      <w:r w:rsidR="00757C15">
        <w:t xml:space="preserve"> and</w:t>
      </w:r>
      <w:r>
        <w:t xml:space="preserve"> data were collected during 2023-2024 using a structured interview schedule. The measurement and structural models were validated using Partial Least Squares Structural Equation Modelling (PLS-SEM). Reliability, convergent</w:t>
      </w:r>
      <w:r w:rsidR="00757C15">
        <w:t xml:space="preserve"> and</w:t>
      </w:r>
      <w:r>
        <w:t xml:space="preserve"> discriminant validity were assessed</w:t>
      </w:r>
      <w:r w:rsidR="00757C15">
        <w:t xml:space="preserve"> and</w:t>
      </w:r>
      <w:r>
        <w:t xml:space="preserve"> relationships among constructs were analysed through SmartPLS 4 with 5,000 bootstrap resamples.</w:t>
      </w:r>
    </w:p>
    <w:p w:rsidR="00453A9A" w:rsidRPr="00453A9A" w:rsidRDefault="00453A9A" w:rsidP="00453A9A">
      <w:pPr>
        <w:pStyle w:val="NormalWeb"/>
        <w:spacing w:before="0" w:beforeAutospacing="0" w:after="0" w:afterAutospacing="0" w:line="360" w:lineRule="auto"/>
        <w:jc w:val="both"/>
        <w:rPr>
          <w:b/>
        </w:rPr>
      </w:pPr>
      <w:r w:rsidRPr="00453A9A">
        <w:rPr>
          <w:b/>
        </w:rPr>
        <w:t>Sampling Method:</w:t>
      </w:r>
    </w:p>
    <w:p w:rsidR="00453A9A" w:rsidRDefault="00453A9A" w:rsidP="00453A9A">
      <w:pPr>
        <w:pStyle w:val="NormalWeb"/>
        <w:spacing w:before="0" w:beforeAutospacing="0" w:after="0" w:afterAutospacing="0" w:line="360" w:lineRule="auto"/>
        <w:jc w:val="both"/>
      </w:pPr>
      <w:r>
        <w:t>A multistage random sampling technique was adopted to select 450 farmers from nine major agricultural districts of Tamil Nadu cultivating crops prone to pest incidence.</w:t>
      </w:r>
    </w:p>
    <w:p w:rsidR="00453A9A" w:rsidRPr="00453A9A" w:rsidRDefault="00453A9A" w:rsidP="00453A9A">
      <w:pPr>
        <w:pStyle w:val="NormalWeb"/>
        <w:spacing w:before="0" w:beforeAutospacing="0" w:after="0" w:afterAutospacing="0" w:line="360" w:lineRule="auto"/>
        <w:jc w:val="both"/>
        <w:rPr>
          <w:b/>
        </w:rPr>
      </w:pPr>
      <w:r w:rsidRPr="00453A9A">
        <w:rPr>
          <w:b/>
        </w:rPr>
        <w:t>Findings:</w:t>
      </w:r>
    </w:p>
    <w:p w:rsidR="00453A9A" w:rsidRPr="00453A9A" w:rsidRDefault="00453A9A" w:rsidP="00453A9A">
      <w:pPr>
        <w:pStyle w:val="NormalWeb"/>
        <w:spacing w:before="0" w:beforeAutospacing="0" w:after="0" w:afterAutospacing="0" w:line="360" w:lineRule="auto"/>
        <w:jc w:val="both"/>
        <w:rPr>
          <w:b/>
        </w:rPr>
      </w:pPr>
      <w:r>
        <w:t xml:space="preserve">The results revealed that </w:t>
      </w:r>
      <w:r w:rsidRPr="00453A9A">
        <w:t xml:space="preserve">coping appraisal strongly enhances adoption intention (β = 0.817, p &lt; 0.001; f² = 0.482), followed by threat appraisal (β = 0.354, p &lt; 0.001; f² = 0.168) and performance expectancy (β = 0.213, p &lt; 0.05; f² = 0.046), while efficacy expectation negatively influences intention (β = –0.548, p &lt; 0.001; f² = 0.120). Facilitating conditions positively support adoption (β = 0.102, p &lt; 0.05; f² = 0.032), whereas social influence is non-significant (β = 0.035, p &gt; 0.05; f² = 0.006). Adoption intention significantly mediates the relationship between motivational and contextual factors and actual adoption behaviour (β = 0.319, p &lt; 0.001; f² = 0.165). The integrated model explains (77.50%) of variance in adoption intention and (62.00%) in actual behaviour (R²). </w:t>
      </w:r>
      <w:r w:rsidRPr="00453A9A">
        <w:rPr>
          <w:b/>
        </w:rPr>
        <w:t>Conclusion:</w:t>
      </w:r>
    </w:p>
    <w:p w:rsidR="00453A9A" w:rsidRDefault="00453A9A" w:rsidP="00453A9A">
      <w:pPr>
        <w:pStyle w:val="NormalWeb"/>
        <w:spacing w:before="0" w:beforeAutospacing="0" w:after="0" w:afterAutospacing="0" w:line="360" w:lineRule="auto"/>
        <w:jc w:val="both"/>
      </w:pPr>
      <w:r>
        <w:t>The study concludes that farmers’ motivation to adopt neem-based bio pesticides largely depends on their confidence in coping ability and perceived performance benefits, whereas perceived complexity hinders adoption.</w:t>
      </w:r>
    </w:p>
    <w:p w:rsidR="00453A9A" w:rsidRPr="00453A9A" w:rsidRDefault="00453A9A" w:rsidP="00453A9A">
      <w:pPr>
        <w:pStyle w:val="NormalWeb"/>
        <w:spacing w:before="0" w:beforeAutospacing="0" w:after="0" w:afterAutospacing="0" w:line="360" w:lineRule="auto"/>
        <w:jc w:val="both"/>
        <w:rPr>
          <w:b/>
        </w:rPr>
      </w:pPr>
      <w:r w:rsidRPr="00453A9A">
        <w:rPr>
          <w:b/>
        </w:rPr>
        <w:lastRenderedPageBreak/>
        <w:t>Recommendation:</w:t>
      </w:r>
    </w:p>
    <w:p w:rsidR="00453A9A" w:rsidRDefault="00453A9A" w:rsidP="00453A9A">
      <w:pPr>
        <w:pStyle w:val="NormalWeb"/>
        <w:spacing w:before="0" w:beforeAutospacing="0" w:after="0" w:afterAutospacing="0" w:line="360" w:lineRule="auto"/>
        <w:jc w:val="both"/>
      </w:pPr>
      <w:r>
        <w:t>Policy interventions should focus on enhancing farmers’ self-efficacy, simplifying product use, improving awareness through field demonstrations</w:t>
      </w:r>
      <w:r w:rsidR="00757C15">
        <w:t xml:space="preserve"> and</w:t>
      </w:r>
      <w:r>
        <w:t xml:space="preserve"> ensuring market availability of quality neem-based bio pesticides to promote eco-friendly pest management practices in Tamil Nadu.</w:t>
      </w:r>
    </w:p>
    <w:p w:rsidR="00453A9A" w:rsidRDefault="00B926BF" w:rsidP="00453A9A">
      <w:pPr>
        <w:pStyle w:val="NormalWeb"/>
        <w:spacing w:before="0" w:beforeAutospacing="0" w:after="0" w:afterAutospacing="0" w:line="360" w:lineRule="auto"/>
        <w:jc w:val="both"/>
      </w:pPr>
      <w:r>
        <w:rPr>
          <w:rStyle w:val="Strong"/>
        </w:rPr>
        <w:t>Keywords</w:t>
      </w:r>
      <w:r>
        <w:t xml:space="preserve">: </w:t>
      </w:r>
      <w:r w:rsidR="00453A9A">
        <w:t>Adoption behaviour, Bio pesticides, PLS-SEM, Tamil Nadu</w:t>
      </w:r>
    </w:p>
    <w:p w:rsidR="00137570" w:rsidRDefault="008E041D" w:rsidP="00453A9A">
      <w:pPr>
        <w:pStyle w:val="NormalWeb"/>
        <w:spacing w:line="360" w:lineRule="auto"/>
        <w:jc w:val="both"/>
        <w:rPr>
          <w:b/>
        </w:rPr>
      </w:pPr>
      <w:r>
        <w:rPr>
          <w:b/>
        </w:rPr>
        <w:t>1. INTRODUCTION</w:t>
      </w:r>
    </w:p>
    <w:p w:rsidR="00A11BD2" w:rsidRDefault="00137570" w:rsidP="00A11BD2">
      <w:pPr>
        <w:pStyle w:val="NormalWeb"/>
        <w:spacing w:line="360" w:lineRule="auto"/>
        <w:jc w:val="both"/>
      </w:pPr>
      <w:r>
        <w:tab/>
      </w:r>
      <w:r w:rsidR="00A11BD2">
        <w:t>Agricultural intensification has long relied on chemical pesticides to protect crops from pests and diseases. However, indiscriminate use of synthetic pesticides has resulted in severe ecological and health concerns, including pesticide resistance, soil and water contamination</w:t>
      </w:r>
      <w:r w:rsidR="00757C15">
        <w:t xml:space="preserve"> and</w:t>
      </w:r>
      <w:r w:rsidR="00A11BD2">
        <w:t xml:space="preserve"> biodiversity loss (Popp </w:t>
      </w:r>
      <w:r w:rsidR="00A11BD2" w:rsidRPr="007B10A5">
        <w:rPr>
          <w:i/>
        </w:rPr>
        <w:t>et al</w:t>
      </w:r>
      <w:r w:rsidR="00A11BD2">
        <w:t xml:space="preserve">., 2013; </w:t>
      </w:r>
      <w:proofErr w:type="spellStart"/>
      <w:r w:rsidR="00381FB2" w:rsidRPr="00381FB2">
        <w:t>Wyckhuys</w:t>
      </w:r>
      <w:proofErr w:type="spellEnd"/>
      <w:r w:rsidR="00A11BD2">
        <w:t xml:space="preserve"> </w:t>
      </w:r>
      <w:r w:rsidR="00A11BD2" w:rsidRPr="00381FB2">
        <w:rPr>
          <w:i/>
        </w:rPr>
        <w:t>et al</w:t>
      </w:r>
      <w:r w:rsidR="00381FB2">
        <w:t>., 2023</w:t>
      </w:r>
      <w:r w:rsidR="00A11BD2">
        <w:t>). In India, pesticide overuse and misuse have been linked to adverse impacts on farmers’ health and declining environmental quality (</w:t>
      </w:r>
      <w:proofErr w:type="spellStart"/>
      <w:r w:rsidR="00A11BD2">
        <w:t>Tudi</w:t>
      </w:r>
      <w:proofErr w:type="spellEnd"/>
      <w:r w:rsidR="00A11BD2">
        <w:t xml:space="preserve"> </w:t>
      </w:r>
      <w:r w:rsidR="00A11BD2" w:rsidRPr="00381FB2">
        <w:rPr>
          <w:i/>
        </w:rPr>
        <w:t>et al</w:t>
      </w:r>
      <w:r w:rsidR="00A11BD2">
        <w:t>., 2021). These challenges have prompted global and national efforts to promote sustainable pest management practices such as Integrated Pest Management (IPM) and the use of bio pesticides, which are derived from natural plant, microbial, or min</w:t>
      </w:r>
      <w:r w:rsidR="00381FB2">
        <w:t xml:space="preserve">eral origins (Kumar </w:t>
      </w:r>
      <w:r w:rsidR="00381FB2" w:rsidRPr="00381FB2">
        <w:rPr>
          <w:i/>
        </w:rPr>
        <w:t>et al</w:t>
      </w:r>
      <w:r w:rsidR="00381FB2">
        <w:t>., 2021</w:t>
      </w:r>
      <w:r w:rsidR="00A11BD2">
        <w:t>).</w:t>
      </w:r>
    </w:p>
    <w:p w:rsidR="00A11BD2" w:rsidRDefault="00A11BD2" w:rsidP="00A11BD2">
      <w:pPr>
        <w:pStyle w:val="NormalWeb"/>
        <w:spacing w:line="360" w:lineRule="auto"/>
        <w:jc w:val="both"/>
      </w:pPr>
      <w:r>
        <w:tab/>
        <w:t>Among various bio pesticides, neem (</w:t>
      </w:r>
      <w:proofErr w:type="spellStart"/>
      <w:r w:rsidRPr="00A11BD2">
        <w:rPr>
          <w:i/>
        </w:rPr>
        <w:t>Azadirachta</w:t>
      </w:r>
      <w:proofErr w:type="spellEnd"/>
      <w:r w:rsidRPr="00A11BD2">
        <w:rPr>
          <w:i/>
        </w:rPr>
        <w:t xml:space="preserve"> </w:t>
      </w:r>
      <w:proofErr w:type="spellStart"/>
      <w:r w:rsidRPr="00A11BD2">
        <w:rPr>
          <w:i/>
        </w:rPr>
        <w:t>indica</w:t>
      </w:r>
      <w:proofErr w:type="spellEnd"/>
      <w:r>
        <w:t>)-based formulations have attracted significant attention because of their broad-spectrum efficacy against insect pests, biodegradability</w:t>
      </w:r>
      <w:r w:rsidR="00757C15">
        <w:t xml:space="preserve"> and</w:t>
      </w:r>
      <w:r>
        <w:t xml:space="preserve"> safety to non-target organisms (</w:t>
      </w:r>
      <w:proofErr w:type="spellStart"/>
      <w:r>
        <w:t>Isman</w:t>
      </w:r>
      <w:proofErr w:type="spellEnd"/>
      <w:r>
        <w:t xml:space="preserve">, 2020). Neem acts as a natural pest deterrent and is compatible with organic and IPM systems, making it a viable alternative to chemical pesticides. Despite these advantages, the adoption rate of neem-based </w:t>
      </w:r>
      <w:r w:rsidR="00381FB2">
        <w:t>bio pesticides</w:t>
      </w:r>
      <w:r>
        <w:t xml:space="preserve"> among Indian farmers remains relatively low (Narayanan </w:t>
      </w:r>
      <w:r w:rsidRPr="00381FB2">
        <w:rPr>
          <w:i/>
        </w:rPr>
        <w:t>et al</w:t>
      </w:r>
      <w:r>
        <w:t>., 2021). Limited awareness, inconsistent product quality</w:t>
      </w:r>
      <w:r w:rsidR="00757C15">
        <w:t xml:space="preserve"> and</w:t>
      </w:r>
      <w:r>
        <w:t xml:space="preserve"> perceptions of reduced efficacy have constrained their widespread use (Reddy </w:t>
      </w:r>
      <w:r w:rsidR="00381FB2" w:rsidRPr="00381FB2">
        <w:t>&amp; Chowdary</w:t>
      </w:r>
      <w:r w:rsidR="00381FB2">
        <w:t>, 2021</w:t>
      </w:r>
      <w:r>
        <w:t>). Understanding the behavioural, psychological</w:t>
      </w:r>
      <w:r w:rsidR="00757C15">
        <w:t xml:space="preserve"> and</w:t>
      </w:r>
      <w:r>
        <w:t xml:space="preserve"> contextual determinants influencing farmers’ adoption decisions is therefore critical for designing effective interventions to promote eco-friendly pest management.</w:t>
      </w:r>
    </w:p>
    <w:p w:rsidR="00A11BD2" w:rsidRDefault="00A11BD2" w:rsidP="00A11BD2">
      <w:pPr>
        <w:pStyle w:val="NormalWeb"/>
        <w:spacing w:line="360" w:lineRule="auto"/>
        <w:jc w:val="both"/>
      </w:pPr>
      <w:r>
        <w:tab/>
        <w:t xml:space="preserve">Neem (A. </w:t>
      </w:r>
      <w:proofErr w:type="spellStart"/>
      <w:r w:rsidRPr="00A11BD2">
        <w:rPr>
          <w:i/>
        </w:rPr>
        <w:t>indica</w:t>
      </w:r>
      <w:proofErr w:type="spellEnd"/>
      <w:r>
        <w:t>) contains a complex mixture of biologically active compounds responsible for its insecticidal, fungicidal</w:t>
      </w:r>
      <w:r w:rsidR="00757C15">
        <w:t xml:space="preserve"> and</w:t>
      </w:r>
      <w:r>
        <w:t xml:space="preserve"> antimicrobial properties. More than 300 phytochemicals have been identified from different parts of the plant, with </w:t>
      </w:r>
      <w:proofErr w:type="spellStart"/>
      <w:r>
        <w:t>azadirachtin</w:t>
      </w:r>
      <w:proofErr w:type="spellEnd"/>
      <w:r>
        <w:t xml:space="preserve">, </w:t>
      </w:r>
      <w:proofErr w:type="spellStart"/>
      <w:r>
        <w:t>salannin</w:t>
      </w:r>
      <w:proofErr w:type="spellEnd"/>
      <w:r>
        <w:t xml:space="preserve">, </w:t>
      </w:r>
      <w:proofErr w:type="spellStart"/>
      <w:r>
        <w:t>nimbin</w:t>
      </w:r>
      <w:proofErr w:type="spellEnd"/>
      <w:r>
        <w:t xml:space="preserve">, </w:t>
      </w:r>
      <w:proofErr w:type="spellStart"/>
      <w:r>
        <w:t>nimbidin</w:t>
      </w:r>
      <w:proofErr w:type="spellEnd"/>
      <w:r>
        <w:t xml:space="preserve">, </w:t>
      </w:r>
      <w:proofErr w:type="spellStart"/>
      <w:r>
        <w:t>meliantriol</w:t>
      </w:r>
      <w:proofErr w:type="spellEnd"/>
      <w:r w:rsidR="00757C15">
        <w:t xml:space="preserve"> and</w:t>
      </w:r>
      <w:r>
        <w:t xml:space="preserve"> </w:t>
      </w:r>
      <w:proofErr w:type="spellStart"/>
      <w:r>
        <w:t>gedunin</w:t>
      </w:r>
      <w:proofErr w:type="spellEnd"/>
      <w:r>
        <w:t xml:space="preserve"> being the most potent constituents (</w:t>
      </w:r>
      <w:proofErr w:type="spellStart"/>
      <w:r>
        <w:t>Isman</w:t>
      </w:r>
      <w:proofErr w:type="spellEnd"/>
      <w:r>
        <w:t xml:space="preserve">, 2020). </w:t>
      </w:r>
      <w:proofErr w:type="spellStart"/>
      <w:r>
        <w:lastRenderedPageBreak/>
        <w:t>Azadirachtin</w:t>
      </w:r>
      <w:proofErr w:type="spellEnd"/>
      <w:r>
        <w:t xml:space="preserve">, the major limonoid, disrupts insect growth and reproduction by interfering with </w:t>
      </w:r>
      <w:proofErr w:type="spellStart"/>
      <w:r>
        <w:t>ecdysteroid</w:t>
      </w:r>
      <w:proofErr w:type="spellEnd"/>
      <w:r>
        <w:t xml:space="preserve"> and juvenile hormone regulation, thereby preventing </w:t>
      </w:r>
      <w:proofErr w:type="spellStart"/>
      <w:r>
        <w:t>moulting</w:t>
      </w:r>
      <w:proofErr w:type="spellEnd"/>
      <w:r>
        <w:t xml:space="preserve"> and metamorphosis. </w:t>
      </w:r>
      <w:proofErr w:type="spellStart"/>
      <w:r>
        <w:t>Salannin</w:t>
      </w:r>
      <w:proofErr w:type="spellEnd"/>
      <w:r>
        <w:t xml:space="preserve"> and </w:t>
      </w:r>
      <w:proofErr w:type="spellStart"/>
      <w:r>
        <w:t>meliantriol</w:t>
      </w:r>
      <w:proofErr w:type="spellEnd"/>
      <w:r>
        <w:t xml:space="preserve"> function as strong feeding deterrents and oviposition inhibitors, while </w:t>
      </w:r>
      <w:proofErr w:type="spellStart"/>
      <w:r>
        <w:t>nimbin</w:t>
      </w:r>
      <w:proofErr w:type="spellEnd"/>
      <w:r>
        <w:t xml:space="preserve"> and </w:t>
      </w:r>
      <w:proofErr w:type="spellStart"/>
      <w:r>
        <w:t>nimbidin</w:t>
      </w:r>
      <w:proofErr w:type="spellEnd"/>
      <w:r>
        <w:t xml:space="preserve"> exhibit antifungal and antibacterial activities by altering fungal cell wall synthesis and membrane </w:t>
      </w:r>
      <w:r w:rsidR="00DC2F36">
        <w:t xml:space="preserve">permeability. </w:t>
      </w:r>
      <w:r>
        <w:t xml:space="preserve">Additionally, </w:t>
      </w:r>
      <w:proofErr w:type="spellStart"/>
      <w:r>
        <w:t>gedunin</w:t>
      </w:r>
      <w:proofErr w:type="spellEnd"/>
      <w:r>
        <w:t xml:space="preserve"> interferes with chitin biosynthesis and digestive enzymes, producing antifeedant and growth-inhibitory effects in pests. The synergistic action of these compounds targets multiple physiological pathways in insect pests, leading to effective and sustainable pest suppression without inducing resistance. These unique biochemical mechanisms make neem-based </w:t>
      </w:r>
      <w:r w:rsidR="00DC2F36">
        <w:t>bio pesticides</w:t>
      </w:r>
      <w:r>
        <w:t xml:space="preserve"> an environmentally sound and economically feasible alternative for sustainable pest management in Indian agriculture.</w:t>
      </w:r>
    </w:p>
    <w:p w:rsidR="00A11BD2" w:rsidRDefault="00A11BD2" w:rsidP="00A11BD2">
      <w:pPr>
        <w:pStyle w:val="NormalWeb"/>
        <w:spacing w:line="360" w:lineRule="auto"/>
        <w:jc w:val="both"/>
      </w:pPr>
      <w:r>
        <w:tab/>
        <w:t xml:space="preserve">Hence, the present study integrates PMT and UTAUT to identify the determinants influencing farmers’ intention and behaviour toward adopting neem-based </w:t>
      </w:r>
      <w:r w:rsidR="00DC2F36">
        <w:t>bio pesticides</w:t>
      </w:r>
      <w:r>
        <w:t xml:space="preserve"> in Tamil Nadu, India, during 2023-2024. Using Partial Least Squares Structural Equation Modelling (PLS-SEM), the study quantifies the relationships between cognitive appraisals, technology perceptions</w:t>
      </w:r>
      <w:r w:rsidR="00757C15">
        <w:t xml:space="preserve"> and</w:t>
      </w:r>
      <w:r>
        <w:t xml:space="preserve"> behavioural outcomes. The results are expected to provide theoretical insights into sustainable input adoption behaviour and practical guidance for promoting environmentally safe pest management among smallholder farmers.</w:t>
      </w:r>
    </w:p>
    <w:p w:rsidR="00036A20" w:rsidRDefault="00036A20" w:rsidP="00A11BD2">
      <w:pPr>
        <w:pStyle w:val="NormalWeb"/>
        <w:spacing w:line="360" w:lineRule="auto"/>
        <w:jc w:val="both"/>
        <w:rPr>
          <w:b/>
        </w:rPr>
      </w:pPr>
    </w:p>
    <w:p w:rsidR="00036A20" w:rsidRDefault="00036A20" w:rsidP="00A11BD2">
      <w:pPr>
        <w:pStyle w:val="NormalWeb"/>
        <w:spacing w:line="360" w:lineRule="auto"/>
        <w:jc w:val="both"/>
        <w:rPr>
          <w:b/>
        </w:rPr>
      </w:pPr>
    </w:p>
    <w:p w:rsidR="00137570" w:rsidRPr="00BA6CE6" w:rsidRDefault="008E041D" w:rsidP="00A11BD2">
      <w:pPr>
        <w:pStyle w:val="NormalWeb"/>
        <w:spacing w:line="360" w:lineRule="auto"/>
        <w:jc w:val="both"/>
        <w:rPr>
          <w:b/>
        </w:rPr>
      </w:pPr>
      <w:r>
        <w:rPr>
          <w:b/>
        </w:rPr>
        <w:t xml:space="preserve">2. </w:t>
      </w:r>
      <w:r w:rsidRPr="00BA6CE6">
        <w:rPr>
          <w:b/>
        </w:rPr>
        <w:t>THEORETICAL FRAMEWORK</w:t>
      </w:r>
    </w:p>
    <w:p w:rsidR="00137570" w:rsidRDefault="00137570" w:rsidP="00137570">
      <w:pPr>
        <w:pStyle w:val="NormalWeb"/>
        <w:spacing w:line="360" w:lineRule="auto"/>
        <w:jc w:val="both"/>
      </w:pPr>
      <w:r>
        <w:tab/>
        <w:t xml:space="preserve">The adoption of neem-based </w:t>
      </w:r>
      <w:r w:rsidR="00430237">
        <w:t>bio pesticides</w:t>
      </w:r>
      <w:r>
        <w:t xml:space="preserve"> is not only a technical choice but also a behavio</w:t>
      </w:r>
      <w:r w:rsidR="00FA5F75">
        <w:t>u</w:t>
      </w:r>
      <w:r>
        <w:t>ral process shaped by cognitive, psychological</w:t>
      </w:r>
      <w:r w:rsidR="00FA5F75">
        <w:t xml:space="preserve"> and</w:t>
      </w:r>
      <w:r>
        <w:t xml:space="preserve"> social factors. To capture these dynamics, this study integrates Protection Motivation Theory (PMT) (Rogers, 1975) and the Unified Theory of Acceptance and Use of Technology (UTAUT) (Venkatesh </w:t>
      </w:r>
      <w:r w:rsidRPr="00DC2F36">
        <w:rPr>
          <w:i/>
        </w:rPr>
        <w:t>et al</w:t>
      </w:r>
      <w:r>
        <w:t>., 2003). PMT explains adoption as a protective response driven by threat appraisal (perceptions of pest risk, yield loss</w:t>
      </w:r>
      <w:r w:rsidR="00FA5F75">
        <w:t xml:space="preserve"> and</w:t>
      </w:r>
      <w:r>
        <w:t xml:space="preserve"> chemical pesticide hazards) and coping appraisal (beliefs in neem efficacy, self-efficacy</w:t>
      </w:r>
      <w:r w:rsidR="00FA5F75">
        <w:t xml:space="preserve"> and</w:t>
      </w:r>
      <w:r>
        <w:t xml:space="preserve"> manageable costs). UTAUT complements this by focusing on performance expectancy (yield and cost benefits), effort expectancy (ease of use), social influence (peer and institutional support)</w:t>
      </w:r>
      <w:r w:rsidR="00FA5F75">
        <w:t xml:space="preserve"> </w:t>
      </w:r>
      <w:r w:rsidR="00FA5F75">
        <w:lastRenderedPageBreak/>
        <w:t>and</w:t>
      </w:r>
      <w:r>
        <w:t xml:space="preserve"> facilitating conditions (access, training</w:t>
      </w:r>
      <w:r w:rsidR="00FA5F75">
        <w:t xml:space="preserve"> and</w:t>
      </w:r>
      <w:r>
        <w:t xml:space="preserve"> availability). Integrating PMT and UTAUT provides a comprehensive model, recognizing that farmers’ decisions involve both risk-response motivations and technology acceptance drivers. The conceptual framework (Figure 1) posits that motivational and contextual determinants influence adoption intention, which in turn predicts actual adoption behavio</w:t>
      </w:r>
      <w:r w:rsidR="00FA5F75">
        <w:t>u</w:t>
      </w:r>
      <w:r>
        <w:t>r.</w:t>
      </w:r>
    </w:p>
    <w:p w:rsidR="008E041D" w:rsidRDefault="008E041D" w:rsidP="008E041D">
      <w:pPr>
        <w:pStyle w:val="NormalWeb"/>
        <w:spacing w:line="360" w:lineRule="auto"/>
        <w:jc w:val="both"/>
      </w:pPr>
      <w:r>
        <w:t>Hypotheses</w:t>
      </w:r>
    </w:p>
    <w:p w:rsidR="008E041D" w:rsidRDefault="008E041D" w:rsidP="008E041D">
      <w:pPr>
        <w:pStyle w:val="NormalWeb"/>
        <w:numPr>
          <w:ilvl w:val="0"/>
          <w:numId w:val="1"/>
        </w:numPr>
        <w:spacing w:line="360" w:lineRule="auto"/>
        <w:jc w:val="both"/>
      </w:pPr>
      <w:r>
        <w:t>H1: Threat appraisal → adoption intention</w:t>
      </w:r>
    </w:p>
    <w:p w:rsidR="008E041D" w:rsidRDefault="008E041D" w:rsidP="008E041D">
      <w:pPr>
        <w:pStyle w:val="NormalWeb"/>
        <w:numPr>
          <w:ilvl w:val="0"/>
          <w:numId w:val="1"/>
        </w:numPr>
        <w:spacing w:line="360" w:lineRule="auto"/>
        <w:jc w:val="both"/>
      </w:pPr>
      <w:r>
        <w:t>H2: Coping appraisal → adoption intention</w:t>
      </w:r>
    </w:p>
    <w:p w:rsidR="008E041D" w:rsidRDefault="008E041D" w:rsidP="008E041D">
      <w:pPr>
        <w:pStyle w:val="NormalWeb"/>
        <w:numPr>
          <w:ilvl w:val="0"/>
          <w:numId w:val="1"/>
        </w:numPr>
        <w:spacing w:line="360" w:lineRule="auto"/>
        <w:jc w:val="both"/>
      </w:pPr>
      <w:r>
        <w:t>H3: Performance expectancy → adoption intention</w:t>
      </w:r>
    </w:p>
    <w:p w:rsidR="008E041D" w:rsidRDefault="008E041D" w:rsidP="008E041D">
      <w:pPr>
        <w:pStyle w:val="NormalWeb"/>
        <w:numPr>
          <w:ilvl w:val="0"/>
          <w:numId w:val="1"/>
        </w:numPr>
        <w:spacing w:line="360" w:lineRule="auto"/>
        <w:jc w:val="both"/>
      </w:pPr>
      <w:r>
        <w:t>H4: Effort expectancy → adoption intention</w:t>
      </w:r>
    </w:p>
    <w:p w:rsidR="008E041D" w:rsidRDefault="008E041D" w:rsidP="008E041D">
      <w:pPr>
        <w:pStyle w:val="NormalWeb"/>
        <w:numPr>
          <w:ilvl w:val="0"/>
          <w:numId w:val="1"/>
        </w:numPr>
        <w:spacing w:line="360" w:lineRule="auto"/>
        <w:jc w:val="both"/>
      </w:pPr>
      <w:r>
        <w:t>H5: Social influence → adoption intention</w:t>
      </w:r>
    </w:p>
    <w:p w:rsidR="008E041D" w:rsidRDefault="008E041D" w:rsidP="008E041D">
      <w:pPr>
        <w:pStyle w:val="NormalWeb"/>
        <w:numPr>
          <w:ilvl w:val="0"/>
          <w:numId w:val="1"/>
        </w:numPr>
        <w:spacing w:line="360" w:lineRule="auto"/>
        <w:jc w:val="both"/>
      </w:pPr>
      <w:r>
        <w:t>H6: Facilitating conditions → adoption intention and actual use</w:t>
      </w:r>
    </w:p>
    <w:p w:rsidR="008E041D" w:rsidRDefault="008E041D" w:rsidP="008E041D">
      <w:pPr>
        <w:pStyle w:val="NormalWeb"/>
        <w:numPr>
          <w:ilvl w:val="0"/>
          <w:numId w:val="1"/>
        </w:numPr>
        <w:spacing w:line="360" w:lineRule="auto"/>
        <w:jc w:val="both"/>
      </w:pPr>
      <w:r>
        <w:t>H7: Adoption intention → actual adoption behavio</w:t>
      </w:r>
      <w:r w:rsidR="00FA5F75">
        <w:t>u</w:t>
      </w:r>
      <w:r>
        <w:t>r</w:t>
      </w:r>
    </w:p>
    <w:p w:rsidR="008E041D" w:rsidRDefault="008E041D" w:rsidP="008E041D">
      <w:pPr>
        <w:pStyle w:val="NormalWeb"/>
        <w:spacing w:line="360" w:lineRule="auto"/>
        <w:jc w:val="both"/>
      </w:pPr>
      <w:r>
        <w:tab/>
        <w:t xml:space="preserve">To test these hypotheses, Structural Equation Modeling (SEM) was employed to simultaneously assess measurement and structural relationships among constructs. This framework offers a robust basis for understanding and scaling neem-based </w:t>
      </w:r>
      <w:r w:rsidR="00430237">
        <w:t>bio pesticide</w:t>
      </w:r>
      <w:r>
        <w:t xml:space="preserve"> adoption in sustainable agriculture.</w:t>
      </w:r>
    </w:p>
    <w:p w:rsidR="008E041D" w:rsidRDefault="008E041D" w:rsidP="008E041D">
      <w:pPr>
        <w:pStyle w:val="NormalWeb"/>
        <w:spacing w:line="360" w:lineRule="auto"/>
        <w:jc w:val="both"/>
      </w:pPr>
    </w:p>
    <w:p w:rsidR="008E041D" w:rsidRPr="008E041D" w:rsidRDefault="008E041D" w:rsidP="008E041D">
      <w:pPr>
        <w:pStyle w:val="NormalWeb"/>
        <w:spacing w:line="360" w:lineRule="auto"/>
        <w:jc w:val="center"/>
      </w:pPr>
      <w:r w:rsidRPr="00F6665B">
        <w:rPr>
          <w:noProof/>
        </w:rPr>
        <w:lastRenderedPageBreak/>
        <w:drawing>
          <wp:inline distT="0" distB="0" distL="0" distR="0" wp14:anchorId="2A08321A" wp14:editId="1776E910">
            <wp:extent cx="5943600" cy="3863340"/>
            <wp:effectExtent l="0" t="0" r="0" b="3810"/>
            <wp:docPr id="2" name="Picture 2" descr="C:\Users\leonovo\Downloads\conceptual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ovo\Downloads\conceptual mo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63340"/>
                    </a:xfrm>
                    <a:prstGeom prst="rect">
                      <a:avLst/>
                    </a:prstGeom>
                    <a:noFill/>
                    <a:ln>
                      <a:noFill/>
                    </a:ln>
                  </pic:spPr>
                </pic:pic>
              </a:graphicData>
            </a:graphic>
          </wp:inline>
        </w:drawing>
      </w:r>
      <w:r w:rsidRPr="003D3178">
        <w:rPr>
          <w:b/>
        </w:rPr>
        <w:t>Figure 1. Integrated conceptual framework for farmers’ adoption of neem-based bio pesticides</w:t>
      </w:r>
    </w:p>
    <w:p w:rsidR="00137570" w:rsidRDefault="008E041D" w:rsidP="00137570">
      <w:pPr>
        <w:rPr>
          <w:rFonts w:ascii="Times New Roman" w:hAnsi="Times New Roman" w:cs="Times New Roman"/>
          <w:b/>
          <w:sz w:val="24"/>
          <w:szCs w:val="24"/>
        </w:rPr>
      </w:pPr>
      <w:r>
        <w:rPr>
          <w:rFonts w:ascii="Times New Roman" w:hAnsi="Times New Roman" w:cs="Times New Roman"/>
          <w:b/>
          <w:sz w:val="24"/>
          <w:szCs w:val="24"/>
        </w:rPr>
        <w:t>3.</w:t>
      </w:r>
      <w:r w:rsidR="00437D73">
        <w:rPr>
          <w:rFonts w:ascii="Times New Roman" w:hAnsi="Times New Roman" w:cs="Times New Roman"/>
          <w:b/>
          <w:sz w:val="24"/>
          <w:szCs w:val="24"/>
        </w:rPr>
        <w:t xml:space="preserve"> RESEARCH METHODOLOGY</w:t>
      </w:r>
    </w:p>
    <w:p w:rsidR="008E041D" w:rsidRDefault="008E041D"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E041D">
        <w:rPr>
          <w:rFonts w:ascii="Times New Roman" w:hAnsi="Times New Roman" w:cs="Times New Roman"/>
          <w:sz w:val="24"/>
          <w:szCs w:val="24"/>
        </w:rPr>
        <w:t>The study was conducted in Tamil Nadu, India, where diverse agro-ecological zones and intensive cultivation make pest management a critical issue.</w:t>
      </w:r>
      <w:r w:rsidR="00437D73" w:rsidRPr="00437D73">
        <w:t xml:space="preserve"> </w:t>
      </w:r>
      <w:r w:rsidR="00437D73" w:rsidRPr="00437D73">
        <w:rPr>
          <w:rFonts w:ascii="Times New Roman" w:hAnsi="Times New Roman" w:cs="Times New Roman"/>
          <w:sz w:val="24"/>
          <w:szCs w:val="24"/>
        </w:rPr>
        <w:t>A multistage sampling technique was employed. In the first stage, nine districts with relatively higher pesticide consumption and intensive cro</w:t>
      </w:r>
      <w:r w:rsidR="00437D73">
        <w:rPr>
          <w:rFonts w:ascii="Times New Roman" w:hAnsi="Times New Roman" w:cs="Times New Roman"/>
          <w:sz w:val="24"/>
          <w:szCs w:val="24"/>
        </w:rPr>
        <w:t>pping were purposively selected such as</w:t>
      </w:r>
      <w:r w:rsidR="00437D73" w:rsidRPr="00437D73">
        <w:rPr>
          <w:rFonts w:ascii="Times New Roman" w:hAnsi="Times New Roman" w:cs="Times New Roman"/>
          <w:sz w:val="24"/>
          <w:szCs w:val="24"/>
        </w:rPr>
        <w:t xml:space="preserve"> Madurai, Dindigul, Theni, Virudhunagar, Tirunelveli, Thoothukudi, Sivagangai, Tenkasi and Ramanathapuram. In the second stage, one block from each district was selected based on cropping intensity, pest vulnerability</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presence of active farmer communities. At the final stage, two representative villages from each block were chosen, resulting in </w:t>
      </w:r>
      <w:r w:rsidR="00AB0CD3">
        <w:rPr>
          <w:rFonts w:ascii="Times New Roman" w:hAnsi="Times New Roman" w:cs="Times New Roman"/>
          <w:sz w:val="24"/>
          <w:szCs w:val="24"/>
        </w:rPr>
        <w:t xml:space="preserve">a total of </w:t>
      </w:r>
      <w:r w:rsidR="00437D73" w:rsidRPr="00437D73">
        <w:rPr>
          <w:rFonts w:ascii="Times New Roman" w:hAnsi="Times New Roman" w:cs="Times New Roman"/>
          <w:sz w:val="24"/>
          <w:szCs w:val="24"/>
        </w:rPr>
        <w:t>18 villages. Within each village, farm households were selected using simple random sampling,</w:t>
      </w:r>
      <w:r w:rsidR="00FA5F75">
        <w:rPr>
          <w:rFonts w:ascii="Times New Roman" w:hAnsi="Times New Roman" w:cs="Times New Roman"/>
          <w:sz w:val="24"/>
          <w:szCs w:val="24"/>
        </w:rPr>
        <w:t xml:space="preserve"> yielding a total sample of 450 </w:t>
      </w:r>
      <w:r w:rsidR="00437D73" w:rsidRPr="00437D73">
        <w:rPr>
          <w:rFonts w:ascii="Times New Roman" w:hAnsi="Times New Roman" w:cs="Times New Roman"/>
          <w:sz w:val="24"/>
          <w:szCs w:val="24"/>
        </w:rPr>
        <w:t>farmers.</w:t>
      </w:r>
      <w:r w:rsidR="00437D73" w:rsidRPr="00437D73">
        <w:t xml:space="preserve"> </w:t>
      </w:r>
      <w:r w:rsidR="00437D73" w:rsidRPr="00437D73">
        <w:rPr>
          <w:rFonts w:ascii="Times New Roman" w:hAnsi="Times New Roman" w:cs="Times New Roman"/>
          <w:sz w:val="24"/>
          <w:szCs w:val="24"/>
        </w:rPr>
        <w:t>A structured questionnaire, based on Protection Motivation Theory (PMT) and the Unified Theory of Acceptance and Use of Technology (UTAUT), measured variables such as threat appraisal, coping appraisal, performance expectancy, effort expectancy, social influence, facilitating conditions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w:t>
      </w:r>
      <w:r w:rsidR="00971114">
        <w:rPr>
          <w:rFonts w:ascii="Times New Roman" w:hAnsi="Times New Roman" w:cs="Times New Roman"/>
          <w:sz w:val="24"/>
          <w:szCs w:val="24"/>
        </w:rPr>
        <w:lastRenderedPageBreak/>
        <w:t>behaviour</w:t>
      </w:r>
      <w:r w:rsidR="00437D73" w:rsidRPr="00437D73">
        <w:rPr>
          <w:rFonts w:ascii="Times New Roman" w:hAnsi="Times New Roman" w:cs="Times New Roman"/>
          <w:sz w:val="24"/>
          <w:szCs w:val="24"/>
        </w:rPr>
        <w:t xml:space="preserve">al intention </w:t>
      </w:r>
      <w:r w:rsidR="00AB0CD3">
        <w:rPr>
          <w:rFonts w:ascii="Times New Roman" w:hAnsi="Times New Roman" w:cs="Times New Roman"/>
          <w:sz w:val="24"/>
          <w:szCs w:val="24"/>
        </w:rPr>
        <w:t>using</w:t>
      </w:r>
      <w:r w:rsidR="00437D73" w:rsidRPr="00437D73">
        <w:rPr>
          <w:rFonts w:ascii="Times New Roman" w:hAnsi="Times New Roman" w:cs="Times New Roman"/>
          <w:sz w:val="24"/>
          <w:szCs w:val="24"/>
        </w:rPr>
        <w:t xml:space="preserve"> a five-point Likert scale. The instrument was pre-tested with 30 farmers for clarity and contextual relevance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data were collected through face-to-face interviews. Analysis was conducted using Partial Least Squares Structural Equation Modeling (PLS-SEM) in SmartPLS 4.0, with measurement reliability and validity assessed through Cronbach’s alpha, composite reliability, average variance extracted (AVE)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discriminant validity (</w:t>
      </w:r>
      <w:proofErr w:type="spellStart"/>
      <w:r w:rsidR="00437D73" w:rsidRPr="00437D73">
        <w:rPr>
          <w:rFonts w:ascii="Times New Roman" w:hAnsi="Times New Roman" w:cs="Times New Roman"/>
          <w:sz w:val="24"/>
          <w:szCs w:val="24"/>
        </w:rPr>
        <w:t>Fornell-Larcker</w:t>
      </w:r>
      <w:proofErr w:type="spellEnd"/>
      <w:r w:rsidR="00437D73" w:rsidRPr="00437D73">
        <w:rPr>
          <w:rFonts w:ascii="Times New Roman" w:hAnsi="Times New Roman" w:cs="Times New Roman"/>
          <w:sz w:val="24"/>
          <w:szCs w:val="24"/>
        </w:rPr>
        <w:t xml:space="preserve"> and HTMT). Structural relationships were tested using bootstrapping with 5,000 resamples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sample size was considered adequate under the “10-times rule” for SEM.</w:t>
      </w:r>
    </w:p>
    <w:p w:rsidR="00437D73" w:rsidRDefault="00437D73" w:rsidP="008E041D">
      <w:pPr>
        <w:spacing w:line="360" w:lineRule="auto"/>
        <w:jc w:val="both"/>
        <w:rPr>
          <w:rFonts w:ascii="Times New Roman" w:hAnsi="Times New Roman" w:cs="Times New Roman"/>
          <w:b/>
          <w:sz w:val="24"/>
          <w:szCs w:val="24"/>
        </w:rPr>
      </w:pPr>
      <w:r w:rsidRPr="00437D73">
        <w:rPr>
          <w:rFonts w:ascii="Times New Roman" w:hAnsi="Times New Roman" w:cs="Times New Roman"/>
          <w:b/>
          <w:sz w:val="24"/>
          <w:szCs w:val="24"/>
        </w:rPr>
        <w:t>4. RESULTS</w:t>
      </w:r>
    </w:p>
    <w:p w:rsidR="00933E1B" w:rsidRPr="00437D73" w:rsidRDefault="00933E1B" w:rsidP="008E0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933E1B">
        <w:rPr>
          <w:rFonts w:ascii="Times New Roman" w:hAnsi="Times New Roman" w:cs="Times New Roman"/>
          <w:b/>
          <w:sz w:val="24"/>
          <w:szCs w:val="24"/>
        </w:rPr>
        <w:t xml:space="preserve">. </w:t>
      </w:r>
      <w:r>
        <w:rPr>
          <w:rFonts w:ascii="Times New Roman" w:hAnsi="Times New Roman" w:cs="Times New Roman"/>
          <w:b/>
          <w:sz w:val="24"/>
          <w:szCs w:val="24"/>
        </w:rPr>
        <w:t>Measurement</w:t>
      </w:r>
      <w:r w:rsidRPr="00933E1B">
        <w:rPr>
          <w:rFonts w:ascii="Times New Roman" w:hAnsi="Times New Roman" w:cs="Times New Roman"/>
          <w:b/>
          <w:sz w:val="24"/>
          <w:szCs w:val="24"/>
        </w:rPr>
        <w:t xml:space="preserve"> model evaluation</w:t>
      </w:r>
    </w:p>
    <w:p w:rsidR="00437D73" w:rsidRDefault="00437D73"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7D73">
        <w:rPr>
          <w:rFonts w:ascii="Times New Roman" w:hAnsi="Times New Roman" w:cs="Times New Roman"/>
          <w:sz w:val="24"/>
          <w:szCs w:val="24"/>
        </w:rPr>
        <w:t>The measurement model demonstrated satisfactory reliability and validity. Cronbach’s alpha and composite reliability (</w:t>
      </w:r>
      <w:proofErr w:type="spellStart"/>
      <w:r w:rsidRPr="00437D73">
        <w:rPr>
          <w:rFonts w:ascii="Times New Roman" w:hAnsi="Times New Roman" w:cs="Times New Roman"/>
          <w:sz w:val="24"/>
          <w:szCs w:val="24"/>
        </w:rPr>
        <w:t>ρc</w:t>
      </w:r>
      <w:proofErr w:type="spellEnd"/>
      <w:r w:rsidRPr="00437D73">
        <w:rPr>
          <w:rFonts w:ascii="Times New Roman" w:hAnsi="Times New Roman" w:cs="Times New Roman"/>
          <w:sz w:val="24"/>
          <w:szCs w:val="24"/>
        </w:rPr>
        <w:t>) values exceeded 0.70</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AVE values were above 0.50, confirming internal consistency and convergent validity, while all item loadings surpassed 0.70 (Table 1, Table 2). Discriminant validity was established as the square root of AVE values exceeded inter-construct correlations and all HTMT ratios were below 0.90 (Table 3, Table 4). CFA results also indicated a good model fit</w:t>
      </w:r>
      <w:r w:rsidR="00933E1B">
        <w:rPr>
          <w:rFonts w:ascii="Times New Roman" w:hAnsi="Times New Roman" w:cs="Times New Roman"/>
          <w:sz w:val="24"/>
          <w:szCs w:val="24"/>
        </w:rPr>
        <w:t xml:space="preserve"> (Table 5)</w:t>
      </w:r>
      <w:r w:rsidRPr="00437D73">
        <w:rPr>
          <w:rFonts w:ascii="Times New Roman" w:hAnsi="Times New Roman" w:cs="Times New Roman"/>
          <w:sz w:val="24"/>
          <w:szCs w:val="24"/>
        </w:rPr>
        <w:t xml:space="preserve"> (χ²/df = 2.45, CFI = 0.927, TLI = 0.965, GFI = 0.912, NFI = 0.939, RMSEA = 0.055, RMR = 0.060), thereby confirming that the constructs were reliable, valid</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suitable for subsequent structural analysis.</w:t>
      </w:r>
    </w:p>
    <w:p w:rsidR="00933E1B" w:rsidRDefault="00933E1B" w:rsidP="00933E1B">
      <w:pPr>
        <w:spacing w:after="0" w:line="360" w:lineRule="auto"/>
        <w:jc w:val="center"/>
        <w:rPr>
          <w:rFonts w:ascii="Times New Roman" w:hAnsi="Times New Roman" w:cs="Times New Roman"/>
          <w:b/>
          <w:sz w:val="24"/>
          <w:szCs w:val="24"/>
        </w:rPr>
      </w:pPr>
      <w:r w:rsidRPr="001A5DBB">
        <w:rPr>
          <w:rFonts w:ascii="Times New Roman" w:hAnsi="Times New Roman" w:cs="Times New Roman"/>
          <w:b/>
          <w:sz w:val="24"/>
          <w:szCs w:val="24"/>
        </w:rPr>
        <w:t>Table 1. Reliability and convergent validity statistics for the measurement model constructs</w:t>
      </w:r>
    </w:p>
    <w:tbl>
      <w:tblPr>
        <w:tblW w:w="5000" w:type="pct"/>
        <w:tblCellMar>
          <w:top w:w="15" w:type="dxa"/>
          <w:left w:w="15" w:type="dxa"/>
          <w:bottom w:w="15" w:type="dxa"/>
          <w:right w:w="15" w:type="dxa"/>
        </w:tblCellMar>
        <w:tblLook w:val="04A0" w:firstRow="1" w:lastRow="0" w:firstColumn="1" w:lastColumn="0" w:noHBand="0" w:noVBand="1"/>
      </w:tblPr>
      <w:tblGrid>
        <w:gridCol w:w="747"/>
        <w:gridCol w:w="1727"/>
        <w:gridCol w:w="2226"/>
        <w:gridCol w:w="2220"/>
        <w:gridCol w:w="2424"/>
      </w:tblGrid>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Cronbach's alpha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rho_a</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rho_c</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Average variance extracted (AVE)</w:t>
            </w:r>
          </w:p>
        </w:tc>
      </w:tr>
      <w:tr w:rsidR="00933E1B" w:rsidRPr="00BC7281" w:rsidTr="00971114">
        <w:trPr>
          <w:trHeight w:val="17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0.700</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0.797</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0.883</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0.769</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0.806</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-0.123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0.600</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0.713</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0.694</w:t>
            </w:r>
          </w:p>
        </w:tc>
      </w:tr>
    </w:tbl>
    <w:p w:rsidR="00933E1B" w:rsidRDefault="00933E1B" w:rsidP="00933E1B">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2. Indicator loadings and item reliability for the measurement model c</w:t>
      </w:r>
      <w:r w:rsidRPr="003101B2">
        <w:rPr>
          <w:rFonts w:ascii="Times New Roman" w:hAnsi="Times New Roman" w:cs="Times New Roman"/>
          <w:b/>
          <w:sz w:val="24"/>
          <w:szCs w:val="24"/>
        </w:rPr>
        <w:t>onstructs</w:t>
      </w:r>
    </w:p>
    <w:tbl>
      <w:tblPr>
        <w:tblW w:w="5000" w:type="pct"/>
        <w:tblCellMar>
          <w:top w:w="15" w:type="dxa"/>
          <w:left w:w="15" w:type="dxa"/>
          <w:bottom w:w="15" w:type="dxa"/>
          <w:right w:w="15" w:type="dxa"/>
        </w:tblCellMar>
        <w:tblLook w:val="04A0" w:firstRow="1" w:lastRow="0" w:firstColumn="1" w:lastColumn="0" w:noHBand="0" w:noVBand="1"/>
      </w:tblPr>
      <w:tblGrid>
        <w:gridCol w:w="1139"/>
        <w:gridCol w:w="1025"/>
        <w:gridCol w:w="1025"/>
        <w:gridCol w:w="1025"/>
        <w:gridCol w:w="1026"/>
        <w:gridCol w:w="1026"/>
        <w:gridCol w:w="1026"/>
        <w:gridCol w:w="1026"/>
        <w:gridCol w:w="1026"/>
      </w:tblGrid>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0.844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0.875</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0.742</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0.835</w:t>
            </w:r>
          </w:p>
        </w:tc>
      </w:tr>
    </w:tbl>
    <w:p w:rsidR="00971114" w:rsidRDefault="00971114" w:rsidP="00933E1B">
      <w:pPr>
        <w:spacing w:after="0" w:line="360" w:lineRule="auto"/>
        <w:jc w:val="center"/>
        <w:rPr>
          <w:rFonts w:ascii="Times New Roman" w:hAnsi="Times New Roman" w:cs="Times New Roman"/>
          <w:b/>
          <w:sz w:val="24"/>
          <w:szCs w:val="24"/>
        </w:rPr>
      </w:pPr>
    </w:p>
    <w:p w:rsidR="00971114" w:rsidRDefault="00971114" w:rsidP="00933E1B">
      <w:pPr>
        <w:spacing w:after="0" w:line="360" w:lineRule="auto"/>
        <w:jc w:val="center"/>
        <w:rPr>
          <w:rFonts w:ascii="Times New Roman" w:hAnsi="Times New Roman" w:cs="Times New Roman"/>
          <w:b/>
          <w:sz w:val="24"/>
          <w:szCs w:val="24"/>
        </w:rPr>
      </w:pPr>
    </w:p>
    <w:p w:rsidR="00971114" w:rsidRDefault="00971114" w:rsidP="00933E1B">
      <w:pPr>
        <w:spacing w:after="0" w:line="360" w:lineRule="auto"/>
        <w:jc w:val="center"/>
        <w:rPr>
          <w:rFonts w:ascii="Times New Roman" w:hAnsi="Times New Roman" w:cs="Times New Roman"/>
          <w:b/>
          <w:sz w:val="24"/>
          <w:szCs w:val="24"/>
        </w:rPr>
      </w:pPr>
    </w:p>
    <w:p w:rsidR="00933E1B" w:rsidRDefault="00933E1B" w:rsidP="00933E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proofErr w:type="spellStart"/>
      <w:r>
        <w:rPr>
          <w:rFonts w:ascii="Times New Roman" w:hAnsi="Times New Roman" w:cs="Times New Roman"/>
          <w:b/>
          <w:sz w:val="24"/>
          <w:szCs w:val="24"/>
        </w:rPr>
        <w:t>Fornell-</w:t>
      </w:r>
      <w:r w:rsidRPr="00C2770D">
        <w:rPr>
          <w:rFonts w:ascii="Times New Roman" w:hAnsi="Times New Roman" w:cs="Times New Roman"/>
          <w:b/>
          <w:sz w:val="24"/>
          <w:szCs w:val="24"/>
        </w:rPr>
        <w:t>Larcker</w:t>
      </w:r>
      <w:proofErr w:type="spellEnd"/>
      <w:r w:rsidRPr="00C2770D">
        <w:rPr>
          <w:rFonts w:ascii="Times New Roman" w:hAnsi="Times New Roman" w:cs="Times New Roman"/>
          <w:b/>
          <w:sz w:val="24"/>
          <w:szCs w:val="24"/>
        </w:rPr>
        <w:t xml:space="preserve"> criterion results confirming discriminant validity of the constructs in the neem-based </w:t>
      </w:r>
      <w:r w:rsidR="00430237" w:rsidRPr="00C2770D">
        <w:rPr>
          <w:rFonts w:ascii="Times New Roman" w:hAnsi="Times New Roman" w:cs="Times New Roman"/>
          <w:b/>
          <w:sz w:val="24"/>
          <w:szCs w:val="24"/>
        </w:rPr>
        <w:t>bio pesticide</w:t>
      </w:r>
      <w:r w:rsidRPr="00C2770D">
        <w:rPr>
          <w:rFonts w:ascii="Times New Roman" w:hAnsi="Times New Roman" w:cs="Times New Roman"/>
          <w:b/>
          <w:sz w:val="24"/>
          <w:szCs w:val="24"/>
        </w:rPr>
        <w:t xml:space="preserve"> adoption model</w:t>
      </w:r>
    </w:p>
    <w:tbl>
      <w:tblPr>
        <w:tblW w:w="5000" w:type="pct"/>
        <w:tblCellMar>
          <w:top w:w="15" w:type="dxa"/>
          <w:left w:w="15" w:type="dxa"/>
          <w:bottom w:w="15" w:type="dxa"/>
          <w:right w:w="15" w:type="dxa"/>
        </w:tblCellMar>
        <w:tblLook w:val="04A0" w:firstRow="1" w:lastRow="0" w:firstColumn="1" w:lastColumn="0" w:noHBand="0" w:noVBand="1"/>
      </w:tblPr>
      <w:tblGrid>
        <w:gridCol w:w="1028"/>
        <w:gridCol w:w="1075"/>
        <w:gridCol w:w="1075"/>
        <w:gridCol w:w="1075"/>
        <w:gridCol w:w="1075"/>
        <w:gridCol w:w="1075"/>
        <w:gridCol w:w="1075"/>
        <w:gridCol w:w="1075"/>
        <w:gridCol w:w="791"/>
      </w:tblGrid>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bl>
    <w:p w:rsidR="00933E1B" w:rsidRDefault="00933E1B" w:rsidP="00933E1B">
      <w:pPr>
        <w:tabs>
          <w:tab w:val="left" w:pos="666"/>
        </w:tabs>
        <w:spacing w:before="240" w:line="360" w:lineRule="auto"/>
        <w:jc w:val="center"/>
        <w:rPr>
          <w:rFonts w:ascii="Times New Roman" w:hAnsi="Times New Roman" w:cs="Times New Roman"/>
          <w:b/>
          <w:sz w:val="24"/>
          <w:szCs w:val="24"/>
        </w:rPr>
      </w:pPr>
      <w:r w:rsidRPr="00C2770D">
        <w:rPr>
          <w:rFonts w:ascii="Times New Roman" w:hAnsi="Times New Roman" w:cs="Times New Roman"/>
          <w:b/>
          <w:sz w:val="24"/>
          <w:szCs w:val="24"/>
        </w:rPr>
        <w:t>Table 4. HTMT ratio of correlations demonstrating discriminant validity among latent constructs in the i</w:t>
      </w:r>
      <w:r>
        <w:rPr>
          <w:rFonts w:ascii="Times New Roman" w:hAnsi="Times New Roman" w:cs="Times New Roman"/>
          <w:b/>
          <w:sz w:val="24"/>
          <w:szCs w:val="24"/>
        </w:rPr>
        <w:t>ntegrated Protection Motivation-</w:t>
      </w:r>
      <w:r w:rsidRPr="00C2770D">
        <w:rPr>
          <w:rFonts w:ascii="Times New Roman" w:hAnsi="Times New Roman" w:cs="Times New Roman"/>
          <w:b/>
          <w:sz w:val="24"/>
          <w:szCs w:val="24"/>
        </w:rPr>
        <w:t>UTAUT framework</w:t>
      </w:r>
    </w:p>
    <w:tbl>
      <w:tblPr>
        <w:tblW w:w="5000" w:type="pct"/>
        <w:tblCellMar>
          <w:top w:w="15" w:type="dxa"/>
          <w:left w:w="15" w:type="dxa"/>
          <w:bottom w:w="15" w:type="dxa"/>
          <w:right w:w="15" w:type="dxa"/>
        </w:tblCellMar>
        <w:tblLook w:val="04A0" w:firstRow="1" w:lastRow="0" w:firstColumn="1" w:lastColumn="0" w:noHBand="0" w:noVBand="1"/>
      </w:tblPr>
      <w:tblGrid>
        <w:gridCol w:w="936"/>
        <w:gridCol w:w="1076"/>
        <w:gridCol w:w="1076"/>
        <w:gridCol w:w="1076"/>
        <w:gridCol w:w="1076"/>
        <w:gridCol w:w="1076"/>
        <w:gridCol w:w="976"/>
        <w:gridCol w:w="1076"/>
        <w:gridCol w:w="976"/>
      </w:tblGrid>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0.546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0.775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0.833</w:t>
            </w:r>
          </w:p>
        </w:tc>
      </w:tr>
    </w:tbl>
    <w:p w:rsidR="00933E1B" w:rsidRDefault="00933E1B" w:rsidP="00971114">
      <w:pPr>
        <w:spacing w:before="240" w:line="360" w:lineRule="auto"/>
        <w:jc w:val="center"/>
        <w:rPr>
          <w:rFonts w:ascii="Times New Roman" w:hAnsi="Times New Roman" w:cs="Times New Roman"/>
          <w:b/>
          <w:sz w:val="24"/>
          <w:szCs w:val="24"/>
        </w:rPr>
      </w:pPr>
      <w:r w:rsidRPr="00012742">
        <w:rPr>
          <w:rFonts w:ascii="Times New Roman" w:hAnsi="Times New Roman" w:cs="Times New Roman"/>
          <w:b/>
          <w:sz w:val="24"/>
          <w:szCs w:val="24"/>
        </w:rPr>
        <w:t>Table 5. Goodness-of-fit indices of the CFA model</w:t>
      </w:r>
    </w:p>
    <w:tbl>
      <w:tblPr>
        <w:tblStyle w:val="TableGrid"/>
        <w:tblW w:w="0" w:type="auto"/>
        <w:tblLook w:val="04A0" w:firstRow="1" w:lastRow="0" w:firstColumn="1" w:lastColumn="0" w:noHBand="0" w:noVBand="1"/>
      </w:tblPr>
      <w:tblGrid>
        <w:gridCol w:w="1985"/>
        <w:gridCol w:w="1247"/>
        <w:gridCol w:w="1558"/>
        <w:gridCol w:w="1270"/>
        <w:gridCol w:w="1900"/>
        <w:gridCol w:w="1390"/>
      </w:tblGrid>
      <w:tr w:rsidR="00933E1B" w:rsidRPr="00012742" w:rsidTr="00971114">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Index Category</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Statistic</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Obtained Value</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Threshold</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Reference</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Assessment</w:t>
            </w:r>
          </w:p>
        </w:tc>
      </w:tr>
      <w:tr w:rsidR="00933E1B" w:rsidRPr="00012742" w:rsidTr="00971114">
        <w:tc>
          <w:tcPr>
            <w:tcW w:w="0" w:type="auto"/>
            <w:vMerge w:val="restart"/>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Absolute Fit Measure</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TLI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0.951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RMSEA</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0.061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xml:space="preserve">Hu and </w:t>
            </w: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(1999)</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restart"/>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Incremental Fit Indices</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NFI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0.921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GFI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0.905</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0.936</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RMR</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0.057</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xml:space="preserve">Hu and </w:t>
            </w: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(1999)</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Chi-Square Fit</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χ² / df</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2.62</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3.00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Wheaton et al. (1977)</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bl>
    <w:p w:rsidR="00933E1B" w:rsidRDefault="00933E1B" w:rsidP="008E041D">
      <w:pPr>
        <w:spacing w:line="360" w:lineRule="auto"/>
        <w:jc w:val="both"/>
        <w:rPr>
          <w:rFonts w:ascii="Times New Roman" w:hAnsi="Times New Roman" w:cs="Times New Roman"/>
          <w:sz w:val="24"/>
          <w:szCs w:val="24"/>
        </w:rPr>
      </w:pPr>
    </w:p>
    <w:p w:rsidR="00971114" w:rsidRDefault="00971114" w:rsidP="00933E1B">
      <w:pPr>
        <w:spacing w:line="360" w:lineRule="auto"/>
        <w:jc w:val="both"/>
        <w:rPr>
          <w:rFonts w:ascii="Times New Roman" w:hAnsi="Times New Roman" w:cs="Times New Roman"/>
          <w:b/>
          <w:sz w:val="24"/>
          <w:szCs w:val="24"/>
        </w:rPr>
      </w:pPr>
    </w:p>
    <w:p w:rsidR="00933E1B" w:rsidRPr="00933E1B" w:rsidRDefault="00933E1B" w:rsidP="00933E1B">
      <w:pPr>
        <w:spacing w:line="360" w:lineRule="auto"/>
        <w:jc w:val="both"/>
        <w:rPr>
          <w:rFonts w:ascii="Times New Roman" w:hAnsi="Times New Roman" w:cs="Times New Roman"/>
          <w:b/>
          <w:sz w:val="24"/>
          <w:szCs w:val="24"/>
        </w:rPr>
      </w:pPr>
      <w:r w:rsidRPr="00933E1B">
        <w:rPr>
          <w:rFonts w:ascii="Times New Roman" w:hAnsi="Times New Roman" w:cs="Times New Roman"/>
          <w:b/>
          <w:sz w:val="24"/>
          <w:szCs w:val="24"/>
        </w:rPr>
        <w:lastRenderedPageBreak/>
        <w:t>4.2. Structural model evaluation</w:t>
      </w:r>
      <w:r w:rsidRPr="00933E1B">
        <w:rPr>
          <w:rFonts w:ascii="Times New Roman" w:hAnsi="Times New Roman" w:cs="Times New Roman"/>
          <w:b/>
          <w:sz w:val="24"/>
          <w:szCs w:val="24"/>
        </w:rPr>
        <w:tab/>
      </w:r>
    </w:p>
    <w:p w:rsidR="00933E1B" w:rsidRDefault="003C02B8" w:rsidP="00933E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3E1B" w:rsidRPr="00933E1B">
        <w:rPr>
          <w:rFonts w:ascii="Times New Roman" w:hAnsi="Times New Roman" w:cs="Times New Roman"/>
          <w:sz w:val="24"/>
          <w:szCs w:val="24"/>
        </w:rPr>
        <w:t xml:space="preserve">The structural model showed strong explanatory power, with R² values of 0.775 for adoption intention (FI) and 0.620 for actual adoption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(AAB), indicating that the integrated PMT–UTAUT framework effectively captured farmers’ decision-making. Effect size (f²) analysis revealed that coping appraisal (CA) had a substantial impact on intention (f² = 0.482), threat appraisal (TA) and intention 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(FI → AAB) had medium effects (f² = 0.168 and 0.165), performance expectancy (PE) and facilitating conditions (FC) had small effects (f² = 0.046 and 0.032), efficacy expectation (EE) had a medium negative effect (f² = 0.120)</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social influence (SI) was trivial (f² = 0.006). Path coefficient analysis confirmed these patterns: CA strongly predicted intention (β = 0.817, p &lt; 0.001), followed by TA (β = 0.354, p &lt; 0.001), PE (β = 0.213, p &lt; 0.05)</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FC (β = 0.102, p &lt; 0.05), while EE negatively influenced intention (β = –0.548, p &lt; 0.001) and SI was non-significant (β = 0.035, p &gt; 0.05). FI significantly predicted AAB (β = 0.319, p &lt; 0.001), highlighting its mediating role. Detailed path coefficients, effect sizes</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explanatory power for all constructs are presented in Table 6, demonstrating that cognitive appraisals and perceived benefits are key drivers of neem-based </w:t>
      </w:r>
      <w:r w:rsidR="00971114" w:rsidRPr="00933E1B">
        <w:rPr>
          <w:rFonts w:ascii="Times New Roman" w:hAnsi="Times New Roman" w:cs="Times New Roman"/>
          <w:sz w:val="24"/>
          <w:szCs w:val="24"/>
        </w:rPr>
        <w:t>bio pesticide</w:t>
      </w:r>
      <w:r w:rsidR="00933E1B" w:rsidRPr="00933E1B">
        <w:rPr>
          <w:rFonts w:ascii="Times New Roman" w:hAnsi="Times New Roman" w:cs="Times New Roman"/>
          <w:sz w:val="24"/>
          <w:szCs w:val="24"/>
        </w:rPr>
        <w:t xml:space="preserve"> adoption, whereas social pressures have minimal influence in this context.</w:t>
      </w:r>
      <w:r w:rsidRPr="003C02B8">
        <w:t xml:space="preserve"> </w:t>
      </w:r>
      <w:r w:rsidRPr="003C02B8">
        <w:rPr>
          <w:rFonts w:ascii="Times New Roman" w:hAnsi="Times New Roman" w:cs="Times New Roman"/>
          <w:sz w:val="24"/>
          <w:szCs w:val="24"/>
        </w:rPr>
        <w:t xml:space="preserve">Structural relationships were assessed </w:t>
      </w:r>
      <w:r w:rsidR="00AB0CD3">
        <w:rPr>
          <w:rFonts w:ascii="Times New Roman" w:hAnsi="Times New Roman" w:cs="Times New Roman"/>
          <w:sz w:val="24"/>
          <w:szCs w:val="24"/>
        </w:rPr>
        <w:t>via SmartPLS 4 (Figure 2</w:t>
      </w:r>
      <w:r w:rsidRPr="003C02B8">
        <w:rPr>
          <w:rFonts w:ascii="Times New Roman" w:hAnsi="Times New Roman" w:cs="Times New Roman"/>
          <w:sz w:val="24"/>
          <w:szCs w:val="24"/>
        </w:rPr>
        <w:t>).</w:t>
      </w:r>
    </w:p>
    <w:p w:rsidR="003C02B8" w:rsidRDefault="003C02B8" w:rsidP="003C02B8">
      <w:pPr>
        <w:spacing w:line="360" w:lineRule="auto"/>
        <w:jc w:val="center"/>
        <w:rPr>
          <w:rFonts w:ascii="Times New Roman" w:hAnsi="Times New Roman" w:cs="Times New Roman"/>
          <w:b/>
          <w:sz w:val="24"/>
          <w:szCs w:val="24"/>
        </w:rPr>
      </w:pPr>
      <w:r w:rsidRPr="003C02B8">
        <w:rPr>
          <w:rFonts w:ascii="Times New Roman" w:hAnsi="Times New Roman" w:cs="Times New Roman"/>
          <w:b/>
          <w:sz w:val="24"/>
          <w:szCs w:val="24"/>
        </w:rPr>
        <w:t>Table 6. Path coefficients, effect sizes (f²)</w:t>
      </w:r>
      <w:r w:rsidR="00FA5F75">
        <w:rPr>
          <w:rFonts w:ascii="Times New Roman" w:hAnsi="Times New Roman" w:cs="Times New Roman"/>
          <w:b/>
          <w:sz w:val="24"/>
          <w:szCs w:val="24"/>
        </w:rPr>
        <w:t xml:space="preserve"> and</w:t>
      </w:r>
      <w:r w:rsidRPr="003C02B8">
        <w:rPr>
          <w:rFonts w:ascii="Times New Roman" w:hAnsi="Times New Roman" w:cs="Times New Roman"/>
          <w:b/>
          <w:sz w:val="24"/>
          <w:szCs w:val="24"/>
        </w:rPr>
        <w:t xml:space="preserve"> explanatory power (R²) of the structural model for neem-based </w:t>
      </w:r>
      <w:r w:rsidR="00971114" w:rsidRPr="003C02B8">
        <w:rPr>
          <w:rFonts w:ascii="Times New Roman" w:hAnsi="Times New Roman" w:cs="Times New Roman"/>
          <w:b/>
          <w:sz w:val="24"/>
          <w:szCs w:val="24"/>
        </w:rPr>
        <w:t>bio pesticide</w:t>
      </w:r>
      <w:r w:rsidRPr="003C02B8">
        <w:rPr>
          <w:rFonts w:ascii="Times New Roman" w:hAnsi="Times New Roman" w:cs="Times New Roman"/>
          <w:b/>
          <w:sz w:val="24"/>
          <w:szCs w:val="24"/>
        </w:rPr>
        <w:t xml:space="preserve"> adoption</w:t>
      </w:r>
    </w:p>
    <w:tbl>
      <w:tblPr>
        <w:tblStyle w:val="TableGrid"/>
        <w:tblW w:w="0" w:type="auto"/>
        <w:tblLayout w:type="fixed"/>
        <w:tblLook w:val="04A0" w:firstRow="1" w:lastRow="0" w:firstColumn="1" w:lastColumn="0" w:noHBand="0" w:noVBand="1"/>
      </w:tblPr>
      <w:tblGrid>
        <w:gridCol w:w="3775"/>
        <w:gridCol w:w="1260"/>
        <w:gridCol w:w="990"/>
        <w:gridCol w:w="900"/>
        <w:gridCol w:w="1142"/>
        <w:gridCol w:w="1283"/>
      </w:tblGrid>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Predictor → Endogenous Construct</w:t>
            </w:r>
          </w:p>
        </w:tc>
        <w:tc>
          <w:tcPr>
            <w:tcW w:w="126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β (Path Coefficient)</w:t>
            </w:r>
          </w:p>
        </w:tc>
        <w:tc>
          <w:tcPr>
            <w:tcW w:w="99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t-value</w:t>
            </w:r>
          </w:p>
        </w:tc>
        <w:tc>
          <w:tcPr>
            <w:tcW w:w="90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p-value</w:t>
            </w:r>
          </w:p>
        </w:tc>
        <w:tc>
          <w:tcPr>
            <w:tcW w:w="1142"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f² (Effect Size)</w:t>
            </w:r>
          </w:p>
        </w:tc>
        <w:tc>
          <w:tcPr>
            <w:tcW w:w="1283"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Coping Appraisal (CA)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0.817</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15.526</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0.482</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Substantial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Threat Appraisal (TA)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0.354</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6.084</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0.168</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Performance Expectancy (PE)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0.213</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2.354</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0.029</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0.046</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Facilitating Conditions (FC)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0.102</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2.179</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0.032</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Efficacy Expectancy (EE)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–0.548</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5.931</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0.019</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0.120</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Social Influence (SI)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0.035</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0.872</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0.383</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0.006</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Trivial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AAB</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0.319</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4.240</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0.165</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bl>
    <w:p w:rsidR="003C02B8" w:rsidRPr="003C02B8" w:rsidRDefault="003C02B8" w:rsidP="003C02B8">
      <w:p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b/>
          <w:bCs/>
          <w:sz w:val="24"/>
          <w:szCs w:val="24"/>
        </w:rPr>
        <w:t>Model explanatory power (R²):</w:t>
      </w:r>
    </w:p>
    <w:p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0.775</w:t>
      </w:r>
    </w:p>
    <w:p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 xml:space="preserve">Actual Adoption </w:t>
      </w:r>
      <w:r w:rsidR="00971114">
        <w:rPr>
          <w:rFonts w:ascii="Times New Roman" w:eastAsia="Times New Roman" w:hAnsi="Times New Roman" w:cs="Times New Roman"/>
          <w:sz w:val="24"/>
          <w:szCs w:val="24"/>
        </w:rPr>
        <w:t>Behaviour</w:t>
      </w:r>
      <w:r w:rsidRPr="003C02B8">
        <w:rPr>
          <w:rFonts w:ascii="Times New Roman" w:eastAsia="Times New Roman" w:hAnsi="Times New Roman" w:cs="Times New Roman"/>
          <w:sz w:val="24"/>
          <w:szCs w:val="24"/>
        </w:rPr>
        <w:t xml:space="preserve"> (AAB) = 0.620</w:t>
      </w:r>
    </w:p>
    <w:p w:rsidR="003C02B8" w:rsidRDefault="003C02B8" w:rsidP="003C02B8">
      <w:pPr>
        <w:spacing w:line="360" w:lineRule="auto"/>
        <w:rPr>
          <w:rFonts w:ascii="Times New Roman" w:hAnsi="Times New Roman" w:cs="Times New Roman"/>
          <w:b/>
          <w:sz w:val="24"/>
          <w:szCs w:val="24"/>
        </w:rPr>
      </w:pPr>
      <w:r w:rsidRPr="009D6683">
        <w:rPr>
          <w:rFonts w:ascii="Times New Roman" w:hAnsi="Times New Roman" w:cs="Times New Roman"/>
          <w:noProof/>
          <w:sz w:val="24"/>
          <w:szCs w:val="24"/>
        </w:rPr>
        <w:lastRenderedPageBreak/>
        <w:drawing>
          <wp:inline distT="0" distB="0" distL="0" distR="0" wp14:anchorId="34CD2DF8" wp14:editId="3E6948DA">
            <wp:extent cx="5943600" cy="3341370"/>
            <wp:effectExtent l="0" t="0" r="0" b="0"/>
            <wp:docPr id="1" name="Picture 1" descr="C:\Users\leonovo\Download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ovo\Downloads\M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rsidR="003C02B8" w:rsidRDefault="003C02B8" w:rsidP="003C02B8">
      <w:pPr>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Figure 2</w:t>
      </w:r>
      <w:r w:rsidRPr="009D6683">
        <w:rPr>
          <w:rFonts w:ascii="Times New Roman" w:hAnsi="Times New Roman" w:cs="Times New Roman"/>
          <w:b/>
          <w:sz w:val="24"/>
          <w:szCs w:val="24"/>
        </w:rPr>
        <w:t>. Structural model results of neem-based bio pesticide adoption showing standardized path coefficients and significance levels (Smart</w:t>
      </w:r>
      <w:r>
        <w:rPr>
          <w:rFonts w:ascii="Times New Roman" w:hAnsi="Times New Roman" w:cs="Times New Roman"/>
          <w:b/>
          <w:sz w:val="24"/>
          <w:szCs w:val="24"/>
        </w:rPr>
        <w:t xml:space="preserve"> -</w:t>
      </w:r>
      <w:r w:rsidRPr="009D6683">
        <w:rPr>
          <w:rFonts w:ascii="Times New Roman" w:hAnsi="Times New Roman" w:cs="Times New Roman"/>
          <w:b/>
          <w:sz w:val="24"/>
          <w:szCs w:val="24"/>
        </w:rPr>
        <w:t>PLS 4 output).</w:t>
      </w:r>
    </w:p>
    <w:p w:rsidR="003C02B8" w:rsidRPr="00307BEC" w:rsidRDefault="00307BEC" w:rsidP="003C02B8">
      <w:pPr>
        <w:rPr>
          <w:rFonts w:ascii="Times New Roman" w:hAnsi="Times New Roman" w:cs="Times New Roman"/>
          <w:b/>
          <w:sz w:val="24"/>
          <w:szCs w:val="24"/>
        </w:rPr>
      </w:pPr>
      <w:r w:rsidRPr="00307BEC">
        <w:rPr>
          <w:rFonts w:ascii="Times New Roman" w:hAnsi="Times New Roman" w:cs="Times New Roman"/>
          <w:b/>
          <w:sz w:val="24"/>
          <w:szCs w:val="24"/>
        </w:rPr>
        <w:t>5. DISCUSSION</w:t>
      </w:r>
    </w:p>
    <w:p w:rsidR="00AB0CD3" w:rsidRDefault="00307BEC" w:rsidP="00AB0CD3">
      <w:pPr>
        <w:pStyle w:val="NormalWeb"/>
        <w:spacing w:line="360" w:lineRule="auto"/>
        <w:jc w:val="both"/>
      </w:pPr>
      <w:r>
        <w:tab/>
      </w:r>
      <w:r w:rsidR="00AB0CD3">
        <w:t>The results demonstrated that coping appraisal, performance expectancy</w:t>
      </w:r>
      <w:r w:rsidR="00757C15">
        <w:t xml:space="preserve"> and</w:t>
      </w:r>
      <w:r w:rsidR="00AB0CD3">
        <w:t xml:space="preserve"> facilitating conditions significantly and positively influenced farmers’ intention and actual adoption, while effort expectancy exhibited a negative influence. Social influence was found to be non-significant. These findings collectively highlight that farmers’ adoption of eco-friendly pest control technologies is strongly determined by perceived efficacy, ease of use</w:t>
      </w:r>
      <w:r w:rsidR="00757C15">
        <w:t xml:space="preserve"> and</w:t>
      </w:r>
      <w:r w:rsidR="00AB0CD3">
        <w:t xml:space="preserve"> resource support rather than external social pressure.</w:t>
      </w:r>
    </w:p>
    <w:p w:rsidR="00AB0CD3" w:rsidRDefault="00AB0CD3" w:rsidP="00AB0CD3">
      <w:pPr>
        <w:pStyle w:val="NormalWeb"/>
        <w:spacing w:line="360" w:lineRule="auto"/>
        <w:jc w:val="both"/>
      </w:pPr>
      <w:r>
        <w:tab/>
        <w:t xml:space="preserve">The strong and significant effect of coping appraisal (β = 0.817) on behavioural intention suggests that farmers’ confidence in their ability to effectively use neem-based bio pesticides is central to adoption. This finding aligns with the core tenet of Protection Motivation Theory, which emphasizes that individuals with higher self-efficacy and response efficacy are more likely to adopt protective </w:t>
      </w:r>
      <w:proofErr w:type="spellStart"/>
      <w:r>
        <w:t>behaviours</w:t>
      </w:r>
      <w:proofErr w:type="spellEnd"/>
      <w:r>
        <w:t xml:space="preserve"> (Floyd </w:t>
      </w:r>
      <w:r w:rsidRPr="00F92FCE">
        <w:rPr>
          <w:i/>
        </w:rPr>
        <w:t>et al</w:t>
      </w:r>
      <w:r>
        <w:t xml:space="preserve">., 2000; Rogers, 1983). Therefore, strengthening farmers’ self-efficacy through field demonstrations and experiential learning can substantially enhance </w:t>
      </w:r>
      <w:r w:rsidR="003D3394">
        <w:t>bio pesticide</w:t>
      </w:r>
      <w:r>
        <w:t xml:space="preserve"> adoption rates.</w:t>
      </w:r>
    </w:p>
    <w:p w:rsidR="00AB0CD3" w:rsidRDefault="00AB0CD3" w:rsidP="00AB0CD3">
      <w:pPr>
        <w:pStyle w:val="NormalWeb"/>
        <w:spacing w:line="360" w:lineRule="auto"/>
        <w:jc w:val="both"/>
      </w:pPr>
      <w:r>
        <w:lastRenderedPageBreak/>
        <w:tab/>
        <w:t xml:space="preserve">Performance expectancy had a positive and significant relationship with intention (β = 0.254), indicating that farmers adopt neem-based </w:t>
      </w:r>
      <w:r w:rsidR="003D3394">
        <w:t>bio pesticides</w:t>
      </w:r>
      <w:r>
        <w:t xml:space="preserve"> when they perceive tangible benefits such as pest control efficiency, improved crop quality</w:t>
      </w:r>
      <w:r w:rsidR="00757C15">
        <w:t xml:space="preserve"> and</w:t>
      </w:r>
      <w:r>
        <w:t xml:space="preserve"> reduced environmental harm. When farmers recognize the superior long-term benefits of neem-based formulations compared to synthetic pesticides such as reduced pest resurgence and lower input costs they are more inclined to use them consistently.</w:t>
      </w:r>
    </w:p>
    <w:p w:rsidR="00AB0CD3" w:rsidRDefault="00AB0CD3" w:rsidP="00AB0CD3">
      <w:pPr>
        <w:pStyle w:val="NormalWeb"/>
        <w:spacing w:line="360" w:lineRule="auto"/>
        <w:jc w:val="both"/>
      </w:pPr>
      <w:r>
        <w:tab/>
        <w:t>Interestingly, effort expectancy ex</w:t>
      </w:r>
      <w:r w:rsidR="003D3394">
        <w:t xml:space="preserve">hibited a negative effect (β = - </w:t>
      </w:r>
      <w:r>
        <w:t xml:space="preserve">0.548) on intention, suggesting that the perceived difficulty or </w:t>
      </w:r>
      <w:proofErr w:type="spellStart"/>
      <w:r>
        <w:t>labour</w:t>
      </w:r>
      <w:proofErr w:type="spellEnd"/>
      <w:r>
        <w:t xml:space="preserve"> intensiveness of preparing or applying neem-based </w:t>
      </w:r>
      <w:r w:rsidR="003D3394">
        <w:t>bio pesticides</w:t>
      </w:r>
      <w:r>
        <w:t xml:space="preserve"> discourages adoption. This aligns with earlier findings by </w:t>
      </w:r>
      <w:r w:rsidR="00AD1063">
        <w:t xml:space="preserve">(Narayanan </w:t>
      </w:r>
      <w:r w:rsidR="00AD1063" w:rsidRPr="00AD1063">
        <w:rPr>
          <w:i/>
        </w:rPr>
        <w:t>et al</w:t>
      </w:r>
      <w:r w:rsidR="00AD1063">
        <w:t xml:space="preserve">., </w:t>
      </w:r>
      <w:r>
        <w:t xml:space="preserve">2021), who reported that farmers often perceive neem-based formulations as cumbersome due to the need for frequent applications and difficulties in handling homemade extracts. In behavioural terms, a high level of perceived effort reduces behavioural intention, as posited by UTAUT (Venkatesh </w:t>
      </w:r>
      <w:r w:rsidRPr="00AD1063">
        <w:rPr>
          <w:i/>
        </w:rPr>
        <w:t>et al</w:t>
      </w:r>
      <w:r>
        <w:t xml:space="preserve">., 2003). Therefore, simplifying product formulation and providing user-friendly commercial </w:t>
      </w:r>
      <w:r w:rsidR="003D3394">
        <w:t>bio pesticides</w:t>
      </w:r>
      <w:r>
        <w:t xml:space="preserve"> could reduce this psychological barrier.</w:t>
      </w:r>
    </w:p>
    <w:p w:rsidR="00AB0CD3" w:rsidRDefault="00AB0CD3" w:rsidP="00AB0CD3">
      <w:pPr>
        <w:pStyle w:val="NormalWeb"/>
        <w:spacing w:line="360" w:lineRule="auto"/>
        <w:jc w:val="both"/>
      </w:pPr>
      <w:r>
        <w:tab/>
        <w:t>Facilitating conditions were also found to significantly influence adoption behaviour, indicating that access to technical guidance, input supply</w:t>
      </w:r>
      <w:r w:rsidR="00757C15">
        <w:t xml:space="preserve"> and</w:t>
      </w:r>
      <w:r>
        <w:t xml:space="preserve"> institutional support encourages farmers to implement neem-based pest management. This finding resonates with previous research highlighting that infrastructural and extension support are essential for technology diffusion in</w:t>
      </w:r>
      <w:r w:rsidR="00AD1063">
        <w:t xml:space="preserve"> rural areas (Kumar </w:t>
      </w:r>
      <w:r w:rsidR="00AD1063" w:rsidRPr="00AD1063">
        <w:rPr>
          <w:i/>
        </w:rPr>
        <w:t>et al</w:t>
      </w:r>
      <w:r w:rsidR="00AD1063">
        <w:t>., 2021</w:t>
      </w:r>
      <w:r>
        <w:t>). When farmers have access to reliable input dealers, timely product availability</w:t>
      </w:r>
      <w:r w:rsidR="00757C15">
        <w:t xml:space="preserve"> and</w:t>
      </w:r>
      <w:r>
        <w:t xml:space="preserve"> practical demonstrations, they are more likely to sustain </w:t>
      </w:r>
      <w:r w:rsidR="00AD1063">
        <w:t>bio pesticide</w:t>
      </w:r>
      <w:r>
        <w:t xml:space="preserve"> use over time.</w:t>
      </w:r>
    </w:p>
    <w:p w:rsidR="00AB0CD3" w:rsidRDefault="00AB0CD3" w:rsidP="00AB0CD3">
      <w:pPr>
        <w:pStyle w:val="NormalWeb"/>
        <w:spacing w:line="360" w:lineRule="auto"/>
        <w:jc w:val="both"/>
      </w:pPr>
      <w:r>
        <w:tab/>
        <w:t xml:space="preserve">The non-significant influence of social factors indicates that peer or community pressure played a limited role in farmers’ decision-making regarding neem-based </w:t>
      </w:r>
      <w:r w:rsidR="00AD1063">
        <w:t>bio pesticides</w:t>
      </w:r>
      <w:r>
        <w:t>. This is contrary to some earlier studies (</w:t>
      </w:r>
      <w:r w:rsidR="00AD1063" w:rsidRPr="00443C0B">
        <w:rPr>
          <w:color w:val="000000" w:themeColor="text1"/>
        </w:rPr>
        <w:t>Graf-</w:t>
      </w:r>
      <w:proofErr w:type="spellStart"/>
      <w:r w:rsidR="00AD1063" w:rsidRPr="00443C0B">
        <w:rPr>
          <w:color w:val="000000" w:themeColor="text1"/>
        </w:rPr>
        <w:t>Vlachy</w:t>
      </w:r>
      <w:proofErr w:type="spellEnd"/>
      <w:r w:rsidR="00AD1063">
        <w:t xml:space="preserve"> </w:t>
      </w:r>
      <w:r w:rsidR="00AD1063" w:rsidRPr="00AD1063">
        <w:rPr>
          <w:i/>
        </w:rPr>
        <w:t>et al</w:t>
      </w:r>
      <w:r w:rsidR="00AD1063">
        <w:t>., 2018</w:t>
      </w:r>
      <w:r>
        <w:t xml:space="preserve">) where social norms significantly influenced adoption of climate-smart or organic practices. One plausible explanation is that neem-based </w:t>
      </w:r>
      <w:r w:rsidR="00AD1063">
        <w:t>bio pesticide</w:t>
      </w:r>
      <w:r>
        <w:t xml:space="preserve"> adoption is still viewed as an individual and experimental practice rather than a community-level norm in Tamil Nadu. As such, farmers’ personal attitudes and perceived control weigh more heavily than collective influence.</w:t>
      </w:r>
    </w:p>
    <w:p w:rsidR="00AB0CD3" w:rsidRDefault="00AB0CD3" w:rsidP="00AB0CD3">
      <w:pPr>
        <w:pStyle w:val="NormalWeb"/>
        <w:spacing w:line="360" w:lineRule="auto"/>
        <w:jc w:val="both"/>
      </w:pPr>
      <w:r>
        <w:lastRenderedPageBreak/>
        <w:tab/>
        <w:t>The structural model explained (77.50%) of the variance in behavioural intention and (62.00%) in actual adoption, which indicates strong predictive power and model robustness. These results are comparable to those obtained in recent agricultural behavioural studies using PLS-SEM (Borges</w:t>
      </w:r>
      <w:r w:rsidR="00663EA5">
        <w:t xml:space="preserve"> </w:t>
      </w:r>
      <w:r w:rsidR="00663EA5" w:rsidRPr="00FA506D">
        <w:rPr>
          <w:color w:val="000000" w:themeColor="text1"/>
        </w:rPr>
        <w:t>&amp; Oude</w:t>
      </w:r>
      <w:r>
        <w:t xml:space="preserve"> </w:t>
      </w:r>
      <w:r w:rsidR="00663EA5">
        <w:t>2016</w:t>
      </w:r>
      <w:r>
        <w:t>). The high explanatory power underscores the suitability of integrating PMT and UTAUT in understanding farmers’ sustainable technology adoption.</w:t>
      </w:r>
    </w:p>
    <w:p w:rsidR="00AB0CD3" w:rsidRDefault="00AB0CD3" w:rsidP="00AB0CD3">
      <w:pPr>
        <w:pStyle w:val="NormalWeb"/>
        <w:spacing w:line="360" w:lineRule="auto"/>
        <w:jc w:val="both"/>
      </w:pPr>
      <w:r>
        <w:tab/>
        <w:t>Overall, the findings reinforce the importance of psychological readiness, perceived benefits</w:t>
      </w:r>
      <w:r w:rsidR="00757C15">
        <w:t xml:space="preserve"> and</w:t>
      </w:r>
      <w:r>
        <w:t xml:space="preserve"> institutional support in promoting eco-friendly pest control. By enhancing farmers’ self-efficacy, providing hands-on training</w:t>
      </w:r>
      <w:r w:rsidR="00757C15">
        <w:t xml:space="preserve"> and</w:t>
      </w:r>
      <w:r>
        <w:t xml:space="preserve"> ensuring availability of standardized neem-based products, policymakers can significantly improve adoption rates. Future initiatives should also integrate behavioural insights into extension programmes and promote farmer-to-farmer diffusion to normalize the use of neem-based bio pesticides within farming communities.</w:t>
      </w:r>
    </w:p>
    <w:p w:rsidR="00307BEC" w:rsidRPr="00307BEC" w:rsidRDefault="003B38FF" w:rsidP="00307BEC">
      <w:pPr>
        <w:pStyle w:val="NormalWeb"/>
        <w:spacing w:line="360" w:lineRule="auto"/>
        <w:jc w:val="both"/>
        <w:rPr>
          <w:b/>
        </w:rPr>
      </w:pPr>
      <w:r>
        <w:rPr>
          <w:b/>
        </w:rPr>
        <w:t>6</w:t>
      </w:r>
      <w:r w:rsidR="00307BEC" w:rsidRPr="00307BEC">
        <w:rPr>
          <w:b/>
        </w:rPr>
        <w:t>. CONCLUSION</w:t>
      </w:r>
    </w:p>
    <w:p w:rsidR="00307BEC" w:rsidRDefault="00307BEC" w:rsidP="00307BEC">
      <w:pPr>
        <w:pStyle w:val="NormalWeb"/>
        <w:spacing w:line="360" w:lineRule="auto"/>
        <w:jc w:val="both"/>
      </w:pPr>
      <w:r>
        <w:tab/>
        <w:t>This study investigated farmers’ adoption of neem-based bio pesticides using an integrated PMT-UTAUT framework. Findings indicate that coping appraisal, threat appraisal</w:t>
      </w:r>
      <w:r w:rsidR="00FA5F75">
        <w:t xml:space="preserve"> and</w:t>
      </w:r>
      <w:r>
        <w:t xml:space="preserve"> performance expectancy are key drivers of adoption intention, with facilitating conditions providing additional support, while efficacy doubts negatively influence intention and social influence is negligible. Adoption intention strongly mediates actual </w:t>
      </w:r>
      <w:r w:rsidR="00971114">
        <w:t>behaviour</w:t>
      </w:r>
      <w:r>
        <w:t xml:space="preserve">, linking motivational and contextual factors to practice. The study validates the integration of </w:t>
      </w:r>
      <w:r w:rsidR="00971114">
        <w:t>behaviour</w:t>
      </w:r>
      <w:r>
        <w:t>al and technology adoption models for sustainable agriculture and emphasizes the practical importance of institutional support, input access</w:t>
      </w:r>
      <w:r w:rsidR="00FA5F75">
        <w:t xml:space="preserve"> and</w:t>
      </w:r>
      <w:r>
        <w:t xml:space="preserve"> incentives. Neem-based bio pesticides emerge as a viable eco-friendly innovation, offering a pathway to reduce chemical dependency and enhance resilience in farming systems.</w:t>
      </w:r>
    </w:p>
    <w:p w:rsidR="003B38FF" w:rsidRPr="003B38FF" w:rsidRDefault="003B38FF" w:rsidP="003B38FF">
      <w:pPr>
        <w:pStyle w:val="NormalWeb"/>
        <w:spacing w:line="360" w:lineRule="auto"/>
        <w:jc w:val="both"/>
        <w:rPr>
          <w:b/>
        </w:rPr>
      </w:pPr>
      <w:r>
        <w:rPr>
          <w:b/>
        </w:rPr>
        <w:t xml:space="preserve">7. </w:t>
      </w:r>
      <w:r w:rsidRPr="003B38FF">
        <w:rPr>
          <w:b/>
        </w:rPr>
        <w:t>RECOMMENDATIONS</w:t>
      </w:r>
    </w:p>
    <w:p w:rsidR="003B38FF" w:rsidRDefault="003B38FF" w:rsidP="003B38FF">
      <w:pPr>
        <w:pStyle w:val="NormalWeb"/>
        <w:spacing w:line="360" w:lineRule="auto"/>
        <w:jc w:val="both"/>
      </w:pPr>
      <w:r>
        <w:tab/>
        <w:t>To promote the adoption of neem-based bio pesticides among farmers, efforts should focus on enhancing farmers’ self-efficacy through hands-on training, field demonstrations</w:t>
      </w:r>
      <w:r w:rsidR="00757C15">
        <w:t xml:space="preserve"> and</w:t>
      </w:r>
      <w:r>
        <w:t xml:space="preserve"> continuous extension support. Simplifying and standardizing neem formulations into ready-to-use products will reduce perceived effort and improve user convenience. Strengthening institutional and market linkages can ensure timely availability of quality bio pesticides through local </w:t>
      </w:r>
      <w:r>
        <w:lastRenderedPageBreak/>
        <w:t xml:space="preserve">cooperatives and </w:t>
      </w:r>
      <w:proofErr w:type="spellStart"/>
      <w:r>
        <w:t>agri</w:t>
      </w:r>
      <w:proofErr w:type="spellEnd"/>
      <w:r>
        <w:t xml:space="preserve">-entrepreneurs. Awareness campaigns and community-based demonstrations should be organized to foster positive attitudes and peer learning. Policymakers should integrate </w:t>
      </w:r>
      <w:r w:rsidR="00663EA5">
        <w:t>bio pesticide</w:t>
      </w:r>
      <w:r>
        <w:t xml:space="preserve"> promotion into sustainable agriculture schemes by providing incentives, certification support</w:t>
      </w:r>
      <w:r w:rsidR="00757C15">
        <w:t xml:space="preserve"> and</w:t>
      </w:r>
      <w:r>
        <w:t xml:space="preserve"> quality regulation. Further, research institutions should focus on developing more efficient, long-lasting neem formulations and assessing their field-level performance under diverse cropping systems. These combined efforts can accelerate the transition toward eco-friendly pest management and sustainable agricultural practices in Tamil Nadu.</w:t>
      </w:r>
    </w:p>
    <w:p w:rsidR="00307BEC" w:rsidRPr="00307BEC" w:rsidRDefault="00307BEC" w:rsidP="00307BEC">
      <w:pPr>
        <w:pStyle w:val="NormalWeb"/>
        <w:spacing w:line="360" w:lineRule="auto"/>
        <w:jc w:val="both"/>
        <w:rPr>
          <w:b/>
        </w:rPr>
      </w:pPr>
      <w:r w:rsidRPr="00307BEC">
        <w:rPr>
          <w:b/>
        </w:rPr>
        <w:t>Disclaimer (Artificial Intelligence)</w:t>
      </w:r>
    </w:p>
    <w:p w:rsidR="00586B53" w:rsidRDefault="00307BEC" w:rsidP="00307BEC">
      <w:pPr>
        <w:pStyle w:val="NormalWeb"/>
        <w:spacing w:line="360" w:lineRule="auto"/>
        <w:jc w:val="both"/>
      </w:pPr>
      <w:r>
        <w:tab/>
        <w:t xml:space="preserve">The author(s) hereby declare that no generative AI technologies, including Large Language Models (e.g., ChatGPT, Copilot) or text-to-image generators, were used in the writing, editing, or </w:t>
      </w:r>
      <w:r w:rsidR="00725B9A">
        <w:t>preparation of this manuscript.</w:t>
      </w:r>
    </w:p>
    <w:p w:rsidR="00036A20" w:rsidRPr="00307BEC" w:rsidRDefault="00036A20" w:rsidP="00036A20">
      <w:pPr>
        <w:pStyle w:val="NormalWeb"/>
        <w:spacing w:line="360" w:lineRule="auto"/>
        <w:jc w:val="both"/>
        <w:rPr>
          <w:b/>
        </w:rPr>
      </w:pPr>
      <w:r w:rsidRPr="00307BEC">
        <w:rPr>
          <w:b/>
        </w:rPr>
        <w:t>Acknowledgments</w:t>
      </w:r>
    </w:p>
    <w:p w:rsidR="00036A20" w:rsidRDefault="00036A20" w:rsidP="00036A20">
      <w:pPr>
        <w:pStyle w:val="NormalWeb"/>
        <w:spacing w:line="360" w:lineRule="auto"/>
        <w:jc w:val="both"/>
      </w:pPr>
      <w:r>
        <w:tab/>
        <w:t>The authors sincerely thank Tamil Nadu Agricultural University (TNAU) and the Directorate of Open and Distance Learning (DODL), TNAU, Coimbatore, for their institutional support. Special appreciation is extended to Coromandel International Limited for funding and collaboration. The authors also gratefully acknowledge the farmers whose participation and insights into neem-based biopesticide adoption greatly enriched the study.</w:t>
      </w:r>
    </w:p>
    <w:p w:rsidR="00036A20" w:rsidRPr="00307BEC" w:rsidRDefault="00036A20" w:rsidP="00036A20">
      <w:pPr>
        <w:pStyle w:val="NormalWeb"/>
        <w:spacing w:line="360" w:lineRule="auto"/>
        <w:jc w:val="both"/>
        <w:rPr>
          <w:b/>
        </w:rPr>
      </w:pPr>
      <w:r w:rsidRPr="00307BEC">
        <w:rPr>
          <w:b/>
        </w:rPr>
        <w:t>Conflict of Interest</w:t>
      </w:r>
    </w:p>
    <w:p w:rsidR="00036A20" w:rsidRDefault="00036A20" w:rsidP="00036A20">
      <w:pPr>
        <w:pStyle w:val="NormalWeb"/>
        <w:spacing w:line="360" w:lineRule="auto"/>
        <w:jc w:val="both"/>
      </w:pPr>
      <w:r>
        <w:tab/>
        <w:t>The authors declare no conflict of interest regarding the conduct or reporting of this study.</w:t>
      </w:r>
    </w:p>
    <w:p w:rsidR="00036A20" w:rsidRPr="00307BEC" w:rsidRDefault="00036A20" w:rsidP="00036A20">
      <w:pPr>
        <w:pStyle w:val="NormalWeb"/>
        <w:spacing w:line="360" w:lineRule="auto"/>
        <w:jc w:val="both"/>
        <w:rPr>
          <w:b/>
        </w:rPr>
      </w:pPr>
      <w:r w:rsidRPr="00307BEC">
        <w:rPr>
          <w:b/>
        </w:rPr>
        <w:t>Funding</w:t>
      </w:r>
    </w:p>
    <w:p w:rsidR="00036A20" w:rsidRDefault="00036A20" w:rsidP="00036A20">
      <w:pPr>
        <w:pStyle w:val="NormalWeb"/>
        <w:spacing w:line="360" w:lineRule="auto"/>
        <w:jc w:val="both"/>
      </w:pPr>
      <w:r>
        <w:tab/>
        <w:t>This research was financially supported by Coromandel International Limited in collaboration with the Directorate of Open and Distance Learning, TNAU, Coimbatore. The funding agency had no role in data collection, analysis, interpretation, or publication decisions.</w:t>
      </w:r>
    </w:p>
    <w:p w:rsidR="00036A20" w:rsidRPr="00725B9A" w:rsidRDefault="00036A20" w:rsidP="00307BEC">
      <w:pPr>
        <w:pStyle w:val="NormalWeb"/>
        <w:spacing w:line="360" w:lineRule="auto"/>
        <w:jc w:val="both"/>
      </w:pPr>
    </w:p>
    <w:p w:rsidR="00430237" w:rsidRDefault="00430237" w:rsidP="00307BEC">
      <w:pPr>
        <w:pStyle w:val="NormalWeb"/>
        <w:spacing w:line="360" w:lineRule="auto"/>
        <w:jc w:val="both"/>
        <w:rPr>
          <w:b/>
        </w:rPr>
      </w:pPr>
      <w:r w:rsidRPr="002C6967">
        <w:rPr>
          <w:b/>
        </w:rPr>
        <w:lastRenderedPageBreak/>
        <w:t>References</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154B2C">
        <w:rPr>
          <w:rFonts w:ascii="Times New Roman" w:eastAsia="Times New Roman" w:hAnsi="Times New Roman" w:cs="Times New Roman"/>
          <w:color w:val="000000" w:themeColor="text1"/>
          <w:sz w:val="24"/>
          <w:szCs w:val="24"/>
        </w:rPr>
        <w:t>Bentler</w:t>
      </w:r>
      <w:proofErr w:type="spellEnd"/>
      <w:r w:rsidRPr="00154B2C">
        <w:rPr>
          <w:rFonts w:ascii="Times New Roman" w:eastAsia="Times New Roman" w:hAnsi="Times New Roman" w:cs="Times New Roman"/>
          <w:color w:val="000000" w:themeColor="text1"/>
          <w:sz w:val="24"/>
          <w:szCs w:val="24"/>
        </w:rPr>
        <w:t xml:space="preserve">, P. M. (1990). Comparative fit indexes in structural models. </w:t>
      </w:r>
      <w:r w:rsidRPr="00154B2C">
        <w:rPr>
          <w:rFonts w:ascii="Times New Roman" w:eastAsia="Times New Roman" w:hAnsi="Times New Roman" w:cs="Times New Roman"/>
          <w:i/>
          <w:color w:val="000000" w:themeColor="text1"/>
          <w:sz w:val="24"/>
          <w:szCs w:val="24"/>
        </w:rPr>
        <w:t>Psychological bulletin</w:t>
      </w:r>
      <w:r w:rsidRPr="00154B2C">
        <w:rPr>
          <w:rFonts w:ascii="Times New Roman" w:eastAsia="Times New Roman" w:hAnsi="Times New Roman" w:cs="Times New Roman"/>
          <w:color w:val="000000" w:themeColor="text1"/>
          <w:sz w:val="24"/>
          <w:szCs w:val="24"/>
        </w:rPr>
        <w:t>, 107(2), 238.</w:t>
      </w:r>
    </w:p>
    <w:p w:rsidR="00663EA5" w:rsidRPr="00D0327D"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Borges, J. A. R., &amp; Oude </w:t>
      </w:r>
      <w:proofErr w:type="spellStart"/>
      <w:r w:rsidRPr="00154B2C">
        <w:rPr>
          <w:rFonts w:ascii="Times New Roman" w:eastAsia="Times New Roman" w:hAnsi="Times New Roman" w:cs="Times New Roman"/>
          <w:color w:val="000000" w:themeColor="text1"/>
          <w:sz w:val="24"/>
          <w:szCs w:val="24"/>
        </w:rPr>
        <w:t>Lansink</w:t>
      </w:r>
      <w:proofErr w:type="spellEnd"/>
      <w:r w:rsidRPr="00154B2C">
        <w:rPr>
          <w:rFonts w:ascii="Times New Roman" w:eastAsia="Times New Roman" w:hAnsi="Times New Roman" w:cs="Times New Roman"/>
          <w:color w:val="000000" w:themeColor="text1"/>
          <w:sz w:val="24"/>
          <w:szCs w:val="24"/>
        </w:rPr>
        <w:t xml:space="preserve">, A. G. (2016). Identifying psychological factors that determine cattle farmers' intention to use improved natural grassland. </w:t>
      </w:r>
      <w:r w:rsidRPr="00154B2C">
        <w:rPr>
          <w:rFonts w:ascii="Times New Roman" w:eastAsia="Times New Roman" w:hAnsi="Times New Roman" w:cs="Times New Roman"/>
          <w:i/>
          <w:color w:val="000000" w:themeColor="text1"/>
          <w:sz w:val="24"/>
          <w:szCs w:val="24"/>
        </w:rPr>
        <w:t>Journal of Environmental Psychology</w:t>
      </w:r>
      <w:r w:rsidRPr="00154B2C">
        <w:rPr>
          <w:rFonts w:ascii="Times New Roman" w:eastAsia="Times New Roman" w:hAnsi="Times New Roman" w:cs="Times New Roman"/>
          <w:color w:val="000000" w:themeColor="text1"/>
          <w:sz w:val="24"/>
          <w:szCs w:val="24"/>
        </w:rPr>
        <w:t>, 45, 89-96.</w:t>
      </w:r>
      <w:r w:rsidRPr="00154B2C">
        <w:rPr>
          <w:rFonts w:ascii="Times New Roman" w:hAnsi="Times New Roman" w:cs="Times New Roman"/>
          <w:sz w:val="24"/>
          <w:szCs w:val="24"/>
        </w:rPr>
        <w:t xml:space="preserve"> </w:t>
      </w:r>
      <w:hyperlink r:id="rId9" w:history="1">
        <w:r w:rsidRPr="00154B2C">
          <w:rPr>
            <w:rStyle w:val="Hyperlink"/>
            <w:rFonts w:ascii="Times New Roman" w:eastAsia="Times New Roman" w:hAnsi="Times New Roman" w:cs="Times New Roman"/>
            <w:sz w:val="24"/>
            <w:szCs w:val="24"/>
          </w:rPr>
          <w:t>https://doi.org/10.1016/j.jenvp.2015.12.001</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Floyd, D. L., Prentice‐Dunn, S., &amp; Rogers, R. W. (2000). A meta‐analysis of research on protection motivation theory. </w:t>
      </w:r>
      <w:r w:rsidRPr="00154B2C">
        <w:rPr>
          <w:rFonts w:ascii="Times New Roman" w:eastAsia="Times New Roman" w:hAnsi="Times New Roman" w:cs="Times New Roman"/>
          <w:i/>
          <w:color w:val="000000" w:themeColor="text1"/>
          <w:sz w:val="24"/>
          <w:szCs w:val="24"/>
        </w:rPr>
        <w:t>Journal of applied social psychology</w:t>
      </w:r>
      <w:r w:rsidRPr="00154B2C">
        <w:rPr>
          <w:rFonts w:ascii="Times New Roman" w:eastAsia="Times New Roman" w:hAnsi="Times New Roman" w:cs="Times New Roman"/>
          <w:color w:val="000000" w:themeColor="text1"/>
          <w:sz w:val="24"/>
          <w:szCs w:val="24"/>
        </w:rPr>
        <w:t>, 30(2), 407-429.</w:t>
      </w:r>
      <w:r w:rsidRPr="00154B2C">
        <w:rPr>
          <w:rFonts w:ascii="Times New Roman" w:hAnsi="Times New Roman" w:cs="Times New Roman"/>
          <w:sz w:val="24"/>
          <w:szCs w:val="24"/>
        </w:rPr>
        <w:t xml:space="preserve"> </w:t>
      </w:r>
      <w:hyperlink r:id="rId10" w:history="1">
        <w:r w:rsidRPr="00154B2C">
          <w:rPr>
            <w:rStyle w:val="Hyperlink"/>
            <w:rFonts w:ascii="Times New Roman" w:eastAsia="Times New Roman" w:hAnsi="Times New Roman" w:cs="Times New Roman"/>
            <w:sz w:val="24"/>
            <w:szCs w:val="24"/>
          </w:rPr>
          <w:t>https://doi.org/10.1111/j.1559-1816.2000.tb02323.x</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Graf-</w:t>
      </w:r>
      <w:proofErr w:type="spellStart"/>
      <w:r w:rsidRPr="00154B2C">
        <w:rPr>
          <w:rFonts w:ascii="Times New Roman" w:eastAsia="Times New Roman" w:hAnsi="Times New Roman" w:cs="Times New Roman"/>
          <w:color w:val="000000" w:themeColor="text1"/>
          <w:sz w:val="24"/>
          <w:szCs w:val="24"/>
        </w:rPr>
        <w:t>Vlachy</w:t>
      </w:r>
      <w:proofErr w:type="spellEnd"/>
      <w:r w:rsidRPr="00154B2C">
        <w:rPr>
          <w:rFonts w:ascii="Times New Roman" w:eastAsia="Times New Roman" w:hAnsi="Times New Roman" w:cs="Times New Roman"/>
          <w:color w:val="000000" w:themeColor="text1"/>
          <w:sz w:val="24"/>
          <w:szCs w:val="24"/>
        </w:rPr>
        <w:t xml:space="preserve">, L., </w:t>
      </w:r>
      <w:proofErr w:type="spellStart"/>
      <w:r w:rsidRPr="00154B2C">
        <w:rPr>
          <w:rFonts w:ascii="Times New Roman" w:eastAsia="Times New Roman" w:hAnsi="Times New Roman" w:cs="Times New Roman"/>
          <w:color w:val="000000" w:themeColor="text1"/>
          <w:sz w:val="24"/>
          <w:szCs w:val="24"/>
        </w:rPr>
        <w:t>Buhtz</w:t>
      </w:r>
      <w:proofErr w:type="spellEnd"/>
      <w:r w:rsidRPr="00154B2C">
        <w:rPr>
          <w:rFonts w:ascii="Times New Roman" w:eastAsia="Times New Roman" w:hAnsi="Times New Roman" w:cs="Times New Roman"/>
          <w:color w:val="000000" w:themeColor="text1"/>
          <w:sz w:val="24"/>
          <w:szCs w:val="24"/>
        </w:rPr>
        <w:t xml:space="preserve">, K., &amp; König, A. (2018). Social influence in technology adoption: taking stock and moving forward. </w:t>
      </w:r>
      <w:r w:rsidRPr="00154B2C">
        <w:rPr>
          <w:rFonts w:ascii="Times New Roman" w:eastAsia="Times New Roman" w:hAnsi="Times New Roman" w:cs="Times New Roman"/>
          <w:i/>
          <w:color w:val="000000" w:themeColor="text1"/>
          <w:sz w:val="24"/>
          <w:szCs w:val="24"/>
        </w:rPr>
        <w:t>Management Review</w:t>
      </w:r>
      <w:r w:rsidRPr="00154B2C">
        <w:rPr>
          <w:rFonts w:ascii="Times New Roman" w:eastAsia="Times New Roman" w:hAnsi="Times New Roman" w:cs="Times New Roman"/>
          <w:color w:val="000000" w:themeColor="text1"/>
          <w:sz w:val="24"/>
          <w:szCs w:val="24"/>
        </w:rPr>
        <w:t xml:space="preserve"> Quarterly, 68(1), 37-76.</w:t>
      </w:r>
      <w:r w:rsidRPr="00154B2C">
        <w:rPr>
          <w:rFonts w:ascii="Times New Roman" w:hAnsi="Times New Roman" w:cs="Times New Roman"/>
          <w:sz w:val="24"/>
          <w:szCs w:val="24"/>
        </w:rPr>
        <w:t xml:space="preserve"> </w:t>
      </w:r>
      <w:hyperlink r:id="rId11" w:history="1">
        <w:r w:rsidRPr="00154B2C">
          <w:rPr>
            <w:rStyle w:val="Hyperlink"/>
            <w:rFonts w:ascii="Times New Roman" w:eastAsia="Times New Roman" w:hAnsi="Times New Roman" w:cs="Times New Roman"/>
            <w:sz w:val="24"/>
            <w:szCs w:val="24"/>
          </w:rPr>
          <w:t>https://doi.org/10.1007/s11301-017-0133-3</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Hair JR, J. F., Black, W. C., </w:t>
      </w:r>
      <w:proofErr w:type="spellStart"/>
      <w:r w:rsidRPr="00154B2C">
        <w:rPr>
          <w:rFonts w:ascii="Times New Roman" w:eastAsia="Times New Roman" w:hAnsi="Times New Roman" w:cs="Times New Roman"/>
          <w:color w:val="000000" w:themeColor="text1"/>
          <w:sz w:val="24"/>
          <w:szCs w:val="24"/>
        </w:rPr>
        <w:t>Babin</w:t>
      </w:r>
      <w:proofErr w:type="spellEnd"/>
      <w:r w:rsidRPr="00154B2C">
        <w:rPr>
          <w:rFonts w:ascii="Times New Roman" w:eastAsia="Times New Roman" w:hAnsi="Times New Roman" w:cs="Times New Roman"/>
          <w:color w:val="000000" w:themeColor="text1"/>
          <w:sz w:val="24"/>
          <w:szCs w:val="24"/>
        </w:rPr>
        <w:t>, B. J., &amp; Anderson, R. E. (2010). Multivariate Data Analysis (7th Ed.). Upper Saddle River, NJ: Pearson Prentice Hall.</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Hu, L. T., &amp; </w:t>
      </w:r>
      <w:proofErr w:type="spellStart"/>
      <w:r w:rsidRPr="00154B2C">
        <w:rPr>
          <w:rFonts w:ascii="Times New Roman" w:eastAsia="Times New Roman" w:hAnsi="Times New Roman" w:cs="Times New Roman"/>
          <w:color w:val="000000" w:themeColor="text1"/>
          <w:sz w:val="24"/>
          <w:szCs w:val="24"/>
        </w:rPr>
        <w:t>Bentler</w:t>
      </w:r>
      <w:proofErr w:type="spellEnd"/>
      <w:r w:rsidRPr="00154B2C">
        <w:rPr>
          <w:rFonts w:ascii="Times New Roman" w:eastAsia="Times New Roman" w:hAnsi="Times New Roman" w:cs="Times New Roman"/>
          <w:color w:val="000000" w:themeColor="text1"/>
          <w:sz w:val="24"/>
          <w:szCs w:val="24"/>
        </w:rPr>
        <w:t xml:space="preserve">, P. M. (1998). Fit indices in covariance structure modeling: Sensitivity to </w:t>
      </w:r>
      <w:proofErr w:type="spellStart"/>
      <w:r w:rsidRPr="00154B2C">
        <w:rPr>
          <w:rFonts w:ascii="Times New Roman" w:eastAsia="Times New Roman" w:hAnsi="Times New Roman" w:cs="Times New Roman"/>
          <w:color w:val="000000" w:themeColor="text1"/>
          <w:sz w:val="24"/>
          <w:szCs w:val="24"/>
        </w:rPr>
        <w:t>underparameterized</w:t>
      </w:r>
      <w:proofErr w:type="spellEnd"/>
      <w:r w:rsidRPr="00154B2C">
        <w:rPr>
          <w:rFonts w:ascii="Times New Roman" w:eastAsia="Times New Roman" w:hAnsi="Times New Roman" w:cs="Times New Roman"/>
          <w:color w:val="000000" w:themeColor="text1"/>
          <w:sz w:val="24"/>
          <w:szCs w:val="24"/>
        </w:rPr>
        <w:t xml:space="preserve"> model misspecification. </w:t>
      </w:r>
      <w:r w:rsidRPr="00154B2C">
        <w:rPr>
          <w:rFonts w:ascii="Times New Roman" w:eastAsia="Times New Roman" w:hAnsi="Times New Roman" w:cs="Times New Roman"/>
          <w:i/>
          <w:color w:val="000000" w:themeColor="text1"/>
          <w:sz w:val="24"/>
          <w:szCs w:val="24"/>
        </w:rPr>
        <w:t>Psychological methods</w:t>
      </w:r>
      <w:r w:rsidRPr="00154B2C">
        <w:rPr>
          <w:rFonts w:ascii="Times New Roman" w:eastAsia="Times New Roman" w:hAnsi="Times New Roman" w:cs="Times New Roman"/>
          <w:color w:val="000000" w:themeColor="text1"/>
          <w:sz w:val="24"/>
          <w:szCs w:val="24"/>
        </w:rPr>
        <w:t>, 3(4), 424.</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154B2C">
        <w:rPr>
          <w:rFonts w:ascii="Times New Roman" w:eastAsia="Times New Roman" w:hAnsi="Times New Roman" w:cs="Times New Roman"/>
          <w:color w:val="000000" w:themeColor="text1"/>
          <w:sz w:val="24"/>
          <w:szCs w:val="24"/>
        </w:rPr>
        <w:t>Isman</w:t>
      </w:r>
      <w:proofErr w:type="spellEnd"/>
      <w:r w:rsidRPr="00154B2C">
        <w:rPr>
          <w:rFonts w:ascii="Times New Roman" w:eastAsia="Times New Roman" w:hAnsi="Times New Roman" w:cs="Times New Roman"/>
          <w:color w:val="000000" w:themeColor="text1"/>
          <w:sz w:val="24"/>
          <w:szCs w:val="24"/>
        </w:rPr>
        <w:t xml:space="preserve">, M. B. (2023). Commercialization and regulation of botanical bio pesticides: a global perspective. </w:t>
      </w:r>
      <w:r w:rsidRPr="00154B2C">
        <w:rPr>
          <w:rFonts w:ascii="Times New Roman" w:eastAsia="Times New Roman" w:hAnsi="Times New Roman" w:cs="Times New Roman"/>
          <w:i/>
          <w:color w:val="000000" w:themeColor="text1"/>
          <w:sz w:val="24"/>
          <w:szCs w:val="24"/>
        </w:rPr>
        <w:t>Development and commercialization of bio pesticides</w:t>
      </w:r>
      <w:r w:rsidRPr="00154B2C">
        <w:rPr>
          <w:rFonts w:ascii="Times New Roman" w:eastAsia="Times New Roman" w:hAnsi="Times New Roman" w:cs="Times New Roman"/>
          <w:color w:val="000000" w:themeColor="text1"/>
          <w:sz w:val="24"/>
          <w:szCs w:val="24"/>
        </w:rPr>
        <w:t xml:space="preserve"> (pp. 25-36). Academic Press.</w:t>
      </w:r>
      <w:r w:rsidRPr="00154B2C">
        <w:rPr>
          <w:rFonts w:ascii="Times New Roman" w:hAnsi="Times New Roman" w:cs="Times New Roman"/>
          <w:sz w:val="24"/>
          <w:szCs w:val="24"/>
        </w:rPr>
        <w:t xml:space="preserve"> </w:t>
      </w:r>
      <w:hyperlink r:id="rId12" w:history="1">
        <w:r w:rsidRPr="00154B2C">
          <w:rPr>
            <w:rStyle w:val="Hyperlink"/>
            <w:rFonts w:ascii="Times New Roman" w:eastAsia="Times New Roman" w:hAnsi="Times New Roman" w:cs="Times New Roman"/>
            <w:sz w:val="24"/>
            <w:szCs w:val="24"/>
          </w:rPr>
          <w:t>https://doi.org/10.1016/B978-0-323-95290-3.00001-7</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Kumar, J., </w:t>
      </w:r>
      <w:proofErr w:type="spellStart"/>
      <w:r w:rsidRPr="00154B2C">
        <w:rPr>
          <w:rFonts w:ascii="Times New Roman" w:eastAsia="Times New Roman" w:hAnsi="Times New Roman" w:cs="Times New Roman"/>
          <w:color w:val="000000" w:themeColor="text1"/>
          <w:sz w:val="24"/>
          <w:szCs w:val="24"/>
        </w:rPr>
        <w:t>Ramlal</w:t>
      </w:r>
      <w:proofErr w:type="spellEnd"/>
      <w:r w:rsidRPr="00154B2C">
        <w:rPr>
          <w:rFonts w:ascii="Times New Roman" w:eastAsia="Times New Roman" w:hAnsi="Times New Roman" w:cs="Times New Roman"/>
          <w:color w:val="000000" w:themeColor="text1"/>
          <w:sz w:val="24"/>
          <w:szCs w:val="24"/>
        </w:rPr>
        <w:t xml:space="preserve">, A., Mallick, D., &amp; Mishra, V. (2021). An overview of some bio pesticides and their importance in plant protection for commercial acceptance. </w:t>
      </w:r>
      <w:r w:rsidRPr="00154B2C">
        <w:rPr>
          <w:rFonts w:ascii="Times New Roman" w:eastAsia="Times New Roman" w:hAnsi="Times New Roman" w:cs="Times New Roman"/>
          <w:i/>
          <w:color w:val="000000" w:themeColor="text1"/>
          <w:sz w:val="24"/>
          <w:szCs w:val="24"/>
        </w:rPr>
        <w:t>Plants</w:t>
      </w:r>
      <w:r w:rsidRPr="00154B2C">
        <w:rPr>
          <w:rFonts w:ascii="Times New Roman" w:eastAsia="Times New Roman" w:hAnsi="Times New Roman" w:cs="Times New Roman"/>
          <w:color w:val="000000" w:themeColor="text1"/>
          <w:sz w:val="24"/>
          <w:szCs w:val="24"/>
        </w:rPr>
        <w:t>, 10(6), 1185.</w:t>
      </w:r>
      <w:r w:rsidRPr="00154B2C">
        <w:rPr>
          <w:rFonts w:ascii="Times New Roman" w:hAnsi="Times New Roman" w:cs="Times New Roman"/>
          <w:sz w:val="24"/>
          <w:szCs w:val="24"/>
        </w:rPr>
        <w:t xml:space="preserve"> </w:t>
      </w:r>
      <w:hyperlink r:id="rId13" w:history="1">
        <w:r w:rsidRPr="00154B2C">
          <w:rPr>
            <w:rStyle w:val="Hyperlink"/>
            <w:rFonts w:ascii="Times New Roman" w:eastAsia="Times New Roman" w:hAnsi="Times New Roman" w:cs="Times New Roman"/>
            <w:sz w:val="24"/>
            <w:szCs w:val="24"/>
          </w:rPr>
          <w:t>https://doi.org/10.3390/plants10061185</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Narayanan, M., Kandasamy, S., He, Z., &amp; </w:t>
      </w:r>
      <w:proofErr w:type="spellStart"/>
      <w:r w:rsidRPr="00154B2C">
        <w:rPr>
          <w:rFonts w:ascii="Times New Roman" w:eastAsia="Times New Roman" w:hAnsi="Times New Roman" w:cs="Times New Roman"/>
          <w:color w:val="000000" w:themeColor="text1"/>
          <w:sz w:val="24"/>
          <w:szCs w:val="24"/>
        </w:rPr>
        <w:t>Kumarasamy</w:t>
      </w:r>
      <w:proofErr w:type="spellEnd"/>
      <w:r w:rsidRPr="00154B2C">
        <w:rPr>
          <w:rFonts w:ascii="Times New Roman" w:eastAsia="Times New Roman" w:hAnsi="Times New Roman" w:cs="Times New Roman"/>
          <w:color w:val="000000" w:themeColor="text1"/>
          <w:sz w:val="24"/>
          <w:szCs w:val="24"/>
        </w:rPr>
        <w:t xml:space="preserve">, S. (2022). Ecological impacts of pesticides on soil and water ecosystems and its natural degradation process. </w:t>
      </w:r>
      <w:r w:rsidRPr="00154B2C">
        <w:rPr>
          <w:rFonts w:ascii="Times New Roman" w:eastAsia="Times New Roman" w:hAnsi="Times New Roman" w:cs="Times New Roman"/>
          <w:i/>
          <w:color w:val="000000" w:themeColor="text1"/>
          <w:sz w:val="24"/>
          <w:szCs w:val="24"/>
        </w:rPr>
        <w:t>Pesticides in the natural environment</w:t>
      </w:r>
      <w:r w:rsidRPr="00154B2C">
        <w:rPr>
          <w:rFonts w:ascii="Times New Roman" w:eastAsia="Times New Roman" w:hAnsi="Times New Roman" w:cs="Times New Roman"/>
          <w:color w:val="000000" w:themeColor="text1"/>
          <w:sz w:val="24"/>
          <w:szCs w:val="24"/>
        </w:rPr>
        <w:t xml:space="preserve"> (pp. 23-49). Elsevier.</w:t>
      </w:r>
      <w:r w:rsidRPr="00154B2C">
        <w:rPr>
          <w:rFonts w:ascii="Times New Roman" w:hAnsi="Times New Roman" w:cs="Times New Roman"/>
          <w:sz w:val="24"/>
          <w:szCs w:val="24"/>
        </w:rPr>
        <w:t xml:space="preserve"> </w:t>
      </w:r>
      <w:hyperlink r:id="rId14" w:history="1">
        <w:r w:rsidRPr="00154B2C">
          <w:rPr>
            <w:rStyle w:val="Hyperlink"/>
            <w:rFonts w:ascii="Times New Roman" w:eastAsia="Times New Roman" w:hAnsi="Times New Roman" w:cs="Times New Roman"/>
            <w:sz w:val="24"/>
            <w:szCs w:val="24"/>
          </w:rPr>
          <w:t>https://doi.org/10.1016/B978-0-323-90489-6.00002-1</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Popp, J., </w:t>
      </w:r>
      <w:proofErr w:type="spellStart"/>
      <w:r w:rsidRPr="00154B2C">
        <w:rPr>
          <w:rFonts w:ascii="Times New Roman" w:eastAsia="Times New Roman" w:hAnsi="Times New Roman" w:cs="Times New Roman"/>
          <w:color w:val="000000" w:themeColor="text1"/>
          <w:sz w:val="24"/>
          <w:szCs w:val="24"/>
        </w:rPr>
        <w:t>Pető</w:t>
      </w:r>
      <w:proofErr w:type="spellEnd"/>
      <w:r w:rsidRPr="00154B2C">
        <w:rPr>
          <w:rFonts w:ascii="Times New Roman" w:eastAsia="Times New Roman" w:hAnsi="Times New Roman" w:cs="Times New Roman"/>
          <w:color w:val="000000" w:themeColor="text1"/>
          <w:sz w:val="24"/>
          <w:szCs w:val="24"/>
        </w:rPr>
        <w:t xml:space="preserve">, K., &amp; Nagy, J. (2013). Pesticide productivity and food security. A review. </w:t>
      </w:r>
      <w:r w:rsidRPr="00154B2C">
        <w:rPr>
          <w:rFonts w:ascii="Times New Roman" w:eastAsia="Times New Roman" w:hAnsi="Times New Roman" w:cs="Times New Roman"/>
          <w:i/>
          <w:color w:val="000000" w:themeColor="text1"/>
          <w:sz w:val="24"/>
          <w:szCs w:val="24"/>
        </w:rPr>
        <w:t>Agronomy for sustainable development</w:t>
      </w:r>
      <w:r w:rsidRPr="00154B2C">
        <w:rPr>
          <w:rFonts w:ascii="Times New Roman" w:eastAsia="Times New Roman" w:hAnsi="Times New Roman" w:cs="Times New Roman"/>
          <w:color w:val="000000" w:themeColor="text1"/>
          <w:sz w:val="24"/>
          <w:szCs w:val="24"/>
        </w:rPr>
        <w:t>, 33(1), 243-255.</w:t>
      </w:r>
      <w:r w:rsidRPr="00154B2C">
        <w:rPr>
          <w:rFonts w:ascii="Times New Roman" w:hAnsi="Times New Roman" w:cs="Times New Roman"/>
          <w:sz w:val="24"/>
          <w:szCs w:val="24"/>
        </w:rPr>
        <w:t xml:space="preserve"> </w:t>
      </w:r>
      <w:hyperlink r:id="rId15" w:history="1">
        <w:r w:rsidRPr="00154B2C">
          <w:rPr>
            <w:rStyle w:val="Hyperlink"/>
            <w:rFonts w:ascii="Times New Roman" w:eastAsia="Times New Roman" w:hAnsi="Times New Roman" w:cs="Times New Roman"/>
            <w:sz w:val="24"/>
            <w:szCs w:val="24"/>
          </w:rPr>
          <w:t>https://doi.org/10.1007/s13593-012-0105-x</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lastRenderedPageBreak/>
        <w:t xml:space="preserve">Reddy, D. S., &amp; Chowdary, N. M. (2021). Botanical biopesticide combination concept-a viable option for pest management in organic farming. </w:t>
      </w:r>
      <w:r w:rsidRPr="00154B2C">
        <w:rPr>
          <w:rFonts w:ascii="Times New Roman" w:eastAsia="Times New Roman" w:hAnsi="Times New Roman" w:cs="Times New Roman"/>
          <w:i/>
          <w:color w:val="000000" w:themeColor="text1"/>
          <w:sz w:val="24"/>
          <w:szCs w:val="24"/>
        </w:rPr>
        <w:t>Egyptian Journal of Biological Pest Control</w:t>
      </w:r>
      <w:r w:rsidRPr="00154B2C">
        <w:rPr>
          <w:rFonts w:ascii="Times New Roman" w:eastAsia="Times New Roman" w:hAnsi="Times New Roman" w:cs="Times New Roman"/>
          <w:color w:val="000000" w:themeColor="text1"/>
          <w:sz w:val="24"/>
          <w:szCs w:val="24"/>
        </w:rPr>
        <w:t>, 31(1), 1-10.</w:t>
      </w:r>
      <w:r w:rsidRPr="00154B2C">
        <w:rPr>
          <w:rFonts w:ascii="Times New Roman" w:hAnsi="Times New Roman" w:cs="Times New Roman"/>
          <w:sz w:val="24"/>
          <w:szCs w:val="24"/>
        </w:rPr>
        <w:t xml:space="preserve"> </w:t>
      </w:r>
      <w:hyperlink r:id="rId16" w:history="1">
        <w:r w:rsidRPr="00154B2C">
          <w:rPr>
            <w:rStyle w:val="Hyperlink"/>
            <w:rFonts w:ascii="Times New Roman" w:eastAsia="Times New Roman" w:hAnsi="Times New Roman" w:cs="Times New Roman"/>
            <w:sz w:val="24"/>
            <w:szCs w:val="24"/>
          </w:rPr>
          <w:t>https://doi.org/10.1186/s41938-021-00366-w</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154B2C">
        <w:rPr>
          <w:rFonts w:ascii="Times New Roman" w:hAnsi="Times New Roman" w:cs="Times New Roman"/>
          <w:color w:val="000000" w:themeColor="text1"/>
          <w:sz w:val="24"/>
          <w:szCs w:val="24"/>
          <w:shd w:val="clear" w:color="auto" w:fill="FFFFFF"/>
        </w:rPr>
        <w:t>Rogers, E. M., &amp; Williams, D. (1983). Diffusion of. Innovations (Glencoe, IL: The Free Press, 1962).</w:t>
      </w:r>
    </w:p>
    <w:p w:rsidR="00663EA5" w:rsidRPr="00154B2C" w:rsidRDefault="00663EA5" w:rsidP="00663EA5">
      <w:pPr>
        <w:spacing w:after="0" w:line="360" w:lineRule="auto"/>
        <w:ind w:left="720" w:hanging="720"/>
        <w:jc w:val="both"/>
        <w:rPr>
          <w:rStyle w:val="Hyperlink"/>
          <w:rFonts w:ascii="Times New Roman" w:eastAsia="Times New Roman" w:hAnsi="Times New Roman" w:cs="Times New Roman"/>
          <w:sz w:val="24"/>
          <w:szCs w:val="24"/>
        </w:rPr>
      </w:pPr>
      <w:r w:rsidRPr="00154B2C">
        <w:rPr>
          <w:rFonts w:ascii="Times New Roman" w:eastAsia="Times New Roman" w:hAnsi="Times New Roman" w:cs="Times New Roman"/>
          <w:sz w:val="24"/>
          <w:szCs w:val="24"/>
        </w:rPr>
        <w:t xml:space="preserve">Rogers, R. W. (1975). A protection motivation theory of fear appeals and attitude change1. </w:t>
      </w:r>
      <w:r w:rsidRPr="00154B2C">
        <w:rPr>
          <w:rFonts w:ascii="Times New Roman" w:eastAsia="Times New Roman" w:hAnsi="Times New Roman" w:cs="Times New Roman"/>
          <w:i/>
          <w:sz w:val="24"/>
          <w:szCs w:val="24"/>
        </w:rPr>
        <w:t>The journal of psychology</w:t>
      </w:r>
      <w:r w:rsidRPr="00154B2C">
        <w:rPr>
          <w:rFonts w:ascii="Times New Roman" w:eastAsia="Times New Roman" w:hAnsi="Times New Roman" w:cs="Times New Roman"/>
          <w:sz w:val="24"/>
          <w:szCs w:val="24"/>
        </w:rPr>
        <w:t>, 91(1), 93-114.</w:t>
      </w:r>
      <w:r w:rsidRPr="00154B2C">
        <w:rPr>
          <w:rFonts w:ascii="Times New Roman" w:hAnsi="Times New Roman" w:cs="Times New Roman"/>
          <w:sz w:val="24"/>
          <w:szCs w:val="24"/>
        </w:rPr>
        <w:t xml:space="preserve"> </w:t>
      </w:r>
      <w:hyperlink r:id="rId17" w:history="1">
        <w:r w:rsidRPr="00154B2C">
          <w:rPr>
            <w:rStyle w:val="Hyperlink"/>
            <w:rFonts w:ascii="Times New Roman" w:eastAsia="Times New Roman" w:hAnsi="Times New Roman" w:cs="Times New Roman"/>
            <w:sz w:val="24"/>
            <w:szCs w:val="24"/>
          </w:rPr>
          <w:t>https://doi.org/10.1080/00223980.1975.9915803</w:t>
        </w:r>
      </w:hyperlink>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154B2C">
        <w:rPr>
          <w:rFonts w:ascii="Times New Roman" w:eastAsia="Times New Roman" w:hAnsi="Times New Roman" w:cs="Times New Roman"/>
          <w:color w:val="000000" w:themeColor="text1"/>
          <w:sz w:val="24"/>
          <w:szCs w:val="24"/>
        </w:rPr>
        <w:t>Tudi</w:t>
      </w:r>
      <w:proofErr w:type="spellEnd"/>
      <w:r w:rsidRPr="00154B2C">
        <w:rPr>
          <w:rFonts w:ascii="Times New Roman" w:eastAsia="Times New Roman" w:hAnsi="Times New Roman" w:cs="Times New Roman"/>
          <w:color w:val="000000" w:themeColor="text1"/>
          <w:sz w:val="24"/>
          <w:szCs w:val="24"/>
        </w:rPr>
        <w:t xml:space="preserve">, M., Daniel </w:t>
      </w:r>
      <w:proofErr w:type="spellStart"/>
      <w:r w:rsidRPr="00154B2C">
        <w:rPr>
          <w:rFonts w:ascii="Times New Roman" w:eastAsia="Times New Roman" w:hAnsi="Times New Roman" w:cs="Times New Roman"/>
          <w:color w:val="000000" w:themeColor="text1"/>
          <w:sz w:val="24"/>
          <w:szCs w:val="24"/>
        </w:rPr>
        <w:t>Ruan</w:t>
      </w:r>
      <w:proofErr w:type="spellEnd"/>
      <w:r w:rsidRPr="00154B2C">
        <w:rPr>
          <w:rFonts w:ascii="Times New Roman" w:eastAsia="Times New Roman" w:hAnsi="Times New Roman" w:cs="Times New Roman"/>
          <w:color w:val="000000" w:themeColor="text1"/>
          <w:sz w:val="24"/>
          <w:szCs w:val="24"/>
        </w:rPr>
        <w:t xml:space="preserve">, H., Wang, L., </w:t>
      </w:r>
      <w:proofErr w:type="spellStart"/>
      <w:r w:rsidRPr="00154B2C">
        <w:rPr>
          <w:rFonts w:ascii="Times New Roman" w:eastAsia="Times New Roman" w:hAnsi="Times New Roman" w:cs="Times New Roman"/>
          <w:color w:val="000000" w:themeColor="text1"/>
          <w:sz w:val="24"/>
          <w:szCs w:val="24"/>
        </w:rPr>
        <w:t>Lyu</w:t>
      </w:r>
      <w:proofErr w:type="spellEnd"/>
      <w:r w:rsidRPr="00154B2C">
        <w:rPr>
          <w:rFonts w:ascii="Times New Roman" w:eastAsia="Times New Roman" w:hAnsi="Times New Roman" w:cs="Times New Roman"/>
          <w:color w:val="000000" w:themeColor="text1"/>
          <w:sz w:val="24"/>
          <w:szCs w:val="24"/>
        </w:rPr>
        <w:t xml:space="preserve">, J., Sadler, R., Connell, D., &amp; Phung, D. T. (2021). Agriculture development, pesticide application and its impact on the environment. </w:t>
      </w:r>
      <w:r w:rsidRPr="00154B2C">
        <w:rPr>
          <w:rFonts w:ascii="Times New Roman" w:eastAsia="Times New Roman" w:hAnsi="Times New Roman" w:cs="Times New Roman"/>
          <w:i/>
          <w:color w:val="000000" w:themeColor="text1"/>
          <w:sz w:val="24"/>
          <w:szCs w:val="24"/>
        </w:rPr>
        <w:t>International journal of environmental research and public health</w:t>
      </w:r>
      <w:r w:rsidRPr="00154B2C">
        <w:rPr>
          <w:rFonts w:ascii="Times New Roman" w:eastAsia="Times New Roman" w:hAnsi="Times New Roman" w:cs="Times New Roman"/>
          <w:color w:val="000000" w:themeColor="text1"/>
          <w:sz w:val="24"/>
          <w:szCs w:val="24"/>
        </w:rPr>
        <w:t>, 18(3), 1112.</w:t>
      </w:r>
      <w:r w:rsidRPr="00154B2C">
        <w:rPr>
          <w:rFonts w:ascii="Times New Roman" w:hAnsi="Times New Roman" w:cs="Times New Roman"/>
          <w:sz w:val="24"/>
          <w:szCs w:val="24"/>
        </w:rPr>
        <w:t xml:space="preserve"> </w:t>
      </w:r>
      <w:hyperlink r:id="rId18" w:history="1">
        <w:r w:rsidRPr="00154B2C">
          <w:rPr>
            <w:rStyle w:val="Hyperlink"/>
            <w:rFonts w:ascii="Times New Roman" w:eastAsia="Times New Roman" w:hAnsi="Times New Roman" w:cs="Times New Roman"/>
            <w:sz w:val="24"/>
            <w:szCs w:val="24"/>
          </w:rPr>
          <w:t>https://doi.org/10.3390/ijerph18031112</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sz w:val="24"/>
          <w:szCs w:val="24"/>
        </w:rPr>
      </w:pPr>
      <w:r w:rsidRPr="00154B2C">
        <w:rPr>
          <w:rFonts w:ascii="Times New Roman" w:eastAsia="Times New Roman" w:hAnsi="Times New Roman" w:cs="Times New Roman"/>
          <w:sz w:val="24"/>
          <w:szCs w:val="24"/>
        </w:rPr>
        <w:t>Venkatesh, V., Morris, M. G., Davis, G. B., &amp; Davis, F. D. (2003). User acceptance of information technology: Toward a unified view. MIS quarterly, 425-478.</w:t>
      </w:r>
      <w:r w:rsidRPr="00154B2C">
        <w:rPr>
          <w:rFonts w:ascii="Times New Roman" w:hAnsi="Times New Roman" w:cs="Times New Roman"/>
          <w:sz w:val="24"/>
          <w:szCs w:val="24"/>
        </w:rPr>
        <w:t xml:space="preserve"> </w:t>
      </w:r>
      <w:hyperlink r:id="rId19" w:history="1">
        <w:r w:rsidRPr="00154B2C">
          <w:rPr>
            <w:rStyle w:val="Hyperlink"/>
            <w:rFonts w:ascii="Times New Roman" w:eastAsia="Times New Roman" w:hAnsi="Times New Roman" w:cs="Times New Roman"/>
            <w:sz w:val="24"/>
            <w:szCs w:val="24"/>
          </w:rPr>
          <w:t>https://doi.org/10.2307/30036540</w:t>
        </w:r>
      </w:hyperlink>
      <w:r w:rsidRPr="00154B2C">
        <w:rPr>
          <w:rFonts w:ascii="Times New Roman" w:eastAsia="Times New Roman" w:hAnsi="Times New Roman" w:cs="Times New Roman"/>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r w:rsidRPr="00154B2C">
        <w:rPr>
          <w:rFonts w:ascii="Times New Roman" w:eastAsia="Times New Roman" w:hAnsi="Times New Roman" w:cs="Times New Roman"/>
          <w:color w:val="000000" w:themeColor="text1"/>
          <w:sz w:val="24"/>
          <w:szCs w:val="24"/>
        </w:rPr>
        <w:t xml:space="preserve">Wheaton, B., </w:t>
      </w:r>
      <w:proofErr w:type="spellStart"/>
      <w:r w:rsidRPr="00154B2C">
        <w:rPr>
          <w:rFonts w:ascii="Times New Roman" w:eastAsia="Times New Roman" w:hAnsi="Times New Roman" w:cs="Times New Roman"/>
          <w:color w:val="000000" w:themeColor="text1"/>
          <w:sz w:val="24"/>
          <w:szCs w:val="24"/>
        </w:rPr>
        <w:t>Muthen</w:t>
      </w:r>
      <w:proofErr w:type="spellEnd"/>
      <w:r w:rsidRPr="00154B2C">
        <w:rPr>
          <w:rFonts w:ascii="Times New Roman" w:eastAsia="Times New Roman" w:hAnsi="Times New Roman" w:cs="Times New Roman"/>
          <w:color w:val="000000" w:themeColor="text1"/>
          <w:sz w:val="24"/>
          <w:szCs w:val="24"/>
        </w:rPr>
        <w:t xml:space="preserve">, B., Alwin, D. F., &amp; summers, G. F. (1977). Assessing reliability and stability in panel models. </w:t>
      </w:r>
      <w:r w:rsidRPr="00154B2C">
        <w:rPr>
          <w:rFonts w:ascii="Times New Roman" w:eastAsia="Times New Roman" w:hAnsi="Times New Roman" w:cs="Times New Roman"/>
          <w:i/>
          <w:color w:val="000000" w:themeColor="text1"/>
          <w:sz w:val="24"/>
          <w:szCs w:val="24"/>
        </w:rPr>
        <w:t>Sociological methodology</w:t>
      </w:r>
      <w:r w:rsidRPr="00154B2C">
        <w:rPr>
          <w:rFonts w:ascii="Times New Roman" w:eastAsia="Times New Roman" w:hAnsi="Times New Roman" w:cs="Times New Roman"/>
          <w:color w:val="000000" w:themeColor="text1"/>
          <w:sz w:val="24"/>
          <w:szCs w:val="24"/>
        </w:rPr>
        <w:t xml:space="preserve">, 8, 84-136. </w:t>
      </w:r>
      <w:hyperlink r:id="rId20" w:history="1">
        <w:r w:rsidRPr="00154B2C">
          <w:rPr>
            <w:rStyle w:val="Hyperlink"/>
            <w:rFonts w:ascii="Times New Roman" w:eastAsia="Times New Roman" w:hAnsi="Times New Roman" w:cs="Times New Roman"/>
            <w:sz w:val="24"/>
            <w:szCs w:val="24"/>
          </w:rPr>
          <w:t>https://doi.org/10.2307/270754</w:t>
        </w:r>
      </w:hyperlink>
      <w:r w:rsidRPr="00154B2C">
        <w:rPr>
          <w:rFonts w:ascii="Times New Roman" w:eastAsia="Times New Roman" w:hAnsi="Times New Roman" w:cs="Times New Roman"/>
          <w:color w:val="000000" w:themeColor="text1"/>
          <w:sz w:val="24"/>
          <w:szCs w:val="24"/>
        </w:rPr>
        <w:t xml:space="preserve">            </w:t>
      </w:r>
    </w:p>
    <w:p w:rsidR="00663EA5" w:rsidRPr="00154B2C" w:rsidRDefault="00663EA5" w:rsidP="00663EA5">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154B2C">
        <w:rPr>
          <w:rFonts w:ascii="Times New Roman" w:eastAsia="Times New Roman" w:hAnsi="Times New Roman" w:cs="Times New Roman"/>
          <w:color w:val="000000" w:themeColor="text1"/>
          <w:sz w:val="24"/>
          <w:szCs w:val="24"/>
        </w:rPr>
        <w:t>Wyckhuys</w:t>
      </w:r>
      <w:proofErr w:type="spellEnd"/>
      <w:r w:rsidRPr="00154B2C">
        <w:rPr>
          <w:rFonts w:ascii="Times New Roman" w:eastAsia="Times New Roman" w:hAnsi="Times New Roman" w:cs="Times New Roman"/>
          <w:color w:val="000000" w:themeColor="text1"/>
          <w:sz w:val="24"/>
          <w:szCs w:val="24"/>
        </w:rPr>
        <w:t xml:space="preserve"> KA, Tang FH, </w:t>
      </w:r>
      <w:proofErr w:type="spellStart"/>
      <w:r w:rsidRPr="00154B2C">
        <w:rPr>
          <w:rFonts w:ascii="Times New Roman" w:eastAsia="Times New Roman" w:hAnsi="Times New Roman" w:cs="Times New Roman"/>
          <w:color w:val="000000" w:themeColor="text1"/>
          <w:sz w:val="24"/>
          <w:szCs w:val="24"/>
        </w:rPr>
        <w:t>Hadi</w:t>
      </w:r>
      <w:proofErr w:type="spellEnd"/>
      <w:r w:rsidRPr="00154B2C">
        <w:rPr>
          <w:rFonts w:ascii="Times New Roman" w:eastAsia="Times New Roman" w:hAnsi="Times New Roman" w:cs="Times New Roman"/>
          <w:color w:val="000000" w:themeColor="text1"/>
          <w:sz w:val="24"/>
          <w:szCs w:val="24"/>
        </w:rPr>
        <w:t xml:space="preserve"> BA. Pest management science often disregards farming system complexities. </w:t>
      </w:r>
      <w:r w:rsidRPr="00154B2C">
        <w:rPr>
          <w:rFonts w:ascii="Times New Roman" w:eastAsia="Times New Roman" w:hAnsi="Times New Roman" w:cs="Times New Roman"/>
          <w:i/>
          <w:color w:val="000000" w:themeColor="text1"/>
          <w:sz w:val="24"/>
          <w:szCs w:val="24"/>
        </w:rPr>
        <w:t>Communications Earth &amp; Environment</w:t>
      </w:r>
      <w:r w:rsidRPr="00154B2C">
        <w:rPr>
          <w:rFonts w:ascii="Times New Roman" w:eastAsia="Times New Roman" w:hAnsi="Times New Roman" w:cs="Times New Roman"/>
          <w:color w:val="000000" w:themeColor="text1"/>
          <w:sz w:val="24"/>
          <w:szCs w:val="24"/>
        </w:rPr>
        <w:t>. 2023 Jun 22; 4(1):223.</w:t>
      </w:r>
      <w:r w:rsidRPr="00154B2C">
        <w:rPr>
          <w:rFonts w:ascii="Times New Roman" w:hAnsi="Times New Roman" w:cs="Times New Roman"/>
          <w:sz w:val="24"/>
          <w:szCs w:val="24"/>
        </w:rPr>
        <w:t xml:space="preserve"> </w:t>
      </w:r>
      <w:hyperlink r:id="rId21" w:history="1">
        <w:r w:rsidRPr="00154B2C">
          <w:rPr>
            <w:rStyle w:val="Hyperlink"/>
            <w:rFonts w:ascii="Times New Roman" w:eastAsia="Times New Roman" w:hAnsi="Times New Roman" w:cs="Times New Roman"/>
            <w:sz w:val="24"/>
            <w:szCs w:val="24"/>
          </w:rPr>
          <w:t>https://doi.org/10.1038/s43247-023-00894-3</w:t>
        </w:r>
      </w:hyperlink>
      <w:r w:rsidRPr="00154B2C">
        <w:rPr>
          <w:rFonts w:ascii="Times New Roman" w:eastAsia="Times New Roman" w:hAnsi="Times New Roman" w:cs="Times New Roman"/>
          <w:color w:val="000000" w:themeColor="text1"/>
          <w:sz w:val="24"/>
          <w:szCs w:val="24"/>
        </w:rPr>
        <w:t xml:space="preserve"> </w:t>
      </w:r>
    </w:p>
    <w:p w:rsidR="004E296C" w:rsidRP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p>
    <w:p w:rsidR="00430237" w:rsidRDefault="00430237" w:rsidP="00307BEC">
      <w:pPr>
        <w:pStyle w:val="NormalWeb"/>
        <w:spacing w:line="360" w:lineRule="auto"/>
        <w:jc w:val="both"/>
      </w:pPr>
    </w:p>
    <w:p w:rsidR="00307BEC" w:rsidRDefault="00307BEC" w:rsidP="003C02B8">
      <w:pPr>
        <w:rPr>
          <w:rFonts w:ascii="Times New Roman" w:hAnsi="Times New Roman" w:cs="Times New Roman"/>
          <w:b/>
          <w:sz w:val="24"/>
          <w:szCs w:val="24"/>
        </w:rPr>
      </w:pPr>
    </w:p>
    <w:p w:rsidR="003C02B8" w:rsidRPr="003C02B8" w:rsidRDefault="003C02B8" w:rsidP="003C02B8">
      <w:pPr>
        <w:tabs>
          <w:tab w:val="left" w:pos="1224"/>
        </w:tabs>
        <w:rPr>
          <w:rFonts w:ascii="Times New Roman" w:hAnsi="Times New Roman" w:cs="Times New Roman"/>
          <w:sz w:val="24"/>
          <w:szCs w:val="24"/>
        </w:rPr>
      </w:pPr>
    </w:p>
    <w:sectPr w:rsidR="003C02B8" w:rsidRPr="003C02B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792" w:rsidRDefault="00D50792" w:rsidP="00586B53">
      <w:pPr>
        <w:spacing w:after="0" w:line="240" w:lineRule="auto"/>
      </w:pPr>
      <w:r>
        <w:separator/>
      </w:r>
    </w:p>
  </w:endnote>
  <w:endnote w:type="continuationSeparator" w:id="0">
    <w:p w:rsidR="00D50792" w:rsidRDefault="00D50792" w:rsidP="0058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AB0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AB0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AB0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792" w:rsidRDefault="00D50792" w:rsidP="00586B53">
      <w:pPr>
        <w:spacing w:after="0" w:line="240" w:lineRule="auto"/>
      </w:pPr>
      <w:r>
        <w:separator/>
      </w:r>
    </w:p>
  </w:footnote>
  <w:footnote w:type="continuationSeparator" w:id="0">
    <w:p w:rsidR="00D50792" w:rsidRDefault="00D50792" w:rsidP="0058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D50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D50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D3" w:rsidRDefault="00D50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755E9"/>
    <w:multiLevelType w:val="multilevel"/>
    <w:tmpl w:val="468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73671"/>
    <w:multiLevelType w:val="hybridMultilevel"/>
    <w:tmpl w:val="806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9C"/>
    <w:rsid w:val="00036A20"/>
    <w:rsid w:val="00106673"/>
    <w:rsid w:val="00137570"/>
    <w:rsid w:val="00307BEC"/>
    <w:rsid w:val="00381FB2"/>
    <w:rsid w:val="003B38FF"/>
    <w:rsid w:val="003C02B8"/>
    <w:rsid w:val="003D3394"/>
    <w:rsid w:val="00430237"/>
    <w:rsid w:val="00437D73"/>
    <w:rsid w:val="00453A9A"/>
    <w:rsid w:val="004E296C"/>
    <w:rsid w:val="00501FF9"/>
    <w:rsid w:val="00586B53"/>
    <w:rsid w:val="005F004E"/>
    <w:rsid w:val="00663EA5"/>
    <w:rsid w:val="00725B9A"/>
    <w:rsid w:val="00757C15"/>
    <w:rsid w:val="007B10A5"/>
    <w:rsid w:val="008A442A"/>
    <w:rsid w:val="008E041D"/>
    <w:rsid w:val="00933E1B"/>
    <w:rsid w:val="00971114"/>
    <w:rsid w:val="00980B2E"/>
    <w:rsid w:val="00A11BD2"/>
    <w:rsid w:val="00A76FAC"/>
    <w:rsid w:val="00AB0CD3"/>
    <w:rsid w:val="00AD1063"/>
    <w:rsid w:val="00B926BF"/>
    <w:rsid w:val="00BD3836"/>
    <w:rsid w:val="00C027F3"/>
    <w:rsid w:val="00D50792"/>
    <w:rsid w:val="00DA559C"/>
    <w:rsid w:val="00DC2F36"/>
    <w:rsid w:val="00F15F3B"/>
    <w:rsid w:val="00F92FCE"/>
    <w:rsid w:val="00FA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FDFC05A-C535-44DD-9562-94B0D77F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5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7570"/>
    <w:rPr>
      <w:i/>
      <w:iCs/>
    </w:rPr>
  </w:style>
  <w:style w:type="table" w:styleId="TableGrid">
    <w:name w:val="Table Grid"/>
    <w:basedOn w:val="TableNormal"/>
    <w:uiPriority w:val="39"/>
    <w:rsid w:val="0093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02B8"/>
    <w:rPr>
      <w:b/>
      <w:bCs/>
    </w:rPr>
  </w:style>
  <w:style w:type="character" w:styleId="Hyperlink">
    <w:name w:val="Hyperlink"/>
    <w:basedOn w:val="DefaultParagraphFont"/>
    <w:uiPriority w:val="99"/>
    <w:unhideWhenUsed/>
    <w:rsid w:val="00B926BF"/>
    <w:rPr>
      <w:color w:val="0563C1" w:themeColor="hyperlink"/>
      <w:u w:val="single"/>
    </w:rPr>
  </w:style>
  <w:style w:type="paragraph" w:styleId="Header">
    <w:name w:val="header"/>
    <w:basedOn w:val="Normal"/>
    <w:link w:val="HeaderChar"/>
    <w:uiPriority w:val="99"/>
    <w:unhideWhenUsed/>
    <w:rsid w:val="0058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53"/>
  </w:style>
  <w:style w:type="paragraph" w:styleId="Footer">
    <w:name w:val="footer"/>
    <w:basedOn w:val="Normal"/>
    <w:link w:val="FooterChar"/>
    <w:uiPriority w:val="99"/>
    <w:unhideWhenUsed/>
    <w:rsid w:val="0058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93">
      <w:bodyDiv w:val="1"/>
      <w:marLeft w:val="0"/>
      <w:marRight w:val="0"/>
      <w:marTop w:val="0"/>
      <w:marBottom w:val="0"/>
      <w:divBdr>
        <w:top w:val="none" w:sz="0" w:space="0" w:color="auto"/>
        <w:left w:val="none" w:sz="0" w:space="0" w:color="auto"/>
        <w:bottom w:val="none" w:sz="0" w:space="0" w:color="auto"/>
        <w:right w:val="none" w:sz="0" w:space="0" w:color="auto"/>
      </w:divBdr>
    </w:div>
    <w:div w:id="112024417">
      <w:bodyDiv w:val="1"/>
      <w:marLeft w:val="0"/>
      <w:marRight w:val="0"/>
      <w:marTop w:val="0"/>
      <w:marBottom w:val="0"/>
      <w:divBdr>
        <w:top w:val="none" w:sz="0" w:space="0" w:color="auto"/>
        <w:left w:val="none" w:sz="0" w:space="0" w:color="auto"/>
        <w:bottom w:val="none" w:sz="0" w:space="0" w:color="auto"/>
        <w:right w:val="none" w:sz="0" w:space="0" w:color="auto"/>
      </w:divBdr>
    </w:div>
    <w:div w:id="262348655">
      <w:bodyDiv w:val="1"/>
      <w:marLeft w:val="0"/>
      <w:marRight w:val="0"/>
      <w:marTop w:val="0"/>
      <w:marBottom w:val="0"/>
      <w:divBdr>
        <w:top w:val="none" w:sz="0" w:space="0" w:color="auto"/>
        <w:left w:val="none" w:sz="0" w:space="0" w:color="auto"/>
        <w:bottom w:val="none" w:sz="0" w:space="0" w:color="auto"/>
        <w:right w:val="none" w:sz="0" w:space="0" w:color="auto"/>
      </w:divBdr>
    </w:div>
    <w:div w:id="314988725">
      <w:bodyDiv w:val="1"/>
      <w:marLeft w:val="0"/>
      <w:marRight w:val="0"/>
      <w:marTop w:val="0"/>
      <w:marBottom w:val="0"/>
      <w:divBdr>
        <w:top w:val="none" w:sz="0" w:space="0" w:color="auto"/>
        <w:left w:val="none" w:sz="0" w:space="0" w:color="auto"/>
        <w:bottom w:val="none" w:sz="0" w:space="0" w:color="auto"/>
        <w:right w:val="none" w:sz="0" w:space="0" w:color="auto"/>
      </w:divBdr>
    </w:div>
    <w:div w:id="405953854">
      <w:bodyDiv w:val="1"/>
      <w:marLeft w:val="0"/>
      <w:marRight w:val="0"/>
      <w:marTop w:val="0"/>
      <w:marBottom w:val="0"/>
      <w:divBdr>
        <w:top w:val="none" w:sz="0" w:space="0" w:color="auto"/>
        <w:left w:val="none" w:sz="0" w:space="0" w:color="auto"/>
        <w:bottom w:val="none" w:sz="0" w:space="0" w:color="auto"/>
        <w:right w:val="none" w:sz="0" w:space="0" w:color="auto"/>
      </w:divBdr>
    </w:div>
    <w:div w:id="501706516">
      <w:bodyDiv w:val="1"/>
      <w:marLeft w:val="0"/>
      <w:marRight w:val="0"/>
      <w:marTop w:val="0"/>
      <w:marBottom w:val="0"/>
      <w:divBdr>
        <w:top w:val="none" w:sz="0" w:space="0" w:color="auto"/>
        <w:left w:val="none" w:sz="0" w:space="0" w:color="auto"/>
        <w:bottom w:val="none" w:sz="0" w:space="0" w:color="auto"/>
        <w:right w:val="none" w:sz="0" w:space="0" w:color="auto"/>
      </w:divBdr>
    </w:div>
    <w:div w:id="746421642">
      <w:bodyDiv w:val="1"/>
      <w:marLeft w:val="0"/>
      <w:marRight w:val="0"/>
      <w:marTop w:val="0"/>
      <w:marBottom w:val="0"/>
      <w:divBdr>
        <w:top w:val="none" w:sz="0" w:space="0" w:color="auto"/>
        <w:left w:val="none" w:sz="0" w:space="0" w:color="auto"/>
        <w:bottom w:val="none" w:sz="0" w:space="0" w:color="auto"/>
        <w:right w:val="none" w:sz="0" w:space="0" w:color="auto"/>
      </w:divBdr>
    </w:div>
    <w:div w:id="787242022">
      <w:bodyDiv w:val="1"/>
      <w:marLeft w:val="0"/>
      <w:marRight w:val="0"/>
      <w:marTop w:val="0"/>
      <w:marBottom w:val="0"/>
      <w:divBdr>
        <w:top w:val="none" w:sz="0" w:space="0" w:color="auto"/>
        <w:left w:val="none" w:sz="0" w:space="0" w:color="auto"/>
        <w:bottom w:val="none" w:sz="0" w:space="0" w:color="auto"/>
        <w:right w:val="none" w:sz="0" w:space="0" w:color="auto"/>
      </w:divBdr>
    </w:div>
    <w:div w:id="1150484743">
      <w:bodyDiv w:val="1"/>
      <w:marLeft w:val="0"/>
      <w:marRight w:val="0"/>
      <w:marTop w:val="0"/>
      <w:marBottom w:val="0"/>
      <w:divBdr>
        <w:top w:val="none" w:sz="0" w:space="0" w:color="auto"/>
        <w:left w:val="none" w:sz="0" w:space="0" w:color="auto"/>
        <w:bottom w:val="none" w:sz="0" w:space="0" w:color="auto"/>
        <w:right w:val="none" w:sz="0" w:space="0" w:color="auto"/>
      </w:divBdr>
    </w:div>
    <w:div w:id="1387296962">
      <w:bodyDiv w:val="1"/>
      <w:marLeft w:val="0"/>
      <w:marRight w:val="0"/>
      <w:marTop w:val="0"/>
      <w:marBottom w:val="0"/>
      <w:divBdr>
        <w:top w:val="none" w:sz="0" w:space="0" w:color="auto"/>
        <w:left w:val="none" w:sz="0" w:space="0" w:color="auto"/>
        <w:bottom w:val="none" w:sz="0" w:space="0" w:color="auto"/>
        <w:right w:val="none" w:sz="0" w:space="0" w:color="auto"/>
      </w:divBdr>
    </w:div>
    <w:div w:id="1429349633">
      <w:bodyDiv w:val="1"/>
      <w:marLeft w:val="0"/>
      <w:marRight w:val="0"/>
      <w:marTop w:val="0"/>
      <w:marBottom w:val="0"/>
      <w:divBdr>
        <w:top w:val="none" w:sz="0" w:space="0" w:color="auto"/>
        <w:left w:val="none" w:sz="0" w:space="0" w:color="auto"/>
        <w:bottom w:val="none" w:sz="0" w:space="0" w:color="auto"/>
        <w:right w:val="none" w:sz="0" w:space="0" w:color="auto"/>
      </w:divBdr>
    </w:div>
    <w:div w:id="1483964242">
      <w:bodyDiv w:val="1"/>
      <w:marLeft w:val="0"/>
      <w:marRight w:val="0"/>
      <w:marTop w:val="0"/>
      <w:marBottom w:val="0"/>
      <w:divBdr>
        <w:top w:val="none" w:sz="0" w:space="0" w:color="auto"/>
        <w:left w:val="none" w:sz="0" w:space="0" w:color="auto"/>
        <w:bottom w:val="none" w:sz="0" w:space="0" w:color="auto"/>
        <w:right w:val="none" w:sz="0" w:space="0" w:color="auto"/>
      </w:divBdr>
    </w:div>
    <w:div w:id="1800564719">
      <w:bodyDiv w:val="1"/>
      <w:marLeft w:val="0"/>
      <w:marRight w:val="0"/>
      <w:marTop w:val="0"/>
      <w:marBottom w:val="0"/>
      <w:divBdr>
        <w:top w:val="none" w:sz="0" w:space="0" w:color="auto"/>
        <w:left w:val="none" w:sz="0" w:space="0" w:color="auto"/>
        <w:bottom w:val="none" w:sz="0" w:space="0" w:color="auto"/>
        <w:right w:val="none" w:sz="0" w:space="0" w:color="auto"/>
      </w:divBdr>
    </w:div>
    <w:div w:id="21330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plants10061185" TargetMode="External"/><Relationship Id="rId18" Type="http://schemas.openxmlformats.org/officeDocument/2006/relationships/hyperlink" Target="https://doi.org/10.3390/ijerph1803111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38/s43247-023-00894-3" TargetMode="External"/><Relationship Id="rId7" Type="http://schemas.openxmlformats.org/officeDocument/2006/relationships/image" Target="media/image1.png"/><Relationship Id="rId12" Type="http://schemas.openxmlformats.org/officeDocument/2006/relationships/hyperlink" Target="https://doi.org/10.1016/B978-0-323-95290-3.00001-7" TargetMode="External"/><Relationship Id="rId17" Type="http://schemas.openxmlformats.org/officeDocument/2006/relationships/hyperlink" Target="https://doi.org/10.1080/00223980.1975.99158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41938-021-00366-w" TargetMode="External"/><Relationship Id="rId20" Type="http://schemas.openxmlformats.org/officeDocument/2006/relationships/hyperlink" Target="https://doi.org/10.2307/27075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301-017-0133-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3593-012-0105-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j.1559-1816.2000.tb02323.x" TargetMode="External"/><Relationship Id="rId19" Type="http://schemas.openxmlformats.org/officeDocument/2006/relationships/hyperlink" Target="https://doi.org/10.2307/30036540" TargetMode="External"/><Relationship Id="rId4" Type="http://schemas.openxmlformats.org/officeDocument/2006/relationships/webSettings" Target="webSettings.xml"/><Relationship Id="rId9" Type="http://schemas.openxmlformats.org/officeDocument/2006/relationships/hyperlink" Target="https://doi.org/10.1016/j.jenvp.2015.12.001" TargetMode="External"/><Relationship Id="rId14" Type="http://schemas.openxmlformats.org/officeDocument/2006/relationships/hyperlink" Target="https://doi.org/10.1016/B978-0-323-90489-6.00002-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Editor-11</cp:lastModifiedBy>
  <cp:revision>8</cp:revision>
  <dcterms:created xsi:type="dcterms:W3CDTF">2025-09-30T18:15:00Z</dcterms:created>
  <dcterms:modified xsi:type="dcterms:W3CDTF">2025-10-06T09:51:00Z</dcterms:modified>
</cp:coreProperties>
</file>